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jc w:val="center"/>
        <w:rPr>
          <w:rFonts w:hint="eastAsia" w:cs="Times New Roman"/>
          <w:b/>
          <w:sz w:val="56"/>
          <w:szCs w:val="56"/>
        </w:rPr>
      </w:pPr>
    </w:p>
    <w:p>
      <w:pPr>
        <w:adjustRightInd w:val="0"/>
        <w:snapToGrid w:val="0"/>
        <w:jc w:val="center"/>
        <w:rPr>
          <w:rFonts w:cs="Times New Roman"/>
          <w:b/>
          <w:sz w:val="56"/>
          <w:szCs w:val="56"/>
        </w:rPr>
      </w:pPr>
    </w:p>
    <w:p>
      <w:pPr>
        <w:adjustRightInd w:val="0"/>
        <w:snapToGrid w:val="0"/>
        <w:jc w:val="center"/>
        <w:rPr>
          <w:rFonts w:ascii="黑体" w:hAnsi="黑体" w:eastAsia="黑体" w:cs="Times New Roman"/>
          <w:b/>
          <w:sz w:val="56"/>
          <w:szCs w:val="56"/>
        </w:rPr>
      </w:pPr>
      <w:bookmarkStart w:id="0" w:name="_Hlk94476790"/>
      <w:bookmarkStart w:id="1" w:name="_Hlk82112100"/>
      <w:r>
        <w:rPr>
          <w:rFonts w:ascii="黑体" w:hAnsi="黑体" w:eastAsia="黑体" w:cs="Times New Roman"/>
          <w:b/>
          <w:sz w:val="56"/>
          <w:szCs w:val="56"/>
        </w:rPr>
        <w:t>鄱阳湖伍湖分场断面</w:t>
      </w:r>
    </w:p>
    <w:p>
      <w:pPr>
        <w:adjustRightInd w:val="0"/>
        <w:snapToGrid w:val="0"/>
        <w:jc w:val="center"/>
        <w:rPr>
          <w:rFonts w:cs="Times New Roman" w:eastAsiaTheme="minorEastAsia"/>
          <w:bCs/>
          <w:sz w:val="60"/>
          <w:szCs w:val="60"/>
        </w:rPr>
      </w:pPr>
      <w:r>
        <w:rPr>
          <w:rFonts w:ascii="黑体" w:hAnsi="黑体" w:eastAsia="黑体" w:cs="Times New Roman"/>
          <w:b/>
          <w:sz w:val="56"/>
          <w:szCs w:val="56"/>
        </w:rPr>
        <w:t>“一断面一策”治理方案</w:t>
      </w:r>
      <w:bookmarkEnd w:id="0"/>
    </w:p>
    <w:bookmarkEnd w:id="1"/>
    <w:p>
      <w:pPr>
        <w:adjustRightInd w:val="0"/>
        <w:snapToGrid w:val="0"/>
        <w:jc w:val="center"/>
        <w:rPr>
          <w:rFonts w:cs="Times New Roman"/>
          <w:b/>
          <w:bCs/>
          <w:sz w:val="56"/>
          <w:szCs w:val="56"/>
        </w:rPr>
      </w:pPr>
    </w:p>
    <w:p>
      <w:pPr>
        <w:adjustRightInd w:val="0"/>
        <w:snapToGrid w:val="0"/>
        <w:jc w:val="center"/>
        <w:rPr>
          <w:rFonts w:cs="Times New Roman"/>
          <w:szCs w:val="28"/>
        </w:rPr>
      </w:pPr>
    </w:p>
    <w:p>
      <w:pPr>
        <w:adjustRightInd w:val="0"/>
        <w:snapToGrid w:val="0"/>
        <w:jc w:val="center"/>
        <w:rPr>
          <w:rFonts w:cs="Times New Roman"/>
        </w:rPr>
      </w:pPr>
    </w:p>
    <w:p>
      <w:pPr>
        <w:adjustRightInd w:val="0"/>
        <w:snapToGrid w:val="0"/>
        <w:jc w:val="center"/>
        <w:rPr>
          <w:rFonts w:cs="Times New Roman"/>
        </w:rPr>
      </w:pPr>
    </w:p>
    <w:p>
      <w:pPr>
        <w:adjustRightInd w:val="0"/>
        <w:snapToGrid w:val="0"/>
        <w:jc w:val="center"/>
        <w:rPr>
          <w:rFonts w:cs="Times New Roman"/>
        </w:rPr>
      </w:pPr>
    </w:p>
    <w:p>
      <w:pPr>
        <w:adjustRightInd w:val="0"/>
        <w:snapToGrid w:val="0"/>
        <w:jc w:val="center"/>
        <w:rPr>
          <w:rFonts w:cs="Times New Roman"/>
        </w:rPr>
      </w:pPr>
    </w:p>
    <w:p>
      <w:pPr>
        <w:adjustRightInd w:val="0"/>
        <w:snapToGrid w:val="0"/>
        <w:jc w:val="center"/>
        <w:rPr>
          <w:rFonts w:cs="Times New Roman"/>
        </w:rPr>
      </w:pPr>
    </w:p>
    <w:p>
      <w:pPr>
        <w:adjustRightInd w:val="0"/>
        <w:snapToGrid w:val="0"/>
        <w:jc w:val="center"/>
        <w:rPr>
          <w:rFonts w:cs="Times New Roman"/>
        </w:rPr>
      </w:pPr>
    </w:p>
    <w:p>
      <w:pPr>
        <w:adjustRightInd w:val="0"/>
        <w:snapToGrid w:val="0"/>
        <w:jc w:val="center"/>
        <w:rPr>
          <w:rFonts w:cs="Times New Roman"/>
        </w:rPr>
      </w:pPr>
    </w:p>
    <w:p>
      <w:pPr>
        <w:adjustRightInd w:val="0"/>
        <w:snapToGrid w:val="0"/>
        <w:jc w:val="center"/>
        <w:rPr>
          <w:rFonts w:cs="Times New Roman"/>
        </w:rPr>
      </w:pPr>
    </w:p>
    <w:p>
      <w:pPr>
        <w:adjustRightInd w:val="0"/>
        <w:snapToGrid w:val="0"/>
        <w:jc w:val="center"/>
        <w:rPr>
          <w:rFonts w:cs="Times New Roman"/>
          <w:szCs w:val="28"/>
        </w:rPr>
      </w:pPr>
    </w:p>
    <w:p>
      <w:pPr>
        <w:adjustRightInd w:val="0"/>
        <w:snapToGrid w:val="0"/>
        <w:jc w:val="center"/>
        <w:rPr>
          <w:rFonts w:cs="Times New Roman"/>
          <w:szCs w:val="28"/>
        </w:rPr>
      </w:pPr>
    </w:p>
    <w:p>
      <w:pPr>
        <w:adjustRightInd w:val="0"/>
        <w:snapToGrid w:val="0"/>
        <w:jc w:val="center"/>
        <w:rPr>
          <w:rFonts w:cs="Times New Roman"/>
          <w:szCs w:val="28"/>
        </w:rPr>
      </w:pPr>
    </w:p>
    <w:p>
      <w:pPr>
        <w:adjustRightInd w:val="0"/>
        <w:snapToGrid w:val="0"/>
        <w:jc w:val="center"/>
        <w:rPr>
          <w:rFonts w:cs="Times New Roman"/>
          <w:szCs w:val="28"/>
        </w:rPr>
      </w:pPr>
    </w:p>
    <w:p>
      <w:pPr>
        <w:adjustRightInd w:val="0"/>
        <w:snapToGrid w:val="0"/>
        <w:jc w:val="center"/>
        <w:rPr>
          <w:rFonts w:cs="Times New Roman"/>
          <w:szCs w:val="28"/>
        </w:rPr>
      </w:pPr>
    </w:p>
    <w:p>
      <w:pPr>
        <w:adjustRightInd w:val="0"/>
        <w:snapToGrid w:val="0"/>
        <w:jc w:val="center"/>
        <w:rPr>
          <w:rFonts w:cs="Times New Roman"/>
          <w:szCs w:val="28"/>
        </w:rPr>
      </w:pPr>
    </w:p>
    <w:p>
      <w:pPr>
        <w:adjustRightInd w:val="0"/>
        <w:snapToGrid w:val="0"/>
        <w:jc w:val="center"/>
        <w:rPr>
          <w:rFonts w:cs="Times New Roman"/>
          <w:szCs w:val="28"/>
        </w:rPr>
      </w:pPr>
    </w:p>
    <w:p>
      <w:pPr>
        <w:adjustRightInd w:val="0"/>
        <w:snapToGrid w:val="0"/>
        <w:jc w:val="center"/>
        <w:rPr>
          <w:rFonts w:cs="Times New Roman"/>
          <w:szCs w:val="28"/>
        </w:rPr>
      </w:pPr>
    </w:p>
    <w:p>
      <w:pPr>
        <w:adjustRightInd w:val="0"/>
        <w:snapToGrid w:val="0"/>
        <w:jc w:val="center"/>
        <w:rPr>
          <w:rFonts w:cs="Times New Roman"/>
          <w:szCs w:val="28"/>
        </w:rPr>
      </w:pPr>
    </w:p>
    <w:p>
      <w:pPr>
        <w:pStyle w:val="2"/>
        <w:numPr>
          <w:ilvl w:val="0"/>
          <w:numId w:val="0"/>
        </w:numPr>
        <w:spacing w:before="190" w:after="190"/>
        <w:sectPr>
          <w:pgSz w:w="11906" w:h="16838"/>
          <w:pgMar w:top="1440" w:right="1800" w:bottom="1440" w:left="1800" w:header="851" w:footer="992" w:gutter="0"/>
          <w:pgNumType w:start="1"/>
          <w:cols w:space="720" w:num="1"/>
          <w:docGrid w:type="lines" w:linePitch="381" w:charSpace="0"/>
        </w:sectPr>
      </w:pPr>
      <w:bookmarkStart w:id="2" w:name="_Toc112589761"/>
      <w:bookmarkStart w:id="3" w:name="_Toc14197"/>
      <w:bookmarkStart w:id="4" w:name="_Toc21720655"/>
    </w:p>
    <w:p>
      <w:pPr>
        <w:pStyle w:val="2"/>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一、项目概述</w:t>
      </w:r>
      <w:bookmarkEnd w:id="2"/>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bookmarkStart w:id="5" w:name="_Hlk112246140"/>
      <w:r>
        <w:rPr>
          <w:rFonts w:hint="eastAsia" w:ascii="仿宋_GB2312" w:hAnsi="仿宋_GB2312" w:eastAsia="仿宋_GB2312" w:cs="仿宋_GB2312"/>
          <w:sz w:val="32"/>
          <w:szCs w:val="32"/>
        </w:rPr>
        <w:t>为深入打好污染防治攻坚战，有效控制与削减鄱阳湖南昌湖区总磷污染，持续改善鄱阳湖南昌湖区水环境质量，按照江西省环委会办公室《关于组织编制鄱阳湖“一断面一策”治理方案的通知》</w:t>
      </w:r>
      <w:r>
        <w:rPr>
          <w:rFonts w:hint="eastAsia" w:ascii="仿宋_GB2312" w:hAnsi="仿宋_GB2312" w:eastAsia="仿宋_GB2312" w:cs="仿宋_GB2312"/>
          <w:sz w:val="32"/>
          <w:szCs w:val="32"/>
          <w:lang w:val="zh-CN"/>
        </w:rPr>
        <w:t>（赣环委办字〔2022〕17号）</w:t>
      </w:r>
      <w:r>
        <w:rPr>
          <w:rFonts w:hint="eastAsia" w:ascii="仿宋_GB2312" w:hAnsi="仿宋_GB2312" w:eastAsia="仿宋_GB2312" w:cs="仿宋_GB2312"/>
          <w:sz w:val="32"/>
          <w:szCs w:val="32"/>
        </w:rPr>
        <w:t>要求，针对鄱阳湖南昌湖区南湖村、南矶山、金溪咀刘家、伍湖分场、青岚湖5个国控断面，组织编制鄱阳湖南昌湖区“一断面一策”治理方案。</w:t>
      </w:r>
    </w:p>
    <w:p>
      <w:pPr>
        <w:keepNext w:val="0"/>
        <w:keepLines w:val="0"/>
        <w:pageBreakBefore w:val="0"/>
        <w:widowControl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按照“一断面一策”编制要求，各责任县区充分开展断面周边污染源调查，识别各断面主要环境问题，形成污染“脉络图”和问题台账清单。以问题为导向，以项目为支撑，以控增量、降存量为目的，兼顾污染防治与生态修复，因地制宜制定措施，实现“十四五”末鄱阳湖南昌湖区总磷（TP）浓度≤0.075mg/L、其余指标达湖库Ⅲ类水质的考核目标；到2025年，力争鄱阳湖南昌湖区水质断面（点位）优良率达到60%；到2030年，力争鄱阳湖南昌湖区总磷平均浓度达到湖库Ⅲ类水质标准。</w:t>
      </w:r>
    </w:p>
    <w:bookmarkEnd w:id="5"/>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6" w:name="_Toc112589762"/>
      <w:r>
        <w:rPr>
          <w:rFonts w:hint="eastAsia" w:ascii="楷体_GB2312" w:hAnsi="楷体_GB2312" w:eastAsia="楷体_GB2312" w:cs="楷体_GB2312"/>
          <w:sz w:val="32"/>
          <w:szCs w:val="32"/>
        </w:rPr>
        <w:t>（一）编制原则</w:t>
      </w:r>
      <w:bookmarkEnd w:id="6"/>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b/>
          <w:sz w:val="32"/>
          <w:szCs w:val="32"/>
        </w:rPr>
      </w:pPr>
      <w:bookmarkStart w:id="7" w:name="_Hlk112246333"/>
      <w:r>
        <w:rPr>
          <w:rFonts w:hint="eastAsia" w:ascii="仿宋_GB2312" w:hAnsi="仿宋_GB2312" w:eastAsia="仿宋_GB2312" w:cs="仿宋_GB2312"/>
          <w:b/>
          <w:sz w:val="32"/>
          <w:szCs w:val="32"/>
        </w:rPr>
        <w:t>流域统筹、系统治理。</w:t>
      </w:r>
      <w:r>
        <w:rPr>
          <w:rFonts w:hint="eastAsia" w:ascii="仿宋_GB2312" w:hAnsi="仿宋_GB2312" w:eastAsia="仿宋_GB2312" w:cs="仿宋_GB2312"/>
          <w:sz w:val="32"/>
          <w:szCs w:val="32"/>
        </w:rPr>
        <w:t>牢牢把握山水林田湖草是一个生命共同体的理念，统筹经济社会发展和生态环境保护要求，统筹流域和行政区域，统筹上下游、左右岸和干支流，统筹城市和乡村、水域和陆地，系统推进鄱阳湖南昌湖区的治理与保护。</w:t>
      </w:r>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问题导向、分类施策。</w:t>
      </w:r>
      <w:r>
        <w:rPr>
          <w:rFonts w:hint="eastAsia" w:ascii="仿宋_GB2312" w:hAnsi="仿宋_GB2312" w:eastAsia="仿宋_GB2312" w:cs="仿宋_GB2312"/>
          <w:sz w:val="32"/>
          <w:szCs w:val="32"/>
        </w:rPr>
        <w:t>从断面及其控制范围的自身特点、现状、问题出发，对存在的问题进行全面的排查，抓住断面水质达标的主要矛盾，对症下药，因地制宜、因地施策，重点解决鄱阳湖南昌湖区总磷浓度偏高的问题。</w:t>
      </w:r>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统筹兼顾、注重实效。</w:t>
      </w:r>
      <w:r>
        <w:rPr>
          <w:rFonts w:hint="eastAsia" w:ascii="仿宋_GB2312" w:hAnsi="仿宋_GB2312" w:eastAsia="仿宋_GB2312" w:cs="仿宋_GB2312"/>
          <w:sz w:val="32"/>
          <w:szCs w:val="32"/>
        </w:rPr>
        <w:t>按照轻重缓急，统筹考虑投资规模、实施效果、前期工作、资金来源与保障措施，以近期为重点，兼顾远期目标，对于解决总磷浓度偏高最为显著的措施，应优先安排。</w:t>
      </w:r>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专业协调、措施落地。</w:t>
      </w:r>
      <w:r>
        <w:rPr>
          <w:rFonts w:hint="eastAsia" w:ascii="仿宋_GB2312" w:hAnsi="仿宋_GB2312" w:eastAsia="仿宋_GB2312" w:cs="仿宋_GB2312"/>
          <w:bCs/>
          <w:sz w:val="32"/>
          <w:szCs w:val="32"/>
        </w:rPr>
        <w:t>按照综合治理的要求，打破部门、区域、层级的壁垒，充分利用已有规划和治理方案成果，做好目标、任务之间衔接，充分考虑工程及管理措施的可行性，落实部门分工，明确责任及要求。</w:t>
      </w:r>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党政领导，社会参与。</w:t>
      </w:r>
      <w:r>
        <w:rPr>
          <w:rFonts w:hint="eastAsia" w:ascii="仿宋_GB2312" w:hAnsi="仿宋_GB2312" w:eastAsia="仿宋_GB2312" w:cs="仿宋_GB2312"/>
          <w:sz w:val="32"/>
          <w:szCs w:val="32"/>
        </w:rPr>
        <w:t>落实“党政同责、一岗双责”，加强部门协作，做到投入、政策与目标、任务相匹配。动员全社会参与环境保护，促进企业履行环境责任，形成政府、企业和公众共同行动的环境保护新格局。</w:t>
      </w:r>
    </w:p>
    <w:bookmarkEnd w:id="7"/>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8" w:name="_Toc112589765"/>
      <w:r>
        <w:rPr>
          <w:rFonts w:hint="eastAsia" w:ascii="楷体_GB2312" w:hAnsi="楷体_GB2312" w:eastAsia="楷体_GB2312" w:cs="楷体_GB2312"/>
          <w:sz w:val="32"/>
          <w:szCs w:val="32"/>
        </w:rPr>
        <w:t>（二）项目要求</w:t>
      </w:r>
      <w:bookmarkEnd w:id="8"/>
    </w:p>
    <w:p>
      <w:pPr>
        <w:pStyle w:val="4"/>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9" w:name="_Toc112589766"/>
      <w:r>
        <w:rPr>
          <w:rFonts w:hint="eastAsia" w:ascii="仿宋_GB2312" w:hAnsi="仿宋_GB2312" w:eastAsia="仿宋_GB2312" w:cs="仿宋_GB2312"/>
          <w:sz w:val="32"/>
          <w:szCs w:val="32"/>
        </w:rPr>
        <w:t>1.实施范围</w:t>
      </w:r>
      <w:bookmarkEnd w:id="9"/>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本方案实施范围为伍湖分场断面汇水区域，主要包括新建区联圩镇、朱港农场、成新农场和恒湖垦殖场，面积228.06 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pPr>
        <w:pStyle w:val="4"/>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10" w:name="_Toc112589767"/>
      <w:r>
        <w:rPr>
          <w:rFonts w:hint="eastAsia" w:ascii="仿宋_GB2312" w:hAnsi="仿宋_GB2312" w:eastAsia="仿宋_GB2312" w:cs="仿宋_GB2312"/>
          <w:sz w:val="32"/>
          <w:szCs w:val="32"/>
        </w:rPr>
        <w:t>2.主要控制因子</w:t>
      </w:r>
      <w:bookmarkEnd w:id="10"/>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本方案的主要控制因子为总磷（TP），同时统筹兼顾高锰酸盐指数、COD、氨氮和总氮（TN）。</w:t>
      </w:r>
    </w:p>
    <w:p>
      <w:pPr>
        <w:pStyle w:val="4"/>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11" w:name="_Toc112589768"/>
      <w:r>
        <w:rPr>
          <w:rFonts w:hint="eastAsia" w:ascii="仿宋_GB2312" w:hAnsi="仿宋_GB2312" w:eastAsia="仿宋_GB2312" w:cs="仿宋_GB2312"/>
          <w:sz w:val="32"/>
          <w:szCs w:val="32"/>
        </w:rPr>
        <w:t>3.预期目标</w:t>
      </w:r>
      <w:bookmarkEnd w:id="11"/>
      <w:r>
        <w:rPr>
          <w:rFonts w:hint="eastAsia" w:ascii="仿宋_GB2312" w:hAnsi="仿宋_GB2312" w:eastAsia="仿宋_GB2312" w:cs="仿宋_GB2312"/>
          <w:sz w:val="32"/>
          <w:szCs w:val="32"/>
        </w:rPr>
        <w:t>及完成时限</w:t>
      </w:r>
    </w:p>
    <w:p>
      <w:pPr>
        <w:keepNext w:val="0"/>
        <w:keepLines w:val="0"/>
        <w:pageBreakBefore w:val="0"/>
        <w:widowControl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2025年，扣除自然因素，伍湖分场断面TP浓度≤0.07mg/L，其余指标达到湖库Ⅲ类水质标准；力争达到湖库Ⅲ类水质标准</w:t>
      </w:r>
      <w:r>
        <w:rPr>
          <w:rFonts w:hint="eastAsia" w:ascii="仿宋_GB2312" w:hAnsi="仿宋_GB2312" w:eastAsia="仿宋_GB2312" w:cs="仿宋_GB2312"/>
          <w:sz w:val="32"/>
          <w:szCs w:val="32"/>
          <w:lang w:val="zh-CN"/>
        </w:rPr>
        <w:t>。</w:t>
      </w:r>
    </w:p>
    <w:p>
      <w:pPr>
        <w:pStyle w:val="2"/>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0" w:firstLineChars="200"/>
        <w:textAlignment w:val="auto"/>
        <w:rPr>
          <w:rFonts w:hint="eastAsia" w:ascii="黑体" w:hAnsi="黑体" w:eastAsia="黑体" w:cs="黑体"/>
          <w:b w:val="0"/>
          <w:bCs w:val="0"/>
          <w:sz w:val="32"/>
          <w:szCs w:val="32"/>
        </w:rPr>
      </w:pPr>
      <w:bookmarkStart w:id="12" w:name="_Toc112589770"/>
      <w:r>
        <w:rPr>
          <w:rFonts w:hint="eastAsia" w:ascii="黑体" w:hAnsi="黑体" w:eastAsia="黑体" w:cs="黑体"/>
          <w:b w:val="0"/>
          <w:bCs w:val="0"/>
          <w:sz w:val="32"/>
          <w:szCs w:val="32"/>
        </w:rPr>
        <w:t>二、流域概况及水环境质量现状</w:t>
      </w:r>
      <w:bookmarkEnd w:id="12"/>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13" w:name="_Toc112589771"/>
      <w:r>
        <w:rPr>
          <w:rFonts w:hint="eastAsia" w:ascii="楷体_GB2312" w:hAnsi="楷体_GB2312" w:eastAsia="楷体_GB2312" w:cs="楷体_GB2312"/>
          <w:sz w:val="32"/>
          <w:szCs w:val="32"/>
        </w:rPr>
        <w:t>（一）流域概况</w:t>
      </w:r>
      <w:bookmarkEnd w:id="13"/>
    </w:p>
    <w:p>
      <w:pPr>
        <w:pStyle w:val="4"/>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14" w:name="_Toc112589772"/>
      <w:bookmarkStart w:id="15" w:name="_Toc94909189"/>
      <w:r>
        <w:rPr>
          <w:rFonts w:hint="eastAsia" w:ascii="仿宋_GB2312" w:hAnsi="仿宋_GB2312" w:eastAsia="仿宋_GB2312" w:cs="仿宋_GB2312"/>
          <w:sz w:val="32"/>
          <w:szCs w:val="32"/>
        </w:rPr>
        <w:t>1.流域概况</w:t>
      </w:r>
      <w:bookmarkEnd w:id="14"/>
      <w:bookmarkEnd w:id="15"/>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16" w:name="_Toc94909190"/>
      <w:r>
        <w:rPr>
          <w:rFonts w:hint="eastAsia" w:ascii="仿宋_GB2312" w:hAnsi="仿宋_GB2312" w:eastAsia="仿宋_GB2312" w:cs="仿宋_GB2312"/>
          <w:sz w:val="32"/>
          <w:szCs w:val="32"/>
        </w:rPr>
        <w:t>1.1地理位置</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伍湖分场断面地处赣江中支、北支汇入鄱阳湖可口处，坐标为116°13′13″、29°03′20″，为国考鄱阳湖南昌湖区断面，位于新建区联圩镇。</w:t>
      </w:r>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1.2河流水系</w:t>
      </w:r>
      <w:bookmarkEnd w:id="16"/>
    </w:p>
    <w:p>
      <w:pPr>
        <w:keepNext w:val="0"/>
        <w:keepLines w:val="0"/>
        <w:pageBreakBefore w:val="0"/>
        <w:widowControl w:val="0"/>
        <w:kinsoku/>
        <w:wordWrap/>
        <w:overflowPunct/>
        <w:topLinePunct w:val="0"/>
        <w:autoSpaceDE/>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赣江是鄱阳湖水系最大的河流和长江主要支流之一，全长766km，流域面积8.35×10</w:t>
      </w:r>
      <w:r>
        <w:rPr>
          <w:rFonts w:hint="eastAsia" w:ascii="仿宋_GB2312" w:hAnsi="仿宋_GB2312" w:eastAsia="仿宋_GB2312" w:cs="仿宋_GB2312"/>
          <w:sz w:val="32"/>
          <w:szCs w:val="32"/>
          <w:vertAlign w:val="superscript"/>
        </w:rPr>
        <w:t xml:space="preserve">4 </w:t>
      </w:r>
      <w:r>
        <w:rPr>
          <w:rFonts w:hint="eastAsia" w:ascii="仿宋_GB2312" w:hAnsi="仿宋_GB2312" w:eastAsia="仿宋_GB2312" w:cs="仿宋_GB2312"/>
          <w:sz w:val="32"/>
          <w:szCs w:val="32"/>
        </w:rPr>
        <w:t>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。赣江在八一桥以下进入尾闾，首先被裘家洲、扬子洲分成东、西两河，其中东河在礁矶头分成南支和中支两汊;西河又分出赣江北支。中支和北支流经新建区联圩镇、南昌县南新乡等后汇入鄱阳湖。</w:t>
      </w:r>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17" w:name="_Toc94909191"/>
      <w:r>
        <w:rPr>
          <w:rFonts w:hint="eastAsia" w:ascii="仿宋_GB2312" w:hAnsi="仿宋_GB2312" w:eastAsia="仿宋_GB2312" w:cs="仿宋_GB2312"/>
          <w:sz w:val="32"/>
          <w:szCs w:val="32"/>
        </w:rPr>
        <w:t>1.3水文水情</w:t>
      </w:r>
      <w:bookmarkEnd w:id="17"/>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鄱阳湖水域辽阔，是吞吐型、季节性淡水湖泊；鄱阳湖承纳赣江、抚河、信江、饶河、修水五河来水，水位不仅受五河来水影响，还会受到长江干流水情影响，江湖关系复杂，具有“高水是湖，低水似河”、“洪水一片，枯水一线”的独特景观。受鄱阳湖水情影响，伍湖分场断面周边碟形湖密布，丰水期连成一片；平水期水位较低，碟形湖与主湖区多处于半分离状态；枯水期鄱阳湖区以低温少雨天气为主，碟形湖与主湖区发生完全分离，成为了独立的鄱阳湖子湖区。近年来，鄱阳湖枯水期大大提前，2018年9月17日、2019年9月10日连续两年刷新进入枯水期最早时间，2022年8月6日就进入枯水期，成为1951年有记录以来最早进入枯水期的年份。</w:t>
      </w:r>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18" w:name="_Toc94909192"/>
      <w:r>
        <w:rPr>
          <w:rFonts w:hint="eastAsia" w:ascii="仿宋_GB2312" w:hAnsi="仿宋_GB2312" w:eastAsia="仿宋_GB2312" w:cs="仿宋_GB2312"/>
          <w:sz w:val="32"/>
          <w:szCs w:val="32"/>
        </w:rPr>
        <w:t>1.4地形地貌</w:t>
      </w:r>
      <w:bookmarkEnd w:id="18"/>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赣江入湖河口三角洲是鄱阳湖湖区入湖三角洲发育面积最大的一个。在河口三角洲形成过程中，水流进入主湖区流速减小，泥沙在水动力的作用下产生不均匀的沉积，在主流两旁逐渐堆积成自然土埂，远离主流的水域逐步封闭成浅碟形洼地。为渔业捕捞，湖区居民将远离主湖封闭成的浅碟形洼地周边土埂加高形成矮堤，以便更多地蓄水拦鱼。通常在碟形湖内开挖排水沟，便于冬季排水抓鱼，由此形成鄱阳湖特有的一种捕鱼方式，当地亦称碟形湖为“錾秋湖”。</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伍湖分场断面上游主要为赣江中支，根据调研和排查，在枯水期，从赣江中支上游龙潭里分叉口到断面附近分布有大小不一的碟形湖约8个，其中输湖和草鱼角湖面积最大。</w:t>
      </w:r>
    </w:p>
    <w:p>
      <w:pPr>
        <w:pStyle w:val="262"/>
        <w:keepNext w:val="0"/>
        <w:keepLines w:val="0"/>
        <w:pageBreakBefore w:val="0"/>
        <w:widowControl w:val="0"/>
        <w:kinsoku/>
        <w:wordWrap/>
        <w:overflowPunct/>
        <w:topLinePunct w:val="0"/>
        <w:autoSpaceDE/>
        <w:bidi w:val="0"/>
        <w:spacing w:line="540" w:lineRule="exact"/>
        <w:ind w:firstLine="0" w:firstLineChars="0"/>
        <w:jc w:val="center"/>
        <w:textAlignment w:val="auto"/>
        <w:rPr>
          <w:rFonts w:hint="eastAsia" w:ascii="仿宋_GB2312" w:hAnsi="仿宋_GB2312" w:eastAsia="仿宋_GB2312" w:cs="仿宋_GB2312"/>
          <w:sz w:val="32"/>
          <w:szCs w:val="32"/>
        </w:rPr>
      </w:pPr>
    </w:p>
    <w:p>
      <w:pPr>
        <w:pStyle w:val="262"/>
        <w:ind w:firstLine="480"/>
        <w:jc w:val="center"/>
        <w:rPr>
          <w:sz w:val="24"/>
        </w:rPr>
      </w:pPr>
      <w:r>
        <w:rPr>
          <w:rFonts w:hint="eastAsia" w:ascii="仿宋_GB2312" w:hAnsi="仿宋_GB2312" w:eastAsia="仿宋_GB2312" w:cs="仿宋_GB2312"/>
          <w:sz w:val="32"/>
          <w:szCs w:val="32"/>
        </w:rPr>
        <w:drawing>
          <wp:inline distT="0" distB="0" distL="0" distR="0">
            <wp:extent cx="2940050" cy="2940050"/>
            <wp:effectExtent l="0" t="0" r="1270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050" cy="2940050"/>
                    </a:xfrm>
                    <a:prstGeom prst="rect">
                      <a:avLst/>
                    </a:prstGeom>
                    <a:noFill/>
                    <a:ln>
                      <a:noFill/>
                    </a:ln>
                  </pic:spPr>
                </pic:pic>
              </a:graphicData>
            </a:graphic>
          </wp:inline>
        </w:drawing>
      </w:r>
    </w:p>
    <w:p>
      <w:pPr>
        <w:pStyle w:val="262"/>
        <w:ind w:firstLine="480"/>
        <w:jc w:val="center"/>
        <w:rPr>
          <w:rFonts w:hint="eastAsia" w:ascii="仿宋_GB2312" w:hAnsi="仿宋_GB2312" w:eastAsia="仿宋_GB2312" w:cs="仿宋_GB2312"/>
        </w:rPr>
      </w:pPr>
      <w:r>
        <w:rPr>
          <w:rFonts w:hint="eastAsia" w:ascii="仿宋_GB2312" w:hAnsi="仿宋_GB2312" w:eastAsia="仿宋_GB2312" w:cs="仿宋_GB2312"/>
          <w:sz w:val="24"/>
        </w:rPr>
        <w:t>图2.1.1-1</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伍湖分场断面汇水区域碟形湖分布</w:t>
      </w:r>
      <w:bookmarkStart w:id="19" w:name="_Toc94909193"/>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地质土壤</w:t>
      </w:r>
      <w:bookmarkEnd w:id="19"/>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汇水区域主要位于赣江流域，其地层岩性以花岗岩、红岩为主，四周山地多黄壤和黄棕壤，其余丘陵岗地均以第四纪红壤为主。赣江流域是中国南方典型的中生代白垩纪红层盆地分布区，白垩纪巨厚的红色砂砾岩沉积地层分布于山间断陷盆地。</w:t>
      </w:r>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20" w:name="_Toc94909194"/>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气象气候</w:t>
      </w:r>
      <w:bookmarkEnd w:id="20"/>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汇水区域属于亚热带季风气候，7-8月气温出现最高值，1-2月气温出现最低值，年均气温为18℃。受东亚季风气候影响，4-6月降水量占全年降水量的45%，7-9月赣江流域降水比较丰富，其它月份降水量较少。区域年降雨量1600-1700mm，年平均相对湿度为78.5%。</w:t>
      </w:r>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行政区划和人口</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所涉及行政区域范围主要为新建区。新建区联圩镇户籍人口约3.88万人，下辖25个村委会和1个居委会。恒湖垦殖场户籍人口8256人，常住人口约5000人。朱港农场常住人口1332人，成新农场现有人口约2.9万人。</w:t>
      </w:r>
    </w:p>
    <w:p>
      <w:pPr>
        <w:pStyle w:val="4"/>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21" w:name="_Toc112589773"/>
      <w:r>
        <w:rPr>
          <w:rFonts w:hint="eastAsia" w:ascii="仿宋_GB2312" w:hAnsi="仿宋_GB2312" w:eastAsia="仿宋_GB2312" w:cs="仿宋_GB2312"/>
          <w:sz w:val="32"/>
          <w:szCs w:val="32"/>
        </w:rPr>
        <w:t>2.断面汇水范围</w:t>
      </w:r>
      <w:bookmarkEnd w:id="21"/>
    </w:p>
    <w:p>
      <w:pPr>
        <w:keepNext w:val="0"/>
        <w:keepLines w:val="0"/>
        <w:pageBreakBefore w:val="0"/>
        <w:widowControl w:val="0"/>
        <w:kinsoku/>
        <w:wordWrap/>
        <w:overflowPunct/>
        <w:topLinePunct w:val="0"/>
        <w:autoSpaceDE/>
        <w:bidi w:val="0"/>
        <w:spacing w:line="540" w:lineRule="exact"/>
        <w:ind w:firstLine="480"/>
        <w:textAlignment w:val="auto"/>
        <w:rPr>
          <w:rFonts w:hint="eastAsia" w:ascii="仿宋_GB2312" w:hAnsi="仿宋_GB2312" w:eastAsia="仿宋_GB2312" w:cs="仿宋_GB2312"/>
          <w:sz w:val="32"/>
          <w:szCs w:val="32"/>
        </w:rPr>
      </w:pPr>
      <w:bookmarkStart w:id="22" w:name="_Hlk91680417"/>
      <w:r>
        <w:rPr>
          <w:rFonts w:hint="eastAsia" w:ascii="仿宋_GB2312" w:hAnsi="仿宋_GB2312" w:eastAsia="仿宋_GB2312" w:cs="仿宋_GB2312"/>
          <w:sz w:val="32"/>
          <w:szCs w:val="32"/>
        </w:rPr>
        <w:t>伍湖分场断面汇水范围包括联圩镇、朱港农场、成新农场和恒湖垦殖场，面积228.06km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bidi w:val="0"/>
        <w:spacing w:line="540" w:lineRule="exact"/>
        <w:ind w:firstLine="480"/>
        <w:textAlignment w:val="auto"/>
        <w:rPr>
          <w:rFonts w:hint="eastAsia" w:ascii="仿宋_GB2312" w:hAnsi="仿宋_GB2312" w:eastAsia="仿宋_GB2312" w:cs="仿宋_GB2312"/>
          <w:sz w:val="32"/>
          <w:szCs w:val="32"/>
        </w:rPr>
      </w:pPr>
      <w:bookmarkStart w:id="23" w:name="_Toc95150820"/>
      <w:r>
        <w:rPr>
          <w:rFonts w:hint="eastAsia" w:ascii="仿宋_GB2312" w:hAnsi="仿宋_GB2312" w:eastAsia="仿宋_GB2312" w:cs="仿宋_GB2312"/>
          <w:sz w:val="32"/>
          <w:szCs w:val="32"/>
        </w:rPr>
        <w:t>伍湖分场断面汇水区域均位于新建区，但其管辖归属较为复杂。联圩镇隶属于新建区人民政府。朱港农场和成新农场隶属于江西省监狱管理局，其中江西省赣江监狱，外称朱港农场，毗邻鄱阳湖，三面环水。江西省洪都监狱，对外称成新农场，地处赣江尾闾，属滨湖地带，为宽阔的冲积湖积平原，地域属新建区管辖，隶属于省司法厅、省监狱管理局管理。恒湖垦殖场隶属于南昌市农业农村局。</w:t>
      </w:r>
    </w:p>
    <w:p>
      <w:pPr>
        <w:pStyle w:val="14"/>
        <w:rPr>
          <w:rFonts w:hint="eastAsia" w:ascii="仿宋_GB2312" w:hAnsi="仿宋_GB2312" w:eastAsia="仿宋_GB2312" w:cs="仿宋_GB2312"/>
        </w:rPr>
      </w:pPr>
      <w:r>
        <w:rPr>
          <w:rFonts w:hint="eastAsia" w:ascii="仿宋_GB2312" w:hAnsi="仿宋_GB2312" w:eastAsia="仿宋_GB2312" w:cs="仿宋_GB2312"/>
        </w:rPr>
        <w:t xml:space="preserve">表 2.1.2-1 </w:t>
      </w:r>
      <w:bookmarkEnd w:id="23"/>
      <w:r>
        <w:rPr>
          <w:rFonts w:hint="eastAsia" w:ascii="仿宋_GB2312" w:hAnsi="仿宋_GB2312" w:eastAsia="仿宋_GB2312" w:cs="仿宋_GB2312"/>
        </w:rPr>
        <w:t>鄱阳湖伍湖分场断面汇水范围</w:t>
      </w:r>
    </w:p>
    <w:tbl>
      <w:tblPr>
        <w:tblStyle w:val="4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216"/>
        <w:gridCol w:w="2774"/>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3" w:type="dxa"/>
            <w:vAlign w:val="center"/>
          </w:tcPr>
          <w:p>
            <w:pPr>
              <w:autoSpaceDE w:val="0"/>
              <w:autoSpaceDN w:val="0"/>
              <w:adjustRightInd w:val="0"/>
              <w:spacing w:line="240" w:lineRule="auto"/>
              <w:jc w:val="center"/>
              <w:rPr>
                <w:rFonts w:hint="eastAsia" w:ascii="仿宋_GB2312" w:hAnsi="仿宋_GB2312" w:eastAsia="仿宋_GB2312" w:cs="仿宋_GB2312"/>
                <w:b/>
                <w:bCs/>
                <w:kern w:val="0"/>
                <w:sz w:val="21"/>
              </w:rPr>
            </w:pPr>
            <w:r>
              <w:rPr>
                <w:rFonts w:hint="eastAsia" w:ascii="仿宋_GB2312" w:hAnsi="仿宋_GB2312" w:eastAsia="仿宋_GB2312" w:cs="仿宋_GB2312"/>
                <w:b/>
                <w:bCs/>
                <w:kern w:val="0"/>
                <w:sz w:val="21"/>
              </w:rPr>
              <w:t>断面名称</w:t>
            </w:r>
          </w:p>
        </w:tc>
        <w:tc>
          <w:tcPr>
            <w:tcW w:w="3990" w:type="dxa"/>
            <w:gridSpan w:val="2"/>
            <w:vAlign w:val="center"/>
          </w:tcPr>
          <w:p>
            <w:pPr>
              <w:autoSpaceDE w:val="0"/>
              <w:autoSpaceDN w:val="0"/>
              <w:adjustRightInd w:val="0"/>
              <w:spacing w:line="240" w:lineRule="auto"/>
              <w:jc w:val="center"/>
              <w:rPr>
                <w:rFonts w:hint="eastAsia" w:ascii="仿宋_GB2312" w:hAnsi="仿宋_GB2312" w:eastAsia="仿宋_GB2312" w:cs="仿宋_GB2312"/>
                <w:b/>
                <w:bCs/>
                <w:kern w:val="0"/>
                <w:sz w:val="21"/>
              </w:rPr>
            </w:pPr>
            <w:r>
              <w:rPr>
                <w:rFonts w:hint="eastAsia" w:ascii="仿宋_GB2312" w:hAnsi="仿宋_GB2312" w:eastAsia="仿宋_GB2312" w:cs="仿宋_GB2312"/>
                <w:b/>
                <w:bCs/>
                <w:kern w:val="0"/>
                <w:sz w:val="21"/>
              </w:rPr>
              <w:t>汇水范围</w:t>
            </w:r>
          </w:p>
        </w:tc>
        <w:tc>
          <w:tcPr>
            <w:tcW w:w="2773" w:type="dxa"/>
            <w:vAlign w:val="center"/>
          </w:tcPr>
          <w:p>
            <w:pPr>
              <w:autoSpaceDE w:val="0"/>
              <w:autoSpaceDN w:val="0"/>
              <w:adjustRightInd w:val="0"/>
              <w:spacing w:line="240" w:lineRule="auto"/>
              <w:jc w:val="center"/>
              <w:rPr>
                <w:rFonts w:hint="eastAsia" w:ascii="仿宋_GB2312" w:hAnsi="仿宋_GB2312" w:eastAsia="仿宋_GB2312" w:cs="仿宋_GB2312"/>
                <w:b/>
                <w:bCs/>
                <w:kern w:val="0"/>
                <w:sz w:val="21"/>
              </w:rPr>
            </w:pPr>
            <w:r>
              <w:rPr>
                <w:rFonts w:hint="eastAsia" w:ascii="仿宋_GB2312" w:hAnsi="仿宋_GB2312" w:eastAsia="仿宋_GB2312" w:cs="仿宋_GB2312"/>
                <w:b/>
                <w:bCs/>
                <w:kern w:val="0"/>
                <w:sz w:val="21"/>
              </w:rPr>
              <w:t>管辖归属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3" w:type="dxa"/>
            <w:vMerge w:val="restart"/>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伍湖分场</w:t>
            </w:r>
          </w:p>
        </w:tc>
        <w:tc>
          <w:tcPr>
            <w:tcW w:w="1216" w:type="dxa"/>
            <w:vMerge w:val="restart"/>
            <w:tcBorders>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新建区</w:t>
            </w:r>
          </w:p>
        </w:tc>
        <w:tc>
          <w:tcPr>
            <w:tcW w:w="27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联圩镇</w:t>
            </w:r>
          </w:p>
        </w:tc>
        <w:tc>
          <w:tcPr>
            <w:tcW w:w="27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新建区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3" w:type="dxa"/>
            <w:vMerge w:val="continue"/>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p>
        </w:tc>
        <w:tc>
          <w:tcPr>
            <w:tcW w:w="1216" w:type="dxa"/>
            <w:vMerge w:val="continue"/>
            <w:tcBorders>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p>
        </w:tc>
        <w:tc>
          <w:tcPr>
            <w:tcW w:w="27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成新农场</w:t>
            </w:r>
          </w:p>
        </w:tc>
        <w:tc>
          <w:tcPr>
            <w:tcW w:w="2773" w:type="dxa"/>
            <w:vMerge w:val="restart"/>
            <w:tcBorders>
              <w:top w:val="single" w:color="auto" w:sz="4" w:space="0"/>
              <w:left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江西省监狱管理局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3" w:type="dxa"/>
            <w:vMerge w:val="continue"/>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p>
        </w:tc>
        <w:tc>
          <w:tcPr>
            <w:tcW w:w="1216" w:type="dxa"/>
            <w:vMerge w:val="continue"/>
            <w:tcBorders>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p>
        </w:tc>
        <w:tc>
          <w:tcPr>
            <w:tcW w:w="27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朱港农场</w:t>
            </w:r>
          </w:p>
        </w:tc>
        <w:tc>
          <w:tcPr>
            <w:tcW w:w="2773" w:type="dxa"/>
            <w:vMerge w:val="continue"/>
            <w:tcBorders>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3" w:type="dxa"/>
            <w:vMerge w:val="continue"/>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p>
        </w:tc>
        <w:tc>
          <w:tcPr>
            <w:tcW w:w="1216" w:type="dxa"/>
            <w:vMerge w:val="continue"/>
            <w:tcBorders>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p>
        </w:tc>
        <w:tc>
          <w:tcPr>
            <w:tcW w:w="27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恒湖垦殖场</w:t>
            </w:r>
          </w:p>
        </w:tc>
        <w:tc>
          <w:tcPr>
            <w:tcW w:w="27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eastAsia" w:ascii="仿宋_GB2312" w:hAnsi="仿宋_GB2312" w:eastAsia="仿宋_GB2312" w:cs="仿宋_GB2312"/>
                <w:kern w:val="0"/>
                <w:sz w:val="21"/>
              </w:rPr>
            </w:pPr>
            <w:r>
              <w:rPr>
                <w:rFonts w:hint="eastAsia" w:ascii="仿宋_GB2312" w:hAnsi="仿宋_GB2312" w:eastAsia="仿宋_GB2312" w:cs="仿宋_GB2312"/>
                <w:kern w:val="0"/>
                <w:sz w:val="21"/>
              </w:rPr>
              <w:t>南昌市农业农村局</w:t>
            </w:r>
          </w:p>
        </w:tc>
      </w:tr>
    </w:tbl>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24" w:name="_Toc112589774"/>
      <w:r>
        <w:rPr>
          <w:rFonts w:hint="eastAsia" w:ascii="楷体_GB2312" w:hAnsi="楷体_GB2312" w:eastAsia="楷体_GB2312" w:cs="楷体_GB2312"/>
          <w:sz w:val="32"/>
          <w:szCs w:val="32"/>
        </w:rPr>
        <w:t>（二）断面水质变化情况分析</w:t>
      </w:r>
      <w:bookmarkEnd w:id="24"/>
    </w:p>
    <w:bookmarkEnd w:id="3"/>
    <w:bookmarkEnd w:id="4"/>
    <w:bookmarkEnd w:id="22"/>
    <w:p>
      <w:pPr>
        <w:pStyle w:val="262"/>
        <w:keepNext w:val="0"/>
        <w:keepLines w:val="0"/>
        <w:pageBreakBefore w:val="0"/>
        <w:widowControl w:val="0"/>
        <w:kinsoku/>
        <w:wordWrap/>
        <w:overflowPunct/>
        <w:topLinePunct w:val="0"/>
        <w:autoSpaceDE/>
        <w:bidi w:val="0"/>
        <w:snapToGrid w:val="0"/>
        <w:spacing w:line="540" w:lineRule="exact"/>
        <w:ind w:firstLine="560"/>
        <w:textAlignment w:val="auto"/>
        <w:rPr>
          <w:rFonts w:hint="eastAsia" w:ascii="仿宋_GB2312" w:hAnsi="仿宋_GB2312" w:eastAsia="仿宋_GB2312" w:cs="仿宋_GB2312"/>
          <w:sz w:val="32"/>
          <w:szCs w:val="32"/>
        </w:rPr>
      </w:pPr>
      <w:bookmarkStart w:id="25" w:name="_Hlk91665576"/>
      <w:r>
        <w:rPr>
          <w:rFonts w:hint="eastAsia" w:ascii="仿宋_GB2312" w:hAnsi="仿宋_GB2312" w:eastAsia="仿宋_GB2312" w:cs="仿宋_GB2312"/>
          <w:sz w:val="32"/>
          <w:szCs w:val="32"/>
        </w:rPr>
        <w:t>以鄱阳湖南矶山和外洲水文站2018-2021年水位变化趋势为依据，参考鄱阳湖星子站（2018-2021年），对鄱阳湖南昌湖区水期进行枯水期、涨水期、洪水期和退水期划分（表2.2.1-1）。外洲站2018-2021年输沙量等分析发现涨水期（4-6月）平均含沙量、平均流量和平均输沙率最大，推测断面区域水体悬浮颗粒物汇集沉积从涨水期开始，持续至枯水期，且涨水期贡献最大。三者相关性分析发现，含沙量、输沙率与流量呈极显著正相关（</w:t>
      </w:r>
      <w:r>
        <w:rPr>
          <w:rFonts w:hint="eastAsia" w:ascii="仿宋_GB2312" w:hAnsi="仿宋_GB2312" w:eastAsia="仿宋_GB2312" w:cs="仿宋_GB2312"/>
          <w:i/>
          <w:iCs/>
          <w:sz w:val="32"/>
          <w:szCs w:val="32"/>
        </w:rPr>
        <w:t>P</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0.01），流量越大，水流含沙量越高，输沙率越大。</w:t>
      </w:r>
    </w:p>
    <w:p>
      <w:pPr>
        <w:pStyle w:val="14"/>
        <w:rPr>
          <w:rFonts w:hint="eastAsia" w:ascii="仿宋_GB2312" w:hAnsi="仿宋_GB2312" w:eastAsia="仿宋_GB2312" w:cs="仿宋_GB2312"/>
        </w:rPr>
      </w:pPr>
      <w:r>
        <w:rPr>
          <w:rFonts w:hint="eastAsia" w:ascii="仿宋_GB2312" w:hAnsi="仿宋_GB2312" w:eastAsia="仿宋_GB2312" w:cs="仿宋_GB2312"/>
        </w:rPr>
        <w:t>表2.2.1-1 鄱阳湖南昌湖区水期划分</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491"/>
        <w:gridCol w:w="370"/>
        <w:gridCol w:w="370"/>
        <w:gridCol w:w="372"/>
        <w:gridCol w:w="549"/>
        <w:gridCol w:w="548"/>
        <w:gridCol w:w="549"/>
        <w:gridCol w:w="545"/>
        <w:gridCol w:w="543"/>
        <w:gridCol w:w="545"/>
        <w:gridCol w:w="75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月份</w:t>
            </w:r>
          </w:p>
        </w:tc>
        <w:tc>
          <w:tcPr>
            <w:tcW w:w="288"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w:t>
            </w:r>
          </w:p>
        </w:tc>
        <w:tc>
          <w:tcPr>
            <w:tcW w:w="217"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17"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217"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322"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321"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321"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320"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319"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319"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445"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w:t>
            </w:r>
          </w:p>
        </w:tc>
        <w:tc>
          <w:tcPr>
            <w:tcW w:w="439"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水期</w:t>
            </w:r>
          </w:p>
        </w:tc>
        <w:tc>
          <w:tcPr>
            <w:tcW w:w="940" w:type="pct"/>
            <w:gridSpan w:val="4"/>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枯水期</w:t>
            </w:r>
          </w:p>
        </w:tc>
        <w:tc>
          <w:tcPr>
            <w:tcW w:w="965" w:type="pct"/>
            <w:gridSpan w:val="3"/>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涨水期</w:t>
            </w:r>
          </w:p>
        </w:tc>
        <w:tc>
          <w:tcPr>
            <w:tcW w:w="959" w:type="pct"/>
            <w:gridSpan w:val="3"/>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洪水期</w:t>
            </w:r>
          </w:p>
        </w:tc>
        <w:tc>
          <w:tcPr>
            <w:tcW w:w="884" w:type="pct"/>
            <w:gridSpan w:val="2"/>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退水期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星子站水位（m）</w:t>
            </w:r>
          </w:p>
        </w:tc>
        <w:tc>
          <w:tcPr>
            <w:tcW w:w="940" w:type="pct"/>
            <w:gridSpan w:val="4"/>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4"/>
              </w:rPr>
              <w:t>7.54~13.87</w:t>
            </w:r>
          </w:p>
        </w:tc>
        <w:tc>
          <w:tcPr>
            <w:tcW w:w="965" w:type="pct"/>
            <w:gridSpan w:val="3"/>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4"/>
              </w:rPr>
              <w:t>10.78~18.42</w:t>
            </w:r>
          </w:p>
        </w:tc>
        <w:tc>
          <w:tcPr>
            <w:tcW w:w="959" w:type="pct"/>
            <w:gridSpan w:val="3"/>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4"/>
              </w:rPr>
              <w:t>11.68~21.05</w:t>
            </w:r>
          </w:p>
        </w:tc>
        <w:tc>
          <w:tcPr>
            <w:tcW w:w="884" w:type="pct"/>
            <w:gridSpan w:val="2"/>
            <w:vAlign w:val="bottom"/>
          </w:tcPr>
          <w:p>
            <w:pPr>
              <w:pStyle w:val="262"/>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4"/>
              </w:rPr>
              <w:t>9.14~16.86</w:t>
            </w:r>
          </w:p>
        </w:tc>
      </w:tr>
    </w:tbl>
    <w:p>
      <w:pPr>
        <w:pStyle w:val="4"/>
        <w:keepNext w:val="0"/>
        <w:keepLines w:val="0"/>
        <w:pageBreakBefore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26" w:name="_Toc112589776"/>
      <w:r>
        <w:rPr>
          <w:rFonts w:hint="eastAsia" w:ascii="仿宋_GB2312" w:hAnsi="仿宋_GB2312" w:eastAsia="仿宋_GB2312" w:cs="仿宋_GB2312"/>
          <w:sz w:val="32"/>
          <w:szCs w:val="32"/>
        </w:rPr>
        <w:t>1.断面水质变化情况</w:t>
      </w:r>
      <w:bookmarkEnd w:id="26"/>
    </w:p>
    <w:p>
      <w:pPr>
        <w:keepNext w:val="0"/>
        <w:keepLines w:val="0"/>
        <w:pageBreakBefore w:val="0"/>
        <w:kinsoku/>
        <w:wordWrap/>
        <w:overflowPunct/>
        <w:topLinePunct w:val="0"/>
        <w:autoSpaceDE/>
        <w:bidi w:val="0"/>
        <w:spacing w:line="540" w:lineRule="exact"/>
        <w:ind w:firstLine="4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以伍湖分场断面2018-2021年逐月监测数据为数据来源，以鄱阳湖南昌湖区水质预期目标为评价标准，即TP浓度≤ 0.075mg/L，其余指标达到湖库Ⅲ类水质标准（下同），分析断面水质变化情况。</w:t>
      </w:r>
    </w:p>
    <w:p>
      <w:pPr>
        <w:keepNext w:val="0"/>
        <w:keepLines w:val="0"/>
        <w:pageBreakBefore w:val="0"/>
        <w:kinsoku/>
        <w:wordWrap/>
        <w:overflowPunct/>
        <w:topLinePunct w:val="0"/>
        <w:autoSpaceDE/>
        <w:bidi w:val="0"/>
        <w:spacing w:line="540" w:lineRule="exact"/>
        <w:ind w:firstLine="4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监测数据可知，按目标水质评价，2018-2021年伍湖分场断面水体高锰酸盐指数和氨氮均达地表水Ⅲ类。2018-2021年断面TP均有超标（湖库III类），其中2018-2020年主要是枯水期超标，最高超标倍数为1.4倍（湖库Ⅲ类）；2021年除3月、5月和8月外，其余月份均超标；最大浓度为0.09mg/L，出现在4月（涨水期）和12月（枯水期）。</w:t>
      </w:r>
    </w:p>
    <w:p>
      <w:pPr>
        <w:pStyle w:val="4"/>
        <w:keepNext w:val="0"/>
        <w:keepLines w:val="0"/>
        <w:pageBreakBefore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27" w:name="_Toc112589777"/>
      <w:r>
        <w:rPr>
          <w:rFonts w:hint="eastAsia" w:ascii="仿宋_GB2312" w:hAnsi="仿宋_GB2312" w:eastAsia="仿宋_GB2312" w:cs="仿宋_GB2312"/>
          <w:sz w:val="32"/>
          <w:szCs w:val="32"/>
        </w:rPr>
        <w:t>2.汇水范围内其它断面水质变化情况</w:t>
      </w:r>
      <w:bookmarkEnd w:id="27"/>
    </w:p>
    <w:p>
      <w:pPr>
        <w:pStyle w:val="262"/>
        <w:keepNext w:val="0"/>
        <w:keepLines w:val="0"/>
        <w:pageBreakBefore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汇水范围内有大港断面和周坊断面，分别位于赣江北支和赣江中支，属于国控断面，其“十四五”水质目标为地表水Ⅱ类。以大港断面和周坊断面2018-2021年逐月监测数据为数据来源，分析其水质变化情况。</w:t>
      </w:r>
    </w:p>
    <w:p>
      <w:pPr>
        <w:pStyle w:val="5"/>
        <w:keepNext w:val="0"/>
        <w:keepLines w:val="0"/>
        <w:pageBreakBefore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大港断面</w:t>
      </w:r>
    </w:p>
    <w:p>
      <w:pPr>
        <w:pStyle w:val="262"/>
        <w:keepNext w:val="0"/>
        <w:keepLines w:val="0"/>
        <w:pageBreakBefore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从监测数据可知，按目标水质评价，2018-2021年大港断面水体高锰酸盐指数和TP均达地表水Ⅲ类。氨氮月均值达地表水Ⅲ类水标准比率为95.8%，最高监测浓度为1.76 mg/L（超标倍数0.76倍），出现在2月份。断面TP如以0.075mg/L为目标浓度，2018年-2021年TP监测值超标倍数为0.27倍，主要超标月份为3月（枯水期）和5月（涨水期）。</w:t>
      </w:r>
    </w:p>
    <w:p>
      <w:pPr>
        <w:pStyle w:val="5"/>
        <w:keepNext w:val="0"/>
        <w:keepLines w:val="0"/>
        <w:pageBreakBefore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周坊断面</w:t>
      </w:r>
    </w:p>
    <w:p>
      <w:pPr>
        <w:keepNext w:val="0"/>
        <w:keepLines w:val="0"/>
        <w:pageBreakBefore w:val="0"/>
        <w:kinsoku/>
        <w:wordWrap/>
        <w:overflowPunct/>
        <w:topLinePunct w:val="0"/>
        <w:autoSpaceDE/>
        <w:bidi w:val="0"/>
        <w:spacing w:line="540" w:lineRule="exact"/>
        <w:ind w:firstLine="48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从监测数据可以看出，按目标水质评价，2018-2021年周坊断面水体高锰酸盐指数、氨氮和TP均达地表水Ⅲ类标准。断面TP如以0.075mg/L为目标浓度，除2021年外，2018-2020年TP监测值平均超标倍数为0.31倍，主要超标月份为每年6月（涨水期）和12月（枯水期）。</w:t>
      </w:r>
    </w:p>
    <w:p>
      <w:pPr>
        <w:pStyle w:val="2"/>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0" w:firstLineChars="200"/>
        <w:textAlignment w:val="auto"/>
        <w:rPr>
          <w:rFonts w:hint="eastAsia" w:ascii="黑体" w:hAnsi="黑体" w:eastAsia="黑体" w:cs="黑体"/>
          <w:b w:val="0"/>
          <w:bCs w:val="0"/>
          <w:sz w:val="32"/>
          <w:szCs w:val="32"/>
        </w:rPr>
      </w:pPr>
      <w:bookmarkStart w:id="28" w:name="_Toc112589778"/>
      <w:r>
        <w:rPr>
          <w:rFonts w:hint="eastAsia" w:ascii="黑体" w:hAnsi="黑体" w:eastAsia="黑体" w:cs="黑体"/>
          <w:b w:val="0"/>
          <w:bCs w:val="0"/>
          <w:sz w:val="32"/>
          <w:szCs w:val="32"/>
        </w:rPr>
        <w:t>三、断面污染源调查及主要水环境问题识别</w:t>
      </w:r>
      <w:bookmarkEnd w:id="28"/>
    </w:p>
    <w:bookmarkEnd w:id="25"/>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29" w:name="_Toc112589779"/>
      <w:r>
        <w:rPr>
          <w:rFonts w:hint="eastAsia" w:ascii="楷体_GB2312" w:hAnsi="楷体_GB2312" w:eastAsia="楷体_GB2312" w:cs="楷体_GB2312"/>
          <w:sz w:val="32"/>
          <w:szCs w:val="32"/>
        </w:rPr>
        <w:t>（一）污染源现状调查</w:t>
      </w:r>
      <w:bookmarkEnd w:id="29"/>
    </w:p>
    <w:p>
      <w:pPr>
        <w:pStyle w:val="4"/>
        <w:keepNext w:val="0"/>
        <w:keepLines w:val="0"/>
        <w:pageBreakBefore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30" w:name="_Toc112589780"/>
      <w:r>
        <w:rPr>
          <w:rFonts w:hint="eastAsia" w:ascii="仿宋_GB2312" w:hAnsi="仿宋_GB2312" w:eastAsia="仿宋_GB2312" w:cs="仿宋_GB2312"/>
          <w:sz w:val="32"/>
          <w:szCs w:val="32"/>
        </w:rPr>
        <w:t>1.入湖排口污染</w:t>
      </w:r>
      <w:bookmarkEnd w:id="30"/>
      <w:r>
        <w:rPr>
          <w:rFonts w:hint="eastAsia" w:ascii="仿宋_GB2312" w:hAnsi="仿宋_GB2312" w:eastAsia="仿宋_GB2312" w:cs="仿宋_GB2312"/>
          <w:sz w:val="32"/>
          <w:szCs w:val="32"/>
        </w:rPr>
        <w:t>源</w:t>
      </w:r>
    </w:p>
    <w:p>
      <w:pPr>
        <w:keepNext w:val="0"/>
        <w:keepLines w:val="0"/>
        <w:pageBreakBefore w:val="0"/>
        <w:widowControl/>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伍湖分场断面控制范围包括联圩镇、朱港农场、成新农场、恒湖垦殖场。</w:t>
      </w:r>
      <w:r>
        <w:rPr>
          <w:rFonts w:hint="eastAsia" w:ascii="仿宋_GB2312" w:hAnsi="仿宋_GB2312" w:eastAsia="仿宋_GB2312" w:cs="仿宋_GB2312"/>
          <w:kern w:val="0"/>
          <w:sz w:val="32"/>
          <w:szCs w:val="32"/>
          <w:lang w:bidi="ar"/>
        </w:rPr>
        <w:t>断面控制范围内共有入湖排口15个，其中涵闸排口10个，沟渠排口5个排灌站仅在6-9月鄱阳湖丰水期启动外排，其余月份基本以从外河抽水进行农业灌溉为主，10月-次年3月基本处于断流状态。</w:t>
      </w:r>
      <w:r>
        <w:rPr>
          <w:rFonts w:hint="eastAsia" w:ascii="仿宋_GB2312" w:hAnsi="仿宋_GB2312" w:eastAsia="仿宋_GB2312" w:cs="仿宋_GB2312"/>
          <w:sz w:val="32"/>
          <w:szCs w:val="32"/>
        </w:rPr>
        <w:t>排口</w:t>
      </w:r>
      <w:r>
        <w:rPr>
          <w:rFonts w:hint="eastAsia" w:ascii="仿宋_GB2312" w:hAnsi="仿宋_GB2312" w:eastAsia="仿宋_GB2312" w:cs="仿宋_GB2312"/>
          <w:sz w:val="32"/>
          <w:szCs w:val="32"/>
          <w:lang w:val="zh-CN"/>
        </w:rPr>
        <w:t>采样监测发现，排口</w:t>
      </w:r>
      <w:r>
        <w:rPr>
          <w:rFonts w:hint="eastAsia" w:ascii="仿宋_GB2312" w:hAnsi="仿宋_GB2312" w:eastAsia="仿宋_GB2312" w:cs="仿宋_GB2312"/>
          <w:color w:val="000000"/>
          <w:kern w:val="0"/>
          <w:sz w:val="32"/>
          <w:szCs w:val="32"/>
        </w:rPr>
        <w:t>COD</w:t>
      </w:r>
      <w:r>
        <w:rPr>
          <w:rFonts w:hint="eastAsia" w:ascii="仿宋_GB2312" w:hAnsi="仿宋_GB2312" w:eastAsia="仿宋_GB2312" w:cs="仿宋_GB2312"/>
          <w:sz w:val="32"/>
          <w:szCs w:val="32"/>
          <w:lang w:val="zh-CN"/>
        </w:rPr>
        <w:t>浓度范围为</w:t>
      </w:r>
      <w:r>
        <w:rPr>
          <w:rFonts w:hint="eastAsia" w:ascii="仿宋_GB2312" w:hAnsi="仿宋_GB2312" w:eastAsia="仿宋_GB2312" w:cs="仿宋_GB2312"/>
          <w:sz w:val="32"/>
          <w:szCs w:val="32"/>
        </w:rPr>
        <w:t>4</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sz w:val="32"/>
          <w:szCs w:val="32"/>
        </w:rPr>
        <w:t>23.15</w:t>
      </w:r>
      <w:r>
        <w:rPr>
          <w:rFonts w:hint="eastAsia" w:ascii="仿宋_GB2312" w:hAnsi="仿宋_GB2312" w:eastAsia="仿宋_GB2312" w:cs="仿宋_GB2312"/>
          <w:sz w:val="32"/>
          <w:szCs w:val="32"/>
          <w:lang w:val="zh-CN"/>
        </w:rPr>
        <w:t>mg/L、TP浓度范围为0.</w:t>
      </w:r>
      <w:r>
        <w:rPr>
          <w:rFonts w:hint="eastAsia" w:ascii="仿宋_GB2312" w:hAnsi="仿宋_GB2312" w:eastAsia="仿宋_GB2312" w:cs="仿宋_GB2312"/>
          <w:sz w:val="32"/>
          <w:szCs w:val="32"/>
        </w:rPr>
        <w:t>07</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sz w:val="32"/>
          <w:szCs w:val="32"/>
        </w:rPr>
        <w:t>0.11</w:t>
      </w:r>
      <w:r>
        <w:rPr>
          <w:rFonts w:hint="eastAsia" w:ascii="仿宋_GB2312" w:hAnsi="仿宋_GB2312" w:eastAsia="仿宋_GB2312" w:cs="仿宋_GB2312"/>
          <w:sz w:val="32"/>
          <w:szCs w:val="32"/>
          <w:lang w:val="zh-CN"/>
        </w:rPr>
        <w:t>mg/L</w:t>
      </w:r>
      <w:r>
        <w:rPr>
          <w:rFonts w:hint="eastAsia" w:ascii="仿宋_GB2312" w:hAnsi="仿宋_GB2312" w:eastAsia="仿宋_GB2312" w:cs="仿宋_GB2312"/>
          <w:kern w:val="0"/>
          <w:sz w:val="32"/>
          <w:szCs w:val="32"/>
          <w:lang w:bidi="ar"/>
        </w:rPr>
        <w:t>。</w:t>
      </w:r>
      <w:bookmarkStart w:id="31" w:name="_Hlk91667698"/>
      <w:bookmarkStart w:id="32" w:name="_Toc112589781"/>
    </w:p>
    <w:p>
      <w:pPr>
        <w:pStyle w:val="4"/>
        <w:keepNext w:val="0"/>
        <w:keepLines w:val="0"/>
        <w:pageBreakBefore w:val="0"/>
        <w:numPr>
          <w:ilvl w:val="0"/>
          <w:numId w:val="0"/>
        </w:numPr>
        <w:kinsoku/>
        <w:wordWrap/>
        <w:overflowPunct/>
        <w:topLinePunct w:val="0"/>
        <w:autoSpaceDE/>
        <w:bidi w:val="0"/>
        <w:adjustRightInd/>
        <w:snapToGrid/>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2.农</w:t>
      </w:r>
      <w:bookmarkEnd w:id="31"/>
      <w:bookmarkStart w:id="33" w:name="_Toc112393516"/>
      <w:r>
        <w:rPr>
          <w:rFonts w:hint="eastAsia" w:ascii="仿宋_GB2312" w:hAnsi="仿宋_GB2312" w:eastAsia="仿宋_GB2312" w:cs="仿宋_GB2312"/>
          <w:sz w:val="32"/>
          <w:szCs w:val="32"/>
        </w:rPr>
        <w:t>业污染</w:t>
      </w:r>
      <w:bookmarkEnd w:id="32"/>
      <w:bookmarkEnd w:id="33"/>
      <w:r>
        <w:rPr>
          <w:rFonts w:hint="eastAsia" w:ascii="仿宋_GB2312" w:hAnsi="仿宋_GB2312" w:eastAsia="仿宋_GB2312" w:cs="仿宋_GB2312"/>
          <w:sz w:val="32"/>
          <w:szCs w:val="32"/>
        </w:rPr>
        <w:t>源</w:t>
      </w:r>
    </w:p>
    <w:p>
      <w:pPr>
        <w:keepNext w:val="0"/>
        <w:keepLines w:val="0"/>
        <w:pageBreakBefore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联圩镇水田约93870亩，旱地426亩，菜园18亩，大型养猪场2个，2家养鸭场，2家养鱼场。辖区内无涉水企业，排灌站共3个，部分生活污水未经收集由自然沟渠进入农田进行灌溉。</w:t>
      </w:r>
    </w:p>
    <w:p>
      <w:pPr>
        <w:keepNext w:val="0"/>
        <w:keepLines w:val="0"/>
        <w:pageBreakBefore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bookmarkStart w:id="34" w:name="_Toc112589783"/>
      <w:bookmarkStart w:id="35" w:name="_Toc112393518"/>
      <w:r>
        <w:rPr>
          <w:rFonts w:hint="eastAsia" w:ascii="仿宋_GB2312" w:hAnsi="仿宋_GB2312" w:eastAsia="仿宋_GB2312" w:cs="仿宋_GB2312"/>
          <w:sz w:val="32"/>
          <w:szCs w:val="32"/>
        </w:rPr>
        <w:t>恒湖垦殖场围垦面积60km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耕地面积约5.5万亩，年产稻谷4000万公斤，年产蔬菜20万公斤；精养鱼塘近1000亩，鲜鱼15万公斤；规模化猪场4家，其中2家停产，年出售生猪1000余头。恒湖垦殖场建有处理1000吨/日污水处理厂一座，排放标准执行《城镇污水处理厂污染排放标准》（GB-18918-2002)中一级A标准。</w:t>
      </w:r>
    </w:p>
    <w:p>
      <w:pPr>
        <w:keepNext w:val="0"/>
        <w:keepLines w:val="0"/>
        <w:pageBreakBefore w:val="0"/>
        <w:kinsoku/>
        <w:wordWrap/>
        <w:overflowPunct/>
        <w:topLinePunct w:val="0"/>
        <w:autoSpaceDE/>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朱港农场水田面积23996亩，全年粮食总产量约3000万斤，场内无水产养殖和畜禽养殖。场区现有排灌站4座，主要用途包括丰水季节进行排涝和干旱时期进行田间灌溉。</w:t>
      </w:r>
    </w:p>
    <w:p>
      <w:pPr>
        <w:keepNext w:val="0"/>
        <w:keepLines w:val="0"/>
        <w:pageBreakBefore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成新农场是江西省重要的大型商品粮生产基地，围垦土地3.8万亩，地区生产总值约2.22亿元，现有6座排灌站。</w:t>
      </w:r>
    </w:p>
    <w:p>
      <w:pPr>
        <w:keepNext w:val="0"/>
        <w:keepLines w:val="0"/>
        <w:pageBreakBefore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依据各区域种植面积、畜禽养殖和水产养殖数据，采用改进后的输出系数法对该区域的</w:t>
      </w:r>
      <w:r>
        <w:rPr>
          <w:rFonts w:hint="eastAsia" w:ascii="仿宋_GB2312" w:hAnsi="仿宋_GB2312" w:eastAsia="仿宋_GB2312" w:cs="仿宋_GB2312"/>
          <w:color w:val="000000"/>
          <w:kern w:val="0"/>
          <w:sz w:val="32"/>
          <w:szCs w:val="32"/>
        </w:rPr>
        <w:t>COD</w:t>
      </w:r>
      <w:r>
        <w:rPr>
          <w:rFonts w:hint="eastAsia" w:ascii="仿宋_GB2312" w:hAnsi="仿宋_GB2312" w:eastAsia="仿宋_GB2312" w:cs="仿宋_GB2312"/>
          <w:sz w:val="32"/>
          <w:szCs w:val="32"/>
        </w:rPr>
        <w:t>、氨氮、TN和TP排放量进行估算。</w:t>
      </w:r>
    </w:p>
    <w:p>
      <w:pPr>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表3.1.2-1 伍湖分场</w:t>
      </w:r>
      <w:r>
        <w:rPr>
          <w:rFonts w:hint="eastAsia" w:ascii="仿宋_GB2312" w:hAnsi="仿宋_GB2312" w:eastAsia="仿宋_GB2312" w:cs="仿宋_GB2312"/>
          <w:color w:val="000000"/>
          <w:kern w:val="0"/>
          <w:sz w:val="21"/>
        </w:rPr>
        <w:t>COD</w:t>
      </w:r>
      <w:r>
        <w:rPr>
          <w:rFonts w:hint="eastAsia" w:ascii="仿宋_GB2312" w:hAnsi="仿宋_GB2312" w:eastAsia="仿宋_GB2312" w:cs="仿宋_GB2312"/>
          <w:bCs/>
          <w:sz w:val="24"/>
          <w:szCs w:val="24"/>
        </w:rPr>
        <w:t>、氨氮、TN、TP排放量（kg/a）</w:t>
      </w:r>
    </w:p>
    <w:tbl>
      <w:tblPr>
        <w:tblStyle w:val="4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023"/>
        <w:gridCol w:w="1191"/>
        <w:gridCol w:w="1319"/>
        <w:gridCol w:w="1191"/>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区域</w:t>
            </w: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项目</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COD</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氨氮</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TN</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restart"/>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联圩镇</w:t>
            </w: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农业种植污染源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54081.40</w:t>
            </w:r>
          </w:p>
        </w:tc>
        <w:tc>
          <w:tcPr>
            <w:tcW w:w="1319" w:type="dxa"/>
            <w:noWrap/>
            <w:vAlign w:val="center"/>
          </w:tcPr>
          <w:p>
            <w:pPr>
              <w:widowControl/>
              <w:spacing w:line="240" w:lineRule="auto"/>
              <w:ind w:right="240"/>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5989.72</w:t>
            </w:r>
          </w:p>
        </w:tc>
        <w:tc>
          <w:tcPr>
            <w:tcW w:w="1191"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42168.73</w:t>
            </w:r>
          </w:p>
        </w:tc>
        <w:tc>
          <w:tcPr>
            <w:tcW w:w="1062"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5418.24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畜禽养殖污染源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4887.77</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156.19</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337.19</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76.94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水产养殖污染源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2678.68</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123.68</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389.27</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71.68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restart"/>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恒湖垦殖场</w:t>
            </w: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农业种植污染源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31422.11</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3483.33</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24500.67</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3153.33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畜禽养殖污染源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8430.00</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238.80</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833.90</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167.10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水产养殖污染源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3043.95</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140.55</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442.35</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81.45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restart"/>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朱港农场</w:t>
            </w: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农业种植污染源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13709.18</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1519.75</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10689.42</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1375.77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畜禽养殖污染源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水产养殖污染源</w:t>
            </w:r>
          </w:p>
        </w:tc>
        <w:tc>
          <w:tcPr>
            <w:tcW w:w="1191" w:type="dxa"/>
            <w:vAlign w:val="center"/>
          </w:tcPr>
          <w:p>
            <w:pPr>
              <w:widowControl/>
              <w:spacing w:line="240" w:lineRule="auto"/>
              <w:jc w:val="center"/>
              <w:rPr>
                <w:rFonts w:hint="eastAsia" w:ascii="仿宋_GB2312" w:hAnsi="仿宋_GB2312" w:eastAsia="仿宋_GB2312" w:cs="仿宋_GB2312"/>
                <w:strike/>
                <w:color w:val="000000"/>
                <w:kern w:val="0"/>
                <w:sz w:val="21"/>
              </w:rPr>
            </w:pPr>
            <w:r>
              <w:rPr>
                <w:rFonts w:hint="eastAsia" w:ascii="仿宋_GB2312" w:hAnsi="仿宋_GB2312" w:eastAsia="仿宋_GB2312" w:cs="仿宋_GB2312"/>
                <w:color w:val="000000"/>
                <w:kern w:val="0"/>
                <w:sz w:val="21"/>
              </w:rPr>
              <w:t>0.00</w:t>
            </w:r>
          </w:p>
        </w:tc>
        <w:tc>
          <w:tcPr>
            <w:tcW w:w="1319" w:type="dxa"/>
            <w:vAlign w:val="center"/>
          </w:tcPr>
          <w:p>
            <w:pPr>
              <w:widowControl/>
              <w:spacing w:line="240" w:lineRule="auto"/>
              <w:jc w:val="center"/>
              <w:rPr>
                <w:rFonts w:hint="eastAsia" w:ascii="仿宋_GB2312" w:hAnsi="仿宋_GB2312" w:eastAsia="仿宋_GB2312" w:cs="仿宋_GB2312"/>
                <w:strike/>
                <w:color w:val="000000"/>
                <w:kern w:val="0"/>
                <w:sz w:val="21"/>
              </w:rPr>
            </w:pPr>
            <w:r>
              <w:rPr>
                <w:rFonts w:hint="eastAsia" w:ascii="仿宋_GB2312" w:hAnsi="仿宋_GB2312" w:eastAsia="仿宋_GB2312" w:cs="仿宋_GB2312"/>
                <w:color w:val="000000"/>
                <w:kern w:val="0"/>
                <w:sz w:val="21"/>
              </w:rPr>
              <w:t>0.00</w:t>
            </w:r>
          </w:p>
        </w:tc>
        <w:tc>
          <w:tcPr>
            <w:tcW w:w="1191" w:type="dxa"/>
            <w:vAlign w:val="center"/>
          </w:tcPr>
          <w:p>
            <w:pPr>
              <w:widowControl/>
              <w:spacing w:line="240" w:lineRule="auto"/>
              <w:jc w:val="center"/>
              <w:rPr>
                <w:rFonts w:hint="eastAsia" w:ascii="仿宋_GB2312" w:hAnsi="仿宋_GB2312" w:eastAsia="仿宋_GB2312" w:cs="仿宋_GB2312"/>
                <w:strike/>
                <w:color w:val="000000"/>
                <w:kern w:val="0"/>
                <w:sz w:val="21"/>
              </w:rPr>
            </w:pPr>
            <w:r>
              <w:rPr>
                <w:rFonts w:hint="eastAsia" w:ascii="仿宋_GB2312" w:hAnsi="仿宋_GB2312" w:eastAsia="仿宋_GB2312" w:cs="仿宋_GB2312"/>
                <w:color w:val="000000"/>
                <w:kern w:val="0"/>
                <w:sz w:val="21"/>
              </w:rPr>
              <w:t>0.00</w:t>
            </w:r>
          </w:p>
        </w:tc>
        <w:tc>
          <w:tcPr>
            <w:tcW w:w="1062" w:type="dxa"/>
            <w:vAlign w:val="center"/>
          </w:tcPr>
          <w:p>
            <w:pPr>
              <w:widowControl/>
              <w:spacing w:line="240" w:lineRule="auto"/>
              <w:jc w:val="center"/>
              <w:rPr>
                <w:rFonts w:hint="eastAsia" w:ascii="仿宋_GB2312" w:hAnsi="仿宋_GB2312" w:eastAsia="仿宋_GB2312" w:cs="仿宋_GB2312"/>
                <w:strike/>
                <w:color w:val="000000"/>
                <w:kern w:val="0"/>
                <w:sz w:val="21"/>
              </w:rPr>
            </w:pPr>
            <w:r>
              <w:rPr>
                <w:rFonts w:hint="eastAsia" w:ascii="仿宋_GB2312" w:hAnsi="仿宋_GB2312" w:eastAsia="仿宋_GB2312" w:cs="仿宋_GB2312"/>
                <w:color w:val="000000"/>
                <w:kern w:val="0"/>
                <w:sz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restart"/>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成新农场</w:t>
            </w: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农业种植污染源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20567.20</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2280.00</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16036.80</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2064.00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畜禽养殖污染源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10"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2023" w:type="dxa"/>
            <w:vAlign w:val="center"/>
          </w:tcPr>
          <w:p>
            <w:pPr>
              <w:widowControl/>
              <w:spacing w:line="240" w:lineRule="auto"/>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水产养殖污染源</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319"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19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c>
          <w:tcPr>
            <w:tcW w:w="106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0.00</w:t>
            </w:r>
          </w:p>
        </w:tc>
      </w:tr>
    </w:tbl>
    <w:p>
      <w:pPr>
        <w:pStyle w:val="4"/>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36" w:name="_Toc112589782"/>
      <w:bookmarkStart w:id="37" w:name="_Toc112393517"/>
      <w:r>
        <w:rPr>
          <w:rFonts w:hint="eastAsia" w:ascii="仿宋_GB2312" w:hAnsi="仿宋_GB2312" w:eastAsia="仿宋_GB2312" w:cs="仿宋_GB2312"/>
          <w:sz w:val="32"/>
          <w:szCs w:val="32"/>
        </w:rPr>
        <w:t>3.生活污染</w:t>
      </w:r>
      <w:bookmarkEnd w:id="36"/>
      <w:bookmarkEnd w:id="37"/>
      <w:r>
        <w:rPr>
          <w:rFonts w:hint="eastAsia" w:ascii="仿宋_GB2312" w:hAnsi="仿宋_GB2312" w:eastAsia="仿宋_GB2312" w:cs="仿宋_GB2312"/>
          <w:sz w:val="32"/>
          <w:szCs w:val="32"/>
        </w:rPr>
        <w:t>源</w:t>
      </w:r>
    </w:p>
    <w:p>
      <w:pPr>
        <w:pStyle w:val="262"/>
        <w:keepNext w:val="0"/>
        <w:keepLines w:val="0"/>
        <w:pageBreakBefore w:val="0"/>
        <w:widowControl w:val="0"/>
        <w:kinsoku/>
        <w:wordWrap/>
        <w:overflowPunct/>
        <w:topLinePunct w:val="0"/>
        <w:autoSpaceDE/>
        <w:bidi w:val="0"/>
        <w:adjustRightInd/>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联圩镇常住人口16360人，污水处理设施服务人口1780人；恒湖垦殖场全场常住人口约5000人，建有一座1000 吨/d的污水处理厂；朱港农场常住人口1332人；成新农场现有人口约2.9万人。依据所提供的常住人口数，采用改进后的输出系数法对该区域的</w:t>
      </w:r>
      <w:r>
        <w:rPr>
          <w:rFonts w:hint="eastAsia" w:ascii="仿宋_GB2312" w:hAnsi="仿宋_GB2312" w:eastAsia="仿宋_GB2312" w:cs="仿宋_GB2312"/>
          <w:color w:val="000000"/>
          <w:kern w:val="0"/>
          <w:sz w:val="32"/>
          <w:szCs w:val="32"/>
        </w:rPr>
        <w:t>COD</w:t>
      </w:r>
      <w:r>
        <w:rPr>
          <w:rFonts w:hint="eastAsia" w:ascii="仿宋_GB2312" w:hAnsi="仿宋_GB2312" w:eastAsia="仿宋_GB2312" w:cs="仿宋_GB2312"/>
          <w:sz w:val="32"/>
          <w:szCs w:val="32"/>
        </w:rPr>
        <w:t>、氨氮、TN和TP排放量进行估算。</w:t>
      </w:r>
    </w:p>
    <w:p>
      <w:pPr>
        <w:jc w:val="center"/>
        <w:rPr>
          <w:rFonts w:hint="eastAsia" w:ascii="仿宋_GB2312" w:hAnsi="仿宋_GB2312" w:eastAsia="仿宋_GB2312" w:cs="仿宋_GB2312"/>
          <w:sz w:val="24"/>
          <w:szCs w:val="24"/>
          <w:lang w:bidi="zh-TW"/>
        </w:rPr>
      </w:pPr>
      <w:r>
        <w:rPr>
          <w:rFonts w:hint="eastAsia" w:ascii="仿宋_GB2312" w:hAnsi="仿宋_GB2312" w:eastAsia="仿宋_GB2312" w:cs="仿宋_GB2312"/>
          <w:sz w:val="24"/>
          <w:szCs w:val="24"/>
          <w:lang w:bidi="zh-TW"/>
        </w:rPr>
        <w:t xml:space="preserve">表3.1.3-1 </w:t>
      </w:r>
      <w:r>
        <w:rPr>
          <w:rFonts w:hint="eastAsia" w:ascii="仿宋_GB2312" w:hAnsi="仿宋_GB2312" w:eastAsia="仿宋_GB2312" w:cs="仿宋_GB2312"/>
          <w:bCs/>
          <w:sz w:val="24"/>
          <w:szCs w:val="24"/>
        </w:rPr>
        <w:t>伍湖分场生活污染源</w:t>
      </w:r>
      <w:r>
        <w:rPr>
          <w:rFonts w:hint="eastAsia" w:ascii="仿宋_GB2312" w:hAnsi="仿宋_GB2312" w:eastAsia="仿宋_GB2312" w:cs="仿宋_GB2312"/>
          <w:color w:val="000000"/>
          <w:kern w:val="0"/>
          <w:sz w:val="21"/>
        </w:rPr>
        <w:t>COD</w:t>
      </w:r>
      <w:r>
        <w:rPr>
          <w:rFonts w:hint="eastAsia" w:ascii="仿宋_GB2312" w:hAnsi="仿宋_GB2312" w:eastAsia="仿宋_GB2312" w:cs="仿宋_GB2312"/>
          <w:bCs/>
          <w:sz w:val="24"/>
          <w:szCs w:val="24"/>
        </w:rPr>
        <w:t>、氨氮、TN、TP排放量（kg/a）</w:t>
      </w:r>
    </w:p>
    <w:tbl>
      <w:tblPr>
        <w:tblStyle w:val="41"/>
        <w:tblW w:w="8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2020"/>
        <w:gridCol w:w="1317"/>
        <w:gridCol w:w="1190"/>
        <w:gridCol w:w="1190"/>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8"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区域</w:t>
            </w:r>
          </w:p>
        </w:tc>
        <w:tc>
          <w:tcPr>
            <w:tcW w:w="202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项目</w:t>
            </w:r>
          </w:p>
        </w:tc>
        <w:tc>
          <w:tcPr>
            <w:tcW w:w="1317"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COD</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氨氮</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TN</w:t>
            </w:r>
          </w:p>
        </w:tc>
        <w:tc>
          <w:tcPr>
            <w:tcW w:w="1061"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8"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联圩镇</w:t>
            </w:r>
          </w:p>
        </w:tc>
        <w:tc>
          <w:tcPr>
            <w:tcW w:w="202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农村生活污染源</w:t>
            </w:r>
          </w:p>
        </w:tc>
        <w:tc>
          <w:tcPr>
            <w:tcW w:w="1317"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162667.73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11085.31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17357.97 </w:t>
            </w:r>
          </w:p>
        </w:tc>
        <w:tc>
          <w:tcPr>
            <w:tcW w:w="1061"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1358.29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8"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恒湖垦殖场</w:t>
            </w:r>
          </w:p>
        </w:tc>
        <w:tc>
          <w:tcPr>
            <w:tcW w:w="202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农村生活污染源</w:t>
            </w:r>
          </w:p>
        </w:tc>
        <w:tc>
          <w:tcPr>
            <w:tcW w:w="1317"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19236.96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1689.77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3015.63 </w:t>
            </w:r>
          </w:p>
        </w:tc>
        <w:tc>
          <w:tcPr>
            <w:tcW w:w="1061"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227.76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8"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朱港农场</w:t>
            </w:r>
          </w:p>
        </w:tc>
        <w:tc>
          <w:tcPr>
            <w:tcW w:w="202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农村生活污染源</w:t>
            </w:r>
          </w:p>
        </w:tc>
        <w:tc>
          <w:tcPr>
            <w:tcW w:w="1317"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14235.35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957.77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1487.71 </w:t>
            </w:r>
          </w:p>
        </w:tc>
        <w:tc>
          <w:tcPr>
            <w:tcW w:w="1061"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116.68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8"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成新农场</w:t>
            </w:r>
          </w:p>
        </w:tc>
        <w:tc>
          <w:tcPr>
            <w:tcW w:w="202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农村生活污染源</w:t>
            </w:r>
          </w:p>
        </w:tc>
        <w:tc>
          <w:tcPr>
            <w:tcW w:w="1317"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309928.80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20852.45 </w:t>
            </w:r>
          </w:p>
        </w:tc>
        <w:tc>
          <w:tcPr>
            <w:tcW w:w="1190"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32390.10 </w:t>
            </w:r>
          </w:p>
        </w:tc>
        <w:tc>
          <w:tcPr>
            <w:tcW w:w="1061"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 xml:space="preserve">2540.40 </w:t>
            </w:r>
          </w:p>
        </w:tc>
      </w:tr>
    </w:tbl>
    <w:p>
      <w:pPr>
        <w:pStyle w:val="4"/>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4.工业源</w:t>
      </w:r>
      <w:bookmarkEnd w:id="34"/>
      <w:bookmarkEnd w:id="35"/>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控制范围包括联圩镇、朱港农场、成新农场和恒湖垦殖场，工业源共有26处，其中联圩镇有8处，朱港农场有3处，成新农场有4处，恒湖垦殖场有11处，企业规模以小型和微型为主，均建有污水处理设施，对伍湖分场断面水体污染较小。</w:t>
      </w:r>
    </w:p>
    <w:p>
      <w:pPr>
        <w:pStyle w:val="4"/>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38" w:name="_Toc112589784"/>
      <w:bookmarkStart w:id="39" w:name="_Toc112393519"/>
      <w:r>
        <w:rPr>
          <w:rFonts w:hint="eastAsia" w:ascii="仿宋_GB2312" w:hAnsi="仿宋_GB2312" w:eastAsia="仿宋_GB2312" w:cs="仿宋_GB2312"/>
          <w:sz w:val="32"/>
          <w:szCs w:val="32"/>
        </w:rPr>
        <w:t>5.其它污染</w:t>
      </w:r>
      <w:bookmarkEnd w:id="38"/>
      <w:bookmarkEnd w:id="39"/>
    </w:p>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底泥污染</w:t>
      </w:r>
    </w:p>
    <w:p>
      <w:pPr>
        <w:keepNext w:val="0"/>
        <w:keepLines w:val="0"/>
        <w:pageBreakBefore w:val="0"/>
        <w:widowControl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2021年10月（退水期）和2022年7月（洪水期）中国科学院生态环境研究中心对伍湖分场断面开展了沉积物柱状样采集，并进行各分层泥样的粒径、含水率、有机质、TN和TP等指标测定分析。</w:t>
      </w:r>
      <w:r>
        <w:rPr>
          <w:rFonts w:hint="eastAsia" w:ascii="仿宋_GB2312" w:hAnsi="仿宋_GB2312" w:eastAsia="仿宋_GB2312" w:cs="仿宋_GB2312"/>
          <w:sz w:val="32"/>
          <w:szCs w:val="32"/>
        </w:rPr>
        <w:t>伍湖分场断面0-3cm表层沉积物Dx(50)平均粒径为9.6μm，4-5cm表层沉积物Dx(50)平均粒径大小为119.6μm，粒径大，以沙为主；底泥含水率差异较小；0-5cm表层沉积物的TP含量从下游（265mg/kg）向断面逐渐上升（482mg/kg），沿程汇水过程中P含量不断累积。</w:t>
      </w:r>
    </w:p>
    <w:p>
      <w:pPr>
        <w:adjustRightInd w:val="0"/>
        <w:snapToGrid w:val="0"/>
        <w:spacing w:line="24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szCs w:val="20"/>
          <w:lang w:val="zh-CN"/>
        </w:rPr>
        <w:t>表3.1.5-1 伍湖分场内源污染物贡献量估算（t/a）</w:t>
      </w:r>
      <w:r>
        <w:rPr>
          <w:rFonts w:hint="eastAsia" w:ascii="仿宋_GB2312" w:hAnsi="仿宋_GB2312" w:eastAsia="仿宋_GB2312" w:cs="仿宋_GB2312"/>
          <w:sz w:val="24"/>
        </w:rPr>
        <w:t>（2022年7月）</w:t>
      </w:r>
    </w:p>
    <w:tbl>
      <w:tblPr>
        <w:tblStyle w:val="41"/>
        <w:tblW w:w="8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556"/>
        <w:gridCol w:w="1556"/>
        <w:gridCol w:w="1275"/>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项目</w:t>
            </w:r>
          </w:p>
        </w:tc>
        <w:tc>
          <w:tcPr>
            <w:tcW w:w="1556"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color w:val="000000"/>
                <w:kern w:val="0"/>
                <w:sz w:val="21"/>
              </w:rPr>
              <w:t>COD</w:t>
            </w:r>
          </w:p>
        </w:tc>
        <w:tc>
          <w:tcPr>
            <w:tcW w:w="1556"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氨氮</w:t>
            </w:r>
          </w:p>
        </w:tc>
        <w:tc>
          <w:tcPr>
            <w:tcW w:w="1275"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总氮</w:t>
            </w:r>
          </w:p>
        </w:tc>
        <w:tc>
          <w:tcPr>
            <w:tcW w:w="1274"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内源污染</w:t>
            </w:r>
          </w:p>
        </w:tc>
        <w:tc>
          <w:tcPr>
            <w:tcW w:w="1556"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p>
        </w:tc>
        <w:tc>
          <w:tcPr>
            <w:tcW w:w="1556" w:type="dxa"/>
            <w:vAlign w:val="center"/>
          </w:tcPr>
          <w:p>
            <w:pPr>
              <w:spacing w:before="76" w:beforeLines="20" w:after="76" w:afterLines="20"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188.32</w:t>
            </w:r>
          </w:p>
        </w:tc>
        <w:tc>
          <w:tcPr>
            <w:tcW w:w="1275" w:type="dxa"/>
            <w:vAlign w:val="center"/>
          </w:tcPr>
          <w:p>
            <w:pPr>
              <w:spacing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578.99</w:t>
            </w:r>
          </w:p>
        </w:tc>
        <w:tc>
          <w:tcPr>
            <w:tcW w:w="1274" w:type="dxa"/>
            <w:vAlign w:val="center"/>
          </w:tcPr>
          <w:p>
            <w:pPr>
              <w:spacing w:line="240" w:lineRule="auto"/>
              <w:jc w:val="center"/>
              <w:rPr>
                <w:rFonts w:hint="eastAsia" w:ascii="仿宋_GB2312" w:hAnsi="仿宋_GB2312" w:eastAsia="仿宋_GB2312" w:cs="仿宋_GB2312"/>
                <w:sz w:val="21"/>
                <w:lang w:val="zh-CN"/>
              </w:rPr>
            </w:pPr>
            <w:r>
              <w:rPr>
                <w:rFonts w:hint="eastAsia" w:ascii="仿宋_GB2312" w:hAnsi="仿宋_GB2312" w:eastAsia="仿宋_GB2312" w:cs="仿宋_GB2312"/>
                <w:sz w:val="21"/>
                <w:lang w:val="zh-CN"/>
              </w:rPr>
              <w:t>4.49</w:t>
            </w:r>
          </w:p>
        </w:tc>
      </w:tr>
    </w:tbl>
    <w:p>
      <w:pPr>
        <w:pStyle w:val="5"/>
        <w:keepNext w:val="0"/>
        <w:keepLines w:val="0"/>
        <w:pageBreakBefore w:val="0"/>
        <w:widowControl w:val="0"/>
        <w:numPr>
          <w:ilvl w:val="0"/>
          <w:numId w:val="0"/>
        </w:numPr>
        <w:kinsoku/>
        <w:wordWrap/>
        <w:overflowPunct/>
        <w:topLinePunct w:val="0"/>
        <w:autoSpaceDE/>
        <w:autoSpaceDN/>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候鸟粪便</w:t>
      </w:r>
    </w:p>
    <w:p>
      <w:pPr>
        <w:pStyle w:val="262"/>
        <w:keepNext w:val="0"/>
        <w:keepLines w:val="0"/>
        <w:pageBreakBefore w:val="0"/>
        <w:widowControl w:val="0"/>
        <w:kinsoku/>
        <w:wordWrap/>
        <w:overflowPunct/>
        <w:topLinePunct w:val="0"/>
        <w:autoSpaceDE/>
        <w:autoSpaceDN/>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鄱阳湖是鸟类迁徙路线上重要的湿地之一，为鸟类提供了理想的栖息场所。鄱阳湖南矶湿地国家级自然保护区的面积333km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，每月栖息的鸟类观测数量以平均21万只计算，伍湖分场断面在鄱阳湖的水域面积142.4km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，伍湖分场水域鸟类估算每月59608只，以5.96万只/月估算由鸟类排泄带来的污染物TN约2.73t/a，TP为0.87t/a。</w:t>
      </w:r>
    </w:p>
    <w:p>
      <w:pPr>
        <w:pStyle w:val="5"/>
        <w:keepNext w:val="0"/>
        <w:keepLines w:val="0"/>
        <w:pageBreakBefore w:val="0"/>
        <w:widowControl w:val="0"/>
        <w:numPr>
          <w:ilvl w:val="0"/>
          <w:numId w:val="0"/>
        </w:numPr>
        <w:kinsoku/>
        <w:wordWrap/>
        <w:overflowPunct/>
        <w:topLinePunct w:val="0"/>
        <w:autoSpaceDE/>
        <w:autoSpaceDN/>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干湿沉降</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由于干湿沉降的污染物已经计算在面源污染产生量中，此处仅计算干湿沉降直接落入水体的污染负荷量。伍湖分场断面汇水区域水域在低水位时约55.22km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，因此可以计算得出干湿沉降的通量。</w:t>
      </w:r>
    </w:p>
    <w:p>
      <w:pPr>
        <w:ind w:firstLine="480" w:firstLineChars="200"/>
        <w:jc w:val="center"/>
        <w:rPr>
          <w:rFonts w:hint="eastAsia" w:ascii="仿宋_GB2312" w:hAnsi="仿宋_GB2312" w:eastAsia="仿宋_GB2312" w:cs="仿宋_GB2312"/>
          <w:sz w:val="24"/>
          <w:szCs w:val="24"/>
        </w:rPr>
      </w:pPr>
      <w:bookmarkStart w:id="40" w:name="_Toc112589785"/>
    </w:p>
    <w:p>
      <w:pPr>
        <w:ind w:firstLine="480" w:firstLineChars="200"/>
        <w:jc w:val="center"/>
        <w:rPr>
          <w:rFonts w:hint="eastAsia" w:ascii="仿宋_GB2312" w:hAnsi="仿宋_GB2312" w:eastAsia="仿宋_GB2312" w:cs="仿宋_GB2312"/>
          <w:sz w:val="24"/>
          <w:szCs w:val="24"/>
        </w:rPr>
      </w:pPr>
    </w:p>
    <w:p>
      <w:pPr>
        <w:ind w:firstLine="480" w:firstLineChars="200"/>
        <w:jc w:val="center"/>
        <w:rPr>
          <w:rFonts w:hint="eastAsia" w:ascii="仿宋_GB2312" w:hAnsi="仿宋_GB2312" w:eastAsia="仿宋_GB2312" w:cs="仿宋_GB2312"/>
          <w:sz w:val="24"/>
          <w:szCs w:val="24"/>
        </w:rPr>
      </w:pPr>
    </w:p>
    <w:p>
      <w:pPr>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表3.1.5-2 伍湖分场大气沉降输入污染负荷（t/a）</w:t>
      </w:r>
    </w:p>
    <w:tbl>
      <w:tblPr>
        <w:tblStyle w:val="4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sz w:val="21"/>
              </w:rPr>
              <w:t>项目</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COD</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sz w:val="21"/>
              </w:rPr>
              <w:t>TN</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sz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sz w:val="21"/>
              </w:rPr>
              <w:t>干沉降量</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102.43</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168.42</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sz w:val="21"/>
              </w:rPr>
              <w:t>湿沉降量</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62.02</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235.89</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sz w:val="21"/>
              </w:rPr>
              <w:t>合计</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164.45</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404.31</w:t>
            </w:r>
          </w:p>
        </w:tc>
        <w:tc>
          <w:tcPr>
            <w:tcW w:w="2074" w:type="dxa"/>
            <w:vAlign w:val="center"/>
          </w:tcPr>
          <w:p>
            <w:pPr>
              <w:snapToGrid w:val="0"/>
              <w:spacing w:line="240" w:lineRule="auto"/>
              <w:jc w:val="center"/>
              <w:rPr>
                <w:rFonts w:hint="eastAsia" w:ascii="仿宋_GB2312" w:hAnsi="仿宋_GB2312" w:eastAsia="仿宋_GB2312" w:cs="仿宋_GB2312"/>
                <w:sz w:val="21"/>
              </w:rPr>
            </w:pPr>
            <w:r>
              <w:rPr>
                <w:rFonts w:hint="eastAsia" w:ascii="仿宋_GB2312" w:hAnsi="仿宋_GB2312" w:eastAsia="仿宋_GB2312" w:cs="仿宋_GB2312"/>
                <w:color w:val="000000"/>
                <w:kern w:val="0"/>
                <w:sz w:val="21"/>
              </w:rPr>
              <w:t>3.36</w:t>
            </w:r>
          </w:p>
        </w:tc>
      </w:tr>
    </w:tbl>
    <w:p>
      <w:pPr>
        <w:pStyle w:val="5"/>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采砂污染源</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伍湖分场断面汇水区域无采砂活动，故无该类污染。</w:t>
      </w:r>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（二）水生态环境调查</w:t>
      </w:r>
      <w:bookmarkEnd w:id="40"/>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据对鄱阳湖赣江中支断面附近水域调查，丰水期，浮游植物检测到硅藻门、蓝藻门、绿藻门、黄藻门、裸藻门、隐藻门、金藻门和甲藻门8个门类，以硅藻门和绿藻门为主；浮游动物四大类群75种，以原生动物物种为主。枯水期，浮游植物检测到6个门类，分别为硅藻门、蓝藻门、绿藻门、黄藻门、裸藻门和隐藻门，以硅藻门和绿藻门为主；枯水期，浮游动物监测到53种，以原生动物物种为主。</w:t>
      </w:r>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41" w:name="_Toc112589786"/>
      <w:r>
        <w:rPr>
          <w:rFonts w:hint="eastAsia" w:ascii="楷体_GB2312" w:hAnsi="楷体_GB2312" w:eastAsia="楷体_GB2312" w:cs="楷体_GB2312"/>
          <w:sz w:val="32"/>
          <w:szCs w:val="32"/>
        </w:rPr>
        <w:t>（三）加密监测与溯源分析</w:t>
      </w:r>
      <w:bookmarkEnd w:id="41"/>
    </w:p>
    <w:p>
      <w:pPr>
        <w:pStyle w:val="4"/>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42" w:name="_Toc112589787"/>
      <w:r>
        <w:rPr>
          <w:rFonts w:hint="eastAsia" w:ascii="仿宋_GB2312" w:hAnsi="仿宋_GB2312" w:eastAsia="仿宋_GB2312" w:cs="仿宋_GB2312"/>
          <w:sz w:val="32"/>
          <w:szCs w:val="32"/>
        </w:rPr>
        <w:t>1.加密监测</w:t>
      </w:r>
      <w:bookmarkEnd w:id="42"/>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10月以来，中国科学院生态环境研究中心在伍湖分场断面沿程朱港农场排灌站排口（1#），成新农场排灌站排口（2#和4#）、汇入支流（3#、5#、6#和10#）、碟形湖（7#、8#、9#和11#）和断面（12#）布设共计12个点位，于退水期（2021年10月）、枯水期（2021年12月-2022年2月）、涨水期（2022年5月）和洪水期（2022年8月）进行加密监测。</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从监测数据可以看出，伍湖分场断面洪水期浊度最高为58.2NTU，其次为枯水期和退水期；支流汇入水体浊度变化趋势与断面一致；碟形湖涨水期浊度最大为106.7NTU；朱港农场排灌站涨水期最大监测值为68.0NTU。</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目标水质评价，涨水期伍湖分场断面和汇入支流COD监测值达地表水Ⅲ类标准；伍湖分场断面洪水期超标倍数最大（0.99倍），其次为枯水期；支流汇入水体退水期超标倍数最大（1.0倍），其次为涨水期；成新农场排灌站洪水期超标倍数4.97倍；朱港农场排灌站涨水期超标倍数1.14倍。</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目标水质评价，伍湖分场断面枯水期平均TP浓度最高，其超标倍数为6.5倍（0.075mg/L）和10.3倍（0.05mg/L），其次为退水期；汇入支流退水期平均TP浓度最高，其超标倍数为6.7倍（0.075mg/L）和10.5倍（0.05mg/L），其次为洪水期；碟形湖涨水期超标0.72倍（0.075mg/L）和1.58倍（0.05mg/L）；成新农场排灌站洪水期超标倍数4.03倍（0.075mg/L）和6.55倍（0.05 mg/L）；朱港农场排灌站洪水期超标倍数0.39倍（0.07 mg/L）和1.09倍（0.05mg/L）。</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密监测点位DTP/TP比值平均值为29.26%，伍湖分场断面及其汇水范围内水体TP以悬浮颗粒态总磷为主。对加密监测水质进行相关分析，发现浊度与COD呈显著正相关，溶解氧（DO）与TP和DTP呈显著负相关，电导率（ORP）与DTP呈显著负相关。</w:t>
      </w:r>
    </w:p>
    <w:p>
      <w:pPr>
        <w:pStyle w:val="4"/>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43" w:name="_Toc112589788"/>
      <w:r>
        <w:rPr>
          <w:rFonts w:hint="eastAsia" w:ascii="仿宋_GB2312" w:hAnsi="仿宋_GB2312" w:eastAsia="仿宋_GB2312" w:cs="仿宋_GB2312"/>
          <w:sz w:val="32"/>
          <w:szCs w:val="32"/>
        </w:rPr>
        <w:t>2.溯源分析</w:t>
      </w:r>
      <w:bookmarkEnd w:id="43"/>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bookmarkStart w:id="44" w:name="_Toc90358242"/>
      <w:r>
        <w:rPr>
          <w:rFonts w:hint="eastAsia" w:ascii="仿宋_GB2312" w:hAnsi="仿宋_GB2312" w:eastAsia="仿宋_GB2312" w:cs="仿宋_GB2312"/>
          <w:sz w:val="32"/>
          <w:szCs w:val="32"/>
        </w:rPr>
        <w:t>通过“2018-2021年伍湖分场断面水质变化情况”和“2021年加密监测”分析，发现伍湖分场断面总体浊度低，但枯水期浊度升高，TP超标。综合现场底泥污染调查、湖底地貌扫描和计算流体力学的研究，伍湖分场断面所在水底地形较周边浅，底泥上覆水的氧化还原电位和DO浓度较高，DO与TP和DTP呈显著负相关，电导率（ORP）与DTP呈显著负相关，测定上覆水TP浓度小于表层水。</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流域“源-汇”理论，通过外洲水文站2018-2021年流速、含沙量和输沙量分析，断面区域水体悬浮颗粒物汇集沉积从涨水期开始，持续至枯水期，且涨水期贡献最大。退水期和枯水期的DOM指纹图谱分析发现，随着退水至枯水期DOM来源特征由外源性陆源输入过渡到以自生源为主。上述结果表明，大量污染物由外源（支流和碟形湖）自涨水期、洪水期、退水期汇入，枯水期聚集沉淀。</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现场调查，造成枯水期伍湖分场总磷超标的原因包括水底地貌、水位、底泥特性、风力、流速、水生动物等。在水位快速降低或低水位条件下，高退水流速（水位急剧下降）或高风速易引起表层底泥悬浮；2020年1月鄱阳湖禁捕以来，伍湖断面区域湖中鱼类数量明显增多，尤其是枯水期水位降低，鱼类等水生动物扰动底泥，影响枯水期断面水质。</w:t>
      </w:r>
    </w:p>
    <w:bookmarkEnd w:id="44"/>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45" w:name="_Toc112589789"/>
      <w:r>
        <w:rPr>
          <w:rFonts w:hint="eastAsia" w:ascii="楷体_GB2312" w:hAnsi="楷体_GB2312" w:eastAsia="楷体_GB2312" w:cs="楷体_GB2312"/>
          <w:sz w:val="32"/>
          <w:szCs w:val="32"/>
        </w:rPr>
        <w:t>（四）入河污染量分析和断面控制单元设置</w:t>
      </w:r>
      <w:bookmarkEnd w:id="45"/>
    </w:p>
    <w:p>
      <w:pPr>
        <w:pStyle w:val="4"/>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46" w:name="_Toc112589790"/>
      <w:r>
        <w:rPr>
          <w:rFonts w:hint="eastAsia" w:ascii="仿宋_GB2312" w:hAnsi="仿宋_GB2312" w:eastAsia="仿宋_GB2312" w:cs="仿宋_GB2312"/>
          <w:sz w:val="32"/>
          <w:szCs w:val="32"/>
        </w:rPr>
        <w:t>1.污染物入湖量分析</w:t>
      </w:r>
      <w:bookmarkEnd w:id="46"/>
    </w:p>
    <w:p>
      <w:pPr>
        <w:keepNext w:val="0"/>
        <w:keepLines w:val="0"/>
        <w:pageBreakBefore w:val="0"/>
        <w:widowControl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lang w:val="zh-CN"/>
        </w:rPr>
      </w:pPr>
      <w:bookmarkStart w:id="47" w:name="_Toc112589791"/>
      <w:r>
        <w:rPr>
          <w:rFonts w:hint="eastAsia" w:ascii="仿宋_GB2312" w:hAnsi="仿宋_GB2312" w:eastAsia="仿宋_GB2312" w:cs="仿宋_GB2312"/>
          <w:sz w:val="32"/>
          <w:szCs w:val="32"/>
          <w:lang w:val="zh-CN"/>
        </w:rPr>
        <w:t>从伍湖分场断面汇水区域污染类别分析，</w:t>
      </w:r>
      <w:r>
        <w:rPr>
          <w:rFonts w:hint="eastAsia" w:ascii="仿宋_GB2312" w:hAnsi="仿宋_GB2312" w:eastAsia="仿宋_GB2312" w:cs="仿宋_GB2312"/>
          <w:color w:val="000000"/>
          <w:kern w:val="0"/>
          <w:sz w:val="32"/>
          <w:szCs w:val="32"/>
        </w:rPr>
        <w:t>COD</w:t>
      </w:r>
      <w:r>
        <w:rPr>
          <w:rFonts w:hint="eastAsia" w:ascii="仿宋_GB2312" w:hAnsi="仿宋_GB2312" w:eastAsia="仿宋_GB2312" w:cs="仿宋_GB2312"/>
          <w:sz w:val="32"/>
          <w:szCs w:val="32"/>
          <w:lang w:val="zh-CN"/>
        </w:rPr>
        <w:t>主要来自生活源，占比62.52%；氨氮主要来自于内源释放，占比79.52%，TN主要来自内源释放，占比50.98%；TP主要来自农业面源，尤其是农业种植源，占比47.34%；</w:t>
      </w:r>
      <w:r>
        <w:rPr>
          <w:rFonts w:hint="eastAsia" w:ascii="仿宋_GB2312" w:hAnsi="仿宋_GB2312" w:eastAsia="仿宋_GB2312" w:cs="仿宋_GB2312"/>
          <w:sz w:val="32"/>
          <w:szCs w:val="32"/>
        </w:rPr>
        <w:t>断面汇水区域的各类污染物入河（湖）量和贡献量见下表。</w:t>
      </w:r>
    </w:p>
    <w:p>
      <w:pPr>
        <w:ind w:firstLine="480" w:firstLineChars="200"/>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表</w:t>
      </w:r>
      <w:r>
        <w:rPr>
          <w:rFonts w:hint="eastAsia" w:ascii="仿宋_GB2312" w:hAnsi="仿宋_GB2312" w:eastAsia="仿宋_GB2312" w:cs="仿宋_GB2312"/>
          <w:sz w:val="24"/>
          <w:szCs w:val="24"/>
        </w:rPr>
        <w:t xml:space="preserve">3.4.1-1 </w:t>
      </w:r>
      <w:r>
        <w:rPr>
          <w:rFonts w:hint="eastAsia" w:ascii="仿宋_GB2312" w:hAnsi="仿宋_GB2312" w:eastAsia="仿宋_GB2312" w:cs="仿宋_GB2312"/>
          <w:sz w:val="24"/>
          <w:szCs w:val="20"/>
        </w:rPr>
        <w:t>伍湖分场断面汇水区域污染物量（t/a）</w:t>
      </w:r>
    </w:p>
    <w:tbl>
      <w:tblPr>
        <w:tblStyle w:val="4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717"/>
        <w:gridCol w:w="1424"/>
        <w:gridCol w:w="1148"/>
        <w:gridCol w:w="1286"/>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9" w:type="dxa"/>
            <w:gridSpan w:val="2"/>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污染源</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COD</w:t>
            </w: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氨氮</w:t>
            </w: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TN</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2" w:type="dxa"/>
            <w:vMerge w:val="restart"/>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农业面源</w:t>
            </w:r>
          </w:p>
        </w:tc>
        <w:tc>
          <w:tcPr>
            <w:tcW w:w="1717"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农业种植源</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119.78</w:t>
            </w: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13.27</w:t>
            </w: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93.40</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2"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1717"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畜禽养殖源</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13.32</w:t>
            </w: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0.39</w:t>
            </w: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1.17</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2"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1717"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水产养殖源</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5.72</w:t>
            </w: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0.26</w:t>
            </w: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0.83</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生活源</w:t>
            </w:r>
          </w:p>
        </w:tc>
        <w:tc>
          <w:tcPr>
            <w:tcW w:w="1717"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生活源</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506.07</w:t>
            </w: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34.59</w:t>
            </w: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54.25</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2" w:type="dxa"/>
            <w:vMerge w:val="restart"/>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其它污染源</w:t>
            </w:r>
          </w:p>
        </w:tc>
        <w:tc>
          <w:tcPr>
            <w:tcW w:w="1717"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内源</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188.32</w:t>
            </w: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578.99</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2"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1717"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鸟类</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2.73</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2" w:type="dxa"/>
            <w:vMerge w:val="continue"/>
            <w:vAlign w:val="center"/>
          </w:tcPr>
          <w:p>
            <w:pPr>
              <w:widowControl/>
              <w:spacing w:line="240" w:lineRule="auto"/>
              <w:jc w:val="center"/>
              <w:rPr>
                <w:rFonts w:hint="eastAsia" w:ascii="仿宋_GB2312" w:hAnsi="仿宋_GB2312" w:eastAsia="仿宋_GB2312" w:cs="仿宋_GB2312"/>
                <w:color w:val="000000"/>
                <w:kern w:val="0"/>
                <w:sz w:val="21"/>
              </w:rPr>
            </w:pPr>
          </w:p>
        </w:tc>
        <w:tc>
          <w:tcPr>
            <w:tcW w:w="1717"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干湿沉降</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164.45</w:t>
            </w: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404.32</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9" w:type="dxa"/>
            <w:gridSpan w:val="2"/>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汇水区内污染源合计</w:t>
            </w:r>
          </w:p>
        </w:tc>
        <w:tc>
          <w:tcPr>
            <w:tcW w:w="142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809.34</w:t>
            </w:r>
          </w:p>
        </w:tc>
        <w:tc>
          <w:tcPr>
            <w:tcW w:w="1148"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236.83</w:t>
            </w:r>
          </w:p>
        </w:tc>
        <w:tc>
          <w:tcPr>
            <w:tcW w:w="1286"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1135.69</w:t>
            </w:r>
          </w:p>
        </w:tc>
        <w:tc>
          <w:tcPr>
            <w:tcW w:w="1009"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25.37</w:t>
            </w:r>
          </w:p>
        </w:tc>
      </w:tr>
    </w:tbl>
    <w:p>
      <w:pPr>
        <w:ind w:firstLine="480" w:firstLineChars="200"/>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表3.4.1-2 伍湖分场断面主要入湖污染源贡献比例（%）</w:t>
      </w:r>
    </w:p>
    <w:tbl>
      <w:tblPr>
        <w:tblStyle w:val="41"/>
        <w:tblW w:w="8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212"/>
        <w:gridCol w:w="966"/>
        <w:gridCol w:w="966"/>
        <w:gridCol w:w="966"/>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25" w:type="dxa"/>
            <w:gridSpan w:val="2"/>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污染源</w:t>
            </w:r>
          </w:p>
        </w:tc>
        <w:tc>
          <w:tcPr>
            <w:tcW w:w="966"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COD</w:t>
            </w:r>
          </w:p>
        </w:tc>
        <w:tc>
          <w:tcPr>
            <w:tcW w:w="966"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氨氮</w:t>
            </w:r>
          </w:p>
        </w:tc>
        <w:tc>
          <w:tcPr>
            <w:tcW w:w="966"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TN</w:t>
            </w:r>
          </w:p>
        </w:tc>
        <w:tc>
          <w:tcPr>
            <w:tcW w:w="963"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3" w:type="dxa"/>
            <w:vMerge w:val="restart"/>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农业面源</w:t>
            </w:r>
          </w:p>
        </w:tc>
        <w:tc>
          <w:tcPr>
            <w:tcW w:w="2212"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农业种植源</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14.80 </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5.60 </w:t>
            </w:r>
          </w:p>
        </w:tc>
        <w:tc>
          <w:tcPr>
            <w:tcW w:w="96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8.22 </w:t>
            </w:r>
          </w:p>
        </w:tc>
        <w:tc>
          <w:tcPr>
            <w:tcW w:w="96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47.34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3" w:type="dxa"/>
            <w:vMerge w:val="continue"/>
            <w:vAlign w:val="center"/>
          </w:tcPr>
          <w:p>
            <w:pPr>
              <w:widowControl/>
              <w:spacing w:line="240" w:lineRule="auto"/>
              <w:jc w:val="left"/>
              <w:rPr>
                <w:rFonts w:hint="eastAsia" w:ascii="仿宋_GB2312" w:hAnsi="仿宋_GB2312" w:eastAsia="仿宋_GB2312" w:cs="仿宋_GB2312"/>
                <w:color w:val="000000"/>
                <w:kern w:val="0"/>
                <w:sz w:val="21"/>
              </w:rPr>
            </w:pPr>
          </w:p>
        </w:tc>
        <w:tc>
          <w:tcPr>
            <w:tcW w:w="2212"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畜禽养殖源</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1.65 </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0.16</w:t>
            </w:r>
          </w:p>
        </w:tc>
        <w:tc>
          <w:tcPr>
            <w:tcW w:w="96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0.11</w:t>
            </w:r>
          </w:p>
        </w:tc>
        <w:tc>
          <w:tcPr>
            <w:tcW w:w="96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3" w:type="dxa"/>
            <w:vMerge w:val="continue"/>
            <w:vAlign w:val="center"/>
          </w:tcPr>
          <w:p>
            <w:pPr>
              <w:widowControl/>
              <w:spacing w:line="240" w:lineRule="auto"/>
              <w:jc w:val="left"/>
              <w:rPr>
                <w:rFonts w:hint="eastAsia" w:ascii="仿宋_GB2312" w:hAnsi="仿宋_GB2312" w:eastAsia="仿宋_GB2312" w:cs="仿宋_GB2312"/>
                <w:color w:val="000000"/>
                <w:kern w:val="0"/>
                <w:sz w:val="21"/>
              </w:rPr>
            </w:pPr>
          </w:p>
        </w:tc>
        <w:tc>
          <w:tcPr>
            <w:tcW w:w="2212"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水产养殖源</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0.71 </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0.11 </w:t>
            </w:r>
          </w:p>
        </w:tc>
        <w:tc>
          <w:tcPr>
            <w:tcW w:w="96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0.07 </w:t>
            </w:r>
          </w:p>
        </w:tc>
        <w:tc>
          <w:tcPr>
            <w:tcW w:w="96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0.59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3"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生活源</w:t>
            </w:r>
          </w:p>
        </w:tc>
        <w:tc>
          <w:tcPr>
            <w:tcW w:w="2212"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生活源</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62.52</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14.61</w:t>
            </w:r>
          </w:p>
        </w:tc>
        <w:tc>
          <w:tcPr>
            <w:tcW w:w="96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4.78 </w:t>
            </w:r>
          </w:p>
        </w:tc>
        <w:tc>
          <w:tcPr>
            <w:tcW w:w="96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16.71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3" w:type="dxa"/>
            <w:vMerge w:val="restart"/>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其它污染源</w:t>
            </w:r>
          </w:p>
        </w:tc>
        <w:tc>
          <w:tcPr>
            <w:tcW w:w="2212"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内源</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79.52</w:t>
            </w:r>
          </w:p>
        </w:tc>
        <w:tc>
          <w:tcPr>
            <w:tcW w:w="96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50.98 </w:t>
            </w:r>
          </w:p>
        </w:tc>
        <w:tc>
          <w:tcPr>
            <w:tcW w:w="96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17.70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3" w:type="dxa"/>
            <w:vMerge w:val="continue"/>
            <w:vAlign w:val="center"/>
          </w:tcPr>
          <w:p>
            <w:pPr>
              <w:widowControl/>
              <w:spacing w:line="240" w:lineRule="auto"/>
              <w:jc w:val="left"/>
              <w:rPr>
                <w:rFonts w:hint="eastAsia" w:ascii="仿宋_GB2312" w:hAnsi="仿宋_GB2312" w:eastAsia="仿宋_GB2312" w:cs="仿宋_GB2312"/>
                <w:color w:val="000000"/>
                <w:kern w:val="0"/>
                <w:sz w:val="21"/>
              </w:rPr>
            </w:pPr>
          </w:p>
        </w:tc>
        <w:tc>
          <w:tcPr>
            <w:tcW w:w="2212"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鸟类</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p>
        </w:tc>
        <w:tc>
          <w:tcPr>
            <w:tcW w:w="96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0.24 </w:t>
            </w:r>
          </w:p>
        </w:tc>
        <w:tc>
          <w:tcPr>
            <w:tcW w:w="96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3" w:type="dxa"/>
            <w:vMerge w:val="continue"/>
            <w:vAlign w:val="center"/>
          </w:tcPr>
          <w:p>
            <w:pPr>
              <w:widowControl/>
              <w:spacing w:line="240" w:lineRule="auto"/>
              <w:jc w:val="left"/>
              <w:rPr>
                <w:rFonts w:hint="eastAsia" w:ascii="仿宋_GB2312" w:hAnsi="仿宋_GB2312" w:eastAsia="仿宋_GB2312" w:cs="仿宋_GB2312"/>
                <w:color w:val="000000"/>
                <w:kern w:val="0"/>
                <w:sz w:val="21"/>
              </w:rPr>
            </w:pPr>
          </w:p>
        </w:tc>
        <w:tc>
          <w:tcPr>
            <w:tcW w:w="2212" w:type="dxa"/>
            <w:shd w:val="clear" w:color="auto" w:fill="auto"/>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干湿沉降</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20.32 </w:t>
            </w:r>
          </w:p>
        </w:tc>
        <w:tc>
          <w:tcPr>
            <w:tcW w:w="966" w:type="dxa"/>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p>
        </w:tc>
        <w:tc>
          <w:tcPr>
            <w:tcW w:w="96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35.60 </w:t>
            </w:r>
          </w:p>
        </w:tc>
        <w:tc>
          <w:tcPr>
            <w:tcW w:w="96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 xml:space="preserve">13.28 </w:t>
            </w:r>
          </w:p>
        </w:tc>
      </w:tr>
    </w:tbl>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从空间结构分析，除去上游来水带来的主要污染物之外，在汇水区范围内，成新农场在COD、氨氮空间排放单元中占比最大，分别是51.25%和47.68%。联圩镇在TN和TP空间排放单元中占比最大，分别为40.26%和41.59%。因此，对于伍湖分场断面来讲，人口较多的联圩镇和成新农场是治理工作的重点区域。</w:t>
      </w:r>
    </w:p>
    <w:p>
      <w:pPr>
        <w:ind w:firstLine="480" w:firstLineChars="200"/>
        <w:jc w:val="center"/>
        <w:rPr>
          <w:rFonts w:cs="Times New Roman"/>
          <w:sz w:val="24"/>
          <w:szCs w:val="20"/>
        </w:rPr>
      </w:pPr>
    </w:p>
    <w:p>
      <w:pPr>
        <w:ind w:firstLine="480" w:firstLineChars="200"/>
        <w:jc w:val="center"/>
        <w:rPr>
          <w:rFonts w:cs="Times New Roman"/>
          <w:sz w:val="24"/>
          <w:szCs w:val="20"/>
        </w:rPr>
      </w:pPr>
    </w:p>
    <w:p>
      <w:pPr>
        <w:ind w:firstLine="480" w:firstLineChars="200"/>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表3.4.1-3  伍湖分场断面主要单元入湖污染物量（t/a）</w:t>
      </w:r>
    </w:p>
    <w:tbl>
      <w:tblPr>
        <w:tblStyle w:val="4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2331"/>
        <w:gridCol w:w="1244"/>
        <w:gridCol w:w="1244"/>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3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污染来源</w:t>
            </w:r>
          </w:p>
        </w:tc>
        <w:tc>
          <w:tcPr>
            <w:tcW w:w="2331"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COD</w:t>
            </w:r>
          </w:p>
        </w:tc>
        <w:tc>
          <w:tcPr>
            <w:tcW w:w="1244"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氨氮</w:t>
            </w:r>
          </w:p>
        </w:tc>
        <w:tc>
          <w:tcPr>
            <w:tcW w:w="1244"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TN</w:t>
            </w:r>
          </w:p>
        </w:tc>
        <w:tc>
          <w:tcPr>
            <w:tcW w:w="1145"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3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联圩镇</w:t>
            </w:r>
          </w:p>
        </w:tc>
        <w:tc>
          <w:tcPr>
            <w:tcW w:w="2331"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224.32</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17.35</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60.25</w:t>
            </w:r>
          </w:p>
        </w:tc>
        <w:tc>
          <w:tcPr>
            <w:tcW w:w="1145"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3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恒湖垦殖场</w:t>
            </w:r>
          </w:p>
        </w:tc>
        <w:tc>
          <w:tcPr>
            <w:tcW w:w="2331"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62.13</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5.55</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28.79</w:t>
            </w:r>
          </w:p>
        </w:tc>
        <w:tc>
          <w:tcPr>
            <w:tcW w:w="1145"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3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朱港农场</w:t>
            </w:r>
          </w:p>
        </w:tc>
        <w:tc>
          <w:tcPr>
            <w:tcW w:w="2331"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27.94</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2.48</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12.18</w:t>
            </w:r>
          </w:p>
        </w:tc>
        <w:tc>
          <w:tcPr>
            <w:tcW w:w="1145"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32" w:type="dxa"/>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kern w:val="0"/>
                <w:sz w:val="21"/>
              </w:rPr>
              <w:t>成新农场</w:t>
            </w:r>
          </w:p>
        </w:tc>
        <w:tc>
          <w:tcPr>
            <w:tcW w:w="2331"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330.50</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23.13</w:t>
            </w:r>
          </w:p>
        </w:tc>
        <w:tc>
          <w:tcPr>
            <w:tcW w:w="1244"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48.43</w:t>
            </w:r>
          </w:p>
        </w:tc>
        <w:tc>
          <w:tcPr>
            <w:tcW w:w="1145" w:type="dxa"/>
            <w:noWrap/>
            <w:vAlign w:val="center"/>
          </w:tcPr>
          <w:p>
            <w:pPr>
              <w:widowControl/>
              <w:spacing w:line="240" w:lineRule="auto"/>
              <w:jc w:val="center"/>
              <w:rPr>
                <w:rFonts w:hint="eastAsia" w:ascii="仿宋_GB2312" w:hAnsi="仿宋_GB2312" w:eastAsia="仿宋_GB2312" w:cs="仿宋_GB2312"/>
                <w:color w:val="000000"/>
                <w:kern w:val="0"/>
                <w:sz w:val="21"/>
              </w:rPr>
            </w:pPr>
            <w:r>
              <w:rPr>
                <w:rFonts w:hint="eastAsia" w:ascii="仿宋_GB2312" w:hAnsi="仿宋_GB2312" w:eastAsia="仿宋_GB2312" w:cs="仿宋_GB2312"/>
                <w:color w:val="000000"/>
                <w:sz w:val="21"/>
              </w:rPr>
              <w:t>4.60</w:t>
            </w:r>
          </w:p>
        </w:tc>
      </w:tr>
    </w:tbl>
    <w:p>
      <w:pPr>
        <w:pStyle w:val="4"/>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2.断面控制单元设置</w:t>
      </w:r>
      <w:bookmarkEnd w:id="47"/>
    </w:p>
    <w:p>
      <w:pPr>
        <w:keepNext w:val="0"/>
        <w:keepLines w:val="0"/>
        <w:pageBreakBefore w:val="0"/>
        <w:widowControl w:val="0"/>
        <w:kinsoku/>
        <w:wordWrap/>
        <w:overflowPunct/>
        <w:topLinePunct w:val="0"/>
        <w:autoSpaceDE/>
        <w:bidi w:val="0"/>
        <w:adjustRightInd/>
        <w:snapToGrid/>
        <w:spacing w:line="540" w:lineRule="exact"/>
        <w:ind w:firstLine="640" w:firstLineChars="200"/>
        <w:textAlignment w:val="auto"/>
        <w:rPr>
          <w:rFonts w:hint="eastAsia" w:ascii="仿宋_GB2312" w:hAnsi="仿宋_GB2312" w:eastAsia="仿宋_GB2312" w:cs="仿宋_GB2312"/>
          <w:sz w:val="32"/>
          <w:szCs w:val="32"/>
          <w:lang w:val="zh-CN"/>
        </w:rPr>
      </w:pPr>
      <w:bookmarkStart w:id="48" w:name="_Hlk112047305"/>
      <w:r>
        <w:rPr>
          <w:rFonts w:hint="eastAsia" w:ascii="仿宋_GB2312" w:hAnsi="仿宋_GB2312" w:eastAsia="仿宋_GB2312" w:cs="仿宋_GB2312"/>
          <w:sz w:val="32"/>
          <w:szCs w:val="32"/>
          <w:lang w:val="zh-CN"/>
        </w:rPr>
        <w:t>伍湖分场断面汇水区域的重点控制单元划分是根据区域管理主体、水系结构等来确定影响断面水质的污染源分布区域。在控制单元划分过程中，综合考虑了区域污染源分布、产流汇流过程和行政单元，保证各控制单元污染源相对独立，并明确各行政主体的治理责任。</w:t>
      </w:r>
      <w:r>
        <w:rPr>
          <w:rFonts w:hint="eastAsia" w:ascii="仿宋_GB2312" w:hAnsi="仿宋_GB2312" w:eastAsia="仿宋_GB2312" w:cs="仿宋_GB2312"/>
          <w:color w:val="000000"/>
          <w:kern w:val="0"/>
          <w:sz w:val="32"/>
          <w:szCs w:val="32"/>
        </w:rPr>
        <w:t>伍湖分场断面所涉及行政区域范围主要为新建区。</w:t>
      </w:r>
      <w:r>
        <w:rPr>
          <w:rFonts w:hint="eastAsia" w:ascii="仿宋_GB2312" w:hAnsi="仿宋_GB2312" w:eastAsia="仿宋_GB2312" w:cs="仿宋_GB2312"/>
          <w:sz w:val="32"/>
          <w:szCs w:val="32"/>
        </w:rPr>
        <w:t>汇水范围包括联圩镇、朱港农场、成新农场和恒湖垦殖场。</w:t>
      </w:r>
      <w:r>
        <w:rPr>
          <w:rFonts w:hint="eastAsia" w:ascii="仿宋_GB2312" w:hAnsi="仿宋_GB2312" w:eastAsia="仿宋_GB2312" w:cs="仿宋_GB2312"/>
          <w:sz w:val="32"/>
          <w:szCs w:val="32"/>
          <w:lang w:val="zh-CN"/>
        </w:rPr>
        <w:t>基于以上考虑，并充分与地方管理部门密切结合，将伍湖分场断面汇水区域划分为2个控制单元，包括联圩镇、农场单元（包括恒湖垦殖场、朱港农场、成新农场）。</w:t>
      </w:r>
    </w:p>
    <w:p>
      <w:pPr>
        <w:jc w:val="center"/>
        <w:rPr>
          <w:rFonts w:hint="eastAsia" w:ascii="仿宋_GB2312" w:hAnsi="仿宋_GB2312" w:eastAsia="仿宋_GB2312" w:cs="仿宋_GB2312"/>
          <w:sz w:val="24"/>
          <w:szCs w:val="20"/>
          <w:lang w:val="zh-CN"/>
        </w:rPr>
      </w:pPr>
      <w:r>
        <w:rPr>
          <w:rFonts w:hint="eastAsia" w:ascii="仿宋_GB2312" w:hAnsi="仿宋_GB2312" w:eastAsia="仿宋_GB2312" w:cs="仿宋_GB2312"/>
          <w:sz w:val="24"/>
          <w:szCs w:val="20"/>
          <w:lang w:val="zh-CN"/>
        </w:rPr>
        <w:t>表3.4.2-1 伍湖分场断面汇水区域的重点控制单元</w:t>
      </w:r>
    </w:p>
    <w:tbl>
      <w:tblPr>
        <w:tblStyle w:val="4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346"/>
        <w:gridCol w:w="1817"/>
        <w:gridCol w:w="1619"/>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1"/>
                <w14:textFill>
                  <w14:solidFill>
                    <w14:schemeClr w14:val="tx1"/>
                  </w14:solidFill>
                </w14:textFill>
              </w:rPr>
            </w:pPr>
            <w:r>
              <w:rPr>
                <w:rFonts w:hint="eastAsia" w:ascii="仿宋_GB2312" w:hAnsi="仿宋_GB2312" w:eastAsia="仿宋_GB2312" w:cs="仿宋_GB2312"/>
                <w:color w:val="000000" w:themeColor="text1"/>
                <w:sz w:val="21"/>
                <w14:textFill>
                  <w14:solidFill>
                    <w14:schemeClr w14:val="tx1"/>
                  </w14:solidFill>
                </w14:textFill>
              </w:rPr>
              <w:t>序号</w:t>
            </w:r>
          </w:p>
        </w:tc>
        <w:tc>
          <w:tcPr>
            <w:tcW w:w="1346"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themeColor="text1"/>
                <w:sz w:val="21"/>
                <w14:textFill>
                  <w14:solidFill>
                    <w14:schemeClr w14:val="tx1"/>
                  </w14:solidFill>
                </w14:textFill>
              </w:rPr>
              <w:t>控制单元</w:t>
            </w:r>
          </w:p>
        </w:tc>
        <w:tc>
          <w:tcPr>
            <w:tcW w:w="1817"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面积（km</w:t>
            </w:r>
            <w:r>
              <w:rPr>
                <w:rFonts w:hint="eastAsia" w:ascii="仿宋_GB2312" w:hAnsi="仿宋_GB2312" w:eastAsia="仿宋_GB2312" w:cs="仿宋_GB2312"/>
                <w:color w:val="000000"/>
                <w:sz w:val="21"/>
                <w:vertAlign w:val="superscript"/>
              </w:rPr>
              <w:t>2</w:t>
            </w:r>
            <w:r>
              <w:rPr>
                <w:rFonts w:hint="eastAsia" w:ascii="仿宋_GB2312" w:hAnsi="仿宋_GB2312" w:eastAsia="仿宋_GB2312" w:cs="仿宋_GB2312"/>
                <w:color w:val="000000"/>
                <w:sz w:val="21"/>
              </w:rPr>
              <w:t>）</w:t>
            </w:r>
          </w:p>
        </w:tc>
        <w:tc>
          <w:tcPr>
            <w:tcW w:w="1619"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人口（人）</w:t>
            </w:r>
          </w:p>
        </w:tc>
        <w:tc>
          <w:tcPr>
            <w:tcW w:w="2718" w:type="dxa"/>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水环境治理责任主体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1</w:t>
            </w:r>
          </w:p>
        </w:tc>
        <w:tc>
          <w:tcPr>
            <w:tcW w:w="1346"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sz w:val="21"/>
                <w:lang w:val="zh-CN"/>
              </w:rPr>
              <w:t>联圩镇</w:t>
            </w:r>
          </w:p>
        </w:tc>
        <w:tc>
          <w:tcPr>
            <w:tcW w:w="1817"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106.99</w:t>
            </w:r>
          </w:p>
        </w:tc>
        <w:tc>
          <w:tcPr>
            <w:tcW w:w="1619"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16360</w:t>
            </w:r>
          </w:p>
        </w:tc>
        <w:tc>
          <w:tcPr>
            <w:tcW w:w="2718" w:type="dxa"/>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联圩镇政府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bCs/>
                <w:color w:val="000000" w:themeColor="text1"/>
                <w:sz w:val="21"/>
                <w14:textFill>
                  <w14:solidFill>
                    <w14:schemeClr w14:val="tx1"/>
                  </w14:solidFill>
                </w14:textFill>
              </w:rPr>
            </w:pPr>
            <w:r>
              <w:rPr>
                <w:rFonts w:hint="eastAsia" w:ascii="仿宋_GB2312" w:hAnsi="仿宋_GB2312" w:eastAsia="仿宋_GB2312" w:cs="仿宋_GB2312"/>
                <w:bCs/>
                <w:color w:val="000000" w:themeColor="text1"/>
                <w:sz w:val="21"/>
                <w14:textFill>
                  <w14:solidFill>
                    <w14:schemeClr w14:val="tx1"/>
                  </w14:solidFill>
                </w14:textFill>
              </w:rPr>
              <w:t>2</w:t>
            </w:r>
          </w:p>
        </w:tc>
        <w:tc>
          <w:tcPr>
            <w:tcW w:w="1346"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农场单元</w:t>
            </w:r>
          </w:p>
        </w:tc>
        <w:tc>
          <w:tcPr>
            <w:tcW w:w="1817"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121.07</w:t>
            </w:r>
          </w:p>
        </w:tc>
        <w:tc>
          <w:tcPr>
            <w:tcW w:w="1619" w:type="dxa"/>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35332</w:t>
            </w:r>
          </w:p>
        </w:tc>
        <w:tc>
          <w:tcPr>
            <w:tcW w:w="2718" w:type="dxa"/>
            <w:vAlign w:val="center"/>
          </w:tcPr>
          <w:p>
            <w:pPr>
              <w:adjustRightInd w:val="0"/>
              <w:snapToGrid w:val="0"/>
              <w:spacing w:line="276" w:lineRule="auto"/>
              <w:jc w:val="center"/>
              <w:rPr>
                <w:rFonts w:hint="eastAsia" w:ascii="仿宋_GB2312" w:hAnsi="仿宋_GB2312" w:eastAsia="仿宋_GB2312" w:cs="仿宋_GB2312"/>
                <w:color w:val="000000"/>
                <w:sz w:val="21"/>
              </w:rPr>
            </w:pPr>
            <w:r>
              <w:rPr>
                <w:rFonts w:hint="eastAsia" w:ascii="仿宋_GB2312" w:hAnsi="仿宋_GB2312" w:eastAsia="仿宋_GB2312" w:cs="仿宋_GB2312"/>
                <w:color w:val="000000"/>
                <w:sz w:val="21"/>
              </w:rPr>
              <w:t>恒湖垦殖场等</w:t>
            </w:r>
          </w:p>
        </w:tc>
      </w:tr>
      <w:bookmarkEnd w:id="48"/>
    </w:tbl>
    <w:p>
      <w:pPr>
        <w:pStyle w:val="4"/>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540" w:lineRule="exact"/>
        <w:ind w:firstLine="642" w:firstLineChars="200"/>
        <w:textAlignment w:val="auto"/>
        <w:rPr>
          <w:rFonts w:hint="eastAsia" w:ascii="仿宋_GB2312" w:hAnsi="仿宋_GB2312" w:eastAsia="仿宋_GB2312" w:cs="仿宋_GB2312"/>
          <w:sz w:val="32"/>
          <w:szCs w:val="32"/>
        </w:rPr>
      </w:pPr>
      <w:bookmarkStart w:id="49" w:name="_Toc112589792"/>
      <w:r>
        <w:rPr>
          <w:rFonts w:hint="eastAsia" w:ascii="仿宋_GB2312" w:hAnsi="仿宋_GB2312" w:eastAsia="仿宋_GB2312" w:cs="仿宋_GB2312"/>
          <w:sz w:val="32"/>
          <w:szCs w:val="32"/>
        </w:rPr>
        <w:t>3.主要水环境问题识别</w:t>
      </w:r>
      <w:bookmarkEnd w:id="49"/>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（1）断面生态环境本底和周边碟形湖对水质影响大</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历史数据结果显示，伍湖分场断面枯水期TP明显超标。加密监测结果显示伍湖分场断面及其周边碟形湖浊度较高，且与COD等关系密切；浊度是造成伍湖分场断面水体水质变化的主要原因。</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1月鄱阳湖禁捕以来，伍湖断面区域湖中鱼类数量明显增多，扰动底泥，在枯水期断面出现溶解氧（DO）超标现象时有发生，DO浓度与TP浓度等关系密切；断面碟形湖周边湿地植物如芦苇、苔草等在秋冬季衰败死亡进而腐烂，成为污染源之一。</w:t>
      </w:r>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b/>
          <w:bCs/>
          <w:sz w:val="32"/>
          <w:szCs w:val="32"/>
        </w:rPr>
      </w:pPr>
      <w:bookmarkStart w:id="50" w:name="_Toc95243110"/>
      <w:r>
        <w:rPr>
          <w:rFonts w:hint="eastAsia" w:ascii="仿宋_GB2312" w:hAnsi="仿宋_GB2312" w:eastAsia="仿宋_GB2312" w:cs="仿宋_GB2312"/>
          <w:b/>
          <w:bCs/>
          <w:sz w:val="32"/>
          <w:szCs w:val="32"/>
        </w:rPr>
        <w:t>（2）农业面源</w:t>
      </w:r>
      <w:bookmarkEnd w:id="50"/>
      <w:r>
        <w:rPr>
          <w:rFonts w:hint="eastAsia" w:ascii="仿宋_GB2312" w:hAnsi="仿宋_GB2312" w:eastAsia="仿宋_GB2312" w:cs="仿宋_GB2312"/>
          <w:b/>
          <w:bCs/>
          <w:sz w:val="32"/>
          <w:szCs w:val="32"/>
        </w:rPr>
        <w:t>污染防治相对薄弱</w:t>
      </w:r>
    </w:p>
    <w:p>
      <w:pPr>
        <w:keepNext w:val="0"/>
        <w:keepLines w:val="0"/>
        <w:pageBreakBefore w:val="0"/>
        <w:widowControl w:val="0"/>
        <w:kinsoku/>
        <w:wordWrap/>
        <w:overflowPunct/>
        <w:topLinePunct w:val="0"/>
        <w:autoSpaceDE/>
        <w:bidi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其他污染源外，伍湖分场断面汇水区域内农业面源TP排污量较大，尤以农业种植源为主。汇水区域包括恒湖垦殖场、成新农场和朱港农场等3个农场，其土地利用类型以农业种植业为主，种植业普遍存在施肥强度高、化肥利用率低的现象。污染物入湖呈现“零存整取”形式，洪水期和退水期，排灌站将农业沟渠水直排入湖，在一定程度上影响鄱阳湖水环境质量。</w:t>
      </w:r>
    </w:p>
    <w:p>
      <w:pPr>
        <w:pStyle w:val="2"/>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0" w:firstLineChars="200"/>
        <w:textAlignment w:val="auto"/>
        <w:rPr>
          <w:rFonts w:hint="eastAsia" w:ascii="黑体" w:hAnsi="黑体" w:eastAsia="黑体" w:cs="黑体"/>
          <w:b w:val="0"/>
          <w:bCs w:val="0"/>
          <w:sz w:val="32"/>
          <w:szCs w:val="32"/>
        </w:rPr>
      </w:pPr>
      <w:bookmarkStart w:id="51" w:name="_Toc112589793"/>
      <w:r>
        <w:rPr>
          <w:rFonts w:hint="eastAsia" w:ascii="黑体" w:hAnsi="黑体" w:eastAsia="黑体" w:cs="黑体"/>
          <w:b w:val="0"/>
          <w:bCs w:val="0"/>
          <w:sz w:val="32"/>
          <w:szCs w:val="32"/>
        </w:rPr>
        <w:t>四、断面水质提升主要措施</w:t>
      </w:r>
      <w:bookmarkEnd w:id="51"/>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全面打好碧水保卫战，以重点湖泊水环境质量为重点，加快推进主要污染源进行源头削减和过程控制措施。成新农场和朱港农场为省属单位，其污染防治工作由新建区政府加强沟通协调，不列入整治责任单位。断面水质提升（稳定）措施仅针对新建区联圩镇和</w:t>
      </w:r>
      <w:bookmarkStart w:id="52" w:name="_Hlk116314721"/>
      <w:r>
        <w:rPr>
          <w:rFonts w:hint="eastAsia" w:ascii="仿宋_GB2312" w:hAnsi="仿宋_GB2312" w:eastAsia="仿宋_GB2312" w:cs="仿宋_GB2312"/>
          <w:sz w:val="32"/>
          <w:szCs w:val="32"/>
        </w:rPr>
        <w:t>恒湖垦殖场</w:t>
      </w:r>
      <w:bookmarkEnd w:id="52"/>
      <w:r>
        <w:rPr>
          <w:rFonts w:hint="eastAsia" w:ascii="仿宋_GB2312" w:hAnsi="仿宋_GB2312" w:eastAsia="仿宋_GB2312" w:cs="仿宋_GB2312"/>
          <w:sz w:val="32"/>
          <w:szCs w:val="32"/>
        </w:rPr>
        <w:t>，该区域作为赣江三角洲围垦区域，其主要包括入湖排口污染治理、农业源和生活源三部分。</w:t>
      </w:r>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lang w:val="en-US"/>
        </w:rPr>
      </w:pPr>
      <w:bookmarkStart w:id="53" w:name="_Toc111464833"/>
      <w:bookmarkStart w:id="54" w:name="_Toc112589794"/>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en-US"/>
        </w:rPr>
        <w:t>）推进</w:t>
      </w:r>
      <w:r>
        <w:rPr>
          <w:rFonts w:hint="eastAsia" w:ascii="楷体_GB2312" w:hAnsi="楷体_GB2312" w:eastAsia="楷体_GB2312" w:cs="楷体_GB2312"/>
          <w:sz w:val="32"/>
          <w:szCs w:val="32"/>
        </w:rPr>
        <w:t>入湖排口污染</w:t>
      </w:r>
      <w:bookmarkEnd w:id="53"/>
      <w:bookmarkEnd w:id="54"/>
      <w:r>
        <w:rPr>
          <w:rFonts w:hint="eastAsia" w:ascii="楷体_GB2312" w:hAnsi="楷体_GB2312" w:eastAsia="楷体_GB2312" w:cs="楷体_GB2312"/>
          <w:sz w:val="32"/>
          <w:szCs w:val="32"/>
        </w:rPr>
        <w:t>整治</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根据动态更新的入湖排污口名录，开展持续监测，筛选出优先整治入湖排污口名单，按“一口一策”工作原则，逐一明确入湖排污口整治要求，分类有序推进入湖排污口整治和规范化建设。重点关注联圩镇流水洞排灌站1号、丰产排涝站2号和象湖排灌站3号等典型排口，结合当地特色的“田-沟-渠-塘-排口-河/湖”自然系统，试行推进入口多级塘-排口湿地等建设，拦截污染物；推进排灌渠道清淤，有效削减季节性污染负荷。</w:t>
      </w:r>
      <w:r>
        <w:rPr>
          <w:rFonts w:hint="eastAsia" w:ascii="仿宋_GB2312" w:hAnsi="仿宋_GB2312" w:eastAsia="仿宋_GB2312" w:cs="仿宋_GB2312"/>
          <w:b/>
          <w:bCs/>
          <w:sz w:val="32"/>
          <w:szCs w:val="32"/>
        </w:rPr>
        <w:t>（牵头单位：新建生态环境局、新建区水利局、新建区农业农村局；责任单位：联圩镇人民政府</w:t>
      </w:r>
      <w:bookmarkStart w:id="55" w:name="_Hlk116314760"/>
      <w:r>
        <w:rPr>
          <w:rFonts w:hint="eastAsia" w:ascii="仿宋_GB2312" w:hAnsi="仿宋_GB2312" w:eastAsia="仿宋_GB2312" w:cs="仿宋_GB2312"/>
          <w:b/>
          <w:bCs/>
          <w:sz w:val="32"/>
          <w:szCs w:val="32"/>
        </w:rPr>
        <w:t>、恒湖垦殖场</w:t>
      </w:r>
      <w:bookmarkEnd w:id="55"/>
      <w:r>
        <w:rPr>
          <w:rFonts w:hint="eastAsia" w:ascii="仿宋_GB2312" w:hAnsi="仿宋_GB2312" w:eastAsia="仿宋_GB2312" w:cs="仿宋_GB2312"/>
          <w:b/>
          <w:bCs/>
          <w:sz w:val="32"/>
          <w:szCs w:val="32"/>
        </w:rPr>
        <w:t>）</w:t>
      </w:r>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56" w:name="_Toc111464835"/>
      <w:bookmarkStart w:id="57" w:name="_Toc112589796"/>
      <w:r>
        <w:rPr>
          <w:rFonts w:hint="eastAsia" w:ascii="楷体_GB2312" w:hAnsi="楷体_GB2312" w:eastAsia="楷体_GB2312" w:cs="楷体_GB2312"/>
          <w:sz w:val="32"/>
          <w:szCs w:val="32"/>
        </w:rPr>
        <w:t>（二）</w:t>
      </w:r>
      <w:bookmarkEnd w:id="56"/>
      <w:bookmarkEnd w:id="57"/>
      <w:r>
        <w:rPr>
          <w:rFonts w:hint="eastAsia" w:ascii="楷体_GB2312" w:hAnsi="楷体_GB2312" w:eastAsia="楷体_GB2312" w:cs="楷体_GB2312"/>
          <w:sz w:val="32"/>
          <w:szCs w:val="32"/>
        </w:rPr>
        <w:t>开展农业面源污染治理</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推动测土施肥、有机肥替代化肥等绿色农业技术。筛选高效、低毒、低残留农药，推广应用高活性低用量低风险的新农药，示范推广精准施药技术。开展“源头减量、过程控制、末端利用”模式探索，实现规模畜禽养殖废弃物生态消纳有效途径，构建规模畜禽养殖废弃物资源化利用协同体系。重点发展联圩地虾稻产业，更新改造规模养殖户养殖鱼塘，创建健康养殖示范场，推广池塘循环水产养殖模式，实施养殖尾水处理项目。</w:t>
      </w:r>
      <w:r>
        <w:rPr>
          <w:rFonts w:hint="eastAsia" w:ascii="仿宋_GB2312" w:hAnsi="仿宋_GB2312" w:eastAsia="仿宋_GB2312" w:cs="仿宋_GB2312"/>
          <w:b/>
          <w:bCs/>
          <w:sz w:val="32"/>
          <w:szCs w:val="32"/>
        </w:rPr>
        <w:t>（牵头单位：新建区农业农村局；责任单位：联圩镇人民政府、恒湖垦殖场）</w:t>
      </w:r>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bookmarkStart w:id="58" w:name="_Toc111464836"/>
      <w:bookmarkStart w:id="59" w:name="_Toc112589797"/>
      <w:r>
        <w:rPr>
          <w:rFonts w:hint="eastAsia" w:ascii="楷体_GB2312" w:hAnsi="楷体_GB2312" w:eastAsia="楷体_GB2312" w:cs="楷体_GB2312"/>
          <w:sz w:val="32"/>
          <w:szCs w:val="32"/>
        </w:rPr>
        <w:t>（三）</w:t>
      </w:r>
      <w:bookmarkEnd w:id="58"/>
      <w:bookmarkEnd w:id="59"/>
      <w:r>
        <w:rPr>
          <w:rFonts w:hint="eastAsia" w:ascii="楷体_GB2312" w:hAnsi="楷体_GB2312" w:eastAsia="楷体_GB2312" w:cs="楷体_GB2312"/>
          <w:sz w:val="32"/>
          <w:szCs w:val="32"/>
        </w:rPr>
        <w:t>试点构建生态沟渠和生态塘系统</w:t>
      </w:r>
    </w:p>
    <w:p>
      <w:pPr>
        <w:keepNext w:val="0"/>
        <w:keepLines w:val="0"/>
        <w:pageBreakBefore w:val="0"/>
        <w:widowControl w:val="0"/>
        <w:kinsoku/>
        <w:wordWrap/>
        <w:overflowPunct/>
        <w:topLinePunct w:val="0"/>
        <w:autoSpaceDE/>
        <w:bidi w:val="0"/>
        <w:adjustRightInd w:val="0"/>
        <w:snapToGrid w:val="0"/>
        <w:spacing w:line="540" w:lineRule="exact"/>
        <w:ind w:firstLine="640" w:firstLineChars="200"/>
        <w:textAlignment w:val="auto"/>
        <w:rPr>
          <w:rFonts w:hint="eastAsia" w:ascii="仿宋_GB2312" w:hAnsi="仿宋_GB2312" w:eastAsia="仿宋_GB2312" w:cs="仿宋_GB2312"/>
          <w:b/>
          <w:bCs/>
          <w:sz w:val="32"/>
          <w:szCs w:val="32"/>
        </w:rPr>
      </w:pPr>
      <w:bookmarkStart w:id="60" w:name="_Toc111464837"/>
      <w:bookmarkStart w:id="61" w:name="_Toc112589798"/>
      <w:r>
        <w:rPr>
          <w:rFonts w:hint="eastAsia" w:ascii="仿宋_GB2312" w:hAnsi="仿宋_GB2312" w:eastAsia="仿宋_GB2312" w:cs="仿宋_GB2312"/>
          <w:sz w:val="32"/>
          <w:szCs w:val="32"/>
        </w:rPr>
        <w:t>结合农业面源污水产排污特征，实施农村河道、沟、塘综合整治，加强水系连通。因地制宜规划布局生物拦截带、生态缓冲带平缓型农田氮磷净化设施以及区域面源污水生态净化等工程，重点推进农田排水和地表径流净化工程及生态沟、污水净化塘、地表径流集蓄池、湿地等建设项目推荐沟渠清淤与生态化建设。</w:t>
      </w:r>
      <w:r>
        <w:rPr>
          <w:rFonts w:hint="eastAsia" w:ascii="仿宋_GB2312" w:hAnsi="仿宋_GB2312" w:eastAsia="仿宋_GB2312" w:cs="仿宋_GB2312"/>
          <w:b/>
          <w:bCs/>
          <w:sz w:val="32"/>
          <w:szCs w:val="32"/>
        </w:rPr>
        <w:t>（牵头单位：新建生态环境局、新建区农业农村局；责任单位：联圩镇人民政府、恒湖垦殖场）</w:t>
      </w:r>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（四）梯次推进生活污水治理</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探索乡镇污水处理统一规划布局、统一实施建设、统一组织运营、统一政府监管的工作模式，按照“城旁接管、就近联建、独建补全”的原则进行设施优化布局，有序推进乡镇污水处理厂和配套管网建设。加强农村污水处理设施建设，以各村点为基础，在各村点建设配套收集管道及污水处理终端。在联圩镇和恒湖垦殖场完善或新建污水处理设施，处理集镇居民生活污水；因地制宜推行生活污水的简易生物处理，充分利用池塘、沟渠等自净能力，切实解决污水治理的问题。</w:t>
      </w:r>
      <w:r>
        <w:rPr>
          <w:rFonts w:hint="eastAsia" w:ascii="仿宋_GB2312" w:hAnsi="仿宋_GB2312" w:eastAsia="仿宋_GB2312" w:cs="仿宋_GB2312"/>
          <w:b/>
          <w:bCs/>
          <w:sz w:val="32"/>
          <w:szCs w:val="32"/>
        </w:rPr>
        <w:t>（牵头单位：新建生态环境局、新建区农业农村局；责任单位：联圩镇人民政府、恒湖垦殖场）</w:t>
      </w:r>
    </w:p>
    <w:p>
      <w:pPr>
        <w:pStyle w:val="3"/>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2"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w:t>
      </w:r>
      <w:bookmarkEnd w:id="60"/>
      <w:bookmarkEnd w:id="61"/>
      <w:r>
        <w:rPr>
          <w:rFonts w:hint="eastAsia" w:ascii="楷体_GB2312" w:hAnsi="楷体_GB2312" w:eastAsia="楷体_GB2312" w:cs="楷体_GB2312"/>
          <w:sz w:val="32"/>
          <w:szCs w:val="32"/>
        </w:rPr>
        <w:t>强化碟形湖枯水期生态运维</w:t>
      </w:r>
    </w:p>
    <w:p>
      <w:pPr>
        <w:pStyle w:val="262"/>
        <w:keepNext w:val="0"/>
        <w:keepLines w:val="0"/>
        <w:pageBreakBefore w:val="0"/>
        <w:widowControl w:val="0"/>
        <w:kinsoku/>
        <w:wordWrap/>
        <w:overflowPunct/>
        <w:topLinePunct w:val="0"/>
        <w:autoSpaceDE/>
        <w:bidi w:val="0"/>
        <w:spacing w:line="540" w:lineRule="exact"/>
        <w:ind w:firstLine="560"/>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sz w:val="32"/>
          <w:szCs w:val="32"/>
        </w:rPr>
        <w:t>强化伍湖分场断面及其周边碟形湖的生态运维管护，建设鄱阳湖生态管护力量，科学开展生态调查与修复，探索开展相关的水生植物和碟形湖的生态维护、鱼类的生态捕捞等生态管护措施。结合赣抚尾闾等重大工程项目实施和运行调度，加强断面水情（生态流量）监测，完善水情（生态流量）监测体系，及时向有关部门报送水情变化。</w:t>
      </w:r>
      <w:r>
        <w:rPr>
          <w:rFonts w:hint="eastAsia" w:ascii="仿宋_GB2312" w:hAnsi="仿宋_GB2312" w:eastAsia="仿宋_GB2312" w:cs="仿宋_GB2312"/>
          <w:b/>
          <w:bCs/>
          <w:sz w:val="32"/>
          <w:szCs w:val="32"/>
        </w:rPr>
        <w:t>（牵头单位：新建区水利局；责任单位：联圩镇人民政府、恒湖垦殖场）</w:t>
      </w:r>
    </w:p>
    <w:p>
      <w:pPr>
        <w:pStyle w:val="2"/>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0" w:firstLineChars="200"/>
        <w:textAlignment w:val="auto"/>
        <w:rPr>
          <w:rFonts w:hint="eastAsia" w:ascii="黑体" w:hAnsi="黑体" w:eastAsia="黑体" w:cs="黑体"/>
          <w:b w:val="0"/>
          <w:bCs w:val="0"/>
          <w:sz w:val="32"/>
          <w:szCs w:val="32"/>
        </w:rPr>
      </w:pPr>
      <w:bookmarkStart w:id="62" w:name="_Toc112589799"/>
      <w:r>
        <w:rPr>
          <w:rFonts w:hint="eastAsia" w:ascii="黑体" w:hAnsi="黑体" w:eastAsia="黑体" w:cs="黑体"/>
          <w:b w:val="0"/>
          <w:bCs w:val="0"/>
          <w:sz w:val="32"/>
          <w:szCs w:val="32"/>
        </w:rPr>
        <w:t>五、保障措施</w:t>
      </w:r>
      <w:bookmarkEnd w:id="62"/>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sz w:val="32"/>
          <w:szCs w:val="32"/>
        </w:rPr>
      </w:pPr>
      <w:bookmarkStart w:id="63" w:name="_Toc343777160"/>
      <w:bookmarkStart w:id="64" w:name="_Toc365645780"/>
      <w:bookmarkStart w:id="65" w:name="_Toc112589800"/>
      <w:r>
        <w:rPr>
          <w:rFonts w:hint="eastAsia" w:ascii="仿宋_GB2312" w:hAnsi="仿宋_GB2312" w:eastAsia="仿宋_GB2312" w:cs="仿宋_GB2312"/>
          <w:b/>
          <w:bCs/>
          <w:sz w:val="32"/>
          <w:szCs w:val="32"/>
        </w:rPr>
        <w:t>（一）加强组织领导</w:t>
      </w:r>
      <w:bookmarkEnd w:id="63"/>
      <w:bookmarkEnd w:id="64"/>
      <w:bookmarkEnd w:id="65"/>
      <w:r>
        <w:rPr>
          <w:rFonts w:hint="eastAsia" w:ascii="仿宋_GB2312" w:hAnsi="仿宋_GB2312" w:eastAsia="仿宋_GB2312" w:cs="仿宋_GB2312"/>
          <w:b/>
          <w:bCs/>
          <w:sz w:val="32"/>
          <w:szCs w:val="32"/>
        </w:rPr>
        <w:t>，明确职责分工。</w:t>
      </w:r>
      <w:r>
        <w:rPr>
          <w:rFonts w:hint="eastAsia" w:ascii="仿宋_GB2312" w:hAnsi="仿宋_GB2312" w:eastAsia="仿宋_GB2312" w:cs="仿宋_GB2312"/>
          <w:sz w:val="32"/>
          <w:szCs w:val="32"/>
        </w:rPr>
        <w:t>伍湖分场断面水环境质量提升，需要流域协同治理，各级党委和政府要坚决扛起生态环境保护的政治责任，形成政府负总责，各部门齐抓共管的机制。要落实责任主体，明确工作推进时间节点，及时协调解决整治过程中的问题。要明确整治问题责任单位，切实抓好相关项目实施，确保治理效果，努力提升伍湖分场断面水环境质量。</w:t>
      </w:r>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sz w:val="32"/>
          <w:szCs w:val="32"/>
        </w:rPr>
      </w:pPr>
      <w:bookmarkStart w:id="66" w:name="_Toc365645783"/>
      <w:bookmarkStart w:id="67" w:name="_Toc343777163"/>
      <w:bookmarkStart w:id="68" w:name="_Toc307231628"/>
      <w:bookmarkStart w:id="69" w:name="_Toc299432844"/>
      <w:bookmarkStart w:id="70" w:name="_Toc112589801"/>
      <w:bookmarkStart w:id="71" w:name="_Toc365645781"/>
      <w:bookmarkStart w:id="72" w:name="_Toc307231626"/>
      <w:bookmarkStart w:id="73" w:name="_Toc299432842"/>
      <w:bookmarkStart w:id="74" w:name="_Toc343777161"/>
      <w:r>
        <w:rPr>
          <w:rFonts w:hint="eastAsia" w:ascii="仿宋_GB2312" w:hAnsi="仿宋_GB2312" w:eastAsia="仿宋_GB2312" w:cs="仿宋_GB2312"/>
          <w:b/>
          <w:bCs/>
          <w:sz w:val="32"/>
          <w:szCs w:val="32"/>
        </w:rPr>
        <w:t>（二）强化监督执法</w:t>
      </w:r>
      <w:bookmarkEnd w:id="66"/>
      <w:bookmarkEnd w:id="67"/>
      <w:bookmarkEnd w:id="68"/>
      <w:bookmarkEnd w:id="69"/>
      <w:bookmarkEnd w:id="70"/>
      <w:r>
        <w:rPr>
          <w:rFonts w:hint="eastAsia" w:ascii="仿宋_GB2312" w:hAnsi="仿宋_GB2312" w:eastAsia="仿宋_GB2312" w:cs="仿宋_GB2312"/>
          <w:b/>
          <w:bCs/>
          <w:sz w:val="32"/>
          <w:szCs w:val="32"/>
        </w:rPr>
        <w:t>，及时评估效果。</w:t>
      </w:r>
      <w:r>
        <w:rPr>
          <w:rFonts w:hint="eastAsia" w:ascii="仿宋_GB2312" w:hAnsi="仿宋_GB2312" w:eastAsia="仿宋_GB2312" w:cs="仿宋_GB2312"/>
          <w:sz w:val="32"/>
          <w:szCs w:val="32"/>
        </w:rPr>
        <w:t>恒湖垦殖场、朱港农场和成新农场分属南昌市农业农村局和江西省监狱管理局，加上新建区管辖的联圩镇组成了伍湖分场断面汇水范围，其污染控制和环境保护涉及部门多。各相关部门围绕本方案对各项措施的落实情况进行监督管理，适时开展相关领域联合执法，对相关整治措施实行动态监测评估，及时发现和解决出现的问题，确保各项任务措施落到实处。</w:t>
      </w:r>
    </w:p>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sz w:val="32"/>
          <w:szCs w:val="32"/>
        </w:rPr>
      </w:pPr>
      <w:bookmarkStart w:id="75" w:name="_Toc113696557"/>
      <w:r>
        <w:rPr>
          <w:rFonts w:hint="eastAsia" w:ascii="仿宋_GB2312" w:hAnsi="仿宋_GB2312" w:eastAsia="仿宋_GB2312" w:cs="仿宋_GB2312"/>
          <w:b/>
          <w:bCs/>
          <w:sz w:val="32"/>
          <w:szCs w:val="32"/>
        </w:rPr>
        <w:t>（三） 引进优秀科技团队，强化科技服务。</w:t>
      </w:r>
      <w:bookmarkEnd w:id="75"/>
      <w:r>
        <w:rPr>
          <w:rFonts w:hint="eastAsia" w:ascii="仿宋_GB2312" w:hAnsi="仿宋_GB2312" w:eastAsia="仿宋_GB2312" w:cs="仿宋_GB2312"/>
          <w:sz w:val="32"/>
          <w:szCs w:val="32"/>
        </w:rPr>
        <w:t>结合长江生态环境保护</w:t>
      </w:r>
      <w:bookmarkStart w:id="76" w:name="_Toc112589802"/>
      <w:r>
        <w:rPr>
          <w:rFonts w:hint="eastAsia" w:ascii="仿宋_GB2312" w:hAnsi="仿宋_GB2312" w:eastAsia="仿宋_GB2312" w:cs="仿宋_GB2312"/>
          <w:sz w:val="32"/>
          <w:szCs w:val="32"/>
        </w:rPr>
        <w:t>修复驻点跟踪研究工作，借助中国科学院生态环境研究中心等大院大所的科技优势，充分吸纳南昌大学、江西省科学院等地方科研力量，重点针对鄱阳湖南昌湖区水生态监测、总磷污染溯源等重点、难点问题，开展前瞻性、基础性和对策性分析，努力突破水污染治理和水生态修复的技术瓶颈，提高区域水环境治理和水生态修复水平。同时，积极推广先进适用的科技成果，加强成果在伍湖分场断面的试点应用。</w:t>
      </w:r>
    </w:p>
    <w:bookmarkEnd w:id="71"/>
    <w:bookmarkEnd w:id="72"/>
    <w:bookmarkEnd w:id="73"/>
    <w:bookmarkEnd w:id="74"/>
    <w:bookmarkEnd w:id="76"/>
    <w:p>
      <w:pPr>
        <w:pStyle w:val="262"/>
        <w:keepNext w:val="0"/>
        <w:keepLines w:val="0"/>
        <w:pageBreakBefore w:val="0"/>
        <w:widowControl w:val="0"/>
        <w:kinsoku/>
        <w:wordWrap/>
        <w:overflowPunct/>
        <w:topLinePunct w:val="0"/>
        <w:autoSpaceDE/>
        <w:bidi w:val="0"/>
        <w:spacing w:line="54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（四）拓展融资渠道，强化资金保障。</w:t>
      </w:r>
      <w:r>
        <w:rPr>
          <w:rFonts w:hint="eastAsia" w:ascii="仿宋_GB2312" w:hAnsi="仿宋_GB2312" w:eastAsia="仿宋_GB2312" w:cs="仿宋_GB2312"/>
          <w:sz w:val="32"/>
          <w:szCs w:val="32"/>
        </w:rPr>
        <w:t>加强财政资金统筹，积极争取中央水污染防治资金，提前开展水污染防治项目谋划，整合各渠道的专项资金，为“一断面一策”提供资金保障。完善市场化投融资机制，吸引社会资本投资，促进多元化多渠道融资，保障项目资金落实。</w:t>
      </w:r>
    </w:p>
    <w:p>
      <w:pPr>
        <w:pStyle w:val="2"/>
        <w:keepNext w:val="0"/>
        <w:keepLines w:val="0"/>
        <w:pageBreakBefore w:val="0"/>
        <w:widowControl w:val="0"/>
        <w:numPr>
          <w:ilvl w:val="0"/>
          <w:numId w:val="0"/>
        </w:numPr>
        <w:kinsoku/>
        <w:wordWrap/>
        <w:overflowPunct/>
        <w:topLinePunct w:val="0"/>
        <w:autoSpaceDE/>
        <w:bidi w:val="0"/>
        <w:spacing w:before="0" w:beforeLines="0" w:after="0" w:afterLines="0" w:line="540" w:lineRule="exact"/>
        <w:ind w:firstLine="640" w:firstLineChars="200"/>
        <w:textAlignment w:val="auto"/>
        <w:rPr>
          <w:rFonts w:hint="eastAsia" w:ascii="黑体" w:hAnsi="黑体" w:eastAsia="黑体" w:cs="黑体"/>
          <w:b w:val="0"/>
          <w:bCs w:val="0"/>
          <w:sz w:val="32"/>
          <w:szCs w:val="32"/>
          <w:lang w:val="en-US"/>
        </w:rPr>
      </w:pPr>
      <w:bookmarkStart w:id="77" w:name="_Toc112589803"/>
      <w:r>
        <w:rPr>
          <w:rFonts w:hint="eastAsia" w:ascii="黑体" w:hAnsi="黑体" w:eastAsia="黑体" w:cs="黑体"/>
          <w:b w:val="0"/>
          <w:bCs w:val="0"/>
          <w:sz w:val="32"/>
          <w:szCs w:val="32"/>
        </w:rPr>
        <w:t>六、附件</w:t>
      </w:r>
      <w:bookmarkEnd w:id="77"/>
    </w:p>
    <w:p>
      <w:pPr>
        <w:pStyle w:val="4"/>
        <w:keepNext w:val="0"/>
        <w:keepLines w:val="0"/>
        <w:pageBreakBefore w:val="0"/>
        <w:widowControl w:val="0"/>
        <w:numPr>
          <w:ilvl w:val="0"/>
          <w:numId w:val="0"/>
        </w:numPr>
        <w:kinsoku/>
        <w:wordWrap/>
        <w:overflowPunct/>
        <w:topLinePunct w:val="0"/>
        <w:autoSpaceDE/>
        <w:bidi w:val="0"/>
        <w:spacing w:before="0" w:beforeLines="-2147483648" w:after="0" w:afterLines="-2147483648"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78" w:name="_Toc112589805"/>
      <w:r>
        <w:rPr>
          <w:rFonts w:hint="eastAsia" w:ascii="仿宋_GB2312" w:hAnsi="仿宋_GB2312" w:eastAsia="仿宋_GB2312" w:cs="仿宋_GB2312"/>
          <w:color w:val="000000" w:themeColor="text1"/>
          <w:sz w:val="32"/>
          <w:szCs w:val="32"/>
          <w14:textFill>
            <w14:solidFill>
              <w14:schemeClr w14:val="tx1"/>
            </w14:solidFill>
          </w14:textFill>
        </w:rPr>
        <w:t>1.国控断面汇水范围图</w:t>
      </w:r>
      <w:bookmarkEnd w:id="78"/>
    </w:p>
    <w:p>
      <w:pPr>
        <w:jc w:val="center"/>
        <w:rPr>
          <w:rFonts w:cs="Times New Roman"/>
          <w:lang w:val="zh-CN"/>
        </w:rPr>
      </w:pPr>
      <w:r>
        <w:rPr>
          <w:rFonts w:cs="Times New Roman"/>
        </w:rPr>
        <w:drawing>
          <wp:inline distT="0" distB="0" distL="0" distR="0">
            <wp:extent cx="3862070" cy="386207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2603" cy="3862603"/>
                    </a:xfrm>
                    <a:prstGeom prst="rect">
                      <a:avLst/>
                    </a:prstGeom>
                    <a:noFill/>
                    <a:ln>
                      <a:noFill/>
                    </a:ln>
                  </pic:spPr>
                </pic:pic>
              </a:graphicData>
            </a:graphic>
          </wp:inline>
        </w:drawing>
      </w:r>
    </w:p>
    <w:p>
      <w:pPr>
        <w:jc w:val="center"/>
        <w:rPr>
          <w:rFonts w:hint="eastAsia" w:ascii="仿宋_GB2312" w:hAnsi="仿宋_GB2312" w:eastAsia="仿宋_GB2312" w:cs="仿宋_GB2312"/>
          <w:lang w:val="zh-CN"/>
        </w:rPr>
      </w:pPr>
      <w:r>
        <w:rPr>
          <w:rFonts w:hint="eastAsia" w:ascii="仿宋_GB2312" w:hAnsi="仿宋_GB2312" w:eastAsia="仿宋_GB2312" w:cs="仿宋_GB2312"/>
          <w:sz w:val="24"/>
          <w:szCs w:val="20"/>
          <w:lang w:val="zh-CN"/>
        </w:rPr>
        <w:t>图1 伍湖分场断面汇水范围图</w:t>
      </w:r>
    </w:p>
    <w:p>
      <w:pPr>
        <w:pStyle w:val="4"/>
        <w:keepNext w:val="0"/>
        <w:keepLines w:val="0"/>
        <w:pageBreakBefore w:val="0"/>
        <w:widowControl w:val="0"/>
        <w:numPr>
          <w:ilvl w:val="0"/>
          <w:numId w:val="0"/>
        </w:numPr>
        <w:kinsoku/>
        <w:wordWrap/>
        <w:overflowPunct/>
        <w:topLinePunct w:val="0"/>
        <w:autoSpaceDE/>
        <w:bidi w:val="0"/>
        <w:spacing w:before="0" w:beforeLines="-2147483648" w:after="0" w:afterLines="-2147483648"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79" w:name="_Toc112589806"/>
      <w:r>
        <w:rPr>
          <w:rFonts w:hint="eastAsia" w:ascii="仿宋_GB2312" w:hAnsi="仿宋_GB2312" w:eastAsia="仿宋_GB2312" w:cs="仿宋_GB2312"/>
          <w:color w:val="000000" w:themeColor="text1"/>
          <w:sz w:val="32"/>
          <w:szCs w:val="32"/>
          <w14:textFill>
            <w14:solidFill>
              <w14:schemeClr w14:val="tx1"/>
            </w14:solidFill>
          </w14:textFill>
        </w:rPr>
        <w:t>2.水质时空变化示意图</w:t>
      </w:r>
      <w:bookmarkEnd w:id="79"/>
    </w:p>
    <w:p>
      <w:pPr>
        <w:jc w:val="center"/>
        <w:rPr>
          <w:rFonts w:cs="Times New Roman"/>
          <w:sz w:val="24"/>
          <w:szCs w:val="24"/>
        </w:rPr>
      </w:pPr>
      <w:r>
        <w:rPr>
          <w:rFonts w:cs="Times New Roman"/>
        </w:rPr>
        <w:object>
          <v:shape id="_x0000_i1025" o:spt="75" type="#_x0000_t75" style="height:278.5pt;width:311.1pt;" o:ole="t" filled="f" o:preferrelative="t" stroked="f" coordsize="21600,21600">
            <v:path/>
            <v:fill on="f" focussize="0,0"/>
            <v:stroke on="f"/>
            <v:imagedata r:id="rId10" o:title=""/>
            <o:lock v:ext="edit" aspectratio="t"/>
            <w10:wrap type="none"/>
            <w10:anchorlock/>
          </v:shape>
          <o:OLEObject Type="Embed" ProgID="Origin95.Graph" ShapeID="_x0000_i1025" DrawAspect="Content" ObjectID="_1468075725" r:id="rId9">
            <o:LockedField>false</o:LockedField>
          </o:OLEObject>
        </w:objec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hint="eastAsia" w:ascii="仿宋_GB2312" w:hAnsi="仿宋_GB2312" w:eastAsia="仿宋_GB2312" w:cs="仿宋_GB2312"/>
          <w:sz w:val="24"/>
          <w:szCs w:val="20"/>
        </w:rPr>
        <w:t xml:space="preserve">2 </w:t>
      </w:r>
      <w:r>
        <w:rPr>
          <w:rFonts w:hint="eastAsia" w:ascii="仿宋_GB2312" w:hAnsi="仿宋_GB2312" w:eastAsia="仿宋_GB2312" w:cs="仿宋_GB2312"/>
          <w:sz w:val="24"/>
          <w:szCs w:val="24"/>
        </w:rPr>
        <w:t>伍湖分场断面水质时空变化图</w:t>
      </w:r>
    </w:p>
    <w:p>
      <w:pPr>
        <w:pStyle w:val="4"/>
        <w:keepNext w:val="0"/>
        <w:keepLines w:val="0"/>
        <w:pageBreakBefore w:val="0"/>
        <w:widowControl w:val="0"/>
        <w:numPr>
          <w:ilvl w:val="0"/>
          <w:numId w:val="0"/>
        </w:numPr>
        <w:kinsoku/>
        <w:wordWrap/>
        <w:overflowPunct/>
        <w:topLinePunct w:val="0"/>
        <w:autoSpaceDE/>
        <w:bidi w:val="0"/>
        <w:spacing w:before="0" w:beforeLines="-2147483648" w:after="0" w:afterLines="-2147483648"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80" w:name="_Toc112589807"/>
      <w:r>
        <w:rPr>
          <w:rFonts w:hint="eastAsia" w:ascii="仿宋_GB2312" w:hAnsi="仿宋_GB2312" w:eastAsia="仿宋_GB2312" w:cs="仿宋_GB2312"/>
          <w:color w:val="000000" w:themeColor="text1"/>
          <w:sz w:val="32"/>
          <w:szCs w:val="32"/>
          <w14:textFill>
            <w14:solidFill>
              <w14:schemeClr w14:val="tx1"/>
            </w14:solidFill>
          </w14:textFill>
        </w:rPr>
        <w:t>3.污染源分布图</w:t>
      </w:r>
      <w:bookmarkEnd w:id="80"/>
    </w:p>
    <w:p>
      <w:pPr>
        <w:jc w:val="center"/>
        <w:rPr>
          <w:rFonts w:cs="Times New Roman"/>
          <w:lang w:val="zh-CN"/>
        </w:rPr>
      </w:pPr>
      <w:r>
        <w:rPr>
          <w:rFonts w:cs="Times New Roman"/>
        </w:rPr>
        <w:drawing>
          <wp:inline distT="0" distB="0" distL="0" distR="0">
            <wp:extent cx="5310505" cy="2943225"/>
            <wp:effectExtent l="0" t="0" r="4445" b="9525"/>
            <wp:docPr id="8" name="图片 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82048" cy="2983259"/>
                    </a:xfrm>
                    <a:prstGeom prst="rect">
                      <a:avLst/>
                    </a:prstGeom>
                    <a:noFill/>
                    <a:ln>
                      <a:noFill/>
                    </a:ln>
                  </pic:spPr>
                </pic:pic>
              </a:graphicData>
            </a:graphic>
          </wp:inline>
        </w:drawing>
      </w:r>
    </w:p>
    <w:p>
      <w:pPr>
        <w:jc w:val="center"/>
        <w:rPr>
          <w:rFonts w:hint="eastAsia" w:ascii="仿宋_GB2312" w:hAnsi="仿宋_GB2312" w:eastAsia="仿宋_GB2312" w:cs="仿宋_GB2312"/>
          <w:lang w:val="zh-CN"/>
        </w:rPr>
      </w:pPr>
      <w:r>
        <w:rPr>
          <w:rFonts w:hint="eastAsia" w:ascii="仿宋_GB2312" w:hAnsi="仿宋_GB2312" w:eastAsia="仿宋_GB2312" w:cs="仿宋_GB2312"/>
          <w:sz w:val="24"/>
          <w:szCs w:val="20"/>
          <w:lang w:val="zh-CN"/>
        </w:rPr>
        <w:t>图3 污染源分布图</w:t>
      </w:r>
    </w:p>
    <w:p>
      <w:pPr>
        <w:pStyle w:val="4"/>
        <w:keepNext w:val="0"/>
        <w:keepLines w:val="0"/>
        <w:pageBreakBefore w:val="0"/>
        <w:widowControl w:val="0"/>
        <w:numPr>
          <w:ilvl w:val="0"/>
          <w:numId w:val="0"/>
        </w:numPr>
        <w:kinsoku/>
        <w:wordWrap/>
        <w:overflowPunct/>
        <w:topLinePunct w:val="0"/>
        <w:autoSpaceDE/>
        <w:bidi w:val="0"/>
        <w:spacing w:before="0" w:beforeLines="-2147483648" w:after="0" w:afterLines="-2147483648"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81" w:name="_Toc112589808"/>
      <w:r>
        <w:rPr>
          <w:rFonts w:hint="eastAsia" w:ascii="仿宋_GB2312" w:hAnsi="仿宋_GB2312" w:eastAsia="仿宋_GB2312" w:cs="仿宋_GB2312"/>
          <w:color w:val="000000" w:themeColor="text1"/>
          <w:sz w:val="32"/>
          <w:szCs w:val="32"/>
          <w14:textFill>
            <w14:solidFill>
              <w14:schemeClr w14:val="tx1"/>
            </w14:solidFill>
          </w14:textFill>
        </w:rPr>
        <w:t>4.排污口分布图</w:t>
      </w:r>
      <w:bookmarkEnd w:id="81"/>
    </w:p>
    <w:p>
      <w:pPr>
        <w:jc w:val="center"/>
        <w:rPr>
          <w:rFonts w:cs="Times New Roman"/>
          <w:lang w:val="zh-CN"/>
        </w:rPr>
      </w:pPr>
      <w:r>
        <w:rPr>
          <w:rFonts w:cs="Times New Roman"/>
        </w:rPr>
        <w:drawing>
          <wp:inline distT="0" distB="0" distL="0" distR="0">
            <wp:extent cx="5323840" cy="34994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65667" cy="3527154"/>
                    </a:xfrm>
                    <a:prstGeom prst="rect">
                      <a:avLst/>
                    </a:prstGeom>
                    <a:noFill/>
                    <a:ln>
                      <a:noFill/>
                    </a:ln>
                  </pic:spPr>
                </pic:pic>
              </a:graphicData>
            </a:graphic>
          </wp:inline>
        </w:drawing>
      </w:r>
    </w:p>
    <w:p>
      <w:pPr>
        <w:jc w:val="center"/>
        <w:rPr>
          <w:rFonts w:hint="eastAsia" w:ascii="仿宋_GB2312" w:hAnsi="仿宋_GB2312" w:eastAsia="仿宋_GB2312" w:cs="仿宋_GB2312"/>
          <w:b/>
          <w:bCs/>
          <w:lang w:val="zh-CN"/>
        </w:rPr>
      </w:pPr>
      <w:r>
        <w:rPr>
          <w:rFonts w:hint="eastAsia" w:ascii="仿宋_GB2312" w:hAnsi="仿宋_GB2312" w:eastAsia="仿宋_GB2312" w:cs="仿宋_GB2312"/>
          <w:sz w:val="24"/>
          <w:szCs w:val="24"/>
        </w:rPr>
        <w:t>图</w:t>
      </w:r>
      <w:r>
        <w:rPr>
          <w:rFonts w:hint="eastAsia" w:ascii="仿宋_GB2312" w:hAnsi="仿宋_GB2312" w:eastAsia="仿宋_GB2312" w:cs="仿宋_GB2312"/>
          <w:kern w:val="0"/>
          <w:sz w:val="24"/>
          <w:szCs w:val="24"/>
          <w:lang w:bidi="ar"/>
        </w:rPr>
        <w:t>4</w:t>
      </w:r>
      <w:r>
        <w:rPr>
          <w:rFonts w:hint="eastAsia" w:ascii="仿宋_GB2312" w:hAnsi="仿宋_GB2312" w:eastAsia="仿宋_GB2312" w:cs="仿宋_GB2312"/>
          <w:sz w:val="24"/>
          <w:szCs w:val="24"/>
        </w:rPr>
        <w:t xml:space="preserve"> 伍湖分场断面排污口分布图</w:t>
      </w:r>
    </w:p>
    <w:p>
      <w:pPr>
        <w:pStyle w:val="4"/>
        <w:keepNext w:val="0"/>
        <w:keepLines w:val="0"/>
        <w:pageBreakBefore w:val="0"/>
        <w:widowControl w:val="0"/>
        <w:numPr>
          <w:ilvl w:val="0"/>
          <w:numId w:val="0"/>
        </w:numPr>
        <w:kinsoku/>
        <w:wordWrap/>
        <w:overflowPunct/>
        <w:topLinePunct w:val="0"/>
        <w:autoSpaceDE/>
        <w:bidi w:val="0"/>
        <w:spacing w:before="0" w:beforeLines="-2147483648" w:after="0" w:afterLines="-2147483648"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82" w:name="_Toc112589809"/>
      <w:r>
        <w:rPr>
          <w:rFonts w:hint="eastAsia" w:ascii="仿宋_GB2312" w:hAnsi="仿宋_GB2312" w:eastAsia="仿宋_GB2312" w:cs="仿宋_GB2312"/>
          <w:color w:val="000000" w:themeColor="text1"/>
          <w:sz w:val="32"/>
          <w:szCs w:val="32"/>
          <w14:textFill>
            <w14:solidFill>
              <w14:schemeClr w14:val="tx1"/>
            </w14:solidFill>
          </w14:textFill>
        </w:rPr>
        <w:t>5.加密监测点位图</w:t>
      </w:r>
      <w:bookmarkEnd w:id="82"/>
    </w:p>
    <w:p>
      <w:pPr>
        <w:jc w:val="center"/>
        <w:rPr>
          <w:rFonts w:cs="Times New Roman"/>
          <w:lang w:val="zh-CN"/>
        </w:rPr>
      </w:pPr>
      <w:r>
        <w:rPr>
          <w:rFonts w:cs="Times New Roman"/>
        </w:rPr>
        <w:drawing>
          <wp:inline distT="0" distB="0" distL="0" distR="0">
            <wp:extent cx="3194050" cy="451739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4168" cy="4517490"/>
                    </a:xfrm>
                    <a:prstGeom prst="rect">
                      <a:avLst/>
                    </a:prstGeom>
                    <a:noFill/>
                    <a:ln>
                      <a:noFill/>
                    </a:ln>
                  </pic:spPr>
                </pic:pic>
              </a:graphicData>
            </a:graphic>
          </wp:inline>
        </w:drawing>
      </w:r>
    </w:p>
    <w:p>
      <w:pPr>
        <w:jc w:val="center"/>
        <w:rPr>
          <w:rFonts w:cs="Times New Roman"/>
          <w:sz w:val="24"/>
          <w:szCs w:val="24"/>
          <w:lang w:val="zh-CN"/>
        </w:rPr>
      </w:pPr>
      <w:r>
        <w:rPr>
          <w:rFonts w:cs="Times New Roman"/>
          <w:sz w:val="24"/>
          <w:szCs w:val="24"/>
          <w:lang w:val="zh-CN"/>
        </w:rPr>
        <w:t>图</w:t>
      </w:r>
      <w:r>
        <w:rPr>
          <w:sz w:val="24"/>
          <w:szCs w:val="24"/>
        </w:rPr>
        <w:t>5</w:t>
      </w:r>
      <w:r>
        <w:rPr>
          <w:rFonts w:cs="Times New Roman"/>
          <w:sz w:val="24"/>
          <w:szCs w:val="24"/>
          <w:lang w:val="zh-CN"/>
        </w:rPr>
        <w:t xml:space="preserve"> 加密监测点位图</w:t>
      </w:r>
    </w:p>
    <w:p>
      <w:pPr>
        <w:pStyle w:val="4"/>
        <w:keepNext w:val="0"/>
        <w:keepLines w:val="0"/>
        <w:pageBreakBefore w:val="0"/>
        <w:widowControl w:val="0"/>
        <w:numPr>
          <w:ilvl w:val="0"/>
          <w:numId w:val="0"/>
        </w:numPr>
        <w:kinsoku/>
        <w:wordWrap/>
        <w:overflowPunct/>
        <w:topLinePunct w:val="0"/>
        <w:autoSpaceDE/>
        <w:bidi w:val="0"/>
        <w:spacing w:before="0" w:beforeLines="-2147483648" w:after="0" w:afterLines="-2147483648"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83" w:name="_Toc112589810"/>
      <w:r>
        <w:rPr>
          <w:rFonts w:hint="eastAsia" w:ascii="仿宋_GB2312" w:hAnsi="仿宋_GB2312" w:eastAsia="仿宋_GB2312" w:cs="仿宋_GB2312"/>
          <w:color w:val="000000" w:themeColor="text1"/>
          <w:sz w:val="32"/>
          <w:szCs w:val="32"/>
          <w14:textFill>
            <w14:solidFill>
              <w14:schemeClr w14:val="tx1"/>
            </w14:solidFill>
          </w14:textFill>
        </w:rPr>
        <w:t>6.重点项目清单</w:t>
      </w:r>
      <w:bookmarkEnd w:id="83"/>
    </w:p>
    <w:p>
      <w:pPr>
        <w:pStyle w:val="262"/>
        <w:ind w:firstLine="480"/>
        <w:jc w:val="center"/>
        <w:rPr>
          <w:rFonts w:hint="eastAsia" w:ascii="仿宋_GB2312" w:hAnsi="仿宋_GB2312" w:eastAsia="仿宋_GB2312" w:cs="仿宋_GB2312"/>
          <w:sz w:val="24"/>
        </w:rPr>
      </w:pPr>
      <w:r>
        <w:rPr>
          <w:rFonts w:hint="eastAsia" w:ascii="仿宋_GB2312" w:hAnsi="仿宋_GB2312" w:eastAsia="仿宋_GB2312" w:cs="仿宋_GB2312"/>
          <w:sz w:val="24"/>
          <w:szCs w:val="22"/>
        </w:rPr>
        <w:t>表1 伍湖分场断面“一断面一策”重点项目清单</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427"/>
        <w:gridCol w:w="1609"/>
        <w:gridCol w:w="2457"/>
        <w:gridCol w:w="1301"/>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序号</w:t>
            </w:r>
          </w:p>
        </w:tc>
        <w:tc>
          <w:tcPr>
            <w:tcW w:w="0" w:type="auto"/>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类型</w:t>
            </w:r>
          </w:p>
        </w:tc>
        <w:tc>
          <w:tcPr>
            <w:tcW w:w="0" w:type="auto"/>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项目名称</w:t>
            </w:r>
          </w:p>
        </w:tc>
        <w:tc>
          <w:tcPr>
            <w:tcW w:w="0" w:type="auto"/>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项目内容</w:t>
            </w:r>
          </w:p>
        </w:tc>
        <w:tc>
          <w:tcPr>
            <w:tcW w:w="0" w:type="auto"/>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计划投资（万元）</w:t>
            </w:r>
          </w:p>
        </w:tc>
        <w:tc>
          <w:tcPr>
            <w:tcW w:w="0" w:type="auto"/>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完成年限（年）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1</w:t>
            </w:r>
          </w:p>
        </w:tc>
        <w:tc>
          <w:tcPr>
            <w:tcW w:w="0" w:type="auto"/>
            <w:tcBorders>
              <w:top w:val="single" w:color="auto" w:sz="4" w:space="0"/>
              <w:left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农业源治理工程与管理措施</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环鄱阳湖农村化肥减量增效项目</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降低铁河乡、联圩镇环鄱阳湖乡镇农村化肥使用量</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183.00</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2</w:t>
            </w:r>
          </w:p>
        </w:tc>
        <w:tc>
          <w:tcPr>
            <w:tcW w:w="0" w:type="auto"/>
            <w:tcBorders>
              <w:top w:val="single" w:color="auto" w:sz="4" w:space="0"/>
              <w:left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szCs w:val="21"/>
              </w:rPr>
              <w:t>其它治理措施</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szCs w:val="21"/>
              </w:rPr>
              <w:t>碟形湖闸口维修工程</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szCs w:val="21"/>
              </w:rPr>
              <w:t>伍湖分场断面上游闸口维修</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szCs w:val="21"/>
              </w:rPr>
              <w:t>40.00</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szCs w:val="21"/>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gridSpan w:val="4"/>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合计</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r>
              <w:rPr>
                <w:rFonts w:hint="eastAsia" w:ascii="仿宋_GB2312" w:hAnsi="仿宋_GB2312" w:eastAsia="仿宋_GB2312" w:cs="仿宋_GB2312"/>
              </w:rPr>
              <w:t>223.00</w:t>
            </w:r>
          </w:p>
        </w:tc>
        <w:tc>
          <w:tcPr>
            <w:tcW w:w="0" w:type="auto"/>
            <w:tcBorders>
              <w:top w:val="single" w:color="auto" w:sz="4" w:space="0"/>
              <w:left w:val="single" w:color="auto" w:sz="4" w:space="0"/>
              <w:bottom w:val="single" w:color="auto" w:sz="4" w:space="0"/>
              <w:right w:val="single" w:color="auto" w:sz="4" w:space="0"/>
            </w:tcBorders>
            <w:vAlign w:val="center"/>
          </w:tcPr>
          <w:p>
            <w:pPr>
              <w:pStyle w:val="277"/>
              <w:rPr>
                <w:rFonts w:hint="eastAsia" w:ascii="仿宋_GB2312" w:hAnsi="仿宋_GB2312" w:eastAsia="仿宋_GB2312" w:cs="仿宋_GB2312"/>
              </w:rPr>
            </w:pPr>
            <w:bookmarkStart w:id="84" w:name="_GoBack"/>
            <w:bookmarkEnd w:id="84"/>
          </w:p>
        </w:tc>
      </w:tr>
    </w:tbl>
    <w:p>
      <w:pPr>
        <w:pStyle w:val="262"/>
        <w:ind w:firstLine="0" w:firstLineChars="0"/>
        <w:rPr>
          <w:lang w:val="zh-CN"/>
        </w:rPr>
      </w:pPr>
    </w:p>
    <w:sectPr>
      <w:footerReference r:id="rId5" w:type="default"/>
      <w:pgSz w:w="11906" w:h="16838"/>
      <w:pgMar w:top="1440" w:right="1800" w:bottom="1440" w:left="1800" w:header="851" w:footer="992" w:gutter="0"/>
      <w:pgNumType w:start="1"/>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Droid Sans Ethiop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Droid Sans Ethiopic"/>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Cambria Math">
    <w:altName w:val="DejaVu Math TeX Gyre"/>
    <w:panose1 w:val="02040503050406030204"/>
    <w:charset w:val="00"/>
    <w:family w:val="roman"/>
    <w:pitch w:val="default"/>
    <w:sig w:usb0="00000000"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DY36+ZMcCNq-36">
    <w:altName w:val="仿宋_GB2312"/>
    <w:panose1 w:val="00000000000000000000"/>
    <w:charset w:val="00"/>
    <w:family w:val="roman"/>
    <w:pitch w:val="default"/>
    <w:sig w:usb0="00000000" w:usb1="00000000" w:usb2="00000000" w:usb3="00000000" w:csb0="00000000" w:csb1="00000000"/>
  </w:font>
  <w:font w:name="DY35+ZMcCNq-35">
    <w:altName w:val="仿宋_GB2312"/>
    <w:panose1 w:val="00000000000000000000"/>
    <w:charset w:val="00"/>
    <w:family w:val="roman"/>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DejaVu Math TeX Gyre">
    <w:panose1 w:val="02000503000000000000"/>
    <w:charset w:val="00"/>
    <w:family w:val="auto"/>
    <w:pitch w:val="default"/>
    <w:sig w:usb0="A10000EF" w:usb1="4201F9EE" w:usb2="02000000" w:usb3="00000000" w:csb0="60000193" w:csb1="0DD40000"/>
  </w:font>
  <w:font w:name="Droid Sans Ethiopic">
    <w:panose1 w:val="020B0606030804020204"/>
    <w:charset w:val="00"/>
    <w:family w:val="auto"/>
    <w:pitch w:val="default"/>
    <w:sig w:usb0="00000003" w:usb1="00000000" w:usb2="000008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3237003"/>
      <w:docPartObj>
        <w:docPartGallery w:val="autotext"/>
      </w:docPartObj>
    </w:sdtPr>
    <w:sdtContent>
      <w:p>
        <w:pPr>
          <w:pStyle w:val="27"/>
          <w:jc w:val="center"/>
        </w:pPr>
        <w:r>
          <w:fldChar w:fldCharType="begin"/>
        </w:r>
        <w:r>
          <w:instrText xml:space="preserve">PAGE   \* MERGEFORMAT</w:instrText>
        </w:r>
        <w:r>
          <w:fldChar w:fldCharType="separate"/>
        </w:r>
        <w: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chineseCountingThousand"/>
      <w:pStyle w:val="190"/>
      <w:lvlText w:val="（%1）"/>
      <w:lvlJc w:val="left"/>
      <w:pPr>
        <w:ind w:left="840" w:hanging="420"/>
      </w:pPr>
      <w:rPr>
        <w:rFonts w:hint="eastAsia" w:ascii="Wingdings" w:eastAsia="Wingding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F"/>
    <w:multiLevelType w:val="multilevel"/>
    <w:tmpl w:val="0000000F"/>
    <w:lvl w:ilvl="0" w:tentative="0">
      <w:start w:val="1"/>
      <w:numFmt w:val="decimal"/>
      <w:pStyle w:val="197"/>
      <w:lvlText w:val="表4-%1 "/>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pStyle w:val="176"/>
      <w:lvlText w:val="%1、"/>
      <w:lvlJc w:val="left"/>
      <w:pPr>
        <w:ind w:left="840"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9"/>
    <w:multiLevelType w:val="multilevel"/>
    <w:tmpl w:val="00000019"/>
    <w:lvl w:ilvl="0" w:tentative="0">
      <w:start w:val="1"/>
      <w:numFmt w:val="decimal"/>
      <w:suff w:val="space"/>
      <w:lvlText w:val="专题%1"/>
      <w:lvlJc w:val="left"/>
      <w:pPr>
        <w:ind w:left="0" w:firstLine="0"/>
      </w:pPr>
      <w:rPr>
        <w:rFonts w:hint="eastAsia" w:ascii="Symbol" w:eastAsia="Symbol"/>
        <w:sz w:val="32"/>
        <w:szCs w:val="32"/>
      </w:rPr>
    </w:lvl>
    <w:lvl w:ilvl="1" w:tentative="0">
      <w:start w:val="1"/>
      <w:numFmt w:val="decimal"/>
      <w:pStyle w:val="220"/>
      <w:lvlText w:val="第%2章"/>
      <w:lvlJc w:val="left"/>
      <w:pPr>
        <w:ind w:left="0" w:firstLine="0"/>
      </w:pPr>
      <w:rPr>
        <w:rFonts w:hint="eastAsia"/>
        <w:sz w:val="32"/>
        <w:szCs w:val="28"/>
      </w:rPr>
    </w:lvl>
    <w:lvl w:ilvl="2" w:tentative="0">
      <w:start w:val="1"/>
      <w:numFmt w:val="decimal"/>
      <w:pStyle w:val="221"/>
      <w:suff w:val="space"/>
      <w:lvlText w:val="%2.%3 "/>
      <w:lvlJc w:val="left"/>
      <w:pPr>
        <w:ind w:left="3545" w:firstLine="0"/>
      </w:pPr>
      <w:rPr>
        <w:rFonts w:hint="default" w:ascii="Cambria Math" w:hAnsi="Cambria Math" w:eastAsia="Symbol" w:cs="Cambria Math"/>
        <w:sz w:val="28"/>
        <w:szCs w:val="24"/>
      </w:rPr>
    </w:lvl>
    <w:lvl w:ilvl="3" w:tentative="0">
      <w:start w:val="1"/>
      <w:numFmt w:val="decimal"/>
      <w:pStyle w:val="106"/>
      <w:isLgl/>
      <w:suff w:val="space"/>
      <w:lvlText w:val="%2.%3.%4 "/>
      <w:lvlJc w:val="left"/>
      <w:pPr>
        <w:ind w:left="0" w:firstLine="0"/>
      </w:pPr>
    </w:lvl>
    <w:lvl w:ilvl="4" w:tentative="0">
      <w:start w:val="1"/>
      <w:numFmt w:val="decimal"/>
      <w:lvlText w:val="%2.%3.%4.%5"/>
      <w:lvlJc w:val="left"/>
      <w:pPr>
        <w:tabs>
          <w:tab w:val="left" w:pos="1192"/>
        </w:tabs>
        <w:ind w:left="1192" w:hanging="992"/>
      </w:pPr>
      <w:rPr>
        <w:rFonts w:hint="default" w:ascii="Cambria Math" w:hAnsi="Cambria Math" w:cs="Cambria Math"/>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4">
    <w:nsid w:val="35344690"/>
    <w:multiLevelType w:val="multilevel"/>
    <w:tmpl w:val="35344690"/>
    <w:lvl w:ilvl="0" w:tentative="0">
      <w:start w:val="1"/>
      <w:numFmt w:val="decimal"/>
      <w:pStyle w:val="2"/>
      <w:lvlText w:val="第%1章 "/>
      <w:lvlJc w:val="left"/>
      <w:pPr>
        <w:ind w:left="3551" w:hanging="432"/>
      </w:pPr>
      <w:rPr>
        <w:rFonts w:hint="eastAsia"/>
        <w:lang w:val="en-US"/>
      </w:rPr>
    </w:lvl>
    <w:lvl w:ilvl="1" w:tentative="0">
      <w:start w:val="1"/>
      <w:numFmt w:val="decimal"/>
      <w:pStyle w:val="3"/>
      <w:lvlText w:val="%1.%2"/>
      <w:lvlJc w:val="left"/>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rPr>
        <w:rFonts w:ascii="Times New Roman" w:hAnsi="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5"/>
      <w:lvlText w:val="%1.%2.%3.%4"/>
      <w:lvlJc w:val="left"/>
      <w:rPr>
        <w:rFonts w:ascii="Times New Roman" w:hAnsi="Times New Roman"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2008"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displayHorizont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wNjIzNjK0NDE3sLRQ0lEKTi0uzszPAykwMakFAFQ0lUotAAAA"/>
    <w:docVar w:name="commondata" w:val="eyJoZGlkIjoiNjIxNzQ5MmVkYzNiNTI4MjgxOWI1YmJjYzY2MjI1ZGEifQ=="/>
  </w:docVars>
  <w:rsids>
    <w:rsidRoot w:val="00172A27"/>
    <w:rsid w:val="0000016C"/>
    <w:rsid w:val="000039B3"/>
    <w:rsid w:val="00003F30"/>
    <w:rsid w:val="0000752E"/>
    <w:rsid w:val="00007E9D"/>
    <w:rsid w:val="00010FC1"/>
    <w:rsid w:val="00011257"/>
    <w:rsid w:val="00011D78"/>
    <w:rsid w:val="00013B59"/>
    <w:rsid w:val="0001437C"/>
    <w:rsid w:val="00014566"/>
    <w:rsid w:val="00014A9E"/>
    <w:rsid w:val="00014F7A"/>
    <w:rsid w:val="000163E5"/>
    <w:rsid w:val="000175F4"/>
    <w:rsid w:val="0002022D"/>
    <w:rsid w:val="00020452"/>
    <w:rsid w:val="00020B70"/>
    <w:rsid w:val="000233B5"/>
    <w:rsid w:val="00024B16"/>
    <w:rsid w:val="00024D02"/>
    <w:rsid w:val="000257CF"/>
    <w:rsid w:val="000258BD"/>
    <w:rsid w:val="0002730B"/>
    <w:rsid w:val="00027903"/>
    <w:rsid w:val="00027B47"/>
    <w:rsid w:val="00032399"/>
    <w:rsid w:val="00034106"/>
    <w:rsid w:val="00034416"/>
    <w:rsid w:val="00035D71"/>
    <w:rsid w:val="0003615C"/>
    <w:rsid w:val="0003730B"/>
    <w:rsid w:val="00040F0B"/>
    <w:rsid w:val="000427FC"/>
    <w:rsid w:val="00042ECC"/>
    <w:rsid w:val="00043128"/>
    <w:rsid w:val="000431A4"/>
    <w:rsid w:val="00043837"/>
    <w:rsid w:val="000458D0"/>
    <w:rsid w:val="00046477"/>
    <w:rsid w:val="00047F46"/>
    <w:rsid w:val="0005002A"/>
    <w:rsid w:val="0005056C"/>
    <w:rsid w:val="0005136A"/>
    <w:rsid w:val="0005279A"/>
    <w:rsid w:val="00055C81"/>
    <w:rsid w:val="00056486"/>
    <w:rsid w:val="00056CB2"/>
    <w:rsid w:val="0005734C"/>
    <w:rsid w:val="0006067B"/>
    <w:rsid w:val="00060BC7"/>
    <w:rsid w:val="000625DB"/>
    <w:rsid w:val="000626A3"/>
    <w:rsid w:val="00062900"/>
    <w:rsid w:val="0006290B"/>
    <w:rsid w:val="00062CCD"/>
    <w:rsid w:val="0006387E"/>
    <w:rsid w:val="000650EF"/>
    <w:rsid w:val="00065FE3"/>
    <w:rsid w:val="000662E9"/>
    <w:rsid w:val="000676B0"/>
    <w:rsid w:val="00067AD9"/>
    <w:rsid w:val="00067D30"/>
    <w:rsid w:val="0007051A"/>
    <w:rsid w:val="00073356"/>
    <w:rsid w:val="000739B2"/>
    <w:rsid w:val="00076F35"/>
    <w:rsid w:val="00077181"/>
    <w:rsid w:val="00081E1F"/>
    <w:rsid w:val="0008316D"/>
    <w:rsid w:val="0008379C"/>
    <w:rsid w:val="0008418B"/>
    <w:rsid w:val="000854E0"/>
    <w:rsid w:val="00085CD7"/>
    <w:rsid w:val="0009178D"/>
    <w:rsid w:val="00091F48"/>
    <w:rsid w:val="00093A3F"/>
    <w:rsid w:val="00094364"/>
    <w:rsid w:val="000952CA"/>
    <w:rsid w:val="00095375"/>
    <w:rsid w:val="00095FB0"/>
    <w:rsid w:val="0009685C"/>
    <w:rsid w:val="000A0A1D"/>
    <w:rsid w:val="000A1625"/>
    <w:rsid w:val="000A52AC"/>
    <w:rsid w:val="000A5736"/>
    <w:rsid w:val="000A5F21"/>
    <w:rsid w:val="000A65C4"/>
    <w:rsid w:val="000B01FD"/>
    <w:rsid w:val="000B224A"/>
    <w:rsid w:val="000B31A2"/>
    <w:rsid w:val="000B3ED6"/>
    <w:rsid w:val="000B485D"/>
    <w:rsid w:val="000C0086"/>
    <w:rsid w:val="000C025E"/>
    <w:rsid w:val="000C036D"/>
    <w:rsid w:val="000C03B2"/>
    <w:rsid w:val="000C1605"/>
    <w:rsid w:val="000C3199"/>
    <w:rsid w:val="000C3DCB"/>
    <w:rsid w:val="000C43CC"/>
    <w:rsid w:val="000C4AA6"/>
    <w:rsid w:val="000C4D4E"/>
    <w:rsid w:val="000C691A"/>
    <w:rsid w:val="000C7AF2"/>
    <w:rsid w:val="000D01E3"/>
    <w:rsid w:val="000D03ED"/>
    <w:rsid w:val="000D1E0E"/>
    <w:rsid w:val="000D2278"/>
    <w:rsid w:val="000D4056"/>
    <w:rsid w:val="000D4096"/>
    <w:rsid w:val="000D4E5C"/>
    <w:rsid w:val="000D6AAB"/>
    <w:rsid w:val="000D7590"/>
    <w:rsid w:val="000D7DD5"/>
    <w:rsid w:val="000E0F15"/>
    <w:rsid w:val="000E2514"/>
    <w:rsid w:val="000E4820"/>
    <w:rsid w:val="000E4DAC"/>
    <w:rsid w:val="000F08A9"/>
    <w:rsid w:val="000F0AE9"/>
    <w:rsid w:val="000F10CC"/>
    <w:rsid w:val="000F236D"/>
    <w:rsid w:val="000F265C"/>
    <w:rsid w:val="000F306B"/>
    <w:rsid w:val="000F316C"/>
    <w:rsid w:val="000F3799"/>
    <w:rsid w:val="000F4C7B"/>
    <w:rsid w:val="000F5011"/>
    <w:rsid w:val="000F78E8"/>
    <w:rsid w:val="00100407"/>
    <w:rsid w:val="001009C3"/>
    <w:rsid w:val="0010148F"/>
    <w:rsid w:val="00101BA0"/>
    <w:rsid w:val="00101C09"/>
    <w:rsid w:val="00102634"/>
    <w:rsid w:val="001028EF"/>
    <w:rsid w:val="00104889"/>
    <w:rsid w:val="0010586A"/>
    <w:rsid w:val="001059A4"/>
    <w:rsid w:val="00107429"/>
    <w:rsid w:val="0010748B"/>
    <w:rsid w:val="00107C08"/>
    <w:rsid w:val="001102AB"/>
    <w:rsid w:val="00111473"/>
    <w:rsid w:val="00113435"/>
    <w:rsid w:val="0011382A"/>
    <w:rsid w:val="00113B3F"/>
    <w:rsid w:val="00116032"/>
    <w:rsid w:val="001169B8"/>
    <w:rsid w:val="00117FCD"/>
    <w:rsid w:val="001201F1"/>
    <w:rsid w:val="001218AE"/>
    <w:rsid w:val="00122FF5"/>
    <w:rsid w:val="001269AB"/>
    <w:rsid w:val="00131100"/>
    <w:rsid w:val="00132C16"/>
    <w:rsid w:val="001357AE"/>
    <w:rsid w:val="00136000"/>
    <w:rsid w:val="00142BC0"/>
    <w:rsid w:val="00142F00"/>
    <w:rsid w:val="001434D3"/>
    <w:rsid w:val="00143E00"/>
    <w:rsid w:val="0014501A"/>
    <w:rsid w:val="001460C5"/>
    <w:rsid w:val="00146E5D"/>
    <w:rsid w:val="00150B7D"/>
    <w:rsid w:val="00151674"/>
    <w:rsid w:val="0015177A"/>
    <w:rsid w:val="00155280"/>
    <w:rsid w:val="00157457"/>
    <w:rsid w:val="0015763C"/>
    <w:rsid w:val="00160F86"/>
    <w:rsid w:val="00162A32"/>
    <w:rsid w:val="001639CD"/>
    <w:rsid w:val="00165CE9"/>
    <w:rsid w:val="00165E8F"/>
    <w:rsid w:val="001671FC"/>
    <w:rsid w:val="001672AA"/>
    <w:rsid w:val="00167AA1"/>
    <w:rsid w:val="00170BB6"/>
    <w:rsid w:val="00170F63"/>
    <w:rsid w:val="001710A8"/>
    <w:rsid w:val="00171450"/>
    <w:rsid w:val="0017190D"/>
    <w:rsid w:val="00172A27"/>
    <w:rsid w:val="0017395F"/>
    <w:rsid w:val="00173A58"/>
    <w:rsid w:val="00175243"/>
    <w:rsid w:val="001753F9"/>
    <w:rsid w:val="00176403"/>
    <w:rsid w:val="00176D0F"/>
    <w:rsid w:val="0017785E"/>
    <w:rsid w:val="0018026B"/>
    <w:rsid w:val="001808F2"/>
    <w:rsid w:val="001823EE"/>
    <w:rsid w:val="00182BE9"/>
    <w:rsid w:val="00183E2F"/>
    <w:rsid w:val="00190F05"/>
    <w:rsid w:val="001913BE"/>
    <w:rsid w:val="00191ABE"/>
    <w:rsid w:val="00192EFB"/>
    <w:rsid w:val="0019391D"/>
    <w:rsid w:val="00193D89"/>
    <w:rsid w:val="00194D45"/>
    <w:rsid w:val="00194F1B"/>
    <w:rsid w:val="0019637F"/>
    <w:rsid w:val="00196EB6"/>
    <w:rsid w:val="00196ED5"/>
    <w:rsid w:val="001A2A63"/>
    <w:rsid w:val="001A2E68"/>
    <w:rsid w:val="001A2EC2"/>
    <w:rsid w:val="001A387F"/>
    <w:rsid w:val="001A3EC4"/>
    <w:rsid w:val="001A475A"/>
    <w:rsid w:val="001A51C8"/>
    <w:rsid w:val="001A54DA"/>
    <w:rsid w:val="001A5FBE"/>
    <w:rsid w:val="001A70EA"/>
    <w:rsid w:val="001B0348"/>
    <w:rsid w:val="001B06ED"/>
    <w:rsid w:val="001B1F11"/>
    <w:rsid w:val="001B261B"/>
    <w:rsid w:val="001B2FDF"/>
    <w:rsid w:val="001B35B8"/>
    <w:rsid w:val="001B42B0"/>
    <w:rsid w:val="001B70D7"/>
    <w:rsid w:val="001C0E8F"/>
    <w:rsid w:val="001C2A65"/>
    <w:rsid w:val="001C2A6B"/>
    <w:rsid w:val="001C4622"/>
    <w:rsid w:val="001C5D83"/>
    <w:rsid w:val="001C5F55"/>
    <w:rsid w:val="001C5F58"/>
    <w:rsid w:val="001C6089"/>
    <w:rsid w:val="001C6F55"/>
    <w:rsid w:val="001C715D"/>
    <w:rsid w:val="001C7970"/>
    <w:rsid w:val="001D11AB"/>
    <w:rsid w:val="001D2397"/>
    <w:rsid w:val="001D3A04"/>
    <w:rsid w:val="001D7112"/>
    <w:rsid w:val="001D7F77"/>
    <w:rsid w:val="001E0E1E"/>
    <w:rsid w:val="001E15ED"/>
    <w:rsid w:val="001E162C"/>
    <w:rsid w:val="001E23CE"/>
    <w:rsid w:val="001E2F72"/>
    <w:rsid w:val="001E34D0"/>
    <w:rsid w:val="001E5468"/>
    <w:rsid w:val="001E5EED"/>
    <w:rsid w:val="001E6418"/>
    <w:rsid w:val="001E7602"/>
    <w:rsid w:val="001F2EB1"/>
    <w:rsid w:val="001F2F16"/>
    <w:rsid w:val="001F4B3C"/>
    <w:rsid w:val="001F5DBD"/>
    <w:rsid w:val="001F71DC"/>
    <w:rsid w:val="001F7943"/>
    <w:rsid w:val="00200458"/>
    <w:rsid w:val="00200E28"/>
    <w:rsid w:val="002028C9"/>
    <w:rsid w:val="002039FD"/>
    <w:rsid w:val="002049C4"/>
    <w:rsid w:val="00204A7A"/>
    <w:rsid w:val="00205B0A"/>
    <w:rsid w:val="00206433"/>
    <w:rsid w:val="00210735"/>
    <w:rsid w:val="002127EC"/>
    <w:rsid w:val="002166EB"/>
    <w:rsid w:val="00217734"/>
    <w:rsid w:val="002212AF"/>
    <w:rsid w:val="00221D26"/>
    <w:rsid w:val="002222E5"/>
    <w:rsid w:val="00223C9B"/>
    <w:rsid w:val="00224130"/>
    <w:rsid w:val="00226694"/>
    <w:rsid w:val="00226C19"/>
    <w:rsid w:val="00231A90"/>
    <w:rsid w:val="00232B75"/>
    <w:rsid w:val="00232D16"/>
    <w:rsid w:val="002348E4"/>
    <w:rsid w:val="002349F4"/>
    <w:rsid w:val="00240AD7"/>
    <w:rsid w:val="00240ADC"/>
    <w:rsid w:val="00240F8A"/>
    <w:rsid w:val="00241107"/>
    <w:rsid w:val="00241F22"/>
    <w:rsid w:val="002423C8"/>
    <w:rsid w:val="002423EA"/>
    <w:rsid w:val="002431B5"/>
    <w:rsid w:val="00244349"/>
    <w:rsid w:val="00244993"/>
    <w:rsid w:val="00245F37"/>
    <w:rsid w:val="002464B1"/>
    <w:rsid w:val="00247189"/>
    <w:rsid w:val="002471C0"/>
    <w:rsid w:val="002478FC"/>
    <w:rsid w:val="002519F5"/>
    <w:rsid w:val="00253337"/>
    <w:rsid w:val="00254304"/>
    <w:rsid w:val="00254E49"/>
    <w:rsid w:val="00256F06"/>
    <w:rsid w:val="0025704B"/>
    <w:rsid w:val="00260279"/>
    <w:rsid w:val="00265433"/>
    <w:rsid w:val="00265BA1"/>
    <w:rsid w:val="00266AB5"/>
    <w:rsid w:val="0026775F"/>
    <w:rsid w:val="002679B6"/>
    <w:rsid w:val="00270EB5"/>
    <w:rsid w:val="00272EAA"/>
    <w:rsid w:val="0027336E"/>
    <w:rsid w:val="00273441"/>
    <w:rsid w:val="002735FF"/>
    <w:rsid w:val="00275281"/>
    <w:rsid w:val="002755A7"/>
    <w:rsid w:val="0027655F"/>
    <w:rsid w:val="00276926"/>
    <w:rsid w:val="00276C30"/>
    <w:rsid w:val="00277817"/>
    <w:rsid w:val="00277CD9"/>
    <w:rsid w:val="00281422"/>
    <w:rsid w:val="002827CF"/>
    <w:rsid w:val="00284894"/>
    <w:rsid w:val="002850CF"/>
    <w:rsid w:val="00287023"/>
    <w:rsid w:val="00287197"/>
    <w:rsid w:val="0028722C"/>
    <w:rsid w:val="00290C71"/>
    <w:rsid w:val="00293203"/>
    <w:rsid w:val="00294459"/>
    <w:rsid w:val="00294C51"/>
    <w:rsid w:val="0029594D"/>
    <w:rsid w:val="0029616A"/>
    <w:rsid w:val="002A662E"/>
    <w:rsid w:val="002B1A34"/>
    <w:rsid w:val="002B318E"/>
    <w:rsid w:val="002B5A19"/>
    <w:rsid w:val="002B66E9"/>
    <w:rsid w:val="002B6B73"/>
    <w:rsid w:val="002B7866"/>
    <w:rsid w:val="002B7F2A"/>
    <w:rsid w:val="002C02E8"/>
    <w:rsid w:val="002C03FA"/>
    <w:rsid w:val="002C0745"/>
    <w:rsid w:val="002C4E13"/>
    <w:rsid w:val="002C5290"/>
    <w:rsid w:val="002C5D29"/>
    <w:rsid w:val="002C7940"/>
    <w:rsid w:val="002D04F9"/>
    <w:rsid w:val="002D066E"/>
    <w:rsid w:val="002D0869"/>
    <w:rsid w:val="002D0D98"/>
    <w:rsid w:val="002D27F9"/>
    <w:rsid w:val="002D3975"/>
    <w:rsid w:val="002D3F36"/>
    <w:rsid w:val="002D480C"/>
    <w:rsid w:val="002E155D"/>
    <w:rsid w:val="002E17C9"/>
    <w:rsid w:val="002E27E4"/>
    <w:rsid w:val="002E38F7"/>
    <w:rsid w:val="002E4B07"/>
    <w:rsid w:val="002E4E3E"/>
    <w:rsid w:val="002E5E91"/>
    <w:rsid w:val="002E7D7C"/>
    <w:rsid w:val="002E7F4F"/>
    <w:rsid w:val="002F0CE9"/>
    <w:rsid w:val="002F1008"/>
    <w:rsid w:val="002F3201"/>
    <w:rsid w:val="002F3293"/>
    <w:rsid w:val="002F388A"/>
    <w:rsid w:val="002F42F5"/>
    <w:rsid w:val="002F5778"/>
    <w:rsid w:val="002F79C5"/>
    <w:rsid w:val="00300325"/>
    <w:rsid w:val="00300590"/>
    <w:rsid w:val="00301092"/>
    <w:rsid w:val="00302556"/>
    <w:rsid w:val="00302652"/>
    <w:rsid w:val="0030391E"/>
    <w:rsid w:val="003051A6"/>
    <w:rsid w:val="00305388"/>
    <w:rsid w:val="00305922"/>
    <w:rsid w:val="00306491"/>
    <w:rsid w:val="00310F6A"/>
    <w:rsid w:val="003112F5"/>
    <w:rsid w:val="00311CC8"/>
    <w:rsid w:val="0031218D"/>
    <w:rsid w:val="00312D9B"/>
    <w:rsid w:val="00313F89"/>
    <w:rsid w:val="00314690"/>
    <w:rsid w:val="003155AE"/>
    <w:rsid w:val="0031665C"/>
    <w:rsid w:val="0031755A"/>
    <w:rsid w:val="003178E6"/>
    <w:rsid w:val="00317C54"/>
    <w:rsid w:val="003213F4"/>
    <w:rsid w:val="003218E7"/>
    <w:rsid w:val="00321D7B"/>
    <w:rsid w:val="00322C03"/>
    <w:rsid w:val="00323610"/>
    <w:rsid w:val="003240EF"/>
    <w:rsid w:val="00325F5A"/>
    <w:rsid w:val="003263EE"/>
    <w:rsid w:val="00326475"/>
    <w:rsid w:val="00330220"/>
    <w:rsid w:val="00330D58"/>
    <w:rsid w:val="00331219"/>
    <w:rsid w:val="00332345"/>
    <w:rsid w:val="00332BA0"/>
    <w:rsid w:val="003335C9"/>
    <w:rsid w:val="003349C1"/>
    <w:rsid w:val="00335F4E"/>
    <w:rsid w:val="00336388"/>
    <w:rsid w:val="00336425"/>
    <w:rsid w:val="00336AB3"/>
    <w:rsid w:val="00340635"/>
    <w:rsid w:val="00341437"/>
    <w:rsid w:val="00341EB5"/>
    <w:rsid w:val="003423EC"/>
    <w:rsid w:val="00342495"/>
    <w:rsid w:val="00343EB3"/>
    <w:rsid w:val="00344365"/>
    <w:rsid w:val="00346453"/>
    <w:rsid w:val="0034717E"/>
    <w:rsid w:val="00347C1D"/>
    <w:rsid w:val="00347F51"/>
    <w:rsid w:val="00351B37"/>
    <w:rsid w:val="00351CC9"/>
    <w:rsid w:val="0035223A"/>
    <w:rsid w:val="0035292A"/>
    <w:rsid w:val="00352E4E"/>
    <w:rsid w:val="003536C2"/>
    <w:rsid w:val="00354765"/>
    <w:rsid w:val="00355D78"/>
    <w:rsid w:val="00362E7E"/>
    <w:rsid w:val="003632F3"/>
    <w:rsid w:val="00363491"/>
    <w:rsid w:val="00364921"/>
    <w:rsid w:val="0036519C"/>
    <w:rsid w:val="00366402"/>
    <w:rsid w:val="00366F9A"/>
    <w:rsid w:val="00367FFA"/>
    <w:rsid w:val="00371265"/>
    <w:rsid w:val="003738F4"/>
    <w:rsid w:val="0037709B"/>
    <w:rsid w:val="00380158"/>
    <w:rsid w:val="00381444"/>
    <w:rsid w:val="0038173E"/>
    <w:rsid w:val="00381AA5"/>
    <w:rsid w:val="00383CA6"/>
    <w:rsid w:val="00384531"/>
    <w:rsid w:val="003845D3"/>
    <w:rsid w:val="003855F3"/>
    <w:rsid w:val="00386232"/>
    <w:rsid w:val="00387E66"/>
    <w:rsid w:val="0039019B"/>
    <w:rsid w:val="0039235C"/>
    <w:rsid w:val="00392B22"/>
    <w:rsid w:val="003931E7"/>
    <w:rsid w:val="00393C09"/>
    <w:rsid w:val="003944AF"/>
    <w:rsid w:val="00394C99"/>
    <w:rsid w:val="00394D2B"/>
    <w:rsid w:val="00396E49"/>
    <w:rsid w:val="003A0CBF"/>
    <w:rsid w:val="003A1DC5"/>
    <w:rsid w:val="003A24D4"/>
    <w:rsid w:val="003A2ADD"/>
    <w:rsid w:val="003A2F7B"/>
    <w:rsid w:val="003A33DE"/>
    <w:rsid w:val="003A42E1"/>
    <w:rsid w:val="003A4828"/>
    <w:rsid w:val="003B02EE"/>
    <w:rsid w:val="003B07A4"/>
    <w:rsid w:val="003B1909"/>
    <w:rsid w:val="003B29F8"/>
    <w:rsid w:val="003B2DEC"/>
    <w:rsid w:val="003B48AD"/>
    <w:rsid w:val="003B49C9"/>
    <w:rsid w:val="003B783E"/>
    <w:rsid w:val="003C0B79"/>
    <w:rsid w:val="003C0EB2"/>
    <w:rsid w:val="003C2E48"/>
    <w:rsid w:val="003D1624"/>
    <w:rsid w:val="003D1FBB"/>
    <w:rsid w:val="003D2E7D"/>
    <w:rsid w:val="003D31FC"/>
    <w:rsid w:val="003D483B"/>
    <w:rsid w:val="003E1BAE"/>
    <w:rsid w:val="003E1C68"/>
    <w:rsid w:val="003E215C"/>
    <w:rsid w:val="003E29EF"/>
    <w:rsid w:val="003E3850"/>
    <w:rsid w:val="003E6463"/>
    <w:rsid w:val="003E6682"/>
    <w:rsid w:val="003F0309"/>
    <w:rsid w:val="003F13AF"/>
    <w:rsid w:val="003F591E"/>
    <w:rsid w:val="003F633D"/>
    <w:rsid w:val="003F6488"/>
    <w:rsid w:val="003F7187"/>
    <w:rsid w:val="003F7E5D"/>
    <w:rsid w:val="004014D6"/>
    <w:rsid w:val="0040337A"/>
    <w:rsid w:val="00403423"/>
    <w:rsid w:val="0040437E"/>
    <w:rsid w:val="00404AE7"/>
    <w:rsid w:val="00406D7D"/>
    <w:rsid w:val="0041120F"/>
    <w:rsid w:val="00412567"/>
    <w:rsid w:val="004128A8"/>
    <w:rsid w:val="00414128"/>
    <w:rsid w:val="00414F5E"/>
    <w:rsid w:val="00416A91"/>
    <w:rsid w:val="00420CC1"/>
    <w:rsid w:val="00421314"/>
    <w:rsid w:val="004214EE"/>
    <w:rsid w:val="00421B59"/>
    <w:rsid w:val="0042403F"/>
    <w:rsid w:val="00424887"/>
    <w:rsid w:val="0042539C"/>
    <w:rsid w:val="0042668B"/>
    <w:rsid w:val="004267DF"/>
    <w:rsid w:val="0042753C"/>
    <w:rsid w:val="00431854"/>
    <w:rsid w:val="00431BE0"/>
    <w:rsid w:val="00433189"/>
    <w:rsid w:val="00434EEF"/>
    <w:rsid w:val="00434F06"/>
    <w:rsid w:val="00436A8D"/>
    <w:rsid w:val="00440427"/>
    <w:rsid w:val="004416C3"/>
    <w:rsid w:val="00442343"/>
    <w:rsid w:val="00442995"/>
    <w:rsid w:val="00442FCF"/>
    <w:rsid w:val="00443AF0"/>
    <w:rsid w:val="00444142"/>
    <w:rsid w:val="004452CE"/>
    <w:rsid w:val="00445E16"/>
    <w:rsid w:val="00447550"/>
    <w:rsid w:val="00451E60"/>
    <w:rsid w:val="00452DE1"/>
    <w:rsid w:val="004538DF"/>
    <w:rsid w:val="004549F6"/>
    <w:rsid w:val="00455263"/>
    <w:rsid w:val="00456F86"/>
    <w:rsid w:val="00456FF5"/>
    <w:rsid w:val="00457934"/>
    <w:rsid w:val="00460BE5"/>
    <w:rsid w:val="00461684"/>
    <w:rsid w:val="004617E9"/>
    <w:rsid w:val="0046269B"/>
    <w:rsid w:val="00462815"/>
    <w:rsid w:val="004634A0"/>
    <w:rsid w:val="00464822"/>
    <w:rsid w:val="004658FC"/>
    <w:rsid w:val="00466B34"/>
    <w:rsid w:val="00466F4B"/>
    <w:rsid w:val="004674C4"/>
    <w:rsid w:val="00470339"/>
    <w:rsid w:val="00472254"/>
    <w:rsid w:val="00474D97"/>
    <w:rsid w:val="00474F7C"/>
    <w:rsid w:val="0047594A"/>
    <w:rsid w:val="00476F57"/>
    <w:rsid w:val="00477215"/>
    <w:rsid w:val="00477BBA"/>
    <w:rsid w:val="00480FAD"/>
    <w:rsid w:val="00482FED"/>
    <w:rsid w:val="0048359D"/>
    <w:rsid w:val="00483803"/>
    <w:rsid w:val="0048447E"/>
    <w:rsid w:val="0048540D"/>
    <w:rsid w:val="00485456"/>
    <w:rsid w:val="004872CC"/>
    <w:rsid w:val="00487614"/>
    <w:rsid w:val="00487A62"/>
    <w:rsid w:val="00490729"/>
    <w:rsid w:val="00490BE5"/>
    <w:rsid w:val="00491FE0"/>
    <w:rsid w:val="004956A6"/>
    <w:rsid w:val="00497937"/>
    <w:rsid w:val="004A0D73"/>
    <w:rsid w:val="004A0E13"/>
    <w:rsid w:val="004A1722"/>
    <w:rsid w:val="004A1881"/>
    <w:rsid w:val="004A1C78"/>
    <w:rsid w:val="004A2DA8"/>
    <w:rsid w:val="004A41DE"/>
    <w:rsid w:val="004A4319"/>
    <w:rsid w:val="004A52DE"/>
    <w:rsid w:val="004A62F2"/>
    <w:rsid w:val="004A6E15"/>
    <w:rsid w:val="004A7587"/>
    <w:rsid w:val="004B3B47"/>
    <w:rsid w:val="004B3C52"/>
    <w:rsid w:val="004B4066"/>
    <w:rsid w:val="004B5B96"/>
    <w:rsid w:val="004B5E25"/>
    <w:rsid w:val="004B63A9"/>
    <w:rsid w:val="004B6A09"/>
    <w:rsid w:val="004B7039"/>
    <w:rsid w:val="004B7E69"/>
    <w:rsid w:val="004C10A8"/>
    <w:rsid w:val="004C151B"/>
    <w:rsid w:val="004C2BED"/>
    <w:rsid w:val="004C4B6D"/>
    <w:rsid w:val="004C5091"/>
    <w:rsid w:val="004C6024"/>
    <w:rsid w:val="004C6043"/>
    <w:rsid w:val="004C6729"/>
    <w:rsid w:val="004C79BA"/>
    <w:rsid w:val="004D08EF"/>
    <w:rsid w:val="004D145B"/>
    <w:rsid w:val="004D218E"/>
    <w:rsid w:val="004D2283"/>
    <w:rsid w:val="004D22B9"/>
    <w:rsid w:val="004D53D0"/>
    <w:rsid w:val="004D60B1"/>
    <w:rsid w:val="004D6739"/>
    <w:rsid w:val="004D73C8"/>
    <w:rsid w:val="004D78CA"/>
    <w:rsid w:val="004E082E"/>
    <w:rsid w:val="004E14F7"/>
    <w:rsid w:val="004E21D2"/>
    <w:rsid w:val="004E25A0"/>
    <w:rsid w:val="004E25EB"/>
    <w:rsid w:val="004E2F47"/>
    <w:rsid w:val="004E3516"/>
    <w:rsid w:val="004E6DA9"/>
    <w:rsid w:val="004F1FE9"/>
    <w:rsid w:val="004F2411"/>
    <w:rsid w:val="004F51D9"/>
    <w:rsid w:val="004F584D"/>
    <w:rsid w:val="004F65F1"/>
    <w:rsid w:val="004F7748"/>
    <w:rsid w:val="005022D7"/>
    <w:rsid w:val="005035B0"/>
    <w:rsid w:val="0050429D"/>
    <w:rsid w:val="00504912"/>
    <w:rsid w:val="0050545E"/>
    <w:rsid w:val="00505CCD"/>
    <w:rsid w:val="00506107"/>
    <w:rsid w:val="005076F2"/>
    <w:rsid w:val="00507A7B"/>
    <w:rsid w:val="005117EA"/>
    <w:rsid w:val="00512C3F"/>
    <w:rsid w:val="005139D0"/>
    <w:rsid w:val="005157DA"/>
    <w:rsid w:val="00516276"/>
    <w:rsid w:val="005162D4"/>
    <w:rsid w:val="005164DE"/>
    <w:rsid w:val="00520C80"/>
    <w:rsid w:val="00520E3C"/>
    <w:rsid w:val="00522331"/>
    <w:rsid w:val="0052263D"/>
    <w:rsid w:val="00524495"/>
    <w:rsid w:val="00525030"/>
    <w:rsid w:val="00525F1D"/>
    <w:rsid w:val="0052607F"/>
    <w:rsid w:val="005265D2"/>
    <w:rsid w:val="00526ACF"/>
    <w:rsid w:val="00526FC3"/>
    <w:rsid w:val="00527CF0"/>
    <w:rsid w:val="00530D79"/>
    <w:rsid w:val="0053128B"/>
    <w:rsid w:val="0053148E"/>
    <w:rsid w:val="005327B2"/>
    <w:rsid w:val="00532B81"/>
    <w:rsid w:val="00533DCC"/>
    <w:rsid w:val="00534135"/>
    <w:rsid w:val="005357BE"/>
    <w:rsid w:val="00535C31"/>
    <w:rsid w:val="00536496"/>
    <w:rsid w:val="00540394"/>
    <w:rsid w:val="00540DFC"/>
    <w:rsid w:val="00541901"/>
    <w:rsid w:val="0054214D"/>
    <w:rsid w:val="005424C6"/>
    <w:rsid w:val="005426C7"/>
    <w:rsid w:val="00543FB3"/>
    <w:rsid w:val="00544D88"/>
    <w:rsid w:val="0054511B"/>
    <w:rsid w:val="00545454"/>
    <w:rsid w:val="00545E2A"/>
    <w:rsid w:val="00547B21"/>
    <w:rsid w:val="0055015C"/>
    <w:rsid w:val="005504BC"/>
    <w:rsid w:val="0055203F"/>
    <w:rsid w:val="005538D0"/>
    <w:rsid w:val="00554C61"/>
    <w:rsid w:val="00555181"/>
    <w:rsid w:val="005603FC"/>
    <w:rsid w:val="00561081"/>
    <w:rsid w:val="005618E5"/>
    <w:rsid w:val="005628AD"/>
    <w:rsid w:val="00564376"/>
    <w:rsid w:val="005644AE"/>
    <w:rsid w:val="005655DA"/>
    <w:rsid w:val="005668F6"/>
    <w:rsid w:val="0056783E"/>
    <w:rsid w:val="00571E55"/>
    <w:rsid w:val="005732E9"/>
    <w:rsid w:val="005736FB"/>
    <w:rsid w:val="005747E5"/>
    <w:rsid w:val="00574C6F"/>
    <w:rsid w:val="00576BC9"/>
    <w:rsid w:val="00577082"/>
    <w:rsid w:val="00577DA1"/>
    <w:rsid w:val="00582104"/>
    <w:rsid w:val="00582BEE"/>
    <w:rsid w:val="00583AFB"/>
    <w:rsid w:val="005841F6"/>
    <w:rsid w:val="00584C0F"/>
    <w:rsid w:val="00584FF0"/>
    <w:rsid w:val="005862FF"/>
    <w:rsid w:val="005875C7"/>
    <w:rsid w:val="00587981"/>
    <w:rsid w:val="00593EBD"/>
    <w:rsid w:val="0059498A"/>
    <w:rsid w:val="00594DCD"/>
    <w:rsid w:val="00596889"/>
    <w:rsid w:val="00596FE4"/>
    <w:rsid w:val="005A151D"/>
    <w:rsid w:val="005A184D"/>
    <w:rsid w:val="005A2F70"/>
    <w:rsid w:val="005A58ED"/>
    <w:rsid w:val="005A5EB4"/>
    <w:rsid w:val="005A7FC3"/>
    <w:rsid w:val="005B155E"/>
    <w:rsid w:val="005B16BF"/>
    <w:rsid w:val="005B2A69"/>
    <w:rsid w:val="005B3214"/>
    <w:rsid w:val="005B36CE"/>
    <w:rsid w:val="005B3891"/>
    <w:rsid w:val="005B4016"/>
    <w:rsid w:val="005B4C7B"/>
    <w:rsid w:val="005B5989"/>
    <w:rsid w:val="005B5FE8"/>
    <w:rsid w:val="005B62E0"/>
    <w:rsid w:val="005B65DE"/>
    <w:rsid w:val="005C2426"/>
    <w:rsid w:val="005C2FB4"/>
    <w:rsid w:val="005C2FE2"/>
    <w:rsid w:val="005C4B52"/>
    <w:rsid w:val="005C4DD9"/>
    <w:rsid w:val="005C4FC1"/>
    <w:rsid w:val="005C53C5"/>
    <w:rsid w:val="005C58D5"/>
    <w:rsid w:val="005C61A8"/>
    <w:rsid w:val="005C643A"/>
    <w:rsid w:val="005C7093"/>
    <w:rsid w:val="005C75D4"/>
    <w:rsid w:val="005D3EE9"/>
    <w:rsid w:val="005D4709"/>
    <w:rsid w:val="005D5FE2"/>
    <w:rsid w:val="005D7C36"/>
    <w:rsid w:val="005E0941"/>
    <w:rsid w:val="005E0C4A"/>
    <w:rsid w:val="005E0ED1"/>
    <w:rsid w:val="005E1216"/>
    <w:rsid w:val="005E14E3"/>
    <w:rsid w:val="005E14EC"/>
    <w:rsid w:val="005E1634"/>
    <w:rsid w:val="005E3569"/>
    <w:rsid w:val="005E36E9"/>
    <w:rsid w:val="005E47E0"/>
    <w:rsid w:val="005E594D"/>
    <w:rsid w:val="005E7345"/>
    <w:rsid w:val="005F00EE"/>
    <w:rsid w:val="005F0F5D"/>
    <w:rsid w:val="005F365F"/>
    <w:rsid w:val="005F54BE"/>
    <w:rsid w:val="005F571B"/>
    <w:rsid w:val="005F662D"/>
    <w:rsid w:val="005F6ECC"/>
    <w:rsid w:val="006018D7"/>
    <w:rsid w:val="00602DCF"/>
    <w:rsid w:val="006066F1"/>
    <w:rsid w:val="006076F9"/>
    <w:rsid w:val="00607779"/>
    <w:rsid w:val="0061409A"/>
    <w:rsid w:val="00614440"/>
    <w:rsid w:val="00614ABC"/>
    <w:rsid w:val="00616BFD"/>
    <w:rsid w:val="00616F68"/>
    <w:rsid w:val="00617665"/>
    <w:rsid w:val="0062074E"/>
    <w:rsid w:val="00620D99"/>
    <w:rsid w:val="00620DD9"/>
    <w:rsid w:val="00621648"/>
    <w:rsid w:val="00621853"/>
    <w:rsid w:val="00622CB0"/>
    <w:rsid w:val="00623997"/>
    <w:rsid w:val="006244E4"/>
    <w:rsid w:val="006253B7"/>
    <w:rsid w:val="0062549B"/>
    <w:rsid w:val="00625754"/>
    <w:rsid w:val="006258B9"/>
    <w:rsid w:val="00632424"/>
    <w:rsid w:val="006337A2"/>
    <w:rsid w:val="00634AC2"/>
    <w:rsid w:val="00636CAE"/>
    <w:rsid w:val="006371BC"/>
    <w:rsid w:val="0064029B"/>
    <w:rsid w:val="006410E1"/>
    <w:rsid w:val="006417C7"/>
    <w:rsid w:val="00642E9B"/>
    <w:rsid w:val="00643BFB"/>
    <w:rsid w:val="006442F3"/>
    <w:rsid w:val="00645723"/>
    <w:rsid w:val="00656789"/>
    <w:rsid w:val="0065794E"/>
    <w:rsid w:val="006603F9"/>
    <w:rsid w:val="00660459"/>
    <w:rsid w:val="006607E6"/>
    <w:rsid w:val="0066178E"/>
    <w:rsid w:val="0066214E"/>
    <w:rsid w:val="006621DB"/>
    <w:rsid w:val="00662677"/>
    <w:rsid w:val="00662CC1"/>
    <w:rsid w:val="00665119"/>
    <w:rsid w:val="00666583"/>
    <w:rsid w:val="00666A0D"/>
    <w:rsid w:val="006701D7"/>
    <w:rsid w:val="00670AC3"/>
    <w:rsid w:val="00670EF9"/>
    <w:rsid w:val="006721E4"/>
    <w:rsid w:val="00674444"/>
    <w:rsid w:val="0067730C"/>
    <w:rsid w:val="006806C5"/>
    <w:rsid w:val="00680871"/>
    <w:rsid w:val="00680FD6"/>
    <w:rsid w:val="00681D04"/>
    <w:rsid w:val="006828EB"/>
    <w:rsid w:val="00683054"/>
    <w:rsid w:val="006846C9"/>
    <w:rsid w:val="00686202"/>
    <w:rsid w:val="00686B35"/>
    <w:rsid w:val="006911B8"/>
    <w:rsid w:val="00691293"/>
    <w:rsid w:val="00692001"/>
    <w:rsid w:val="0069290D"/>
    <w:rsid w:val="00693C2A"/>
    <w:rsid w:val="0069511D"/>
    <w:rsid w:val="006961A2"/>
    <w:rsid w:val="0069626C"/>
    <w:rsid w:val="00696F3C"/>
    <w:rsid w:val="006973FE"/>
    <w:rsid w:val="00697408"/>
    <w:rsid w:val="006A03B3"/>
    <w:rsid w:val="006A0D85"/>
    <w:rsid w:val="006A2AA4"/>
    <w:rsid w:val="006A3424"/>
    <w:rsid w:val="006A3D14"/>
    <w:rsid w:val="006A3F56"/>
    <w:rsid w:val="006A4D0A"/>
    <w:rsid w:val="006A615C"/>
    <w:rsid w:val="006B3B4A"/>
    <w:rsid w:val="006B3EA2"/>
    <w:rsid w:val="006B446A"/>
    <w:rsid w:val="006B4D72"/>
    <w:rsid w:val="006B573B"/>
    <w:rsid w:val="006B59C0"/>
    <w:rsid w:val="006B6D0A"/>
    <w:rsid w:val="006C0434"/>
    <w:rsid w:val="006C0598"/>
    <w:rsid w:val="006C3EE5"/>
    <w:rsid w:val="006C53A3"/>
    <w:rsid w:val="006C695D"/>
    <w:rsid w:val="006C6A45"/>
    <w:rsid w:val="006C7C23"/>
    <w:rsid w:val="006D04B5"/>
    <w:rsid w:val="006D12FF"/>
    <w:rsid w:val="006D1326"/>
    <w:rsid w:val="006D5B5B"/>
    <w:rsid w:val="006D5C85"/>
    <w:rsid w:val="006D5EEC"/>
    <w:rsid w:val="006D615B"/>
    <w:rsid w:val="006D7BBC"/>
    <w:rsid w:val="006E078A"/>
    <w:rsid w:val="006E0D19"/>
    <w:rsid w:val="006E3530"/>
    <w:rsid w:val="006E3AC2"/>
    <w:rsid w:val="006E4530"/>
    <w:rsid w:val="006E4ED6"/>
    <w:rsid w:val="006E5213"/>
    <w:rsid w:val="006E568B"/>
    <w:rsid w:val="006E6114"/>
    <w:rsid w:val="006E73F2"/>
    <w:rsid w:val="006E776B"/>
    <w:rsid w:val="006F32D7"/>
    <w:rsid w:val="006F5B21"/>
    <w:rsid w:val="006F6E3A"/>
    <w:rsid w:val="006F7716"/>
    <w:rsid w:val="00701598"/>
    <w:rsid w:val="00701C07"/>
    <w:rsid w:val="00702470"/>
    <w:rsid w:val="0070293E"/>
    <w:rsid w:val="00704122"/>
    <w:rsid w:val="007046BE"/>
    <w:rsid w:val="00705B64"/>
    <w:rsid w:val="00706074"/>
    <w:rsid w:val="00706482"/>
    <w:rsid w:val="00707320"/>
    <w:rsid w:val="007103DE"/>
    <w:rsid w:val="007106C0"/>
    <w:rsid w:val="00710832"/>
    <w:rsid w:val="00710E31"/>
    <w:rsid w:val="007113AE"/>
    <w:rsid w:val="00711444"/>
    <w:rsid w:val="0071233F"/>
    <w:rsid w:val="00713B9A"/>
    <w:rsid w:val="007157A5"/>
    <w:rsid w:val="00716C40"/>
    <w:rsid w:val="0071785D"/>
    <w:rsid w:val="007205AF"/>
    <w:rsid w:val="007207FC"/>
    <w:rsid w:val="0072086A"/>
    <w:rsid w:val="00721F72"/>
    <w:rsid w:val="007245A9"/>
    <w:rsid w:val="00725AEF"/>
    <w:rsid w:val="0072616B"/>
    <w:rsid w:val="00726C0E"/>
    <w:rsid w:val="0073183E"/>
    <w:rsid w:val="0073226E"/>
    <w:rsid w:val="00733478"/>
    <w:rsid w:val="0073355D"/>
    <w:rsid w:val="0073412E"/>
    <w:rsid w:val="007343B9"/>
    <w:rsid w:val="00734B3F"/>
    <w:rsid w:val="00734E6E"/>
    <w:rsid w:val="0073669E"/>
    <w:rsid w:val="007377E8"/>
    <w:rsid w:val="007379FF"/>
    <w:rsid w:val="00737D1A"/>
    <w:rsid w:val="00740283"/>
    <w:rsid w:val="00741B82"/>
    <w:rsid w:val="007420BF"/>
    <w:rsid w:val="007439D2"/>
    <w:rsid w:val="007448B3"/>
    <w:rsid w:val="00744C7F"/>
    <w:rsid w:val="00745EEB"/>
    <w:rsid w:val="007461D0"/>
    <w:rsid w:val="0074711B"/>
    <w:rsid w:val="00747ABE"/>
    <w:rsid w:val="007509A0"/>
    <w:rsid w:val="00751113"/>
    <w:rsid w:val="007517C7"/>
    <w:rsid w:val="00751A10"/>
    <w:rsid w:val="0075563E"/>
    <w:rsid w:val="00757DE0"/>
    <w:rsid w:val="00760967"/>
    <w:rsid w:val="00762B37"/>
    <w:rsid w:val="00763912"/>
    <w:rsid w:val="007643BA"/>
    <w:rsid w:val="00764E90"/>
    <w:rsid w:val="007653E2"/>
    <w:rsid w:val="00766BEB"/>
    <w:rsid w:val="00766F4B"/>
    <w:rsid w:val="007676E3"/>
    <w:rsid w:val="007728AC"/>
    <w:rsid w:val="007748AB"/>
    <w:rsid w:val="0077513C"/>
    <w:rsid w:val="00775B8C"/>
    <w:rsid w:val="00776B52"/>
    <w:rsid w:val="00776C3F"/>
    <w:rsid w:val="007815E4"/>
    <w:rsid w:val="00782F66"/>
    <w:rsid w:val="00784142"/>
    <w:rsid w:val="0078543F"/>
    <w:rsid w:val="007854FE"/>
    <w:rsid w:val="0078606D"/>
    <w:rsid w:val="0078697D"/>
    <w:rsid w:val="00786A54"/>
    <w:rsid w:val="0079050A"/>
    <w:rsid w:val="0079111C"/>
    <w:rsid w:val="00791B53"/>
    <w:rsid w:val="00792B84"/>
    <w:rsid w:val="007936A6"/>
    <w:rsid w:val="00794A81"/>
    <w:rsid w:val="00796908"/>
    <w:rsid w:val="007A2FC1"/>
    <w:rsid w:val="007A37F9"/>
    <w:rsid w:val="007A43DF"/>
    <w:rsid w:val="007B0E7A"/>
    <w:rsid w:val="007B0F4D"/>
    <w:rsid w:val="007B1AA1"/>
    <w:rsid w:val="007B1AD7"/>
    <w:rsid w:val="007B348D"/>
    <w:rsid w:val="007B3A5F"/>
    <w:rsid w:val="007B3BD9"/>
    <w:rsid w:val="007B3E01"/>
    <w:rsid w:val="007B4188"/>
    <w:rsid w:val="007B4250"/>
    <w:rsid w:val="007B4E49"/>
    <w:rsid w:val="007B5DD5"/>
    <w:rsid w:val="007B608A"/>
    <w:rsid w:val="007C21DC"/>
    <w:rsid w:val="007C2C1A"/>
    <w:rsid w:val="007C4E48"/>
    <w:rsid w:val="007C521C"/>
    <w:rsid w:val="007C6C06"/>
    <w:rsid w:val="007C6D2B"/>
    <w:rsid w:val="007C73CC"/>
    <w:rsid w:val="007C7AC8"/>
    <w:rsid w:val="007C7FCE"/>
    <w:rsid w:val="007D00BC"/>
    <w:rsid w:val="007D0E38"/>
    <w:rsid w:val="007D236D"/>
    <w:rsid w:val="007D25C0"/>
    <w:rsid w:val="007D46E1"/>
    <w:rsid w:val="007D559F"/>
    <w:rsid w:val="007D5F0B"/>
    <w:rsid w:val="007E23BB"/>
    <w:rsid w:val="007E2DA1"/>
    <w:rsid w:val="007E3092"/>
    <w:rsid w:val="007E3368"/>
    <w:rsid w:val="007E4237"/>
    <w:rsid w:val="007E4B24"/>
    <w:rsid w:val="007E5EDC"/>
    <w:rsid w:val="007E653E"/>
    <w:rsid w:val="007F045C"/>
    <w:rsid w:val="007F21E4"/>
    <w:rsid w:val="007F3449"/>
    <w:rsid w:val="007F3E85"/>
    <w:rsid w:val="007F4567"/>
    <w:rsid w:val="007F7B39"/>
    <w:rsid w:val="0080087A"/>
    <w:rsid w:val="00800EAB"/>
    <w:rsid w:val="00802AE9"/>
    <w:rsid w:val="00802B27"/>
    <w:rsid w:val="00802D46"/>
    <w:rsid w:val="008043D2"/>
    <w:rsid w:val="0080461E"/>
    <w:rsid w:val="00805424"/>
    <w:rsid w:val="008062FE"/>
    <w:rsid w:val="0080764C"/>
    <w:rsid w:val="00807D43"/>
    <w:rsid w:val="00810006"/>
    <w:rsid w:val="00810C81"/>
    <w:rsid w:val="00810D4B"/>
    <w:rsid w:val="0081153F"/>
    <w:rsid w:val="00811EB8"/>
    <w:rsid w:val="00811F95"/>
    <w:rsid w:val="00812926"/>
    <w:rsid w:val="00812FF7"/>
    <w:rsid w:val="0081351E"/>
    <w:rsid w:val="008140AC"/>
    <w:rsid w:val="008143A9"/>
    <w:rsid w:val="00820BE5"/>
    <w:rsid w:val="00821161"/>
    <w:rsid w:val="00821200"/>
    <w:rsid w:val="0082142F"/>
    <w:rsid w:val="00821674"/>
    <w:rsid w:val="008216A9"/>
    <w:rsid w:val="00821DD5"/>
    <w:rsid w:val="00823FC1"/>
    <w:rsid w:val="00824C09"/>
    <w:rsid w:val="00824CCA"/>
    <w:rsid w:val="0083035F"/>
    <w:rsid w:val="00830C34"/>
    <w:rsid w:val="00831BE0"/>
    <w:rsid w:val="00833025"/>
    <w:rsid w:val="00834DF9"/>
    <w:rsid w:val="00835495"/>
    <w:rsid w:val="00835C17"/>
    <w:rsid w:val="0083684C"/>
    <w:rsid w:val="00836F92"/>
    <w:rsid w:val="0083766E"/>
    <w:rsid w:val="00840591"/>
    <w:rsid w:val="00840D3A"/>
    <w:rsid w:val="008421ED"/>
    <w:rsid w:val="00843A57"/>
    <w:rsid w:val="00844277"/>
    <w:rsid w:val="0084530F"/>
    <w:rsid w:val="00845626"/>
    <w:rsid w:val="0084586B"/>
    <w:rsid w:val="00845A9D"/>
    <w:rsid w:val="008462FC"/>
    <w:rsid w:val="00846E88"/>
    <w:rsid w:val="008477B0"/>
    <w:rsid w:val="008531F7"/>
    <w:rsid w:val="00853B8D"/>
    <w:rsid w:val="00854130"/>
    <w:rsid w:val="008613C8"/>
    <w:rsid w:val="00861FC5"/>
    <w:rsid w:val="008637C8"/>
    <w:rsid w:val="008649DF"/>
    <w:rsid w:val="00867935"/>
    <w:rsid w:val="00870163"/>
    <w:rsid w:val="0087104E"/>
    <w:rsid w:val="00871613"/>
    <w:rsid w:val="00871C83"/>
    <w:rsid w:val="0087425E"/>
    <w:rsid w:val="00880D7A"/>
    <w:rsid w:val="008814FD"/>
    <w:rsid w:val="008838EC"/>
    <w:rsid w:val="00884780"/>
    <w:rsid w:val="00885492"/>
    <w:rsid w:val="00887D4E"/>
    <w:rsid w:val="00887FA5"/>
    <w:rsid w:val="00890B26"/>
    <w:rsid w:val="00890E0F"/>
    <w:rsid w:val="00890EE7"/>
    <w:rsid w:val="008927B2"/>
    <w:rsid w:val="00892CA0"/>
    <w:rsid w:val="00893048"/>
    <w:rsid w:val="00894B5B"/>
    <w:rsid w:val="00894D54"/>
    <w:rsid w:val="00894FAB"/>
    <w:rsid w:val="00895AC3"/>
    <w:rsid w:val="0089776F"/>
    <w:rsid w:val="008A002E"/>
    <w:rsid w:val="008A069A"/>
    <w:rsid w:val="008A0D3B"/>
    <w:rsid w:val="008A1A51"/>
    <w:rsid w:val="008A2D5B"/>
    <w:rsid w:val="008A2F7F"/>
    <w:rsid w:val="008A37E4"/>
    <w:rsid w:val="008A3B83"/>
    <w:rsid w:val="008A45C0"/>
    <w:rsid w:val="008A4C47"/>
    <w:rsid w:val="008A4F7E"/>
    <w:rsid w:val="008A5AEC"/>
    <w:rsid w:val="008A62D1"/>
    <w:rsid w:val="008A6673"/>
    <w:rsid w:val="008A66C5"/>
    <w:rsid w:val="008A6838"/>
    <w:rsid w:val="008A6989"/>
    <w:rsid w:val="008A6E13"/>
    <w:rsid w:val="008A7E18"/>
    <w:rsid w:val="008B00CA"/>
    <w:rsid w:val="008B02B7"/>
    <w:rsid w:val="008B0BD1"/>
    <w:rsid w:val="008B2701"/>
    <w:rsid w:val="008B45D5"/>
    <w:rsid w:val="008B5293"/>
    <w:rsid w:val="008B5540"/>
    <w:rsid w:val="008B560A"/>
    <w:rsid w:val="008B581C"/>
    <w:rsid w:val="008C05A3"/>
    <w:rsid w:val="008C208E"/>
    <w:rsid w:val="008C2BF2"/>
    <w:rsid w:val="008C30B7"/>
    <w:rsid w:val="008C3BB5"/>
    <w:rsid w:val="008C6143"/>
    <w:rsid w:val="008C7D5A"/>
    <w:rsid w:val="008D061F"/>
    <w:rsid w:val="008D2E43"/>
    <w:rsid w:val="008D3BA2"/>
    <w:rsid w:val="008D4E20"/>
    <w:rsid w:val="008D552B"/>
    <w:rsid w:val="008D6006"/>
    <w:rsid w:val="008D771C"/>
    <w:rsid w:val="008E0D51"/>
    <w:rsid w:val="008E10D6"/>
    <w:rsid w:val="008E185F"/>
    <w:rsid w:val="008E2092"/>
    <w:rsid w:val="008E2104"/>
    <w:rsid w:val="008E4856"/>
    <w:rsid w:val="008E6412"/>
    <w:rsid w:val="008E6ED7"/>
    <w:rsid w:val="008F0D7E"/>
    <w:rsid w:val="008F294A"/>
    <w:rsid w:val="008F2AE9"/>
    <w:rsid w:val="008F45A9"/>
    <w:rsid w:val="008F4B20"/>
    <w:rsid w:val="008F5753"/>
    <w:rsid w:val="008F6F52"/>
    <w:rsid w:val="00903188"/>
    <w:rsid w:val="0090332F"/>
    <w:rsid w:val="00903FA7"/>
    <w:rsid w:val="0090433B"/>
    <w:rsid w:val="0090448D"/>
    <w:rsid w:val="00904D8E"/>
    <w:rsid w:val="00905A5F"/>
    <w:rsid w:val="009073DC"/>
    <w:rsid w:val="00907C4F"/>
    <w:rsid w:val="009103BD"/>
    <w:rsid w:val="00910BE4"/>
    <w:rsid w:val="0091100F"/>
    <w:rsid w:val="00911757"/>
    <w:rsid w:val="00912090"/>
    <w:rsid w:val="00912B8D"/>
    <w:rsid w:val="00913477"/>
    <w:rsid w:val="00914131"/>
    <w:rsid w:val="009151D2"/>
    <w:rsid w:val="00915231"/>
    <w:rsid w:val="009152E0"/>
    <w:rsid w:val="009217C5"/>
    <w:rsid w:val="009220FA"/>
    <w:rsid w:val="0092438B"/>
    <w:rsid w:val="00924457"/>
    <w:rsid w:val="00926918"/>
    <w:rsid w:val="00927338"/>
    <w:rsid w:val="009275C0"/>
    <w:rsid w:val="0093191B"/>
    <w:rsid w:val="009319A8"/>
    <w:rsid w:val="00932C5C"/>
    <w:rsid w:val="00932D98"/>
    <w:rsid w:val="00935428"/>
    <w:rsid w:val="00935EC4"/>
    <w:rsid w:val="0094138D"/>
    <w:rsid w:val="00941482"/>
    <w:rsid w:val="0094167D"/>
    <w:rsid w:val="009436DA"/>
    <w:rsid w:val="009451AF"/>
    <w:rsid w:val="009451B7"/>
    <w:rsid w:val="0094568E"/>
    <w:rsid w:val="00947B46"/>
    <w:rsid w:val="0095083D"/>
    <w:rsid w:val="009533B8"/>
    <w:rsid w:val="009538D4"/>
    <w:rsid w:val="009542B6"/>
    <w:rsid w:val="00955B06"/>
    <w:rsid w:val="00956E6E"/>
    <w:rsid w:val="00957E8B"/>
    <w:rsid w:val="009633F0"/>
    <w:rsid w:val="0096488F"/>
    <w:rsid w:val="00965F58"/>
    <w:rsid w:val="009666F8"/>
    <w:rsid w:val="00966B96"/>
    <w:rsid w:val="0097127C"/>
    <w:rsid w:val="00971B0A"/>
    <w:rsid w:val="00972697"/>
    <w:rsid w:val="00973CC1"/>
    <w:rsid w:val="0097551B"/>
    <w:rsid w:val="009756DC"/>
    <w:rsid w:val="009765E2"/>
    <w:rsid w:val="009766D9"/>
    <w:rsid w:val="00980D9C"/>
    <w:rsid w:val="00982CA2"/>
    <w:rsid w:val="009838F5"/>
    <w:rsid w:val="009842D3"/>
    <w:rsid w:val="0098507E"/>
    <w:rsid w:val="00985137"/>
    <w:rsid w:val="00985282"/>
    <w:rsid w:val="009909FF"/>
    <w:rsid w:val="0099172B"/>
    <w:rsid w:val="00993C27"/>
    <w:rsid w:val="009948B4"/>
    <w:rsid w:val="009948DF"/>
    <w:rsid w:val="00997CD9"/>
    <w:rsid w:val="009A14B2"/>
    <w:rsid w:val="009A15D3"/>
    <w:rsid w:val="009A3AA1"/>
    <w:rsid w:val="009A455B"/>
    <w:rsid w:val="009A466F"/>
    <w:rsid w:val="009A474C"/>
    <w:rsid w:val="009A4A27"/>
    <w:rsid w:val="009A548E"/>
    <w:rsid w:val="009A77F9"/>
    <w:rsid w:val="009B026C"/>
    <w:rsid w:val="009B0983"/>
    <w:rsid w:val="009B2940"/>
    <w:rsid w:val="009B2F07"/>
    <w:rsid w:val="009B3F43"/>
    <w:rsid w:val="009C14C9"/>
    <w:rsid w:val="009C2C02"/>
    <w:rsid w:val="009C2C93"/>
    <w:rsid w:val="009C4531"/>
    <w:rsid w:val="009C4953"/>
    <w:rsid w:val="009C58E6"/>
    <w:rsid w:val="009C6DCB"/>
    <w:rsid w:val="009D1771"/>
    <w:rsid w:val="009D2200"/>
    <w:rsid w:val="009D2B80"/>
    <w:rsid w:val="009D6195"/>
    <w:rsid w:val="009D6AF7"/>
    <w:rsid w:val="009D7889"/>
    <w:rsid w:val="009D7F4C"/>
    <w:rsid w:val="009E2B2A"/>
    <w:rsid w:val="009E37B6"/>
    <w:rsid w:val="009E3B4C"/>
    <w:rsid w:val="009E51CA"/>
    <w:rsid w:val="009E59A8"/>
    <w:rsid w:val="009E59C1"/>
    <w:rsid w:val="009F0B71"/>
    <w:rsid w:val="009F1100"/>
    <w:rsid w:val="009F129F"/>
    <w:rsid w:val="009F2D53"/>
    <w:rsid w:val="009F38ED"/>
    <w:rsid w:val="009F5D22"/>
    <w:rsid w:val="009F6A96"/>
    <w:rsid w:val="009F7C5F"/>
    <w:rsid w:val="00A0249D"/>
    <w:rsid w:val="00A030BA"/>
    <w:rsid w:val="00A042A5"/>
    <w:rsid w:val="00A04E98"/>
    <w:rsid w:val="00A05035"/>
    <w:rsid w:val="00A052CC"/>
    <w:rsid w:val="00A06982"/>
    <w:rsid w:val="00A06CC3"/>
    <w:rsid w:val="00A107CD"/>
    <w:rsid w:val="00A10B42"/>
    <w:rsid w:val="00A10E36"/>
    <w:rsid w:val="00A111D2"/>
    <w:rsid w:val="00A15834"/>
    <w:rsid w:val="00A1756D"/>
    <w:rsid w:val="00A207DF"/>
    <w:rsid w:val="00A207E5"/>
    <w:rsid w:val="00A217CC"/>
    <w:rsid w:val="00A23076"/>
    <w:rsid w:val="00A2312A"/>
    <w:rsid w:val="00A24988"/>
    <w:rsid w:val="00A26434"/>
    <w:rsid w:val="00A27442"/>
    <w:rsid w:val="00A27692"/>
    <w:rsid w:val="00A308AB"/>
    <w:rsid w:val="00A3152A"/>
    <w:rsid w:val="00A319BE"/>
    <w:rsid w:val="00A34345"/>
    <w:rsid w:val="00A34F62"/>
    <w:rsid w:val="00A36CD9"/>
    <w:rsid w:val="00A37EAC"/>
    <w:rsid w:val="00A4425A"/>
    <w:rsid w:val="00A44839"/>
    <w:rsid w:val="00A44BE1"/>
    <w:rsid w:val="00A44DC7"/>
    <w:rsid w:val="00A46430"/>
    <w:rsid w:val="00A46D02"/>
    <w:rsid w:val="00A46D3D"/>
    <w:rsid w:val="00A51AB9"/>
    <w:rsid w:val="00A51D4E"/>
    <w:rsid w:val="00A51E5A"/>
    <w:rsid w:val="00A53E97"/>
    <w:rsid w:val="00A54F9A"/>
    <w:rsid w:val="00A552E1"/>
    <w:rsid w:val="00A60D25"/>
    <w:rsid w:val="00A6337A"/>
    <w:rsid w:val="00A655E9"/>
    <w:rsid w:val="00A7016B"/>
    <w:rsid w:val="00A709AC"/>
    <w:rsid w:val="00A70D8F"/>
    <w:rsid w:val="00A721EF"/>
    <w:rsid w:val="00A72339"/>
    <w:rsid w:val="00A74981"/>
    <w:rsid w:val="00A7686F"/>
    <w:rsid w:val="00A773E9"/>
    <w:rsid w:val="00A7781C"/>
    <w:rsid w:val="00A779BF"/>
    <w:rsid w:val="00A80F25"/>
    <w:rsid w:val="00A8172E"/>
    <w:rsid w:val="00A81773"/>
    <w:rsid w:val="00A827FC"/>
    <w:rsid w:val="00A83FE2"/>
    <w:rsid w:val="00A84A07"/>
    <w:rsid w:val="00A85C19"/>
    <w:rsid w:val="00A86AC3"/>
    <w:rsid w:val="00A87897"/>
    <w:rsid w:val="00A87AC9"/>
    <w:rsid w:val="00A92CD9"/>
    <w:rsid w:val="00A93393"/>
    <w:rsid w:val="00A93BE5"/>
    <w:rsid w:val="00A93CE8"/>
    <w:rsid w:val="00A9500F"/>
    <w:rsid w:val="00A96DFD"/>
    <w:rsid w:val="00A96F77"/>
    <w:rsid w:val="00A976A0"/>
    <w:rsid w:val="00A97A22"/>
    <w:rsid w:val="00AA0D2B"/>
    <w:rsid w:val="00AA1100"/>
    <w:rsid w:val="00AA262A"/>
    <w:rsid w:val="00AA33E4"/>
    <w:rsid w:val="00AA36A9"/>
    <w:rsid w:val="00AA37B8"/>
    <w:rsid w:val="00AA453B"/>
    <w:rsid w:val="00AA68F9"/>
    <w:rsid w:val="00AA7C32"/>
    <w:rsid w:val="00AB1D03"/>
    <w:rsid w:val="00AB222F"/>
    <w:rsid w:val="00AB31DF"/>
    <w:rsid w:val="00AB4F4A"/>
    <w:rsid w:val="00AB6BAA"/>
    <w:rsid w:val="00AB7501"/>
    <w:rsid w:val="00AB773D"/>
    <w:rsid w:val="00AC02EB"/>
    <w:rsid w:val="00AC35BA"/>
    <w:rsid w:val="00AC5D0C"/>
    <w:rsid w:val="00AC6C3E"/>
    <w:rsid w:val="00AC725F"/>
    <w:rsid w:val="00AC7311"/>
    <w:rsid w:val="00AD033A"/>
    <w:rsid w:val="00AD03B9"/>
    <w:rsid w:val="00AD0501"/>
    <w:rsid w:val="00AD0CDD"/>
    <w:rsid w:val="00AD1AD4"/>
    <w:rsid w:val="00AD23E1"/>
    <w:rsid w:val="00AD2DF4"/>
    <w:rsid w:val="00AD37EC"/>
    <w:rsid w:val="00AD3916"/>
    <w:rsid w:val="00AD3A23"/>
    <w:rsid w:val="00AD3D27"/>
    <w:rsid w:val="00AD4266"/>
    <w:rsid w:val="00AD4C0B"/>
    <w:rsid w:val="00AD4F7E"/>
    <w:rsid w:val="00AD70A7"/>
    <w:rsid w:val="00AE0643"/>
    <w:rsid w:val="00AE1400"/>
    <w:rsid w:val="00AE1601"/>
    <w:rsid w:val="00AE2718"/>
    <w:rsid w:val="00AE477C"/>
    <w:rsid w:val="00AE4984"/>
    <w:rsid w:val="00AE5F48"/>
    <w:rsid w:val="00AE79CB"/>
    <w:rsid w:val="00AF062C"/>
    <w:rsid w:val="00AF1998"/>
    <w:rsid w:val="00AF283C"/>
    <w:rsid w:val="00AF307D"/>
    <w:rsid w:val="00AF4749"/>
    <w:rsid w:val="00AF49D1"/>
    <w:rsid w:val="00B0045F"/>
    <w:rsid w:val="00B0123C"/>
    <w:rsid w:val="00B014B7"/>
    <w:rsid w:val="00B01B3E"/>
    <w:rsid w:val="00B04BE9"/>
    <w:rsid w:val="00B05F8D"/>
    <w:rsid w:val="00B07272"/>
    <w:rsid w:val="00B0743D"/>
    <w:rsid w:val="00B07E97"/>
    <w:rsid w:val="00B10209"/>
    <w:rsid w:val="00B103D7"/>
    <w:rsid w:val="00B105B3"/>
    <w:rsid w:val="00B10731"/>
    <w:rsid w:val="00B108AC"/>
    <w:rsid w:val="00B1153A"/>
    <w:rsid w:val="00B11AF2"/>
    <w:rsid w:val="00B14293"/>
    <w:rsid w:val="00B14A90"/>
    <w:rsid w:val="00B15C14"/>
    <w:rsid w:val="00B15DCD"/>
    <w:rsid w:val="00B16C22"/>
    <w:rsid w:val="00B17374"/>
    <w:rsid w:val="00B17AAA"/>
    <w:rsid w:val="00B214B6"/>
    <w:rsid w:val="00B2221A"/>
    <w:rsid w:val="00B22DD0"/>
    <w:rsid w:val="00B22E8A"/>
    <w:rsid w:val="00B231BE"/>
    <w:rsid w:val="00B258EF"/>
    <w:rsid w:val="00B259DC"/>
    <w:rsid w:val="00B27FB4"/>
    <w:rsid w:val="00B3165C"/>
    <w:rsid w:val="00B3217E"/>
    <w:rsid w:val="00B350A7"/>
    <w:rsid w:val="00B35EA7"/>
    <w:rsid w:val="00B368E0"/>
    <w:rsid w:val="00B4158B"/>
    <w:rsid w:val="00B41F1F"/>
    <w:rsid w:val="00B42E92"/>
    <w:rsid w:val="00B446C1"/>
    <w:rsid w:val="00B44B7A"/>
    <w:rsid w:val="00B45F63"/>
    <w:rsid w:val="00B47EFD"/>
    <w:rsid w:val="00B509A9"/>
    <w:rsid w:val="00B50B7E"/>
    <w:rsid w:val="00B51AAB"/>
    <w:rsid w:val="00B51B14"/>
    <w:rsid w:val="00B51E92"/>
    <w:rsid w:val="00B5422B"/>
    <w:rsid w:val="00B54F49"/>
    <w:rsid w:val="00B54F66"/>
    <w:rsid w:val="00B5546C"/>
    <w:rsid w:val="00B56DE8"/>
    <w:rsid w:val="00B57135"/>
    <w:rsid w:val="00B57508"/>
    <w:rsid w:val="00B57A28"/>
    <w:rsid w:val="00B57AF8"/>
    <w:rsid w:val="00B6271F"/>
    <w:rsid w:val="00B629EE"/>
    <w:rsid w:val="00B6441A"/>
    <w:rsid w:val="00B64722"/>
    <w:rsid w:val="00B64D02"/>
    <w:rsid w:val="00B651A5"/>
    <w:rsid w:val="00B6605B"/>
    <w:rsid w:val="00B70580"/>
    <w:rsid w:val="00B7111B"/>
    <w:rsid w:val="00B72FA2"/>
    <w:rsid w:val="00B73BCA"/>
    <w:rsid w:val="00B743A9"/>
    <w:rsid w:val="00B74C0A"/>
    <w:rsid w:val="00B75024"/>
    <w:rsid w:val="00B7575A"/>
    <w:rsid w:val="00B76031"/>
    <w:rsid w:val="00B77D49"/>
    <w:rsid w:val="00B81274"/>
    <w:rsid w:val="00B8313C"/>
    <w:rsid w:val="00B84035"/>
    <w:rsid w:val="00B84380"/>
    <w:rsid w:val="00B84E83"/>
    <w:rsid w:val="00B8627B"/>
    <w:rsid w:val="00B87612"/>
    <w:rsid w:val="00B901FF"/>
    <w:rsid w:val="00B91BAD"/>
    <w:rsid w:val="00B9229F"/>
    <w:rsid w:val="00B93BBC"/>
    <w:rsid w:val="00B94D08"/>
    <w:rsid w:val="00B973E5"/>
    <w:rsid w:val="00B9743E"/>
    <w:rsid w:val="00B97587"/>
    <w:rsid w:val="00B97A23"/>
    <w:rsid w:val="00BA0525"/>
    <w:rsid w:val="00BA05FC"/>
    <w:rsid w:val="00BA1853"/>
    <w:rsid w:val="00BA1C58"/>
    <w:rsid w:val="00BA2AD9"/>
    <w:rsid w:val="00BA4855"/>
    <w:rsid w:val="00BA5865"/>
    <w:rsid w:val="00BA67E0"/>
    <w:rsid w:val="00BA6C9E"/>
    <w:rsid w:val="00BA75E6"/>
    <w:rsid w:val="00BA7C83"/>
    <w:rsid w:val="00BA7CC2"/>
    <w:rsid w:val="00BB0E6A"/>
    <w:rsid w:val="00BB1318"/>
    <w:rsid w:val="00BB1622"/>
    <w:rsid w:val="00BB6ECC"/>
    <w:rsid w:val="00BC0567"/>
    <w:rsid w:val="00BC082C"/>
    <w:rsid w:val="00BC0F6E"/>
    <w:rsid w:val="00BC1A10"/>
    <w:rsid w:val="00BC2060"/>
    <w:rsid w:val="00BC2313"/>
    <w:rsid w:val="00BC2863"/>
    <w:rsid w:val="00BC36B5"/>
    <w:rsid w:val="00BC3B9C"/>
    <w:rsid w:val="00BC44FC"/>
    <w:rsid w:val="00BC54AC"/>
    <w:rsid w:val="00BC6F6C"/>
    <w:rsid w:val="00BD0391"/>
    <w:rsid w:val="00BD1C33"/>
    <w:rsid w:val="00BD40D9"/>
    <w:rsid w:val="00BD4818"/>
    <w:rsid w:val="00BD5225"/>
    <w:rsid w:val="00BE0904"/>
    <w:rsid w:val="00BE2E2D"/>
    <w:rsid w:val="00BE5542"/>
    <w:rsid w:val="00BE7331"/>
    <w:rsid w:val="00BF09F5"/>
    <w:rsid w:val="00BF0B09"/>
    <w:rsid w:val="00BF153B"/>
    <w:rsid w:val="00BF2597"/>
    <w:rsid w:val="00BF2F94"/>
    <w:rsid w:val="00BF4B0C"/>
    <w:rsid w:val="00BF524F"/>
    <w:rsid w:val="00BF5355"/>
    <w:rsid w:val="00BF65B6"/>
    <w:rsid w:val="00BF6A17"/>
    <w:rsid w:val="00BF70DD"/>
    <w:rsid w:val="00C0027B"/>
    <w:rsid w:val="00C00D70"/>
    <w:rsid w:val="00C027C8"/>
    <w:rsid w:val="00C03413"/>
    <w:rsid w:val="00C03F81"/>
    <w:rsid w:val="00C03F8F"/>
    <w:rsid w:val="00C04116"/>
    <w:rsid w:val="00C042DE"/>
    <w:rsid w:val="00C12AC7"/>
    <w:rsid w:val="00C144EA"/>
    <w:rsid w:val="00C14E8C"/>
    <w:rsid w:val="00C15BF6"/>
    <w:rsid w:val="00C16149"/>
    <w:rsid w:val="00C168B5"/>
    <w:rsid w:val="00C171E7"/>
    <w:rsid w:val="00C176FD"/>
    <w:rsid w:val="00C17F6A"/>
    <w:rsid w:val="00C17FFE"/>
    <w:rsid w:val="00C206C1"/>
    <w:rsid w:val="00C21524"/>
    <w:rsid w:val="00C21A7C"/>
    <w:rsid w:val="00C221B6"/>
    <w:rsid w:val="00C240AE"/>
    <w:rsid w:val="00C24120"/>
    <w:rsid w:val="00C257DB"/>
    <w:rsid w:val="00C2584C"/>
    <w:rsid w:val="00C25C8B"/>
    <w:rsid w:val="00C25F79"/>
    <w:rsid w:val="00C262D5"/>
    <w:rsid w:val="00C263CB"/>
    <w:rsid w:val="00C277A5"/>
    <w:rsid w:val="00C35001"/>
    <w:rsid w:val="00C35293"/>
    <w:rsid w:val="00C357A3"/>
    <w:rsid w:val="00C36977"/>
    <w:rsid w:val="00C36E8F"/>
    <w:rsid w:val="00C402C5"/>
    <w:rsid w:val="00C40A2E"/>
    <w:rsid w:val="00C40FEA"/>
    <w:rsid w:val="00C41D0D"/>
    <w:rsid w:val="00C43387"/>
    <w:rsid w:val="00C45B2A"/>
    <w:rsid w:val="00C478E5"/>
    <w:rsid w:val="00C47B18"/>
    <w:rsid w:val="00C47E9D"/>
    <w:rsid w:val="00C5219F"/>
    <w:rsid w:val="00C53FBB"/>
    <w:rsid w:val="00C54D37"/>
    <w:rsid w:val="00C556E8"/>
    <w:rsid w:val="00C55852"/>
    <w:rsid w:val="00C562DD"/>
    <w:rsid w:val="00C60E17"/>
    <w:rsid w:val="00C6472D"/>
    <w:rsid w:val="00C6491F"/>
    <w:rsid w:val="00C64C2D"/>
    <w:rsid w:val="00C64D98"/>
    <w:rsid w:val="00C656C5"/>
    <w:rsid w:val="00C659C4"/>
    <w:rsid w:val="00C66BCC"/>
    <w:rsid w:val="00C67350"/>
    <w:rsid w:val="00C70EF0"/>
    <w:rsid w:val="00C736DC"/>
    <w:rsid w:val="00C743C8"/>
    <w:rsid w:val="00C74DF9"/>
    <w:rsid w:val="00C77A3E"/>
    <w:rsid w:val="00C82873"/>
    <w:rsid w:val="00C82F71"/>
    <w:rsid w:val="00C864AE"/>
    <w:rsid w:val="00C86BF9"/>
    <w:rsid w:val="00C913A0"/>
    <w:rsid w:val="00C926F8"/>
    <w:rsid w:val="00C927A5"/>
    <w:rsid w:val="00C92934"/>
    <w:rsid w:val="00C92CAD"/>
    <w:rsid w:val="00C942CA"/>
    <w:rsid w:val="00C94601"/>
    <w:rsid w:val="00C95EFB"/>
    <w:rsid w:val="00C96F8C"/>
    <w:rsid w:val="00C974AD"/>
    <w:rsid w:val="00C9753D"/>
    <w:rsid w:val="00CA4C9F"/>
    <w:rsid w:val="00CA58D1"/>
    <w:rsid w:val="00CA624B"/>
    <w:rsid w:val="00CA67B7"/>
    <w:rsid w:val="00CA6E5D"/>
    <w:rsid w:val="00CA7171"/>
    <w:rsid w:val="00CB05AB"/>
    <w:rsid w:val="00CB2B20"/>
    <w:rsid w:val="00CB44EF"/>
    <w:rsid w:val="00CC0FC3"/>
    <w:rsid w:val="00CC17BB"/>
    <w:rsid w:val="00CC1F46"/>
    <w:rsid w:val="00CC216F"/>
    <w:rsid w:val="00CC2B09"/>
    <w:rsid w:val="00CC44DD"/>
    <w:rsid w:val="00CC5A18"/>
    <w:rsid w:val="00CC6346"/>
    <w:rsid w:val="00CC6C86"/>
    <w:rsid w:val="00CD0080"/>
    <w:rsid w:val="00CD0111"/>
    <w:rsid w:val="00CD3662"/>
    <w:rsid w:val="00CD4A80"/>
    <w:rsid w:val="00CD4D92"/>
    <w:rsid w:val="00CD7BDC"/>
    <w:rsid w:val="00CE0981"/>
    <w:rsid w:val="00CE0C1D"/>
    <w:rsid w:val="00CE262E"/>
    <w:rsid w:val="00CE3277"/>
    <w:rsid w:val="00CE370E"/>
    <w:rsid w:val="00CE4BBB"/>
    <w:rsid w:val="00CE5B3C"/>
    <w:rsid w:val="00CE5CB1"/>
    <w:rsid w:val="00CE6920"/>
    <w:rsid w:val="00CE7E5F"/>
    <w:rsid w:val="00CF05B0"/>
    <w:rsid w:val="00CF33BB"/>
    <w:rsid w:val="00CF33D8"/>
    <w:rsid w:val="00CF3832"/>
    <w:rsid w:val="00CF4114"/>
    <w:rsid w:val="00CF4585"/>
    <w:rsid w:val="00CF4A89"/>
    <w:rsid w:val="00CF56B9"/>
    <w:rsid w:val="00CF57A9"/>
    <w:rsid w:val="00CF5D88"/>
    <w:rsid w:val="00CF623B"/>
    <w:rsid w:val="00CF62B0"/>
    <w:rsid w:val="00D00EC3"/>
    <w:rsid w:val="00D07950"/>
    <w:rsid w:val="00D11289"/>
    <w:rsid w:val="00D174EA"/>
    <w:rsid w:val="00D20F29"/>
    <w:rsid w:val="00D21693"/>
    <w:rsid w:val="00D2349E"/>
    <w:rsid w:val="00D23C56"/>
    <w:rsid w:val="00D24366"/>
    <w:rsid w:val="00D24489"/>
    <w:rsid w:val="00D24AB6"/>
    <w:rsid w:val="00D24B05"/>
    <w:rsid w:val="00D26909"/>
    <w:rsid w:val="00D26BB9"/>
    <w:rsid w:val="00D304AD"/>
    <w:rsid w:val="00D3076E"/>
    <w:rsid w:val="00D3108C"/>
    <w:rsid w:val="00D32E9F"/>
    <w:rsid w:val="00D33293"/>
    <w:rsid w:val="00D34519"/>
    <w:rsid w:val="00D377CD"/>
    <w:rsid w:val="00D40828"/>
    <w:rsid w:val="00D4164F"/>
    <w:rsid w:val="00D41DA0"/>
    <w:rsid w:val="00D46480"/>
    <w:rsid w:val="00D50004"/>
    <w:rsid w:val="00D51D18"/>
    <w:rsid w:val="00D51E5C"/>
    <w:rsid w:val="00D5297B"/>
    <w:rsid w:val="00D54025"/>
    <w:rsid w:val="00D54B53"/>
    <w:rsid w:val="00D563A2"/>
    <w:rsid w:val="00D56432"/>
    <w:rsid w:val="00D571FF"/>
    <w:rsid w:val="00D57B16"/>
    <w:rsid w:val="00D601A3"/>
    <w:rsid w:val="00D62401"/>
    <w:rsid w:val="00D64120"/>
    <w:rsid w:val="00D64A6D"/>
    <w:rsid w:val="00D653BF"/>
    <w:rsid w:val="00D65BC4"/>
    <w:rsid w:val="00D66459"/>
    <w:rsid w:val="00D66796"/>
    <w:rsid w:val="00D707C5"/>
    <w:rsid w:val="00D7147A"/>
    <w:rsid w:val="00D71579"/>
    <w:rsid w:val="00D71A25"/>
    <w:rsid w:val="00D72CD5"/>
    <w:rsid w:val="00D733E4"/>
    <w:rsid w:val="00D7485A"/>
    <w:rsid w:val="00D74F54"/>
    <w:rsid w:val="00D753ED"/>
    <w:rsid w:val="00D7626D"/>
    <w:rsid w:val="00D766F4"/>
    <w:rsid w:val="00D76E15"/>
    <w:rsid w:val="00D775B0"/>
    <w:rsid w:val="00D802E3"/>
    <w:rsid w:val="00D826ED"/>
    <w:rsid w:val="00D82DBD"/>
    <w:rsid w:val="00D84EBC"/>
    <w:rsid w:val="00D90A71"/>
    <w:rsid w:val="00D9138D"/>
    <w:rsid w:val="00D919ED"/>
    <w:rsid w:val="00D92E6A"/>
    <w:rsid w:val="00D931E9"/>
    <w:rsid w:val="00D93593"/>
    <w:rsid w:val="00D93707"/>
    <w:rsid w:val="00D93A12"/>
    <w:rsid w:val="00D93AEC"/>
    <w:rsid w:val="00D953F8"/>
    <w:rsid w:val="00D956AF"/>
    <w:rsid w:val="00D96377"/>
    <w:rsid w:val="00D9667F"/>
    <w:rsid w:val="00D966B5"/>
    <w:rsid w:val="00D9704B"/>
    <w:rsid w:val="00D975EC"/>
    <w:rsid w:val="00DA0112"/>
    <w:rsid w:val="00DA0367"/>
    <w:rsid w:val="00DA3830"/>
    <w:rsid w:val="00DA43A9"/>
    <w:rsid w:val="00DA570D"/>
    <w:rsid w:val="00DA57CF"/>
    <w:rsid w:val="00DA59E4"/>
    <w:rsid w:val="00DA7921"/>
    <w:rsid w:val="00DB0151"/>
    <w:rsid w:val="00DB02EF"/>
    <w:rsid w:val="00DB07EA"/>
    <w:rsid w:val="00DB16D2"/>
    <w:rsid w:val="00DB28B7"/>
    <w:rsid w:val="00DB3DF3"/>
    <w:rsid w:val="00DB49AF"/>
    <w:rsid w:val="00DB54A8"/>
    <w:rsid w:val="00DB727D"/>
    <w:rsid w:val="00DB7ED4"/>
    <w:rsid w:val="00DC1529"/>
    <w:rsid w:val="00DC2443"/>
    <w:rsid w:val="00DC27F8"/>
    <w:rsid w:val="00DC2C7C"/>
    <w:rsid w:val="00DC2FB0"/>
    <w:rsid w:val="00DC363E"/>
    <w:rsid w:val="00DC3895"/>
    <w:rsid w:val="00DC3B34"/>
    <w:rsid w:val="00DC47F9"/>
    <w:rsid w:val="00DC5065"/>
    <w:rsid w:val="00DC5344"/>
    <w:rsid w:val="00DC59EE"/>
    <w:rsid w:val="00DC5D93"/>
    <w:rsid w:val="00DC63D5"/>
    <w:rsid w:val="00DC6B55"/>
    <w:rsid w:val="00DC734B"/>
    <w:rsid w:val="00DC768F"/>
    <w:rsid w:val="00DC7A74"/>
    <w:rsid w:val="00DD08E6"/>
    <w:rsid w:val="00DD27E4"/>
    <w:rsid w:val="00DD2901"/>
    <w:rsid w:val="00DD5AC3"/>
    <w:rsid w:val="00DD5FBB"/>
    <w:rsid w:val="00DD62B9"/>
    <w:rsid w:val="00DD6EDB"/>
    <w:rsid w:val="00DD71B7"/>
    <w:rsid w:val="00DD74AE"/>
    <w:rsid w:val="00DD74E6"/>
    <w:rsid w:val="00DE04E1"/>
    <w:rsid w:val="00DE0723"/>
    <w:rsid w:val="00DE0AB0"/>
    <w:rsid w:val="00DE20AB"/>
    <w:rsid w:val="00DE39A7"/>
    <w:rsid w:val="00DE5070"/>
    <w:rsid w:val="00DE603E"/>
    <w:rsid w:val="00DE6796"/>
    <w:rsid w:val="00DE7C2D"/>
    <w:rsid w:val="00DE7F6E"/>
    <w:rsid w:val="00DF10F7"/>
    <w:rsid w:val="00DF15C0"/>
    <w:rsid w:val="00DF25E2"/>
    <w:rsid w:val="00DF322E"/>
    <w:rsid w:val="00DF667F"/>
    <w:rsid w:val="00E00987"/>
    <w:rsid w:val="00E026FD"/>
    <w:rsid w:val="00E03288"/>
    <w:rsid w:val="00E040A6"/>
    <w:rsid w:val="00E044B9"/>
    <w:rsid w:val="00E045F8"/>
    <w:rsid w:val="00E04E68"/>
    <w:rsid w:val="00E05F9E"/>
    <w:rsid w:val="00E07271"/>
    <w:rsid w:val="00E07EFF"/>
    <w:rsid w:val="00E13802"/>
    <w:rsid w:val="00E15196"/>
    <w:rsid w:val="00E1617F"/>
    <w:rsid w:val="00E20E1C"/>
    <w:rsid w:val="00E21C84"/>
    <w:rsid w:val="00E22150"/>
    <w:rsid w:val="00E2440C"/>
    <w:rsid w:val="00E24FC3"/>
    <w:rsid w:val="00E2566B"/>
    <w:rsid w:val="00E3037B"/>
    <w:rsid w:val="00E319B5"/>
    <w:rsid w:val="00E319F1"/>
    <w:rsid w:val="00E31B4C"/>
    <w:rsid w:val="00E31D7E"/>
    <w:rsid w:val="00E32E79"/>
    <w:rsid w:val="00E360BA"/>
    <w:rsid w:val="00E36A49"/>
    <w:rsid w:val="00E3783E"/>
    <w:rsid w:val="00E404B9"/>
    <w:rsid w:val="00E43B58"/>
    <w:rsid w:val="00E43DF0"/>
    <w:rsid w:val="00E45328"/>
    <w:rsid w:val="00E454E8"/>
    <w:rsid w:val="00E45BA1"/>
    <w:rsid w:val="00E50070"/>
    <w:rsid w:val="00E50460"/>
    <w:rsid w:val="00E50DBD"/>
    <w:rsid w:val="00E52A49"/>
    <w:rsid w:val="00E53AD5"/>
    <w:rsid w:val="00E53CA3"/>
    <w:rsid w:val="00E55EB4"/>
    <w:rsid w:val="00E578AE"/>
    <w:rsid w:val="00E60F6D"/>
    <w:rsid w:val="00E61081"/>
    <w:rsid w:val="00E61288"/>
    <w:rsid w:val="00E62547"/>
    <w:rsid w:val="00E62A24"/>
    <w:rsid w:val="00E62B0F"/>
    <w:rsid w:val="00E62F9C"/>
    <w:rsid w:val="00E643DC"/>
    <w:rsid w:val="00E644F3"/>
    <w:rsid w:val="00E656D7"/>
    <w:rsid w:val="00E65F8A"/>
    <w:rsid w:val="00E67375"/>
    <w:rsid w:val="00E702BF"/>
    <w:rsid w:val="00E70FEA"/>
    <w:rsid w:val="00E71B78"/>
    <w:rsid w:val="00E71C14"/>
    <w:rsid w:val="00E72CFA"/>
    <w:rsid w:val="00E74A49"/>
    <w:rsid w:val="00E7577F"/>
    <w:rsid w:val="00E75A45"/>
    <w:rsid w:val="00E760AD"/>
    <w:rsid w:val="00E7657A"/>
    <w:rsid w:val="00E76CAA"/>
    <w:rsid w:val="00E771ED"/>
    <w:rsid w:val="00E77213"/>
    <w:rsid w:val="00E80C83"/>
    <w:rsid w:val="00E81446"/>
    <w:rsid w:val="00E818FD"/>
    <w:rsid w:val="00E820DF"/>
    <w:rsid w:val="00E86D5F"/>
    <w:rsid w:val="00E87D74"/>
    <w:rsid w:val="00E87F77"/>
    <w:rsid w:val="00E90A3F"/>
    <w:rsid w:val="00E9100F"/>
    <w:rsid w:val="00E910DD"/>
    <w:rsid w:val="00E91B23"/>
    <w:rsid w:val="00E91FD2"/>
    <w:rsid w:val="00E93728"/>
    <w:rsid w:val="00E94BDE"/>
    <w:rsid w:val="00E95425"/>
    <w:rsid w:val="00E9598E"/>
    <w:rsid w:val="00E96CF7"/>
    <w:rsid w:val="00EA0B50"/>
    <w:rsid w:val="00EA1286"/>
    <w:rsid w:val="00EA5513"/>
    <w:rsid w:val="00EA6BD8"/>
    <w:rsid w:val="00EA73FA"/>
    <w:rsid w:val="00EB0F4B"/>
    <w:rsid w:val="00EB1618"/>
    <w:rsid w:val="00EB2557"/>
    <w:rsid w:val="00EB3038"/>
    <w:rsid w:val="00EB327D"/>
    <w:rsid w:val="00EB343D"/>
    <w:rsid w:val="00EB5597"/>
    <w:rsid w:val="00EB5CBA"/>
    <w:rsid w:val="00EB6888"/>
    <w:rsid w:val="00EB78F8"/>
    <w:rsid w:val="00EC117F"/>
    <w:rsid w:val="00EC2ABA"/>
    <w:rsid w:val="00EC3980"/>
    <w:rsid w:val="00EC4815"/>
    <w:rsid w:val="00EC4B01"/>
    <w:rsid w:val="00EC5CBC"/>
    <w:rsid w:val="00EC6369"/>
    <w:rsid w:val="00EC64CF"/>
    <w:rsid w:val="00EC6EF4"/>
    <w:rsid w:val="00EC748A"/>
    <w:rsid w:val="00ED2282"/>
    <w:rsid w:val="00ED38FD"/>
    <w:rsid w:val="00ED512D"/>
    <w:rsid w:val="00EE11D6"/>
    <w:rsid w:val="00EE1381"/>
    <w:rsid w:val="00EE1B65"/>
    <w:rsid w:val="00EE1C28"/>
    <w:rsid w:val="00EE2000"/>
    <w:rsid w:val="00EE285F"/>
    <w:rsid w:val="00EE2A4E"/>
    <w:rsid w:val="00EE2B96"/>
    <w:rsid w:val="00EE2D7D"/>
    <w:rsid w:val="00EE33B6"/>
    <w:rsid w:val="00EE6021"/>
    <w:rsid w:val="00EF05A6"/>
    <w:rsid w:val="00EF0F57"/>
    <w:rsid w:val="00EF1572"/>
    <w:rsid w:val="00EF32F2"/>
    <w:rsid w:val="00EF3965"/>
    <w:rsid w:val="00EF3C25"/>
    <w:rsid w:val="00EF3DF4"/>
    <w:rsid w:val="00EF3E62"/>
    <w:rsid w:val="00EF4B8F"/>
    <w:rsid w:val="00EF59E6"/>
    <w:rsid w:val="00EF5F48"/>
    <w:rsid w:val="00F00F44"/>
    <w:rsid w:val="00F044DD"/>
    <w:rsid w:val="00F04FFF"/>
    <w:rsid w:val="00F061D5"/>
    <w:rsid w:val="00F06ABC"/>
    <w:rsid w:val="00F11973"/>
    <w:rsid w:val="00F128A1"/>
    <w:rsid w:val="00F12F26"/>
    <w:rsid w:val="00F14EF1"/>
    <w:rsid w:val="00F150A5"/>
    <w:rsid w:val="00F1679D"/>
    <w:rsid w:val="00F17738"/>
    <w:rsid w:val="00F209F7"/>
    <w:rsid w:val="00F2555E"/>
    <w:rsid w:val="00F25EAA"/>
    <w:rsid w:val="00F26030"/>
    <w:rsid w:val="00F26270"/>
    <w:rsid w:val="00F26424"/>
    <w:rsid w:val="00F266BD"/>
    <w:rsid w:val="00F27A6F"/>
    <w:rsid w:val="00F300F9"/>
    <w:rsid w:val="00F309A1"/>
    <w:rsid w:val="00F30CF2"/>
    <w:rsid w:val="00F32CE3"/>
    <w:rsid w:val="00F32D9E"/>
    <w:rsid w:val="00F33397"/>
    <w:rsid w:val="00F33C3B"/>
    <w:rsid w:val="00F3515D"/>
    <w:rsid w:val="00F36CD6"/>
    <w:rsid w:val="00F376D6"/>
    <w:rsid w:val="00F37CD5"/>
    <w:rsid w:val="00F41641"/>
    <w:rsid w:val="00F41CA3"/>
    <w:rsid w:val="00F42F9D"/>
    <w:rsid w:val="00F43AFA"/>
    <w:rsid w:val="00F444B6"/>
    <w:rsid w:val="00F44E90"/>
    <w:rsid w:val="00F45D83"/>
    <w:rsid w:val="00F475DC"/>
    <w:rsid w:val="00F50502"/>
    <w:rsid w:val="00F5074F"/>
    <w:rsid w:val="00F5122F"/>
    <w:rsid w:val="00F51CBE"/>
    <w:rsid w:val="00F51D38"/>
    <w:rsid w:val="00F53E67"/>
    <w:rsid w:val="00F557F9"/>
    <w:rsid w:val="00F57408"/>
    <w:rsid w:val="00F61D56"/>
    <w:rsid w:val="00F623D3"/>
    <w:rsid w:val="00F635AA"/>
    <w:rsid w:val="00F63E69"/>
    <w:rsid w:val="00F6708A"/>
    <w:rsid w:val="00F67352"/>
    <w:rsid w:val="00F6750D"/>
    <w:rsid w:val="00F67760"/>
    <w:rsid w:val="00F70D6C"/>
    <w:rsid w:val="00F72074"/>
    <w:rsid w:val="00F74D34"/>
    <w:rsid w:val="00F76AE6"/>
    <w:rsid w:val="00F76FE5"/>
    <w:rsid w:val="00F775C1"/>
    <w:rsid w:val="00F77FF9"/>
    <w:rsid w:val="00F8084A"/>
    <w:rsid w:val="00F80C9C"/>
    <w:rsid w:val="00F817C8"/>
    <w:rsid w:val="00F81C1F"/>
    <w:rsid w:val="00F82AA1"/>
    <w:rsid w:val="00F832CE"/>
    <w:rsid w:val="00F837B9"/>
    <w:rsid w:val="00F849B4"/>
    <w:rsid w:val="00F8613B"/>
    <w:rsid w:val="00F86629"/>
    <w:rsid w:val="00F90C29"/>
    <w:rsid w:val="00F911BA"/>
    <w:rsid w:val="00F91A77"/>
    <w:rsid w:val="00F927BD"/>
    <w:rsid w:val="00F93A4F"/>
    <w:rsid w:val="00F93E19"/>
    <w:rsid w:val="00F93F94"/>
    <w:rsid w:val="00F943DB"/>
    <w:rsid w:val="00F952BE"/>
    <w:rsid w:val="00F95BA2"/>
    <w:rsid w:val="00F968F7"/>
    <w:rsid w:val="00F97977"/>
    <w:rsid w:val="00F97C21"/>
    <w:rsid w:val="00F97C66"/>
    <w:rsid w:val="00FA0FDB"/>
    <w:rsid w:val="00FA10F1"/>
    <w:rsid w:val="00FA497E"/>
    <w:rsid w:val="00FA5367"/>
    <w:rsid w:val="00FA5693"/>
    <w:rsid w:val="00FA6FE5"/>
    <w:rsid w:val="00FA73C6"/>
    <w:rsid w:val="00FA7FC0"/>
    <w:rsid w:val="00FB16B9"/>
    <w:rsid w:val="00FB187F"/>
    <w:rsid w:val="00FB1DD2"/>
    <w:rsid w:val="00FB21F1"/>
    <w:rsid w:val="00FB2B62"/>
    <w:rsid w:val="00FB39B2"/>
    <w:rsid w:val="00FB3B51"/>
    <w:rsid w:val="00FB55F3"/>
    <w:rsid w:val="00FB5F34"/>
    <w:rsid w:val="00FB6148"/>
    <w:rsid w:val="00FB6384"/>
    <w:rsid w:val="00FB6906"/>
    <w:rsid w:val="00FB734B"/>
    <w:rsid w:val="00FC1A32"/>
    <w:rsid w:val="00FC1A64"/>
    <w:rsid w:val="00FC1E4A"/>
    <w:rsid w:val="00FC426D"/>
    <w:rsid w:val="00FC4298"/>
    <w:rsid w:val="00FC57EB"/>
    <w:rsid w:val="00FC61C0"/>
    <w:rsid w:val="00FD0031"/>
    <w:rsid w:val="00FD017F"/>
    <w:rsid w:val="00FD09F9"/>
    <w:rsid w:val="00FD22B8"/>
    <w:rsid w:val="00FD30F7"/>
    <w:rsid w:val="00FD3A33"/>
    <w:rsid w:val="00FD4003"/>
    <w:rsid w:val="00FD4624"/>
    <w:rsid w:val="00FD5484"/>
    <w:rsid w:val="00FD6D4B"/>
    <w:rsid w:val="00FD6E7C"/>
    <w:rsid w:val="00FE0942"/>
    <w:rsid w:val="00FE19B6"/>
    <w:rsid w:val="00FE2274"/>
    <w:rsid w:val="00FE277C"/>
    <w:rsid w:val="00FE2C90"/>
    <w:rsid w:val="00FE3EB8"/>
    <w:rsid w:val="00FE5AB4"/>
    <w:rsid w:val="00FE5F98"/>
    <w:rsid w:val="00FE79A4"/>
    <w:rsid w:val="00FE7BBA"/>
    <w:rsid w:val="00FF0304"/>
    <w:rsid w:val="00FF0D03"/>
    <w:rsid w:val="00FF1D14"/>
    <w:rsid w:val="00FF2D0B"/>
    <w:rsid w:val="00FF3DF1"/>
    <w:rsid w:val="00FF438B"/>
    <w:rsid w:val="00FF5FAA"/>
    <w:rsid w:val="00FF6461"/>
    <w:rsid w:val="1433415F"/>
    <w:rsid w:val="38FF4A31"/>
    <w:rsid w:val="400303AF"/>
    <w:rsid w:val="5AF7CFAB"/>
    <w:rsid w:val="FDFB9CF9"/>
    <w:rsid w:val="FEBE59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仿宋_GB2312"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Symbol"/>
      <w:kern w:val="2"/>
      <w:sz w:val="28"/>
      <w:szCs w:val="21"/>
      <w:lang w:val="en-US" w:eastAsia="zh-CN" w:bidi="ar-SA"/>
    </w:rPr>
  </w:style>
  <w:style w:type="paragraph" w:styleId="2">
    <w:name w:val="heading 1"/>
    <w:basedOn w:val="1"/>
    <w:next w:val="1"/>
    <w:link w:val="50"/>
    <w:qFormat/>
    <w:uiPriority w:val="0"/>
    <w:pPr>
      <w:numPr>
        <w:ilvl w:val="0"/>
        <w:numId w:val="1"/>
      </w:numPr>
      <w:autoSpaceDN w:val="0"/>
      <w:adjustRightInd w:val="0"/>
      <w:snapToGrid w:val="0"/>
      <w:spacing w:before="50" w:beforeLines="50" w:after="50" w:afterLines="50" w:line="240" w:lineRule="auto"/>
      <w:ind w:left="0" w:firstLine="0"/>
      <w:jc w:val="left"/>
      <w:outlineLvl w:val="0"/>
    </w:pPr>
    <w:rPr>
      <w:rFonts w:cs="Times New Roman"/>
      <w:b/>
      <w:bCs/>
      <w:szCs w:val="32"/>
      <w:lang w:val="zh-CN"/>
    </w:rPr>
  </w:style>
  <w:style w:type="paragraph" w:styleId="3">
    <w:name w:val="heading 2"/>
    <w:basedOn w:val="1"/>
    <w:next w:val="1"/>
    <w:link w:val="51"/>
    <w:qFormat/>
    <w:uiPriority w:val="0"/>
    <w:pPr>
      <w:numPr>
        <w:ilvl w:val="1"/>
        <w:numId w:val="1"/>
      </w:numPr>
      <w:autoSpaceDN w:val="0"/>
      <w:adjustRightInd w:val="0"/>
      <w:snapToGrid w:val="0"/>
      <w:spacing w:before="50" w:beforeLines="50" w:after="50" w:afterLines="50" w:line="240" w:lineRule="auto"/>
      <w:outlineLvl w:val="1"/>
    </w:pPr>
    <w:rPr>
      <w:rFonts w:cs="Times New Roman"/>
      <w:b/>
      <w:bCs/>
      <w:szCs w:val="30"/>
      <w:lang w:val="zh-CN"/>
    </w:rPr>
  </w:style>
  <w:style w:type="paragraph" w:styleId="4">
    <w:name w:val="heading 3"/>
    <w:basedOn w:val="1"/>
    <w:next w:val="1"/>
    <w:link w:val="52"/>
    <w:qFormat/>
    <w:uiPriority w:val="0"/>
    <w:pPr>
      <w:numPr>
        <w:ilvl w:val="2"/>
        <w:numId w:val="1"/>
      </w:numPr>
      <w:autoSpaceDN w:val="0"/>
      <w:adjustRightInd w:val="0"/>
      <w:snapToGrid w:val="0"/>
      <w:spacing w:before="50" w:beforeLines="50" w:after="50" w:afterLines="50" w:line="240" w:lineRule="auto"/>
      <w:outlineLvl w:val="2"/>
    </w:pPr>
    <w:rPr>
      <w:rFonts w:cs="Times New Roman"/>
      <w:b/>
      <w:bCs/>
      <w:szCs w:val="28"/>
      <w:lang w:val="zh-CN"/>
    </w:rPr>
  </w:style>
  <w:style w:type="paragraph" w:styleId="5">
    <w:name w:val="heading 4"/>
    <w:basedOn w:val="1"/>
    <w:next w:val="1"/>
    <w:link w:val="53"/>
    <w:qFormat/>
    <w:uiPriority w:val="0"/>
    <w:pPr>
      <w:numPr>
        <w:ilvl w:val="3"/>
        <w:numId w:val="1"/>
      </w:numPr>
      <w:adjustRightInd w:val="0"/>
      <w:snapToGrid w:val="0"/>
      <w:spacing w:before="50" w:beforeLines="50" w:after="50" w:afterLines="50" w:line="240" w:lineRule="auto"/>
      <w:outlineLvl w:val="3"/>
    </w:pPr>
    <w:rPr>
      <w:rFonts w:cs="Times New Roman"/>
      <w:b/>
      <w:szCs w:val="28"/>
      <w:lang w:val="zh-CN"/>
    </w:rPr>
  </w:style>
  <w:style w:type="paragraph" w:styleId="6">
    <w:name w:val="heading 5"/>
    <w:basedOn w:val="1"/>
    <w:next w:val="1"/>
    <w:link w:val="54"/>
    <w:qFormat/>
    <w:uiPriority w:val="0"/>
    <w:pPr>
      <w:keepNext/>
      <w:keepLines/>
      <w:numPr>
        <w:ilvl w:val="4"/>
        <w:numId w:val="1"/>
      </w:numPr>
      <w:tabs>
        <w:tab w:val="left" w:pos="1008"/>
      </w:tabs>
      <w:spacing w:before="280" w:after="290" w:line="372" w:lineRule="auto"/>
      <w:outlineLvl w:val="4"/>
    </w:pPr>
    <w:rPr>
      <w:rFonts w:cs="等线"/>
      <w:b/>
      <w:bCs/>
      <w:kern w:val="0"/>
      <w:szCs w:val="28"/>
      <w:lang w:val="zh-CN"/>
    </w:rPr>
  </w:style>
  <w:style w:type="paragraph" w:styleId="7">
    <w:name w:val="heading 6"/>
    <w:basedOn w:val="1"/>
    <w:next w:val="1"/>
    <w:link w:val="55"/>
    <w:qFormat/>
    <w:uiPriority w:val="0"/>
    <w:pPr>
      <w:keepNext/>
      <w:keepLines/>
      <w:numPr>
        <w:ilvl w:val="5"/>
        <w:numId w:val="1"/>
      </w:numPr>
      <w:tabs>
        <w:tab w:val="left" w:pos="1152"/>
      </w:tabs>
      <w:spacing w:before="240" w:after="64" w:line="317" w:lineRule="auto"/>
      <w:outlineLvl w:val="5"/>
    </w:pPr>
    <w:rPr>
      <w:rFonts w:ascii="Cambria Math" w:hAnsi="Cambria Math" w:eastAsia="Symbol" w:cs="等线"/>
      <w:b/>
      <w:bCs/>
      <w:kern w:val="0"/>
      <w:sz w:val="24"/>
      <w:szCs w:val="24"/>
      <w:lang w:val="zh-CN"/>
    </w:rPr>
  </w:style>
  <w:style w:type="paragraph" w:styleId="8">
    <w:name w:val="heading 7"/>
    <w:basedOn w:val="1"/>
    <w:next w:val="1"/>
    <w:link w:val="56"/>
    <w:qFormat/>
    <w:uiPriority w:val="0"/>
    <w:pPr>
      <w:keepNext/>
      <w:keepLines/>
      <w:numPr>
        <w:ilvl w:val="6"/>
        <w:numId w:val="1"/>
      </w:numPr>
      <w:tabs>
        <w:tab w:val="left" w:pos="1296"/>
      </w:tabs>
      <w:spacing w:before="240" w:after="64" w:line="317" w:lineRule="auto"/>
      <w:outlineLvl w:val="6"/>
    </w:pPr>
    <w:rPr>
      <w:rFonts w:cs="等线"/>
      <w:b/>
      <w:bCs/>
      <w:kern w:val="0"/>
      <w:sz w:val="24"/>
      <w:szCs w:val="24"/>
      <w:lang w:val="zh-CN"/>
    </w:rPr>
  </w:style>
  <w:style w:type="paragraph" w:styleId="9">
    <w:name w:val="heading 8"/>
    <w:basedOn w:val="1"/>
    <w:next w:val="1"/>
    <w:link w:val="57"/>
    <w:qFormat/>
    <w:uiPriority w:val="0"/>
    <w:pPr>
      <w:keepNext/>
      <w:keepLines/>
      <w:numPr>
        <w:ilvl w:val="7"/>
        <w:numId w:val="1"/>
      </w:numPr>
      <w:tabs>
        <w:tab w:val="left" w:pos="1440"/>
      </w:tabs>
      <w:spacing w:before="240" w:after="64" w:line="317" w:lineRule="auto"/>
      <w:ind w:left="1440"/>
      <w:outlineLvl w:val="7"/>
    </w:pPr>
    <w:rPr>
      <w:rFonts w:ascii="Cambria Math" w:hAnsi="Cambria Math" w:eastAsia="Symbol" w:cs="等线"/>
      <w:kern w:val="0"/>
      <w:sz w:val="24"/>
      <w:szCs w:val="24"/>
      <w:lang w:val="zh-CN"/>
    </w:rPr>
  </w:style>
  <w:style w:type="paragraph" w:styleId="10">
    <w:name w:val="heading 9"/>
    <w:basedOn w:val="1"/>
    <w:next w:val="1"/>
    <w:link w:val="58"/>
    <w:qFormat/>
    <w:uiPriority w:val="0"/>
    <w:pPr>
      <w:keepNext/>
      <w:keepLines/>
      <w:numPr>
        <w:ilvl w:val="8"/>
        <w:numId w:val="1"/>
      </w:numPr>
      <w:tabs>
        <w:tab w:val="left" w:pos="1584"/>
      </w:tabs>
      <w:spacing w:before="240" w:after="64" w:line="317" w:lineRule="auto"/>
      <w:outlineLvl w:val="8"/>
    </w:pPr>
    <w:rPr>
      <w:rFonts w:ascii="Cambria Math" w:hAnsi="Cambria Math" w:eastAsia="Symbol" w:cs="等线"/>
      <w:kern w:val="0"/>
      <w:sz w:val="24"/>
      <w:lang w:val="zh-CN"/>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ascii="Arial" w:hAnsi="Arial"/>
      <w:sz w:val="18"/>
      <w:szCs w:val="18"/>
    </w:rPr>
  </w:style>
  <w:style w:type="paragraph" w:styleId="12">
    <w:name w:val="E-mail Signature"/>
    <w:basedOn w:val="1"/>
    <w:link w:val="127"/>
    <w:qFormat/>
    <w:uiPriority w:val="0"/>
    <w:rPr>
      <w:rFonts w:cs="等线"/>
      <w:szCs w:val="20"/>
    </w:rPr>
  </w:style>
  <w:style w:type="paragraph" w:styleId="13">
    <w:name w:val="Normal Indent"/>
    <w:basedOn w:val="1"/>
    <w:qFormat/>
    <w:uiPriority w:val="0"/>
    <w:pPr>
      <w:adjustRightInd w:val="0"/>
      <w:spacing w:line="312" w:lineRule="atLeast"/>
      <w:ind w:firstLine="420"/>
      <w:textAlignment w:val="baseline"/>
    </w:pPr>
    <w:rPr>
      <w:rFonts w:cs="等线"/>
      <w:kern w:val="0"/>
      <w:szCs w:val="20"/>
    </w:rPr>
  </w:style>
  <w:style w:type="paragraph" w:styleId="14">
    <w:name w:val="caption"/>
    <w:basedOn w:val="1"/>
    <w:next w:val="1"/>
    <w:link w:val="136"/>
    <w:qFormat/>
    <w:uiPriority w:val="35"/>
    <w:pPr>
      <w:spacing w:line="300" w:lineRule="auto"/>
      <w:jc w:val="center"/>
    </w:pPr>
    <w:rPr>
      <w:rFonts w:cs="Cambria Math"/>
      <w:sz w:val="24"/>
      <w:szCs w:val="24"/>
    </w:rPr>
  </w:style>
  <w:style w:type="paragraph" w:styleId="15">
    <w:name w:val="Document Map"/>
    <w:basedOn w:val="1"/>
    <w:link w:val="121"/>
    <w:qFormat/>
    <w:uiPriority w:val="0"/>
    <w:rPr>
      <w:rFonts w:ascii="仿宋_GB2312"/>
      <w:sz w:val="18"/>
      <w:szCs w:val="18"/>
    </w:rPr>
  </w:style>
  <w:style w:type="paragraph" w:styleId="16">
    <w:name w:val="annotation text"/>
    <w:basedOn w:val="1"/>
    <w:link w:val="78"/>
    <w:qFormat/>
    <w:uiPriority w:val="99"/>
    <w:pPr>
      <w:jc w:val="left"/>
    </w:pPr>
  </w:style>
  <w:style w:type="paragraph" w:styleId="17">
    <w:name w:val="Body Text 3"/>
    <w:basedOn w:val="1"/>
    <w:link w:val="137"/>
    <w:qFormat/>
    <w:uiPriority w:val="0"/>
    <w:pPr>
      <w:spacing w:after="120" w:line="360" w:lineRule="exact"/>
    </w:pPr>
    <w:rPr>
      <w:rFonts w:cs="等线"/>
      <w:sz w:val="16"/>
      <w:szCs w:val="16"/>
    </w:rPr>
  </w:style>
  <w:style w:type="paragraph" w:styleId="18">
    <w:name w:val="Body Text"/>
    <w:basedOn w:val="1"/>
    <w:link w:val="59"/>
    <w:qFormat/>
    <w:uiPriority w:val="0"/>
    <w:pPr>
      <w:spacing w:after="120"/>
    </w:pPr>
    <w:rPr>
      <w:rFonts w:cs="等线"/>
      <w:kern w:val="0"/>
      <w:sz w:val="24"/>
      <w:szCs w:val="20"/>
      <w:lang w:val="zh-CN"/>
    </w:rPr>
  </w:style>
  <w:style w:type="paragraph" w:styleId="19">
    <w:name w:val="Body Text Indent"/>
    <w:basedOn w:val="1"/>
    <w:link w:val="100"/>
    <w:qFormat/>
    <w:uiPriority w:val="0"/>
    <w:pPr>
      <w:tabs>
        <w:tab w:val="left" w:pos="0"/>
      </w:tabs>
      <w:adjustRightInd w:val="0"/>
      <w:ind w:left="13" w:leftChars="6" w:firstLine="420" w:firstLineChars="200"/>
      <w:jc w:val="left"/>
    </w:pPr>
    <w:rPr>
      <w:rFonts w:cs="等线"/>
      <w:sz w:val="24"/>
      <w:szCs w:val="24"/>
    </w:rPr>
  </w:style>
  <w:style w:type="paragraph" w:styleId="20">
    <w:name w:val="toc 5"/>
    <w:basedOn w:val="1"/>
    <w:next w:val="1"/>
    <w:qFormat/>
    <w:uiPriority w:val="39"/>
    <w:pPr>
      <w:ind w:left="840"/>
      <w:jc w:val="left"/>
    </w:pPr>
    <w:rPr>
      <w:rFonts w:ascii="Arial" w:hAnsi="Arial"/>
      <w:sz w:val="18"/>
      <w:szCs w:val="18"/>
    </w:rPr>
  </w:style>
  <w:style w:type="paragraph" w:styleId="21">
    <w:name w:val="toc 3"/>
    <w:basedOn w:val="1"/>
    <w:next w:val="1"/>
    <w:qFormat/>
    <w:uiPriority w:val="39"/>
    <w:pPr>
      <w:ind w:left="420"/>
      <w:jc w:val="left"/>
    </w:pPr>
    <w:rPr>
      <w:rFonts w:ascii="Arial" w:hAnsi="Arial"/>
      <w:i/>
      <w:iCs/>
      <w:szCs w:val="20"/>
    </w:rPr>
  </w:style>
  <w:style w:type="paragraph" w:styleId="22">
    <w:name w:val="Plain Text"/>
    <w:basedOn w:val="1"/>
    <w:link w:val="138"/>
    <w:qFormat/>
    <w:uiPriority w:val="0"/>
    <w:pPr>
      <w:spacing w:line="360" w:lineRule="exact"/>
    </w:pPr>
    <w:rPr>
      <w:rFonts w:ascii="仿宋_GB2312" w:hAnsi="楷体_GB2312" w:cs="楷体_GB2312"/>
    </w:rPr>
  </w:style>
  <w:style w:type="paragraph" w:styleId="23">
    <w:name w:val="toc 8"/>
    <w:basedOn w:val="1"/>
    <w:next w:val="1"/>
    <w:qFormat/>
    <w:uiPriority w:val="39"/>
    <w:pPr>
      <w:ind w:left="1470"/>
      <w:jc w:val="left"/>
    </w:pPr>
    <w:rPr>
      <w:rFonts w:ascii="Arial" w:hAnsi="Arial"/>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26"/>
    <w:qFormat/>
    <w:uiPriority w:val="0"/>
    <w:pPr>
      <w:tabs>
        <w:tab w:val="left" w:pos="0"/>
      </w:tabs>
      <w:adjustRightInd w:val="0"/>
      <w:ind w:left="13" w:leftChars="6" w:firstLine="480" w:firstLineChars="200"/>
      <w:jc w:val="left"/>
    </w:pPr>
    <w:rPr>
      <w:rFonts w:cs="等线"/>
      <w:sz w:val="24"/>
      <w:szCs w:val="24"/>
    </w:rPr>
  </w:style>
  <w:style w:type="paragraph" w:styleId="26">
    <w:name w:val="Balloon Text"/>
    <w:basedOn w:val="1"/>
    <w:link w:val="84"/>
    <w:qFormat/>
    <w:uiPriority w:val="0"/>
    <w:rPr>
      <w:rFonts w:cs="等线"/>
      <w:kern w:val="0"/>
      <w:sz w:val="18"/>
      <w:szCs w:val="18"/>
      <w:lang w:val="zh-CN"/>
    </w:rPr>
  </w:style>
  <w:style w:type="paragraph" w:styleId="27">
    <w:name w:val="footer"/>
    <w:basedOn w:val="1"/>
    <w:link w:val="94"/>
    <w:qFormat/>
    <w:uiPriority w:val="99"/>
    <w:pPr>
      <w:tabs>
        <w:tab w:val="center" w:pos="4153"/>
        <w:tab w:val="right" w:pos="8306"/>
      </w:tabs>
      <w:snapToGrid w:val="0"/>
      <w:jc w:val="left"/>
    </w:pPr>
    <w:rPr>
      <w:rFonts w:cs="等线"/>
      <w:kern w:val="0"/>
      <w:sz w:val="18"/>
      <w:szCs w:val="18"/>
      <w:lang w:val="zh-CN"/>
    </w:rPr>
  </w:style>
  <w:style w:type="paragraph" w:styleId="28">
    <w:name w:val="header"/>
    <w:basedOn w:val="1"/>
    <w:link w:val="97"/>
    <w:qFormat/>
    <w:uiPriority w:val="0"/>
    <w:pPr>
      <w:pBdr>
        <w:bottom w:val="single" w:color="auto" w:sz="6" w:space="1"/>
      </w:pBdr>
      <w:tabs>
        <w:tab w:val="center" w:pos="4153"/>
        <w:tab w:val="right" w:pos="8306"/>
      </w:tabs>
      <w:snapToGrid w:val="0"/>
      <w:jc w:val="center"/>
    </w:pPr>
    <w:rPr>
      <w:rFonts w:cs="等线"/>
      <w:kern w:val="0"/>
      <w:sz w:val="18"/>
      <w:szCs w:val="18"/>
      <w:lang w:val="zh-CN"/>
    </w:rPr>
  </w:style>
  <w:style w:type="paragraph" w:styleId="29">
    <w:name w:val="toc 1"/>
    <w:basedOn w:val="1"/>
    <w:next w:val="1"/>
    <w:qFormat/>
    <w:uiPriority w:val="39"/>
    <w:pPr>
      <w:spacing w:before="120" w:after="120"/>
      <w:jc w:val="left"/>
    </w:pPr>
    <w:rPr>
      <w:rFonts w:ascii="Arial" w:hAnsi="Arial"/>
      <w:b/>
      <w:bCs/>
      <w:caps/>
      <w:szCs w:val="20"/>
    </w:rPr>
  </w:style>
  <w:style w:type="paragraph" w:styleId="30">
    <w:name w:val="toc 4"/>
    <w:basedOn w:val="1"/>
    <w:next w:val="1"/>
    <w:qFormat/>
    <w:uiPriority w:val="39"/>
    <w:pPr>
      <w:ind w:left="630"/>
      <w:jc w:val="left"/>
    </w:pPr>
    <w:rPr>
      <w:rFonts w:ascii="Arial" w:hAnsi="Arial"/>
      <w:sz w:val="18"/>
      <w:szCs w:val="18"/>
    </w:rPr>
  </w:style>
  <w:style w:type="paragraph" w:styleId="31">
    <w:name w:val="Subtitle"/>
    <w:basedOn w:val="14"/>
    <w:next w:val="1"/>
    <w:link w:val="264"/>
    <w:qFormat/>
    <w:uiPriority w:val="0"/>
    <w:rPr>
      <w:rFonts w:cs="Times New Roman"/>
      <w:szCs w:val="21"/>
    </w:rPr>
  </w:style>
  <w:style w:type="paragraph" w:styleId="32">
    <w:name w:val="toc 6"/>
    <w:basedOn w:val="1"/>
    <w:next w:val="1"/>
    <w:qFormat/>
    <w:uiPriority w:val="39"/>
    <w:pPr>
      <w:ind w:left="1050"/>
      <w:jc w:val="left"/>
    </w:pPr>
    <w:rPr>
      <w:rFonts w:ascii="Arial" w:hAnsi="Arial"/>
      <w:sz w:val="18"/>
      <w:szCs w:val="18"/>
    </w:rPr>
  </w:style>
  <w:style w:type="paragraph" w:styleId="33">
    <w:name w:val="Body Text Indent 3"/>
    <w:basedOn w:val="1"/>
    <w:link w:val="117"/>
    <w:qFormat/>
    <w:uiPriority w:val="0"/>
    <w:pPr>
      <w:spacing w:after="120"/>
      <w:ind w:left="420" w:leftChars="200"/>
    </w:pPr>
    <w:rPr>
      <w:rFonts w:cs="等线"/>
      <w:sz w:val="16"/>
      <w:szCs w:val="16"/>
    </w:rPr>
  </w:style>
  <w:style w:type="paragraph" w:styleId="34">
    <w:name w:val="table of figures"/>
    <w:basedOn w:val="1"/>
    <w:next w:val="1"/>
    <w:unhideWhenUsed/>
    <w:qFormat/>
    <w:uiPriority w:val="99"/>
  </w:style>
  <w:style w:type="paragraph" w:styleId="35">
    <w:name w:val="toc 2"/>
    <w:basedOn w:val="1"/>
    <w:next w:val="1"/>
    <w:qFormat/>
    <w:uiPriority w:val="39"/>
    <w:pPr>
      <w:ind w:left="210"/>
      <w:jc w:val="left"/>
    </w:pPr>
    <w:rPr>
      <w:rFonts w:ascii="Arial" w:hAnsi="Arial"/>
      <w:smallCaps/>
      <w:szCs w:val="20"/>
    </w:rPr>
  </w:style>
  <w:style w:type="paragraph" w:styleId="36">
    <w:name w:val="toc 9"/>
    <w:basedOn w:val="1"/>
    <w:next w:val="1"/>
    <w:qFormat/>
    <w:uiPriority w:val="39"/>
    <w:pPr>
      <w:ind w:left="1680"/>
      <w:jc w:val="left"/>
    </w:pPr>
    <w:rPr>
      <w:rFonts w:ascii="Arial" w:hAnsi="Arial"/>
      <w:sz w:val="18"/>
      <w:szCs w:val="18"/>
    </w:rPr>
  </w:style>
  <w:style w:type="paragraph" w:styleId="37">
    <w:name w:val="Body Text 2"/>
    <w:basedOn w:val="1"/>
    <w:link w:val="125"/>
    <w:qFormat/>
    <w:uiPriority w:val="0"/>
    <w:pPr>
      <w:jc w:val="center"/>
    </w:pPr>
    <w:rPr>
      <w:rFonts w:cs="等线"/>
      <w:sz w:val="24"/>
      <w:szCs w:val="24"/>
    </w:rPr>
  </w:style>
  <w:style w:type="paragraph" w:styleId="38">
    <w:name w:val="Normal (Web)"/>
    <w:basedOn w:val="1"/>
    <w:qFormat/>
    <w:uiPriority w:val="99"/>
    <w:pPr>
      <w:widowControl/>
      <w:spacing w:before="100" w:beforeAutospacing="1" w:after="100" w:afterAutospacing="1"/>
      <w:jc w:val="left"/>
    </w:pPr>
    <w:rPr>
      <w:rFonts w:ascii="仿宋_GB2312" w:hAnsi="仿宋_GB2312" w:cs="仿宋_GB2312"/>
      <w:kern w:val="0"/>
      <w:sz w:val="24"/>
      <w:szCs w:val="24"/>
    </w:rPr>
  </w:style>
  <w:style w:type="paragraph" w:styleId="39">
    <w:name w:val="Title"/>
    <w:basedOn w:val="1"/>
    <w:link w:val="69"/>
    <w:qFormat/>
    <w:uiPriority w:val="0"/>
    <w:pPr>
      <w:snapToGrid w:val="0"/>
      <w:spacing w:before="60" w:after="60" w:line="264" w:lineRule="auto"/>
      <w:jc w:val="center"/>
      <w:outlineLvl w:val="0"/>
    </w:pPr>
    <w:rPr>
      <w:rFonts w:ascii="Cambria Math" w:hAnsi="Cambria Math" w:eastAsia="黑体" w:cs="等线"/>
      <w:b/>
      <w:bCs/>
      <w:w w:val="90"/>
      <w:kern w:val="0"/>
      <w:sz w:val="84"/>
      <w:szCs w:val="32"/>
      <w:lang w:val="zh-CN"/>
    </w:rPr>
  </w:style>
  <w:style w:type="paragraph" w:styleId="40">
    <w:name w:val="annotation subject"/>
    <w:basedOn w:val="16"/>
    <w:next w:val="16"/>
    <w:link w:val="128"/>
    <w:qFormat/>
    <w:uiPriority w:val="0"/>
    <w:rPr>
      <w:b/>
      <w:bCs/>
    </w:rPr>
  </w:style>
  <w:style w:type="table" w:styleId="42">
    <w:name w:val="Table Grid"/>
    <w:basedOn w:val="41"/>
    <w:qFormat/>
    <w:uiPriority w:val="59"/>
    <w:rPr>
      <w:rFonts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qFormat/>
    <w:uiPriority w:val="0"/>
    <w:rPr>
      <w:i/>
      <w:iCs/>
    </w:rPr>
  </w:style>
  <w:style w:type="character" w:styleId="48">
    <w:name w:val="Hyperlink"/>
    <w:qFormat/>
    <w:uiPriority w:val="99"/>
    <w:rPr>
      <w:color w:val="0000FF"/>
      <w:u w:val="single"/>
    </w:rPr>
  </w:style>
  <w:style w:type="character" w:styleId="49">
    <w:name w:val="annotation reference"/>
    <w:qFormat/>
    <w:uiPriority w:val="99"/>
    <w:rPr>
      <w:sz w:val="21"/>
      <w:szCs w:val="21"/>
    </w:rPr>
  </w:style>
  <w:style w:type="character" w:customStyle="1" w:styleId="50">
    <w:name w:val="标题 1 字符1"/>
    <w:link w:val="2"/>
    <w:qFormat/>
    <w:uiPriority w:val="0"/>
    <w:rPr>
      <w:rFonts w:ascii="Times New Roman" w:hAnsi="Times New Roman" w:eastAsia="仿宋" w:cs="Times New Roman"/>
      <w:b/>
      <w:bCs/>
      <w:kern w:val="2"/>
      <w:sz w:val="28"/>
      <w:szCs w:val="32"/>
      <w:lang w:val="zh-CN"/>
    </w:rPr>
  </w:style>
  <w:style w:type="character" w:customStyle="1" w:styleId="51">
    <w:name w:val="标题 2 字符"/>
    <w:link w:val="3"/>
    <w:qFormat/>
    <w:uiPriority w:val="0"/>
    <w:rPr>
      <w:rFonts w:ascii="Times New Roman" w:hAnsi="Times New Roman" w:eastAsia="仿宋" w:cs="Times New Roman"/>
      <w:b/>
      <w:bCs/>
      <w:kern w:val="2"/>
      <w:sz w:val="28"/>
      <w:szCs w:val="30"/>
      <w:lang w:val="zh-CN"/>
    </w:rPr>
  </w:style>
  <w:style w:type="character" w:customStyle="1" w:styleId="52">
    <w:name w:val="标题 3 字符"/>
    <w:link w:val="4"/>
    <w:qFormat/>
    <w:uiPriority w:val="0"/>
    <w:rPr>
      <w:rFonts w:ascii="Times New Roman" w:hAnsi="Times New Roman" w:eastAsia="仿宋" w:cs="Times New Roman"/>
      <w:b/>
      <w:bCs/>
      <w:kern w:val="2"/>
      <w:sz w:val="28"/>
      <w:szCs w:val="28"/>
      <w:lang w:val="zh-CN"/>
    </w:rPr>
  </w:style>
  <w:style w:type="character" w:customStyle="1" w:styleId="53">
    <w:name w:val="标题 4 字符"/>
    <w:link w:val="5"/>
    <w:qFormat/>
    <w:uiPriority w:val="0"/>
    <w:rPr>
      <w:rFonts w:ascii="Times New Roman" w:hAnsi="Times New Roman" w:eastAsia="仿宋" w:cs="Times New Roman"/>
      <w:b/>
      <w:kern w:val="2"/>
      <w:sz w:val="28"/>
      <w:szCs w:val="28"/>
      <w:lang w:val="zh-CN"/>
    </w:rPr>
  </w:style>
  <w:style w:type="character" w:customStyle="1" w:styleId="54">
    <w:name w:val="标题 5 字符"/>
    <w:link w:val="6"/>
    <w:qFormat/>
    <w:uiPriority w:val="0"/>
    <w:rPr>
      <w:rFonts w:ascii="Times New Roman" w:hAnsi="Times New Roman" w:eastAsia="宋体"/>
      <w:b/>
      <w:bCs/>
      <w:sz w:val="28"/>
      <w:szCs w:val="28"/>
      <w:lang w:val="zh-CN" w:eastAsia="zh-CN"/>
    </w:rPr>
  </w:style>
  <w:style w:type="character" w:customStyle="1" w:styleId="55">
    <w:name w:val="标题 6 字符"/>
    <w:link w:val="7"/>
    <w:qFormat/>
    <w:uiPriority w:val="0"/>
    <w:rPr>
      <w:rFonts w:ascii="Cambria Math" w:hAnsi="Cambria Math" w:eastAsia="Symbol"/>
      <w:b/>
      <w:bCs/>
      <w:sz w:val="24"/>
      <w:szCs w:val="24"/>
      <w:lang w:val="zh-CN" w:eastAsia="zh-CN"/>
    </w:rPr>
  </w:style>
  <w:style w:type="character" w:customStyle="1" w:styleId="56">
    <w:name w:val="标题 7 字符"/>
    <w:link w:val="8"/>
    <w:qFormat/>
    <w:uiPriority w:val="0"/>
    <w:rPr>
      <w:rFonts w:ascii="Times New Roman" w:hAnsi="Times New Roman" w:eastAsia="宋体"/>
      <w:b/>
      <w:bCs/>
      <w:sz w:val="24"/>
      <w:szCs w:val="24"/>
      <w:lang w:val="zh-CN" w:eastAsia="zh-CN"/>
    </w:rPr>
  </w:style>
  <w:style w:type="character" w:customStyle="1" w:styleId="57">
    <w:name w:val="标题 8 字符"/>
    <w:link w:val="9"/>
    <w:qFormat/>
    <w:uiPriority w:val="0"/>
    <w:rPr>
      <w:rFonts w:ascii="Cambria Math" w:hAnsi="Cambria Math" w:eastAsia="Symbol"/>
      <w:sz w:val="24"/>
      <w:szCs w:val="24"/>
      <w:lang w:val="zh-CN" w:eastAsia="zh-CN"/>
    </w:rPr>
  </w:style>
  <w:style w:type="character" w:customStyle="1" w:styleId="58">
    <w:name w:val="标题 9 字符"/>
    <w:link w:val="10"/>
    <w:qFormat/>
    <w:uiPriority w:val="0"/>
    <w:rPr>
      <w:rFonts w:ascii="Cambria Math" w:hAnsi="Cambria Math" w:eastAsia="Symbol"/>
      <w:sz w:val="24"/>
      <w:szCs w:val="21"/>
      <w:lang w:val="zh-CN" w:eastAsia="zh-CN"/>
    </w:rPr>
  </w:style>
  <w:style w:type="character" w:customStyle="1" w:styleId="59">
    <w:name w:val="正文文本 字符"/>
    <w:link w:val="18"/>
    <w:qFormat/>
    <w:uiPriority w:val="0"/>
    <w:rPr>
      <w:rFonts w:cs="等线"/>
      <w:sz w:val="24"/>
      <w:szCs w:val="20"/>
    </w:rPr>
  </w:style>
  <w:style w:type="character" w:customStyle="1" w:styleId="60">
    <w:name w:val="批注框文本 Char1"/>
    <w:qFormat/>
    <w:uiPriority w:val="0"/>
    <w:rPr>
      <w:rFonts w:hint="eastAsia" w:ascii="Symbol" w:hAnsi="Symbol" w:eastAsia="Symbol" w:cs="Symbol"/>
      <w:kern w:val="2"/>
      <w:sz w:val="18"/>
      <w:szCs w:val="18"/>
    </w:rPr>
  </w:style>
  <w:style w:type="character" w:customStyle="1" w:styleId="61">
    <w:name w:val="ZT-正文 Char Char"/>
    <w:link w:val="62"/>
    <w:qFormat/>
    <w:uiPriority w:val="0"/>
    <w:rPr>
      <w:rFonts w:ascii="Cambria Math" w:hAnsi="Cambria Math"/>
      <w:kern w:val="2"/>
      <w:sz w:val="21"/>
      <w:szCs w:val="22"/>
    </w:rPr>
  </w:style>
  <w:style w:type="paragraph" w:customStyle="1" w:styleId="62">
    <w:name w:val="ZT-正文"/>
    <w:basedOn w:val="1"/>
    <w:link w:val="61"/>
    <w:qFormat/>
    <w:uiPriority w:val="0"/>
    <w:pPr>
      <w:spacing w:line="300" w:lineRule="auto"/>
      <w:ind w:firstLine="420" w:firstLineChars="200"/>
    </w:pPr>
    <w:rPr>
      <w:rFonts w:ascii="Cambria Math" w:hAnsi="Cambria Math" w:cs="等线"/>
      <w:szCs w:val="22"/>
      <w:lang w:val="zh-CN"/>
    </w:rPr>
  </w:style>
  <w:style w:type="character" w:customStyle="1" w:styleId="63">
    <w:name w:val="批注主题 Char1"/>
    <w:qFormat/>
    <w:uiPriority w:val="0"/>
    <w:rPr>
      <w:rFonts w:cs="Symbol"/>
      <w:b/>
      <w:bCs/>
      <w:kern w:val="2"/>
      <w:sz w:val="21"/>
      <w:szCs w:val="21"/>
    </w:rPr>
  </w:style>
  <w:style w:type="character" w:customStyle="1" w:styleId="64">
    <w:name w:val="标题 Char1"/>
    <w:qFormat/>
    <w:uiPriority w:val="0"/>
    <w:rPr>
      <w:rFonts w:hint="default" w:ascii="Times New Roman" w:hAnsi="Times New Roman" w:cs="等线"/>
      <w:b/>
      <w:bCs/>
      <w:kern w:val="2"/>
      <w:sz w:val="32"/>
      <w:szCs w:val="32"/>
    </w:rPr>
  </w:style>
  <w:style w:type="character" w:customStyle="1" w:styleId="65">
    <w:name w:val="正文文本缩进 2 Char Char"/>
    <w:link w:val="66"/>
    <w:qFormat/>
    <w:uiPriority w:val="0"/>
    <w:rPr>
      <w:rFonts w:cs="等线"/>
      <w:sz w:val="24"/>
      <w:szCs w:val="24"/>
    </w:rPr>
  </w:style>
  <w:style w:type="paragraph" w:customStyle="1" w:styleId="66">
    <w:name w:val="正文文本缩进 21"/>
    <w:basedOn w:val="1"/>
    <w:link w:val="65"/>
    <w:qFormat/>
    <w:uiPriority w:val="0"/>
    <w:pPr>
      <w:tabs>
        <w:tab w:val="left" w:pos="0"/>
      </w:tabs>
      <w:adjustRightInd w:val="0"/>
      <w:ind w:left="13" w:leftChars="6" w:firstLine="480" w:firstLineChars="200"/>
      <w:jc w:val="left"/>
    </w:pPr>
    <w:rPr>
      <w:rFonts w:cs="等线"/>
      <w:kern w:val="0"/>
      <w:sz w:val="24"/>
      <w:szCs w:val="24"/>
      <w:lang w:val="zh-CN"/>
    </w:rPr>
  </w:style>
  <w:style w:type="character" w:customStyle="1" w:styleId="67">
    <w:name w:val="页脚 Char1"/>
    <w:qFormat/>
    <w:uiPriority w:val="0"/>
    <w:rPr>
      <w:rFonts w:hint="eastAsia" w:ascii="Symbol" w:hAnsi="Symbol" w:eastAsia="Symbol" w:cs="Symbol"/>
      <w:kern w:val="2"/>
      <w:sz w:val="18"/>
      <w:szCs w:val="18"/>
    </w:rPr>
  </w:style>
  <w:style w:type="character" w:customStyle="1" w:styleId="68">
    <w:name w:val="批注文字 Char1"/>
    <w:qFormat/>
    <w:uiPriority w:val="0"/>
    <w:rPr>
      <w:rFonts w:cs="Symbol"/>
      <w:kern w:val="2"/>
      <w:sz w:val="21"/>
      <w:szCs w:val="21"/>
    </w:rPr>
  </w:style>
  <w:style w:type="character" w:customStyle="1" w:styleId="69">
    <w:name w:val="标题 字符"/>
    <w:link w:val="39"/>
    <w:qFormat/>
    <w:uiPriority w:val="0"/>
    <w:rPr>
      <w:rFonts w:ascii="Cambria Math" w:hAnsi="Cambria Math" w:eastAsia="黑体" w:cs="等线"/>
      <w:b/>
      <w:bCs/>
      <w:w w:val="90"/>
      <w:sz w:val="84"/>
      <w:szCs w:val="32"/>
    </w:rPr>
  </w:style>
  <w:style w:type="character" w:customStyle="1" w:styleId="70">
    <w:name w:val="正文文本 Char1"/>
    <w:qFormat/>
    <w:uiPriority w:val="0"/>
    <w:rPr>
      <w:rFonts w:hint="eastAsia" w:ascii="Symbol" w:hAnsi="Symbol" w:eastAsia="Symbol" w:cs="Symbol"/>
      <w:kern w:val="2"/>
      <w:sz w:val="21"/>
      <w:szCs w:val="21"/>
    </w:rPr>
  </w:style>
  <w:style w:type="character" w:customStyle="1" w:styleId="71">
    <w:name w:val="正文文本缩进 3 Char Char"/>
    <w:link w:val="72"/>
    <w:qFormat/>
    <w:uiPriority w:val="0"/>
    <w:rPr>
      <w:rFonts w:cs="等线"/>
      <w:sz w:val="16"/>
      <w:szCs w:val="16"/>
    </w:rPr>
  </w:style>
  <w:style w:type="paragraph" w:customStyle="1" w:styleId="72">
    <w:name w:val="正文文本缩进 31"/>
    <w:basedOn w:val="1"/>
    <w:link w:val="71"/>
    <w:qFormat/>
    <w:uiPriority w:val="0"/>
    <w:pPr>
      <w:spacing w:after="120"/>
      <w:ind w:left="420" w:leftChars="200"/>
    </w:pPr>
    <w:rPr>
      <w:rFonts w:cs="等线"/>
      <w:kern w:val="0"/>
      <w:sz w:val="16"/>
      <w:szCs w:val="16"/>
      <w:lang w:val="zh-CN"/>
    </w:rPr>
  </w:style>
  <w:style w:type="character" w:customStyle="1" w:styleId="73">
    <w:name w:val="count4"/>
    <w:basedOn w:val="43"/>
    <w:qFormat/>
    <w:uiPriority w:val="0"/>
  </w:style>
  <w:style w:type="character" w:customStyle="1" w:styleId="74">
    <w:name w:val="正文文本 3 Char Char"/>
    <w:link w:val="75"/>
    <w:qFormat/>
    <w:uiPriority w:val="0"/>
    <w:rPr>
      <w:rFonts w:cs="等线"/>
      <w:sz w:val="16"/>
      <w:szCs w:val="16"/>
    </w:rPr>
  </w:style>
  <w:style w:type="paragraph" w:customStyle="1" w:styleId="75">
    <w:name w:val="正文文本 31"/>
    <w:basedOn w:val="1"/>
    <w:link w:val="74"/>
    <w:qFormat/>
    <w:uiPriority w:val="0"/>
    <w:pPr>
      <w:spacing w:after="120" w:line="360" w:lineRule="exact"/>
    </w:pPr>
    <w:rPr>
      <w:rFonts w:cs="等线"/>
      <w:kern w:val="0"/>
      <w:sz w:val="16"/>
      <w:szCs w:val="16"/>
      <w:lang w:val="zh-CN"/>
    </w:rPr>
  </w:style>
  <w:style w:type="character" w:customStyle="1" w:styleId="76">
    <w:name w:val="批注主题 Char Char"/>
    <w:link w:val="77"/>
    <w:qFormat/>
    <w:uiPriority w:val="0"/>
    <w:rPr>
      <w:b/>
      <w:bCs/>
    </w:rPr>
  </w:style>
  <w:style w:type="paragraph" w:customStyle="1" w:styleId="77">
    <w:name w:val="批注主题1"/>
    <w:basedOn w:val="16"/>
    <w:next w:val="16"/>
    <w:link w:val="76"/>
    <w:qFormat/>
    <w:uiPriority w:val="0"/>
    <w:rPr>
      <w:rFonts w:cs="等线"/>
      <w:b/>
      <w:bCs/>
      <w:kern w:val="0"/>
      <w:sz w:val="20"/>
      <w:szCs w:val="20"/>
      <w:lang w:val="zh-CN"/>
    </w:rPr>
  </w:style>
  <w:style w:type="character" w:customStyle="1" w:styleId="78">
    <w:name w:val="批注文字 字符"/>
    <w:basedOn w:val="43"/>
    <w:link w:val="16"/>
    <w:qFormat/>
    <w:uiPriority w:val="99"/>
  </w:style>
  <w:style w:type="character" w:customStyle="1" w:styleId="79">
    <w:name w:val="文档结构图 Char Char"/>
    <w:link w:val="80"/>
    <w:qFormat/>
    <w:uiPriority w:val="0"/>
    <w:rPr>
      <w:rFonts w:ascii="仿宋_GB2312"/>
      <w:sz w:val="18"/>
      <w:szCs w:val="18"/>
    </w:rPr>
  </w:style>
  <w:style w:type="paragraph" w:customStyle="1" w:styleId="80">
    <w:name w:val="文档结构图1"/>
    <w:basedOn w:val="1"/>
    <w:link w:val="79"/>
    <w:qFormat/>
    <w:uiPriority w:val="0"/>
    <w:rPr>
      <w:rFonts w:ascii="仿宋_GB2312" w:cs="等线"/>
      <w:kern w:val="0"/>
      <w:sz w:val="18"/>
      <w:szCs w:val="18"/>
      <w:lang w:val="zh-CN"/>
    </w:rPr>
  </w:style>
  <w:style w:type="character" w:customStyle="1" w:styleId="81">
    <w:name w:val="正文文本 2 Char Char"/>
    <w:link w:val="82"/>
    <w:qFormat/>
    <w:uiPriority w:val="0"/>
    <w:rPr>
      <w:rFonts w:cs="等线"/>
      <w:sz w:val="24"/>
      <w:szCs w:val="24"/>
    </w:rPr>
  </w:style>
  <w:style w:type="paragraph" w:customStyle="1" w:styleId="82">
    <w:name w:val="正文文本 21"/>
    <w:basedOn w:val="1"/>
    <w:link w:val="81"/>
    <w:qFormat/>
    <w:uiPriority w:val="0"/>
    <w:pPr>
      <w:jc w:val="center"/>
    </w:pPr>
    <w:rPr>
      <w:rFonts w:cs="等线"/>
      <w:kern w:val="0"/>
      <w:sz w:val="24"/>
      <w:szCs w:val="24"/>
      <w:lang w:val="zh-CN"/>
    </w:rPr>
  </w:style>
  <w:style w:type="character" w:customStyle="1" w:styleId="83">
    <w:name w:val="def"/>
    <w:basedOn w:val="43"/>
    <w:qFormat/>
    <w:uiPriority w:val="0"/>
  </w:style>
  <w:style w:type="character" w:customStyle="1" w:styleId="84">
    <w:name w:val="批注框文本 字符"/>
    <w:link w:val="26"/>
    <w:qFormat/>
    <w:uiPriority w:val="0"/>
    <w:rPr>
      <w:sz w:val="18"/>
      <w:szCs w:val="18"/>
    </w:rPr>
  </w:style>
  <w:style w:type="character" w:customStyle="1" w:styleId="85">
    <w:name w:val="页眉 Char1"/>
    <w:qFormat/>
    <w:uiPriority w:val="0"/>
    <w:rPr>
      <w:rFonts w:hint="eastAsia" w:ascii="Symbol" w:hAnsi="Symbol" w:eastAsia="Symbol" w:cs="Symbol"/>
      <w:kern w:val="2"/>
      <w:sz w:val="18"/>
      <w:szCs w:val="18"/>
    </w:rPr>
  </w:style>
  <w:style w:type="character" w:customStyle="1" w:styleId="86">
    <w:name w:val="日期 Char Char"/>
    <w:basedOn w:val="43"/>
    <w:link w:val="87"/>
    <w:qFormat/>
    <w:uiPriority w:val="0"/>
  </w:style>
  <w:style w:type="paragraph" w:customStyle="1" w:styleId="87">
    <w:name w:val="日期1"/>
    <w:basedOn w:val="1"/>
    <w:next w:val="1"/>
    <w:link w:val="86"/>
    <w:qFormat/>
    <w:uiPriority w:val="0"/>
    <w:pPr>
      <w:ind w:left="100" w:leftChars="2500"/>
    </w:pPr>
  </w:style>
  <w:style w:type="character" w:customStyle="1" w:styleId="88">
    <w:name w:val="正文文本缩进 3 Char1"/>
    <w:qFormat/>
    <w:uiPriority w:val="0"/>
    <w:rPr>
      <w:rFonts w:hint="eastAsia" w:ascii="Symbol" w:hAnsi="Symbol" w:eastAsia="Symbol" w:cs="Symbol"/>
      <w:kern w:val="2"/>
      <w:sz w:val="16"/>
      <w:szCs w:val="16"/>
    </w:rPr>
  </w:style>
  <w:style w:type="character" w:customStyle="1" w:styleId="89">
    <w:name w:val="正文文本缩进 Char Char"/>
    <w:link w:val="90"/>
    <w:qFormat/>
    <w:uiPriority w:val="0"/>
    <w:rPr>
      <w:rFonts w:cs="等线"/>
      <w:sz w:val="24"/>
      <w:szCs w:val="24"/>
    </w:rPr>
  </w:style>
  <w:style w:type="paragraph" w:customStyle="1" w:styleId="90">
    <w:name w:val="正文文本缩进1"/>
    <w:basedOn w:val="1"/>
    <w:link w:val="89"/>
    <w:qFormat/>
    <w:uiPriority w:val="0"/>
    <w:pPr>
      <w:tabs>
        <w:tab w:val="left" w:pos="0"/>
      </w:tabs>
      <w:adjustRightInd w:val="0"/>
      <w:ind w:left="13" w:leftChars="6" w:firstLine="420" w:firstLineChars="200"/>
      <w:jc w:val="left"/>
    </w:pPr>
    <w:rPr>
      <w:rFonts w:cs="等线"/>
      <w:kern w:val="0"/>
      <w:sz w:val="24"/>
      <w:szCs w:val="24"/>
      <w:lang w:val="zh-CN"/>
    </w:rPr>
  </w:style>
  <w:style w:type="character" w:customStyle="1" w:styleId="91">
    <w:name w:val="批注引用1"/>
    <w:qFormat/>
    <w:uiPriority w:val="0"/>
    <w:rPr>
      <w:sz w:val="21"/>
      <w:szCs w:val="21"/>
    </w:rPr>
  </w:style>
  <w:style w:type="character" w:customStyle="1" w:styleId="92">
    <w:name w:val="电子邮件签名 Char Char"/>
    <w:link w:val="93"/>
    <w:qFormat/>
    <w:uiPriority w:val="0"/>
    <w:rPr>
      <w:rFonts w:cs="等线"/>
      <w:szCs w:val="20"/>
    </w:rPr>
  </w:style>
  <w:style w:type="paragraph" w:customStyle="1" w:styleId="93">
    <w:name w:val="电子邮件签名1"/>
    <w:basedOn w:val="1"/>
    <w:link w:val="92"/>
    <w:qFormat/>
    <w:uiPriority w:val="0"/>
    <w:rPr>
      <w:rFonts w:cs="等线"/>
      <w:kern w:val="0"/>
      <w:sz w:val="20"/>
      <w:szCs w:val="20"/>
      <w:lang w:val="zh-CN"/>
    </w:rPr>
  </w:style>
  <w:style w:type="character" w:customStyle="1" w:styleId="94">
    <w:name w:val="页脚 字符"/>
    <w:link w:val="27"/>
    <w:qFormat/>
    <w:uiPriority w:val="99"/>
    <w:rPr>
      <w:sz w:val="18"/>
      <w:szCs w:val="18"/>
    </w:rPr>
  </w:style>
  <w:style w:type="character" w:customStyle="1" w:styleId="95">
    <w:name w:val="title8"/>
    <w:basedOn w:val="43"/>
    <w:qFormat/>
    <w:uiPriority w:val="0"/>
  </w:style>
  <w:style w:type="character" w:customStyle="1" w:styleId="96">
    <w:name w:val="页码1"/>
    <w:basedOn w:val="43"/>
    <w:qFormat/>
    <w:uiPriority w:val="0"/>
  </w:style>
  <w:style w:type="character" w:customStyle="1" w:styleId="97">
    <w:name w:val="页眉 字符"/>
    <w:link w:val="28"/>
    <w:qFormat/>
    <w:uiPriority w:val="0"/>
    <w:rPr>
      <w:rFonts w:ascii="Times New Roman" w:hAnsi="Times New Roman" w:eastAsia="仿宋"/>
      <w:sz w:val="18"/>
      <w:szCs w:val="18"/>
      <w:lang w:val="zh-CN"/>
    </w:rPr>
  </w:style>
  <w:style w:type="character" w:customStyle="1" w:styleId="98">
    <w:name w:val="纯文本 Char Char"/>
    <w:link w:val="99"/>
    <w:qFormat/>
    <w:uiPriority w:val="0"/>
    <w:rPr>
      <w:rFonts w:ascii="仿宋_GB2312" w:hAnsi="楷体_GB2312" w:cs="楷体_GB2312"/>
      <w:szCs w:val="21"/>
    </w:rPr>
  </w:style>
  <w:style w:type="paragraph" w:customStyle="1" w:styleId="99">
    <w:name w:val="纯文本1"/>
    <w:basedOn w:val="1"/>
    <w:link w:val="98"/>
    <w:qFormat/>
    <w:uiPriority w:val="0"/>
    <w:pPr>
      <w:spacing w:line="360" w:lineRule="exact"/>
    </w:pPr>
    <w:rPr>
      <w:rFonts w:ascii="仿宋_GB2312" w:hAnsi="楷体_GB2312" w:cs="等线"/>
      <w:kern w:val="0"/>
      <w:sz w:val="20"/>
      <w:lang w:val="zh-CN"/>
    </w:rPr>
  </w:style>
  <w:style w:type="character" w:customStyle="1" w:styleId="100">
    <w:name w:val="正文文本缩进 字符"/>
    <w:basedOn w:val="43"/>
    <w:link w:val="19"/>
    <w:qFormat/>
    <w:uiPriority w:val="0"/>
    <w:rPr>
      <w:kern w:val="2"/>
      <w:sz w:val="24"/>
      <w:szCs w:val="24"/>
      <w:lang w:val="en-US"/>
    </w:rPr>
  </w:style>
  <w:style w:type="paragraph" w:customStyle="1" w:styleId="101">
    <w:name w:val="xl109"/>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02">
    <w:name w:val="xl7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03">
    <w:name w:val="引文目录标题1"/>
    <w:basedOn w:val="1"/>
    <w:next w:val="1"/>
    <w:qFormat/>
    <w:uiPriority w:val="0"/>
    <w:pPr>
      <w:spacing w:before="120"/>
    </w:pPr>
    <w:rPr>
      <w:rFonts w:ascii="Cambria Math" w:hAnsi="Cambria Math" w:cs="Cambria Math"/>
      <w:sz w:val="24"/>
      <w:szCs w:val="24"/>
    </w:rPr>
  </w:style>
  <w:style w:type="paragraph" w:customStyle="1" w:styleId="104">
    <w:name w:val="font14"/>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05">
    <w:name w:val="xl83"/>
    <w:basedOn w:val="1"/>
    <w:qFormat/>
    <w:uiPriority w:val="0"/>
    <w:pPr>
      <w:widowControl/>
      <w:spacing w:before="100" w:beforeAutospacing="1" w:after="100" w:afterAutospacing="1"/>
      <w:jc w:val="center"/>
    </w:pPr>
    <w:rPr>
      <w:rFonts w:cs="等线"/>
      <w:kern w:val="0"/>
      <w:sz w:val="20"/>
      <w:szCs w:val="20"/>
    </w:rPr>
  </w:style>
  <w:style w:type="paragraph" w:customStyle="1" w:styleId="106">
    <w:name w:val="ZT-标题3"/>
    <w:next w:val="1"/>
    <w:qFormat/>
    <w:uiPriority w:val="0"/>
    <w:pPr>
      <w:numPr>
        <w:ilvl w:val="3"/>
        <w:numId w:val="2"/>
      </w:numPr>
      <w:spacing w:before="156" w:beforeLines="50" w:line="360" w:lineRule="auto"/>
      <w:outlineLvl w:val="2"/>
    </w:pPr>
    <w:rPr>
      <w:rFonts w:ascii="Cambria Math" w:hAnsi="Cambria Math" w:eastAsia="仿宋_GB2312" w:cs="Cambria Math"/>
      <w:b/>
      <w:kern w:val="2"/>
      <w:sz w:val="24"/>
      <w:szCs w:val="24"/>
      <w:lang w:val="en-US" w:eastAsia="zh-CN" w:bidi="ar-SA"/>
    </w:rPr>
  </w:style>
  <w:style w:type="paragraph" w:customStyle="1" w:styleId="107">
    <w:name w:val="加点字"/>
    <w:basedOn w:val="1"/>
    <w:qFormat/>
    <w:uiPriority w:val="0"/>
    <w:pPr>
      <w:widowControl/>
      <w:spacing w:after="200" w:line="300" w:lineRule="auto"/>
      <w:ind w:firstLine="420"/>
      <w:jc w:val="left"/>
    </w:pPr>
    <w:rPr>
      <w:rFonts w:ascii="Arial" w:hAnsi="Arial" w:cs="等线"/>
      <w:color w:val="0000FF"/>
      <w:kern w:val="0"/>
      <w:sz w:val="22"/>
      <w:szCs w:val="22"/>
      <w:em w:val="dot"/>
      <w:lang w:eastAsia="en-US" w:bidi="en-US"/>
    </w:rPr>
  </w:style>
  <w:style w:type="paragraph" w:customStyle="1" w:styleId="108">
    <w:name w:val="xl104"/>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09">
    <w:name w:val="xl6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10">
    <w:name w:val="xl9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kern w:val="0"/>
      <w:sz w:val="20"/>
      <w:szCs w:val="20"/>
    </w:rPr>
  </w:style>
  <w:style w:type="paragraph" w:customStyle="1" w:styleId="111">
    <w:name w:val="xl115"/>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12">
    <w:name w:val="正文 New"/>
    <w:qFormat/>
    <w:uiPriority w:val="0"/>
    <w:pPr>
      <w:widowControl w:val="0"/>
      <w:jc w:val="both"/>
    </w:pPr>
    <w:rPr>
      <w:rFonts w:ascii="等线" w:hAnsi="等线" w:eastAsia="仿宋_GB2312" w:cs="等线"/>
      <w:kern w:val="2"/>
      <w:sz w:val="21"/>
      <w:szCs w:val="24"/>
      <w:lang w:val="en-US" w:eastAsia="zh-CN" w:bidi="ar-SA"/>
    </w:rPr>
  </w:style>
  <w:style w:type="paragraph" w:customStyle="1" w:styleId="113">
    <w:name w:val="附件名"/>
    <w:qFormat/>
    <w:uiPriority w:val="0"/>
    <w:pPr>
      <w:widowControl w:val="0"/>
      <w:jc w:val="both"/>
    </w:pPr>
    <w:rPr>
      <w:rFonts w:ascii="仿宋_GB2312" w:hAnsi="仿宋_GB2312" w:eastAsia="仿宋_GB2312" w:cs="等线"/>
      <w:sz w:val="24"/>
      <w:szCs w:val="24"/>
      <w:lang w:val="en-US" w:eastAsia="zh-CN" w:bidi="ar-SA"/>
    </w:rPr>
  </w:style>
  <w:style w:type="paragraph" w:customStyle="1" w:styleId="114">
    <w:name w:val="p0"/>
    <w:basedOn w:val="1"/>
    <w:qFormat/>
    <w:uiPriority w:val="0"/>
    <w:pPr>
      <w:widowControl/>
    </w:pPr>
    <w:rPr>
      <w:rFonts w:cs="等线"/>
      <w:kern w:val="0"/>
    </w:rPr>
  </w:style>
  <w:style w:type="paragraph" w:customStyle="1" w:styleId="115">
    <w:name w:val="图中文字"/>
    <w:qFormat/>
    <w:uiPriority w:val="0"/>
    <w:pPr>
      <w:adjustRightInd w:val="0"/>
      <w:snapToGrid w:val="0"/>
      <w:spacing w:line="300" w:lineRule="exact"/>
      <w:jc w:val="center"/>
    </w:pPr>
    <w:rPr>
      <w:rFonts w:ascii="仿宋_GB2312" w:hAnsi="等线" w:eastAsia="仿宋_GB2312" w:cs="等线"/>
      <w:sz w:val="24"/>
      <w:lang w:val="en-US" w:eastAsia="zh-CN" w:bidi="ar-SA"/>
    </w:rPr>
  </w:style>
  <w:style w:type="paragraph" w:customStyle="1" w:styleId="116">
    <w:name w:val="修订1"/>
    <w:qFormat/>
    <w:uiPriority w:val="0"/>
    <w:rPr>
      <w:rFonts w:ascii="Arial" w:hAnsi="Arial" w:eastAsia="仿宋_GB2312" w:cs="等线"/>
      <w:kern w:val="2"/>
      <w:sz w:val="21"/>
      <w:szCs w:val="22"/>
      <w:lang w:val="en-US" w:eastAsia="zh-CN" w:bidi="ar-SA"/>
    </w:rPr>
  </w:style>
  <w:style w:type="character" w:customStyle="1" w:styleId="117">
    <w:name w:val="正文文本缩进 3 字符"/>
    <w:basedOn w:val="43"/>
    <w:link w:val="33"/>
    <w:qFormat/>
    <w:uiPriority w:val="0"/>
    <w:rPr>
      <w:kern w:val="2"/>
      <w:sz w:val="16"/>
      <w:szCs w:val="16"/>
      <w:lang w:val="en-US"/>
    </w:rPr>
  </w:style>
  <w:style w:type="paragraph" w:customStyle="1" w:styleId="118">
    <w:name w:val="xl110"/>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19">
    <w:name w:val="xl91"/>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20">
    <w:name w:val="xl114"/>
    <w:basedOn w:val="1"/>
    <w:qFormat/>
    <w:uiPriority w:val="0"/>
    <w:pPr>
      <w:widowControl/>
      <w:pBdr>
        <w:top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character" w:customStyle="1" w:styleId="121">
    <w:name w:val="文档结构图 字符"/>
    <w:basedOn w:val="43"/>
    <w:link w:val="15"/>
    <w:qFormat/>
    <w:uiPriority w:val="0"/>
    <w:rPr>
      <w:rFonts w:ascii="仿宋_GB2312" w:cs="Symbol"/>
      <w:kern w:val="2"/>
      <w:sz w:val="18"/>
      <w:szCs w:val="18"/>
      <w:lang w:val="en-US"/>
    </w:rPr>
  </w:style>
  <w:style w:type="character" w:customStyle="1" w:styleId="122">
    <w:name w:val="日期 字符"/>
    <w:basedOn w:val="43"/>
    <w:link w:val="24"/>
    <w:qFormat/>
    <w:uiPriority w:val="0"/>
    <w:rPr>
      <w:rFonts w:cs="Symbol"/>
      <w:kern w:val="2"/>
      <w:sz w:val="21"/>
      <w:szCs w:val="21"/>
      <w:lang w:val="en-US"/>
    </w:rPr>
  </w:style>
  <w:style w:type="paragraph" w:customStyle="1" w:styleId="123">
    <w:name w:val="pic-info"/>
    <w:basedOn w:val="1"/>
    <w:qFormat/>
    <w:uiPriority w:val="0"/>
    <w:pPr>
      <w:widowControl/>
      <w:spacing w:before="100" w:beforeAutospacing="1" w:after="100" w:afterAutospacing="1"/>
      <w:jc w:val="left"/>
    </w:pPr>
    <w:rPr>
      <w:rFonts w:ascii="仿宋_GB2312" w:hAnsi="仿宋_GB2312" w:cs="仿宋_GB2312"/>
      <w:kern w:val="0"/>
      <w:sz w:val="24"/>
      <w:szCs w:val="24"/>
    </w:rPr>
  </w:style>
  <w:style w:type="paragraph" w:customStyle="1" w:styleId="124">
    <w:name w:val="xl65"/>
    <w:basedOn w:val="1"/>
    <w:qFormat/>
    <w:uiPriority w:val="0"/>
    <w:pPr>
      <w:widowControl/>
      <w:shd w:val="clear" w:color="000000" w:fill="FFFFFF"/>
      <w:spacing w:before="100" w:beforeAutospacing="1" w:after="100" w:afterAutospacing="1"/>
      <w:jc w:val="left"/>
    </w:pPr>
    <w:rPr>
      <w:rFonts w:cs="等线"/>
      <w:kern w:val="0"/>
      <w:sz w:val="24"/>
      <w:szCs w:val="24"/>
    </w:rPr>
  </w:style>
  <w:style w:type="character" w:customStyle="1" w:styleId="125">
    <w:name w:val="正文文本 2 字符"/>
    <w:basedOn w:val="43"/>
    <w:link w:val="37"/>
    <w:qFormat/>
    <w:uiPriority w:val="0"/>
    <w:rPr>
      <w:kern w:val="2"/>
      <w:sz w:val="24"/>
      <w:szCs w:val="24"/>
      <w:lang w:val="en-US"/>
    </w:rPr>
  </w:style>
  <w:style w:type="character" w:customStyle="1" w:styleId="126">
    <w:name w:val="正文文本缩进 2 字符"/>
    <w:basedOn w:val="43"/>
    <w:link w:val="25"/>
    <w:qFormat/>
    <w:uiPriority w:val="0"/>
    <w:rPr>
      <w:kern w:val="2"/>
      <w:sz w:val="24"/>
      <w:szCs w:val="24"/>
      <w:lang w:val="en-US"/>
    </w:rPr>
  </w:style>
  <w:style w:type="character" w:customStyle="1" w:styleId="127">
    <w:name w:val="电子邮件签名 字符"/>
    <w:basedOn w:val="43"/>
    <w:link w:val="12"/>
    <w:qFormat/>
    <w:uiPriority w:val="0"/>
    <w:rPr>
      <w:kern w:val="2"/>
      <w:sz w:val="21"/>
      <w:lang w:val="en-US"/>
    </w:rPr>
  </w:style>
  <w:style w:type="character" w:customStyle="1" w:styleId="128">
    <w:name w:val="批注主题 字符"/>
    <w:basedOn w:val="78"/>
    <w:link w:val="40"/>
    <w:qFormat/>
    <w:uiPriority w:val="0"/>
    <w:rPr>
      <w:rFonts w:cs="Symbol"/>
      <w:b/>
      <w:bCs/>
      <w:kern w:val="2"/>
      <w:sz w:val="21"/>
      <w:szCs w:val="21"/>
      <w:lang w:val="en-US"/>
    </w:rPr>
  </w:style>
  <w:style w:type="paragraph" w:customStyle="1" w:styleId="129">
    <w:name w:val="列出段落1"/>
    <w:basedOn w:val="1"/>
    <w:qFormat/>
    <w:uiPriority w:val="0"/>
    <w:pPr>
      <w:ind w:firstLine="420" w:firstLineChars="200"/>
    </w:pPr>
    <w:rPr>
      <w:rFonts w:ascii="Arial" w:hAnsi="Arial" w:cs="等线"/>
      <w:sz w:val="24"/>
    </w:rPr>
  </w:style>
  <w:style w:type="paragraph" w:customStyle="1" w:styleId="130">
    <w:name w:val="font18"/>
    <w:basedOn w:val="1"/>
    <w:qFormat/>
    <w:uiPriority w:val="0"/>
    <w:pPr>
      <w:widowControl/>
      <w:spacing w:before="100" w:beforeAutospacing="1" w:after="100" w:afterAutospacing="1"/>
      <w:jc w:val="left"/>
    </w:pPr>
    <w:rPr>
      <w:rFonts w:ascii="仿宋_GB2312" w:hAnsi="仿宋_GB2312" w:cs="仿宋_GB2312"/>
      <w:b/>
      <w:bCs/>
      <w:kern w:val="0"/>
      <w:sz w:val="20"/>
      <w:szCs w:val="20"/>
    </w:rPr>
  </w:style>
  <w:style w:type="paragraph" w:customStyle="1" w:styleId="131">
    <w:name w:val="附件中表格"/>
    <w:basedOn w:val="1"/>
    <w:next w:val="1"/>
    <w:qFormat/>
    <w:uiPriority w:val="0"/>
    <w:pPr>
      <w:topLinePunct/>
      <w:ind w:firstLine="964" w:firstLineChars="400"/>
    </w:pPr>
    <w:rPr>
      <w:rFonts w:ascii="仿宋_GB2312" w:hAnsi="仿宋_GB2312" w:cs="等线"/>
      <w:b/>
      <w:color w:val="000000"/>
      <w:sz w:val="24"/>
    </w:rPr>
  </w:style>
  <w:style w:type="paragraph" w:customStyle="1" w:styleId="132">
    <w:name w:val="样式2"/>
    <w:basedOn w:val="2"/>
    <w:qFormat/>
    <w:uiPriority w:val="0"/>
    <w:pPr>
      <w:keepNext/>
      <w:keepLines/>
      <w:numPr>
        <w:numId w:val="0"/>
      </w:numPr>
      <w:tabs>
        <w:tab w:val="left" w:pos="0"/>
        <w:tab w:val="left" w:pos="756"/>
      </w:tabs>
    </w:pPr>
    <w:rPr>
      <w:rFonts w:ascii="等线"/>
      <w:b w:val="0"/>
      <w:bCs w:val="0"/>
      <w:kern w:val="44"/>
      <w:sz w:val="48"/>
      <w:szCs w:val="44"/>
    </w:rPr>
  </w:style>
  <w:style w:type="paragraph" w:customStyle="1" w:styleId="133">
    <w:name w:val="公式"/>
    <w:basedOn w:val="1"/>
    <w:qFormat/>
    <w:uiPriority w:val="0"/>
    <w:pPr>
      <w:spacing w:line="312" w:lineRule="auto"/>
      <w:jc w:val="right"/>
    </w:pPr>
    <w:rPr>
      <w:rFonts w:ascii="仿宋_GB2312" w:hAnsi="仿宋_GB2312" w:cs="等线"/>
      <w:sz w:val="24"/>
      <w:szCs w:val="24"/>
    </w:rPr>
  </w:style>
  <w:style w:type="paragraph" w:customStyle="1" w:styleId="134">
    <w:name w:val="xl105"/>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35">
    <w:name w:val="xl92"/>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kern w:val="0"/>
      <w:sz w:val="20"/>
      <w:szCs w:val="20"/>
    </w:rPr>
  </w:style>
  <w:style w:type="character" w:customStyle="1" w:styleId="136">
    <w:name w:val="题注 字符"/>
    <w:link w:val="14"/>
    <w:qFormat/>
    <w:uiPriority w:val="35"/>
    <w:rPr>
      <w:rFonts w:ascii="Times New Roman" w:hAnsi="Times New Roman" w:eastAsia="宋体" w:cs="Cambria Math"/>
      <w:kern w:val="2"/>
      <w:sz w:val="24"/>
      <w:szCs w:val="24"/>
      <w:lang w:val="en-US"/>
    </w:rPr>
  </w:style>
  <w:style w:type="character" w:customStyle="1" w:styleId="137">
    <w:name w:val="正文文本 3 字符"/>
    <w:basedOn w:val="43"/>
    <w:link w:val="17"/>
    <w:qFormat/>
    <w:uiPriority w:val="0"/>
    <w:rPr>
      <w:kern w:val="2"/>
      <w:sz w:val="16"/>
      <w:szCs w:val="16"/>
      <w:lang w:val="en-US"/>
    </w:rPr>
  </w:style>
  <w:style w:type="character" w:customStyle="1" w:styleId="138">
    <w:name w:val="纯文本 字符"/>
    <w:basedOn w:val="43"/>
    <w:link w:val="22"/>
    <w:qFormat/>
    <w:uiPriority w:val="0"/>
    <w:rPr>
      <w:rFonts w:ascii="仿宋_GB2312" w:hAnsi="楷体_GB2312" w:cs="楷体_GB2312"/>
      <w:kern w:val="2"/>
      <w:sz w:val="21"/>
      <w:szCs w:val="21"/>
      <w:lang w:val="en-US"/>
    </w:rPr>
  </w:style>
  <w:style w:type="paragraph" w:customStyle="1" w:styleId="139">
    <w:name w:val="前言目录"/>
    <w:basedOn w:val="1"/>
    <w:qFormat/>
    <w:uiPriority w:val="0"/>
    <w:pPr>
      <w:spacing w:before="156" w:beforeLines="50" w:after="156" w:afterLines="50"/>
      <w:jc w:val="center"/>
      <w:outlineLvl w:val="0"/>
    </w:pPr>
    <w:rPr>
      <w:rFonts w:ascii="Symbol" w:eastAsia="Symbol"/>
      <w:sz w:val="44"/>
      <w:szCs w:val="44"/>
    </w:rPr>
  </w:style>
  <w:style w:type="paragraph" w:customStyle="1" w:styleId="140">
    <w:name w:val="xl72"/>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41">
    <w:name w:val="xl107"/>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42">
    <w:name w:val="xl93"/>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43">
    <w:name w:val="xl10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仿宋_GB2312" w:hAnsi="仿宋_GB2312" w:cs="仿宋_GB2312"/>
      <w:b/>
      <w:bCs/>
      <w:color w:val="000000"/>
      <w:kern w:val="0"/>
      <w:sz w:val="20"/>
      <w:szCs w:val="20"/>
    </w:rPr>
  </w:style>
  <w:style w:type="paragraph" w:customStyle="1" w:styleId="144">
    <w:name w:val="font9"/>
    <w:basedOn w:val="1"/>
    <w:qFormat/>
    <w:uiPriority w:val="0"/>
    <w:pPr>
      <w:widowControl/>
      <w:spacing w:before="100" w:beforeAutospacing="1" w:after="100" w:afterAutospacing="1"/>
      <w:jc w:val="left"/>
    </w:pPr>
    <w:rPr>
      <w:rFonts w:ascii="仿宋_GB2312" w:hAnsi="仿宋_GB2312" w:cs="仿宋_GB2312"/>
      <w:color w:val="000000"/>
      <w:kern w:val="0"/>
      <w:sz w:val="20"/>
      <w:szCs w:val="20"/>
    </w:rPr>
  </w:style>
  <w:style w:type="paragraph" w:customStyle="1" w:styleId="145">
    <w:name w:val="xl9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46">
    <w:name w:val="aa图表名"/>
    <w:basedOn w:val="1"/>
    <w:next w:val="1"/>
    <w:qFormat/>
    <w:uiPriority w:val="0"/>
    <w:pPr>
      <w:spacing w:line="300" w:lineRule="auto"/>
      <w:jc w:val="center"/>
    </w:pPr>
    <w:rPr>
      <w:rFonts w:cs="等线"/>
      <w:kern w:val="0"/>
      <w:sz w:val="22"/>
      <w:szCs w:val="20"/>
    </w:rPr>
  </w:style>
  <w:style w:type="paragraph" w:styleId="147">
    <w:name w:val="List Paragraph"/>
    <w:basedOn w:val="1"/>
    <w:link w:val="148"/>
    <w:qFormat/>
    <w:uiPriority w:val="34"/>
    <w:pPr>
      <w:ind w:firstLine="420" w:firstLineChars="200"/>
    </w:pPr>
  </w:style>
  <w:style w:type="character" w:customStyle="1" w:styleId="148">
    <w:name w:val="列表段落 字符"/>
    <w:basedOn w:val="43"/>
    <w:link w:val="147"/>
    <w:qFormat/>
    <w:uiPriority w:val="34"/>
    <w:rPr>
      <w:rFonts w:cs="Symbol"/>
      <w:kern w:val="2"/>
      <w:sz w:val="21"/>
      <w:szCs w:val="21"/>
      <w:lang w:val="en-US"/>
    </w:rPr>
  </w:style>
  <w:style w:type="paragraph" w:customStyle="1" w:styleId="149">
    <w:name w:val="xl73"/>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50">
    <w:name w:val="xl7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51">
    <w:name w:val="BG-表内容"/>
    <w:qFormat/>
    <w:uiPriority w:val="0"/>
    <w:pPr>
      <w:jc w:val="center"/>
    </w:pPr>
    <w:rPr>
      <w:rFonts w:ascii="Cambria Math" w:hAnsi="Cambria Math" w:eastAsia="仿宋_GB2312" w:cs="Cambria Math"/>
      <w:sz w:val="18"/>
      <w:szCs w:val="18"/>
      <w:lang w:val="en-US" w:eastAsia="zh-CN" w:bidi="ar-SA"/>
    </w:rPr>
  </w:style>
  <w:style w:type="paragraph" w:customStyle="1" w:styleId="152">
    <w:name w:val="p18"/>
    <w:basedOn w:val="1"/>
    <w:qFormat/>
    <w:uiPriority w:val="0"/>
    <w:pPr>
      <w:widowControl/>
      <w:jc w:val="center"/>
    </w:pPr>
    <w:rPr>
      <w:rFonts w:ascii="Cambria Math" w:hAnsi="Cambria Math" w:cs="Cambria Math"/>
      <w:kern w:val="0"/>
      <w:sz w:val="18"/>
      <w:szCs w:val="18"/>
    </w:rPr>
  </w:style>
  <w:style w:type="paragraph" w:customStyle="1" w:styleId="153">
    <w:name w:val="xl111"/>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仿宋_GB2312" w:hAnsi="仿宋_GB2312" w:cs="仿宋_GB2312"/>
      <w:b/>
      <w:bCs/>
      <w:color w:val="000000"/>
      <w:kern w:val="0"/>
      <w:sz w:val="20"/>
      <w:szCs w:val="20"/>
    </w:rPr>
  </w:style>
  <w:style w:type="paragraph" w:customStyle="1" w:styleId="154">
    <w:name w:val="xl6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kern w:val="0"/>
      <w:sz w:val="20"/>
      <w:szCs w:val="20"/>
    </w:rPr>
  </w:style>
  <w:style w:type="paragraph" w:customStyle="1" w:styleId="155">
    <w:name w:val="xl106"/>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56">
    <w:name w:val="p16"/>
    <w:basedOn w:val="1"/>
    <w:qFormat/>
    <w:uiPriority w:val="0"/>
    <w:pPr>
      <w:widowControl/>
      <w:spacing w:before="156"/>
      <w:jc w:val="left"/>
    </w:pPr>
    <w:rPr>
      <w:rFonts w:ascii="Cambria Math" w:hAnsi="Cambria Math" w:cs="Cambria Math"/>
      <w:b/>
      <w:bCs/>
      <w:kern w:val="0"/>
      <w:sz w:val="24"/>
      <w:szCs w:val="24"/>
    </w:rPr>
  </w:style>
  <w:style w:type="paragraph" w:customStyle="1" w:styleId="157">
    <w:name w:val="xl7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58">
    <w:name w:val="xl9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b/>
      <w:bCs/>
      <w:color w:val="000000"/>
      <w:kern w:val="0"/>
      <w:sz w:val="20"/>
      <w:szCs w:val="20"/>
    </w:rPr>
  </w:style>
  <w:style w:type="paragraph" w:customStyle="1" w:styleId="159">
    <w:name w:val="font16"/>
    <w:basedOn w:val="1"/>
    <w:qFormat/>
    <w:uiPriority w:val="0"/>
    <w:pPr>
      <w:widowControl/>
      <w:spacing w:before="100" w:beforeAutospacing="1" w:after="100" w:afterAutospacing="1"/>
      <w:jc w:val="left"/>
    </w:pPr>
    <w:rPr>
      <w:rFonts w:ascii="仿宋_GB2312" w:hAnsi="仿宋_GB2312" w:cs="仿宋_GB2312"/>
      <w:color w:val="000000"/>
      <w:kern w:val="0"/>
      <w:sz w:val="20"/>
      <w:szCs w:val="20"/>
    </w:rPr>
  </w:style>
  <w:style w:type="paragraph" w:customStyle="1" w:styleId="160">
    <w:name w:val="正文表格"/>
    <w:basedOn w:val="1"/>
    <w:qFormat/>
    <w:uiPriority w:val="0"/>
    <w:pPr>
      <w:jc w:val="center"/>
    </w:pPr>
    <w:rPr>
      <w:rFonts w:cs="等线"/>
      <w:szCs w:val="20"/>
    </w:rPr>
  </w:style>
  <w:style w:type="paragraph" w:customStyle="1" w:styleId="161">
    <w:name w:val="xl79"/>
    <w:basedOn w:val="1"/>
    <w:qFormat/>
    <w:uiPriority w:val="0"/>
    <w:pPr>
      <w:widowControl/>
      <w:spacing w:before="100" w:beforeAutospacing="1" w:after="100" w:afterAutospacing="1"/>
      <w:jc w:val="center"/>
    </w:pPr>
    <w:rPr>
      <w:rFonts w:cs="等线"/>
      <w:kern w:val="0"/>
      <w:sz w:val="20"/>
      <w:szCs w:val="20"/>
    </w:rPr>
  </w:style>
  <w:style w:type="paragraph" w:customStyle="1" w:styleId="162">
    <w:name w:val="xl101"/>
    <w:basedOn w:val="1"/>
    <w:qFormat/>
    <w:uiPriority w:val="0"/>
    <w:pPr>
      <w:widowControl/>
      <w:pBdr>
        <w:top w:val="single" w:color="auto" w:sz="8" w:space="0"/>
        <w:bottom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63">
    <w:name w:val="xl103"/>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64">
    <w:name w:val="表格"/>
    <w:basedOn w:val="1"/>
    <w:qFormat/>
    <w:uiPriority w:val="0"/>
    <w:pPr>
      <w:jc w:val="center"/>
    </w:pPr>
    <w:rPr>
      <w:rFonts w:ascii="仿宋_GB2312" w:hAnsi="仿宋_GB2312" w:cs="等线"/>
      <w:spacing w:val="-12"/>
      <w:szCs w:val="24"/>
    </w:rPr>
  </w:style>
  <w:style w:type="paragraph" w:customStyle="1" w:styleId="165">
    <w:name w:val="样式1"/>
    <w:basedOn w:val="1"/>
    <w:qFormat/>
    <w:uiPriority w:val="0"/>
    <w:pPr>
      <w:ind w:firstLine="480" w:firstLineChars="200"/>
    </w:pPr>
    <w:rPr>
      <w:rFonts w:ascii="仿宋_GB2312" w:hAnsi="仿宋_GB2312" w:cs="等线"/>
      <w:sz w:val="24"/>
      <w:szCs w:val="32"/>
    </w:rPr>
  </w:style>
  <w:style w:type="paragraph" w:customStyle="1" w:styleId="166">
    <w:name w:val="参考文献"/>
    <w:basedOn w:val="1"/>
    <w:qFormat/>
    <w:uiPriority w:val="0"/>
    <w:pPr>
      <w:widowControl/>
      <w:autoSpaceDE w:val="0"/>
      <w:autoSpaceDN w:val="0"/>
      <w:adjustRightInd w:val="0"/>
      <w:spacing w:line="318" w:lineRule="atLeast"/>
    </w:pPr>
    <w:rPr>
      <w:rFonts w:cs="等线"/>
      <w:kern w:val="0"/>
    </w:rPr>
  </w:style>
  <w:style w:type="paragraph" w:customStyle="1" w:styleId="167">
    <w:name w:val="xl8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68">
    <w:name w:val="font8"/>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69">
    <w:name w:val="样式 样式 仿宋_GB2312 段前: 0.5 行 段后: 6 磅 行距: 1.5 倍行距 + 首行缩进:  2 字符 段后:...2"/>
    <w:basedOn w:val="1"/>
    <w:qFormat/>
    <w:uiPriority w:val="0"/>
    <w:pPr>
      <w:adjustRightInd w:val="0"/>
      <w:snapToGrid w:val="0"/>
      <w:spacing w:after="312" w:afterLines="100" w:line="300" w:lineRule="auto"/>
      <w:ind w:firstLine="200" w:firstLineChars="200"/>
    </w:pPr>
    <w:rPr>
      <w:rFonts w:ascii="Calibri Light" w:eastAsia="Calibri Light" w:cs="等线"/>
      <w:szCs w:val="20"/>
    </w:rPr>
  </w:style>
  <w:style w:type="paragraph" w:customStyle="1" w:styleId="170">
    <w:name w:val="附件"/>
    <w:basedOn w:val="1"/>
    <w:qFormat/>
    <w:uiPriority w:val="0"/>
    <w:pPr>
      <w:adjustRightInd w:val="0"/>
      <w:snapToGrid w:val="0"/>
      <w:jc w:val="center"/>
      <w:outlineLvl w:val="0"/>
    </w:pPr>
    <w:rPr>
      <w:rFonts w:eastAsia="Symbol"/>
      <w:b/>
      <w:sz w:val="30"/>
      <w:szCs w:val="30"/>
    </w:rPr>
  </w:style>
  <w:style w:type="paragraph" w:customStyle="1" w:styleId="171">
    <w:name w:val="font5"/>
    <w:basedOn w:val="1"/>
    <w:qFormat/>
    <w:uiPriority w:val="0"/>
    <w:pPr>
      <w:widowControl/>
      <w:spacing w:before="100" w:beforeAutospacing="1" w:after="100" w:afterAutospacing="1"/>
      <w:jc w:val="left"/>
    </w:pPr>
    <w:rPr>
      <w:rFonts w:ascii="仿宋_GB2312" w:hAnsi="仿宋_GB2312" w:cs="仿宋_GB2312"/>
      <w:kern w:val="0"/>
      <w:sz w:val="18"/>
      <w:szCs w:val="18"/>
    </w:rPr>
  </w:style>
  <w:style w:type="paragraph" w:customStyle="1" w:styleId="172">
    <w:name w:val="xl9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73">
    <w:name w:val="p17"/>
    <w:basedOn w:val="1"/>
    <w:qFormat/>
    <w:uiPriority w:val="0"/>
    <w:pPr>
      <w:widowControl/>
      <w:spacing w:line="300" w:lineRule="auto"/>
      <w:ind w:firstLine="420"/>
    </w:pPr>
    <w:rPr>
      <w:rFonts w:ascii="Cambria Math" w:hAnsi="Cambria Math" w:cs="Cambria Math"/>
      <w:kern w:val="0"/>
    </w:rPr>
  </w:style>
  <w:style w:type="paragraph" w:customStyle="1" w:styleId="174">
    <w:name w:val="标题4"/>
    <w:basedOn w:val="5"/>
    <w:qFormat/>
    <w:uiPriority w:val="0"/>
    <w:pPr>
      <w:keepNext/>
      <w:keepLines/>
      <w:numPr>
        <w:numId w:val="0"/>
      </w:numPr>
      <w:spacing w:before="260" w:after="260" w:line="360" w:lineRule="exact"/>
      <w:ind w:right="-899" w:rightChars="-428"/>
    </w:pPr>
    <w:rPr>
      <w:rFonts w:eastAsia="仿宋_GB2312"/>
      <w:b w:val="0"/>
      <w:color w:val="000000"/>
    </w:rPr>
  </w:style>
  <w:style w:type="paragraph" w:customStyle="1" w:styleId="175">
    <w:name w:val="xl113"/>
    <w:basedOn w:val="1"/>
    <w:qFormat/>
    <w:uiPriority w:val="0"/>
    <w:pPr>
      <w:widowControl/>
      <w:pBdr>
        <w:left w:val="single" w:color="auto" w:sz="8" w:space="0"/>
        <w:bottom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76">
    <w:name w:val="aa3级标题"/>
    <w:basedOn w:val="1"/>
    <w:next w:val="1"/>
    <w:qFormat/>
    <w:uiPriority w:val="0"/>
    <w:pPr>
      <w:numPr>
        <w:ilvl w:val="0"/>
        <w:numId w:val="3"/>
      </w:numPr>
      <w:spacing w:before="156" w:beforeLines="50" w:after="156" w:afterLines="50" w:line="300" w:lineRule="auto"/>
      <w:outlineLvl w:val="2"/>
    </w:pPr>
    <w:rPr>
      <w:rFonts w:cs="等线"/>
      <w:kern w:val="0"/>
      <w:szCs w:val="24"/>
    </w:rPr>
  </w:style>
  <w:style w:type="paragraph" w:customStyle="1" w:styleId="177">
    <w:name w:val="标题3"/>
    <w:basedOn w:val="1"/>
    <w:qFormat/>
    <w:uiPriority w:val="0"/>
    <w:pPr>
      <w:spacing w:line="240" w:lineRule="exact"/>
      <w:jc w:val="center"/>
    </w:pPr>
    <w:rPr>
      <w:rFonts w:ascii="仿宋_GB2312" w:hAnsi="仿宋_GB2312" w:cs="等线"/>
    </w:rPr>
  </w:style>
  <w:style w:type="paragraph" w:customStyle="1" w:styleId="178">
    <w:name w:val="xl86"/>
    <w:basedOn w:val="1"/>
    <w:qFormat/>
    <w:uiPriority w:val="0"/>
    <w:pPr>
      <w:widowControl/>
      <w:pBdr>
        <w:top w:val="single" w:color="auto" w:sz="8" w:space="0"/>
        <w:bottom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79">
    <w:name w:val="Char"/>
    <w:basedOn w:val="80"/>
    <w:qFormat/>
    <w:uiPriority w:val="0"/>
    <w:pPr>
      <w:widowControl/>
      <w:shd w:val="clear" w:color="auto" w:fill="000080"/>
      <w:ind w:firstLine="454"/>
      <w:jc w:val="left"/>
    </w:pPr>
  </w:style>
  <w:style w:type="paragraph" w:customStyle="1" w:styleId="180">
    <w:name w:val="font11"/>
    <w:basedOn w:val="1"/>
    <w:qFormat/>
    <w:uiPriority w:val="0"/>
    <w:pPr>
      <w:widowControl/>
      <w:spacing w:before="100" w:beforeAutospacing="1" w:after="100" w:afterAutospacing="1"/>
      <w:jc w:val="left"/>
    </w:pPr>
    <w:rPr>
      <w:rFonts w:ascii="仿宋_GB2312" w:hAnsi="仿宋_GB2312" w:cs="仿宋_GB2312"/>
      <w:b/>
      <w:bCs/>
      <w:color w:val="000000"/>
      <w:kern w:val="0"/>
      <w:sz w:val="20"/>
      <w:szCs w:val="20"/>
    </w:rPr>
  </w:style>
  <w:style w:type="paragraph" w:customStyle="1" w:styleId="181">
    <w:name w:val="font17"/>
    <w:basedOn w:val="1"/>
    <w:qFormat/>
    <w:uiPriority w:val="0"/>
    <w:pPr>
      <w:widowControl/>
      <w:spacing w:before="100" w:beforeAutospacing="1" w:after="100" w:afterAutospacing="1"/>
      <w:jc w:val="left"/>
    </w:pPr>
    <w:rPr>
      <w:rFonts w:ascii="仿宋_GB2312" w:hAnsi="仿宋_GB2312" w:cs="仿宋_GB2312"/>
      <w:kern w:val="0"/>
      <w:sz w:val="20"/>
      <w:szCs w:val="20"/>
    </w:rPr>
  </w:style>
  <w:style w:type="paragraph" w:customStyle="1" w:styleId="182">
    <w:name w:val="xl9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kern w:val="0"/>
      <w:sz w:val="20"/>
      <w:szCs w:val="20"/>
    </w:rPr>
  </w:style>
  <w:style w:type="paragraph" w:customStyle="1" w:styleId="183">
    <w:name w:val="样式3"/>
    <w:basedOn w:val="2"/>
    <w:qFormat/>
    <w:uiPriority w:val="0"/>
    <w:pPr>
      <w:keepNext/>
      <w:keepLines/>
      <w:numPr>
        <w:numId w:val="0"/>
      </w:numPr>
      <w:tabs>
        <w:tab w:val="left" w:pos="432"/>
      </w:tabs>
      <w:spacing w:line="576" w:lineRule="auto"/>
    </w:pPr>
    <w:rPr>
      <w:rFonts w:ascii="等线"/>
      <w:bCs w:val="0"/>
      <w:kern w:val="44"/>
      <w:sz w:val="24"/>
      <w:szCs w:val="44"/>
    </w:rPr>
  </w:style>
  <w:style w:type="paragraph" w:customStyle="1" w:styleId="184">
    <w:name w:val="xl94"/>
    <w:basedOn w:val="1"/>
    <w:qFormat/>
    <w:uiPriority w:val="0"/>
    <w:pPr>
      <w:widowControl/>
      <w:spacing w:before="100" w:beforeAutospacing="1" w:after="100" w:afterAutospacing="1"/>
      <w:jc w:val="left"/>
    </w:pPr>
    <w:rPr>
      <w:rFonts w:cs="等线"/>
      <w:kern w:val="0"/>
      <w:sz w:val="20"/>
      <w:szCs w:val="20"/>
    </w:rPr>
  </w:style>
  <w:style w:type="paragraph" w:customStyle="1" w:styleId="185">
    <w:name w:val="font6"/>
    <w:basedOn w:val="1"/>
    <w:qFormat/>
    <w:uiPriority w:val="0"/>
    <w:pPr>
      <w:widowControl/>
      <w:spacing w:before="100" w:beforeAutospacing="1" w:after="100" w:afterAutospacing="1"/>
      <w:jc w:val="left"/>
    </w:pPr>
    <w:rPr>
      <w:rFonts w:ascii="仿宋_GB2312" w:hAnsi="仿宋_GB2312" w:cs="仿宋_GB2312"/>
      <w:kern w:val="0"/>
      <w:sz w:val="18"/>
      <w:szCs w:val="18"/>
    </w:rPr>
  </w:style>
  <w:style w:type="paragraph" w:customStyle="1" w:styleId="186">
    <w:name w:val="文本块1"/>
    <w:basedOn w:val="1"/>
    <w:qFormat/>
    <w:uiPriority w:val="0"/>
    <w:pPr>
      <w:spacing w:after="120" w:line="360" w:lineRule="exact"/>
      <w:ind w:left="1440" w:leftChars="700" w:right="1440" w:rightChars="700"/>
    </w:pPr>
    <w:rPr>
      <w:rFonts w:cs="等线"/>
      <w:sz w:val="24"/>
      <w:szCs w:val="24"/>
    </w:rPr>
  </w:style>
  <w:style w:type="paragraph" w:customStyle="1" w:styleId="187">
    <w:name w:val="font15"/>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88">
    <w:name w:val="xl6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cs="等线"/>
      <w:color w:val="000000"/>
      <w:kern w:val="0"/>
      <w:sz w:val="20"/>
      <w:szCs w:val="20"/>
    </w:rPr>
  </w:style>
  <w:style w:type="paragraph" w:customStyle="1" w:styleId="189">
    <w:name w:val="xl87"/>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90">
    <w:name w:val="aa4级标题"/>
    <w:basedOn w:val="1"/>
    <w:next w:val="1"/>
    <w:qFormat/>
    <w:uiPriority w:val="0"/>
    <w:pPr>
      <w:numPr>
        <w:ilvl w:val="0"/>
        <w:numId w:val="4"/>
      </w:numPr>
      <w:spacing w:line="300" w:lineRule="auto"/>
      <w:outlineLvl w:val="3"/>
    </w:pPr>
    <w:rPr>
      <w:rFonts w:eastAsia="Wingdings" w:cs="等线"/>
      <w:kern w:val="0"/>
      <w:sz w:val="24"/>
      <w:szCs w:val="24"/>
    </w:rPr>
  </w:style>
  <w:style w:type="paragraph" w:customStyle="1" w:styleId="191">
    <w:name w:val="样式 样式 样式 仿宋_GB2312 段前: 0.5 行 段后: 6 磅 行距: 1.5 倍行距 + 首行缩进:  2 字符 段..."/>
    <w:basedOn w:val="1"/>
    <w:qFormat/>
    <w:uiPriority w:val="0"/>
    <w:pPr>
      <w:adjustRightInd w:val="0"/>
      <w:snapToGrid w:val="0"/>
      <w:spacing w:after="156" w:afterLines="50" w:line="300" w:lineRule="auto"/>
      <w:ind w:firstLine="200" w:firstLineChars="200"/>
    </w:pPr>
    <w:rPr>
      <w:rFonts w:eastAsia="Calibri Light" w:cs="等线"/>
      <w:szCs w:val="20"/>
    </w:rPr>
  </w:style>
  <w:style w:type="paragraph" w:customStyle="1" w:styleId="192">
    <w:name w:val="album-div"/>
    <w:basedOn w:val="1"/>
    <w:qFormat/>
    <w:uiPriority w:val="0"/>
    <w:pPr>
      <w:widowControl/>
      <w:spacing w:before="100" w:beforeAutospacing="1" w:after="100" w:afterAutospacing="1"/>
      <w:jc w:val="left"/>
    </w:pPr>
    <w:rPr>
      <w:rFonts w:ascii="仿宋_GB2312" w:hAnsi="仿宋_GB2312" w:cs="仿宋_GB2312"/>
      <w:kern w:val="0"/>
      <w:sz w:val="24"/>
      <w:szCs w:val="24"/>
    </w:rPr>
  </w:style>
  <w:style w:type="paragraph" w:customStyle="1" w:styleId="193">
    <w:name w:val="Default"/>
    <w:qFormat/>
    <w:uiPriority w:val="0"/>
    <w:pPr>
      <w:widowControl w:val="0"/>
      <w:autoSpaceDE w:val="0"/>
      <w:autoSpaceDN w:val="0"/>
      <w:adjustRightInd w:val="0"/>
    </w:pPr>
    <w:rPr>
      <w:rFonts w:ascii="仿宋_GB2312" w:hAnsi="Arial" w:eastAsia="仿宋_GB2312" w:cs="仿宋_GB2312"/>
      <w:color w:val="000000"/>
      <w:sz w:val="24"/>
      <w:szCs w:val="24"/>
      <w:lang w:val="en-US" w:eastAsia="zh-CN" w:bidi="ar-SA"/>
    </w:rPr>
  </w:style>
  <w:style w:type="paragraph" w:customStyle="1" w:styleId="194">
    <w:name w:val="xl9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95">
    <w:name w:val="xl102"/>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96">
    <w:name w:val="xl64"/>
    <w:basedOn w:val="1"/>
    <w:qFormat/>
    <w:uiPriority w:val="0"/>
    <w:pPr>
      <w:widowControl/>
      <w:spacing w:before="100" w:beforeAutospacing="1" w:after="100" w:afterAutospacing="1"/>
      <w:jc w:val="left"/>
    </w:pPr>
    <w:rPr>
      <w:rFonts w:cs="等线"/>
      <w:b/>
      <w:bCs/>
      <w:kern w:val="0"/>
      <w:sz w:val="24"/>
      <w:szCs w:val="24"/>
    </w:rPr>
  </w:style>
  <w:style w:type="paragraph" w:customStyle="1" w:styleId="197">
    <w:name w:val="BG-04"/>
    <w:basedOn w:val="1"/>
    <w:qFormat/>
    <w:uiPriority w:val="0"/>
    <w:pPr>
      <w:widowControl/>
      <w:numPr>
        <w:ilvl w:val="0"/>
        <w:numId w:val="5"/>
      </w:numPr>
      <w:spacing w:before="312" w:beforeLines="100" w:after="156" w:afterLines="50"/>
      <w:jc w:val="center"/>
    </w:pPr>
    <w:rPr>
      <w:rFonts w:ascii="Cambria Math" w:hAnsi="Cambria Math" w:eastAsia="Symbol" w:cs="等线"/>
      <w:szCs w:val="24"/>
    </w:rPr>
  </w:style>
  <w:style w:type="paragraph" w:customStyle="1" w:styleId="198">
    <w:name w:val="xl84"/>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99">
    <w:name w:val="xl82"/>
    <w:basedOn w:val="1"/>
    <w:qFormat/>
    <w:uiPriority w:val="0"/>
    <w:pPr>
      <w:widowControl/>
      <w:spacing w:before="100" w:beforeAutospacing="1" w:after="100" w:afterAutospacing="1"/>
      <w:jc w:val="left"/>
    </w:pPr>
    <w:rPr>
      <w:rFonts w:cs="等线"/>
      <w:kern w:val="0"/>
      <w:sz w:val="20"/>
      <w:szCs w:val="20"/>
    </w:rPr>
  </w:style>
  <w:style w:type="paragraph" w:customStyle="1" w:styleId="200">
    <w:name w:val="font12"/>
    <w:basedOn w:val="1"/>
    <w:qFormat/>
    <w:uiPriority w:val="0"/>
    <w:pPr>
      <w:widowControl/>
      <w:spacing w:before="100" w:beforeAutospacing="1" w:after="100" w:afterAutospacing="1"/>
      <w:jc w:val="left"/>
    </w:pPr>
    <w:rPr>
      <w:rFonts w:cs="等线"/>
      <w:b/>
      <w:bCs/>
      <w:color w:val="000000"/>
      <w:kern w:val="0"/>
      <w:sz w:val="20"/>
      <w:szCs w:val="20"/>
    </w:rPr>
  </w:style>
  <w:style w:type="paragraph" w:customStyle="1" w:styleId="201">
    <w:name w:val="p15"/>
    <w:basedOn w:val="1"/>
    <w:qFormat/>
    <w:uiPriority w:val="0"/>
    <w:pPr>
      <w:widowControl/>
    </w:pPr>
    <w:rPr>
      <w:rFonts w:ascii="Cambria Math" w:hAnsi="Cambria Math" w:cs="Cambria Math"/>
      <w:kern w:val="0"/>
      <w:sz w:val="20"/>
      <w:szCs w:val="20"/>
    </w:rPr>
  </w:style>
  <w:style w:type="paragraph" w:customStyle="1" w:styleId="202">
    <w:name w:val="font13"/>
    <w:basedOn w:val="1"/>
    <w:qFormat/>
    <w:uiPriority w:val="0"/>
    <w:pPr>
      <w:widowControl/>
      <w:spacing w:before="100" w:beforeAutospacing="1" w:after="100" w:afterAutospacing="1"/>
      <w:jc w:val="left"/>
    </w:pPr>
    <w:rPr>
      <w:rFonts w:ascii="仿宋_GB2312" w:hAnsi="仿宋_GB2312" w:cs="仿宋_GB2312"/>
      <w:b/>
      <w:bCs/>
      <w:color w:val="000000"/>
      <w:kern w:val="0"/>
      <w:sz w:val="20"/>
      <w:szCs w:val="20"/>
    </w:rPr>
  </w:style>
  <w:style w:type="paragraph" w:customStyle="1" w:styleId="203">
    <w:name w:val="正文文字不缩进"/>
    <w:basedOn w:val="1"/>
    <w:next w:val="18"/>
    <w:qFormat/>
    <w:uiPriority w:val="0"/>
    <w:pPr>
      <w:widowControl/>
      <w:jc w:val="center"/>
    </w:pPr>
    <w:rPr>
      <w:rFonts w:ascii="仿宋_GB2312" w:hAnsi="仿宋_GB2312" w:cs="等线"/>
      <w:color w:val="000000"/>
      <w:kern w:val="0"/>
      <w:sz w:val="10"/>
    </w:rPr>
  </w:style>
  <w:style w:type="paragraph" w:customStyle="1" w:styleId="204">
    <w:name w:val="xl81"/>
    <w:basedOn w:val="1"/>
    <w:qFormat/>
    <w:uiPriority w:val="0"/>
    <w:pPr>
      <w:widowControl/>
      <w:spacing w:before="100" w:beforeAutospacing="1" w:after="100" w:afterAutospacing="1"/>
      <w:jc w:val="center"/>
    </w:pPr>
    <w:rPr>
      <w:rFonts w:cs="等线"/>
      <w:kern w:val="0"/>
      <w:sz w:val="20"/>
      <w:szCs w:val="20"/>
    </w:rPr>
  </w:style>
  <w:style w:type="paragraph" w:customStyle="1" w:styleId="205">
    <w:name w:val="font7"/>
    <w:basedOn w:val="1"/>
    <w:qFormat/>
    <w:uiPriority w:val="0"/>
    <w:pPr>
      <w:widowControl/>
      <w:spacing w:before="100" w:beforeAutospacing="1" w:after="100" w:afterAutospacing="1"/>
      <w:jc w:val="left"/>
    </w:pPr>
    <w:rPr>
      <w:rFonts w:ascii="仿宋_GB2312" w:hAnsi="仿宋_GB2312" w:cs="仿宋_GB2312"/>
      <w:color w:val="000000"/>
      <w:kern w:val="0"/>
      <w:sz w:val="18"/>
      <w:szCs w:val="18"/>
    </w:rPr>
  </w:style>
  <w:style w:type="paragraph" w:customStyle="1" w:styleId="206">
    <w:name w:val="图名"/>
    <w:qFormat/>
    <w:uiPriority w:val="0"/>
    <w:pPr>
      <w:widowControl w:val="0"/>
      <w:spacing w:before="156" w:beforeLines="50"/>
      <w:jc w:val="center"/>
    </w:pPr>
    <w:rPr>
      <w:rFonts w:ascii="仿宋_GB2312" w:hAnsi="仿宋_GB2312" w:eastAsia="仿宋_GB2312" w:cs="等线"/>
      <w:b/>
      <w:bCs/>
      <w:sz w:val="24"/>
      <w:szCs w:val="30"/>
      <w:lang w:val="en-US" w:eastAsia="zh-CN" w:bidi="ar-SA"/>
    </w:rPr>
  </w:style>
  <w:style w:type="paragraph" w:customStyle="1" w:styleId="207">
    <w:name w:val="xl8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08">
    <w:name w:val="xl7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b/>
      <w:bCs/>
      <w:color w:val="000000"/>
      <w:kern w:val="0"/>
      <w:sz w:val="20"/>
      <w:szCs w:val="20"/>
    </w:rPr>
  </w:style>
  <w:style w:type="paragraph" w:customStyle="1" w:styleId="209">
    <w:name w:val="正文缩进1"/>
    <w:basedOn w:val="1"/>
    <w:qFormat/>
    <w:uiPriority w:val="0"/>
    <w:pPr>
      <w:ind w:firstLine="420"/>
    </w:pPr>
    <w:rPr>
      <w:rFonts w:cs="等线"/>
      <w:sz w:val="24"/>
      <w:szCs w:val="24"/>
    </w:rPr>
  </w:style>
  <w:style w:type="paragraph" w:customStyle="1" w:styleId="210">
    <w:name w:val="Char Char Char Char Char Char Char Char Char Char Char Char Char Char Char Char Char Char Char"/>
    <w:basedOn w:val="1"/>
    <w:qFormat/>
    <w:uiPriority w:val="0"/>
    <w:rPr>
      <w:rFonts w:cs="等线"/>
      <w:szCs w:val="24"/>
    </w:rPr>
  </w:style>
  <w:style w:type="paragraph" w:customStyle="1" w:styleId="211">
    <w:name w:val="xl7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12">
    <w:name w:val="xl100"/>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13">
    <w:name w:val="标准文字"/>
    <w:basedOn w:val="1"/>
    <w:qFormat/>
    <w:uiPriority w:val="0"/>
    <w:pPr>
      <w:ind w:firstLine="560" w:firstLineChars="200"/>
    </w:pPr>
  </w:style>
  <w:style w:type="paragraph" w:customStyle="1" w:styleId="214">
    <w:name w:val="xl6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215">
    <w:name w:val="font10"/>
    <w:basedOn w:val="1"/>
    <w:qFormat/>
    <w:uiPriority w:val="0"/>
    <w:pPr>
      <w:widowControl/>
      <w:spacing w:before="100" w:beforeAutospacing="1" w:after="100" w:afterAutospacing="1"/>
      <w:jc w:val="left"/>
    </w:pPr>
    <w:rPr>
      <w:rFonts w:cs="等线"/>
      <w:kern w:val="0"/>
      <w:sz w:val="20"/>
      <w:szCs w:val="20"/>
    </w:rPr>
  </w:style>
  <w:style w:type="paragraph" w:customStyle="1" w:styleId="216">
    <w:name w:val="xl63"/>
    <w:basedOn w:val="1"/>
    <w:qFormat/>
    <w:uiPriority w:val="0"/>
    <w:pPr>
      <w:widowControl/>
      <w:spacing w:before="100" w:beforeAutospacing="1" w:after="100" w:afterAutospacing="1"/>
      <w:jc w:val="left"/>
    </w:pPr>
    <w:rPr>
      <w:rFonts w:cs="等线"/>
      <w:kern w:val="0"/>
      <w:sz w:val="24"/>
      <w:szCs w:val="24"/>
    </w:rPr>
  </w:style>
  <w:style w:type="paragraph" w:customStyle="1" w:styleId="217">
    <w:name w:val="表中文字"/>
    <w:qFormat/>
    <w:uiPriority w:val="0"/>
    <w:pPr>
      <w:adjustRightInd w:val="0"/>
      <w:snapToGrid w:val="0"/>
      <w:spacing w:line="300" w:lineRule="atLeast"/>
      <w:jc w:val="center"/>
    </w:pPr>
    <w:rPr>
      <w:rFonts w:ascii="等线" w:hAnsi="等线" w:eastAsia="黑体" w:cs="等线"/>
      <w:sz w:val="18"/>
      <w:lang w:val="en-US" w:eastAsia="zh-CN" w:bidi="ar-SA"/>
    </w:rPr>
  </w:style>
  <w:style w:type="paragraph" w:customStyle="1" w:styleId="218">
    <w:name w:val="表"/>
    <w:basedOn w:val="90"/>
    <w:next w:val="1"/>
    <w:qFormat/>
    <w:uiPriority w:val="0"/>
    <w:pPr>
      <w:adjustRightInd/>
      <w:ind w:left="0" w:leftChars="0" w:firstLine="0" w:firstLineChars="0"/>
      <w:jc w:val="center"/>
    </w:pPr>
    <w:rPr>
      <w:rFonts w:ascii="仿宋_GB2312" w:hAnsi="仿宋_GB2312"/>
      <w:b/>
      <w:bCs/>
      <w:szCs w:val="20"/>
    </w:rPr>
  </w:style>
  <w:style w:type="paragraph" w:customStyle="1" w:styleId="219">
    <w:name w:val="xl8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20">
    <w:name w:val="ZT-标题1"/>
    <w:basedOn w:val="1"/>
    <w:next w:val="221"/>
    <w:qFormat/>
    <w:uiPriority w:val="0"/>
    <w:pPr>
      <w:numPr>
        <w:ilvl w:val="1"/>
        <w:numId w:val="2"/>
      </w:numPr>
      <w:tabs>
        <w:tab w:val="left" w:pos="1134"/>
      </w:tabs>
      <w:spacing w:before="312" w:beforeLines="100" w:after="156" w:afterLines="50"/>
      <w:jc w:val="center"/>
      <w:outlineLvl w:val="0"/>
    </w:pPr>
    <w:rPr>
      <w:rFonts w:ascii="Cambria Math" w:hAnsi="Cambria Math" w:eastAsia="Symbol" w:cs="Cambria Math"/>
      <w:b/>
      <w:sz w:val="32"/>
      <w:szCs w:val="32"/>
    </w:rPr>
  </w:style>
  <w:style w:type="paragraph" w:customStyle="1" w:styleId="221">
    <w:name w:val="ZT-标题2"/>
    <w:basedOn w:val="1"/>
    <w:next w:val="106"/>
    <w:qFormat/>
    <w:uiPriority w:val="0"/>
    <w:pPr>
      <w:numPr>
        <w:ilvl w:val="2"/>
        <w:numId w:val="2"/>
      </w:numPr>
      <w:spacing w:before="312" w:beforeLines="100"/>
      <w:ind w:left="0"/>
      <w:jc w:val="left"/>
      <w:outlineLvl w:val="1"/>
    </w:pPr>
    <w:rPr>
      <w:rFonts w:ascii="Symbol" w:hAnsi="Symbol" w:eastAsia="Symbol" w:cs="等线"/>
      <w:b/>
      <w:szCs w:val="22"/>
    </w:rPr>
  </w:style>
  <w:style w:type="paragraph" w:customStyle="1" w:styleId="222">
    <w:name w:val="aa段落"/>
    <w:basedOn w:val="1"/>
    <w:qFormat/>
    <w:uiPriority w:val="0"/>
    <w:pPr>
      <w:ind w:firstLine="200" w:firstLineChars="200"/>
    </w:pPr>
    <w:rPr>
      <w:rFonts w:cs="等线"/>
      <w:kern w:val="0"/>
      <w:sz w:val="24"/>
      <w:szCs w:val="24"/>
    </w:rPr>
  </w:style>
  <w:style w:type="paragraph" w:customStyle="1" w:styleId="223">
    <w:name w:val="xl112"/>
    <w:basedOn w:val="1"/>
    <w:qFormat/>
    <w:uiPriority w:val="0"/>
    <w:pPr>
      <w:widowControl/>
      <w:pBdr>
        <w:top w:val="single" w:color="auto" w:sz="8" w:space="0"/>
        <w:lef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224">
    <w:name w:val="样式4"/>
    <w:basedOn w:val="8"/>
    <w:qFormat/>
    <w:uiPriority w:val="0"/>
    <w:pPr>
      <w:tabs>
        <w:tab w:val="clear" w:pos="1296"/>
      </w:tabs>
      <w:ind w:left="0" w:firstLine="0"/>
    </w:pPr>
    <w:rPr>
      <w:rFonts w:eastAsia="Calibri Light"/>
      <w:b w:val="0"/>
      <w:bCs w:val="0"/>
    </w:rPr>
  </w:style>
  <w:style w:type="paragraph" w:customStyle="1" w:styleId="225">
    <w:name w:val="普通(网站)1"/>
    <w:basedOn w:val="1"/>
    <w:qFormat/>
    <w:uiPriority w:val="0"/>
    <w:pPr>
      <w:spacing w:line="360" w:lineRule="exact"/>
    </w:pPr>
    <w:rPr>
      <w:rFonts w:cs="等线"/>
      <w:sz w:val="24"/>
      <w:szCs w:val="24"/>
    </w:rPr>
  </w:style>
  <w:style w:type="paragraph" w:customStyle="1" w:styleId="226">
    <w:name w:val="一般强调"/>
    <w:basedOn w:val="1"/>
    <w:qFormat/>
    <w:uiPriority w:val="0"/>
    <w:pPr>
      <w:adjustRightInd w:val="0"/>
      <w:snapToGrid w:val="0"/>
    </w:pPr>
    <w:rPr>
      <w:rFonts w:eastAsia="Wingdings" w:cs="等线"/>
      <w:sz w:val="24"/>
      <w:szCs w:val="20"/>
    </w:rPr>
  </w:style>
  <w:style w:type="paragraph" w:customStyle="1" w:styleId="227">
    <w:name w:val="xl71"/>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28">
    <w:name w:val="xl74"/>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29">
    <w:name w:val="xl8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230">
    <w:name w:val="ZT-标题4"/>
    <w:basedOn w:val="1"/>
    <w:qFormat/>
    <w:uiPriority w:val="0"/>
    <w:pPr>
      <w:widowControl/>
      <w:tabs>
        <w:tab w:val="left" w:pos="1192"/>
      </w:tabs>
      <w:spacing w:before="156" w:beforeLines="50"/>
      <w:ind w:left="1192" w:hanging="992"/>
      <w:jc w:val="left"/>
      <w:outlineLvl w:val="3"/>
    </w:pPr>
    <w:rPr>
      <w:rFonts w:ascii="仿宋_GB2312" w:hAnsi="仿宋_GB2312" w:cs="等线"/>
      <w:b/>
      <w:kern w:val="0"/>
      <w:lang w:bidi="en-US"/>
    </w:rPr>
  </w:style>
  <w:style w:type="paragraph" w:customStyle="1" w:styleId="231">
    <w:name w:val="2"/>
    <w:basedOn w:val="1"/>
    <w:next w:val="33"/>
    <w:qFormat/>
    <w:uiPriority w:val="0"/>
    <w:pPr>
      <w:widowControl/>
      <w:spacing w:after="120" w:line="276" w:lineRule="auto"/>
      <w:ind w:left="200" w:leftChars="200"/>
      <w:jc w:val="left"/>
    </w:pPr>
    <w:rPr>
      <w:rFonts w:ascii="Arial" w:hAnsi="Arial" w:cs="等线"/>
      <w:kern w:val="0"/>
      <w:sz w:val="16"/>
      <w:szCs w:val="16"/>
      <w:lang w:eastAsia="en-US" w:bidi="en-US"/>
    </w:rPr>
  </w:style>
  <w:style w:type="paragraph" w:customStyle="1" w:styleId="232">
    <w:name w:val="aa图"/>
    <w:basedOn w:val="1"/>
    <w:next w:val="1"/>
    <w:qFormat/>
    <w:uiPriority w:val="0"/>
    <w:pPr>
      <w:spacing w:line="300" w:lineRule="auto"/>
      <w:jc w:val="center"/>
    </w:pPr>
    <w:rPr>
      <w:rFonts w:cs="等线"/>
      <w:szCs w:val="22"/>
    </w:rPr>
  </w:style>
  <w:style w:type="paragraph" w:customStyle="1" w:styleId="233">
    <w:name w:val="1"/>
    <w:basedOn w:val="1"/>
    <w:next w:val="1"/>
    <w:qFormat/>
    <w:uiPriority w:val="39"/>
    <w:pPr>
      <w:ind w:left="210"/>
      <w:jc w:val="left"/>
    </w:pPr>
    <w:rPr>
      <w:rFonts w:ascii="Arial" w:hAnsi="Arial"/>
      <w:smallCaps/>
      <w:sz w:val="20"/>
      <w:szCs w:val="20"/>
    </w:rPr>
  </w:style>
  <w:style w:type="character" w:customStyle="1" w:styleId="234">
    <w:name w:val="标题 1 字符"/>
    <w:qFormat/>
    <w:uiPriority w:val="0"/>
    <w:rPr>
      <w:rFonts w:ascii="等线" w:hAnsi="等线" w:eastAsia="Symbol" w:cs="等线"/>
      <w:bCs/>
      <w:kern w:val="44"/>
      <w:sz w:val="32"/>
      <w:szCs w:val="44"/>
      <w:lang w:val="en-US"/>
    </w:rPr>
  </w:style>
  <w:style w:type="paragraph" w:customStyle="1" w:styleId="235">
    <w:name w:val="无间隔1"/>
    <w:qFormat/>
    <w:uiPriority w:val="0"/>
    <w:pPr>
      <w:widowControl w:val="0"/>
      <w:spacing w:after="160" w:line="256" w:lineRule="auto"/>
      <w:ind w:left="100" w:leftChars="100" w:right="210" w:rightChars="100"/>
      <w:jc w:val="both"/>
    </w:pPr>
    <w:rPr>
      <w:rFonts w:ascii="Arial" w:hAnsi="Arial" w:eastAsia="仿宋_GB2312" w:cs="Cambria Math"/>
      <w:kern w:val="2"/>
      <w:sz w:val="21"/>
      <w:szCs w:val="22"/>
      <w:lang w:val="en-US" w:eastAsia="zh-CN" w:bidi="ar-SA"/>
    </w:rPr>
  </w:style>
  <w:style w:type="paragraph" w:customStyle="1" w:styleId="236">
    <w:name w:val="泃河"/>
    <w:basedOn w:val="1"/>
    <w:qFormat/>
    <w:uiPriority w:val="0"/>
    <w:pPr>
      <w:spacing w:after="160"/>
      <w:ind w:firstLine="200" w:firstLineChars="200"/>
    </w:pPr>
    <w:rPr>
      <w:rFonts w:ascii="仿宋_GB2312" w:hAnsi="仿宋_GB2312" w:cs="等线"/>
      <w:sz w:val="24"/>
      <w:szCs w:val="28"/>
    </w:rPr>
  </w:style>
  <w:style w:type="character" w:customStyle="1" w:styleId="237">
    <w:name w:val="未处理的提及1"/>
    <w:semiHidden/>
    <w:unhideWhenUsed/>
    <w:qFormat/>
    <w:uiPriority w:val="99"/>
    <w:rPr>
      <w:color w:val="605E5C"/>
      <w:shd w:val="clear" w:color="auto" w:fill="E1DFDD"/>
    </w:rPr>
  </w:style>
  <w:style w:type="table" w:customStyle="1" w:styleId="238">
    <w:name w:val="TableGrid"/>
    <w:qFormat/>
    <w:uiPriority w:val="0"/>
    <w:rPr>
      <w:rFonts w:eastAsia="等线" w:cs="Times New Roman"/>
      <w:kern w:val="2"/>
      <w:sz w:val="21"/>
      <w:szCs w:val="22"/>
    </w:rPr>
    <w:tblPr>
      <w:tblCellMar>
        <w:top w:w="0" w:type="dxa"/>
        <w:left w:w="0" w:type="dxa"/>
        <w:bottom w:w="0" w:type="dxa"/>
        <w:right w:w="0" w:type="dxa"/>
      </w:tblCellMar>
    </w:tblPr>
  </w:style>
  <w:style w:type="character" w:customStyle="1" w:styleId="239">
    <w:name w:val="标题 1 Char"/>
    <w:qFormat/>
    <w:uiPriority w:val="0"/>
    <w:rPr>
      <w:rFonts w:ascii="Symbol" w:eastAsia="Symbol"/>
      <w:kern w:val="2"/>
      <w:sz w:val="32"/>
      <w:szCs w:val="32"/>
      <w:lang w:val="zh-CN" w:eastAsia="zh-CN"/>
    </w:rPr>
  </w:style>
  <w:style w:type="character" w:customStyle="1" w:styleId="240">
    <w:name w:val="标题 2 Char"/>
    <w:qFormat/>
    <w:uiPriority w:val="0"/>
    <w:rPr>
      <w:b/>
      <w:kern w:val="2"/>
      <w:sz w:val="30"/>
      <w:szCs w:val="30"/>
      <w:lang w:val="zh-CN" w:eastAsia="zh-CN"/>
    </w:rPr>
  </w:style>
  <w:style w:type="character" w:customStyle="1" w:styleId="241">
    <w:name w:val="标题 3 Char"/>
    <w:qFormat/>
    <w:uiPriority w:val="0"/>
    <w:rPr>
      <w:b/>
      <w:kern w:val="2"/>
      <w:sz w:val="28"/>
      <w:szCs w:val="21"/>
      <w:lang w:val="zh-CN" w:eastAsia="zh-CN"/>
    </w:rPr>
  </w:style>
  <w:style w:type="character" w:customStyle="1" w:styleId="242">
    <w:name w:val="标题 4 Char"/>
    <w:qFormat/>
    <w:uiPriority w:val="0"/>
    <w:rPr>
      <w:rFonts w:eastAsia="Wingdings"/>
      <w:b/>
      <w:kern w:val="2"/>
      <w:sz w:val="28"/>
      <w:szCs w:val="21"/>
      <w:lang w:val="zh-CN" w:eastAsia="zh-CN"/>
    </w:rPr>
  </w:style>
  <w:style w:type="character" w:customStyle="1" w:styleId="243">
    <w:name w:val="标题 5 Char"/>
    <w:qFormat/>
    <w:uiPriority w:val="0"/>
    <w:rPr>
      <w:b/>
      <w:bCs/>
      <w:sz w:val="28"/>
      <w:szCs w:val="28"/>
      <w:lang w:val="zh-CN" w:eastAsia="zh-CN"/>
    </w:rPr>
  </w:style>
  <w:style w:type="character" w:customStyle="1" w:styleId="244">
    <w:name w:val="标题 6 Char"/>
    <w:qFormat/>
    <w:uiPriority w:val="0"/>
    <w:rPr>
      <w:rFonts w:ascii="Cambria Math" w:hAnsi="Cambria Math" w:eastAsia="Symbol"/>
      <w:b/>
      <w:bCs/>
      <w:sz w:val="24"/>
      <w:szCs w:val="24"/>
      <w:lang w:val="zh-CN" w:eastAsia="zh-CN"/>
    </w:rPr>
  </w:style>
  <w:style w:type="character" w:customStyle="1" w:styleId="245">
    <w:name w:val="标题 7 Char"/>
    <w:qFormat/>
    <w:uiPriority w:val="0"/>
    <w:rPr>
      <w:b/>
      <w:bCs/>
      <w:sz w:val="24"/>
      <w:szCs w:val="24"/>
      <w:lang w:val="zh-CN" w:eastAsia="zh-CN"/>
    </w:rPr>
  </w:style>
  <w:style w:type="character" w:customStyle="1" w:styleId="246">
    <w:name w:val="标题 8 Char"/>
    <w:qFormat/>
    <w:uiPriority w:val="0"/>
    <w:rPr>
      <w:rFonts w:ascii="Cambria Math" w:hAnsi="Cambria Math" w:eastAsia="Symbol"/>
      <w:sz w:val="24"/>
      <w:szCs w:val="24"/>
      <w:lang w:val="zh-CN" w:eastAsia="zh-CN"/>
    </w:rPr>
  </w:style>
  <w:style w:type="character" w:customStyle="1" w:styleId="247">
    <w:name w:val="标题 9 Char"/>
    <w:qFormat/>
    <w:uiPriority w:val="0"/>
    <w:rPr>
      <w:rFonts w:ascii="Cambria Math" w:hAnsi="Cambria Math" w:eastAsia="Symbol"/>
      <w:sz w:val="24"/>
      <w:szCs w:val="21"/>
      <w:lang w:val="zh-CN" w:eastAsia="zh-CN"/>
    </w:rPr>
  </w:style>
  <w:style w:type="character" w:customStyle="1" w:styleId="248">
    <w:name w:val="正文文本 Char"/>
    <w:qFormat/>
    <w:uiPriority w:val="0"/>
    <w:rPr>
      <w:sz w:val="24"/>
    </w:rPr>
  </w:style>
  <w:style w:type="character" w:customStyle="1" w:styleId="249">
    <w:name w:val="标题 Char"/>
    <w:qFormat/>
    <w:uiPriority w:val="0"/>
    <w:rPr>
      <w:rFonts w:ascii="Cambria Math" w:hAnsi="Cambria Math" w:eastAsia="黑体"/>
      <w:b/>
      <w:bCs/>
      <w:w w:val="90"/>
      <w:sz w:val="84"/>
      <w:szCs w:val="32"/>
    </w:rPr>
  </w:style>
  <w:style w:type="character" w:customStyle="1" w:styleId="250">
    <w:name w:val="批注文字 Char"/>
    <w:basedOn w:val="43"/>
    <w:qFormat/>
    <w:uiPriority w:val="99"/>
    <w:rPr>
      <w:rFonts w:cs="Symbol"/>
      <w:kern w:val="2"/>
      <w:sz w:val="21"/>
      <w:szCs w:val="21"/>
      <w:lang w:val="en-US"/>
    </w:rPr>
  </w:style>
  <w:style w:type="character" w:customStyle="1" w:styleId="251">
    <w:name w:val="批注框文本 Char"/>
    <w:qFormat/>
    <w:uiPriority w:val="0"/>
    <w:rPr>
      <w:sz w:val="18"/>
      <w:szCs w:val="18"/>
    </w:rPr>
  </w:style>
  <w:style w:type="character" w:customStyle="1" w:styleId="252">
    <w:name w:val="页脚 Char"/>
    <w:qFormat/>
    <w:uiPriority w:val="99"/>
    <w:rPr>
      <w:sz w:val="18"/>
      <w:szCs w:val="18"/>
    </w:rPr>
  </w:style>
  <w:style w:type="character" w:customStyle="1" w:styleId="253">
    <w:name w:val="页眉 Char"/>
    <w:qFormat/>
    <w:uiPriority w:val="0"/>
    <w:rPr>
      <w:sz w:val="18"/>
      <w:szCs w:val="18"/>
    </w:rPr>
  </w:style>
  <w:style w:type="paragraph" w:customStyle="1" w:styleId="254">
    <w:name w:val="10"/>
    <w:basedOn w:val="1"/>
    <w:next w:val="147"/>
    <w:qFormat/>
    <w:uiPriority w:val="0"/>
    <w:pPr>
      <w:ind w:firstLine="420" w:firstLineChars="200"/>
    </w:pPr>
  </w:style>
  <w:style w:type="paragraph" w:styleId="255">
    <w:name w:val="No Spacing"/>
    <w:qFormat/>
    <w:uiPriority w:val="1"/>
    <w:pPr>
      <w:widowControl w:val="0"/>
      <w:jc w:val="both"/>
    </w:pPr>
    <w:rPr>
      <w:rFonts w:ascii="等线" w:hAnsi="等线" w:eastAsia="等线" w:cs="Times New Roman"/>
      <w:kern w:val="2"/>
      <w:sz w:val="21"/>
      <w:szCs w:val="22"/>
      <w:lang w:val="en-US" w:eastAsia="zh-CN" w:bidi="ar-SA"/>
    </w:rPr>
  </w:style>
  <w:style w:type="table" w:customStyle="1" w:styleId="256">
    <w:name w:val="无格式表格 21"/>
    <w:basedOn w:val="41"/>
    <w:qFormat/>
    <w:uiPriority w:val="42"/>
    <w:rPr>
      <w:rFonts w:asciiTheme="minorHAnsi" w:hAnsiTheme="minorHAnsi" w:eastAsiaTheme="minorEastAsia" w:cstheme="minorBidi"/>
      <w:kern w:val="2"/>
      <w:sz w:val="21"/>
      <w:szCs w:val="22"/>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57">
    <w:name w:val="8"/>
    <w:basedOn w:val="1"/>
    <w:next w:val="147"/>
    <w:qFormat/>
    <w:uiPriority w:val="34"/>
    <w:pPr>
      <w:ind w:firstLine="420" w:firstLineChars="200"/>
    </w:pPr>
  </w:style>
  <w:style w:type="paragraph" w:customStyle="1" w:styleId="258">
    <w:name w:val="图表题名"/>
    <w:basedOn w:val="1"/>
    <w:link w:val="259"/>
    <w:qFormat/>
    <w:uiPriority w:val="0"/>
    <w:pPr>
      <w:jc w:val="center"/>
    </w:pPr>
    <w:rPr>
      <w:rFonts w:eastAsia="黑体" w:cs="Times New Roman"/>
      <w:szCs w:val="22"/>
    </w:rPr>
  </w:style>
  <w:style w:type="character" w:customStyle="1" w:styleId="259">
    <w:name w:val="图表题名 字符"/>
    <w:link w:val="258"/>
    <w:qFormat/>
    <w:uiPriority w:val="0"/>
    <w:rPr>
      <w:rFonts w:ascii="Times New Roman" w:hAnsi="Times New Roman" w:eastAsia="黑体" w:cs="Times New Roman"/>
      <w:kern w:val="2"/>
      <w:sz w:val="21"/>
      <w:szCs w:val="22"/>
      <w:lang w:val="en-US"/>
    </w:rPr>
  </w:style>
  <w:style w:type="table" w:customStyle="1" w:styleId="260">
    <w:name w:val="网格表 1 浅色1"/>
    <w:basedOn w:val="41"/>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261">
    <w:name w:val="7"/>
    <w:basedOn w:val="1"/>
    <w:next w:val="147"/>
    <w:qFormat/>
    <w:uiPriority w:val="0"/>
    <w:pPr>
      <w:ind w:firstLine="420" w:firstLineChars="200"/>
    </w:pPr>
    <w:rPr>
      <w:rFonts w:cs="黑体"/>
    </w:rPr>
  </w:style>
  <w:style w:type="paragraph" w:customStyle="1" w:styleId="262">
    <w:name w:val="+正文"/>
    <w:basedOn w:val="1"/>
    <w:link w:val="263"/>
    <w:qFormat/>
    <w:uiPriority w:val="0"/>
    <w:pPr>
      <w:snapToGrid w:val="0"/>
      <w:ind w:firstLine="200" w:firstLineChars="200"/>
    </w:pPr>
    <w:rPr>
      <w:rFonts w:cs="Times New Roman"/>
      <w:szCs w:val="24"/>
    </w:rPr>
  </w:style>
  <w:style w:type="character" w:customStyle="1" w:styleId="263">
    <w:name w:val="+正文 Char"/>
    <w:link w:val="262"/>
    <w:qFormat/>
    <w:uiPriority w:val="0"/>
    <w:rPr>
      <w:rFonts w:ascii="Times New Roman" w:hAnsi="Times New Roman" w:eastAsia="仿宋" w:cs="Times New Roman"/>
      <w:kern w:val="2"/>
      <w:sz w:val="28"/>
      <w:szCs w:val="24"/>
    </w:rPr>
  </w:style>
  <w:style w:type="character" w:customStyle="1" w:styleId="264">
    <w:name w:val="副标题 字符"/>
    <w:basedOn w:val="43"/>
    <w:link w:val="31"/>
    <w:qFormat/>
    <w:uiPriority w:val="0"/>
    <w:rPr>
      <w:rFonts w:ascii="Times New Roman" w:hAnsi="Times New Roman" w:eastAsia="宋体" w:cs="Times New Roman"/>
      <w:kern w:val="2"/>
      <w:sz w:val="28"/>
      <w:szCs w:val="21"/>
      <w:lang w:val="en-US"/>
    </w:rPr>
  </w:style>
  <w:style w:type="character" w:styleId="265">
    <w:name w:val="Placeholder Text"/>
    <w:basedOn w:val="43"/>
    <w:semiHidden/>
    <w:qFormat/>
    <w:uiPriority w:val="99"/>
    <w:rPr>
      <w:color w:val="808080"/>
    </w:rPr>
  </w:style>
  <w:style w:type="character" w:customStyle="1" w:styleId="266">
    <w:name w:val="未处理的提及2"/>
    <w:basedOn w:val="43"/>
    <w:semiHidden/>
    <w:unhideWhenUsed/>
    <w:qFormat/>
    <w:uiPriority w:val="99"/>
    <w:rPr>
      <w:color w:val="605E5C"/>
      <w:shd w:val="clear" w:color="auto" w:fill="E1DFDD"/>
    </w:rPr>
  </w:style>
  <w:style w:type="table" w:customStyle="1" w:styleId="267">
    <w:name w:val="无格式表格 22"/>
    <w:basedOn w:val="41"/>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68">
    <w:name w:val="正文首行缩进1"/>
    <w:basedOn w:val="1"/>
    <w:next w:val="1"/>
    <w:link w:val="269"/>
    <w:qFormat/>
    <w:uiPriority w:val="0"/>
    <w:pPr>
      <w:spacing w:after="120" w:line="240" w:lineRule="auto"/>
      <w:ind w:left="420" w:leftChars="200" w:firstLine="100" w:firstLineChars="100"/>
    </w:pPr>
    <w:rPr>
      <w:rFonts w:cs="Times New Roman"/>
      <w:sz w:val="24"/>
      <w:szCs w:val="20"/>
      <w:lang w:val="zh-CN"/>
    </w:rPr>
  </w:style>
  <w:style w:type="character" w:customStyle="1" w:styleId="269">
    <w:name w:val="正文首行缩进 Char"/>
    <w:link w:val="268"/>
    <w:qFormat/>
    <w:uiPriority w:val="0"/>
    <w:rPr>
      <w:rFonts w:ascii="Times New Roman" w:hAnsi="Times New Roman" w:eastAsia="宋体" w:cs="Times New Roman"/>
      <w:kern w:val="2"/>
      <w:sz w:val="24"/>
      <w:lang w:val="zh-CN" w:eastAsia="zh-CN"/>
    </w:rPr>
  </w:style>
  <w:style w:type="paragraph" w:customStyle="1" w:styleId="270">
    <w:name w:val="列出段落2"/>
    <w:basedOn w:val="1"/>
    <w:qFormat/>
    <w:uiPriority w:val="34"/>
    <w:pPr>
      <w:spacing w:line="240" w:lineRule="auto"/>
      <w:ind w:firstLine="420" w:firstLineChars="200"/>
    </w:pPr>
    <w:rPr>
      <w:rFonts w:ascii="Calibri" w:hAnsi="Calibri" w:cs="Times New Roman"/>
      <w:sz w:val="21"/>
      <w:szCs w:val="22"/>
    </w:rPr>
  </w:style>
  <w:style w:type="character" w:customStyle="1" w:styleId="271">
    <w:name w:val="图 字符"/>
    <w:basedOn w:val="43"/>
    <w:qFormat/>
    <w:uiPriority w:val="0"/>
    <w:rPr>
      <w:rFonts w:ascii="Times New Roman" w:hAnsi="Times New Roman" w:eastAsia="黑体" w:cs="Times New Roman"/>
      <w:kern w:val="2"/>
      <w:sz w:val="28"/>
      <w:szCs w:val="22"/>
    </w:rPr>
  </w:style>
  <w:style w:type="paragraph" w:customStyle="1" w:styleId="27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273">
    <w:name w:val="无格式表格 23"/>
    <w:basedOn w:val="41"/>
    <w:qFormat/>
    <w:uiPriority w:val="42"/>
    <w:rPr>
      <w:rFonts w:asciiTheme="minorHAnsi" w:hAnsiTheme="minorHAnsi" w:eastAsiaTheme="minorEastAsia" w:cstheme="minorBidi"/>
      <w:kern w:val="2"/>
      <w:sz w:val="21"/>
      <w:szCs w:val="22"/>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74">
    <w:name w:val="正文使用"/>
    <w:basedOn w:val="1"/>
    <w:qFormat/>
    <w:uiPriority w:val="0"/>
    <w:pPr>
      <w:adjustRightInd w:val="0"/>
      <w:snapToGrid w:val="0"/>
      <w:ind w:firstLine="192" w:firstLineChars="192"/>
    </w:pPr>
    <w:rPr>
      <w:rFonts w:eastAsia="仿宋_GB2312" w:cs="Times New Roman"/>
      <w:sz w:val="24"/>
      <w:szCs w:val="24"/>
    </w:rPr>
  </w:style>
  <w:style w:type="paragraph" w:customStyle="1" w:styleId="275">
    <w:name w:val="二级"/>
    <w:basedOn w:val="4"/>
    <w:qFormat/>
    <w:uiPriority w:val="0"/>
    <w:pPr>
      <w:keepNext/>
      <w:keepLines/>
      <w:numPr>
        <w:ilvl w:val="0"/>
        <w:numId w:val="0"/>
      </w:numPr>
      <w:autoSpaceDN/>
      <w:spacing w:before="260" w:beforeLines="100" w:after="260"/>
      <w:outlineLvl w:val="1"/>
    </w:pPr>
    <w:rPr>
      <w:rFonts w:eastAsia="仿宋_GB2312"/>
      <w:kern w:val="0"/>
      <w:lang w:val="en-US"/>
    </w:rPr>
  </w:style>
  <w:style w:type="paragraph" w:customStyle="1" w:styleId="276">
    <w:name w:val="三级"/>
    <w:basedOn w:val="5"/>
    <w:qFormat/>
    <w:uiPriority w:val="0"/>
    <w:pPr>
      <w:keepNext/>
      <w:keepLines/>
      <w:numPr>
        <w:ilvl w:val="0"/>
        <w:numId w:val="0"/>
      </w:numPr>
      <w:spacing w:before="280" w:beforeLines="100" w:after="290"/>
      <w:outlineLvl w:val="2"/>
    </w:pPr>
    <w:rPr>
      <w:rFonts w:eastAsia="仿宋_GB2312"/>
      <w:bCs/>
      <w:kern w:val="0"/>
      <w:sz w:val="24"/>
      <w:lang w:val="en-US"/>
    </w:rPr>
  </w:style>
  <w:style w:type="paragraph" w:customStyle="1" w:styleId="277">
    <w:name w:val="表格1"/>
    <w:basedOn w:val="1"/>
    <w:qFormat/>
    <w:uiPriority w:val="0"/>
    <w:pPr>
      <w:snapToGrid w:val="0"/>
      <w:spacing w:line="288" w:lineRule="auto"/>
      <w:jc w:val="center"/>
    </w:pPr>
    <w:rPr>
      <w:rFonts w:cs="Times New Roman"/>
      <w:sz w:val="21"/>
      <w:szCs w:val="24"/>
    </w:rPr>
  </w:style>
  <w:style w:type="character" w:customStyle="1" w:styleId="278">
    <w:name w:val="fontstyle01"/>
    <w:basedOn w:val="43"/>
    <w:qFormat/>
    <w:uiPriority w:val="0"/>
    <w:rPr>
      <w:rFonts w:hint="default" w:ascii="DY36+ZMcCNq-36" w:hAnsi="DY36+ZMcCNq-36"/>
      <w:color w:val="000000"/>
      <w:sz w:val="22"/>
      <w:szCs w:val="22"/>
    </w:rPr>
  </w:style>
  <w:style w:type="character" w:customStyle="1" w:styleId="279">
    <w:name w:val="fontstyle11"/>
    <w:basedOn w:val="43"/>
    <w:qFormat/>
    <w:uiPriority w:val="0"/>
    <w:rPr>
      <w:rFonts w:hint="default" w:ascii="DY35+ZMcCNq-35" w:hAnsi="DY35+ZMcCNq-35"/>
      <w:color w:val="000000"/>
      <w:sz w:val="14"/>
      <w:szCs w:val="14"/>
    </w:rPr>
  </w:style>
  <w:style w:type="character" w:customStyle="1" w:styleId="280">
    <w:name w:val="未处理的提及3"/>
    <w:basedOn w:val="43"/>
    <w:semiHidden/>
    <w:unhideWhenUsed/>
    <w:qFormat/>
    <w:uiPriority w:val="99"/>
    <w:rPr>
      <w:color w:val="605E5C"/>
      <w:shd w:val="clear" w:color="auto" w:fill="E1DFDD"/>
    </w:rPr>
  </w:style>
  <w:style w:type="paragraph" w:customStyle="1" w:styleId="281">
    <w:name w:val="修订2"/>
    <w:hidden/>
    <w:semiHidden/>
    <w:qFormat/>
    <w:uiPriority w:val="99"/>
    <w:rPr>
      <w:rFonts w:ascii="Times New Roman" w:hAnsi="Times New Roman" w:eastAsia="仿宋" w:cs="Symbol"/>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CAEP</Company>
  <Pages>24</Pages>
  <Words>9699</Words>
  <Characters>11375</Characters>
  <Lines>85</Lines>
  <Paragraphs>24</Paragraphs>
  <TotalTime>9</TotalTime>
  <ScaleCrop>false</ScaleCrop>
  <LinksUpToDate>false</LinksUpToDate>
  <CharactersWithSpaces>11472</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2022-10-11T17:09:00Z</dcterms:created>
  <dc:creator>MaLK</dc:creator>
  <cp:lastModifiedBy>kylin</cp:lastModifiedBy>
  <cp:lastPrinted>2022-10-11T10:47:00Z</cp:lastPrinted>
  <dcterms:modified xsi:type="dcterms:W3CDTF">2022-10-11T14:15:39Z</dcterms:modified>
  <dc:title>Kinson Xiao</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F00AF3037CB0488A9134B029C8085A45</vt:lpwstr>
  </property>
</Properties>
</file>