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jc w:val="center"/>
        <w:rPr>
          <w:rFonts w:eastAsia="仿宋" w:cs="Times New Roman"/>
          <w:b/>
          <w:sz w:val="56"/>
          <w:szCs w:val="56"/>
        </w:rPr>
      </w:pPr>
    </w:p>
    <w:p>
      <w:pPr>
        <w:adjustRightInd w:val="0"/>
        <w:snapToGrid w:val="0"/>
        <w:jc w:val="center"/>
        <w:rPr>
          <w:rFonts w:eastAsia="仿宋" w:cs="Times New Roman"/>
          <w:b/>
          <w:sz w:val="56"/>
          <w:szCs w:val="56"/>
        </w:rPr>
      </w:pPr>
    </w:p>
    <w:p>
      <w:pPr>
        <w:adjustRightInd w:val="0"/>
        <w:snapToGrid w:val="0"/>
        <w:jc w:val="center"/>
        <w:rPr>
          <w:rFonts w:ascii="黑体" w:hAnsi="黑体" w:eastAsia="黑体" w:cs="Times New Roman"/>
          <w:b/>
          <w:sz w:val="56"/>
          <w:szCs w:val="56"/>
        </w:rPr>
      </w:pPr>
      <w:bookmarkStart w:id="0" w:name="_Hlk94476790"/>
      <w:bookmarkStart w:id="1" w:name="_Hlk82112100"/>
      <w:r>
        <w:rPr>
          <w:rFonts w:ascii="黑体" w:hAnsi="黑体" w:eastAsia="黑体" w:cs="Times New Roman"/>
          <w:b/>
          <w:sz w:val="56"/>
          <w:szCs w:val="56"/>
        </w:rPr>
        <w:t>鄱阳湖金溪咀刘家断面</w:t>
      </w:r>
    </w:p>
    <w:p>
      <w:pPr>
        <w:adjustRightInd w:val="0"/>
        <w:snapToGrid w:val="0"/>
        <w:jc w:val="center"/>
        <w:rPr>
          <w:rFonts w:ascii="黑体" w:hAnsi="黑体" w:eastAsia="黑体" w:cs="Times New Roman"/>
          <w:b/>
          <w:sz w:val="56"/>
          <w:szCs w:val="56"/>
        </w:rPr>
      </w:pPr>
      <w:r>
        <w:rPr>
          <w:rFonts w:ascii="黑体" w:hAnsi="黑体" w:eastAsia="黑体" w:cs="Times New Roman"/>
          <w:b/>
          <w:sz w:val="56"/>
          <w:szCs w:val="56"/>
        </w:rPr>
        <w:t>“一断面一策”治理方案</w:t>
      </w:r>
      <w:bookmarkEnd w:id="0"/>
    </w:p>
    <w:bookmarkEnd w:id="1"/>
    <w:p>
      <w:pPr>
        <w:adjustRightInd w:val="0"/>
        <w:snapToGrid w:val="0"/>
        <w:jc w:val="center"/>
        <w:rPr>
          <w:rFonts w:ascii="黑体" w:hAnsi="黑体" w:eastAsia="黑体" w:cs="Times New Roman"/>
          <w:b/>
          <w:bCs/>
          <w:sz w:val="32"/>
          <w:szCs w:val="32"/>
        </w:rPr>
      </w:pPr>
    </w:p>
    <w:p>
      <w:pPr>
        <w:adjustRightInd w:val="0"/>
        <w:snapToGrid w:val="0"/>
        <w:jc w:val="center"/>
        <w:rPr>
          <w:rFonts w:eastAsia="仿宋" w:cs="Times New Roman"/>
          <w:szCs w:val="28"/>
        </w:rPr>
      </w:pPr>
    </w:p>
    <w:p>
      <w:pPr>
        <w:adjustRightInd w:val="0"/>
        <w:snapToGrid w:val="0"/>
        <w:jc w:val="center"/>
        <w:rPr>
          <w:rFonts w:eastAsia="仿宋" w:cs="Times New Roman"/>
        </w:rPr>
      </w:pPr>
    </w:p>
    <w:p>
      <w:pPr>
        <w:adjustRightInd w:val="0"/>
        <w:snapToGrid w:val="0"/>
        <w:jc w:val="center"/>
        <w:rPr>
          <w:rFonts w:eastAsia="仿宋" w:cs="Times New Roman"/>
        </w:rPr>
      </w:pPr>
    </w:p>
    <w:p>
      <w:pPr>
        <w:adjustRightInd w:val="0"/>
        <w:snapToGrid w:val="0"/>
        <w:jc w:val="center"/>
        <w:rPr>
          <w:rFonts w:eastAsia="仿宋" w:cs="Times New Roman"/>
        </w:rPr>
      </w:pPr>
    </w:p>
    <w:p>
      <w:pPr>
        <w:adjustRightInd w:val="0"/>
        <w:snapToGrid w:val="0"/>
        <w:jc w:val="center"/>
        <w:rPr>
          <w:rFonts w:eastAsia="仿宋" w:cs="Times New Roman"/>
        </w:rPr>
      </w:pPr>
    </w:p>
    <w:p>
      <w:pPr>
        <w:adjustRightInd w:val="0"/>
        <w:snapToGrid w:val="0"/>
        <w:jc w:val="center"/>
        <w:rPr>
          <w:rFonts w:eastAsia="仿宋" w:cs="Times New Roman"/>
        </w:rPr>
      </w:pPr>
    </w:p>
    <w:p>
      <w:pPr>
        <w:adjustRightInd w:val="0"/>
        <w:snapToGrid w:val="0"/>
        <w:jc w:val="center"/>
        <w:rPr>
          <w:rFonts w:eastAsia="仿宋" w:cs="Times New Roman"/>
        </w:rPr>
      </w:pPr>
    </w:p>
    <w:p>
      <w:pPr>
        <w:adjustRightInd w:val="0"/>
        <w:snapToGrid w:val="0"/>
        <w:jc w:val="center"/>
        <w:rPr>
          <w:rFonts w:eastAsia="仿宋" w:cs="Times New Roman"/>
        </w:rPr>
      </w:pPr>
    </w:p>
    <w:p>
      <w:pPr>
        <w:adjustRightInd w:val="0"/>
        <w:snapToGrid w:val="0"/>
        <w:jc w:val="center"/>
        <w:rPr>
          <w:rFonts w:eastAsia="仿宋" w:cs="Times New Roman"/>
        </w:rPr>
      </w:pPr>
    </w:p>
    <w:p>
      <w:pPr>
        <w:adjustRightInd w:val="0"/>
        <w:snapToGrid w:val="0"/>
        <w:jc w:val="center"/>
        <w:rPr>
          <w:rFonts w:eastAsia="仿宋" w:cs="Times New Roman"/>
          <w:szCs w:val="28"/>
        </w:rPr>
      </w:pPr>
    </w:p>
    <w:p>
      <w:pPr>
        <w:adjustRightInd w:val="0"/>
        <w:snapToGrid w:val="0"/>
        <w:jc w:val="center"/>
        <w:rPr>
          <w:rFonts w:eastAsia="仿宋" w:cs="Times New Roman"/>
          <w:szCs w:val="28"/>
        </w:rPr>
      </w:pPr>
    </w:p>
    <w:p>
      <w:pPr>
        <w:adjustRightInd w:val="0"/>
        <w:snapToGrid w:val="0"/>
        <w:jc w:val="center"/>
        <w:rPr>
          <w:rFonts w:eastAsia="仿宋" w:cs="Times New Roman"/>
          <w:szCs w:val="28"/>
        </w:rPr>
      </w:pPr>
    </w:p>
    <w:p>
      <w:pPr>
        <w:adjustRightInd w:val="0"/>
        <w:snapToGrid w:val="0"/>
        <w:jc w:val="center"/>
        <w:rPr>
          <w:rFonts w:eastAsia="仿宋" w:cs="Times New Roman"/>
          <w:b/>
          <w:bCs/>
          <w:sz w:val="40"/>
          <w:szCs w:val="40"/>
        </w:rPr>
      </w:pPr>
    </w:p>
    <w:p>
      <w:pPr>
        <w:adjustRightInd w:val="0"/>
        <w:snapToGrid w:val="0"/>
        <w:jc w:val="center"/>
        <w:rPr>
          <w:rFonts w:eastAsia="仿宋" w:cs="Times New Roman"/>
          <w:b/>
          <w:bCs/>
          <w:sz w:val="40"/>
          <w:szCs w:val="40"/>
        </w:rPr>
      </w:pPr>
    </w:p>
    <w:p>
      <w:pPr>
        <w:adjustRightInd w:val="0"/>
        <w:snapToGrid w:val="0"/>
        <w:jc w:val="center"/>
        <w:rPr>
          <w:rFonts w:eastAsia="仿宋" w:cs="Times New Roman"/>
          <w:b/>
          <w:bCs/>
          <w:sz w:val="40"/>
          <w:szCs w:val="40"/>
        </w:rPr>
      </w:pPr>
    </w:p>
    <w:p>
      <w:pPr>
        <w:adjustRightInd w:val="0"/>
        <w:snapToGrid w:val="0"/>
        <w:jc w:val="center"/>
        <w:rPr>
          <w:rFonts w:eastAsia="仿宋" w:cs="Times New Roman"/>
          <w:b/>
          <w:bCs/>
          <w:sz w:val="40"/>
          <w:szCs w:val="40"/>
        </w:rPr>
      </w:pPr>
    </w:p>
    <w:p>
      <w:pPr>
        <w:adjustRightInd w:val="0"/>
        <w:snapToGrid w:val="0"/>
        <w:jc w:val="center"/>
        <w:rPr>
          <w:rFonts w:eastAsia="仿宋" w:cs="Times New Roman"/>
          <w:b/>
          <w:bCs/>
          <w:sz w:val="40"/>
          <w:szCs w:val="40"/>
        </w:rPr>
      </w:pPr>
    </w:p>
    <w:p>
      <w:pPr>
        <w:pStyle w:val="2"/>
        <w:numPr>
          <w:ilvl w:val="0"/>
          <w:numId w:val="0"/>
        </w:numPr>
        <w:snapToGrid/>
        <w:rPr>
          <w:rFonts w:eastAsia="仿宋"/>
        </w:rPr>
        <w:sectPr>
          <w:headerReference r:id="rId5" w:type="default"/>
          <w:pgSz w:w="11906" w:h="16838"/>
          <w:pgMar w:top="1440" w:right="1800" w:bottom="1440" w:left="1800" w:header="851" w:footer="992" w:gutter="0"/>
          <w:pgNumType w:start="1"/>
          <w:cols w:space="720" w:num="1"/>
          <w:docGrid w:type="lines" w:linePitch="381" w:charSpace="0"/>
        </w:sectPr>
      </w:pPr>
      <w:bookmarkStart w:id="2" w:name="_Toc113611348"/>
      <w:bookmarkStart w:id="3" w:name="_Toc21720655"/>
      <w:bookmarkStart w:id="4" w:name="_Toc14197"/>
    </w:p>
    <w:p>
      <w:pPr>
        <w:pStyle w:val="2"/>
        <w:keepNext w:val="0"/>
        <w:keepLines w:val="0"/>
        <w:pageBreakBefore w:val="0"/>
        <w:widowControl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一、项目概述</w:t>
      </w:r>
      <w:bookmarkEnd w:id="2"/>
    </w:p>
    <w:p>
      <w:pPr>
        <w:keepNext w:val="0"/>
        <w:keepLines w:val="0"/>
        <w:pageBreakBefore w:val="0"/>
        <w:widowControl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为深入打好污染防治攻坚战，有效控制与削减鄱阳湖南昌湖区总磷污染，持续改善鄱阳湖南昌湖区水环境质量，按照江西省环委会办公室《关于组织编制鄱阳湖“一断面一策”治理方案的通知》</w:t>
      </w:r>
      <w:r>
        <w:rPr>
          <w:rFonts w:hint="eastAsia" w:ascii="仿宋_GB2312" w:hAnsi="仿宋_GB2312" w:eastAsia="仿宋_GB2312" w:cs="仿宋_GB2312"/>
          <w:sz w:val="32"/>
          <w:szCs w:val="32"/>
          <w:lang w:val="zh-CN"/>
        </w:rPr>
        <w:t>（赣环委办字〔2022〕17号）</w:t>
      </w:r>
      <w:r>
        <w:rPr>
          <w:rFonts w:hint="eastAsia" w:ascii="仿宋_GB2312" w:hAnsi="仿宋_GB2312" w:eastAsia="仿宋_GB2312" w:cs="仿宋_GB2312"/>
          <w:bCs/>
          <w:sz w:val="32"/>
          <w:szCs w:val="32"/>
        </w:rPr>
        <w:t>要求，针对鄱阳湖南昌湖区南湖村、南矶山、金溪咀刘家、伍湖分场、青岚湖5个断面，组织编制鄱阳湖南昌湖区“一断面一策”治理方案。</w:t>
      </w:r>
    </w:p>
    <w:p>
      <w:pPr>
        <w:keepNext w:val="0"/>
        <w:keepLines w:val="0"/>
        <w:pageBreakBefore w:val="0"/>
        <w:widowControl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按照“一断面一策”编制要求，各责任县区充分开展断面周边污染源调查，识别各断面主要环境问题，形成污染“脉络图”和问题台账清单。以问题为导向，以项目为支撑，以控增量降存量为目的，兼顾污染防治与生态修复，因地制宜制定措施，</w:t>
      </w:r>
      <w:r>
        <w:rPr>
          <w:rFonts w:hint="eastAsia" w:ascii="仿宋_GB2312" w:hAnsi="仿宋_GB2312" w:eastAsia="仿宋_GB2312" w:cs="仿宋_GB2312"/>
          <w:bCs/>
          <w:color w:val="000000" w:themeColor="text1"/>
          <w:sz w:val="32"/>
          <w:szCs w:val="32"/>
          <w14:textFill>
            <w14:solidFill>
              <w14:schemeClr w14:val="tx1"/>
            </w14:solidFill>
          </w14:textFill>
        </w:rPr>
        <w:t>实现“十四五”</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末</w:t>
      </w:r>
      <w:r>
        <w:rPr>
          <w:rFonts w:hint="eastAsia" w:ascii="仿宋_GB2312" w:hAnsi="仿宋_GB2312" w:eastAsia="仿宋_GB2312" w:cs="仿宋_GB2312"/>
          <w:bCs/>
          <w:color w:val="000000" w:themeColor="text1"/>
          <w:sz w:val="32"/>
          <w:szCs w:val="32"/>
          <w14:textFill>
            <w14:solidFill>
              <w14:schemeClr w14:val="tx1"/>
            </w14:solidFill>
          </w14:textFill>
        </w:rPr>
        <w:t>鄱阳湖南昌湖区</w:t>
      </w:r>
      <w:r>
        <w:rPr>
          <w:rFonts w:hint="eastAsia" w:ascii="仿宋_GB2312" w:hAnsi="仿宋_GB2312" w:eastAsia="仿宋_GB2312" w:cs="仿宋_GB2312"/>
          <w:color w:val="000000" w:themeColor="text1"/>
          <w:sz w:val="32"/>
          <w:szCs w:val="32"/>
          <w:lang w:val="zh-CN"/>
          <w14:textFill>
            <w14:solidFill>
              <w14:schemeClr w14:val="tx1"/>
            </w14:solidFill>
          </w14:textFill>
        </w:rPr>
        <w:t>总磷（TP）</w:t>
      </w:r>
      <w:r>
        <w:rPr>
          <w:rFonts w:hint="eastAsia" w:ascii="仿宋_GB2312" w:hAnsi="仿宋_GB2312" w:eastAsia="仿宋_GB2312" w:cs="仿宋_GB2312"/>
          <w:bCs/>
          <w:color w:val="000000" w:themeColor="text1"/>
          <w:sz w:val="32"/>
          <w:szCs w:val="32"/>
          <w14:textFill>
            <w14:solidFill>
              <w14:schemeClr w14:val="tx1"/>
            </w14:solidFill>
          </w14:textFill>
        </w:rPr>
        <w:t>浓度</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≤0.075mg/L、其余指标达湖库Ⅲ类水质的考核目标；到2025年，力争鄱阳湖南昌湖区水质断面（点位）优良率达到60%；</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到</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2030年，力争鄱阳湖南昌湖区总磷平均浓度达到湖库Ⅲ类水质标准</w:t>
      </w:r>
      <w:r>
        <w:rPr>
          <w:rFonts w:hint="eastAsia" w:ascii="仿宋_GB2312" w:hAnsi="仿宋_GB2312" w:eastAsia="仿宋_GB2312" w:cs="仿宋_GB2312"/>
          <w:bCs/>
          <w:sz w:val="32"/>
          <w:szCs w:val="32"/>
        </w:rPr>
        <w:t>。</w:t>
      </w:r>
    </w:p>
    <w:p>
      <w:pPr>
        <w:pStyle w:val="3"/>
        <w:keepNext w:val="0"/>
        <w:keepLines w:val="0"/>
        <w:pageBreakBefore w:val="0"/>
        <w:widowControl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楷体_GB2312" w:hAnsi="楷体_GB2312" w:eastAsia="楷体_GB2312" w:cs="楷体_GB2312"/>
          <w:sz w:val="32"/>
          <w:szCs w:val="32"/>
        </w:rPr>
      </w:pPr>
      <w:bookmarkStart w:id="5" w:name="_Toc113611349"/>
      <w:r>
        <w:rPr>
          <w:rFonts w:hint="eastAsia" w:ascii="楷体_GB2312" w:hAnsi="楷体_GB2312" w:eastAsia="楷体_GB2312" w:cs="楷体_GB2312"/>
          <w:sz w:val="32"/>
          <w:szCs w:val="32"/>
        </w:rPr>
        <w:t>（一）编制原则</w:t>
      </w:r>
      <w:bookmarkEnd w:id="5"/>
    </w:p>
    <w:p>
      <w:pPr>
        <w:keepNext w:val="0"/>
        <w:keepLines w:val="0"/>
        <w:pageBreakBefore w:val="0"/>
        <w:widowControl w:val="0"/>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流域统筹、系统治理。</w:t>
      </w:r>
      <w:r>
        <w:rPr>
          <w:rFonts w:hint="eastAsia" w:ascii="仿宋_GB2312" w:hAnsi="仿宋_GB2312" w:eastAsia="仿宋_GB2312" w:cs="仿宋_GB2312"/>
          <w:bCs/>
          <w:sz w:val="32"/>
          <w:szCs w:val="32"/>
        </w:rPr>
        <w:t>牢牢把握山水林田湖草是一个生命共同体的理念，统筹经济社会发展和生态环境保护要求，统筹流域和行政区域，统筹上下游、左右岸和干支流，统筹城市和乡村、水域和陆地，系统推进鄱阳湖南昌湖区的治理与保护。</w:t>
      </w:r>
    </w:p>
    <w:p>
      <w:pPr>
        <w:keepNext w:val="0"/>
        <w:keepLines w:val="0"/>
        <w:pageBreakBefore w:val="0"/>
        <w:widowControl w:val="0"/>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问题导向、分类施策。</w:t>
      </w:r>
      <w:r>
        <w:rPr>
          <w:rFonts w:hint="eastAsia" w:ascii="仿宋_GB2312" w:hAnsi="仿宋_GB2312" w:eastAsia="仿宋_GB2312" w:cs="仿宋_GB2312"/>
          <w:bCs/>
          <w:sz w:val="32"/>
          <w:szCs w:val="32"/>
        </w:rPr>
        <w:t>从断面及其控制范围的自身特点、现状、问题出发，对现有问题进行全面排查，抓住断面水质达标的主要矛盾，因地制宜、因地施策，重点解决鄱阳湖南昌湖区的总磷偏高问题。</w:t>
      </w:r>
    </w:p>
    <w:p>
      <w:pPr>
        <w:keepNext w:val="0"/>
        <w:keepLines w:val="0"/>
        <w:pageBreakBefore w:val="0"/>
        <w:widowControl w:val="0"/>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统筹协调、注重实效。</w:t>
      </w:r>
      <w:r>
        <w:rPr>
          <w:rFonts w:hint="eastAsia" w:ascii="仿宋_GB2312" w:hAnsi="仿宋_GB2312" w:eastAsia="仿宋_GB2312" w:cs="仿宋_GB2312"/>
          <w:bCs/>
          <w:sz w:val="32"/>
          <w:szCs w:val="32"/>
        </w:rPr>
        <w:t>按照轻重缓急，统筹考虑投资规模、实施效果、前期工作、资金来源与保障措施，以近期为重点，兼顾远期目标，对于解决总磷超标最为显著的措施，应重点部署、优先安排。</w:t>
      </w:r>
    </w:p>
    <w:p>
      <w:pPr>
        <w:keepNext w:val="0"/>
        <w:keepLines w:val="0"/>
        <w:pageBreakBefore w:val="0"/>
        <w:widowControl w:val="0"/>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专业协调、措施落地。</w:t>
      </w:r>
      <w:r>
        <w:rPr>
          <w:rFonts w:hint="eastAsia" w:ascii="仿宋_GB2312" w:hAnsi="仿宋_GB2312" w:eastAsia="仿宋_GB2312" w:cs="仿宋_GB2312"/>
          <w:bCs/>
          <w:sz w:val="32"/>
          <w:szCs w:val="32"/>
        </w:rPr>
        <w:t>按照综合治理的要求，打破部门、区域、层级的壁垒，充分利用已有规划和治理方案成果，做好目标、任务之间衔接，充分考虑工程及管理措施的可行性，落实部门分工，明确责任及要求，做到可监测、可监督和可考核。</w:t>
      </w:r>
    </w:p>
    <w:p>
      <w:pPr>
        <w:keepNext w:val="0"/>
        <w:keepLines w:val="0"/>
        <w:pageBreakBefore w:val="0"/>
        <w:widowControl w:val="0"/>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党政领导，社会参与。</w:t>
      </w:r>
      <w:r>
        <w:rPr>
          <w:rFonts w:hint="eastAsia" w:ascii="仿宋_GB2312" w:hAnsi="仿宋_GB2312" w:eastAsia="仿宋_GB2312" w:cs="仿宋_GB2312"/>
          <w:bCs/>
          <w:sz w:val="32"/>
          <w:szCs w:val="32"/>
        </w:rPr>
        <w:t>落实“党政同责、一岗双责”，加强部门协作，做到投入、政策与目标、任务相匹配。动员全社会参与环境保护，促进企业履行环境责任，形成政府、企业和公众共同行动的环境保护新格局。</w:t>
      </w:r>
    </w:p>
    <w:p>
      <w:pPr>
        <w:pStyle w:val="3"/>
        <w:keepNext w:val="0"/>
        <w:keepLines w:val="0"/>
        <w:pageBreakBefore w:val="0"/>
        <w:widowControl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楷体_GB2312" w:hAnsi="楷体_GB2312" w:eastAsia="楷体_GB2312" w:cs="楷体_GB2312"/>
          <w:sz w:val="32"/>
          <w:szCs w:val="32"/>
        </w:rPr>
      </w:pPr>
      <w:bookmarkStart w:id="6" w:name="_Toc113611350"/>
      <w:r>
        <w:rPr>
          <w:rFonts w:hint="eastAsia" w:ascii="楷体_GB2312" w:hAnsi="楷体_GB2312" w:eastAsia="楷体_GB2312" w:cs="楷体_GB2312"/>
          <w:sz w:val="32"/>
          <w:szCs w:val="32"/>
        </w:rPr>
        <w:t>（二）项目要求</w:t>
      </w:r>
      <w:bookmarkEnd w:id="6"/>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7" w:name="_Toc113611351"/>
      <w:r>
        <w:rPr>
          <w:rFonts w:hint="eastAsia" w:ascii="仿宋_GB2312" w:hAnsi="仿宋_GB2312" w:eastAsia="仿宋_GB2312" w:cs="仿宋_GB2312"/>
          <w:sz w:val="32"/>
          <w:szCs w:val="32"/>
        </w:rPr>
        <w:t>1. 实施范围</w:t>
      </w:r>
      <w:bookmarkEnd w:id="7"/>
    </w:p>
    <w:p>
      <w:pPr>
        <w:keepNext w:val="0"/>
        <w:keepLines w:val="0"/>
        <w:pageBreakBefore w:val="0"/>
        <w:widowControl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本方案的实施范围为</w:t>
      </w:r>
      <w:bookmarkStart w:id="8" w:name="_Hlk111811836"/>
      <w:r>
        <w:rPr>
          <w:rFonts w:hint="eastAsia" w:ascii="仿宋_GB2312" w:hAnsi="仿宋_GB2312" w:eastAsia="仿宋_GB2312" w:cs="仿宋_GB2312"/>
          <w:sz w:val="32"/>
          <w:szCs w:val="32"/>
          <w:lang w:val="zh-CN"/>
        </w:rPr>
        <w:t>金溪咀刘家</w:t>
      </w:r>
      <w:bookmarkEnd w:id="8"/>
      <w:r>
        <w:rPr>
          <w:rFonts w:hint="eastAsia" w:ascii="仿宋_GB2312" w:hAnsi="仿宋_GB2312" w:eastAsia="仿宋_GB2312" w:cs="仿宋_GB2312"/>
          <w:sz w:val="32"/>
          <w:szCs w:val="32"/>
          <w:lang w:val="zh-CN"/>
        </w:rPr>
        <w:t>断面汇水区域。主要包括三里乡、梅庄镇、二塘乡、南台乡、池溪乡、钟陵乡、前坊镇、三阳集乡等乡镇，汇水范围面积为</w:t>
      </w:r>
      <w:r>
        <w:rPr>
          <w:rFonts w:hint="eastAsia" w:ascii="仿宋_GB2312" w:hAnsi="仿宋_GB2312" w:eastAsia="仿宋_GB2312" w:cs="仿宋_GB2312"/>
          <w:sz w:val="32"/>
          <w:szCs w:val="32"/>
        </w:rPr>
        <w:t>734.23</w:t>
      </w:r>
      <w:r>
        <w:rPr>
          <w:rFonts w:hint="eastAsia" w:ascii="仿宋_GB2312" w:hAnsi="仿宋_GB2312" w:eastAsia="仿宋_GB2312" w:cs="仿宋_GB2312"/>
          <w:sz w:val="32"/>
          <w:szCs w:val="32"/>
          <w:lang w:val="zh-CN"/>
        </w:rPr>
        <w:t xml:space="preserve"> km</w:t>
      </w:r>
      <w:r>
        <w:rPr>
          <w:rFonts w:hint="eastAsia" w:ascii="仿宋_GB2312" w:hAnsi="仿宋_GB2312" w:eastAsia="仿宋_GB2312" w:cs="仿宋_GB2312"/>
          <w:sz w:val="32"/>
          <w:szCs w:val="32"/>
          <w:vertAlign w:val="superscript"/>
          <w:lang w:val="zh-CN"/>
        </w:rPr>
        <w:t>2</w:t>
      </w:r>
      <w:r>
        <w:rPr>
          <w:rFonts w:hint="eastAsia" w:ascii="仿宋_GB2312" w:hAnsi="仿宋_GB2312" w:eastAsia="仿宋_GB2312" w:cs="仿宋_GB2312"/>
          <w:sz w:val="32"/>
          <w:szCs w:val="32"/>
          <w:lang w:val="zh-CN"/>
        </w:rPr>
        <w:t>。</w:t>
      </w:r>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9" w:name="_Toc113611352"/>
      <w:r>
        <w:rPr>
          <w:rFonts w:hint="eastAsia" w:ascii="仿宋_GB2312" w:hAnsi="仿宋_GB2312" w:eastAsia="仿宋_GB2312" w:cs="仿宋_GB2312"/>
          <w:sz w:val="32"/>
          <w:szCs w:val="32"/>
        </w:rPr>
        <w:t>2. 主要控制因子</w:t>
      </w:r>
      <w:bookmarkEnd w:id="9"/>
    </w:p>
    <w:p>
      <w:pPr>
        <w:keepNext w:val="0"/>
        <w:keepLines w:val="0"/>
        <w:pageBreakBefore w:val="0"/>
        <w:widowControl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sz w:val="32"/>
          <w:szCs w:val="32"/>
        </w:rPr>
      </w:pPr>
      <w:bookmarkStart w:id="10" w:name="_Toc113611353"/>
      <w:r>
        <w:rPr>
          <w:rFonts w:hint="eastAsia" w:ascii="仿宋_GB2312" w:hAnsi="仿宋_GB2312" w:eastAsia="仿宋_GB2312" w:cs="仿宋_GB2312"/>
          <w:sz w:val="32"/>
          <w:szCs w:val="32"/>
          <w:lang w:val="zh-CN"/>
        </w:rPr>
        <w:t>本方案的主要控制因子为总磷（TP），同时统筹兼顾高锰酸盐指数、</w:t>
      </w:r>
      <w:r>
        <w:rPr>
          <w:rFonts w:hint="eastAsia" w:ascii="仿宋_GB2312" w:hAnsi="仿宋_GB2312" w:eastAsia="仿宋_GB2312" w:cs="仿宋_GB2312"/>
          <w:color w:val="000000"/>
          <w:sz w:val="32"/>
          <w:szCs w:val="32"/>
          <w:lang w:val="zh-CN"/>
        </w:rPr>
        <w:t>COD、氨氮和总氮</w:t>
      </w:r>
      <w:r>
        <w:rPr>
          <w:rFonts w:hint="eastAsia" w:ascii="仿宋_GB2312" w:hAnsi="仿宋_GB2312" w:eastAsia="仿宋_GB2312" w:cs="仿宋_GB2312"/>
          <w:sz w:val="32"/>
          <w:szCs w:val="32"/>
          <w:lang w:val="zh-CN"/>
        </w:rPr>
        <w:t>。</w:t>
      </w:r>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预期目标</w:t>
      </w:r>
      <w:bookmarkEnd w:id="10"/>
    </w:p>
    <w:p>
      <w:pPr>
        <w:keepNext w:val="0"/>
        <w:keepLines w:val="0"/>
        <w:pageBreakBefore w:val="0"/>
        <w:widowControl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sz w:val="32"/>
          <w:szCs w:val="32"/>
          <w:lang w:val="zh-CN"/>
        </w:rPr>
      </w:pPr>
      <w:bookmarkStart w:id="11" w:name="_Hlk112917042"/>
      <w:r>
        <w:rPr>
          <w:rFonts w:hint="eastAsia" w:ascii="仿宋_GB2312" w:hAnsi="仿宋_GB2312" w:eastAsia="仿宋_GB2312" w:cs="仿宋_GB2312"/>
          <w:sz w:val="32"/>
          <w:szCs w:val="32"/>
          <w:lang w:val="zh-CN"/>
        </w:rPr>
        <w:t>到2025年，扣除自然因素，金溪咀刘家断面TP浓度≤0.0</w:t>
      </w:r>
      <w:r>
        <w:rPr>
          <w:rFonts w:hint="eastAsia" w:ascii="仿宋_GB2312" w:hAnsi="仿宋_GB2312" w:eastAsia="仿宋_GB2312" w:cs="仿宋_GB2312"/>
          <w:sz w:val="32"/>
          <w:szCs w:val="32"/>
          <w:lang w:val="en-US"/>
        </w:rPr>
        <w:t>7</w:t>
      </w:r>
      <w:r>
        <w:rPr>
          <w:rFonts w:hint="eastAsia" w:ascii="仿宋_GB2312" w:hAnsi="仿宋_GB2312" w:eastAsia="仿宋_GB2312" w:cs="仿宋_GB2312"/>
          <w:sz w:val="32"/>
          <w:szCs w:val="32"/>
          <w:lang w:val="zh-CN"/>
        </w:rPr>
        <w:t>mg/L，其余指标达到</w:t>
      </w:r>
      <w:r>
        <w:rPr>
          <w:rFonts w:hint="eastAsia" w:ascii="仿宋_GB2312" w:hAnsi="仿宋_GB2312" w:eastAsia="仿宋_GB2312" w:cs="仿宋_GB2312"/>
          <w:bCs/>
          <w:sz w:val="32"/>
          <w:szCs w:val="32"/>
        </w:rPr>
        <w:t>《地表水环境质量标准（GB3838-2002）》的</w:t>
      </w:r>
      <w:r>
        <w:rPr>
          <w:rFonts w:hint="eastAsia" w:ascii="仿宋_GB2312" w:hAnsi="仿宋_GB2312" w:eastAsia="仿宋_GB2312" w:cs="仿宋_GB2312"/>
          <w:sz w:val="32"/>
          <w:szCs w:val="32"/>
          <w:lang w:val="zh-CN"/>
        </w:rPr>
        <w:t>湖库Ⅲ类水质标准；力争达到湖库Ⅲ类水质标准。</w:t>
      </w:r>
    </w:p>
    <w:bookmarkEnd w:id="11"/>
    <w:p>
      <w:pPr>
        <w:pStyle w:val="2"/>
        <w:keepNext w:val="0"/>
        <w:keepLines w:val="0"/>
        <w:pageBreakBefore w:val="0"/>
        <w:widowControl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sz w:val="32"/>
          <w:szCs w:val="32"/>
        </w:rPr>
      </w:pPr>
      <w:bookmarkStart w:id="12" w:name="_Toc113611354"/>
      <w:r>
        <w:rPr>
          <w:rFonts w:hint="eastAsia" w:ascii="黑体" w:hAnsi="黑体" w:eastAsia="黑体" w:cs="黑体"/>
          <w:b w:val="0"/>
          <w:bCs w:val="0"/>
          <w:sz w:val="32"/>
          <w:szCs w:val="32"/>
        </w:rPr>
        <w:t>二、流域概况及水环境质量现状</w:t>
      </w:r>
      <w:bookmarkEnd w:id="12"/>
    </w:p>
    <w:p>
      <w:pPr>
        <w:pStyle w:val="3"/>
        <w:keepNext w:val="0"/>
        <w:keepLines w:val="0"/>
        <w:pageBreakBefore w:val="0"/>
        <w:widowControl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楷体_GB2312" w:hAnsi="楷体_GB2312" w:eastAsia="楷体_GB2312" w:cs="楷体_GB2312"/>
          <w:sz w:val="32"/>
          <w:szCs w:val="32"/>
        </w:rPr>
      </w:pPr>
      <w:bookmarkStart w:id="13" w:name="_Toc113611355"/>
      <w:r>
        <w:rPr>
          <w:rFonts w:hint="eastAsia" w:ascii="楷体_GB2312" w:hAnsi="楷体_GB2312" w:eastAsia="楷体_GB2312" w:cs="楷体_GB2312"/>
          <w:sz w:val="32"/>
          <w:szCs w:val="32"/>
        </w:rPr>
        <w:t>（一）流域概况</w:t>
      </w:r>
      <w:bookmarkEnd w:id="13"/>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14" w:name="_Toc113611356"/>
      <w:bookmarkStart w:id="15" w:name="_Toc94909189"/>
      <w:r>
        <w:rPr>
          <w:rFonts w:hint="eastAsia" w:ascii="仿宋_GB2312" w:hAnsi="仿宋_GB2312" w:eastAsia="仿宋_GB2312" w:cs="仿宋_GB2312"/>
          <w:sz w:val="32"/>
          <w:szCs w:val="32"/>
        </w:rPr>
        <w:t>1.流域概况</w:t>
      </w:r>
      <w:bookmarkEnd w:id="14"/>
      <w:bookmarkEnd w:id="15"/>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16" w:name="_Toc94909190"/>
      <w:r>
        <w:rPr>
          <w:rFonts w:hint="eastAsia" w:ascii="仿宋_GB2312" w:hAnsi="仿宋_GB2312" w:eastAsia="仿宋_GB2312" w:cs="仿宋_GB2312"/>
          <w:sz w:val="32"/>
          <w:szCs w:val="32"/>
        </w:rPr>
        <w:t>1.1 地理位置</w:t>
      </w:r>
    </w:p>
    <w:p>
      <w:pPr>
        <w:pStyle w:val="262"/>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金溪咀刘家断面位于南昌市进贤县三里乡，坐标为116°19'21"，28°42'37"，为国考鄱阳湖断面，断面地处抚河西支汇入金溪湖和鄱阳湖的三角洲前缘，是抚河西支河口与鄱阳湖水体之间的季节性涨落滩区核心区。</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 河流水系</w:t>
      </w:r>
      <w:bookmarkEnd w:id="16"/>
    </w:p>
    <w:p>
      <w:pPr>
        <w:keepNext w:val="0"/>
        <w:keepLines w:val="0"/>
        <w:pageBreakBefore w:val="0"/>
        <w:widowControl w:val="0"/>
        <w:kinsoku/>
        <w:wordWrap/>
        <w:overflowPunct/>
        <w:topLinePunct w:val="0"/>
        <w:autoSpaceDE/>
        <w:bidi w:val="0"/>
        <w:adjustRightIn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抚河下游东出赣抚平原，至箭江口分为东、西两支，东支为主流，经梁家渡下泄入青岚湖；西支为次，经新联断面，由金溪湖季节性联通鄱阳湖。金溪湖在江西省进贤县北端，北为南昌县，抚河下游尾闾。南与陈家湖，西与军山湖、青岚湖等湖泊相通。湖岸海拔24m。南北长16km，东西最大宽度13km，面积约65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，平均水深1.3～1.7m。</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17" w:name="_Toc94909191"/>
      <w:r>
        <w:rPr>
          <w:rFonts w:hint="eastAsia" w:ascii="仿宋_GB2312" w:hAnsi="仿宋_GB2312" w:eastAsia="仿宋_GB2312" w:cs="仿宋_GB2312"/>
          <w:sz w:val="32"/>
          <w:szCs w:val="32"/>
        </w:rPr>
        <w:t>1.3 水文水情</w:t>
      </w:r>
      <w:bookmarkEnd w:id="17"/>
    </w:p>
    <w:p>
      <w:pPr>
        <w:keepNext w:val="0"/>
        <w:keepLines w:val="0"/>
        <w:pageBreakBefore w:val="0"/>
        <w:widowControl w:val="0"/>
        <w:kinsoku/>
        <w:wordWrap/>
        <w:overflowPunct/>
        <w:topLinePunct w:val="0"/>
        <w:autoSpaceDE/>
        <w:bidi w:val="0"/>
        <w:adjustRightIn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进贤县地表水资源较为丰富，抚河多年平均过境水量为139亿m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/a，信江在余干的八字嘴附近分为两支，主支流经余干西北部与进贤边界再至瑞洪、康山注入鄱阳湖，其总水量在80亿m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/a以上。其他水资源有湖泊、水库等，其中军山湖、青岚湖、陈家湖等几个主要湖泊的蓄水量在8.3亿m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以上。进贤县多年平均降水量为1587mm，年径流量达13.7亿m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w:t>
      </w:r>
      <w:bookmarkStart w:id="18" w:name="_Hlk112435942"/>
      <w:r>
        <w:rPr>
          <w:rFonts w:hint="eastAsia" w:ascii="仿宋_GB2312" w:hAnsi="仿宋_GB2312" w:eastAsia="仿宋_GB2312" w:cs="仿宋_GB2312"/>
          <w:sz w:val="32"/>
          <w:szCs w:val="32"/>
        </w:rPr>
        <w:t>近年来，鄱阳湖枯水期大大提前，导致金溪咀刘家断面的枯水断流时间不断增加。2018年9月17日、2019年9月10日连续两年刷新进入枯水期最早时间，而2022年8月6日就进入枯水期，成为1951年有记录以来最早进入枯水期的年份，同期金溪咀刘家成为断流滩涂。</w:t>
      </w:r>
    </w:p>
    <w:bookmarkEnd w:id="18"/>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19" w:name="_Toc94909192"/>
      <w:r>
        <w:rPr>
          <w:rFonts w:hint="eastAsia" w:ascii="仿宋_GB2312" w:hAnsi="仿宋_GB2312" w:eastAsia="仿宋_GB2312" w:cs="仿宋_GB2312"/>
          <w:sz w:val="32"/>
          <w:szCs w:val="32"/>
        </w:rPr>
        <w:t>1.4 地形地貌</w:t>
      </w:r>
      <w:bookmarkEnd w:id="19"/>
    </w:p>
    <w:p>
      <w:pPr>
        <w:keepNext w:val="0"/>
        <w:keepLines w:val="0"/>
        <w:pageBreakBefore w:val="0"/>
        <w:widowControl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鄱阳湖是一个浅水湖泊，地势平坦，微地形复杂。湖盆由河道、碟形湖、圩堤、岛屿、洲滩、汊港组成。“湖中有湖”是鄱阳湖最具特色的地理特征。在泥沙淤积的作用下，赣、抚、信、饶、修五河进入鄱阳湖时，由于泥沙沉积，形成入湖河口三角洲。三角洲之上，泥沙沉积在主流两侧，自然形成浅碟形洼地。金溪咀刘家断面所在的金溪湖湖底浅平，部分湖底裸露成丘。2022年8月枯水期提前到来，金溪咀刘家断面处平均水位不足0.22m（江西省水文监测中心）。</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20" w:name="_Toc94909193"/>
      <w:r>
        <w:rPr>
          <w:rFonts w:hint="eastAsia" w:ascii="仿宋_GB2312" w:hAnsi="仿宋_GB2312" w:eastAsia="仿宋_GB2312" w:cs="仿宋_GB2312"/>
          <w:sz w:val="32"/>
          <w:szCs w:val="32"/>
        </w:rPr>
        <w:t>1.5 土壤特征</w:t>
      </w:r>
      <w:bookmarkEnd w:id="20"/>
    </w:p>
    <w:p>
      <w:pPr>
        <w:pStyle w:val="262"/>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溪湖沿岸主要土壤类型为红壤，周边为连绵的红壤低丘岗地，分布广、面积大。第四纪红色黏土组成的湖滨岗地中，厚层红壤或受到剧烈侵蚀的红壤，集中成片分布于三里、梅庄、二塘、南台、前坊等乡镇的滨湖地区。</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21" w:name="_Toc94909194"/>
      <w:r>
        <w:rPr>
          <w:rFonts w:hint="eastAsia" w:ascii="仿宋_GB2312" w:hAnsi="仿宋_GB2312" w:eastAsia="仿宋_GB2312" w:cs="仿宋_GB2312"/>
          <w:sz w:val="32"/>
          <w:szCs w:val="32"/>
        </w:rPr>
        <w:t>1.6 气象气候</w:t>
      </w:r>
      <w:bookmarkEnd w:id="21"/>
    </w:p>
    <w:p>
      <w:pPr>
        <w:keepNext w:val="0"/>
        <w:keepLines w:val="0"/>
        <w:pageBreakBefore w:val="0"/>
        <w:widowControl w:val="0"/>
        <w:kinsoku/>
        <w:wordWrap/>
        <w:overflowPunct/>
        <w:topLinePunct w:val="0"/>
        <w:autoSpaceDE/>
        <w:bidi w:val="0"/>
        <w:adjustRightIn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断面汇水区域属于亚热带暖湿型季风气候，雨量充沛，无霜期长，四季分明。湖区年平均气温为17.7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，极端最高气温为40.5℃；极端最低气温为零下12.1℃。年降雨量1600-1700mm，年平均相对湿度为78.5%。</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 行政区划和人口</w:t>
      </w:r>
    </w:p>
    <w:p>
      <w:pPr>
        <w:pStyle w:val="262"/>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金溪咀刘家断面汇水范围主要包括进贤县三里乡、梅庄镇、七里乡、二塘乡、南台乡、池溪乡、钟陵乡和三阳集乡共8个乡镇，共涉及98个行政村。据2020年统计数据，三里乡</w:t>
      </w:r>
      <w:r>
        <w:rPr>
          <w:rFonts w:hint="eastAsia" w:ascii="仿宋_GB2312" w:hAnsi="仿宋_GB2312" w:eastAsia="仿宋_GB2312" w:cs="仿宋_GB2312"/>
          <w:color w:val="000000"/>
          <w:sz w:val="32"/>
          <w:szCs w:val="32"/>
        </w:rPr>
        <w:t>47489人</w:t>
      </w:r>
      <w:r>
        <w:rPr>
          <w:rFonts w:hint="eastAsia" w:ascii="仿宋_GB2312" w:hAnsi="仿宋_GB2312" w:eastAsia="仿宋_GB2312" w:cs="仿宋_GB2312"/>
          <w:sz w:val="32"/>
          <w:szCs w:val="32"/>
        </w:rPr>
        <w:t>、梅庄镇</w:t>
      </w:r>
      <w:r>
        <w:rPr>
          <w:rFonts w:hint="eastAsia" w:ascii="仿宋_GB2312" w:hAnsi="仿宋_GB2312" w:eastAsia="仿宋_GB2312" w:cs="仿宋_GB2312"/>
          <w:color w:val="000000"/>
          <w:sz w:val="32"/>
          <w:szCs w:val="32"/>
        </w:rPr>
        <w:t>38907人</w:t>
      </w:r>
      <w:r>
        <w:rPr>
          <w:rFonts w:hint="eastAsia" w:ascii="仿宋_GB2312" w:hAnsi="仿宋_GB2312" w:eastAsia="仿宋_GB2312" w:cs="仿宋_GB2312"/>
          <w:sz w:val="32"/>
          <w:szCs w:val="32"/>
        </w:rPr>
        <w:t>、七里乡</w:t>
      </w:r>
      <w:r>
        <w:rPr>
          <w:rFonts w:hint="eastAsia" w:ascii="仿宋_GB2312" w:hAnsi="仿宋_GB2312" w:eastAsia="仿宋_GB2312" w:cs="仿宋_GB2312"/>
          <w:color w:val="000000"/>
          <w:sz w:val="32"/>
          <w:szCs w:val="32"/>
        </w:rPr>
        <w:t>35946人</w:t>
      </w:r>
      <w:r>
        <w:rPr>
          <w:rFonts w:hint="eastAsia" w:ascii="仿宋_GB2312" w:hAnsi="仿宋_GB2312" w:eastAsia="仿宋_GB2312" w:cs="仿宋_GB2312"/>
          <w:sz w:val="32"/>
          <w:szCs w:val="32"/>
        </w:rPr>
        <w:t>、二塘乡</w:t>
      </w:r>
      <w:r>
        <w:rPr>
          <w:rFonts w:hint="eastAsia" w:ascii="仿宋_GB2312" w:hAnsi="仿宋_GB2312" w:eastAsia="仿宋_GB2312" w:cs="仿宋_GB2312"/>
          <w:color w:val="000000"/>
          <w:sz w:val="32"/>
          <w:szCs w:val="32"/>
        </w:rPr>
        <w:t>16848人</w:t>
      </w:r>
      <w:r>
        <w:rPr>
          <w:rFonts w:hint="eastAsia" w:ascii="仿宋_GB2312" w:hAnsi="仿宋_GB2312" w:eastAsia="仿宋_GB2312" w:cs="仿宋_GB2312"/>
          <w:sz w:val="32"/>
          <w:szCs w:val="32"/>
        </w:rPr>
        <w:t>、南台乡</w:t>
      </w:r>
      <w:r>
        <w:rPr>
          <w:rFonts w:hint="eastAsia" w:ascii="仿宋_GB2312" w:hAnsi="仿宋_GB2312" w:eastAsia="仿宋_GB2312" w:cs="仿宋_GB2312"/>
          <w:color w:val="000000"/>
          <w:sz w:val="32"/>
          <w:szCs w:val="32"/>
        </w:rPr>
        <w:t>21392人</w:t>
      </w:r>
      <w:r>
        <w:rPr>
          <w:rFonts w:hint="eastAsia" w:ascii="仿宋_GB2312" w:hAnsi="仿宋_GB2312" w:eastAsia="仿宋_GB2312" w:cs="仿宋_GB2312"/>
          <w:sz w:val="32"/>
          <w:szCs w:val="32"/>
        </w:rPr>
        <w:t>、池溪乡</w:t>
      </w:r>
      <w:r>
        <w:rPr>
          <w:rFonts w:hint="eastAsia" w:ascii="仿宋_GB2312" w:hAnsi="仿宋_GB2312" w:eastAsia="仿宋_GB2312" w:cs="仿宋_GB2312"/>
          <w:color w:val="000000"/>
          <w:sz w:val="32"/>
          <w:szCs w:val="32"/>
        </w:rPr>
        <w:t>26498人</w:t>
      </w:r>
      <w:r>
        <w:rPr>
          <w:rFonts w:hint="eastAsia" w:ascii="仿宋_GB2312" w:hAnsi="仿宋_GB2312" w:eastAsia="仿宋_GB2312" w:cs="仿宋_GB2312"/>
          <w:sz w:val="32"/>
          <w:szCs w:val="32"/>
        </w:rPr>
        <w:t>、钟陵乡</w:t>
      </w:r>
      <w:r>
        <w:rPr>
          <w:rFonts w:hint="eastAsia" w:ascii="仿宋_GB2312" w:hAnsi="仿宋_GB2312" w:eastAsia="仿宋_GB2312" w:cs="仿宋_GB2312"/>
          <w:color w:val="000000"/>
          <w:sz w:val="32"/>
          <w:szCs w:val="32"/>
        </w:rPr>
        <w:t>29623人</w:t>
      </w:r>
      <w:r>
        <w:rPr>
          <w:rFonts w:hint="eastAsia" w:ascii="仿宋_GB2312" w:hAnsi="仿宋_GB2312" w:eastAsia="仿宋_GB2312" w:cs="仿宋_GB2312"/>
          <w:sz w:val="32"/>
          <w:szCs w:val="32"/>
        </w:rPr>
        <w:t>和三阳集乡</w:t>
      </w:r>
      <w:r>
        <w:rPr>
          <w:rFonts w:hint="eastAsia" w:ascii="仿宋_GB2312" w:hAnsi="仿宋_GB2312" w:eastAsia="仿宋_GB2312" w:cs="仿宋_GB2312"/>
          <w:color w:val="000000"/>
          <w:sz w:val="32"/>
          <w:szCs w:val="32"/>
        </w:rPr>
        <w:t>34919人，</w:t>
      </w:r>
      <w:r>
        <w:rPr>
          <w:rFonts w:hint="eastAsia" w:ascii="仿宋_GB2312" w:hAnsi="仿宋_GB2312" w:eastAsia="仿宋_GB2312" w:cs="仿宋_GB2312"/>
          <w:sz w:val="32"/>
          <w:szCs w:val="32"/>
        </w:rPr>
        <w:t>共25万人。</w:t>
      </w:r>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22" w:name="_Toc113611357"/>
      <w:r>
        <w:rPr>
          <w:rFonts w:hint="eastAsia" w:ascii="仿宋_GB2312" w:hAnsi="仿宋_GB2312" w:eastAsia="仿宋_GB2312" w:cs="仿宋_GB2312"/>
          <w:sz w:val="32"/>
          <w:szCs w:val="32"/>
        </w:rPr>
        <w:t>2.断面汇水范围</w:t>
      </w:r>
      <w:bookmarkEnd w:id="22"/>
    </w:p>
    <w:p>
      <w:pPr>
        <w:pStyle w:val="262"/>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b/>
          <w:bCs/>
          <w:sz w:val="32"/>
          <w:szCs w:val="32"/>
        </w:rPr>
      </w:pPr>
      <w:bookmarkStart w:id="23" w:name="_Hlk91680417"/>
      <w:r>
        <w:rPr>
          <w:rFonts w:hint="eastAsia" w:ascii="仿宋_GB2312" w:hAnsi="仿宋_GB2312" w:eastAsia="仿宋_GB2312" w:cs="仿宋_GB2312"/>
          <w:sz w:val="32"/>
          <w:szCs w:val="32"/>
        </w:rPr>
        <w:t>金溪咀刘家断面汇水范围主要包括三里乡、梅庄镇、七里乡、二塘乡、南台乡、池溪乡、钟陵乡和三阳集乡，汇水范围面积为734.23km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w:t>
      </w:r>
    </w:p>
    <w:p>
      <w:pPr>
        <w:pStyle w:val="3"/>
        <w:keepNext w:val="0"/>
        <w:keepLines w:val="0"/>
        <w:pageBreakBefore w:val="0"/>
        <w:widowControl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楷体_GB2312" w:hAnsi="楷体_GB2312" w:eastAsia="楷体_GB2312" w:cs="楷体_GB2312"/>
          <w:sz w:val="32"/>
          <w:szCs w:val="32"/>
        </w:rPr>
      </w:pPr>
      <w:bookmarkStart w:id="24" w:name="_Toc113611358"/>
      <w:r>
        <w:rPr>
          <w:rFonts w:hint="eastAsia" w:ascii="楷体_GB2312" w:hAnsi="楷体_GB2312" w:eastAsia="楷体_GB2312" w:cs="楷体_GB2312"/>
          <w:sz w:val="32"/>
          <w:szCs w:val="32"/>
        </w:rPr>
        <w:t>（二）断面水质变化情况分析</w:t>
      </w:r>
      <w:bookmarkEnd w:id="24"/>
    </w:p>
    <w:bookmarkEnd w:id="3"/>
    <w:bookmarkEnd w:id="4"/>
    <w:bookmarkEnd w:id="23"/>
    <w:p>
      <w:pPr>
        <w:pStyle w:val="262"/>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color w:val="auto"/>
          <w:sz w:val="32"/>
          <w:szCs w:val="32"/>
        </w:rPr>
      </w:pPr>
      <w:bookmarkStart w:id="25" w:name="_Hlk91665576"/>
      <w:r>
        <w:rPr>
          <w:rFonts w:hint="eastAsia" w:ascii="仿宋_GB2312" w:hAnsi="仿宋_GB2312" w:eastAsia="仿宋_GB2312" w:cs="仿宋_GB2312"/>
          <w:sz w:val="32"/>
          <w:szCs w:val="32"/>
        </w:rPr>
        <w:t>从近年监测数据分析来看，金溪咀刘家断面不能稳定达到湖库Ⅲ类水质标准（附图2）。TP浓度在2020年1-3月达到了0.17mg/L，2020年全年有6个月的时间超过了Ⅲ类标准（0.075mg/L）。TP在2021年有8个月超过了Ⅲ类水质标准（0.075mg/L），枯水期超标情况最为明显，超标倍数达到0.73倍。TP为断面水质不达标的关键因子。其次</w:t>
      </w:r>
      <w:r>
        <w:rPr>
          <w:rFonts w:hint="eastAsia" w:ascii="仿宋_GB2312" w:hAnsi="仿宋_GB2312" w:eastAsia="仿宋_GB2312" w:cs="仿宋_GB2312"/>
          <w:color w:val="auto"/>
          <w:sz w:val="32"/>
          <w:szCs w:val="32"/>
        </w:rPr>
        <w:t>为化学需氧量（COD）指标，在2020年5月超过Ⅲ类水质标准（20mg/L），超标倍数为0.4倍。</w:t>
      </w:r>
      <w:r>
        <w:rPr>
          <w:rFonts w:hint="eastAsia" w:ascii="仿宋_GB2312" w:hAnsi="仿宋_GB2312" w:eastAsia="仿宋_GB2312" w:cs="仿宋_GB2312"/>
          <w:color w:val="auto"/>
          <w:sz w:val="32"/>
          <w:szCs w:val="32"/>
          <w:shd w:val="clear" w:color="auto" w:fill="FFFFFF"/>
        </w:rPr>
        <w:t>总体来说，</w:t>
      </w:r>
      <w:r>
        <w:rPr>
          <w:rFonts w:hint="eastAsia" w:ascii="仿宋_GB2312" w:hAnsi="仿宋_GB2312" w:eastAsia="仿宋_GB2312" w:cs="仿宋_GB2312"/>
          <w:color w:val="auto"/>
          <w:sz w:val="32"/>
          <w:szCs w:val="32"/>
        </w:rPr>
        <w:t>金溪咀刘家断面水质TP在退水期和枯水期出现超标现象，超标因子为TP（水期划分依据为2018-2021年南矶山和外洲水文站水位变化趋势，并参考同期鄱阳湖星子站，表2.2-1），其他指标总体能达到地表</w:t>
      </w:r>
      <w:r>
        <w:rPr>
          <w:rFonts w:hint="eastAsia" w:ascii="仿宋_GB2312" w:hAnsi="仿宋_GB2312" w:eastAsia="仿宋_GB2312" w:cs="仿宋_GB2312"/>
          <w:sz w:val="32"/>
          <w:szCs w:val="32"/>
        </w:rPr>
        <w:t>Ⅲ</w:t>
      </w:r>
      <w:r>
        <w:rPr>
          <w:rFonts w:hint="eastAsia" w:ascii="仿宋_GB2312" w:hAnsi="仿宋_GB2312" w:eastAsia="仿宋_GB2312" w:cs="仿宋_GB2312"/>
          <w:color w:val="auto"/>
          <w:sz w:val="32"/>
          <w:szCs w:val="32"/>
        </w:rPr>
        <w:t>类。在退水期随着金溪咀刘家断面区域逐渐成为滩涂，断面水质随即大概率出现TP等指标超标现象。枯水期彻底断流后，根据现有断面考核规定，采用最后一次监测结果作为整个枯水期水质，导致枯水期断面水质主要受到TP限制。</w:t>
      </w:r>
    </w:p>
    <w:p>
      <w:pPr>
        <w:pStyle w:val="14"/>
        <w:rPr>
          <w:rFonts w:hint="eastAsia" w:ascii="仿宋_GB2312" w:hAnsi="仿宋_GB2312" w:eastAsia="仿宋_GB2312" w:cs="仿宋_GB2312"/>
        </w:rPr>
      </w:pPr>
      <w:r>
        <w:rPr>
          <w:rFonts w:hint="eastAsia" w:ascii="仿宋_GB2312" w:hAnsi="仿宋_GB2312" w:eastAsia="仿宋_GB2312" w:cs="仿宋_GB2312"/>
        </w:rPr>
        <w:t>表2.2-1 鄱阳湖南昌湖区水期划分</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505"/>
        <w:gridCol w:w="372"/>
        <w:gridCol w:w="372"/>
        <w:gridCol w:w="373"/>
        <w:gridCol w:w="527"/>
        <w:gridCol w:w="527"/>
        <w:gridCol w:w="527"/>
        <w:gridCol w:w="523"/>
        <w:gridCol w:w="523"/>
        <w:gridCol w:w="523"/>
        <w:gridCol w:w="729"/>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3"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月份</w:t>
            </w:r>
          </w:p>
        </w:tc>
        <w:tc>
          <w:tcPr>
            <w:tcW w:w="296"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218"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18"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18"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309"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309"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309"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307"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307"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07"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28"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20"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3"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水期</w:t>
            </w:r>
          </w:p>
        </w:tc>
        <w:tc>
          <w:tcPr>
            <w:tcW w:w="951" w:type="pct"/>
            <w:gridSpan w:val="4"/>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枯水期</w:t>
            </w:r>
          </w:p>
        </w:tc>
        <w:tc>
          <w:tcPr>
            <w:tcW w:w="926" w:type="pct"/>
            <w:gridSpan w:val="3"/>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涨水期</w:t>
            </w:r>
          </w:p>
        </w:tc>
        <w:tc>
          <w:tcPr>
            <w:tcW w:w="921" w:type="pct"/>
            <w:gridSpan w:val="3"/>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洪水期</w:t>
            </w:r>
          </w:p>
        </w:tc>
        <w:tc>
          <w:tcPr>
            <w:tcW w:w="848" w:type="pct"/>
            <w:gridSpan w:val="2"/>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退水期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3" w:type="pct"/>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星子站水位（m）</w:t>
            </w:r>
          </w:p>
        </w:tc>
        <w:tc>
          <w:tcPr>
            <w:tcW w:w="951" w:type="pct"/>
            <w:gridSpan w:val="4"/>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7.54</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13.87</w:t>
            </w:r>
          </w:p>
        </w:tc>
        <w:tc>
          <w:tcPr>
            <w:tcW w:w="926" w:type="pct"/>
            <w:gridSpan w:val="3"/>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10.78</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18.42</w:t>
            </w:r>
          </w:p>
        </w:tc>
        <w:tc>
          <w:tcPr>
            <w:tcW w:w="921" w:type="pct"/>
            <w:gridSpan w:val="3"/>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11.68</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21.05</w:t>
            </w:r>
          </w:p>
        </w:tc>
        <w:tc>
          <w:tcPr>
            <w:tcW w:w="848" w:type="pct"/>
            <w:gridSpan w:val="2"/>
            <w:vAlign w:val="bottom"/>
          </w:tcPr>
          <w:p>
            <w:pPr>
              <w:pStyle w:val="262"/>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9.14</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16.86</w:t>
            </w:r>
          </w:p>
        </w:tc>
      </w:tr>
    </w:tbl>
    <w:p>
      <w:pPr>
        <w:pStyle w:val="2"/>
        <w:keepNext w:val="0"/>
        <w:keepLines w:val="0"/>
        <w:pageBreakBefore w:val="0"/>
        <w:widowControl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sz w:val="32"/>
          <w:szCs w:val="32"/>
        </w:rPr>
      </w:pPr>
      <w:bookmarkStart w:id="26" w:name="_Toc113611359"/>
      <w:r>
        <w:rPr>
          <w:rFonts w:hint="eastAsia" w:ascii="黑体" w:hAnsi="黑体" w:eastAsia="黑体" w:cs="黑体"/>
          <w:b w:val="0"/>
          <w:bCs w:val="0"/>
          <w:sz w:val="32"/>
          <w:szCs w:val="32"/>
        </w:rPr>
        <w:t>三、断面污染源调查及主要水环境问题识别</w:t>
      </w:r>
      <w:bookmarkEnd w:id="26"/>
    </w:p>
    <w:bookmarkEnd w:id="25"/>
    <w:p>
      <w:pPr>
        <w:pStyle w:val="3"/>
        <w:keepNext w:val="0"/>
        <w:keepLines w:val="0"/>
        <w:pageBreakBefore w:val="0"/>
        <w:widowControl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楷体_GB2312" w:hAnsi="楷体_GB2312" w:eastAsia="楷体_GB2312" w:cs="楷体_GB2312"/>
          <w:sz w:val="32"/>
          <w:szCs w:val="32"/>
        </w:rPr>
      </w:pPr>
      <w:bookmarkStart w:id="27" w:name="_Toc113611360"/>
      <w:r>
        <w:rPr>
          <w:rFonts w:hint="eastAsia" w:ascii="楷体_GB2312" w:hAnsi="楷体_GB2312" w:eastAsia="楷体_GB2312" w:cs="楷体_GB2312"/>
          <w:sz w:val="32"/>
          <w:szCs w:val="32"/>
        </w:rPr>
        <w:t>（一）污染源现状调查</w:t>
      </w:r>
      <w:bookmarkEnd w:id="27"/>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sz w:val="32"/>
          <w:szCs w:val="32"/>
        </w:rPr>
      </w:pPr>
      <w:bookmarkStart w:id="28" w:name="_Toc113611361"/>
      <w:r>
        <w:rPr>
          <w:rFonts w:hint="eastAsia" w:ascii="仿宋_GB2312" w:hAnsi="仿宋_GB2312" w:eastAsia="仿宋_GB2312" w:cs="仿宋_GB2312"/>
          <w:sz w:val="32"/>
          <w:szCs w:val="32"/>
        </w:rPr>
        <w:t>1.入湖排口污染</w:t>
      </w:r>
      <w:bookmarkEnd w:id="28"/>
      <w:r>
        <w:rPr>
          <w:rFonts w:hint="eastAsia" w:ascii="仿宋_GB2312" w:hAnsi="仿宋_GB2312" w:eastAsia="仿宋_GB2312" w:cs="仿宋_GB2312"/>
          <w:sz w:val="32"/>
          <w:szCs w:val="32"/>
        </w:rPr>
        <w:t>源</w:t>
      </w:r>
    </w:p>
    <w:p>
      <w:pPr>
        <w:pStyle w:val="262"/>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2021年12月、2022年6月对</w:t>
      </w:r>
      <w:r>
        <w:rPr>
          <w:rFonts w:hint="eastAsia" w:ascii="仿宋_GB2312" w:hAnsi="仿宋_GB2312" w:eastAsia="仿宋_GB2312" w:cs="仿宋_GB2312"/>
          <w:color w:val="auto"/>
          <w:sz w:val="32"/>
          <w:szCs w:val="32"/>
        </w:rPr>
        <w:t>金溪咀刘家断面涉及的入湖</w:t>
      </w:r>
      <w:r>
        <w:rPr>
          <w:rFonts w:hint="eastAsia" w:ascii="仿宋_GB2312" w:hAnsi="仿宋_GB2312" w:eastAsia="仿宋_GB2312" w:cs="仿宋_GB2312"/>
          <w:color w:val="auto"/>
          <w:sz w:val="32"/>
          <w:szCs w:val="32"/>
          <w:lang w:val="zh-CN"/>
        </w:rPr>
        <w:t>排口进行调查，共发现入湖排口28个（附图3），其中城镇雨洪排口14个、农业农村排口9个、城镇生活污水排口5个，规模以上排口6个。</w:t>
      </w:r>
    </w:p>
    <w:p>
      <w:pPr>
        <w:pStyle w:val="262"/>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2021年枯水期（12月份）采样监测发现，部分排口无水排出，有水排口COD浓度为12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rPr>
        <w:t>42 mg/L、氨氮浓度为0.17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rPr>
        <w:t>3.21 mg/L、TP浓度为0.03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rPr>
        <w:t>0.4 mg/L；丰水期（6月份）采样监测发现，COD浓度为8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rPr>
        <w:t>71 mg/L、氨氮浓度为0.101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rPr>
        <w:t>6.69 mg/L、TP浓度为0.02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rPr>
        <w:t>0.7 mg/L。</w:t>
      </w:r>
    </w:p>
    <w:p>
      <w:pPr>
        <w:pStyle w:val="262"/>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2022年6月丰水期城镇生活污水排口排水COD浓度分别为71、68、26、42、23mg/L，氨氮浓度分别为6.69、6.62、2.19、3.24、0.588mg/L，TP浓度分别为0.7、0.68、0.15、0.43、0.04mg/L。总体来看，城镇生活污水出水口污染物浓度高于其他类型排口。</w:t>
      </w:r>
    </w:p>
    <w:p>
      <w:pPr>
        <w:pStyle w:val="262"/>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表3.1-1 金溪咀刘家断面城镇生活污水排口信息表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583"/>
        <w:gridCol w:w="1418"/>
        <w:gridCol w:w="4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restar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排口编号</w:t>
            </w:r>
          </w:p>
        </w:tc>
        <w:tc>
          <w:tcPr>
            <w:tcW w:w="1761" w:type="pct"/>
            <w:gridSpan w:val="2"/>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排口位置</w:t>
            </w:r>
          </w:p>
        </w:tc>
        <w:tc>
          <w:tcPr>
            <w:tcW w:w="2525" w:type="pct"/>
            <w:vMerge w:val="restar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详细地址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p>
        </w:tc>
        <w:tc>
          <w:tcPr>
            <w:tcW w:w="929"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经度</w:t>
            </w:r>
          </w:p>
        </w:tc>
        <w:tc>
          <w:tcPr>
            <w:tcW w:w="832"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纬度</w:t>
            </w:r>
          </w:p>
        </w:tc>
        <w:tc>
          <w:tcPr>
            <w:tcW w:w="2525" w:type="pct"/>
            <w:vMerge w:val="continue"/>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JX1</w:t>
            </w:r>
          </w:p>
        </w:tc>
        <w:tc>
          <w:tcPr>
            <w:tcW w:w="929"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116.377500</w:t>
            </w:r>
          </w:p>
        </w:tc>
        <w:tc>
          <w:tcPr>
            <w:tcW w:w="832"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28.682778</w:t>
            </w:r>
          </w:p>
        </w:tc>
        <w:tc>
          <w:tcPr>
            <w:tcW w:w="2525"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三里乡三里街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5"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JX2</w:t>
            </w:r>
          </w:p>
        </w:tc>
        <w:tc>
          <w:tcPr>
            <w:tcW w:w="929"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116.375278</w:t>
            </w:r>
          </w:p>
        </w:tc>
        <w:tc>
          <w:tcPr>
            <w:tcW w:w="832"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28.682222</w:t>
            </w:r>
          </w:p>
        </w:tc>
        <w:tc>
          <w:tcPr>
            <w:tcW w:w="2525"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三里乡三里街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JX11</w:t>
            </w:r>
          </w:p>
        </w:tc>
        <w:tc>
          <w:tcPr>
            <w:tcW w:w="929"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116.344919</w:t>
            </w:r>
          </w:p>
        </w:tc>
        <w:tc>
          <w:tcPr>
            <w:tcW w:w="832"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28.688100</w:t>
            </w:r>
          </w:p>
        </w:tc>
        <w:tc>
          <w:tcPr>
            <w:tcW w:w="2525"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三里乡军山湖服务区南区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JX12</w:t>
            </w:r>
          </w:p>
        </w:tc>
        <w:tc>
          <w:tcPr>
            <w:tcW w:w="929"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116.348850</w:t>
            </w:r>
          </w:p>
        </w:tc>
        <w:tc>
          <w:tcPr>
            <w:tcW w:w="832"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28.691058</w:t>
            </w:r>
          </w:p>
        </w:tc>
        <w:tc>
          <w:tcPr>
            <w:tcW w:w="2525"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三里乡军山湖服务区北区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JX20</w:t>
            </w:r>
          </w:p>
        </w:tc>
        <w:tc>
          <w:tcPr>
            <w:tcW w:w="929"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116.309747</w:t>
            </w:r>
          </w:p>
        </w:tc>
        <w:tc>
          <w:tcPr>
            <w:tcW w:w="832"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28.636000</w:t>
            </w:r>
          </w:p>
        </w:tc>
        <w:tc>
          <w:tcPr>
            <w:tcW w:w="2525" w:type="pct"/>
            <w:vAlign w:val="center"/>
          </w:tcPr>
          <w:p>
            <w:pPr>
              <w:pStyle w:val="262"/>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三里乡军山湖居委会污水生化处理站</w:t>
            </w:r>
          </w:p>
        </w:tc>
      </w:tr>
    </w:tbl>
    <w:p>
      <w:pPr>
        <w:pStyle w:val="4"/>
        <w:keepNext w:val="0"/>
        <w:keepLines w:val="0"/>
        <w:pageBreakBefore w:val="0"/>
        <w:numPr>
          <w:ilvl w:val="0"/>
          <w:numId w:val="0"/>
        </w:numPr>
        <w:kinsoku/>
        <w:wordWrap/>
        <w:overflowPunct/>
        <w:topLinePunct w:val="0"/>
        <w:autoSpaceDE/>
        <w:bidi w:val="0"/>
        <w:adjustRightInd/>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29" w:name="_Toc113611362"/>
      <w:bookmarkStart w:id="30" w:name="_Hlk91667698"/>
      <w:r>
        <w:rPr>
          <w:rFonts w:hint="eastAsia" w:ascii="仿宋_GB2312" w:hAnsi="仿宋_GB2312" w:eastAsia="仿宋_GB2312" w:cs="仿宋_GB2312"/>
          <w:sz w:val="32"/>
          <w:szCs w:val="32"/>
        </w:rPr>
        <w:t>2.农业面源污染</w:t>
      </w:r>
      <w:bookmarkEnd w:id="29"/>
      <w:r>
        <w:rPr>
          <w:rFonts w:hint="eastAsia" w:ascii="仿宋_GB2312" w:hAnsi="仿宋_GB2312" w:eastAsia="仿宋_GB2312" w:cs="仿宋_GB2312"/>
          <w:sz w:val="32"/>
          <w:szCs w:val="32"/>
        </w:rPr>
        <w:t>源</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农业包括种植业、畜禽养殖业和水产养殖业。</w:t>
      </w:r>
    </w:p>
    <w:p>
      <w:pPr>
        <w:keepNext w:val="0"/>
        <w:keepLines w:val="0"/>
        <w:pageBreakBefore w:val="0"/>
        <w:kinsoku/>
        <w:wordWrap/>
        <w:overflowPunct/>
        <w:topLinePunct w:val="0"/>
        <w:autoSpaceDE/>
        <w:bidi w:val="0"/>
        <w:adjustRightInd w:val="0"/>
        <w:spacing w:line="560" w:lineRule="exact"/>
        <w:ind w:firstLine="640" w:firstLineChars="200"/>
        <w:jc w:val="both"/>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sz w:val="32"/>
          <w:szCs w:val="32"/>
          <w:lang w:val="zh-CN"/>
        </w:rPr>
        <w:t>断</w:t>
      </w:r>
      <w:r>
        <w:rPr>
          <w:rFonts w:hint="eastAsia" w:ascii="仿宋_GB2312" w:hAnsi="仿宋_GB2312" w:eastAsia="仿宋_GB2312" w:cs="仿宋_GB2312"/>
          <w:color w:val="auto"/>
          <w:sz w:val="32"/>
          <w:szCs w:val="32"/>
          <w:lang w:val="zh-CN"/>
        </w:rPr>
        <w:t>面汇水区范围内耕地面积维持在48万亩左右，作物主要为水稻、玉米和芝麻。化肥（氮、磷、钾和复合肥）施用量约为3.97万t/a，农药（杀虫剂、杀菌剂等）施用量约为221t/a。据测算，农业种植污染物入湖量分别为氨氮29.86t/a、总氮210.05t/a、TP18.65t/a。</w:t>
      </w:r>
    </w:p>
    <w:p>
      <w:pPr>
        <w:keepNext w:val="0"/>
        <w:keepLines w:val="0"/>
        <w:pageBreakBefore w:val="0"/>
        <w:kinsoku/>
        <w:wordWrap/>
        <w:overflowPunct/>
        <w:topLinePunct w:val="0"/>
        <w:autoSpaceDE/>
        <w:bidi w:val="0"/>
        <w:adjustRightInd w:val="0"/>
        <w:spacing w:line="56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猪、牛和鸡是当地畜禽养殖主要对象。根据《第二次全国污染源普查城镇生活源产排污系数手册》，结合进贤县作为全国首批畜禽粪污资源化试点县情况，核算畜禽养殖污染物入湖情况。据测算，汇水区域范围内，畜禽养殖污染物入湖量分别为化学需氧量995.38t/a、氨氮17.82t/a、总氮61.47t/a和TP 11.44t/a。</w:t>
      </w:r>
    </w:p>
    <w:p>
      <w:pPr>
        <w:keepNext w:val="0"/>
        <w:keepLines w:val="0"/>
        <w:pageBreakBefore w:val="0"/>
        <w:kinsoku/>
        <w:wordWrap/>
        <w:overflowPunct/>
        <w:topLinePunct w:val="0"/>
        <w:autoSpaceDE/>
        <w:bidi w:val="0"/>
        <w:adjustRightInd w:val="0"/>
        <w:spacing w:line="56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螃</w:t>
      </w:r>
      <w:r>
        <w:rPr>
          <w:rFonts w:hint="eastAsia" w:ascii="仿宋_GB2312" w:hAnsi="仿宋_GB2312" w:eastAsia="仿宋_GB2312" w:cs="仿宋_GB2312"/>
          <w:color w:val="auto"/>
          <w:sz w:val="32"/>
          <w:szCs w:val="32"/>
          <w:lang w:val="zh-CN"/>
        </w:rPr>
        <w:t>蟹是当地水产养殖的主要品种。基于2020年水产养殖状况，水产养殖污染物入湖量分别为化学需氧量1185.03 t/a、氨氮54.72t/a、总氮172.21t/a和TP31.71t/a。其中三</w:t>
      </w:r>
      <w:r>
        <w:rPr>
          <w:rFonts w:hint="eastAsia" w:ascii="仿宋_GB2312" w:hAnsi="仿宋_GB2312" w:eastAsia="仿宋_GB2312" w:cs="仿宋_GB2312"/>
          <w:sz w:val="32"/>
          <w:szCs w:val="32"/>
          <w:lang w:val="zh-CN"/>
        </w:rPr>
        <w:t>里乡TP释放量最高，达到了8.11t/a。</w:t>
      </w:r>
      <w:bookmarkStart w:id="31" w:name="_Toc113611363"/>
    </w:p>
    <w:p>
      <w:pPr>
        <w:pStyle w:val="4"/>
        <w:keepNext w:val="0"/>
        <w:keepLines w:val="0"/>
        <w:pageBreakBefore w:val="0"/>
        <w:numPr>
          <w:ilvl w:val="0"/>
          <w:numId w:val="0"/>
        </w:numPr>
        <w:kinsoku/>
        <w:wordWrap/>
        <w:overflowPunct/>
        <w:topLinePunct w:val="0"/>
        <w:autoSpaceDE/>
        <w:bidi w:val="0"/>
        <w:adjustRightInd/>
        <w:snapToGrid/>
        <w:spacing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3.生活污染</w:t>
      </w:r>
      <w:bookmarkEnd w:id="31"/>
      <w:r>
        <w:rPr>
          <w:rFonts w:hint="eastAsia" w:ascii="仿宋_GB2312" w:hAnsi="仿宋_GB2312" w:eastAsia="仿宋_GB2312" w:cs="仿宋_GB2312"/>
          <w:sz w:val="32"/>
          <w:szCs w:val="32"/>
        </w:rPr>
        <w:t>源</w:t>
      </w:r>
    </w:p>
    <w:p>
      <w:pPr>
        <w:keepNext w:val="0"/>
        <w:keepLines w:val="0"/>
        <w:pageBreakBefore w:val="0"/>
        <w:kinsoku/>
        <w:wordWrap/>
        <w:overflowPunct/>
        <w:topLinePunct w:val="0"/>
        <w:autoSpaceDE/>
        <w:bidi w:val="0"/>
        <w:adjustRightInd w:val="0"/>
        <w:spacing w:line="560" w:lineRule="exact"/>
        <w:ind w:firstLine="640" w:firstLineChars="200"/>
        <w:jc w:val="both"/>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sz w:val="32"/>
          <w:szCs w:val="32"/>
          <w:lang w:val="zh-CN"/>
        </w:rPr>
        <w:t>金溪咀</w:t>
      </w:r>
      <w:r>
        <w:rPr>
          <w:rFonts w:hint="eastAsia" w:ascii="仿宋_GB2312" w:hAnsi="仿宋_GB2312" w:eastAsia="仿宋_GB2312" w:cs="仿宋_GB2312"/>
          <w:color w:val="auto"/>
          <w:sz w:val="32"/>
          <w:szCs w:val="32"/>
          <w:lang w:val="zh-CN"/>
        </w:rPr>
        <w:t>刘家断面汇水区域居民生活污染物主要来自乡村居民生活用水所产生的污染，涉及进贤三里乡和梅庄镇等8个乡镇。2018至2020年，汇水区域内户籍人口维持在25万左右（常住人口约占户籍人口的70%）。该区域内生活污染物入湖量分别为化学需氧量568.46t/a、氨氮49.93 t/a、总氮89.11t/a和TP6.73t/a。</w:t>
      </w:r>
    </w:p>
    <w:p>
      <w:pPr>
        <w:pStyle w:val="4"/>
        <w:keepNext w:val="0"/>
        <w:keepLines w:val="0"/>
        <w:pageBreakBefore w:val="0"/>
        <w:numPr>
          <w:ilvl w:val="0"/>
          <w:numId w:val="0"/>
        </w:numPr>
        <w:kinsoku/>
        <w:wordWrap/>
        <w:overflowPunct/>
        <w:topLinePunct w:val="0"/>
        <w:autoSpaceDE/>
        <w:bidi w:val="0"/>
        <w:adjustRightInd/>
        <w:snapToGrid/>
        <w:spacing w:line="560" w:lineRule="exact"/>
        <w:ind w:firstLine="642" w:firstLineChars="200"/>
        <w:jc w:val="both"/>
        <w:textAlignment w:val="auto"/>
        <w:rPr>
          <w:rFonts w:hint="eastAsia" w:ascii="仿宋_GB2312" w:hAnsi="仿宋_GB2312" w:eastAsia="仿宋_GB2312" w:cs="仿宋_GB2312"/>
          <w:color w:val="auto"/>
          <w:sz w:val="32"/>
          <w:szCs w:val="32"/>
        </w:rPr>
      </w:pPr>
      <w:bookmarkStart w:id="32" w:name="_Toc113611364"/>
      <w:r>
        <w:rPr>
          <w:rFonts w:hint="eastAsia" w:ascii="仿宋_GB2312" w:hAnsi="仿宋_GB2312" w:eastAsia="仿宋_GB2312" w:cs="仿宋_GB2312"/>
          <w:color w:val="auto"/>
          <w:sz w:val="32"/>
          <w:szCs w:val="32"/>
        </w:rPr>
        <w:t>4.工业</w:t>
      </w:r>
      <w:bookmarkEnd w:id="32"/>
      <w:r>
        <w:rPr>
          <w:rFonts w:hint="eastAsia" w:ascii="仿宋_GB2312" w:hAnsi="仿宋_GB2312" w:eastAsia="仿宋_GB2312" w:cs="仿宋_GB2312"/>
          <w:color w:val="auto"/>
          <w:sz w:val="32"/>
          <w:szCs w:val="32"/>
        </w:rPr>
        <w:t>污染源</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根据进贤县全国第二次污染源普查资料，汇水区域共有工业企业51个（附图4为进贤县主要工业污染源），无中大型企业，小型企业8个，微型企业43个。8个小型企业全部分布在梅庄镇、钟陵</w:t>
      </w:r>
      <w:r>
        <w:rPr>
          <w:rFonts w:hint="eastAsia" w:ascii="仿宋_GB2312" w:hAnsi="仿宋_GB2312" w:eastAsia="仿宋_GB2312" w:cs="仿宋_GB2312"/>
          <w:sz w:val="32"/>
          <w:szCs w:val="32"/>
        </w:rPr>
        <w:t>乡、池溪乡，各乡镇的均有少量微型企业。金溪咀刘家断面汇水区内工业污染</w:t>
      </w:r>
      <w:r>
        <w:rPr>
          <w:rFonts w:hint="eastAsia" w:ascii="仿宋_GB2312" w:hAnsi="仿宋_GB2312" w:eastAsia="仿宋_GB2312" w:cs="仿宋_GB2312"/>
          <w:sz w:val="32"/>
          <w:szCs w:val="32"/>
          <w:lang w:val="zh-CN"/>
        </w:rPr>
        <w:t>入湖量分别为</w:t>
      </w:r>
      <w:r>
        <w:rPr>
          <w:rFonts w:hint="eastAsia" w:ascii="仿宋_GB2312" w:hAnsi="仿宋_GB2312" w:eastAsia="仿宋_GB2312" w:cs="仿宋_GB2312"/>
          <w:sz w:val="32"/>
          <w:szCs w:val="32"/>
        </w:rPr>
        <w:t>COD1.91t/a、氨氮0.05t/a、总氮0.57t/a和TP0.05 t/a。</w:t>
      </w:r>
    </w:p>
    <w:p>
      <w:pPr>
        <w:pStyle w:val="4"/>
        <w:keepNext w:val="0"/>
        <w:keepLines w:val="0"/>
        <w:pageBreakBefore w:val="0"/>
        <w:numPr>
          <w:ilvl w:val="0"/>
          <w:numId w:val="0"/>
        </w:numPr>
        <w:kinsoku/>
        <w:wordWrap/>
        <w:overflowPunct/>
        <w:topLinePunct w:val="0"/>
        <w:autoSpaceDE/>
        <w:bidi w:val="0"/>
        <w:adjustRightInd/>
        <w:snapToGrid/>
        <w:spacing w:line="560" w:lineRule="exact"/>
        <w:ind w:firstLine="642" w:firstLineChars="200"/>
        <w:jc w:val="both"/>
        <w:textAlignment w:val="auto"/>
        <w:rPr>
          <w:rFonts w:hint="eastAsia" w:ascii="仿宋_GB2312" w:hAnsi="仿宋_GB2312" w:eastAsia="仿宋_GB2312" w:cs="仿宋_GB2312"/>
          <w:sz w:val="32"/>
          <w:szCs w:val="32"/>
        </w:rPr>
      </w:pPr>
      <w:bookmarkStart w:id="33" w:name="_Toc113611365"/>
      <w:r>
        <w:rPr>
          <w:rFonts w:hint="eastAsia" w:ascii="仿宋_GB2312" w:hAnsi="仿宋_GB2312" w:eastAsia="仿宋_GB2312" w:cs="仿宋_GB2312"/>
          <w:sz w:val="32"/>
          <w:szCs w:val="32"/>
        </w:rPr>
        <w:t>5.其它污染源</w:t>
      </w:r>
      <w:bookmarkEnd w:id="33"/>
    </w:p>
    <w:bookmarkEnd w:id="30"/>
    <w:p>
      <w:pPr>
        <w:pStyle w:val="5"/>
        <w:keepNext w:val="0"/>
        <w:keepLines w:val="0"/>
        <w:pageBreakBefore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 底泥释放</w:t>
      </w:r>
    </w:p>
    <w:p>
      <w:pPr>
        <w:keepNext w:val="0"/>
        <w:keepLines w:val="0"/>
        <w:pageBreakBefore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为了准确判断金溪湖沉积物对断面水质的内源污染贡献量，2022年7月项目组对金溪湖开展了沉积物柱状样采样分析。底泥基本为固态，表层TP普遍最高，随深度TP含量降低。底泥总氮含量空间分布规律与TP含量相反，总体表现为表层TN低，随深度TN含量增加。底泥总有机质含量空间分布规律与总氮含量基本一致。底泥总硫含量空间分布规律与TP含量基本一致。根据不同点位的底泥污染释放通量观测结果核算，底泥污染物负荷入湖量为TP4.38</w:t>
      </w:r>
      <w:r>
        <w:rPr>
          <w:rFonts w:hint="eastAsia" w:ascii="仿宋_GB2312" w:hAnsi="仿宋_GB2312" w:eastAsia="仿宋_GB2312" w:cs="仿宋_GB2312"/>
          <w:color w:val="auto"/>
          <w:sz w:val="32"/>
          <w:szCs w:val="32"/>
        </w:rPr>
        <w:t xml:space="preserve"> t/a</w:t>
      </w:r>
      <w:r>
        <w:rPr>
          <w:rFonts w:hint="eastAsia" w:ascii="仿宋_GB2312" w:hAnsi="仿宋_GB2312" w:eastAsia="仿宋_GB2312" w:cs="仿宋_GB2312"/>
          <w:color w:val="auto"/>
          <w:sz w:val="32"/>
          <w:szCs w:val="32"/>
          <w:lang w:val="zh-CN"/>
        </w:rPr>
        <w:t>，氨氮959.68</w:t>
      </w:r>
      <w:r>
        <w:rPr>
          <w:rFonts w:hint="eastAsia" w:ascii="仿宋_GB2312" w:hAnsi="仿宋_GB2312" w:eastAsia="仿宋_GB2312" w:cs="仿宋_GB2312"/>
          <w:color w:val="auto"/>
          <w:sz w:val="32"/>
          <w:szCs w:val="32"/>
        </w:rPr>
        <w:t>t/a</w:t>
      </w:r>
      <w:r>
        <w:rPr>
          <w:rFonts w:hint="eastAsia" w:ascii="仿宋_GB2312" w:hAnsi="仿宋_GB2312" w:eastAsia="仿宋_GB2312" w:cs="仿宋_GB2312"/>
          <w:color w:val="auto"/>
          <w:sz w:val="32"/>
          <w:szCs w:val="32"/>
          <w:lang w:val="zh-CN"/>
        </w:rPr>
        <w:t>，总氮1114.13</w:t>
      </w:r>
      <w:r>
        <w:rPr>
          <w:rFonts w:hint="eastAsia" w:ascii="仿宋_GB2312" w:hAnsi="仿宋_GB2312" w:eastAsia="仿宋_GB2312" w:cs="仿宋_GB2312"/>
          <w:color w:val="auto"/>
          <w:sz w:val="32"/>
          <w:szCs w:val="32"/>
        </w:rPr>
        <w:t>t/a</w:t>
      </w:r>
      <w:r>
        <w:rPr>
          <w:rFonts w:hint="eastAsia" w:ascii="仿宋_GB2312" w:hAnsi="仿宋_GB2312" w:eastAsia="仿宋_GB2312" w:cs="仿宋_GB2312"/>
          <w:color w:val="auto"/>
          <w:sz w:val="32"/>
          <w:szCs w:val="32"/>
          <w:lang w:val="zh-CN"/>
        </w:rPr>
        <w:t>。</w:t>
      </w:r>
    </w:p>
    <w:p>
      <w:pPr>
        <w:pStyle w:val="5"/>
        <w:keepNext w:val="0"/>
        <w:keepLines w:val="0"/>
        <w:pageBreakBefore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5.2 候鸟粪便</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鄱阳湖是鸟类迁徙路线上重要的湿地之一，为鸟类提供了理想的栖息场所，鸟类产生的粪便也成为污染来源之一。根据历史资料显示，金溪湖记录鸟类63种，水鸟32 种，优势种为白骨顶、斑嘴鸭、豆雁、红嘴鸥、鸿雁、灰鹤和小天鹅。全年共观察到鸟类4141只，其中冬候鸟2886只，留鸟1118只，夏侯鸟/旅鸟137只。以鄱阳湖鸟类的组成特征计算得出的排放系数计算为549.46gN/只∙年，175.04gP/只∙年。据此核算，由鸟类排泄带来的污染物总氮约2.28t/a，TP0.72t/a。</w:t>
      </w:r>
    </w:p>
    <w:p>
      <w:pPr>
        <w:pStyle w:val="5"/>
        <w:keepNext w:val="0"/>
        <w:keepLines w:val="0"/>
        <w:pageBreakBefore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5.3 干湿沉降</w:t>
      </w:r>
    </w:p>
    <w:p>
      <w:pPr>
        <w:keepNext w:val="0"/>
        <w:keepLines w:val="0"/>
        <w:pageBreakBefore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sz w:val="32"/>
          <w:szCs w:val="32"/>
          <w:lang w:val="zh-CN"/>
        </w:rPr>
      </w:pPr>
      <w:bookmarkStart w:id="34" w:name="_Hlk112437700"/>
      <w:r>
        <w:rPr>
          <w:rFonts w:hint="eastAsia" w:ascii="仿宋_GB2312" w:hAnsi="仿宋_GB2312" w:eastAsia="仿宋_GB2312" w:cs="仿宋_GB2312"/>
          <w:sz w:val="32"/>
          <w:szCs w:val="32"/>
        </w:rPr>
        <w:t>依据金溪湖的水域面积，结合南昌大气沉降观测数据，核算由大气沉降输入的污染负荷</w:t>
      </w:r>
      <w:r>
        <w:rPr>
          <w:rFonts w:hint="eastAsia" w:ascii="仿宋_GB2312" w:hAnsi="仿宋_GB2312" w:eastAsia="仿宋_GB2312" w:cs="仿宋_GB2312"/>
          <w:sz w:val="32"/>
          <w:szCs w:val="32"/>
          <w:lang w:val="zh-CN"/>
        </w:rPr>
        <w:t>COD595.63</w:t>
      </w:r>
      <w:r>
        <w:rPr>
          <w:rFonts w:hint="eastAsia" w:ascii="仿宋_GB2312" w:hAnsi="仿宋_GB2312" w:eastAsia="仿宋_GB2312" w:cs="仿宋_GB2312"/>
          <w:sz w:val="32"/>
          <w:szCs w:val="32"/>
        </w:rPr>
        <w:t>t/a</w:t>
      </w:r>
      <w:r>
        <w:rPr>
          <w:rFonts w:hint="eastAsia" w:ascii="仿宋_GB2312" w:hAnsi="仿宋_GB2312" w:eastAsia="仿宋_GB2312" w:cs="仿宋_GB2312"/>
          <w:sz w:val="32"/>
          <w:szCs w:val="32"/>
          <w:lang w:val="zh-CN"/>
        </w:rPr>
        <w:t>，总氮1464.4</w:t>
      </w:r>
      <w:r>
        <w:rPr>
          <w:rFonts w:hint="eastAsia" w:ascii="仿宋_GB2312" w:hAnsi="仿宋_GB2312" w:eastAsia="仿宋_GB2312" w:cs="仿宋_GB2312"/>
          <w:sz w:val="32"/>
          <w:szCs w:val="32"/>
        </w:rPr>
        <w:t>t/a</w:t>
      </w:r>
      <w:r>
        <w:rPr>
          <w:rFonts w:hint="eastAsia" w:ascii="仿宋_GB2312" w:hAnsi="仿宋_GB2312" w:eastAsia="仿宋_GB2312" w:cs="仿宋_GB2312"/>
          <w:sz w:val="32"/>
          <w:szCs w:val="32"/>
          <w:lang w:val="zh-CN"/>
        </w:rPr>
        <w:t>，TP12.22</w:t>
      </w:r>
      <w:r>
        <w:rPr>
          <w:rFonts w:hint="eastAsia" w:ascii="仿宋_GB2312" w:hAnsi="仿宋_GB2312" w:eastAsia="仿宋_GB2312" w:cs="仿宋_GB2312"/>
          <w:sz w:val="32"/>
          <w:szCs w:val="32"/>
        </w:rPr>
        <w:t>t/a</w:t>
      </w:r>
      <w:r>
        <w:rPr>
          <w:rFonts w:hint="eastAsia" w:ascii="仿宋_GB2312" w:hAnsi="仿宋_GB2312" w:eastAsia="仿宋_GB2312" w:cs="仿宋_GB2312"/>
          <w:sz w:val="32"/>
          <w:szCs w:val="32"/>
          <w:lang w:val="zh-CN"/>
        </w:rPr>
        <w:t>。</w:t>
      </w:r>
    </w:p>
    <w:bookmarkEnd w:id="34"/>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bookmarkStart w:id="35" w:name="_Toc113611366"/>
      <w:r>
        <w:rPr>
          <w:rFonts w:hint="eastAsia" w:ascii="仿宋_GB2312" w:hAnsi="仿宋_GB2312" w:eastAsia="仿宋_GB2312" w:cs="仿宋_GB2312"/>
          <w:sz w:val="32"/>
          <w:szCs w:val="32"/>
        </w:rPr>
        <w:t>（二）水生态环境调查</w:t>
      </w:r>
      <w:bookmarkEnd w:id="35"/>
    </w:p>
    <w:p>
      <w:pPr>
        <w:keepNext w:val="0"/>
        <w:keepLines w:val="0"/>
        <w:pageBreakBefore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金溪咀刘家断面所处的抚河西支金溪湖河口历史上存在中营养状态，历史资料表明水生态环境存在脆杆藻、角星鼓藻等中营养型指示种，也有铜绿微囊藻、针杆藻、颤藻等富营养型指示种，总体看来金溪湖抚河口处主要以富营养型指示种占优势，如铜绿微囊藻、颤藻等。经过养殖方式转变和长期治理，金溪咀刘家水生态环境明显改善，可为鸟类提供良好的生存环境，留鸟、候鸟种数明显高于其他湖泊。</w:t>
      </w:r>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bookmarkStart w:id="36" w:name="_Toc113611367"/>
      <w:r>
        <w:rPr>
          <w:rFonts w:hint="eastAsia" w:ascii="仿宋_GB2312" w:hAnsi="仿宋_GB2312" w:eastAsia="仿宋_GB2312" w:cs="仿宋_GB2312"/>
          <w:sz w:val="32"/>
          <w:szCs w:val="32"/>
        </w:rPr>
        <w:t>（三）入湖污染量分析</w:t>
      </w:r>
      <w:bookmarkEnd w:id="36"/>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基于污染源现状调查和数据分析，</w:t>
      </w:r>
      <w:r>
        <w:rPr>
          <w:rFonts w:hint="eastAsia" w:ascii="仿宋_GB2312" w:hAnsi="仿宋_GB2312" w:eastAsia="仿宋_GB2312" w:cs="仿宋_GB2312"/>
          <w:sz w:val="32"/>
          <w:szCs w:val="32"/>
        </w:rPr>
        <w:t>金溪咀刘家断面汇水</w:t>
      </w:r>
      <w:r>
        <w:rPr>
          <w:rFonts w:hint="eastAsia" w:ascii="仿宋_GB2312" w:hAnsi="仿宋_GB2312" w:eastAsia="仿宋_GB2312" w:cs="仿宋_GB2312"/>
          <w:sz w:val="32"/>
          <w:szCs w:val="32"/>
          <w:lang w:val="zh-CN"/>
        </w:rPr>
        <w:t>区域污染物入湖量为化学需氧量</w:t>
      </w:r>
      <w:r>
        <w:rPr>
          <w:rFonts w:hint="eastAsia" w:ascii="仿宋_GB2312" w:hAnsi="仿宋_GB2312" w:eastAsia="仿宋_GB2312" w:cs="仿宋_GB2312"/>
          <w:color w:val="000000"/>
          <w:kern w:val="0"/>
          <w:sz w:val="32"/>
          <w:szCs w:val="32"/>
        </w:rPr>
        <w:t>3346.40</w:t>
      </w:r>
      <w:r>
        <w:rPr>
          <w:rFonts w:hint="eastAsia" w:ascii="仿宋_GB2312" w:hAnsi="仿宋_GB2312" w:eastAsia="仿宋_GB2312" w:cs="仿宋_GB2312"/>
          <w:sz w:val="32"/>
          <w:szCs w:val="32"/>
          <w:lang w:val="zh-CN"/>
        </w:rPr>
        <w:t>t/a、氨氮</w:t>
      </w:r>
      <w:r>
        <w:rPr>
          <w:rFonts w:hint="eastAsia" w:ascii="仿宋_GB2312" w:hAnsi="仿宋_GB2312" w:eastAsia="仿宋_GB2312" w:cs="仿宋_GB2312"/>
          <w:color w:val="000000"/>
          <w:kern w:val="0"/>
          <w:sz w:val="32"/>
          <w:szCs w:val="32"/>
        </w:rPr>
        <w:t>1112.06</w:t>
      </w:r>
      <w:r>
        <w:rPr>
          <w:rFonts w:hint="eastAsia" w:ascii="仿宋_GB2312" w:hAnsi="仿宋_GB2312" w:eastAsia="仿宋_GB2312" w:cs="仿宋_GB2312"/>
          <w:sz w:val="32"/>
          <w:szCs w:val="32"/>
          <w:lang w:val="zh-CN"/>
        </w:rPr>
        <w:t xml:space="preserve">t/a、总氮 </w:t>
      </w:r>
      <w:r>
        <w:rPr>
          <w:rFonts w:hint="eastAsia" w:ascii="仿宋_GB2312" w:hAnsi="仿宋_GB2312" w:eastAsia="仿宋_GB2312" w:cs="仿宋_GB2312"/>
          <w:color w:val="000000"/>
          <w:kern w:val="0"/>
          <w:sz w:val="32"/>
          <w:szCs w:val="32"/>
        </w:rPr>
        <w:t>3114.23</w:t>
      </w:r>
      <w:r>
        <w:rPr>
          <w:rFonts w:hint="eastAsia" w:ascii="仿宋_GB2312" w:hAnsi="仿宋_GB2312" w:eastAsia="仿宋_GB2312" w:cs="仿宋_GB2312"/>
          <w:sz w:val="32"/>
          <w:szCs w:val="32"/>
          <w:lang w:val="zh-CN"/>
        </w:rPr>
        <w:t xml:space="preserve">t/a、TP </w:t>
      </w:r>
      <w:r>
        <w:rPr>
          <w:rFonts w:hint="eastAsia" w:ascii="仿宋_GB2312" w:hAnsi="仿宋_GB2312" w:eastAsia="仿宋_GB2312" w:cs="仿宋_GB2312"/>
          <w:color w:val="000000"/>
          <w:kern w:val="0"/>
          <w:sz w:val="32"/>
          <w:szCs w:val="32"/>
        </w:rPr>
        <w:t>85.90</w:t>
      </w:r>
      <w:r>
        <w:rPr>
          <w:rFonts w:hint="eastAsia" w:ascii="仿宋_GB2312" w:hAnsi="仿宋_GB2312" w:eastAsia="仿宋_GB2312" w:cs="仿宋_GB2312"/>
          <w:sz w:val="32"/>
          <w:szCs w:val="32"/>
          <w:lang w:val="zh-CN"/>
        </w:rPr>
        <w:t>t/a。COD主要来自农业面源，占比为65%；氨氮主要来自内源污染释放，占比86%；总氮主要来自大气沉降和内源污染释放，占比82%；TP主要来自农业面源，占比72%。因此，结合断面监测数据，对于金溪咀刘家断面水质达标的关键因子是TP和COD，农业面源是突出的主要污染源。</w:t>
      </w:r>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bookmarkStart w:id="37" w:name="_Toc113611368"/>
      <w:r>
        <w:rPr>
          <w:rFonts w:hint="eastAsia" w:ascii="仿宋_GB2312" w:hAnsi="仿宋_GB2312" w:eastAsia="仿宋_GB2312" w:cs="仿宋_GB2312"/>
          <w:sz w:val="32"/>
          <w:szCs w:val="32"/>
        </w:rPr>
        <w:t>（四）主要水环境问题识别</w:t>
      </w:r>
      <w:bookmarkEnd w:id="37"/>
    </w:p>
    <w:p>
      <w:pPr>
        <w:keepNext w:val="0"/>
        <w:keepLines w:val="0"/>
        <w:pageBreakBefore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溪咀刘家断面汇水范围内以农村为主，经济主要以丰富的农业资源为基础，工业基础薄弱，旅游业发展迅速，目前，流域农村面源污染仍较为突出，农村环保基础设施薄弱，流域主要经济指标和人居环境还相对落后，金溪湖经济社会发展和生态环境保护的协调统一面临相对较大的压力。</w:t>
      </w:r>
    </w:p>
    <w:p>
      <w:pPr>
        <w:pStyle w:val="4"/>
        <w:keepNext w:val="0"/>
        <w:keepLines w:val="0"/>
        <w:pageBreakBefore w:val="0"/>
        <w:numPr>
          <w:ilvl w:val="2"/>
          <w:numId w:val="0"/>
        </w:numPr>
        <w:kinsoku/>
        <w:wordWrap/>
        <w:overflowPunct/>
        <w:topLinePunct w:val="0"/>
        <w:autoSpaceDE/>
        <w:bidi w:val="0"/>
        <w:adjustRightInd/>
        <w:snapToGrid/>
        <w:spacing w:line="560" w:lineRule="exact"/>
        <w:ind w:leftChars="0" w:firstLine="642" w:firstLineChars="200"/>
        <w:jc w:val="both"/>
        <w:textAlignment w:val="auto"/>
        <w:rPr>
          <w:rFonts w:hint="eastAsia" w:ascii="仿宋_GB2312" w:hAnsi="仿宋_GB2312" w:eastAsia="仿宋_GB2312" w:cs="仿宋_GB2312"/>
          <w:sz w:val="32"/>
          <w:szCs w:val="32"/>
        </w:rPr>
      </w:pPr>
      <w:bookmarkStart w:id="38" w:name="_Toc113611369"/>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基础设施建设滞后</w:t>
      </w:r>
      <w:bookmarkEnd w:id="38"/>
    </w:p>
    <w:p>
      <w:pPr>
        <w:keepNext w:val="0"/>
        <w:keepLines w:val="0"/>
        <w:pageBreakBefore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流域内农村生活污水收集与处理系统缺乏。金溪湖流域涉及金溪咀刘家断面汇水范围主要包括</w:t>
      </w:r>
      <w:r>
        <w:rPr>
          <w:rFonts w:hint="eastAsia" w:ascii="仿宋_GB2312" w:hAnsi="仿宋_GB2312" w:eastAsia="仿宋_GB2312" w:cs="仿宋_GB2312"/>
          <w:color w:val="auto"/>
          <w:sz w:val="32"/>
          <w:szCs w:val="32"/>
        </w:rPr>
        <w:t>三里乡、梅庄镇、七里乡、二塘乡、南台乡、池溪乡、钟陵乡和三阳集乡等8个乡镇，流域总人口近25万，每天产生生活污水量近2.1 万吨。根据进贤县农村生活污水治理规划和相关工程进度，计划于2022年底完成上述8个乡镇的生活污水处理设施建设，并加速配套管网建设，消</w:t>
      </w:r>
      <w:r>
        <w:rPr>
          <w:rFonts w:hint="eastAsia" w:ascii="仿宋_GB2312" w:hAnsi="仿宋_GB2312" w:eastAsia="仿宋_GB2312" w:cs="仿宋_GB2312"/>
          <w:sz w:val="32"/>
          <w:szCs w:val="32"/>
        </w:rPr>
        <w:t>除农村黑臭水体。沿湖分散分布的村庄，目前仍然存在生活污水未经处理直接排放。</w:t>
      </w:r>
    </w:p>
    <w:p>
      <w:pPr>
        <w:pStyle w:val="4"/>
        <w:keepNext w:val="0"/>
        <w:keepLines w:val="0"/>
        <w:pageBreakBefore w:val="0"/>
        <w:numPr>
          <w:ilvl w:val="2"/>
          <w:numId w:val="0"/>
        </w:numPr>
        <w:kinsoku/>
        <w:wordWrap/>
        <w:overflowPunct/>
        <w:topLinePunct w:val="0"/>
        <w:autoSpaceDE/>
        <w:bidi w:val="0"/>
        <w:adjustRightInd/>
        <w:snapToGrid/>
        <w:spacing w:line="560" w:lineRule="exact"/>
        <w:ind w:leftChars="0" w:firstLine="642" w:firstLineChars="200"/>
        <w:jc w:val="both"/>
        <w:textAlignment w:val="auto"/>
        <w:rPr>
          <w:rFonts w:hint="eastAsia" w:ascii="仿宋_GB2312" w:hAnsi="仿宋_GB2312" w:eastAsia="仿宋_GB2312" w:cs="仿宋_GB2312"/>
          <w:sz w:val="32"/>
          <w:szCs w:val="32"/>
        </w:rPr>
      </w:pPr>
      <w:bookmarkStart w:id="39" w:name="_Toc113611370"/>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农业面源污染严重</w:t>
      </w:r>
      <w:bookmarkEnd w:id="39"/>
    </w:p>
    <w:p>
      <w:pPr>
        <w:keepNext w:val="0"/>
        <w:keepLines w:val="0"/>
        <w:pageBreakBefore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汇水区域内农药施药量为221吨，肥料结构以氮肥为主，农民氮肥过量施用，农用化肥流失率普遍较高，农业面源污染较重。湖湾库叉中，部分渔民非法养殖，由于化肥和饵料肥料投入水体，为藻类提供了良好的生存环境，也是影响水体的主要污染途径。</w:t>
      </w:r>
    </w:p>
    <w:p>
      <w:pPr>
        <w:pStyle w:val="4"/>
        <w:keepNext w:val="0"/>
        <w:keepLines w:val="0"/>
        <w:pageBreakBefore w:val="0"/>
        <w:numPr>
          <w:ilvl w:val="2"/>
          <w:numId w:val="0"/>
        </w:numPr>
        <w:kinsoku/>
        <w:wordWrap/>
        <w:overflowPunct/>
        <w:topLinePunct w:val="0"/>
        <w:autoSpaceDE/>
        <w:bidi w:val="0"/>
        <w:adjustRightInd/>
        <w:snapToGrid/>
        <w:spacing w:line="560" w:lineRule="exact"/>
        <w:ind w:leftChars="0" w:firstLine="642" w:firstLineChars="200"/>
        <w:jc w:val="both"/>
        <w:textAlignment w:val="auto"/>
        <w:rPr>
          <w:rFonts w:hint="eastAsia" w:ascii="仿宋_GB2312" w:hAnsi="仿宋_GB2312" w:eastAsia="仿宋_GB2312" w:cs="仿宋_GB2312"/>
          <w:sz w:val="32"/>
          <w:szCs w:val="32"/>
        </w:rPr>
      </w:pPr>
      <w:bookmarkStart w:id="40" w:name="_Toc113611372"/>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环境监管能力薄弱</w:t>
      </w:r>
      <w:bookmarkEnd w:id="40"/>
    </w:p>
    <w:p>
      <w:pPr>
        <w:keepNext w:val="0"/>
        <w:keepLines w:val="0"/>
        <w:pageBreakBefore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环境监管能力建设薄弱，从事环境监测的专业技术人员缺乏，监测装备条件较差，常规的监测仪器和现场快速监测仪器不足，无自动监测能力和应急监测能力，无法对金溪湖实施环境质量的有效监控。同时区内对金溪湖生态观测与科研工作较为薄弱，尚未科学全面地掌握金溪湖区域目前陆生、水生生态系统结构状况及其变化趋势。</w:t>
      </w:r>
    </w:p>
    <w:p>
      <w:pPr>
        <w:pStyle w:val="4"/>
        <w:keepNext w:val="0"/>
        <w:keepLines w:val="0"/>
        <w:pageBreakBefore w:val="0"/>
        <w:numPr>
          <w:ilvl w:val="2"/>
          <w:numId w:val="0"/>
        </w:numPr>
        <w:kinsoku/>
        <w:wordWrap/>
        <w:overflowPunct/>
        <w:topLinePunct w:val="0"/>
        <w:autoSpaceDE/>
        <w:bidi w:val="0"/>
        <w:adjustRightInd/>
        <w:snapToGrid/>
        <w:spacing w:line="560" w:lineRule="exact"/>
        <w:ind w:leftChars="0"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生态调节能力不足</w:t>
      </w:r>
    </w:p>
    <w:p>
      <w:pPr>
        <w:keepNext w:val="0"/>
        <w:keepLines w:val="0"/>
        <w:pageBreakBefore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溪湖作为鄱阳湖重要的连通性湖泊，存在生态调节能力不足问题，受长江和气候变化影响，湖泊退水加快，生态敏感区枯期低水位持续时间延长，湖区水环境容量、湿地植被与分布格局被动变化，生态系统稳定性下降。</w:t>
      </w:r>
    </w:p>
    <w:p>
      <w:pPr>
        <w:pStyle w:val="2"/>
        <w:keepNext w:val="0"/>
        <w:keepLines w:val="0"/>
        <w:pageBreakBefore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sz w:val="32"/>
          <w:szCs w:val="32"/>
        </w:rPr>
      </w:pPr>
      <w:bookmarkStart w:id="41" w:name="_Toc113611374"/>
      <w:r>
        <w:rPr>
          <w:rFonts w:hint="eastAsia" w:ascii="黑体" w:hAnsi="黑体" w:eastAsia="黑体" w:cs="黑体"/>
          <w:b w:val="0"/>
          <w:bCs w:val="0"/>
          <w:sz w:val="32"/>
          <w:szCs w:val="32"/>
        </w:rPr>
        <w:t>四、</w:t>
      </w:r>
      <w:bookmarkEnd w:id="41"/>
      <w:bookmarkStart w:id="42" w:name="_Toc89435982"/>
      <w:bookmarkEnd w:id="42"/>
      <w:bookmarkStart w:id="43" w:name="_Toc89435979"/>
      <w:bookmarkEnd w:id="43"/>
      <w:bookmarkStart w:id="44" w:name="_Toc87977718"/>
      <w:bookmarkEnd w:id="44"/>
      <w:r>
        <w:rPr>
          <w:rFonts w:hint="eastAsia" w:ascii="黑体" w:hAnsi="黑体" w:eastAsia="黑体" w:cs="黑体"/>
          <w:b w:val="0"/>
          <w:bCs w:val="0"/>
          <w:sz w:val="32"/>
          <w:szCs w:val="32"/>
        </w:rPr>
        <w:t>断面水质提升主要措施</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全方位打好碧水保卫战，以重点湖泊水环境质量为目标，持续推进集镇生活污水处理厂及污水管网工程，加速农村生活污水治理，强化农业。</w:t>
      </w:r>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（一）深入实施城镇生活污水治理</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开展城镇生活污水收集处理提升专项行动。加快补齐城镇生活污水收集管网短板，开展县城区老旧破损和易造成积水内涝问题的污水管网、雨污合流制管网诊断修复更新，循序推进管网错接混接漏接改造。稳步推进架桥镇等乡镇污水处理设施建设。</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rPr>
        <w:t>牵头单位：</w:t>
      </w:r>
      <w:r>
        <w:rPr>
          <w:rFonts w:hint="eastAsia" w:ascii="仿宋_GB2312" w:hAnsi="仿宋_GB2312" w:eastAsia="仿宋_GB2312" w:cs="仿宋_GB2312"/>
          <w:b/>
          <w:bCs/>
          <w:sz w:val="32"/>
          <w:szCs w:val="32"/>
        </w:rPr>
        <w:t>进贤县城管执法局、进贤生态环境局、</w:t>
      </w:r>
      <w:r>
        <w:rPr>
          <w:rFonts w:hint="eastAsia" w:ascii="仿宋_GB2312" w:hAnsi="仿宋_GB2312" w:eastAsia="仿宋_GB2312" w:cs="仿宋_GB2312"/>
          <w:b/>
          <w:bCs/>
          <w:sz w:val="32"/>
          <w:szCs w:val="32"/>
          <w:lang w:val="en-US"/>
        </w:rPr>
        <w:t>进贤</w:t>
      </w:r>
      <w:r>
        <w:rPr>
          <w:rFonts w:hint="eastAsia" w:ascii="仿宋_GB2312" w:hAnsi="仿宋_GB2312" w:eastAsia="仿宋_GB2312" w:cs="仿宋_GB2312"/>
          <w:b/>
          <w:bCs/>
          <w:sz w:val="32"/>
          <w:szCs w:val="32"/>
        </w:rPr>
        <w:t>县住建局</w:t>
      </w:r>
      <w:r>
        <w:rPr>
          <w:rFonts w:hint="eastAsia" w:ascii="仿宋_GB2312" w:hAnsi="仿宋_GB2312" w:eastAsia="仿宋_GB2312" w:cs="仿宋_GB2312"/>
          <w:b/>
          <w:bCs/>
          <w:sz w:val="32"/>
          <w:szCs w:val="32"/>
          <w:lang w:val="en-US"/>
        </w:rPr>
        <w:t>；责任单位：三里乡、梅庄镇、七里乡、二塘乡、南台乡、池溪乡、钟陵乡和三阳集乡人民政府（以下简称进贤县各乡（镇）人民政府）</w:t>
      </w:r>
      <w:r>
        <w:rPr>
          <w:rFonts w:hint="eastAsia" w:ascii="仿宋_GB2312" w:hAnsi="仿宋_GB2312" w:eastAsia="仿宋_GB2312" w:cs="仿宋_GB2312"/>
          <w:b/>
          <w:bCs/>
          <w:sz w:val="32"/>
          <w:szCs w:val="32"/>
        </w:rPr>
        <w:t>）</w:t>
      </w:r>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（二）持续推进农村生活污水治理</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地制宜推进农村厕所革命和生活污水治理，推广使用运行管护简便的农村生活污水治理技术。完成建制村农村环境综合整治，持续实施农村黑臭水体治理，建立健全农村黑臭水体排查发现机制，实现农村黑臭水体长效监管，基本消除农村重点黑臭水体。</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rPr>
        <w:t>牵头单位：进贤</w:t>
      </w:r>
      <w:r>
        <w:rPr>
          <w:rFonts w:hint="eastAsia" w:ascii="仿宋_GB2312" w:hAnsi="仿宋_GB2312" w:eastAsia="仿宋_GB2312" w:cs="仿宋_GB2312"/>
          <w:b/>
          <w:bCs/>
          <w:sz w:val="32"/>
          <w:szCs w:val="32"/>
        </w:rPr>
        <w:t>县农业农村局、</w:t>
      </w:r>
      <w:r>
        <w:rPr>
          <w:rFonts w:hint="eastAsia" w:ascii="仿宋_GB2312" w:hAnsi="仿宋_GB2312" w:eastAsia="仿宋_GB2312" w:cs="仿宋_GB2312"/>
          <w:b/>
          <w:bCs/>
          <w:sz w:val="32"/>
          <w:szCs w:val="32"/>
          <w:lang w:val="en-US"/>
        </w:rPr>
        <w:t>进贤</w:t>
      </w:r>
      <w:r>
        <w:rPr>
          <w:rFonts w:hint="eastAsia" w:ascii="仿宋_GB2312" w:hAnsi="仿宋_GB2312" w:eastAsia="仿宋_GB2312" w:cs="仿宋_GB2312"/>
          <w:b/>
          <w:bCs/>
          <w:sz w:val="32"/>
          <w:szCs w:val="32"/>
        </w:rPr>
        <w:t>县乡村振兴局、进贤生态环境局</w:t>
      </w:r>
      <w:r>
        <w:rPr>
          <w:rFonts w:hint="eastAsia" w:ascii="仿宋_GB2312" w:hAnsi="仿宋_GB2312" w:eastAsia="仿宋_GB2312" w:cs="仿宋_GB2312"/>
          <w:b/>
          <w:bCs/>
          <w:sz w:val="32"/>
          <w:szCs w:val="32"/>
          <w:lang w:val="en-US"/>
        </w:rPr>
        <w:t>；责任单位：</w:t>
      </w:r>
      <w:r>
        <w:rPr>
          <w:rFonts w:hint="eastAsia" w:ascii="仿宋_GB2312" w:hAnsi="仿宋_GB2312" w:eastAsia="仿宋_GB2312" w:cs="仿宋_GB2312"/>
          <w:b/>
          <w:bCs/>
          <w:sz w:val="32"/>
          <w:szCs w:val="32"/>
        </w:rPr>
        <w:t>进贤县各乡（镇）人民政府）</w:t>
      </w:r>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（三）大力推进农业面源污染防治</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持续推进“一乡一品”、休闲农业等现代化高端农业，降低单位产值农药、化肥用量，推进农药化肥减量增效，加大生态保护重点区域农药化肥减施力度。建设生态沟、净化塘、地表径流集蓄池，湿地等设施，减轻农田退水对周边水体的不良影响。逐步支持区域内散居农户因地制宜推行生活污水简易生态处理，充分利用池塘、沟渠等自净能力，切实解决污水治理的问题。</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b/>
          <w:bCs/>
          <w:color w:val="000000" w:themeColor="text1"/>
          <w:sz w:val="32"/>
          <w:szCs w:val="32"/>
          <w:lang w:val="en-US"/>
          <w14:textFill>
            <w14:solidFill>
              <w14:schemeClr w14:val="tx1"/>
            </w14:solidFill>
          </w14:textFill>
        </w:rPr>
        <w:t>牵头单位：</w:t>
      </w:r>
      <w:r>
        <w:rPr>
          <w:rFonts w:hint="eastAsia" w:ascii="仿宋_GB2312" w:hAnsi="仿宋_GB2312" w:eastAsia="仿宋_GB2312" w:cs="仿宋_GB2312"/>
          <w:b/>
          <w:bCs/>
          <w:sz w:val="32"/>
          <w:szCs w:val="32"/>
        </w:rPr>
        <w:t>进贤</w:t>
      </w:r>
      <w:r>
        <w:rPr>
          <w:rFonts w:hint="eastAsia" w:ascii="仿宋_GB2312" w:hAnsi="仿宋_GB2312" w:eastAsia="仿宋_GB2312" w:cs="仿宋_GB2312"/>
          <w:b/>
          <w:bCs/>
          <w:color w:val="000000" w:themeColor="text1"/>
          <w:sz w:val="32"/>
          <w:szCs w:val="32"/>
          <w14:textFill>
            <w14:solidFill>
              <w14:schemeClr w14:val="tx1"/>
            </w14:solidFill>
          </w14:textFill>
        </w:rPr>
        <w:t>县农业农村局</w:t>
      </w:r>
      <w:r>
        <w:rPr>
          <w:rFonts w:hint="eastAsia" w:ascii="仿宋_GB2312" w:hAnsi="仿宋_GB2312" w:eastAsia="仿宋_GB2312" w:cs="仿宋_GB2312"/>
          <w:b/>
          <w:bCs/>
          <w:sz w:val="32"/>
          <w:szCs w:val="32"/>
          <w:lang w:val="en-US"/>
        </w:rPr>
        <w:t>、</w:t>
      </w:r>
      <w:r>
        <w:rPr>
          <w:rFonts w:hint="eastAsia" w:ascii="仿宋_GB2312" w:hAnsi="仿宋_GB2312" w:eastAsia="仿宋_GB2312" w:cs="仿宋_GB2312"/>
          <w:b/>
          <w:bCs/>
          <w:color w:val="000000" w:themeColor="text1"/>
          <w:sz w:val="32"/>
          <w:szCs w:val="32"/>
          <w14:textFill>
            <w14:solidFill>
              <w14:schemeClr w14:val="tx1"/>
            </w14:solidFill>
          </w14:textFill>
        </w:rPr>
        <w:t>进贤生态环境局</w:t>
      </w:r>
      <w:r>
        <w:rPr>
          <w:rFonts w:hint="eastAsia" w:ascii="仿宋_GB2312" w:hAnsi="仿宋_GB2312" w:eastAsia="仿宋_GB2312" w:cs="仿宋_GB2312"/>
          <w:b/>
          <w:bCs/>
          <w:color w:val="000000" w:themeColor="text1"/>
          <w:sz w:val="32"/>
          <w:szCs w:val="32"/>
          <w:lang w:val="en-US"/>
          <w14:textFill>
            <w14:solidFill>
              <w14:schemeClr w14:val="tx1"/>
            </w14:solidFill>
          </w14:textFill>
        </w:rPr>
        <w:t>；责任单位：</w:t>
      </w:r>
      <w:r>
        <w:rPr>
          <w:rFonts w:hint="eastAsia" w:ascii="仿宋_GB2312" w:hAnsi="仿宋_GB2312" w:eastAsia="仿宋_GB2312" w:cs="仿宋_GB2312"/>
          <w:b/>
          <w:bCs/>
          <w:color w:val="000000" w:themeColor="text1"/>
          <w:sz w:val="32"/>
          <w:szCs w:val="32"/>
          <w14:textFill>
            <w14:solidFill>
              <w14:schemeClr w14:val="tx1"/>
            </w14:solidFill>
          </w14:textFill>
        </w:rPr>
        <w:t>进贤县各乡（镇）人民政府)</w:t>
      </w:r>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（四）加强畜禽养殖污染控制</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源头减量、过程控制、末端利用原则，提升畜禽粪污资源化利用质量，强化种养结合、生态循环，推进畜禽粪污就地就近资源化利用。推进编制县域畜禽养殖污染防治规划，规范畜禽养殖禁养区划定与管理。加强畜禽养殖禁养区监管，防止已拆除或关停的畜禽规模养殖拆后重建或关后复养等反弹现象。加强粪污处理设施装备配套建设，推广机械清粪、有机肥加工等资源化技术。规模畜禽养殖应根据污染防治和资源化利用的要求，配套建设粪污贮存处理利用设施设备，坚持种养结合、农牧循环，推进畜禽养殖废弃物资源化利用。</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积极转变水产养殖方式，科学实施人放天养，落实养殖水域滩涂规划制度，加强养殖水域滩涂证登记，强化养殖水域滩涂使用和管理工作，在水产养殖主产区推进养殖尾水治理及资源化利用。</w:t>
      </w:r>
      <w:r>
        <w:rPr>
          <w:rFonts w:hint="eastAsia" w:ascii="仿宋_GB2312" w:hAnsi="仿宋_GB2312" w:eastAsia="仿宋_GB2312" w:cs="仿宋_GB2312"/>
          <w:b/>
          <w:bCs/>
          <w:color w:val="000000" w:themeColor="text1"/>
          <w:sz w:val="32"/>
          <w:szCs w:val="32"/>
          <w14:textFill>
            <w14:solidFill>
              <w14:schemeClr w14:val="tx1"/>
            </w14:solidFill>
          </w14:textFill>
        </w:rPr>
        <w:t>(牵头单位：</w:t>
      </w:r>
      <w:r>
        <w:rPr>
          <w:rFonts w:hint="eastAsia" w:ascii="仿宋_GB2312" w:hAnsi="仿宋_GB2312" w:eastAsia="仿宋_GB2312" w:cs="仿宋_GB2312"/>
          <w:b/>
          <w:bCs/>
          <w:sz w:val="32"/>
          <w:szCs w:val="32"/>
        </w:rPr>
        <w:t>进贤</w:t>
      </w:r>
      <w:r>
        <w:rPr>
          <w:rFonts w:hint="eastAsia" w:ascii="仿宋_GB2312" w:hAnsi="仿宋_GB2312" w:eastAsia="仿宋_GB2312" w:cs="仿宋_GB2312"/>
          <w:b/>
          <w:bCs/>
          <w:color w:val="000000" w:themeColor="text1"/>
          <w:sz w:val="32"/>
          <w:szCs w:val="32"/>
          <w14:textFill>
            <w14:solidFill>
              <w14:schemeClr w14:val="tx1"/>
            </w14:solidFill>
          </w14:textFill>
        </w:rPr>
        <w:t>县农业农村局</w:t>
      </w:r>
      <w:r>
        <w:rPr>
          <w:rFonts w:hint="eastAsia" w:ascii="仿宋_GB2312" w:hAnsi="仿宋_GB2312" w:eastAsia="仿宋_GB2312" w:cs="仿宋_GB2312"/>
          <w:b/>
          <w:bCs/>
          <w:color w:val="000000" w:themeColor="text1"/>
          <w:sz w:val="32"/>
          <w:szCs w:val="32"/>
          <w:lang w:val="en-US"/>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进贤生态环境局</w:t>
      </w:r>
      <w:r>
        <w:rPr>
          <w:rFonts w:hint="eastAsia" w:ascii="仿宋_GB2312" w:hAnsi="仿宋_GB2312" w:eastAsia="仿宋_GB2312" w:cs="仿宋_GB2312"/>
          <w:b/>
          <w:bCs/>
          <w:color w:val="000000" w:themeColor="text1"/>
          <w:sz w:val="32"/>
          <w:szCs w:val="32"/>
          <w:lang w:val="en-US"/>
          <w14:textFill>
            <w14:solidFill>
              <w14:schemeClr w14:val="tx1"/>
            </w14:solidFill>
          </w14:textFill>
        </w:rPr>
        <w:t>；责任单位：</w:t>
      </w:r>
      <w:r>
        <w:rPr>
          <w:rFonts w:hint="eastAsia" w:ascii="仿宋_GB2312" w:hAnsi="仿宋_GB2312" w:eastAsia="仿宋_GB2312" w:cs="仿宋_GB2312"/>
          <w:b/>
          <w:bCs/>
          <w:color w:val="000000" w:themeColor="text1"/>
          <w:sz w:val="32"/>
          <w:szCs w:val="32"/>
          <w14:textFill>
            <w14:solidFill>
              <w14:schemeClr w14:val="tx1"/>
            </w14:solidFill>
          </w14:textFill>
        </w:rPr>
        <w:t>各乡</w:t>
      </w:r>
      <w:r>
        <w:rPr>
          <w:rFonts w:hint="eastAsia" w:ascii="仿宋_GB2312" w:hAnsi="仿宋_GB2312" w:eastAsia="仿宋_GB2312" w:cs="仿宋_GB2312"/>
          <w:b/>
          <w:bCs/>
          <w:sz w:val="32"/>
          <w:szCs w:val="32"/>
          <w:lang w:val="en-US"/>
        </w:rPr>
        <w:t>（</w:t>
      </w:r>
      <w:r>
        <w:rPr>
          <w:rFonts w:hint="eastAsia" w:ascii="仿宋_GB2312" w:hAnsi="仿宋_GB2312" w:eastAsia="仿宋_GB2312" w:cs="仿宋_GB2312"/>
          <w:b/>
          <w:bCs/>
          <w:sz w:val="32"/>
          <w:szCs w:val="32"/>
        </w:rPr>
        <w:t>镇</w:t>
      </w:r>
      <w:r>
        <w:rPr>
          <w:rFonts w:hint="eastAsia" w:ascii="仿宋_GB2312" w:hAnsi="仿宋_GB2312" w:eastAsia="仿宋_GB2312" w:cs="仿宋_GB2312"/>
          <w:b/>
          <w:bCs/>
          <w:sz w:val="32"/>
          <w:szCs w:val="32"/>
          <w:lang w:val="en-US"/>
        </w:rPr>
        <w:t>）</w:t>
      </w:r>
      <w:r>
        <w:rPr>
          <w:rFonts w:hint="eastAsia" w:ascii="仿宋_GB2312" w:hAnsi="仿宋_GB2312" w:eastAsia="仿宋_GB2312" w:cs="仿宋_GB2312"/>
          <w:b/>
          <w:bCs/>
          <w:color w:val="000000" w:themeColor="text1"/>
          <w:sz w:val="32"/>
          <w:szCs w:val="32"/>
          <w14:textFill>
            <w14:solidFill>
              <w14:schemeClr w14:val="tx1"/>
            </w14:solidFill>
          </w14:textFill>
        </w:rPr>
        <w:t>人民政府)</w:t>
      </w:r>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（五）梯次推进入湖排口污染整治</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持续开展入河入湖排污口排查，建立健全排污口档案，分期分批分类进行整治。按“一口一策”工作原则，逐一明确入河排污口整治要求，分类有序推进入河排污口整治和规范化建设。对于城镇和村镇生活污水排口，应接管纳入市政管网或建设分散式污水处理设施。探索将农业排口纳入监管，结合基于自然的排口污染负荷解决方案，可试行推进入口多级塘-排口湿地等建设；对溢流排口，结合海绵措施、调蓄净化多措并举，探索建管结合削减溢流污染负荷。对超标排放的入河排污口，各地应督促责任主体全面开展整治，确保稳定达标排放，对于责任主体清晰的超标工业污染源排口，执法部门应依法依规进行处罚，并限期整改，对于直排的城镇生活源排口，应协调城市管理部门，接管纳入市政管网，对于规模以上养殖场的直排养殖废水，应要求养殖场限期完善环保设施，对于已废弃不用的无水老旧排口，应及时进行封堵。</w:t>
      </w:r>
      <w:r>
        <w:rPr>
          <w:rFonts w:hint="eastAsia" w:ascii="仿宋_GB2312" w:hAnsi="仿宋_GB2312" w:eastAsia="仿宋_GB2312" w:cs="仿宋_GB2312"/>
          <w:b/>
          <w:bCs/>
          <w:sz w:val="32"/>
          <w:szCs w:val="32"/>
        </w:rPr>
        <w:t>（责任单位：进贤生态环境局</w:t>
      </w:r>
      <w:r>
        <w:rPr>
          <w:rFonts w:hint="eastAsia" w:ascii="仿宋_GB2312" w:hAnsi="仿宋_GB2312" w:eastAsia="仿宋_GB2312" w:cs="仿宋_GB2312"/>
          <w:b/>
          <w:bCs/>
          <w:sz w:val="32"/>
          <w:szCs w:val="32"/>
          <w:lang w:val="en-US"/>
        </w:rPr>
        <w:t>、</w:t>
      </w:r>
      <w:r>
        <w:rPr>
          <w:rFonts w:hint="eastAsia" w:ascii="仿宋_GB2312" w:hAnsi="仿宋_GB2312" w:eastAsia="仿宋_GB2312" w:cs="仿宋_GB2312"/>
          <w:b/>
          <w:bCs/>
          <w:sz w:val="32"/>
          <w:szCs w:val="32"/>
        </w:rPr>
        <w:t>进贤县城管局、</w:t>
      </w:r>
      <w:r>
        <w:rPr>
          <w:rFonts w:hint="eastAsia" w:ascii="仿宋_GB2312" w:hAnsi="仿宋_GB2312" w:eastAsia="仿宋_GB2312" w:cs="仿宋_GB2312"/>
          <w:b/>
          <w:bCs/>
          <w:sz w:val="32"/>
          <w:szCs w:val="32"/>
          <w:lang w:val="en-US"/>
        </w:rPr>
        <w:t>进贤</w:t>
      </w:r>
      <w:r>
        <w:rPr>
          <w:rFonts w:hint="eastAsia" w:ascii="仿宋_GB2312" w:hAnsi="仿宋_GB2312" w:eastAsia="仿宋_GB2312" w:cs="仿宋_GB2312"/>
          <w:b/>
          <w:bCs/>
          <w:sz w:val="32"/>
          <w:szCs w:val="32"/>
        </w:rPr>
        <w:t>县水利局、</w:t>
      </w:r>
      <w:r>
        <w:rPr>
          <w:rFonts w:hint="eastAsia" w:ascii="仿宋_GB2312" w:hAnsi="仿宋_GB2312" w:eastAsia="仿宋_GB2312" w:cs="仿宋_GB2312"/>
          <w:b/>
          <w:bCs/>
          <w:sz w:val="32"/>
          <w:szCs w:val="32"/>
          <w:lang w:val="en-US"/>
        </w:rPr>
        <w:t>进贤</w:t>
      </w:r>
      <w:r>
        <w:rPr>
          <w:rFonts w:hint="eastAsia" w:ascii="仿宋_GB2312" w:hAnsi="仿宋_GB2312" w:eastAsia="仿宋_GB2312" w:cs="仿宋_GB2312"/>
          <w:b/>
          <w:bCs/>
          <w:sz w:val="32"/>
          <w:szCs w:val="32"/>
        </w:rPr>
        <w:t>县农业农村局</w:t>
      </w:r>
      <w:r>
        <w:rPr>
          <w:rFonts w:hint="eastAsia" w:ascii="仿宋_GB2312" w:hAnsi="仿宋_GB2312" w:eastAsia="仿宋_GB2312" w:cs="仿宋_GB2312"/>
          <w:b/>
          <w:bCs/>
          <w:sz w:val="32"/>
          <w:szCs w:val="32"/>
          <w:lang w:val="en-US"/>
        </w:rPr>
        <w:t>；责任单位：</w:t>
      </w:r>
      <w:r>
        <w:rPr>
          <w:rFonts w:hint="eastAsia" w:ascii="仿宋_GB2312" w:hAnsi="仿宋_GB2312" w:eastAsia="仿宋_GB2312" w:cs="仿宋_GB2312"/>
          <w:b/>
          <w:bCs/>
          <w:sz w:val="32"/>
          <w:szCs w:val="32"/>
        </w:rPr>
        <w:t>各乡</w:t>
      </w:r>
      <w:r>
        <w:rPr>
          <w:rFonts w:hint="eastAsia" w:ascii="仿宋_GB2312" w:hAnsi="仿宋_GB2312" w:eastAsia="仿宋_GB2312" w:cs="仿宋_GB2312"/>
          <w:b/>
          <w:bCs/>
          <w:sz w:val="32"/>
          <w:szCs w:val="32"/>
          <w:lang w:val="en-US"/>
        </w:rPr>
        <w:t>（</w:t>
      </w:r>
      <w:r>
        <w:rPr>
          <w:rFonts w:hint="eastAsia" w:ascii="仿宋_GB2312" w:hAnsi="仿宋_GB2312" w:eastAsia="仿宋_GB2312" w:cs="仿宋_GB2312"/>
          <w:b/>
          <w:bCs/>
          <w:sz w:val="32"/>
          <w:szCs w:val="32"/>
        </w:rPr>
        <w:t>镇</w:t>
      </w:r>
      <w:r>
        <w:rPr>
          <w:rFonts w:hint="eastAsia" w:ascii="仿宋_GB2312" w:hAnsi="仿宋_GB2312" w:eastAsia="仿宋_GB2312" w:cs="仿宋_GB2312"/>
          <w:b/>
          <w:bCs/>
          <w:sz w:val="32"/>
          <w:szCs w:val="32"/>
          <w:lang w:val="en-US"/>
        </w:rPr>
        <w:t>）</w:t>
      </w:r>
      <w:r>
        <w:rPr>
          <w:rFonts w:hint="eastAsia" w:ascii="仿宋_GB2312" w:hAnsi="仿宋_GB2312" w:eastAsia="仿宋_GB2312" w:cs="仿宋_GB2312"/>
          <w:b/>
          <w:bCs/>
          <w:sz w:val="32"/>
          <w:szCs w:val="32"/>
        </w:rPr>
        <w:t>人民政府）</w:t>
      </w:r>
    </w:p>
    <w:p>
      <w:pPr>
        <w:pStyle w:val="3"/>
        <w:keepNext w:val="0"/>
        <w:keepLines w:val="0"/>
        <w:pageBreakBefore w:val="0"/>
        <w:numPr>
          <w:ilvl w:val="0"/>
          <w:numId w:val="0"/>
        </w:numPr>
        <w:kinsoku/>
        <w:wordWrap/>
        <w:overflowPunct/>
        <w:topLinePunct w:val="0"/>
        <w:autoSpaceDE/>
        <w:bidi w:val="0"/>
        <w:spacing w:before="0" w:beforeLines="0"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（六）强化流域生态环境保护</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流域生态环境保护与治理并重的原则，结合流域重大工程，优先建设和水源保育、湖荡湿地、湖滨缓冲带，要坚持因地制宜，重视自然恢复，提高流域自然净化能力；继续实施退耕还林、退田还湖、水土保持等生态环境治理工程，严格控制土地退化；经济社会发展要与水环境承载力相适应，统筹生活、生产和生态用水，建设节水型社会；水资源开发利用活动，要充分考虑生态用水。</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梯次推动试点保护区生态养护，科学、精准、依法开展生态收割、生态清淤、生态捕捞工作，持续提高保护区生态环境修复水平。科学控制河道采砂数量，进一步加强全县河道采砂监督执法，加大对重点河段、水域、人员、船舶管控力度，严厉打击非法采砂破坏水域生态环境行为，持续改善河道水生态环境质量。</w:t>
      </w:r>
      <w:r>
        <w:rPr>
          <w:rFonts w:hint="eastAsia" w:ascii="仿宋_GB2312" w:hAnsi="仿宋_GB2312" w:eastAsia="仿宋_GB2312" w:cs="仿宋_GB2312"/>
          <w:b/>
          <w:bCs/>
          <w:sz w:val="32"/>
          <w:szCs w:val="32"/>
        </w:rPr>
        <w:t>（牵头单位：</w:t>
      </w:r>
      <w:r>
        <w:rPr>
          <w:rFonts w:hint="eastAsia" w:ascii="仿宋_GB2312" w:hAnsi="仿宋_GB2312" w:eastAsia="仿宋_GB2312" w:cs="仿宋_GB2312"/>
          <w:b/>
          <w:bCs/>
          <w:sz w:val="32"/>
          <w:szCs w:val="32"/>
          <w:lang w:val="en-US"/>
        </w:rPr>
        <w:t>进贤县</w:t>
      </w:r>
      <w:r>
        <w:rPr>
          <w:rFonts w:hint="eastAsia" w:ascii="仿宋_GB2312" w:hAnsi="仿宋_GB2312" w:eastAsia="仿宋_GB2312" w:cs="仿宋_GB2312"/>
          <w:b/>
          <w:bCs/>
          <w:sz w:val="32"/>
          <w:szCs w:val="32"/>
        </w:rPr>
        <w:t>水利局、</w:t>
      </w:r>
      <w:r>
        <w:rPr>
          <w:rFonts w:hint="eastAsia" w:ascii="仿宋_GB2312" w:hAnsi="仿宋_GB2312" w:eastAsia="仿宋_GB2312" w:cs="仿宋_GB2312"/>
          <w:b/>
          <w:bCs/>
          <w:sz w:val="32"/>
          <w:szCs w:val="32"/>
          <w:lang w:val="en-US"/>
        </w:rPr>
        <w:t>进贤县</w:t>
      </w:r>
      <w:r>
        <w:rPr>
          <w:rFonts w:hint="eastAsia" w:ascii="仿宋_GB2312" w:hAnsi="仿宋_GB2312" w:eastAsia="仿宋_GB2312" w:cs="仿宋_GB2312"/>
          <w:b/>
          <w:bCs/>
          <w:sz w:val="32"/>
          <w:szCs w:val="32"/>
        </w:rPr>
        <w:t>林业局、</w:t>
      </w:r>
      <w:r>
        <w:rPr>
          <w:rFonts w:hint="eastAsia" w:ascii="仿宋_GB2312" w:hAnsi="仿宋_GB2312" w:eastAsia="仿宋_GB2312" w:cs="仿宋_GB2312"/>
          <w:b/>
          <w:bCs/>
          <w:sz w:val="32"/>
          <w:szCs w:val="32"/>
          <w:lang w:val="en-US"/>
        </w:rPr>
        <w:t>进贤县</w:t>
      </w:r>
      <w:r>
        <w:rPr>
          <w:rFonts w:hint="eastAsia" w:ascii="仿宋_GB2312" w:hAnsi="仿宋_GB2312" w:eastAsia="仿宋_GB2312" w:cs="仿宋_GB2312"/>
          <w:b/>
          <w:bCs/>
          <w:sz w:val="32"/>
          <w:szCs w:val="32"/>
        </w:rPr>
        <w:t>农业农村局</w:t>
      </w:r>
      <w:r>
        <w:rPr>
          <w:rFonts w:hint="eastAsia" w:ascii="仿宋_GB2312" w:hAnsi="仿宋_GB2312" w:eastAsia="仿宋_GB2312" w:cs="仿宋_GB2312"/>
          <w:b/>
          <w:bCs/>
          <w:sz w:val="32"/>
          <w:szCs w:val="32"/>
          <w:lang w:val="en-US"/>
        </w:rPr>
        <w:t>、</w:t>
      </w:r>
      <w:r>
        <w:rPr>
          <w:rFonts w:hint="eastAsia" w:ascii="仿宋_GB2312" w:hAnsi="仿宋_GB2312" w:eastAsia="仿宋_GB2312" w:cs="仿宋_GB2312"/>
          <w:b/>
          <w:bCs/>
          <w:sz w:val="32"/>
          <w:szCs w:val="32"/>
        </w:rPr>
        <w:t>进贤生态环境局</w:t>
      </w:r>
      <w:r>
        <w:rPr>
          <w:rFonts w:hint="eastAsia" w:ascii="仿宋_GB2312" w:hAnsi="仿宋_GB2312" w:eastAsia="仿宋_GB2312" w:cs="仿宋_GB2312"/>
          <w:b/>
          <w:bCs/>
          <w:sz w:val="32"/>
          <w:szCs w:val="32"/>
          <w:lang w:val="en-US"/>
        </w:rPr>
        <w:t>；责任单位：</w:t>
      </w:r>
      <w:r>
        <w:rPr>
          <w:rFonts w:hint="eastAsia" w:ascii="仿宋_GB2312" w:hAnsi="仿宋_GB2312" w:eastAsia="仿宋_GB2312" w:cs="仿宋_GB2312"/>
          <w:b/>
          <w:bCs/>
          <w:sz w:val="32"/>
          <w:szCs w:val="32"/>
        </w:rPr>
        <w:t>各乡</w:t>
      </w:r>
      <w:r>
        <w:rPr>
          <w:rFonts w:hint="eastAsia" w:ascii="仿宋_GB2312" w:hAnsi="仿宋_GB2312" w:eastAsia="仿宋_GB2312" w:cs="仿宋_GB2312"/>
          <w:b/>
          <w:bCs/>
          <w:sz w:val="32"/>
          <w:szCs w:val="32"/>
          <w:lang w:val="en-US"/>
        </w:rPr>
        <w:t>（</w:t>
      </w:r>
      <w:r>
        <w:rPr>
          <w:rFonts w:hint="eastAsia" w:ascii="仿宋_GB2312" w:hAnsi="仿宋_GB2312" w:eastAsia="仿宋_GB2312" w:cs="仿宋_GB2312"/>
          <w:b/>
          <w:bCs/>
          <w:sz w:val="32"/>
          <w:szCs w:val="32"/>
        </w:rPr>
        <w:t>镇</w:t>
      </w:r>
      <w:r>
        <w:rPr>
          <w:rFonts w:hint="eastAsia" w:ascii="仿宋_GB2312" w:hAnsi="仿宋_GB2312" w:eastAsia="仿宋_GB2312" w:cs="仿宋_GB2312"/>
          <w:b/>
          <w:bCs/>
          <w:sz w:val="32"/>
          <w:szCs w:val="32"/>
          <w:lang w:val="en-US"/>
        </w:rPr>
        <w:t>）</w:t>
      </w:r>
      <w:r>
        <w:rPr>
          <w:rFonts w:hint="eastAsia" w:ascii="仿宋_GB2312" w:hAnsi="仿宋_GB2312" w:eastAsia="仿宋_GB2312" w:cs="仿宋_GB2312"/>
          <w:b/>
          <w:bCs/>
          <w:sz w:val="32"/>
          <w:szCs w:val="32"/>
        </w:rPr>
        <w:t>人民政府）</w:t>
      </w:r>
    </w:p>
    <w:p>
      <w:pPr>
        <w:pStyle w:val="2"/>
        <w:keepNext w:val="0"/>
        <w:keepLines w:val="0"/>
        <w:pageBreakBefore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sz w:val="32"/>
          <w:szCs w:val="32"/>
        </w:rPr>
      </w:pPr>
      <w:bookmarkStart w:id="45" w:name="_Toc113611380"/>
      <w:bookmarkStart w:id="46" w:name="_Toc112439897"/>
      <w:r>
        <w:rPr>
          <w:rFonts w:hint="eastAsia" w:ascii="黑体" w:hAnsi="黑体" w:eastAsia="黑体" w:cs="黑体"/>
          <w:b w:val="0"/>
          <w:bCs w:val="0"/>
          <w:sz w:val="32"/>
          <w:szCs w:val="32"/>
        </w:rPr>
        <w:t>五、保障措施</w:t>
      </w:r>
      <w:bookmarkEnd w:id="45"/>
      <w:bookmarkEnd w:id="46"/>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bookmarkStart w:id="47" w:name="_Toc112439898"/>
      <w:bookmarkStart w:id="48" w:name="_Toc113611381"/>
      <w:bookmarkStart w:id="49" w:name="_Toc343777160"/>
      <w:bookmarkStart w:id="50" w:name="_Toc365645780"/>
      <w:r>
        <w:rPr>
          <w:rFonts w:hint="eastAsia" w:ascii="仿宋_GB2312" w:hAnsi="仿宋_GB2312" w:eastAsia="仿宋_GB2312" w:cs="仿宋_GB2312"/>
          <w:sz w:val="32"/>
          <w:szCs w:val="32"/>
        </w:rPr>
        <w:t>（一）加强组织领导</w:t>
      </w:r>
      <w:bookmarkEnd w:id="47"/>
      <w:bookmarkEnd w:id="48"/>
      <w:bookmarkEnd w:id="49"/>
      <w:bookmarkEnd w:id="50"/>
      <w:r>
        <w:rPr>
          <w:rFonts w:hint="eastAsia" w:ascii="仿宋_GB2312" w:hAnsi="仿宋_GB2312" w:eastAsia="仿宋_GB2312" w:cs="仿宋_GB2312"/>
          <w:sz w:val="32"/>
          <w:szCs w:val="32"/>
        </w:rPr>
        <w:t>，明确职责分工</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贤县政府、各部门将生态环境保护摆在更加突出位置，明确工作重点，落实任务责任。各牵头部门切实负总责任，组织各责任单位对牵头负责的重要任务、重大政策、重大项目进行落实，细化具体任务，落实责任主体，明确时间节点，切实加强对规划实施工作的组织领导，及时协调解决规划实施过程中的问题；加强本方案与各类规划、计划衔接协调，推动规划落地落实。有关部门要按照职责分工，制定落实方案计划，强化部门协作和地方指导。</w:t>
      </w:r>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lang w:val="en-US"/>
        </w:rPr>
      </w:pPr>
      <w:bookmarkStart w:id="51" w:name="_Toc112439899"/>
      <w:bookmarkStart w:id="52" w:name="_Toc113611382"/>
      <w:r>
        <w:rPr>
          <w:rFonts w:hint="eastAsia" w:ascii="仿宋_GB2312" w:hAnsi="仿宋_GB2312" w:eastAsia="仿宋_GB2312" w:cs="仿宋_GB2312"/>
          <w:sz w:val="32"/>
          <w:szCs w:val="32"/>
          <w:lang w:val="en-US"/>
        </w:rPr>
        <w:t>（</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en-US"/>
        </w:rPr>
        <w:t>）</w:t>
      </w:r>
      <w:r>
        <w:rPr>
          <w:rFonts w:hint="eastAsia" w:ascii="仿宋_GB2312" w:hAnsi="仿宋_GB2312" w:eastAsia="仿宋_GB2312" w:cs="仿宋_GB2312"/>
          <w:sz w:val="32"/>
          <w:szCs w:val="32"/>
        </w:rPr>
        <w:t>健全制度</w:t>
      </w:r>
      <w:bookmarkEnd w:id="51"/>
      <w:bookmarkEnd w:id="52"/>
      <w:r>
        <w:rPr>
          <w:rFonts w:hint="eastAsia" w:ascii="仿宋_GB2312" w:hAnsi="仿宋_GB2312" w:eastAsia="仿宋_GB2312" w:cs="仿宋_GB2312"/>
          <w:sz w:val="32"/>
          <w:szCs w:val="32"/>
        </w:rPr>
        <w:t>体系</w:t>
      </w:r>
      <w:r>
        <w:rPr>
          <w:rFonts w:hint="eastAsia" w:ascii="仿宋_GB2312" w:hAnsi="仿宋_GB2312" w:eastAsia="仿宋_GB2312" w:cs="仿宋_GB2312"/>
          <w:sz w:val="32"/>
          <w:szCs w:val="32"/>
          <w:lang w:val="en-US"/>
        </w:rPr>
        <w:t>，</w:t>
      </w:r>
      <w:r>
        <w:rPr>
          <w:rFonts w:hint="eastAsia" w:ascii="仿宋_GB2312" w:hAnsi="仿宋_GB2312" w:eastAsia="仿宋_GB2312" w:cs="仿宋_GB2312"/>
          <w:sz w:val="32"/>
          <w:szCs w:val="32"/>
        </w:rPr>
        <w:t>完善工作机制</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w:t>
      </w:r>
      <w:bookmarkStart w:id="53" w:name="_Hlk112352578"/>
      <w:r>
        <w:rPr>
          <w:rFonts w:hint="eastAsia" w:ascii="仿宋_GB2312" w:hAnsi="仿宋_GB2312" w:eastAsia="仿宋_GB2312" w:cs="仿宋_GB2312"/>
          <w:sz w:val="32"/>
          <w:szCs w:val="32"/>
        </w:rPr>
        <w:t>健全断面长制各项制度</w:t>
      </w:r>
      <w:bookmarkEnd w:id="53"/>
      <w:r>
        <w:rPr>
          <w:rFonts w:hint="eastAsia" w:ascii="仿宋_GB2312" w:hAnsi="仿宋_GB2312" w:eastAsia="仿宋_GB2312" w:cs="仿宋_GB2312"/>
          <w:sz w:val="32"/>
          <w:szCs w:val="32"/>
        </w:rPr>
        <w:t>，主要包括断面长会议制度、信息共享制度、信息报送制度、工作监督制度、考核问责和激励制度、验收制度等。设一名县级“断面长”，每个县级断面下设若干乡级“断面长”，在河湖责任段设置乡级断面，每个乡级“断面长”对应1个乡级断面。按照每月监测2次的频次，对断面主要水质指标实施采样监测。</w:t>
      </w:r>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bookmarkStart w:id="54" w:name="_Toc112439900"/>
      <w:bookmarkStart w:id="55" w:name="_Toc113611383"/>
      <w:bookmarkStart w:id="56" w:name="_Toc343777163"/>
      <w:bookmarkStart w:id="57" w:name="_Toc307231628"/>
      <w:bookmarkStart w:id="58" w:name="_Toc365645783"/>
      <w:bookmarkStart w:id="59" w:name="_Toc299432844"/>
      <w:bookmarkStart w:id="60" w:name="_Toc307231626"/>
      <w:bookmarkStart w:id="61" w:name="_Toc343777161"/>
      <w:bookmarkStart w:id="62" w:name="_Toc299432842"/>
      <w:bookmarkStart w:id="63" w:name="_Toc365645781"/>
      <w:r>
        <w:rPr>
          <w:rFonts w:hint="eastAsia" w:ascii="仿宋_GB2312" w:hAnsi="仿宋_GB2312" w:eastAsia="仿宋_GB2312" w:cs="仿宋_GB2312"/>
          <w:sz w:val="32"/>
          <w:szCs w:val="32"/>
        </w:rPr>
        <w:t>（三）发挥驻点优势</w:t>
      </w:r>
      <w:bookmarkEnd w:id="54"/>
      <w:bookmarkEnd w:id="55"/>
      <w:r>
        <w:rPr>
          <w:rFonts w:hint="eastAsia" w:ascii="仿宋_GB2312" w:hAnsi="仿宋_GB2312" w:eastAsia="仿宋_GB2312" w:cs="仿宋_GB2312"/>
          <w:sz w:val="32"/>
          <w:szCs w:val="32"/>
        </w:rPr>
        <w:t>，强化科技帮扶</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依托</w:t>
      </w:r>
      <w:r>
        <w:rPr>
          <w:rFonts w:hint="eastAsia" w:ascii="仿宋_GB2312" w:hAnsi="仿宋_GB2312" w:eastAsia="仿宋_GB2312" w:cs="仿宋_GB2312"/>
          <w:sz w:val="32"/>
          <w:szCs w:val="32"/>
        </w:rPr>
        <w:t>南昌市（二期）驻点工作组，重点针对鄱阳湖南昌湖区水生态环境观测、TP污染溯源等重点问题，开展前瞻性、基础性和对策性科学技术研究，集中突破水污染治理和水生态修复的技术瓶颈，加快制定标准、规范、政策，积极推进示范推广应用工作，建立流域治理技术供需双方对接机制，强化驻点科技帮扶，提高区域水环境治理和水生态修复水平。</w:t>
      </w:r>
    </w:p>
    <w:bookmarkEnd w:id="56"/>
    <w:bookmarkEnd w:id="57"/>
    <w:bookmarkEnd w:id="58"/>
    <w:bookmarkEnd w:id="59"/>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bookmarkStart w:id="64" w:name="_Toc113611384"/>
      <w:bookmarkStart w:id="65" w:name="_Toc112439901"/>
      <w:r>
        <w:rPr>
          <w:rFonts w:hint="eastAsia" w:ascii="仿宋_GB2312" w:hAnsi="仿宋_GB2312" w:eastAsia="仿宋_GB2312" w:cs="仿宋_GB2312"/>
          <w:sz w:val="32"/>
          <w:szCs w:val="32"/>
        </w:rPr>
        <w:t>（四）集中优势资源，拓展融资渠道</w:t>
      </w:r>
      <w:bookmarkEnd w:id="60"/>
      <w:bookmarkEnd w:id="61"/>
      <w:bookmarkEnd w:id="62"/>
      <w:bookmarkEnd w:id="63"/>
      <w:bookmarkEnd w:id="64"/>
      <w:bookmarkEnd w:id="65"/>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争取江西省和国家资金支持。积极拓展中央生态环境资金项目支持，包括水污染防治资金、土壤污染防治资金、农村环境整治资金。要积极开展上述生态环境项目包装，整合各层面、渠道的专项资金，为“一断面一策”提供资金保障。通过完善市场化投融资机制，健全生态保护补偿机制促进生态产品价值实现等有效手段，提高工程项目的盈利能力，吸引社会资本投资，促进多元化多渠道融资，保障项目资金落实。</w:t>
      </w:r>
    </w:p>
    <w:p>
      <w:pPr>
        <w:pStyle w:val="3"/>
        <w:keepNext w:val="0"/>
        <w:keepLines w:val="0"/>
        <w:pageBreakBefore w:val="0"/>
        <w:numPr>
          <w:ilvl w:val="0"/>
          <w:numId w:val="0"/>
        </w:numPr>
        <w:kinsoku/>
        <w:wordWrap/>
        <w:overflowPunct/>
        <w:topLinePunct w:val="0"/>
        <w:autoSpaceDE/>
        <w:bidi w:val="0"/>
        <w:snapToGrid/>
        <w:spacing w:before="0" w:beforeLines="0" w:line="560" w:lineRule="exact"/>
        <w:ind w:firstLine="642" w:firstLineChars="200"/>
        <w:jc w:val="both"/>
        <w:textAlignment w:val="auto"/>
        <w:rPr>
          <w:rFonts w:hint="eastAsia" w:ascii="仿宋_GB2312" w:hAnsi="仿宋_GB2312" w:eastAsia="仿宋_GB2312" w:cs="仿宋_GB2312"/>
          <w:sz w:val="32"/>
          <w:szCs w:val="32"/>
        </w:rPr>
      </w:pPr>
      <w:bookmarkStart w:id="66" w:name="_Toc112439902"/>
      <w:bookmarkStart w:id="67" w:name="_Toc113611385"/>
      <w:r>
        <w:rPr>
          <w:rFonts w:hint="eastAsia" w:ascii="仿宋_GB2312" w:hAnsi="仿宋_GB2312" w:eastAsia="仿宋_GB2312" w:cs="仿宋_GB2312"/>
          <w:sz w:val="32"/>
          <w:szCs w:val="32"/>
        </w:rPr>
        <w:t>（五）强化监督管理</w:t>
      </w:r>
      <w:bookmarkEnd w:id="66"/>
      <w:bookmarkEnd w:id="67"/>
      <w:r>
        <w:rPr>
          <w:rFonts w:hint="eastAsia" w:ascii="仿宋_GB2312" w:hAnsi="仿宋_GB2312" w:eastAsia="仿宋_GB2312" w:cs="仿宋_GB2312"/>
          <w:sz w:val="32"/>
          <w:szCs w:val="32"/>
        </w:rPr>
        <w:t>，推动责任落实</w:t>
      </w:r>
    </w:p>
    <w:p>
      <w:pPr>
        <w:pStyle w:val="262"/>
        <w:keepNext w:val="0"/>
        <w:keepLines w:val="0"/>
        <w:pageBreakBefore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断面周边造成损害的单位和个人，要承担生态环境损害赔偿责任，做到应赔尽赔。相关部门围绕本方案的目标指标、重点任务等，对“一断面一策”中各项措施的落实情况进行监督管理，对其执行情况实行动态监测评估，及时发现和解决出现的问题，推动各项任务落实。加大对“一断面一策”落实情况的督察力度，按进度定期对“一断面一策”执行情况开展考核，切实解决金溪咀刘家断面水质反弹问题，确保水质稳步提升，实现水环境质量的持续改善。</w:t>
      </w:r>
    </w:p>
    <w:p>
      <w:pPr>
        <w:pStyle w:val="2"/>
        <w:keepNext w:val="0"/>
        <w:keepLines w:val="0"/>
        <w:pageBreakBefore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kern w:val="0"/>
          <w:sz w:val="32"/>
          <w:szCs w:val="32"/>
        </w:rPr>
      </w:pPr>
      <w:bookmarkStart w:id="68" w:name="_Toc113611386"/>
      <w:r>
        <w:rPr>
          <w:rFonts w:hint="eastAsia" w:ascii="黑体" w:hAnsi="黑体" w:eastAsia="黑体" w:cs="黑体"/>
          <w:b w:val="0"/>
          <w:bCs w:val="0"/>
          <w:kern w:val="0"/>
          <w:sz w:val="32"/>
          <w:szCs w:val="32"/>
        </w:rPr>
        <w:t>六、附件</w:t>
      </w:r>
      <w:bookmarkEnd w:id="68"/>
    </w:p>
    <w:p>
      <w:pPr>
        <w:pStyle w:val="4"/>
        <w:keepNext w:val="0"/>
        <w:keepLines w:val="0"/>
        <w:pageBreakBefore w:val="0"/>
        <w:widowControl w:val="0"/>
        <w:numPr>
          <w:ilvl w:val="0"/>
          <w:numId w:val="0"/>
        </w:numPr>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69" w:name="_Toc113611388"/>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断面汇水范围</w:t>
      </w:r>
    </w:p>
    <w:p>
      <w:pPr>
        <w:jc w:val="center"/>
        <w:rPr>
          <w:rFonts w:eastAsia="仿宋" w:cs="Times New Roman"/>
          <w:lang w:val="zh-CN"/>
        </w:rPr>
      </w:pPr>
      <w:r>
        <w:drawing>
          <wp:inline distT="0" distB="0" distL="0" distR="0">
            <wp:extent cx="5274310" cy="52743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p>
      <w:pPr>
        <w:jc w:val="center"/>
        <w:rPr>
          <w:rFonts w:hint="eastAsia" w:ascii="仿宋_GB2312" w:hAnsi="仿宋_GB2312" w:eastAsia="仿宋_GB2312" w:cs="仿宋_GB2312"/>
          <w:b/>
          <w:bCs/>
          <w:sz w:val="24"/>
          <w:szCs w:val="20"/>
          <w:lang w:val="zh-CN"/>
        </w:rPr>
      </w:pPr>
      <w:r>
        <w:rPr>
          <w:rFonts w:hint="eastAsia" w:ascii="仿宋_GB2312" w:hAnsi="仿宋_GB2312" w:eastAsia="仿宋_GB2312" w:cs="仿宋_GB2312"/>
          <w:b/>
          <w:bCs/>
          <w:sz w:val="24"/>
          <w:szCs w:val="20"/>
          <w:lang w:val="zh-CN"/>
        </w:rPr>
        <w:t>附图1</w:t>
      </w:r>
      <w:r>
        <w:rPr>
          <w:rFonts w:hint="eastAsia" w:ascii="仿宋_GB2312" w:hAnsi="仿宋_GB2312" w:eastAsia="仿宋_GB2312" w:cs="仿宋_GB2312"/>
          <w:b/>
          <w:bCs/>
          <w:sz w:val="24"/>
          <w:szCs w:val="20"/>
          <w:lang w:val="en-US" w:eastAsia="zh-CN"/>
        </w:rPr>
        <w:t xml:space="preserve"> </w:t>
      </w:r>
      <w:r>
        <w:rPr>
          <w:rFonts w:hint="eastAsia" w:ascii="仿宋_GB2312" w:hAnsi="仿宋_GB2312" w:eastAsia="仿宋_GB2312" w:cs="仿宋_GB2312"/>
          <w:b/>
          <w:bCs/>
          <w:sz w:val="24"/>
          <w:szCs w:val="20"/>
          <w:lang w:val="zh-CN"/>
        </w:rPr>
        <w:t xml:space="preserve"> 金溪咀刘家断面汇水范围图</w:t>
      </w:r>
    </w:p>
    <w:p>
      <w:pPr>
        <w:jc w:val="center"/>
        <w:rPr>
          <w:rFonts w:eastAsia="仿宋" w:cs="Times New Roman"/>
          <w:lang w:val="zh-CN"/>
        </w:rPr>
      </w:pPr>
    </w:p>
    <w:p>
      <w:pPr>
        <w:widowControl/>
        <w:spacing w:line="240" w:lineRule="auto"/>
        <w:jc w:val="left"/>
        <w:rPr>
          <w:rFonts w:eastAsia="仿宋"/>
        </w:rPr>
      </w:pPr>
      <w:r>
        <w:rPr>
          <w:rFonts w:eastAsia="仿宋"/>
        </w:rPr>
        <w:br w:type="page"/>
      </w:r>
    </w:p>
    <w:p>
      <w:pPr>
        <w:pStyle w:val="4"/>
        <w:keepNext w:val="0"/>
        <w:keepLines w:val="0"/>
        <w:pageBreakBefore w:val="0"/>
        <w:widowControl w:val="0"/>
        <w:numPr>
          <w:ilvl w:val="0"/>
          <w:numId w:val="0"/>
        </w:numPr>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水质时空变化示意图</w:t>
      </w:r>
    </w:p>
    <w:p>
      <w:pPr>
        <w:pStyle w:val="262"/>
        <w:ind w:firstLine="0" w:firstLineChars="0"/>
        <w:jc w:val="center"/>
        <w:rPr>
          <w:rFonts w:eastAsia="仿宋"/>
        </w:rPr>
      </w:pPr>
      <w:r>
        <w:rPr>
          <w:rFonts w:eastAsia="仿宋"/>
        </w:rPr>
        <w:drawing>
          <wp:inline distT="0" distB="0" distL="0" distR="0">
            <wp:extent cx="5091430" cy="35864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rcRect l="3467"/>
                    <a:stretch>
                      <a:fillRect/>
                    </a:stretch>
                  </pic:blipFill>
                  <pic:spPr>
                    <a:xfrm>
                      <a:off x="0" y="0"/>
                      <a:ext cx="5091430" cy="3586480"/>
                    </a:xfrm>
                    <a:prstGeom prst="rect">
                      <a:avLst/>
                    </a:prstGeom>
                    <a:ln>
                      <a:noFill/>
                    </a:ln>
                  </pic:spPr>
                </pic:pic>
              </a:graphicData>
            </a:graphic>
          </wp:inline>
        </w:drawing>
      </w:r>
    </w:p>
    <w:p>
      <w:pPr>
        <w:pStyle w:val="262"/>
        <w:ind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附图2-1</w:t>
      </w:r>
      <w:r>
        <w:rPr>
          <w:rFonts w:hint="eastAsia"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rPr>
        <w:t xml:space="preserve"> 金溪咀刘家断面TP月度变化</w:t>
      </w:r>
    </w:p>
    <w:p>
      <w:pPr>
        <w:pStyle w:val="262"/>
        <w:ind w:firstLine="0" w:firstLineChars="0"/>
        <w:jc w:val="center"/>
        <w:rPr>
          <w:rFonts w:eastAsia="仿宋"/>
        </w:rPr>
      </w:pPr>
      <w:r>
        <w:drawing>
          <wp:inline distT="0" distB="0" distL="0" distR="0">
            <wp:extent cx="5061585" cy="3783330"/>
            <wp:effectExtent l="0" t="0" r="571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rcRect r="4023"/>
                    <a:stretch>
                      <a:fillRect/>
                    </a:stretch>
                  </pic:blipFill>
                  <pic:spPr>
                    <a:xfrm>
                      <a:off x="0" y="0"/>
                      <a:ext cx="5062119" cy="3783330"/>
                    </a:xfrm>
                    <a:prstGeom prst="rect">
                      <a:avLst/>
                    </a:prstGeom>
                    <a:ln>
                      <a:noFill/>
                    </a:ln>
                  </pic:spPr>
                </pic:pic>
              </a:graphicData>
            </a:graphic>
          </wp:inline>
        </w:drawing>
      </w:r>
    </w:p>
    <w:p>
      <w:pPr>
        <w:pStyle w:val="262"/>
        <w:ind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附图2-2</w:t>
      </w:r>
      <w:r>
        <w:rPr>
          <w:rFonts w:hint="eastAsia"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rPr>
        <w:t>金溪咀刘家断面高锰酸盐指数月度变化</w:t>
      </w:r>
    </w:p>
    <w:p>
      <w:pPr>
        <w:pStyle w:val="262"/>
        <w:ind w:firstLine="0" w:firstLineChars="0"/>
        <w:jc w:val="center"/>
        <w:rPr>
          <w:rFonts w:eastAsia="仿宋"/>
        </w:rPr>
      </w:pPr>
      <w:r>
        <w:drawing>
          <wp:inline distT="0" distB="0" distL="0" distR="0">
            <wp:extent cx="5090795" cy="381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094598" cy="3812668"/>
                    </a:xfrm>
                    <a:prstGeom prst="rect">
                      <a:avLst/>
                    </a:prstGeom>
                  </pic:spPr>
                </pic:pic>
              </a:graphicData>
            </a:graphic>
          </wp:inline>
        </w:drawing>
      </w:r>
    </w:p>
    <w:p>
      <w:pPr>
        <w:pStyle w:val="262"/>
        <w:ind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附图2-3</w:t>
      </w:r>
      <w:r>
        <w:rPr>
          <w:rFonts w:hint="eastAsia"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rPr>
        <w:t>金溪咀刘家断面氨氮指数月度变化</w:t>
      </w:r>
    </w:p>
    <w:p>
      <w:pPr>
        <w:pStyle w:val="262"/>
        <w:ind w:firstLine="0" w:firstLineChars="0"/>
        <w:jc w:val="center"/>
        <w:rPr>
          <w:rFonts w:eastAsia="仿宋"/>
        </w:rPr>
      </w:pPr>
      <w:r>
        <w:drawing>
          <wp:inline distT="0" distB="0" distL="0" distR="0">
            <wp:extent cx="5164455" cy="37814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168462" cy="3784563"/>
                    </a:xfrm>
                    <a:prstGeom prst="rect">
                      <a:avLst/>
                    </a:prstGeom>
                  </pic:spPr>
                </pic:pic>
              </a:graphicData>
            </a:graphic>
          </wp:inline>
        </w:drawing>
      </w:r>
    </w:p>
    <w:p>
      <w:pPr>
        <w:pStyle w:val="262"/>
        <w:ind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附图2-4</w:t>
      </w:r>
      <w:r>
        <w:rPr>
          <w:rFonts w:hint="eastAsia"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rPr>
        <w:t>金溪咀刘家断面化学需氧量指数月度变化</w:t>
      </w:r>
    </w:p>
    <w:p>
      <w:pPr>
        <w:widowControl/>
        <w:spacing w:line="240" w:lineRule="auto"/>
        <w:jc w:val="left"/>
        <w:rPr>
          <w:rFonts w:eastAsia="仿宋" w:cs="Times New Roman"/>
          <w:b/>
          <w:bCs/>
          <w:szCs w:val="28"/>
        </w:rPr>
      </w:pPr>
    </w:p>
    <w:p>
      <w:pPr>
        <w:widowControl/>
        <w:spacing w:line="240" w:lineRule="auto"/>
        <w:jc w:val="left"/>
        <w:rPr>
          <w:rFonts w:eastAsia="仿宋" w:cs="Times New Roman"/>
          <w:b/>
          <w:bCs/>
          <w:szCs w:val="28"/>
          <w:lang w:val="zh-CN"/>
        </w:rPr>
      </w:pPr>
      <w:r>
        <w:rPr>
          <w:rFonts w:eastAsia="仿宋"/>
        </w:rPr>
        <w:br w:type="page"/>
      </w:r>
    </w:p>
    <w:p>
      <w:pPr>
        <w:pStyle w:val="4"/>
        <w:keepNext w:val="0"/>
        <w:keepLines w:val="0"/>
        <w:pageBreakBefore w:val="0"/>
        <w:widowControl w:val="0"/>
        <w:numPr>
          <w:ilvl w:val="0"/>
          <w:numId w:val="0"/>
        </w:numPr>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断面排污口分布图</w:t>
      </w:r>
    </w:p>
    <w:p>
      <w:pPr>
        <w:pStyle w:val="262"/>
        <w:ind w:firstLine="0" w:firstLineChars="0"/>
        <w:rPr>
          <w:rFonts w:eastAsia="仿宋"/>
          <w:lang w:val="zh-CN"/>
        </w:rPr>
      </w:pPr>
      <w:r>
        <w:rPr>
          <w:rFonts w:eastAsia="仿宋"/>
        </w:rPr>
        <w:drawing>
          <wp:inline distT="0" distB="0" distL="0" distR="0">
            <wp:extent cx="5274310" cy="3467100"/>
            <wp:effectExtent l="0" t="0" r="2540" b="0"/>
            <wp:docPr id="7" name="图片 7" descr="C:\Users\luqing\Desktop\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qing\Desktop\J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467526"/>
                    </a:xfrm>
                    <a:prstGeom prst="rect">
                      <a:avLst/>
                    </a:prstGeom>
                    <a:noFill/>
                    <a:ln>
                      <a:noFill/>
                    </a:ln>
                  </pic:spPr>
                </pic:pic>
              </a:graphicData>
            </a:graphic>
          </wp:inline>
        </w:drawing>
      </w:r>
    </w:p>
    <w:p>
      <w:pPr>
        <w:pStyle w:val="262"/>
        <w:ind w:firstLine="0" w:firstLineChars="0"/>
        <w:jc w:val="center"/>
        <w:rPr>
          <w:rFonts w:hint="eastAsia" w:ascii="仿宋_GB2312" w:hAnsi="仿宋_GB2312" w:eastAsia="仿宋_GB2312" w:cs="仿宋_GB2312"/>
          <w:b/>
          <w:bCs/>
          <w:sz w:val="24"/>
          <w:szCs w:val="24"/>
          <w:lang w:val="zh-CN"/>
        </w:rPr>
      </w:pPr>
      <w:r>
        <w:rPr>
          <w:rFonts w:hint="eastAsia" w:ascii="仿宋_GB2312" w:hAnsi="仿宋_GB2312" w:eastAsia="仿宋_GB2312" w:cs="仿宋_GB2312"/>
          <w:b/>
          <w:bCs/>
          <w:sz w:val="24"/>
          <w:szCs w:val="24"/>
        </w:rPr>
        <w:t>附图3</w:t>
      </w:r>
      <w:r>
        <w:rPr>
          <w:rFonts w:hint="eastAsia"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rPr>
        <w:t xml:space="preserve"> 金溪咀刘家</w:t>
      </w:r>
      <w:r>
        <w:rPr>
          <w:rFonts w:hint="eastAsia" w:ascii="仿宋_GB2312" w:hAnsi="仿宋_GB2312" w:eastAsia="仿宋_GB2312" w:cs="仿宋_GB2312"/>
          <w:b/>
          <w:bCs/>
          <w:sz w:val="24"/>
          <w:szCs w:val="24"/>
          <w:lang w:val="zh-CN"/>
        </w:rPr>
        <w:t>断面排口位置图</w:t>
      </w:r>
    </w:p>
    <w:p>
      <w:pPr>
        <w:widowControl/>
        <w:spacing w:line="240" w:lineRule="auto"/>
        <w:jc w:val="left"/>
        <w:rPr>
          <w:rFonts w:eastAsia="仿宋" w:cs="Times New Roman"/>
          <w:b/>
          <w:bCs/>
          <w:szCs w:val="28"/>
          <w:lang w:val="zh-CN"/>
        </w:rPr>
      </w:pPr>
      <w:r>
        <w:rPr>
          <w:rFonts w:eastAsia="仿宋"/>
        </w:rPr>
        <w:br w:type="page"/>
      </w:r>
    </w:p>
    <w:p>
      <w:pPr>
        <w:pStyle w:val="4"/>
        <w:keepNext w:val="0"/>
        <w:keepLines w:val="0"/>
        <w:pageBreakBefore w:val="0"/>
        <w:widowControl w:val="0"/>
        <w:numPr>
          <w:ilvl w:val="0"/>
          <w:numId w:val="0"/>
        </w:numPr>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主要工业污染源分布图</w:t>
      </w:r>
      <w:bookmarkEnd w:id="69"/>
    </w:p>
    <w:p>
      <w:pPr>
        <w:pStyle w:val="262"/>
        <w:ind w:firstLine="0" w:firstLineChars="0"/>
        <w:rPr>
          <w:rFonts w:eastAsia="仿宋"/>
        </w:rPr>
      </w:pPr>
      <w:r>
        <w:drawing>
          <wp:inline distT="0" distB="0" distL="0" distR="0">
            <wp:extent cx="5274310" cy="74625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7462520"/>
                    </a:xfrm>
                    <a:prstGeom prst="rect">
                      <a:avLst/>
                    </a:prstGeom>
                    <a:noFill/>
                    <a:ln>
                      <a:noFill/>
                    </a:ln>
                  </pic:spPr>
                </pic:pic>
              </a:graphicData>
            </a:graphic>
          </wp:inline>
        </w:drawing>
      </w:r>
    </w:p>
    <w:p>
      <w:pPr>
        <w:pStyle w:val="262"/>
        <w:ind w:firstLine="0" w:firstLineChars="0"/>
        <w:jc w:val="center"/>
        <w:rPr>
          <w:rFonts w:hint="eastAsia" w:ascii="仿宋_GB2312" w:hAnsi="仿宋_GB2312" w:eastAsia="仿宋_GB2312" w:cs="仿宋_GB2312"/>
          <w:b/>
          <w:bCs/>
          <w:sz w:val="24"/>
          <w:szCs w:val="24"/>
          <w:lang w:val="zh-CN"/>
        </w:rPr>
      </w:pPr>
      <w:r>
        <w:rPr>
          <w:rFonts w:hint="eastAsia" w:ascii="仿宋_GB2312" w:hAnsi="仿宋_GB2312" w:eastAsia="仿宋_GB2312" w:cs="仿宋_GB2312"/>
          <w:b/>
          <w:bCs/>
          <w:sz w:val="24"/>
          <w:szCs w:val="24"/>
        </w:rPr>
        <w:t>附图4</w:t>
      </w:r>
      <w:r>
        <w:rPr>
          <w:rFonts w:hint="eastAsia"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rPr>
        <w:t xml:space="preserve"> 金溪咀刘家</w:t>
      </w:r>
      <w:r>
        <w:rPr>
          <w:rFonts w:hint="eastAsia" w:ascii="仿宋_GB2312" w:hAnsi="仿宋_GB2312" w:eastAsia="仿宋_GB2312" w:cs="仿宋_GB2312"/>
          <w:b/>
          <w:bCs/>
          <w:sz w:val="24"/>
          <w:szCs w:val="24"/>
          <w:lang w:val="zh-CN"/>
        </w:rPr>
        <w:t>断面排口位置图</w:t>
      </w:r>
    </w:p>
    <w:p>
      <w:pPr>
        <w:widowControl/>
        <w:spacing w:line="240" w:lineRule="auto"/>
        <w:jc w:val="left"/>
        <w:rPr>
          <w:lang w:val="zh-CN"/>
        </w:rPr>
      </w:pPr>
    </w:p>
    <w:p>
      <w:pPr>
        <w:widowControl/>
        <w:spacing w:line="240" w:lineRule="auto"/>
        <w:jc w:val="left"/>
        <w:rPr>
          <w:rFonts w:eastAsia="仿宋" w:cs="Times New Roman"/>
          <w:b/>
          <w:bCs/>
          <w:szCs w:val="28"/>
          <w:lang w:val="zh-CN"/>
        </w:rPr>
      </w:pPr>
      <w:r>
        <w:rPr>
          <w:rFonts w:eastAsia="仿宋" w:cs="Times New Roman"/>
        </w:rPr>
        <w:br w:type="page"/>
      </w:r>
    </w:p>
    <w:p>
      <w:pPr>
        <w:pStyle w:val="4"/>
        <w:keepNext w:val="0"/>
        <w:keepLines w:val="0"/>
        <w:pageBreakBefore w:val="0"/>
        <w:widowControl w:val="0"/>
        <w:numPr>
          <w:ilvl w:val="0"/>
          <w:numId w:val="0"/>
        </w:numPr>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70" w:name="_Toc113611389"/>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重点项目清单</w:t>
      </w:r>
      <w:bookmarkEnd w:id="70"/>
    </w:p>
    <w:p>
      <w:pPr>
        <w:pStyle w:val="26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“十四五”期间拟实施骨干工程项目5个，计划投资约2040万元。13个乡镇的生活污水集中处理设施全部到位。</w:t>
      </w:r>
    </w:p>
    <w:p>
      <w:pPr>
        <w:pStyle w:val="262"/>
        <w:ind w:firstLine="0" w:firstLineChars="0"/>
        <w:jc w:val="center"/>
        <w:rPr>
          <w:rFonts w:hint="eastAsia" w:ascii="仿宋_GB2312" w:hAnsi="仿宋_GB2312" w:eastAsia="仿宋_GB2312" w:cs="仿宋_GB2312"/>
          <w:b/>
          <w:bCs/>
          <w:sz w:val="24"/>
          <w:szCs w:val="24"/>
          <w:lang w:val="zh-CN"/>
        </w:rPr>
      </w:pPr>
      <w:bookmarkStart w:id="71" w:name="_Toc106822356"/>
      <w:r>
        <w:rPr>
          <w:rFonts w:hint="eastAsia" w:ascii="仿宋_GB2312" w:hAnsi="仿宋_GB2312" w:eastAsia="仿宋_GB2312" w:cs="仿宋_GB2312"/>
          <w:b/>
          <w:bCs/>
          <w:sz w:val="24"/>
          <w:szCs w:val="24"/>
          <w:lang w:val="zh-CN"/>
        </w:rPr>
        <w:t>附表1</w:t>
      </w:r>
      <w:r>
        <w:rPr>
          <w:rFonts w:hint="eastAsia" w:ascii="仿宋_GB2312" w:hAnsi="仿宋_GB2312" w:eastAsia="仿宋_GB2312" w:cs="仿宋_GB2312"/>
          <w:b/>
          <w:bCs/>
          <w:sz w:val="24"/>
          <w:szCs w:val="24"/>
          <w:lang w:val="en-US" w:eastAsia="zh-CN"/>
        </w:rPr>
        <w:t xml:space="preserve"> </w:t>
      </w:r>
      <w:bookmarkStart w:id="72" w:name="_GoBack"/>
      <w:bookmarkEnd w:id="72"/>
      <w:r>
        <w:rPr>
          <w:rFonts w:hint="eastAsia" w:ascii="仿宋_GB2312" w:hAnsi="仿宋_GB2312" w:eastAsia="仿宋_GB2312" w:cs="仿宋_GB2312"/>
          <w:b/>
          <w:bCs/>
          <w:sz w:val="24"/>
          <w:szCs w:val="24"/>
          <w:lang w:val="zh-CN"/>
        </w:rPr>
        <w:t xml:space="preserve"> 金溪咀刘家汇水范围规划工程项目</w:t>
      </w:r>
      <w:bookmarkEnd w:id="71"/>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916"/>
        <w:gridCol w:w="1650"/>
        <w:gridCol w:w="3598"/>
        <w:gridCol w:w="886"/>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8" w:type="pct"/>
            <w:vAlign w:val="center"/>
          </w:tcPr>
          <w:p>
            <w:pPr>
              <w:pStyle w:val="279"/>
              <w:rPr>
                <w:rFonts w:eastAsia="仿宋"/>
              </w:rPr>
            </w:pPr>
            <w:r>
              <w:rPr>
                <w:rFonts w:eastAsia="仿宋"/>
              </w:rPr>
              <w:t>序号</w:t>
            </w:r>
          </w:p>
        </w:tc>
        <w:tc>
          <w:tcPr>
            <w:tcW w:w="544" w:type="pct"/>
            <w:vAlign w:val="center"/>
          </w:tcPr>
          <w:p>
            <w:pPr>
              <w:pStyle w:val="279"/>
              <w:rPr>
                <w:rFonts w:eastAsia="仿宋"/>
              </w:rPr>
            </w:pPr>
            <w:r>
              <w:rPr>
                <w:rFonts w:eastAsia="仿宋"/>
              </w:rPr>
              <w:t>类型</w:t>
            </w:r>
          </w:p>
        </w:tc>
        <w:tc>
          <w:tcPr>
            <w:tcW w:w="980" w:type="pct"/>
            <w:vAlign w:val="center"/>
          </w:tcPr>
          <w:p>
            <w:pPr>
              <w:pStyle w:val="279"/>
              <w:rPr>
                <w:rFonts w:eastAsia="仿宋"/>
              </w:rPr>
            </w:pPr>
            <w:r>
              <w:rPr>
                <w:rFonts w:eastAsia="仿宋"/>
              </w:rPr>
              <w:t>项目名称</w:t>
            </w:r>
          </w:p>
        </w:tc>
        <w:tc>
          <w:tcPr>
            <w:tcW w:w="2137" w:type="pct"/>
            <w:vAlign w:val="center"/>
          </w:tcPr>
          <w:p>
            <w:pPr>
              <w:pStyle w:val="279"/>
              <w:rPr>
                <w:rFonts w:eastAsia="仿宋"/>
              </w:rPr>
            </w:pPr>
            <w:r>
              <w:rPr>
                <w:rFonts w:eastAsia="仿宋"/>
              </w:rPr>
              <w:t>项目内容</w:t>
            </w:r>
          </w:p>
        </w:tc>
        <w:tc>
          <w:tcPr>
            <w:tcW w:w="526" w:type="pct"/>
            <w:tcMar>
              <w:left w:w="0" w:type="dxa"/>
              <w:right w:w="0" w:type="dxa"/>
            </w:tcMar>
            <w:vAlign w:val="center"/>
          </w:tcPr>
          <w:p>
            <w:pPr>
              <w:pStyle w:val="279"/>
              <w:rPr>
                <w:rFonts w:eastAsia="仿宋"/>
              </w:rPr>
            </w:pPr>
            <w:r>
              <w:rPr>
                <w:rFonts w:eastAsia="仿宋"/>
              </w:rPr>
              <w:t>投资</w:t>
            </w:r>
          </w:p>
          <w:p>
            <w:pPr>
              <w:pStyle w:val="279"/>
              <w:rPr>
                <w:rFonts w:eastAsia="仿宋"/>
              </w:rPr>
            </w:pPr>
            <w:r>
              <w:rPr>
                <w:rFonts w:eastAsia="仿宋"/>
              </w:rPr>
              <w:t>（万元）</w:t>
            </w:r>
          </w:p>
        </w:tc>
        <w:tc>
          <w:tcPr>
            <w:tcW w:w="545" w:type="pct"/>
            <w:tcMar>
              <w:left w:w="0" w:type="dxa"/>
              <w:right w:w="0" w:type="dxa"/>
            </w:tcMar>
            <w:vAlign w:val="center"/>
          </w:tcPr>
          <w:p>
            <w:pPr>
              <w:pStyle w:val="279"/>
              <w:rPr>
                <w:rFonts w:eastAsia="仿宋"/>
              </w:rPr>
            </w:pPr>
            <w:r>
              <w:rPr>
                <w:rFonts w:eastAsia="仿宋"/>
              </w:rPr>
              <w:t>完成年限（年）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8" w:type="pct"/>
            <w:vAlign w:val="center"/>
          </w:tcPr>
          <w:p>
            <w:pPr>
              <w:pStyle w:val="279"/>
              <w:rPr>
                <w:rFonts w:eastAsia="仿宋"/>
              </w:rPr>
            </w:pPr>
            <w:r>
              <w:rPr>
                <w:rFonts w:eastAsia="仿宋"/>
              </w:rPr>
              <w:t>1</w:t>
            </w:r>
          </w:p>
        </w:tc>
        <w:tc>
          <w:tcPr>
            <w:tcW w:w="544" w:type="pct"/>
            <w:vAlign w:val="center"/>
          </w:tcPr>
          <w:p>
            <w:pPr>
              <w:pStyle w:val="279"/>
              <w:rPr>
                <w:rFonts w:eastAsia="仿宋"/>
              </w:rPr>
            </w:pPr>
            <w:r>
              <w:rPr>
                <w:rFonts w:eastAsia="仿宋"/>
              </w:rPr>
              <w:t>水生态环境保护管理</w:t>
            </w:r>
          </w:p>
        </w:tc>
        <w:tc>
          <w:tcPr>
            <w:tcW w:w="980" w:type="pct"/>
            <w:vAlign w:val="center"/>
          </w:tcPr>
          <w:p>
            <w:pPr>
              <w:pStyle w:val="279"/>
              <w:rPr>
                <w:rFonts w:eastAsia="仿宋"/>
              </w:rPr>
            </w:pPr>
            <w:r>
              <w:rPr>
                <w:rFonts w:eastAsia="仿宋"/>
              </w:rPr>
              <w:t>保护监测系统、巡护建设</w:t>
            </w:r>
          </w:p>
        </w:tc>
        <w:tc>
          <w:tcPr>
            <w:tcW w:w="2137" w:type="pct"/>
            <w:vAlign w:val="center"/>
          </w:tcPr>
          <w:p>
            <w:pPr>
              <w:pStyle w:val="279"/>
              <w:rPr>
                <w:rFonts w:eastAsia="仿宋"/>
              </w:rPr>
            </w:pPr>
            <w:r>
              <w:rPr>
                <w:rFonts w:eastAsia="仿宋"/>
              </w:rPr>
              <w:t>增加高清摄像头、巡护快艇及监测设备</w:t>
            </w:r>
          </w:p>
        </w:tc>
        <w:tc>
          <w:tcPr>
            <w:tcW w:w="526" w:type="pct"/>
            <w:vAlign w:val="center"/>
          </w:tcPr>
          <w:p>
            <w:pPr>
              <w:pStyle w:val="279"/>
              <w:rPr>
                <w:rFonts w:eastAsia="仿宋"/>
              </w:rPr>
            </w:pPr>
            <w:r>
              <w:rPr>
                <w:rFonts w:eastAsia="仿宋"/>
              </w:rPr>
              <w:t>700</w:t>
            </w:r>
          </w:p>
        </w:tc>
        <w:tc>
          <w:tcPr>
            <w:tcW w:w="545" w:type="pct"/>
            <w:vAlign w:val="center"/>
          </w:tcPr>
          <w:p>
            <w:pPr>
              <w:pStyle w:val="279"/>
              <w:rPr>
                <w:rFonts w:eastAsia="仿宋"/>
              </w:rPr>
            </w:pPr>
            <w:r>
              <w:rPr>
                <w:rFonts w:eastAsia="仿宋"/>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8" w:type="pct"/>
            <w:vAlign w:val="center"/>
          </w:tcPr>
          <w:p>
            <w:pPr>
              <w:pStyle w:val="279"/>
              <w:rPr>
                <w:rFonts w:eastAsia="仿宋"/>
              </w:rPr>
            </w:pPr>
            <w:r>
              <w:rPr>
                <w:rFonts w:eastAsia="仿宋"/>
              </w:rPr>
              <w:t>2</w:t>
            </w:r>
          </w:p>
        </w:tc>
        <w:tc>
          <w:tcPr>
            <w:tcW w:w="544" w:type="pct"/>
            <w:vMerge w:val="restart"/>
            <w:vAlign w:val="center"/>
          </w:tcPr>
          <w:p>
            <w:pPr>
              <w:pStyle w:val="279"/>
              <w:rPr>
                <w:rFonts w:eastAsia="仿宋"/>
              </w:rPr>
            </w:pPr>
            <w:r>
              <w:rPr>
                <w:rFonts w:eastAsia="仿宋"/>
              </w:rPr>
              <w:t>水环境治理</w:t>
            </w:r>
          </w:p>
        </w:tc>
        <w:tc>
          <w:tcPr>
            <w:tcW w:w="980" w:type="pct"/>
            <w:vAlign w:val="center"/>
          </w:tcPr>
          <w:p>
            <w:pPr>
              <w:pStyle w:val="279"/>
              <w:rPr>
                <w:rFonts w:eastAsia="仿宋"/>
              </w:rPr>
            </w:pPr>
            <w:r>
              <w:rPr>
                <w:rFonts w:eastAsia="仿宋"/>
              </w:rPr>
              <w:t>三阳集乡农村生活污水集中处理设施</w:t>
            </w:r>
          </w:p>
        </w:tc>
        <w:tc>
          <w:tcPr>
            <w:tcW w:w="2137" w:type="pct"/>
            <w:vAlign w:val="center"/>
          </w:tcPr>
          <w:p>
            <w:pPr>
              <w:pStyle w:val="279"/>
              <w:rPr>
                <w:rFonts w:eastAsia="仿宋"/>
              </w:rPr>
            </w:pPr>
            <w:r>
              <w:rPr>
                <w:rFonts w:eastAsia="仿宋"/>
              </w:rPr>
              <w:t>新建农村生活污水处理设施及配套管网</w:t>
            </w:r>
          </w:p>
        </w:tc>
        <w:tc>
          <w:tcPr>
            <w:tcW w:w="526" w:type="pct"/>
            <w:vAlign w:val="center"/>
          </w:tcPr>
          <w:p>
            <w:pPr>
              <w:pStyle w:val="279"/>
              <w:rPr>
                <w:rFonts w:eastAsia="仿宋"/>
              </w:rPr>
            </w:pPr>
            <w:r>
              <w:rPr>
                <w:rFonts w:eastAsia="仿宋"/>
              </w:rPr>
              <w:t>20</w:t>
            </w:r>
          </w:p>
        </w:tc>
        <w:tc>
          <w:tcPr>
            <w:tcW w:w="545" w:type="pct"/>
            <w:vAlign w:val="center"/>
          </w:tcPr>
          <w:p>
            <w:pPr>
              <w:pStyle w:val="279"/>
              <w:rPr>
                <w:rFonts w:eastAsia="仿宋"/>
              </w:rPr>
            </w:pPr>
            <w:r>
              <w:rPr>
                <w:rFonts w:eastAsia="仿宋"/>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8" w:type="pct"/>
            <w:vAlign w:val="center"/>
          </w:tcPr>
          <w:p>
            <w:pPr>
              <w:pStyle w:val="279"/>
              <w:rPr>
                <w:rFonts w:eastAsia="仿宋"/>
              </w:rPr>
            </w:pPr>
            <w:r>
              <w:rPr>
                <w:rFonts w:eastAsia="仿宋"/>
              </w:rPr>
              <w:t>3</w:t>
            </w:r>
          </w:p>
        </w:tc>
        <w:tc>
          <w:tcPr>
            <w:tcW w:w="544" w:type="pct"/>
            <w:vMerge w:val="continue"/>
            <w:vAlign w:val="center"/>
          </w:tcPr>
          <w:p>
            <w:pPr>
              <w:pStyle w:val="279"/>
              <w:rPr>
                <w:rFonts w:eastAsia="仿宋"/>
              </w:rPr>
            </w:pPr>
          </w:p>
        </w:tc>
        <w:tc>
          <w:tcPr>
            <w:tcW w:w="980" w:type="pct"/>
            <w:vAlign w:val="center"/>
          </w:tcPr>
          <w:p>
            <w:pPr>
              <w:pStyle w:val="279"/>
              <w:rPr>
                <w:rFonts w:eastAsia="仿宋"/>
              </w:rPr>
            </w:pPr>
            <w:r>
              <w:rPr>
                <w:rFonts w:eastAsia="仿宋"/>
              </w:rPr>
              <w:t>三阳集乡污水处理站</w:t>
            </w:r>
          </w:p>
        </w:tc>
        <w:tc>
          <w:tcPr>
            <w:tcW w:w="2137" w:type="pct"/>
            <w:vAlign w:val="center"/>
          </w:tcPr>
          <w:p>
            <w:pPr>
              <w:pStyle w:val="279"/>
              <w:rPr>
                <w:rFonts w:eastAsia="仿宋"/>
              </w:rPr>
            </w:pPr>
            <w:r>
              <w:rPr>
                <w:rFonts w:eastAsia="仿宋"/>
              </w:rPr>
              <w:t>新建集镇生活污水处理设施</w:t>
            </w:r>
          </w:p>
        </w:tc>
        <w:tc>
          <w:tcPr>
            <w:tcW w:w="526" w:type="pct"/>
            <w:vAlign w:val="center"/>
          </w:tcPr>
          <w:p>
            <w:pPr>
              <w:pStyle w:val="279"/>
              <w:rPr>
                <w:rFonts w:eastAsia="仿宋"/>
              </w:rPr>
            </w:pPr>
            <w:r>
              <w:rPr>
                <w:rFonts w:eastAsia="仿宋"/>
              </w:rPr>
              <w:t>450</w:t>
            </w:r>
          </w:p>
        </w:tc>
        <w:tc>
          <w:tcPr>
            <w:tcW w:w="545" w:type="pct"/>
            <w:vAlign w:val="center"/>
          </w:tcPr>
          <w:p>
            <w:pPr>
              <w:pStyle w:val="279"/>
              <w:rPr>
                <w:rFonts w:eastAsia="仿宋"/>
                <w:sz w:val="24"/>
              </w:rPr>
            </w:pPr>
            <w:r>
              <w:rPr>
                <w:rFonts w:eastAsia="仿宋"/>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8" w:type="pct"/>
            <w:vAlign w:val="center"/>
          </w:tcPr>
          <w:p>
            <w:pPr>
              <w:pStyle w:val="279"/>
              <w:rPr>
                <w:rFonts w:eastAsia="仿宋"/>
              </w:rPr>
            </w:pPr>
            <w:r>
              <w:rPr>
                <w:rFonts w:eastAsia="仿宋"/>
              </w:rPr>
              <w:t>4</w:t>
            </w:r>
          </w:p>
        </w:tc>
        <w:tc>
          <w:tcPr>
            <w:tcW w:w="544" w:type="pct"/>
            <w:vMerge w:val="continue"/>
            <w:vAlign w:val="center"/>
          </w:tcPr>
          <w:p>
            <w:pPr>
              <w:pStyle w:val="279"/>
              <w:rPr>
                <w:rFonts w:eastAsia="仿宋"/>
              </w:rPr>
            </w:pPr>
          </w:p>
        </w:tc>
        <w:tc>
          <w:tcPr>
            <w:tcW w:w="980" w:type="pct"/>
            <w:vAlign w:val="center"/>
          </w:tcPr>
          <w:p>
            <w:pPr>
              <w:pStyle w:val="279"/>
              <w:rPr>
                <w:rFonts w:eastAsia="仿宋"/>
              </w:rPr>
            </w:pPr>
            <w:r>
              <w:rPr>
                <w:rFonts w:eastAsia="仿宋"/>
              </w:rPr>
              <w:t>三里乡集镇污水处理站</w:t>
            </w:r>
          </w:p>
        </w:tc>
        <w:tc>
          <w:tcPr>
            <w:tcW w:w="2137" w:type="pct"/>
            <w:vAlign w:val="center"/>
          </w:tcPr>
          <w:p>
            <w:pPr>
              <w:pStyle w:val="279"/>
              <w:rPr>
                <w:rFonts w:eastAsia="仿宋"/>
              </w:rPr>
            </w:pPr>
            <w:r>
              <w:rPr>
                <w:rFonts w:eastAsia="仿宋"/>
              </w:rPr>
              <w:t>新建集镇生活污水处理设施</w:t>
            </w:r>
          </w:p>
        </w:tc>
        <w:tc>
          <w:tcPr>
            <w:tcW w:w="526" w:type="pct"/>
            <w:vAlign w:val="center"/>
          </w:tcPr>
          <w:p>
            <w:pPr>
              <w:pStyle w:val="279"/>
              <w:rPr>
                <w:rFonts w:eastAsia="仿宋"/>
              </w:rPr>
            </w:pPr>
            <w:r>
              <w:rPr>
                <w:rFonts w:eastAsia="仿宋"/>
              </w:rPr>
              <w:t>500</w:t>
            </w:r>
          </w:p>
        </w:tc>
        <w:tc>
          <w:tcPr>
            <w:tcW w:w="545" w:type="pct"/>
            <w:vAlign w:val="center"/>
          </w:tcPr>
          <w:p>
            <w:pPr>
              <w:pStyle w:val="279"/>
              <w:rPr>
                <w:rFonts w:eastAsia="仿宋"/>
                <w:sz w:val="24"/>
              </w:rPr>
            </w:pPr>
            <w:r>
              <w:rPr>
                <w:rFonts w:eastAsia="仿宋"/>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8" w:type="pct"/>
            <w:vAlign w:val="center"/>
          </w:tcPr>
          <w:p>
            <w:pPr>
              <w:pStyle w:val="279"/>
              <w:rPr>
                <w:rFonts w:eastAsia="仿宋"/>
              </w:rPr>
            </w:pPr>
            <w:r>
              <w:rPr>
                <w:rFonts w:eastAsia="仿宋"/>
              </w:rPr>
              <w:t>5</w:t>
            </w:r>
          </w:p>
        </w:tc>
        <w:tc>
          <w:tcPr>
            <w:tcW w:w="544" w:type="pct"/>
            <w:vMerge w:val="continue"/>
            <w:vAlign w:val="center"/>
          </w:tcPr>
          <w:p>
            <w:pPr>
              <w:pStyle w:val="279"/>
              <w:rPr>
                <w:rFonts w:eastAsia="仿宋"/>
                <w:u w:val="single"/>
              </w:rPr>
            </w:pPr>
          </w:p>
        </w:tc>
        <w:tc>
          <w:tcPr>
            <w:tcW w:w="980" w:type="pct"/>
            <w:vAlign w:val="center"/>
          </w:tcPr>
          <w:p>
            <w:pPr>
              <w:pStyle w:val="279"/>
              <w:rPr>
                <w:rFonts w:eastAsia="仿宋"/>
                <w:u w:val="single"/>
              </w:rPr>
            </w:pPr>
            <w:r>
              <w:rPr>
                <w:rFonts w:eastAsia="仿宋"/>
              </w:rPr>
              <w:t>三里乡农村生活污水处理设施</w:t>
            </w:r>
          </w:p>
        </w:tc>
        <w:tc>
          <w:tcPr>
            <w:tcW w:w="2137" w:type="pct"/>
            <w:vAlign w:val="center"/>
          </w:tcPr>
          <w:p>
            <w:pPr>
              <w:pStyle w:val="279"/>
              <w:rPr>
                <w:rFonts w:eastAsia="仿宋"/>
                <w:u w:val="single"/>
              </w:rPr>
            </w:pPr>
            <w:r>
              <w:rPr>
                <w:rFonts w:eastAsia="仿宋"/>
              </w:rPr>
              <w:t>新建农村生活污水处理设施及配套管网</w:t>
            </w:r>
          </w:p>
        </w:tc>
        <w:tc>
          <w:tcPr>
            <w:tcW w:w="526" w:type="pct"/>
            <w:vAlign w:val="center"/>
          </w:tcPr>
          <w:p>
            <w:pPr>
              <w:pStyle w:val="279"/>
              <w:rPr>
                <w:rFonts w:eastAsia="仿宋"/>
                <w:u w:val="single"/>
              </w:rPr>
            </w:pPr>
            <w:r>
              <w:rPr>
                <w:rFonts w:eastAsia="仿宋"/>
              </w:rPr>
              <w:t>370</w:t>
            </w:r>
          </w:p>
        </w:tc>
        <w:tc>
          <w:tcPr>
            <w:tcW w:w="545" w:type="pct"/>
            <w:vAlign w:val="center"/>
          </w:tcPr>
          <w:p>
            <w:pPr>
              <w:pStyle w:val="279"/>
              <w:rPr>
                <w:rFonts w:eastAsia="仿宋"/>
              </w:rPr>
            </w:pPr>
            <w:r>
              <w:rPr>
                <w:rFonts w:eastAsia="仿宋"/>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29" w:type="pct"/>
            <w:gridSpan w:val="4"/>
            <w:vAlign w:val="center"/>
          </w:tcPr>
          <w:p>
            <w:pPr>
              <w:pStyle w:val="279"/>
              <w:rPr>
                <w:rFonts w:eastAsia="仿宋"/>
              </w:rPr>
            </w:pPr>
            <w:r>
              <w:rPr>
                <w:rFonts w:hint="eastAsia" w:eastAsia="仿宋"/>
              </w:rPr>
              <w:t>合计</w:t>
            </w:r>
          </w:p>
        </w:tc>
        <w:tc>
          <w:tcPr>
            <w:tcW w:w="526" w:type="pct"/>
            <w:vAlign w:val="center"/>
          </w:tcPr>
          <w:p>
            <w:pPr>
              <w:pStyle w:val="279"/>
              <w:rPr>
                <w:rFonts w:eastAsia="仿宋"/>
              </w:rPr>
            </w:pPr>
            <w:r>
              <w:rPr>
                <w:rFonts w:hint="eastAsia" w:eastAsia="仿宋"/>
              </w:rPr>
              <w:t>2</w:t>
            </w:r>
            <w:r>
              <w:rPr>
                <w:rFonts w:eastAsia="仿宋"/>
              </w:rPr>
              <w:t>040</w:t>
            </w:r>
          </w:p>
        </w:tc>
        <w:tc>
          <w:tcPr>
            <w:tcW w:w="545" w:type="pct"/>
            <w:vAlign w:val="center"/>
          </w:tcPr>
          <w:p>
            <w:pPr>
              <w:pStyle w:val="279"/>
              <w:rPr>
                <w:rFonts w:eastAsia="仿宋"/>
              </w:rPr>
            </w:pPr>
            <w:r>
              <w:rPr>
                <w:rFonts w:hint="eastAsia" w:eastAsia="仿宋"/>
              </w:rPr>
              <w:t>万元</w:t>
            </w:r>
          </w:p>
        </w:tc>
      </w:tr>
    </w:tbl>
    <w:p/>
    <w:p/>
    <w:p/>
    <w:p/>
    <w:p/>
    <w:p>
      <w:pPr>
        <w:pStyle w:val="262"/>
        <w:ind w:firstLine="560"/>
        <w:rPr>
          <w:rFonts w:eastAsia="仿宋"/>
        </w:rPr>
      </w:pPr>
    </w:p>
    <w:sectPr>
      <w:footerReference r:id="rId6" w:type="default"/>
      <w:type w:val="oddPage"/>
      <w:pgSz w:w="11906" w:h="16838"/>
      <w:pgMar w:top="1440" w:right="1800" w:bottom="1440" w:left="1800" w:header="851" w:footer="992" w:gutter="0"/>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Droid Sans Ethiop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Droid Sans Ethiopic"/>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Math">
    <w:altName w:val="DejaVu Math TeX Gyre"/>
    <w:panose1 w:val="02040503050406030204"/>
    <w:charset w:val="00"/>
    <w:family w:val="roman"/>
    <w:pitch w:val="default"/>
    <w:sig w:usb0="00000000" w:usb1="00000000"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仿宋">
    <w:altName w:val="宋体"/>
    <w:panose1 w:val="02010609060101010101"/>
    <w:charset w:val="86"/>
    <w:family w:val="modern"/>
    <w:pitch w:val="default"/>
    <w:sig w:usb0="00000000" w:usb1="00000000" w:usb2="00000016"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DejaVu Math TeX Gyre">
    <w:panose1 w:val="02000503000000000000"/>
    <w:charset w:val="00"/>
    <w:family w:val="auto"/>
    <w:pitch w:val="default"/>
    <w:sig w:usb0="A10000EF" w:usb1="4201F9EE" w:usb2="02000000" w:usb3="00000000" w:csb0="60000193" w:csb1="0DD40000"/>
  </w:font>
  <w:font w:name="Droid Sans Ethiopic">
    <w:panose1 w:val="020B0606030804020204"/>
    <w:charset w:val="00"/>
    <w:family w:val="auto"/>
    <w:pitch w:val="default"/>
    <w:sig w:usb0="00000003" w:usb1="00000000" w:usb2="000008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4007837"/>
    </w:sdtPr>
    <w:sdtContent>
      <w:p>
        <w:pPr>
          <w:pStyle w:val="27"/>
          <w:jc w:val="center"/>
        </w:pPr>
        <w:r>
          <w:fldChar w:fldCharType="begin"/>
        </w:r>
        <w:r>
          <w:instrText xml:space="preserve">PAGE   \* MERGEFORMAT</w:instrText>
        </w:r>
        <w:r>
          <w:fldChar w:fldCharType="separate"/>
        </w:r>
        <w: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left="-18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chineseCountingThousand"/>
      <w:pStyle w:val="190"/>
      <w:lvlText w:val="（%1）"/>
      <w:lvlJc w:val="left"/>
      <w:pPr>
        <w:ind w:left="840" w:hanging="420"/>
      </w:pPr>
      <w:rPr>
        <w:rFonts w:hint="eastAsia" w:ascii="Wingdings" w:eastAsia="Wingding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F"/>
    <w:multiLevelType w:val="multilevel"/>
    <w:tmpl w:val="0000000F"/>
    <w:lvl w:ilvl="0" w:tentative="0">
      <w:start w:val="1"/>
      <w:numFmt w:val="decimal"/>
      <w:pStyle w:val="197"/>
      <w:lvlText w:val="表4-%1 "/>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pStyle w:val="176"/>
      <w:lvlText w:val="%1、"/>
      <w:lvlJc w:val="left"/>
      <w:pPr>
        <w:ind w:left="840" w:hanging="420"/>
      </w:pPr>
      <w:rPr>
        <w:b w:val="0"/>
        <w:bCs w:val="0"/>
        <w:i w:val="0"/>
        <w:iCs w:val="0"/>
        <w:caps w:val="0"/>
        <w:smallCaps w:val="0"/>
        <w:strike w:val="0"/>
        <w:dstrike w:val="0"/>
        <w:vanish w:val="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9"/>
    <w:multiLevelType w:val="multilevel"/>
    <w:tmpl w:val="00000019"/>
    <w:lvl w:ilvl="0" w:tentative="0">
      <w:start w:val="1"/>
      <w:numFmt w:val="decimal"/>
      <w:suff w:val="space"/>
      <w:lvlText w:val="专题%1"/>
      <w:lvlJc w:val="left"/>
      <w:pPr>
        <w:ind w:left="0" w:firstLine="0"/>
      </w:pPr>
      <w:rPr>
        <w:rFonts w:hint="eastAsia" w:ascii="Symbol" w:eastAsia="Symbol"/>
        <w:sz w:val="32"/>
        <w:szCs w:val="32"/>
      </w:rPr>
    </w:lvl>
    <w:lvl w:ilvl="1" w:tentative="0">
      <w:start w:val="1"/>
      <w:numFmt w:val="decimal"/>
      <w:pStyle w:val="220"/>
      <w:lvlText w:val="第%2章"/>
      <w:lvlJc w:val="left"/>
      <w:pPr>
        <w:ind w:left="0" w:firstLine="0"/>
      </w:pPr>
      <w:rPr>
        <w:rFonts w:hint="eastAsia"/>
        <w:sz w:val="32"/>
        <w:szCs w:val="28"/>
      </w:rPr>
    </w:lvl>
    <w:lvl w:ilvl="2" w:tentative="0">
      <w:start w:val="1"/>
      <w:numFmt w:val="decimal"/>
      <w:pStyle w:val="221"/>
      <w:suff w:val="space"/>
      <w:lvlText w:val="%2.%3 "/>
      <w:lvlJc w:val="left"/>
      <w:pPr>
        <w:ind w:left="3545" w:firstLine="0"/>
      </w:pPr>
      <w:rPr>
        <w:rFonts w:hint="default" w:ascii="Cambria Math" w:hAnsi="Cambria Math" w:eastAsia="Symbol" w:cs="Cambria Math"/>
        <w:sz w:val="28"/>
        <w:szCs w:val="24"/>
      </w:rPr>
    </w:lvl>
    <w:lvl w:ilvl="3" w:tentative="0">
      <w:start w:val="1"/>
      <w:numFmt w:val="decimal"/>
      <w:pStyle w:val="106"/>
      <w:isLgl/>
      <w:suff w:val="space"/>
      <w:lvlText w:val="%2.%3.%4 "/>
      <w:lvlJc w:val="left"/>
      <w:pPr>
        <w:ind w:left="0" w:firstLine="0"/>
      </w:pPr>
    </w:lvl>
    <w:lvl w:ilvl="4" w:tentative="0">
      <w:start w:val="1"/>
      <w:numFmt w:val="decimal"/>
      <w:lvlText w:val="%2.%3.%4.%5"/>
      <w:lvlJc w:val="left"/>
      <w:pPr>
        <w:tabs>
          <w:tab w:val="left" w:pos="1192"/>
        </w:tabs>
        <w:ind w:left="1192" w:hanging="992"/>
      </w:pPr>
      <w:rPr>
        <w:rFonts w:hint="default" w:ascii="Cambria Math" w:hAnsi="Cambria Math" w:cs="Cambria Math"/>
      </w:rPr>
    </w:lvl>
    <w:lvl w:ilvl="5" w:tentative="0">
      <w:start w:val="1"/>
      <w:numFmt w:val="decimal"/>
      <w:lvlText w:val="%1.%2.%3.%4.%5.%6."/>
      <w:lvlJc w:val="left"/>
      <w:pPr>
        <w:tabs>
          <w:tab w:val="left" w:pos="1334"/>
        </w:tabs>
        <w:ind w:left="1334" w:hanging="1134"/>
      </w:pPr>
      <w:rPr>
        <w:rFonts w:hint="eastAsia"/>
      </w:rPr>
    </w:lvl>
    <w:lvl w:ilvl="6" w:tentative="0">
      <w:start w:val="1"/>
      <w:numFmt w:val="decimal"/>
      <w:lvlText w:val="%1.%2.%3.%4.%5.%6.%7."/>
      <w:lvlJc w:val="left"/>
      <w:pPr>
        <w:tabs>
          <w:tab w:val="left" w:pos="1476"/>
        </w:tabs>
        <w:ind w:left="1476" w:hanging="1276"/>
      </w:pPr>
      <w:rPr>
        <w:rFonts w:hint="eastAsia"/>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4">
    <w:nsid w:val="35344690"/>
    <w:multiLevelType w:val="multilevel"/>
    <w:tmpl w:val="35344690"/>
    <w:lvl w:ilvl="0" w:tentative="0">
      <w:start w:val="1"/>
      <w:numFmt w:val="decimal"/>
      <w:pStyle w:val="2"/>
      <w:lvlText w:val="第%1章 "/>
      <w:lvlJc w:val="left"/>
      <w:pPr>
        <w:ind w:left="3551" w:hanging="432"/>
      </w:pPr>
      <w:rPr>
        <w:rFonts w:hint="eastAsia"/>
        <w:lang w:val="en-US"/>
      </w:rPr>
    </w:lvl>
    <w:lvl w:ilvl="1" w:tentative="0">
      <w:start w:val="1"/>
      <w:numFmt w:val="decimal"/>
      <w:pStyle w:val="3"/>
      <w:lvlText w:val="%1.%2"/>
      <w:lvlJc w:val="left"/>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rPr>
        <w:rFonts w:ascii="Times New Roman" w:hAnsi="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pStyle w:val="5"/>
      <w:lvlText w:val="%1.%2.%3.%4"/>
      <w:lvlJc w:val="left"/>
      <w:rPr>
        <w:rFonts w:ascii="Times New Roman" w:hAnsi="Times New Roman"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2008"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40"/>
  <w:drawingGridVerticalSpacing w:val="381"/>
  <w:displayHorizontalDrawingGridEvery w:val="2"/>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wNjIzNjK0NDE3sLRQ0lEKTi0uzszPAykwMakFAFQ0lUotAAAA"/>
    <w:docVar w:name="commondata" w:val="eyJoZGlkIjoiNjIxNzQ5MmVkYzNiNTI4MjgxOWI1YmJjYzY2MjI1ZGEifQ=="/>
  </w:docVars>
  <w:rsids>
    <w:rsidRoot w:val="00172A27"/>
    <w:rsid w:val="00000B07"/>
    <w:rsid w:val="00002602"/>
    <w:rsid w:val="00007E9D"/>
    <w:rsid w:val="00011D78"/>
    <w:rsid w:val="00013B59"/>
    <w:rsid w:val="0001437C"/>
    <w:rsid w:val="00014566"/>
    <w:rsid w:val="00014A9E"/>
    <w:rsid w:val="00014F7A"/>
    <w:rsid w:val="000163E5"/>
    <w:rsid w:val="000175F4"/>
    <w:rsid w:val="0002022D"/>
    <w:rsid w:val="00020452"/>
    <w:rsid w:val="0002075B"/>
    <w:rsid w:val="00020B70"/>
    <w:rsid w:val="000233B5"/>
    <w:rsid w:val="00024B16"/>
    <w:rsid w:val="00024D02"/>
    <w:rsid w:val="000257CF"/>
    <w:rsid w:val="000258BD"/>
    <w:rsid w:val="000259B3"/>
    <w:rsid w:val="0002730B"/>
    <w:rsid w:val="00027B47"/>
    <w:rsid w:val="00032399"/>
    <w:rsid w:val="00034106"/>
    <w:rsid w:val="00035D71"/>
    <w:rsid w:val="00036DC7"/>
    <w:rsid w:val="000378FD"/>
    <w:rsid w:val="00040F0B"/>
    <w:rsid w:val="000427FC"/>
    <w:rsid w:val="00042ECC"/>
    <w:rsid w:val="00043128"/>
    <w:rsid w:val="00043821"/>
    <w:rsid w:val="00043837"/>
    <w:rsid w:val="00046477"/>
    <w:rsid w:val="000472CD"/>
    <w:rsid w:val="000474A3"/>
    <w:rsid w:val="00047F46"/>
    <w:rsid w:val="0005002A"/>
    <w:rsid w:val="000500F8"/>
    <w:rsid w:val="0005056C"/>
    <w:rsid w:val="00050A95"/>
    <w:rsid w:val="0005279A"/>
    <w:rsid w:val="00055594"/>
    <w:rsid w:val="00055C13"/>
    <w:rsid w:val="00055C81"/>
    <w:rsid w:val="00056486"/>
    <w:rsid w:val="00056CB2"/>
    <w:rsid w:val="0005734C"/>
    <w:rsid w:val="00057581"/>
    <w:rsid w:val="0006067B"/>
    <w:rsid w:val="000610AE"/>
    <w:rsid w:val="000626A3"/>
    <w:rsid w:val="0006290B"/>
    <w:rsid w:val="00062CCD"/>
    <w:rsid w:val="0006387E"/>
    <w:rsid w:val="000650EF"/>
    <w:rsid w:val="000662E9"/>
    <w:rsid w:val="00067255"/>
    <w:rsid w:val="000676B0"/>
    <w:rsid w:val="00067AD9"/>
    <w:rsid w:val="00067D30"/>
    <w:rsid w:val="0007051A"/>
    <w:rsid w:val="00073356"/>
    <w:rsid w:val="000739B2"/>
    <w:rsid w:val="00074780"/>
    <w:rsid w:val="00076F35"/>
    <w:rsid w:val="0008379C"/>
    <w:rsid w:val="000854E0"/>
    <w:rsid w:val="00085CD7"/>
    <w:rsid w:val="00091C42"/>
    <w:rsid w:val="00091F48"/>
    <w:rsid w:val="00093A3F"/>
    <w:rsid w:val="0009685C"/>
    <w:rsid w:val="000A0D70"/>
    <w:rsid w:val="000A1625"/>
    <w:rsid w:val="000A3D16"/>
    <w:rsid w:val="000A52AC"/>
    <w:rsid w:val="000B01FD"/>
    <w:rsid w:val="000B1194"/>
    <w:rsid w:val="000B224A"/>
    <w:rsid w:val="000B3ED6"/>
    <w:rsid w:val="000B485D"/>
    <w:rsid w:val="000C025E"/>
    <w:rsid w:val="000C036D"/>
    <w:rsid w:val="000C03B2"/>
    <w:rsid w:val="000C1605"/>
    <w:rsid w:val="000C3AE0"/>
    <w:rsid w:val="000C3DCB"/>
    <w:rsid w:val="000C43CC"/>
    <w:rsid w:val="000C6E89"/>
    <w:rsid w:val="000D03ED"/>
    <w:rsid w:val="000D2A3D"/>
    <w:rsid w:val="000D4056"/>
    <w:rsid w:val="000D49EA"/>
    <w:rsid w:val="000D4E5C"/>
    <w:rsid w:val="000D61BC"/>
    <w:rsid w:val="000D6AAB"/>
    <w:rsid w:val="000D7590"/>
    <w:rsid w:val="000D7DD5"/>
    <w:rsid w:val="000E0F15"/>
    <w:rsid w:val="000E119C"/>
    <w:rsid w:val="000E2514"/>
    <w:rsid w:val="000E4820"/>
    <w:rsid w:val="000E4DAC"/>
    <w:rsid w:val="000E6F6A"/>
    <w:rsid w:val="000F08A9"/>
    <w:rsid w:val="000F0AE9"/>
    <w:rsid w:val="000F1F11"/>
    <w:rsid w:val="000F236D"/>
    <w:rsid w:val="000F265C"/>
    <w:rsid w:val="000F316C"/>
    <w:rsid w:val="000F3799"/>
    <w:rsid w:val="000F425B"/>
    <w:rsid w:val="000F5011"/>
    <w:rsid w:val="000F78E8"/>
    <w:rsid w:val="001009C3"/>
    <w:rsid w:val="0010148F"/>
    <w:rsid w:val="00102634"/>
    <w:rsid w:val="001028EF"/>
    <w:rsid w:val="0010586A"/>
    <w:rsid w:val="001060FF"/>
    <w:rsid w:val="00107429"/>
    <w:rsid w:val="00107C08"/>
    <w:rsid w:val="00111473"/>
    <w:rsid w:val="00113435"/>
    <w:rsid w:val="00113508"/>
    <w:rsid w:val="0011382A"/>
    <w:rsid w:val="00113B3F"/>
    <w:rsid w:val="00116032"/>
    <w:rsid w:val="001174F1"/>
    <w:rsid w:val="00117FCD"/>
    <w:rsid w:val="001201F1"/>
    <w:rsid w:val="001218AE"/>
    <w:rsid w:val="00122FF5"/>
    <w:rsid w:val="0012502F"/>
    <w:rsid w:val="00131100"/>
    <w:rsid w:val="00132C16"/>
    <w:rsid w:val="00132EE6"/>
    <w:rsid w:val="001357AE"/>
    <w:rsid w:val="00135D80"/>
    <w:rsid w:val="00137AB0"/>
    <w:rsid w:val="00142735"/>
    <w:rsid w:val="00142BC0"/>
    <w:rsid w:val="00142F00"/>
    <w:rsid w:val="001434D3"/>
    <w:rsid w:val="0014501A"/>
    <w:rsid w:val="001460C5"/>
    <w:rsid w:val="00146E5D"/>
    <w:rsid w:val="00150B7D"/>
    <w:rsid w:val="00151674"/>
    <w:rsid w:val="0015177A"/>
    <w:rsid w:val="0015208B"/>
    <w:rsid w:val="0015656C"/>
    <w:rsid w:val="00160F86"/>
    <w:rsid w:val="001639CD"/>
    <w:rsid w:val="00164DDB"/>
    <w:rsid w:val="00165CE9"/>
    <w:rsid w:val="00165E8F"/>
    <w:rsid w:val="00166D0D"/>
    <w:rsid w:val="001671FC"/>
    <w:rsid w:val="001672AA"/>
    <w:rsid w:val="0017073C"/>
    <w:rsid w:val="00170BB6"/>
    <w:rsid w:val="00170F63"/>
    <w:rsid w:val="001710A8"/>
    <w:rsid w:val="00171450"/>
    <w:rsid w:val="00172A27"/>
    <w:rsid w:val="0017395F"/>
    <w:rsid w:val="00173EBE"/>
    <w:rsid w:val="00174EB6"/>
    <w:rsid w:val="00176D0F"/>
    <w:rsid w:val="00177468"/>
    <w:rsid w:val="0017785E"/>
    <w:rsid w:val="0018026B"/>
    <w:rsid w:val="00180298"/>
    <w:rsid w:val="00180449"/>
    <w:rsid w:val="00182BE9"/>
    <w:rsid w:val="00183E2F"/>
    <w:rsid w:val="00184EDD"/>
    <w:rsid w:val="00190F05"/>
    <w:rsid w:val="001913BE"/>
    <w:rsid w:val="00191ABE"/>
    <w:rsid w:val="00192EFB"/>
    <w:rsid w:val="001943AB"/>
    <w:rsid w:val="00194F1B"/>
    <w:rsid w:val="0019637F"/>
    <w:rsid w:val="00196EB6"/>
    <w:rsid w:val="001A2E68"/>
    <w:rsid w:val="001A475A"/>
    <w:rsid w:val="001A51C8"/>
    <w:rsid w:val="001A54DA"/>
    <w:rsid w:val="001A6BBC"/>
    <w:rsid w:val="001A70EA"/>
    <w:rsid w:val="001A723D"/>
    <w:rsid w:val="001B0348"/>
    <w:rsid w:val="001B06ED"/>
    <w:rsid w:val="001B35B8"/>
    <w:rsid w:val="001B42B0"/>
    <w:rsid w:val="001B657D"/>
    <w:rsid w:val="001B65B9"/>
    <w:rsid w:val="001B70D7"/>
    <w:rsid w:val="001C0E8F"/>
    <w:rsid w:val="001C171E"/>
    <w:rsid w:val="001C1D5F"/>
    <w:rsid w:val="001C2997"/>
    <w:rsid w:val="001C2A6B"/>
    <w:rsid w:val="001C2DEC"/>
    <w:rsid w:val="001C3468"/>
    <w:rsid w:val="001C4622"/>
    <w:rsid w:val="001C5D83"/>
    <w:rsid w:val="001C5F55"/>
    <w:rsid w:val="001C5F58"/>
    <w:rsid w:val="001C6089"/>
    <w:rsid w:val="001C715D"/>
    <w:rsid w:val="001C7970"/>
    <w:rsid w:val="001D11AB"/>
    <w:rsid w:val="001D1347"/>
    <w:rsid w:val="001D2397"/>
    <w:rsid w:val="001D3390"/>
    <w:rsid w:val="001D3A04"/>
    <w:rsid w:val="001D50B7"/>
    <w:rsid w:val="001D7112"/>
    <w:rsid w:val="001D7F77"/>
    <w:rsid w:val="001E049D"/>
    <w:rsid w:val="001E0E1E"/>
    <w:rsid w:val="001E15ED"/>
    <w:rsid w:val="001E162C"/>
    <w:rsid w:val="001E23CE"/>
    <w:rsid w:val="001E2F72"/>
    <w:rsid w:val="001E50C4"/>
    <w:rsid w:val="001E5468"/>
    <w:rsid w:val="001E5EED"/>
    <w:rsid w:val="001E6418"/>
    <w:rsid w:val="001F2D66"/>
    <w:rsid w:val="001F2EB1"/>
    <w:rsid w:val="001F5B0A"/>
    <w:rsid w:val="001F5DBD"/>
    <w:rsid w:val="001F71DC"/>
    <w:rsid w:val="001F7943"/>
    <w:rsid w:val="00200E28"/>
    <w:rsid w:val="002024B7"/>
    <w:rsid w:val="002028C9"/>
    <w:rsid w:val="0020307D"/>
    <w:rsid w:val="002039FD"/>
    <w:rsid w:val="00204459"/>
    <w:rsid w:val="002049C4"/>
    <w:rsid w:val="00204A7A"/>
    <w:rsid w:val="00206433"/>
    <w:rsid w:val="00206786"/>
    <w:rsid w:val="00210735"/>
    <w:rsid w:val="002124CA"/>
    <w:rsid w:val="002127EC"/>
    <w:rsid w:val="00215BEB"/>
    <w:rsid w:val="00217734"/>
    <w:rsid w:val="0022012B"/>
    <w:rsid w:val="00221D26"/>
    <w:rsid w:val="0022397A"/>
    <w:rsid w:val="00223C9B"/>
    <w:rsid w:val="00226694"/>
    <w:rsid w:val="002273AB"/>
    <w:rsid w:val="00231A90"/>
    <w:rsid w:val="00232B75"/>
    <w:rsid w:val="00232D16"/>
    <w:rsid w:val="002349F4"/>
    <w:rsid w:val="00240AD7"/>
    <w:rsid w:val="00240AFE"/>
    <w:rsid w:val="00240F8A"/>
    <w:rsid w:val="00241F22"/>
    <w:rsid w:val="002423C8"/>
    <w:rsid w:val="00247189"/>
    <w:rsid w:val="00250860"/>
    <w:rsid w:val="00253337"/>
    <w:rsid w:val="00253AE6"/>
    <w:rsid w:val="00253F1A"/>
    <w:rsid w:val="00254304"/>
    <w:rsid w:val="00254E49"/>
    <w:rsid w:val="00255C67"/>
    <w:rsid w:val="00256F06"/>
    <w:rsid w:val="00260279"/>
    <w:rsid w:val="00265433"/>
    <w:rsid w:val="00266AB5"/>
    <w:rsid w:val="0026775F"/>
    <w:rsid w:val="002679B6"/>
    <w:rsid w:val="00270EB5"/>
    <w:rsid w:val="00272EAA"/>
    <w:rsid w:val="0027336E"/>
    <w:rsid w:val="00273441"/>
    <w:rsid w:val="002734C5"/>
    <w:rsid w:val="002735FF"/>
    <w:rsid w:val="00275281"/>
    <w:rsid w:val="002755A7"/>
    <w:rsid w:val="00276C30"/>
    <w:rsid w:val="00281422"/>
    <w:rsid w:val="00281FA6"/>
    <w:rsid w:val="002827CF"/>
    <w:rsid w:val="00283892"/>
    <w:rsid w:val="002850CF"/>
    <w:rsid w:val="00286F02"/>
    <w:rsid w:val="00287197"/>
    <w:rsid w:val="0028722C"/>
    <w:rsid w:val="00293203"/>
    <w:rsid w:val="00294459"/>
    <w:rsid w:val="00295680"/>
    <w:rsid w:val="0029594D"/>
    <w:rsid w:val="002A662E"/>
    <w:rsid w:val="002B1A34"/>
    <w:rsid w:val="002B4767"/>
    <w:rsid w:val="002B51F1"/>
    <w:rsid w:val="002B5328"/>
    <w:rsid w:val="002B5A19"/>
    <w:rsid w:val="002B66E9"/>
    <w:rsid w:val="002B6B73"/>
    <w:rsid w:val="002B7866"/>
    <w:rsid w:val="002B7F2A"/>
    <w:rsid w:val="002C02E8"/>
    <w:rsid w:val="002C03FA"/>
    <w:rsid w:val="002C380F"/>
    <w:rsid w:val="002C4E13"/>
    <w:rsid w:val="002C5290"/>
    <w:rsid w:val="002C5D29"/>
    <w:rsid w:val="002C6A11"/>
    <w:rsid w:val="002C6E9A"/>
    <w:rsid w:val="002D066E"/>
    <w:rsid w:val="002D0869"/>
    <w:rsid w:val="002D0D98"/>
    <w:rsid w:val="002D27F9"/>
    <w:rsid w:val="002D3F36"/>
    <w:rsid w:val="002D4EBB"/>
    <w:rsid w:val="002D5643"/>
    <w:rsid w:val="002E17C9"/>
    <w:rsid w:val="002E38F7"/>
    <w:rsid w:val="002E4B07"/>
    <w:rsid w:val="002E4E3E"/>
    <w:rsid w:val="002E5294"/>
    <w:rsid w:val="002E548B"/>
    <w:rsid w:val="002E5E91"/>
    <w:rsid w:val="002F04AD"/>
    <w:rsid w:val="002F0CE9"/>
    <w:rsid w:val="002F388A"/>
    <w:rsid w:val="002F42F5"/>
    <w:rsid w:val="002F430A"/>
    <w:rsid w:val="002F4409"/>
    <w:rsid w:val="002F5778"/>
    <w:rsid w:val="002F69A3"/>
    <w:rsid w:val="002F6FBA"/>
    <w:rsid w:val="002F79C5"/>
    <w:rsid w:val="00300590"/>
    <w:rsid w:val="00301092"/>
    <w:rsid w:val="003024EA"/>
    <w:rsid w:val="0030252B"/>
    <w:rsid w:val="00302556"/>
    <w:rsid w:val="00302652"/>
    <w:rsid w:val="003051A6"/>
    <w:rsid w:val="00305388"/>
    <w:rsid w:val="00305922"/>
    <w:rsid w:val="00306491"/>
    <w:rsid w:val="00310F6A"/>
    <w:rsid w:val="003112F5"/>
    <w:rsid w:val="003116D4"/>
    <w:rsid w:val="00312D9B"/>
    <w:rsid w:val="00313F89"/>
    <w:rsid w:val="00314E1E"/>
    <w:rsid w:val="0031665C"/>
    <w:rsid w:val="0031755A"/>
    <w:rsid w:val="003213F4"/>
    <w:rsid w:val="003218E7"/>
    <w:rsid w:val="00322454"/>
    <w:rsid w:val="00322C03"/>
    <w:rsid w:val="003240EF"/>
    <w:rsid w:val="00325944"/>
    <w:rsid w:val="00325F5A"/>
    <w:rsid w:val="00326475"/>
    <w:rsid w:val="003276DE"/>
    <w:rsid w:val="00327A90"/>
    <w:rsid w:val="00330D58"/>
    <w:rsid w:val="00331219"/>
    <w:rsid w:val="00332345"/>
    <w:rsid w:val="00332BA0"/>
    <w:rsid w:val="00333D03"/>
    <w:rsid w:val="00336388"/>
    <w:rsid w:val="00336425"/>
    <w:rsid w:val="00336AB3"/>
    <w:rsid w:val="00340635"/>
    <w:rsid w:val="00341437"/>
    <w:rsid w:val="00341EB5"/>
    <w:rsid w:val="003423B4"/>
    <w:rsid w:val="00342495"/>
    <w:rsid w:val="003429BD"/>
    <w:rsid w:val="003437A3"/>
    <w:rsid w:val="00343EB3"/>
    <w:rsid w:val="00346453"/>
    <w:rsid w:val="0034717E"/>
    <w:rsid w:val="00347C1D"/>
    <w:rsid w:val="00347F51"/>
    <w:rsid w:val="003506FB"/>
    <w:rsid w:val="00350CF4"/>
    <w:rsid w:val="0035223A"/>
    <w:rsid w:val="00352AFB"/>
    <w:rsid w:val="003536C2"/>
    <w:rsid w:val="00354E75"/>
    <w:rsid w:val="00355D78"/>
    <w:rsid w:val="00360CB9"/>
    <w:rsid w:val="00361030"/>
    <w:rsid w:val="00361893"/>
    <w:rsid w:val="00361B87"/>
    <w:rsid w:val="00362905"/>
    <w:rsid w:val="0036315E"/>
    <w:rsid w:val="00363491"/>
    <w:rsid w:val="00364921"/>
    <w:rsid w:val="0036519C"/>
    <w:rsid w:val="00366F9A"/>
    <w:rsid w:val="00370C86"/>
    <w:rsid w:val="00371265"/>
    <w:rsid w:val="00373C06"/>
    <w:rsid w:val="0037709B"/>
    <w:rsid w:val="00380158"/>
    <w:rsid w:val="00381444"/>
    <w:rsid w:val="0038173E"/>
    <w:rsid w:val="00381AA5"/>
    <w:rsid w:val="00382328"/>
    <w:rsid w:val="0038304C"/>
    <w:rsid w:val="00383CA6"/>
    <w:rsid w:val="00383E66"/>
    <w:rsid w:val="00384293"/>
    <w:rsid w:val="00384531"/>
    <w:rsid w:val="003855F3"/>
    <w:rsid w:val="00387E66"/>
    <w:rsid w:val="003900FA"/>
    <w:rsid w:val="003903B5"/>
    <w:rsid w:val="0039235C"/>
    <w:rsid w:val="00392B22"/>
    <w:rsid w:val="003931E7"/>
    <w:rsid w:val="003944AF"/>
    <w:rsid w:val="00394C99"/>
    <w:rsid w:val="003A0CBF"/>
    <w:rsid w:val="003A1DC5"/>
    <w:rsid w:val="003A24D4"/>
    <w:rsid w:val="003A2ADD"/>
    <w:rsid w:val="003A2F7B"/>
    <w:rsid w:val="003A33DE"/>
    <w:rsid w:val="003A42E1"/>
    <w:rsid w:val="003A4828"/>
    <w:rsid w:val="003A4E7C"/>
    <w:rsid w:val="003A71E6"/>
    <w:rsid w:val="003B07A4"/>
    <w:rsid w:val="003B1909"/>
    <w:rsid w:val="003B29F8"/>
    <w:rsid w:val="003B2DEC"/>
    <w:rsid w:val="003B49C9"/>
    <w:rsid w:val="003B5DCD"/>
    <w:rsid w:val="003B783E"/>
    <w:rsid w:val="003C0B79"/>
    <w:rsid w:val="003D1624"/>
    <w:rsid w:val="003D1FBB"/>
    <w:rsid w:val="003D2E27"/>
    <w:rsid w:val="003D6083"/>
    <w:rsid w:val="003E085C"/>
    <w:rsid w:val="003E1134"/>
    <w:rsid w:val="003E1BAE"/>
    <w:rsid w:val="003E1C68"/>
    <w:rsid w:val="003E3850"/>
    <w:rsid w:val="003E6463"/>
    <w:rsid w:val="003F0B99"/>
    <w:rsid w:val="003F0F04"/>
    <w:rsid w:val="003F4752"/>
    <w:rsid w:val="003F633D"/>
    <w:rsid w:val="003F6488"/>
    <w:rsid w:val="003F7187"/>
    <w:rsid w:val="00403423"/>
    <w:rsid w:val="00404AE7"/>
    <w:rsid w:val="0040650C"/>
    <w:rsid w:val="00406D7D"/>
    <w:rsid w:val="0041120F"/>
    <w:rsid w:val="004118A4"/>
    <w:rsid w:val="00412567"/>
    <w:rsid w:val="004128A8"/>
    <w:rsid w:val="00412967"/>
    <w:rsid w:val="00413228"/>
    <w:rsid w:val="00416A91"/>
    <w:rsid w:val="00420CC1"/>
    <w:rsid w:val="00421B59"/>
    <w:rsid w:val="00422B95"/>
    <w:rsid w:val="00422E65"/>
    <w:rsid w:val="0042403F"/>
    <w:rsid w:val="0042539C"/>
    <w:rsid w:val="0042668B"/>
    <w:rsid w:val="0042753C"/>
    <w:rsid w:val="00431854"/>
    <w:rsid w:val="00432C76"/>
    <w:rsid w:val="004345C1"/>
    <w:rsid w:val="00434EEF"/>
    <w:rsid w:val="00434F06"/>
    <w:rsid w:val="00436A8D"/>
    <w:rsid w:val="00437B75"/>
    <w:rsid w:val="00440427"/>
    <w:rsid w:val="00442343"/>
    <w:rsid w:val="00442995"/>
    <w:rsid w:val="00442FCF"/>
    <w:rsid w:val="004439EA"/>
    <w:rsid w:val="00444142"/>
    <w:rsid w:val="00445E16"/>
    <w:rsid w:val="00454F8C"/>
    <w:rsid w:val="004555A9"/>
    <w:rsid w:val="00455E9D"/>
    <w:rsid w:val="00456550"/>
    <w:rsid w:val="00456FF5"/>
    <w:rsid w:val="00457934"/>
    <w:rsid w:val="00460BE5"/>
    <w:rsid w:val="00461684"/>
    <w:rsid w:val="004617E9"/>
    <w:rsid w:val="004618D3"/>
    <w:rsid w:val="00462E8E"/>
    <w:rsid w:val="004634A0"/>
    <w:rsid w:val="004658FC"/>
    <w:rsid w:val="00466F4B"/>
    <w:rsid w:val="004674C4"/>
    <w:rsid w:val="00470339"/>
    <w:rsid w:val="00474F7C"/>
    <w:rsid w:val="0047540A"/>
    <w:rsid w:val="0047594A"/>
    <w:rsid w:val="00476B47"/>
    <w:rsid w:val="00476F57"/>
    <w:rsid w:val="00480FAD"/>
    <w:rsid w:val="0048359D"/>
    <w:rsid w:val="00483803"/>
    <w:rsid w:val="004848DD"/>
    <w:rsid w:val="00485456"/>
    <w:rsid w:val="004872CC"/>
    <w:rsid w:val="004874AF"/>
    <w:rsid w:val="00487614"/>
    <w:rsid w:val="00487A62"/>
    <w:rsid w:val="0049059C"/>
    <w:rsid w:val="00490729"/>
    <w:rsid w:val="00490BE5"/>
    <w:rsid w:val="004956A6"/>
    <w:rsid w:val="00497E99"/>
    <w:rsid w:val="004A0D73"/>
    <w:rsid w:val="004A0E13"/>
    <w:rsid w:val="004A1722"/>
    <w:rsid w:val="004A2DA8"/>
    <w:rsid w:val="004A4319"/>
    <w:rsid w:val="004A6E15"/>
    <w:rsid w:val="004B3B47"/>
    <w:rsid w:val="004B3C52"/>
    <w:rsid w:val="004B4066"/>
    <w:rsid w:val="004B5518"/>
    <w:rsid w:val="004B5B96"/>
    <w:rsid w:val="004B5E25"/>
    <w:rsid w:val="004B63A9"/>
    <w:rsid w:val="004B7039"/>
    <w:rsid w:val="004B76DF"/>
    <w:rsid w:val="004C0910"/>
    <w:rsid w:val="004C151B"/>
    <w:rsid w:val="004C2BED"/>
    <w:rsid w:val="004C5091"/>
    <w:rsid w:val="004C6024"/>
    <w:rsid w:val="004C6043"/>
    <w:rsid w:val="004C6729"/>
    <w:rsid w:val="004C6800"/>
    <w:rsid w:val="004C76C6"/>
    <w:rsid w:val="004C79BA"/>
    <w:rsid w:val="004D08EF"/>
    <w:rsid w:val="004D145B"/>
    <w:rsid w:val="004D218E"/>
    <w:rsid w:val="004D22B9"/>
    <w:rsid w:val="004D3299"/>
    <w:rsid w:val="004D3821"/>
    <w:rsid w:val="004D53D0"/>
    <w:rsid w:val="004D60B1"/>
    <w:rsid w:val="004D6739"/>
    <w:rsid w:val="004D73C8"/>
    <w:rsid w:val="004E14F7"/>
    <w:rsid w:val="004E21D2"/>
    <w:rsid w:val="004E3BC0"/>
    <w:rsid w:val="004E4843"/>
    <w:rsid w:val="004E6DA9"/>
    <w:rsid w:val="004F4511"/>
    <w:rsid w:val="004F51D9"/>
    <w:rsid w:val="004F65F1"/>
    <w:rsid w:val="004F7748"/>
    <w:rsid w:val="00500A4F"/>
    <w:rsid w:val="005022D7"/>
    <w:rsid w:val="005035B0"/>
    <w:rsid w:val="0050429D"/>
    <w:rsid w:val="00504912"/>
    <w:rsid w:val="0050545E"/>
    <w:rsid w:val="00505CCD"/>
    <w:rsid w:val="00507A7B"/>
    <w:rsid w:val="005117EA"/>
    <w:rsid w:val="00512C3F"/>
    <w:rsid w:val="005164DE"/>
    <w:rsid w:val="00517611"/>
    <w:rsid w:val="00520C80"/>
    <w:rsid w:val="00522331"/>
    <w:rsid w:val="0052263D"/>
    <w:rsid w:val="00522F3F"/>
    <w:rsid w:val="0052352B"/>
    <w:rsid w:val="00525030"/>
    <w:rsid w:val="00525F1D"/>
    <w:rsid w:val="0052607F"/>
    <w:rsid w:val="005265D2"/>
    <w:rsid w:val="00526ACF"/>
    <w:rsid w:val="00526FC3"/>
    <w:rsid w:val="00527C22"/>
    <w:rsid w:val="00527CF0"/>
    <w:rsid w:val="00530D79"/>
    <w:rsid w:val="00532885"/>
    <w:rsid w:val="00532B81"/>
    <w:rsid w:val="00533DCC"/>
    <w:rsid w:val="00534135"/>
    <w:rsid w:val="005357BE"/>
    <w:rsid w:val="00535C31"/>
    <w:rsid w:val="00536184"/>
    <w:rsid w:val="00536496"/>
    <w:rsid w:val="005402A2"/>
    <w:rsid w:val="00540DFC"/>
    <w:rsid w:val="00541901"/>
    <w:rsid w:val="00543FB3"/>
    <w:rsid w:val="00544D88"/>
    <w:rsid w:val="0054511B"/>
    <w:rsid w:val="00545454"/>
    <w:rsid w:val="00545E2A"/>
    <w:rsid w:val="00546646"/>
    <w:rsid w:val="00547B21"/>
    <w:rsid w:val="0055203F"/>
    <w:rsid w:val="005538D0"/>
    <w:rsid w:val="0055390C"/>
    <w:rsid w:val="00554AF8"/>
    <w:rsid w:val="00554C61"/>
    <w:rsid w:val="00555181"/>
    <w:rsid w:val="005603FC"/>
    <w:rsid w:val="00562230"/>
    <w:rsid w:val="005628AD"/>
    <w:rsid w:val="005631B0"/>
    <w:rsid w:val="00563C5C"/>
    <w:rsid w:val="00564376"/>
    <w:rsid w:val="005655DA"/>
    <w:rsid w:val="005668F6"/>
    <w:rsid w:val="0056783E"/>
    <w:rsid w:val="00571E55"/>
    <w:rsid w:val="005732E9"/>
    <w:rsid w:val="005747E5"/>
    <w:rsid w:val="00575E72"/>
    <w:rsid w:val="00576932"/>
    <w:rsid w:val="00577DA1"/>
    <w:rsid w:val="005813AE"/>
    <w:rsid w:val="00582BEE"/>
    <w:rsid w:val="00583AFB"/>
    <w:rsid w:val="005841F6"/>
    <w:rsid w:val="00584C0F"/>
    <w:rsid w:val="00584FF0"/>
    <w:rsid w:val="00585446"/>
    <w:rsid w:val="005862FF"/>
    <w:rsid w:val="00586850"/>
    <w:rsid w:val="0059498A"/>
    <w:rsid w:val="00594DCD"/>
    <w:rsid w:val="00596FE4"/>
    <w:rsid w:val="005A10FA"/>
    <w:rsid w:val="005A151D"/>
    <w:rsid w:val="005A184D"/>
    <w:rsid w:val="005A58ED"/>
    <w:rsid w:val="005B155E"/>
    <w:rsid w:val="005B16BF"/>
    <w:rsid w:val="005B2A69"/>
    <w:rsid w:val="005B3214"/>
    <w:rsid w:val="005B36CE"/>
    <w:rsid w:val="005B3891"/>
    <w:rsid w:val="005B4C7B"/>
    <w:rsid w:val="005B4D96"/>
    <w:rsid w:val="005B5989"/>
    <w:rsid w:val="005B5FE8"/>
    <w:rsid w:val="005C2426"/>
    <w:rsid w:val="005C2804"/>
    <w:rsid w:val="005C2FB4"/>
    <w:rsid w:val="005C2FE2"/>
    <w:rsid w:val="005C4B52"/>
    <w:rsid w:val="005C4DD9"/>
    <w:rsid w:val="005C53C5"/>
    <w:rsid w:val="005C58D5"/>
    <w:rsid w:val="005C61A8"/>
    <w:rsid w:val="005C643A"/>
    <w:rsid w:val="005C7093"/>
    <w:rsid w:val="005C75D4"/>
    <w:rsid w:val="005D07D2"/>
    <w:rsid w:val="005D3BA8"/>
    <w:rsid w:val="005D4709"/>
    <w:rsid w:val="005D5A45"/>
    <w:rsid w:val="005D7C36"/>
    <w:rsid w:val="005E0941"/>
    <w:rsid w:val="005E0C4A"/>
    <w:rsid w:val="005E0ED1"/>
    <w:rsid w:val="005E1216"/>
    <w:rsid w:val="005E14E3"/>
    <w:rsid w:val="005E36E9"/>
    <w:rsid w:val="005E47E0"/>
    <w:rsid w:val="005E594D"/>
    <w:rsid w:val="005E7345"/>
    <w:rsid w:val="005F00EE"/>
    <w:rsid w:val="005F0F5D"/>
    <w:rsid w:val="005F2AC5"/>
    <w:rsid w:val="005F365F"/>
    <w:rsid w:val="005F4DC9"/>
    <w:rsid w:val="005F54BE"/>
    <w:rsid w:val="005F571B"/>
    <w:rsid w:val="005F662D"/>
    <w:rsid w:val="00602DCF"/>
    <w:rsid w:val="006066F1"/>
    <w:rsid w:val="006076F9"/>
    <w:rsid w:val="00607779"/>
    <w:rsid w:val="00611414"/>
    <w:rsid w:val="00612941"/>
    <w:rsid w:val="0061409A"/>
    <w:rsid w:val="00614440"/>
    <w:rsid w:val="00614ABC"/>
    <w:rsid w:val="00616BFD"/>
    <w:rsid w:val="00617665"/>
    <w:rsid w:val="00617B15"/>
    <w:rsid w:val="00617D82"/>
    <w:rsid w:val="0062074E"/>
    <w:rsid w:val="00620D99"/>
    <w:rsid w:val="00620DD9"/>
    <w:rsid w:val="00621648"/>
    <w:rsid w:val="00621853"/>
    <w:rsid w:val="00622CB0"/>
    <w:rsid w:val="006244E4"/>
    <w:rsid w:val="0062549B"/>
    <w:rsid w:val="00625754"/>
    <w:rsid w:val="006258B9"/>
    <w:rsid w:val="00632424"/>
    <w:rsid w:val="006337A2"/>
    <w:rsid w:val="00634AC2"/>
    <w:rsid w:val="006371BC"/>
    <w:rsid w:val="0064029B"/>
    <w:rsid w:val="00640421"/>
    <w:rsid w:val="006410E1"/>
    <w:rsid w:val="0064126F"/>
    <w:rsid w:val="006417C7"/>
    <w:rsid w:val="00642E9B"/>
    <w:rsid w:val="006438B4"/>
    <w:rsid w:val="00643BFB"/>
    <w:rsid w:val="006442F3"/>
    <w:rsid w:val="006506C6"/>
    <w:rsid w:val="006511D5"/>
    <w:rsid w:val="00653CC7"/>
    <w:rsid w:val="00656789"/>
    <w:rsid w:val="006603F9"/>
    <w:rsid w:val="00660459"/>
    <w:rsid w:val="006607E6"/>
    <w:rsid w:val="0066178E"/>
    <w:rsid w:val="006621DB"/>
    <w:rsid w:val="00662677"/>
    <w:rsid w:val="00662CC1"/>
    <w:rsid w:val="006633E0"/>
    <w:rsid w:val="0066391F"/>
    <w:rsid w:val="00665119"/>
    <w:rsid w:val="00666583"/>
    <w:rsid w:val="00666A0D"/>
    <w:rsid w:val="0066777F"/>
    <w:rsid w:val="006701D7"/>
    <w:rsid w:val="006706DA"/>
    <w:rsid w:val="00670AC3"/>
    <w:rsid w:val="00670EF9"/>
    <w:rsid w:val="006721E4"/>
    <w:rsid w:val="006729AA"/>
    <w:rsid w:val="00672F7A"/>
    <w:rsid w:val="00674444"/>
    <w:rsid w:val="0067730C"/>
    <w:rsid w:val="006806C5"/>
    <w:rsid w:val="00680871"/>
    <w:rsid w:val="00681174"/>
    <w:rsid w:val="006828EB"/>
    <w:rsid w:val="00683054"/>
    <w:rsid w:val="006846C9"/>
    <w:rsid w:val="00686202"/>
    <w:rsid w:val="00686B35"/>
    <w:rsid w:val="006879E0"/>
    <w:rsid w:val="00687F16"/>
    <w:rsid w:val="006911B8"/>
    <w:rsid w:val="00691293"/>
    <w:rsid w:val="0069290D"/>
    <w:rsid w:val="00693C2A"/>
    <w:rsid w:val="006961A2"/>
    <w:rsid w:val="0069626C"/>
    <w:rsid w:val="00696F3C"/>
    <w:rsid w:val="00697408"/>
    <w:rsid w:val="00697BF0"/>
    <w:rsid w:val="006A0D85"/>
    <w:rsid w:val="006A11C0"/>
    <w:rsid w:val="006A211D"/>
    <w:rsid w:val="006A3424"/>
    <w:rsid w:val="006A3D14"/>
    <w:rsid w:val="006A3F56"/>
    <w:rsid w:val="006A5FBA"/>
    <w:rsid w:val="006A615C"/>
    <w:rsid w:val="006B3EA2"/>
    <w:rsid w:val="006B446A"/>
    <w:rsid w:val="006B4D72"/>
    <w:rsid w:val="006B573B"/>
    <w:rsid w:val="006B59C0"/>
    <w:rsid w:val="006B6D0A"/>
    <w:rsid w:val="006C0434"/>
    <w:rsid w:val="006C0A1B"/>
    <w:rsid w:val="006C3EE5"/>
    <w:rsid w:val="006C6A45"/>
    <w:rsid w:val="006C71A0"/>
    <w:rsid w:val="006C7C23"/>
    <w:rsid w:val="006D4EAA"/>
    <w:rsid w:val="006D5C85"/>
    <w:rsid w:val="006D5EEC"/>
    <w:rsid w:val="006D7884"/>
    <w:rsid w:val="006D7BBC"/>
    <w:rsid w:val="006E04D3"/>
    <w:rsid w:val="006E078A"/>
    <w:rsid w:val="006E3530"/>
    <w:rsid w:val="006E3AC2"/>
    <w:rsid w:val="006E4530"/>
    <w:rsid w:val="006E4ED6"/>
    <w:rsid w:val="006E5213"/>
    <w:rsid w:val="006E6114"/>
    <w:rsid w:val="006E73F2"/>
    <w:rsid w:val="006E78BB"/>
    <w:rsid w:val="006F32D7"/>
    <w:rsid w:val="006F7716"/>
    <w:rsid w:val="006F7F05"/>
    <w:rsid w:val="00700A53"/>
    <w:rsid w:val="00701598"/>
    <w:rsid w:val="00701C07"/>
    <w:rsid w:val="00702470"/>
    <w:rsid w:val="0070293E"/>
    <w:rsid w:val="00704122"/>
    <w:rsid w:val="007046BE"/>
    <w:rsid w:val="00705B64"/>
    <w:rsid w:val="00706074"/>
    <w:rsid w:val="00706482"/>
    <w:rsid w:val="00707320"/>
    <w:rsid w:val="00710832"/>
    <w:rsid w:val="00710E31"/>
    <w:rsid w:val="007113AE"/>
    <w:rsid w:val="00711444"/>
    <w:rsid w:val="0071233F"/>
    <w:rsid w:val="00713B9A"/>
    <w:rsid w:val="007147C3"/>
    <w:rsid w:val="007205AF"/>
    <w:rsid w:val="007207FC"/>
    <w:rsid w:val="0072086A"/>
    <w:rsid w:val="007245A9"/>
    <w:rsid w:val="007254C5"/>
    <w:rsid w:val="00725AEF"/>
    <w:rsid w:val="0072616B"/>
    <w:rsid w:val="0073183E"/>
    <w:rsid w:val="00731F14"/>
    <w:rsid w:val="0073226E"/>
    <w:rsid w:val="0073412E"/>
    <w:rsid w:val="007343B9"/>
    <w:rsid w:val="00734E6E"/>
    <w:rsid w:val="0073669E"/>
    <w:rsid w:val="007377E8"/>
    <w:rsid w:val="00737D1A"/>
    <w:rsid w:val="00741B82"/>
    <w:rsid w:val="007420BF"/>
    <w:rsid w:val="00743C50"/>
    <w:rsid w:val="00745EEB"/>
    <w:rsid w:val="00745FCB"/>
    <w:rsid w:val="0074711B"/>
    <w:rsid w:val="007475F9"/>
    <w:rsid w:val="00747ABE"/>
    <w:rsid w:val="007509A0"/>
    <w:rsid w:val="00750FEC"/>
    <w:rsid w:val="00751113"/>
    <w:rsid w:val="007517C7"/>
    <w:rsid w:val="00751917"/>
    <w:rsid w:val="007536E2"/>
    <w:rsid w:val="00753B57"/>
    <w:rsid w:val="007544D1"/>
    <w:rsid w:val="0075563E"/>
    <w:rsid w:val="0075753B"/>
    <w:rsid w:val="00757DE0"/>
    <w:rsid w:val="00762AF6"/>
    <w:rsid w:val="00762B37"/>
    <w:rsid w:val="00763912"/>
    <w:rsid w:val="007643BA"/>
    <w:rsid w:val="00764E90"/>
    <w:rsid w:val="007653E2"/>
    <w:rsid w:val="00765F60"/>
    <w:rsid w:val="00766134"/>
    <w:rsid w:val="00766BEB"/>
    <w:rsid w:val="00771E44"/>
    <w:rsid w:val="007728AC"/>
    <w:rsid w:val="00774661"/>
    <w:rsid w:val="0077513C"/>
    <w:rsid w:val="007756FB"/>
    <w:rsid w:val="00775B8C"/>
    <w:rsid w:val="00776B52"/>
    <w:rsid w:val="00776C3F"/>
    <w:rsid w:val="00782F66"/>
    <w:rsid w:val="0078543F"/>
    <w:rsid w:val="007854FE"/>
    <w:rsid w:val="0078697D"/>
    <w:rsid w:val="0079050A"/>
    <w:rsid w:val="0079111C"/>
    <w:rsid w:val="00791B53"/>
    <w:rsid w:val="00792B84"/>
    <w:rsid w:val="0079349B"/>
    <w:rsid w:val="007936A6"/>
    <w:rsid w:val="00796908"/>
    <w:rsid w:val="007A1C10"/>
    <w:rsid w:val="007A2FC1"/>
    <w:rsid w:val="007B0F4D"/>
    <w:rsid w:val="007B1AA1"/>
    <w:rsid w:val="007B1AD7"/>
    <w:rsid w:val="007B217D"/>
    <w:rsid w:val="007B3BD9"/>
    <w:rsid w:val="007B3E01"/>
    <w:rsid w:val="007B4250"/>
    <w:rsid w:val="007B598C"/>
    <w:rsid w:val="007B5DD5"/>
    <w:rsid w:val="007B60C8"/>
    <w:rsid w:val="007B68BB"/>
    <w:rsid w:val="007C08A2"/>
    <w:rsid w:val="007C21DC"/>
    <w:rsid w:val="007C2C1A"/>
    <w:rsid w:val="007C4E48"/>
    <w:rsid w:val="007C6C06"/>
    <w:rsid w:val="007C6D2B"/>
    <w:rsid w:val="007C73CC"/>
    <w:rsid w:val="007C787C"/>
    <w:rsid w:val="007D0E38"/>
    <w:rsid w:val="007D1310"/>
    <w:rsid w:val="007D236D"/>
    <w:rsid w:val="007D25C0"/>
    <w:rsid w:val="007D559F"/>
    <w:rsid w:val="007D59A5"/>
    <w:rsid w:val="007D5F0B"/>
    <w:rsid w:val="007E3092"/>
    <w:rsid w:val="007E3368"/>
    <w:rsid w:val="007E5EDC"/>
    <w:rsid w:val="007E653E"/>
    <w:rsid w:val="007F2B60"/>
    <w:rsid w:val="007F3449"/>
    <w:rsid w:val="007F3E85"/>
    <w:rsid w:val="007F3F42"/>
    <w:rsid w:val="007F5EAD"/>
    <w:rsid w:val="00802B27"/>
    <w:rsid w:val="00802D46"/>
    <w:rsid w:val="008043D2"/>
    <w:rsid w:val="00804CF7"/>
    <w:rsid w:val="00805424"/>
    <w:rsid w:val="008062FE"/>
    <w:rsid w:val="0080764C"/>
    <w:rsid w:val="00807D43"/>
    <w:rsid w:val="00810006"/>
    <w:rsid w:val="00810C81"/>
    <w:rsid w:val="00810D4B"/>
    <w:rsid w:val="0081351E"/>
    <w:rsid w:val="008140AC"/>
    <w:rsid w:val="008143A9"/>
    <w:rsid w:val="00820BE5"/>
    <w:rsid w:val="00821161"/>
    <w:rsid w:val="00821200"/>
    <w:rsid w:val="00821674"/>
    <w:rsid w:val="008216A9"/>
    <w:rsid w:val="00821DD5"/>
    <w:rsid w:val="00824CCA"/>
    <w:rsid w:val="00826B17"/>
    <w:rsid w:val="0083035F"/>
    <w:rsid w:val="00831BE0"/>
    <w:rsid w:val="00832D2E"/>
    <w:rsid w:val="0083320D"/>
    <w:rsid w:val="00834DF9"/>
    <w:rsid w:val="00834F0E"/>
    <w:rsid w:val="0083684C"/>
    <w:rsid w:val="00836F92"/>
    <w:rsid w:val="0083766E"/>
    <w:rsid w:val="00840958"/>
    <w:rsid w:val="00843D8D"/>
    <w:rsid w:val="00844277"/>
    <w:rsid w:val="00844819"/>
    <w:rsid w:val="00845626"/>
    <w:rsid w:val="00846E88"/>
    <w:rsid w:val="008477B0"/>
    <w:rsid w:val="00851E68"/>
    <w:rsid w:val="00851EEF"/>
    <w:rsid w:val="008531F7"/>
    <w:rsid w:val="00853B8D"/>
    <w:rsid w:val="00854130"/>
    <w:rsid w:val="00855794"/>
    <w:rsid w:val="00857D8D"/>
    <w:rsid w:val="008613C8"/>
    <w:rsid w:val="00861FD3"/>
    <w:rsid w:val="00862E36"/>
    <w:rsid w:val="008637C8"/>
    <w:rsid w:val="008646E3"/>
    <w:rsid w:val="008649DF"/>
    <w:rsid w:val="00867935"/>
    <w:rsid w:val="00870163"/>
    <w:rsid w:val="0087104E"/>
    <w:rsid w:val="0087425E"/>
    <w:rsid w:val="00880D7A"/>
    <w:rsid w:val="0088319B"/>
    <w:rsid w:val="008838EC"/>
    <w:rsid w:val="00885492"/>
    <w:rsid w:val="00885A99"/>
    <w:rsid w:val="00890B26"/>
    <w:rsid w:val="00890EE7"/>
    <w:rsid w:val="00894B5B"/>
    <w:rsid w:val="00894D54"/>
    <w:rsid w:val="00894FAB"/>
    <w:rsid w:val="00895AC3"/>
    <w:rsid w:val="008961E0"/>
    <w:rsid w:val="0089776F"/>
    <w:rsid w:val="008A002E"/>
    <w:rsid w:val="008A1A51"/>
    <w:rsid w:val="008A2D5B"/>
    <w:rsid w:val="008A37E4"/>
    <w:rsid w:val="008A4C47"/>
    <w:rsid w:val="008A4C6D"/>
    <w:rsid w:val="008A4F7E"/>
    <w:rsid w:val="008A5AEC"/>
    <w:rsid w:val="008A62D1"/>
    <w:rsid w:val="008A6673"/>
    <w:rsid w:val="008A66C5"/>
    <w:rsid w:val="008A6989"/>
    <w:rsid w:val="008A7E18"/>
    <w:rsid w:val="008B00CA"/>
    <w:rsid w:val="008B02B7"/>
    <w:rsid w:val="008B26BA"/>
    <w:rsid w:val="008B2701"/>
    <w:rsid w:val="008B45D5"/>
    <w:rsid w:val="008B5293"/>
    <w:rsid w:val="008B581C"/>
    <w:rsid w:val="008C1E3F"/>
    <w:rsid w:val="008C208E"/>
    <w:rsid w:val="008C2BF2"/>
    <w:rsid w:val="008C30B7"/>
    <w:rsid w:val="008C3BB5"/>
    <w:rsid w:val="008C5586"/>
    <w:rsid w:val="008C75E7"/>
    <w:rsid w:val="008D4E20"/>
    <w:rsid w:val="008D6006"/>
    <w:rsid w:val="008D771C"/>
    <w:rsid w:val="008D7C19"/>
    <w:rsid w:val="008D7DD8"/>
    <w:rsid w:val="008E0D51"/>
    <w:rsid w:val="008E10D6"/>
    <w:rsid w:val="008E185F"/>
    <w:rsid w:val="008E2092"/>
    <w:rsid w:val="008E2104"/>
    <w:rsid w:val="008E3A65"/>
    <w:rsid w:val="008E4856"/>
    <w:rsid w:val="008E6412"/>
    <w:rsid w:val="008F0D7E"/>
    <w:rsid w:val="008F1B2C"/>
    <w:rsid w:val="008F24CA"/>
    <w:rsid w:val="008F294A"/>
    <w:rsid w:val="008F2AE9"/>
    <w:rsid w:val="008F4B20"/>
    <w:rsid w:val="008F5753"/>
    <w:rsid w:val="008F58AF"/>
    <w:rsid w:val="008F6C6A"/>
    <w:rsid w:val="00903188"/>
    <w:rsid w:val="0090332F"/>
    <w:rsid w:val="00903FA7"/>
    <w:rsid w:val="0090433B"/>
    <w:rsid w:val="0090448D"/>
    <w:rsid w:val="00904D8E"/>
    <w:rsid w:val="009073DC"/>
    <w:rsid w:val="009103BD"/>
    <w:rsid w:val="00910BE4"/>
    <w:rsid w:val="0091100F"/>
    <w:rsid w:val="00911757"/>
    <w:rsid w:val="00912090"/>
    <w:rsid w:val="00912B8D"/>
    <w:rsid w:val="00912F61"/>
    <w:rsid w:val="00913477"/>
    <w:rsid w:val="00914131"/>
    <w:rsid w:val="00914B98"/>
    <w:rsid w:val="009151D2"/>
    <w:rsid w:val="009152E0"/>
    <w:rsid w:val="009217C5"/>
    <w:rsid w:val="0092438B"/>
    <w:rsid w:val="00924457"/>
    <w:rsid w:val="00924BBD"/>
    <w:rsid w:val="00927338"/>
    <w:rsid w:val="009275C0"/>
    <w:rsid w:val="0093191B"/>
    <w:rsid w:val="009319A8"/>
    <w:rsid w:val="00932C5C"/>
    <w:rsid w:val="0093422F"/>
    <w:rsid w:val="00935521"/>
    <w:rsid w:val="00935EC4"/>
    <w:rsid w:val="0094138D"/>
    <w:rsid w:val="00941482"/>
    <w:rsid w:val="0094167D"/>
    <w:rsid w:val="009436DA"/>
    <w:rsid w:val="009451AF"/>
    <w:rsid w:val="009451B7"/>
    <w:rsid w:val="00945547"/>
    <w:rsid w:val="0094568E"/>
    <w:rsid w:val="00946B98"/>
    <w:rsid w:val="0095083D"/>
    <w:rsid w:val="009554DA"/>
    <w:rsid w:val="00955878"/>
    <w:rsid w:val="00955B06"/>
    <w:rsid w:val="00956E6E"/>
    <w:rsid w:val="009601BE"/>
    <w:rsid w:val="009633F0"/>
    <w:rsid w:val="0096488F"/>
    <w:rsid w:val="00965F58"/>
    <w:rsid w:val="00966B96"/>
    <w:rsid w:val="00967BFD"/>
    <w:rsid w:val="009713F5"/>
    <w:rsid w:val="00971B0A"/>
    <w:rsid w:val="00972697"/>
    <w:rsid w:val="0097551B"/>
    <w:rsid w:val="00975DA2"/>
    <w:rsid w:val="009765E2"/>
    <w:rsid w:val="009766D9"/>
    <w:rsid w:val="009809F4"/>
    <w:rsid w:val="00982225"/>
    <w:rsid w:val="00982CA2"/>
    <w:rsid w:val="009842FD"/>
    <w:rsid w:val="009845F4"/>
    <w:rsid w:val="0098507E"/>
    <w:rsid w:val="00985137"/>
    <w:rsid w:val="00987BBC"/>
    <w:rsid w:val="009909FF"/>
    <w:rsid w:val="00993C27"/>
    <w:rsid w:val="009A0369"/>
    <w:rsid w:val="009A14B2"/>
    <w:rsid w:val="009A15D3"/>
    <w:rsid w:val="009A1745"/>
    <w:rsid w:val="009A466F"/>
    <w:rsid w:val="009A474C"/>
    <w:rsid w:val="009B026C"/>
    <w:rsid w:val="009B0983"/>
    <w:rsid w:val="009B2940"/>
    <w:rsid w:val="009B3F43"/>
    <w:rsid w:val="009C14C9"/>
    <w:rsid w:val="009C2C02"/>
    <w:rsid w:val="009C2C93"/>
    <w:rsid w:val="009C4953"/>
    <w:rsid w:val="009C6DCB"/>
    <w:rsid w:val="009D0635"/>
    <w:rsid w:val="009D2878"/>
    <w:rsid w:val="009D2B80"/>
    <w:rsid w:val="009D2BA1"/>
    <w:rsid w:val="009D40D5"/>
    <w:rsid w:val="009D4F73"/>
    <w:rsid w:val="009D5379"/>
    <w:rsid w:val="009D6AF7"/>
    <w:rsid w:val="009D7889"/>
    <w:rsid w:val="009D7EAB"/>
    <w:rsid w:val="009E06BF"/>
    <w:rsid w:val="009E2B2A"/>
    <w:rsid w:val="009E3B4C"/>
    <w:rsid w:val="009E59A8"/>
    <w:rsid w:val="009E59C1"/>
    <w:rsid w:val="009F1078"/>
    <w:rsid w:val="009F1100"/>
    <w:rsid w:val="009F129F"/>
    <w:rsid w:val="009F2D53"/>
    <w:rsid w:val="009F38ED"/>
    <w:rsid w:val="009F7C5F"/>
    <w:rsid w:val="00A0038D"/>
    <w:rsid w:val="00A01C07"/>
    <w:rsid w:val="00A01F55"/>
    <w:rsid w:val="00A0249D"/>
    <w:rsid w:val="00A04E98"/>
    <w:rsid w:val="00A05035"/>
    <w:rsid w:val="00A052CC"/>
    <w:rsid w:val="00A06982"/>
    <w:rsid w:val="00A06CC3"/>
    <w:rsid w:val="00A107CD"/>
    <w:rsid w:val="00A10B42"/>
    <w:rsid w:val="00A10E36"/>
    <w:rsid w:val="00A15834"/>
    <w:rsid w:val="00A16F02"/>
    <w:rsid w:val="00A217CC"/>
    <w:rsid w:val="00A22EE2"/>
    <w:rsid w:val="00A23076"/>
    <w:rsid w:val="00A2312A"/>
    <w:rsid w:val="00A244C5"/>
    <w:rsid w:val="00A24988"/>
    <w:rsid w:val="00A24AE4"/>
    <w:rsid w:val="00A271E0"/>
    <w:rsid w:val="00A27442"/>
    <w:rsid w:val="00A27692"/>
    <w:rsid w:val="00A319BE"/>
    <w:rsid w:val="00A34345"/>
    <w:rsid w:val="00A34F62"/>
    <w:rsid w:val="00A35248"/>
    <w:rsid w:val="00A36CD9"/>
    <w:rsid w:val="00A37EAC"/>
    <w:rsid w:val="00A42B68"/>
    <w:rsid w:val="00A4425A"/>
    <w:rsid w:val="00A44839"/>
    <w:rsid w:val="00A44BE1"/>
    <w:rsid w:val="00A4596F"/>
    <w:rsid w:val="00A45CE4"/>
    <w:rsid w:val="00A46430"/>
    <w:rsid w:val="00A4656B"/>
    <w:rsid w:val="00A46D02"/>
    <w:rsid w:val="00A512F6"/>
    <w:rsid w:val="00A516B4"/>
    <w:rsid w:val="00A51AB9"/>
    <w:rsid w:val="00A51D4E"/>
    <w:rsid w:val="00A539EC"/>
    <w:rsid w:val="00A552E1"/>
    <w:rsid w:val="00A60D25"/>
    <w:rsid w:val="00A60E16"/>
    <w:rsid w:val="00A6337A"/>
    <w:rsid w:val="00A655E9"/>
    <w:rsid w:val="00A66D89"/>
    <w:rsid w:val="00A7016B"/>
    <w:rsid w:val="00A709AC"/>
    <w:rsid w:val="00A721EF"/>
    <w:rsid w:val="00A7686F"/>
    <w:rsid w:val="00A773E9"/>
    <w:rsid w:val="00A8172E"/>
    <w:rsid w:val="00A81773"/>
    <w:rsid w:val="00A827FC"/>
    <w:rsid w:val="00A83F0F"/>
    <w:rsid w:val="00A83FE2"/>
    <w:rsid w:val="00A87897"/>
    <w:rsid w:val="00A93393"/>
    <w:rsid w:val="00A93BE5"/>
    <w:rsid w:val="00A93CE8"/>
    <w:rsid w:val="00A94920"/>
    <w:rsid w:val="00A9500F"/>
    <w:rsid w:val="00A9519C"/>
    <w:rsid w:val="00A95722"/>
    <w:rsid w:val="00A96E24"/>
    <w:rsid w:val="00A96F77"/>
    <w:rsid w:val="00A97171"/>
    <w:rsid w:val="00A976A0"/>
    <w:rsid w:val="00AA0CD2"/>
    <w:rsid w:val="00AA1100"/>
    <w:rsid w:val="00AA262A"/>
    <w:rsid w:val="00AA33E4"/>
    <w:rsid w:val="00AA36A9"/>
    <w:rsid w:val="00AA453B"/>
    <w:rsid w:val="00AB0B39"/>
    <w:rsid w:val="00AB222F"/>
    <w:rsid w:val="00AB31DF"/>
    <w:rsid w:val="00AB4F4A"/>
    <w:rsid w:val="00AB6BAA"/>
    <w:rsid w:val="00AB7501"/>
    <w:rsid w:val="00AB773D"/>
    <w:rsid w:val="00AC1724"/>
    <w:rsid w:val="00AC4427"/>
    <w:rsid w:val="00AC6C3E"/>
    <w:rsid w:val="00AC725F"/>
    <w:rsid w:val="00AC7311"/>
    <w:rsid w:val="00AD033A"/>
    <w:rsid w:val="00AD0CDD"/>
    <w:rsid w:val="00AD23E1"/>
    <w:rsid w:val="00AD2DF4"/>
    <w:rsid w:val="00AD3916"/>
    <w:rsid w:val="00AD3D27"/>
    <w:rsid w:val="00AD4266"/>
    <w:rsid w:val="00AD4F7E"/>
    <w:rsid w:val="00AD57F4"/>
    <w:rsid w:val="00AD6A94"/>
    <w:rsid w:val="00AD70A7"/>
    <w:rsid w:val="00AE1400"/>
    <w:rsid w:val="00AE2718"/>
    <w:rsid w:val="00AE477C"/>
    <w:rsid w:val="00AE53DD"/>
    <w:rsid w:val="00AE5A81"/>
    <w:rsid w:val="00AE5F48"/>
    <w:rsid w:val="00AE79CB"/>
    <w:rsid w:val="00AF07FB"/>
    <w:rsid w:val="00AF1998"/>
    <w:rsid w:val="00AF283C"/>
    <w:rsid w:val="00AF307D"/>
    <w:rsid w:val="00AF455A"/>
    <w:rsid w:val="00AF49D1"/>
    <w:rsid w:val="00B0045F"/>
    <w:rsid w:val="00B0123C"/>
    <w:rsid w:val="00B014B7"/>
    <w:rsid w:val="00B01B3E"/>
    <w:rsid w:val="00B02D77"/>
    <w:rsid w:val="00B04BE9"/>
    <w:rsid w:val="00B05F8D"/>
    <w:rsid w:val="00B07272"/>
    <w:rsid w:val="00B07584"/>
    <w:rsid w:val="00B07E97"/>
    <w:rsid w:val="00B103D7"/>
    <w:rsid w:val="00B10731"/>
    <w:rsid w:val="00B108AC"/>
    <w:rsid w:val="00B1153A"/>
    <w:rsid w:val="00B11AF2"/>
    <w:rsid w:val="00B136CE"/>
    <w:rsid w:val="00B14293"/>
    <w:rsid w:val="00B143DC"/>
    <w:rsid w:val="00B14A90"/>
    <w:rsid w:val="00B15C14"/>
    <w:rsid w:val="00B15DCD"/>
    <w:rsid w:val="00B16C22"/>
    <w:rsid w:val="00B17374"/>
    <w:rsid w:val="00B214B6"/>
    <w:rsid w:val="00B218D7"/>
    <w:rsid w:val="00B21BA4"/>
    <w:rsid w:val="00B2221A"/>
    <w:rsid w:val="00B22DD0"/>
    <w:rsid w:val="00B22E8A"/>
    <w:rsid w:val="00B231BE"/>
    <w:rsid w:val="00B24081"/>
    <w:rsid w:val="00B258EF"/>
    <w:rsid w:val="00B259DC"/>
    <w:rsid w:val="00B3165C"/>
    <w:rsid w:val="00B3217E"/>
    <w:rsid w:val="00B34EAA"/>
    <w:rsid w:val="00B368E0"/>
    <w:rsid w:val="00B37E2C"/>
    <w:rsid w:val="00B4158B"/>
    <w:rsid w:val="00B42E92"/>
    <w:rsid w:val="00B44B7A"/>
    <w:rsid w:val="00B45F63"/>
    <w:rsid w:val="00B474DA"/>
    <w:rsid w:val="00B47E10"/>
    <w:rsid w:val="00B47EFD"/>
    <w:rsid w:val="00B509A9"/>
    <w:rsid w:val="00B50B7E"/>
    <w:rsid w:val="00B51538"/>
    <w:rsid w:val="00B51AAB"/>
    <w:rsid w:val="00B51B14"/>
    <w:rsid w:val="00B52F70"/>
    <w:rsid w:val="00B5422B"/>
    <w:rsid w:val="00B54F49"/>
    <w:rsid w:val="00B54F66"/>
    <w:rsid w:val="00B5546C"/>
    <w:rsid w:val="00B55922"/>
    <w:rsid w:val="00B57A28"/>
    <w:rsid w:val="00B57AF8"/>
    <w:rsid w:val="00B60C9A"/>
    <w:rsid w:val="00B61605"/>
    <w:rsid w:val="00B616A7"/>
    <w:rsid w:val="00B6271F"/>
    <w:rsid w:val="00B6441A"/>
    <w:rsid w:val="00B64722"/>
    <w:rsid w:val="00B651A5"/>
    <w:rsid w:val="00B70326"/>
    <w:rsid w:val="00B705E9"/>
    <w:rsid w:val="00B7111B"/>
    <w:rsid w:val="00B72235"/>
    <w:rsid w:val="00B73BCA"/>
    <w:rsid w:val="00B743A9"/>
    <w:rsid w:val="00B74C0A"/>
    <w:rsid w:val="00B7575A"/>
    <w:rsid w:val="00B77D49"/>
    <w:rsid w:val="00B801DD"/>
    <w:rsid w:val="00B81274"/>
    <w:rsid w:val="00B8152A"/>
    <w:rsid w:val="00B838BA"/>
    <w:rsid w:val="00B838CD"/>
    <w:rsid w:val="00B83F09"/>
    <w:rsid w:val="00B84380"/>
    <w:rsid w:val="00B8598C"/>
    <w:rsid w:val="00B8627B"/>
    <w:rsid w:val="00B87612"/>
    <w:rsid w:val="00B90D25"/>
    <w:rsid w:val="00B91BAD"/>
    <w:rsid w:val="00B9229F"/>
    <w:rsid w:val="00B928FA"/>
    <w:rsid w:val="00B94D08"/>
    <w:rsid w:val="00B9571A"/>
    <w:rsid w:val="00B973E5"/>
    <w:rsid w:val="00B9743E"/>
    <w:rsid w:val="00B97587"/>
    <w:rsid w:val="00B976E8"/>
    <w:rsid w:val="00B97A23"/>
    <w:rsid w:val="00B97E69"/>
    <w:rsid w:val="00BA0525"/>
    <w:rsid w:val="00BA05FC"/>
    <w:rsid w:val="00BA1853"/>
    <w:rsid w:val="00BA1C58"/>
    <w:rsid w:val="00BA2AD9"/>
    <w:rsid w:val="00BA4211"/>
    <w:rsid w:val="00BA4855"/>
    <w:rsid w:val="00BA5865"/>
    <w:rsid w:val="00BA6C9E"/>
    <w:rsid w:val="00BA75E6"/>
    <w:rsid w:val="00BA7C83"/>
    <w:rsid w:val="00BB0E6A"/>
    <w:rsid w:val="00BB1318"/>
    <w:rsid w:val="00BB1622"/>
    <w:rsid w:val="00BB193A"/>
    <w:rsid w:val="00BB6ECC"/>
    <w:rsid w:val="00BC082C"/>
    <w:rsid w:val="00BC0F6E"/>
    <w:rsid w:val="00BC1A10"/>
    <w:rsid w:val="00BC2060"/>
    <w:rsid w:val="00BC2313"/>
    <w:rsid w:val="00BC26A1"/>
    <w:rsid w:val="00BC2863"/>
    <w:rsid w:val="00BC3666"/>
    <w:rsid w:val="00BC36B5"/>
    <w:rsid w:val="00BC44FC"/>
    <w:rsid w:val="00BC54AC"/>
    <w:rsid w:val="00BC5CA8"/>
    <w:rsid w:val="00BC6F6C"/>
    <w:rsid w:val="00BD1275"/>
    <w:rsid w:val="00BD40D9"/>
    <w:rsid w:val="00BD4818"/>
    <w:rsid w:val="00BD5225"/>
    <w:rsid w:val="00BD6CB8"/>
    <w:rsid w:val="00BD7F7C"/>
    <w:rsid w:val="00BE2749"/>
    <w:rsid w:val="00BE2E2D"/>
    <w:rsid w:val="00BE5542"/>
    <w:rsid w:val="00BE7331"/>
    <w:rsid w:val="00BF09F5"/>
    <w:rsid w:val="00BF0B09"/>
    <w:rsid w:val="00BF1F25"/>
    <w:rsid w:val="00BF2597"/>
    <w:rsid w:val="00BF2F94"/>
    <w:rsid w:val="00BF4B0C"/>
    <w:rsid w:val="00BF524F"/>
    <w:rsid w:val="00BF5F23"/>
    <w:rsid w:val="00BF65B6"/>
    <w:rsid w:val="00BF6A17"/>
    <w:rsid w:val="00BF70DD"/>
    <w:rsid w:val="00C0027B"/>
    <w:rsid w:val="00C00D70"/>
    <w:rsid w:val="00C027C8"/>
    <w:rsid w:val="00C03F81"/>
    <w:rsid w:val="00C03F8F"/>
    <w:rsid w:val="00C04116"/>
    <w:rsid w:val="00C042DE"/>
    <w:rsid w:val="00C0698D"/>
    <w:rsid w:val="00C12AC7"/>
    <w:rsid w:val="00C14E8C"/>
    <w:rsid w:val="00C157C7"/>
    <w:rsid w:val="00C16149"/>
    <w:rsid w:val="00C161E1"/>
    <w:rsid w:val="00C171CB"/>
    <w:rsid w:val="00C171E7"/>
    <w:rsid w:val="00C17469"/>
    <w:rsid w:val="00C176FD"/>
    <w:rsid w:val="00C17FFE"/>
    <w:rsid w:val="00C206C1"/>
    <w:rsid w:val="00C21524"/>
    <w:rsid w:val="00C2402C"/>
    <w:rsid w:val="00C257DB"/>
    <w:rsid w:val="00C2584C"/>
    <w:rsid w:val="00C262D5"/>
    <w:rsid w:val="00C277A5"/>
    <w:rsid w:val="00C35001"/>
    <w:rsid w:val="00C35293"/>
    <w:rsid w:val="00C36977"/>
    <w:rsid w:val="00C36E8F"/>
    <w:rsid w:val="00C402C5"/>
    <w:rsid w:val="00C40FEA"/>
    <w:rsid w:val="00C418CA"/>
    <w:rsid w:val="00C41D0D"/>
    <w:rsid w:val="00C44236"/>
    <w:rsid w:val="00C4478E"/>
    <w:rsid w:val="00C45B2A"/>
    <w:rsid w:val="00C478E5"/>
    <w:rsid w:val="00C47B18"/>
    <w:rsid w:val="00C47E9D"/>
    <w:rsid w:val="00C51E0C"/>
    <w:rsid w:val="00C5219F"/>
    <w:rsid w:val="00C53FBB"/>
    <w:rsid w:val="00C556E8"/>
    <w:rsid w:val="00C55852"/>
    <w:rsid w:val="00C55C26"/>
    <w:rsid w:val="00C55E77"/>
    <w:rsid w:val="00C562DD"/>
    <w:rsid w:val="00C575BE"/>
    <w:rsid w:val="00C60E17"/>
    <w:rsid w:val="00C62CBF"/>
    <w:rsid w:val="00C63B2A"/>
    <w:rsid w:val="00C6491F"/>
    <w:rsid w:val="00C64C2D"/>
    <w:rsid w:val="00C64D98"/>
    <w:rsid w:val="00C656C5"/>
    <w:rsid w:val="00C6728D"/>
    <w:rsid w:val="00C70EF0"/>
    <w:rsid w:val="00C736DC"/>
    <w:rsid w:val="00C73722"/>
    <w:rsid w:val="00C743C8"/>
    <w:rsid w:val="00C74DF9"/>
    <w:rsid w:val="00C7679F"/>
    <w:rsid w:val="00C773F2"/>
    <w:rsid w:val="00C804AB"/>
    <w:rsid w:val="00C8085D"/>
    <w:rsid w:val="00C82F71"/>
    <w:rsid w:val="00C84986"/>
    <w:rsid w:val="00C86BF9"/>
    <w:rsid w:val="00C87F23"/>
    <w:rsid w:val="00C913A0"/>
    <w:rsid w:val="00C91EA0"/>
    <w:rsid w:val="00C9207C"/>
    <w:rsid w:val="00C933CA"/>
    <w:rsid w:val="00C9348C"/>
    <w:rsid w:val="00C942CA"/>
    <w:rsid w:val="00C94601"/>
    <w:rsid w:val="00C96D74"/>
    <w:rsid w:val="00C974AD"/>
    <w:rsid w:val="00C9753D"/>
    <w:rsid w:val="00CA249F"/>
    <w:rsid w:val="00CA3B47"/>
    <w:rsid w:val="00CA3ECA"/>
    <w:rsid w:val="00CA485B"/>
    <w:rsid w:val="00CA568D"/>
    <w:rsid w:val="00CA58D1"/>
    <w:rsid w:val="00CA6E5D"/>
    <w:rsid w:val="00CA7171"/>
    <w:rsid w:val="00CA7C92"/>
    <w:rsid w:val="00CB1F82"/>
    <w:rsid w:val="00CB2B20"/>
    <w:rsid w:val="00CB78A3"/>
    <w:rsid w:val="00CC17BB"/>
    <w:rsid w:val="00CC2B09"/>
    <w:rsid w:val="00CC44DD"/>
    <w:rsid w:val="00CC5A18"/>
    <w:rsid w:val="00CC5C5F"/>
    <w:rsid w:val="00CC6346"/>
    <w:rsid w:val="00CC6C86"/>
    <w:rsid w:val="00CD0080"/>
    <w:rsid w:val="00CD1890"/>
    <w:rsid w:val="00CD190B"/>
    <w:rsid w:val="00CD3662"/>
    <w:rsid w:val="00CD3CEF"/>
    <w:rsid w:val="00CD4A80"/>
    <w:rsid w:val="00CD4D92"/>
    <w:rsid w:val="00CD7BDC"/>
    <w:rsid w:val="00CE0981"/>
    <w:rsid w:val="00CE0C1D"/>
    <w:rsid w:val="00CE356D"/>
    <w:rsid w:val="00CE4A33"/>
    <w:rsid w:val="00CE4BBB"/>
    <w:rsid w:val="00CE5B3C"/>
    <w:rsid w:val="00CE5CB1"/>
    <w:rsid w:val="00CE6920"/>
    <w:rsid w:val="00CE7E5F"/>
    <w:rsid w:val="00CF05B0"/>
    <w:rsid w:val="00CF231A"/>
    <w:rsid w:val="00CF33BB"/>
    <w:rsid w:val="00CF3832"/>
    <w:rsid w:val="00CF4114"/>
    <w:rsid w:val="00CF4585"/>
    <w:rsid w:val="00CF4A89"/>
    <w:rsid w:val="00CF57A9"/>
    <w:rsid w:val="00CF5D88"/>
    <w:rsid w:val="00CF623B"/>
    <w:rsid w:val="00CF62B0"/>
    <w:rsid w:val="00CF6FD6"/>
    <w:rsid w:val="00CF7638"/>
    <w:rsid w:val="00D07950"/>
    <w:rsid w:val="00D11289"/>
    <w:rsid w:val="00D11B0D"/>
    <w:rsid w:val="00D138A2"/>
    <w:rsid w:val="00D164D5"/>
    <w:rsid w:val="00D174EA"/>
    <w:rsid w:val="00D20F29"/>
    <w:rsid w:val="00D21693"/>
    <w:rsid w:val="00D22DE1"/>
    <w:rsid w:val="00D23C56"/>
    <w:rsid w:val="00D24366"/>
    <w:rsid w:val="00D24489"/>
    <w:rsid w:val="00D245DD"/>
    <w:rsid w:val="00D26BB9"/>
    <w:rsid w:val="00D27B8A"/>
    <w:rsid w:val="00D304AD"/>
    <w:rsid w:val="00D3076E"/>
    <w:rsid w:val="00D30AD8"/>
    <w:rsid w:val="00D32D6A"/>
    <w:rsid w:val="00D32E9F"/>
    <w:rsid w:val="00D33293"/>
    <w:rsid w:val="00D40828"/>
    <w:rsid w:val="00D41DA0"/>
    <w:rsid w:val="00D4234D"/>
    <w:rsid w:val="00D42CA8"/>
    <w:rsid w:val="00D431A1"/>
    <w:rsid w:val="00D462E7"/>
    <w:rsid w:val="00D46480"/>
    <w:rsid w:val="00D46AFB"/>
    <w:rsid w:val="00D50004"/>
    <w:rsid w:val="00D51D18"/>
    <w:rsid w:val="00D51E26"/>
    <w:rsid w:val="00D51E5C"/>
    <w:rsid w:val="00D52EE1"/>
    <w:rsid w:val="00D54025"/>
    <w:rsid w:val="00D54B53"/>
    <w:rsid w:val="00D556F8"/>
    <w:rsid w:val="00D563A2"/>
    <w:rsid w:val="00D571FF"/>
    <w:rsid w:val="00D57B16"/>
    <w:rsid w:val="00D60F8A"/>
    <w:rsid w:val="00D61078"/>
    <w:rsid w:val="00D62401"/>
    <w:rsid w:val="00D64120"/>
    <w:rsid w:val="00D64A6D"/>
    <w:rsid w:val="00D653BF"/>
    <w:rsid w:val="00D65BC4"/>
    <w:rsid w:val="00D66459"/>
    <w:rsid w:val="00D707C5"/>
    <w:rsid w:val="00D70CED"/>
    <w:rsid w:val="00D7147A"/>
    <w:rsid w:val="00D71579"/>
    <w:rsid w:val="00D71A25"/>
    <w:rsid w:val="00D72CD5"/>
    <w:rsid w:val="00D733E4"/>
    <w:rsid w:val="00D7485A"/>
    <w:rsid w:val="00D7626D"/>
    <w:rsid w:val="00D763CF"/>
    <w:rsid w:val="00D766F4"/>
    <w:rsid w:val="00D76E15"/>
    <w:rsid w:val="00D775B0"/>
    <w:rsid w:val="00D77737"/>
    <w:rsid w:val="00D826ED"/>
    <w:rsid w:val="00D831DB"/>
    <w:rsid w:val="00D86F74"/>
    <w:rsid w:val="00D877FE"/>
    <w:rsid w:val="00D90A71"/>
    <w:rsid w:val="00D9138D"/>
    <w:rsid w:val="00D919ED"/>
    <w:rsid w:val="00D92D7E"/>
    <w:rsid w:val="00D92FAA"/>
    <w:rsid w:val="00D931E9"/>
    <w:rsid w:val="00D93707"/>
    <w:rsid w:val="00D93A12"/>
    <w:rsid w:val="00D93AEC"/>
    <w:rsid w:val="00D953F8"/>
    <w:rsid w:val="00D956AF"/>
    <w:rsid w:val="00D96377"/>
    <w:rsid w:val="00D966B5"/>
    <w:rsid w:val="00D9704B"/>
    <w:rsid w:val="00D975EC"/>
    <w:rsid w:val="00DA0112"/>
    <w:rsid w:val="00DA0367"/>
    <w:rsid w:val="00DA1524"/>
    <w:rsid w:val="00DA43A9"/>
    <w:rsid w:val="00DA54EB"/>
    <w:rsid w:val="00DA57CF"/>
    <w:rsid w:val="00DA7921"/>
    <w:rsid w:val="00DA7A27"/>
    <w:rsid w:val="00DB02EF"/>
    <w:rsid w:val="00DB07EA"/>
    <w:rsid w:val="00DB28B7"/>
    <w:rsid w:val="00DB39D5"/>
    <w:rsid w:val="00DB3DF3"/>
    <w:rsid w:val="00DB54A8"/>
    <w:rsid w:val="00DC1529"/>
    <w:rsid w:val="00DC2401"/>
    <w:rsid w:val="00DC2443"/>
    <w:rsid w:val="00DC24EB"/>
    <w:rsid w:val="00DC2C7C"/>
    <w:rsid w:val="00DC2FB0"/>
    <w:rsid w:val="00DC363E"/>
    <w:rsid w:val="00DC3B34"/>
    <w:rsid w:val="00DC5065"/>
    <w:rsid w:val="00DC5344"/>
    <w:rsid w:val="00DC55D9"/>
    <w:rsid w:val="00DC59EE"/>
    <w:rsid w:val="00DC5D93"/>
    <w:rsid w:val="00DC63D5"/>
    <w:rsid w:val="00DC6B55"/>
    <w:rsid w:val="00DC734B"/>
    <w:rsid w:val="00DC7A74"/>
    <w:rsid w:val="00DD08E6"/>
    <w:rsid w:val="00DD0C9C"/>
    <w:rsid w:val="00DD27E4"/>
    <w:rsid w:val="00DD574F"/>
    <w:rsid w:val="00DD5E07"/>
    <w:rsid w:val="00DD62B9"/>
    <w:rsid w:val="00DD6EDB"/>
    <w:rsid w:val="00DD74E6"/>
    <w:rsid w:val="00DE0012"/>
    <w:rsid w:val="00DE0B61"/>
    <w:rsid w:val="00DE125F"/>
    <w:rsid w:val="00DE1B58"/>
    <w:rsid w:val="00DE20AB"/>
    <w:rsid w:val="00DE39A7"/>
    <w:rsid w:val="00DE5070"/>
    <w:rsid w:val="00DE6796"/>
    <w:rsid w:val="00DE7C2D"/>
    <w:rsid w:val="00DE7F6E"/>
    <w:rsid w:val="00DF10F7"/>
    <w:rsid w:val="00DF11E5"/>
    <w:rsid w:val="00DF15C0"/>
    <w:rsid w:val="00DF25E2"/>
    <w:rsid w:val="00DF322E"/>
    <w:rsid w:val="00DF667F"/>
    <w:rsid w:val="00DF6F83"/>
    <w:rsid w:val="00E00987"/>
    <w:rsid w:val="00E01450"/>
    <w:rsid w:val="00E03288"/>
    <w:rsid w:val="00E040A6"/>
    <w:rsid w:val="00E044B9"/>
    <w:rsid w:val="00E045F8"/>
    <w:rsid w:val="00E04E68"/>
    <w:rsid w:val="00E05F9E"/>
    <w:rsid w:val="00E066ED"/>
    <w:rsid w:val="00E15093"/>
    <w:rsid w:val="00E1617F"/>
    <w:rsid w:val="00E2145E"/>
    <w:rsid w:val="00E22150"/>
    <w:rsid w:val="00E2440C"/>
    <w:rsid w:val="00E24FC3"/>
    <w:rsid w:val="00E2566B"/>
    <w:rsid w:val="00E26585"/>
    <w:rsid w:val="00E27C91"/>
    <w:rsid w:val="00E3037B"/>
    <w:rsid w:val="00E31768"/>
    <w:rsid w:val="00E319B5"/>
    <w:rsid w:val="00E319F1"/>
    <w:rsid w:val="00E32E79"/>
    <w:rsid w:val="00E335F3"/>
    <w:rsid w:val="00E341E7"/>
    <w:rsid w:val="00E36A49"/>
    <w:rsid w:val="00E3783E"/>
    <w:rsid w:val="00E404B9"/>
    <w:rsid w:val="00E41E9D"/>
    <w:rsid w:val="00E43B58"/>
    <w:rsid w:val="00E43DF0"/>
    <w:rsid w:val="00E45236"/>
    <w:rsid w:val="00E454E8"/>
    <w:rsid w:val="00E4580C"/>
    <w:rsid w:val="00E45BA1"/>
    <w:rsid w:val="00E471AB"/>
    <w:rsid w:val="00E50460"/>
    <w:rsid w:val="00E50DBD"/>
    <w:rsid w:val="00E51A38"/>
    <w:rsid w:val="00E52A49"/>
    <w:rsid w:val="00E53AD5"/>
    <w:rsid w:val="00E55BA7"/>
    <w:rsid w:val="00E60A3C"/>
    <w:rsid w:val="00E60AE3"/>
    <w:rsid w:val="00E60F6D"/>
    <w:rsid w:val="00E61081"/>
    <w:rsid w:val="00E61288"/>
    <w:rsid w:val="00E62547"/>
    <w:rsid w:val="00E62A24"/>
    <w:rsid w:val="00E62B0F"/>
    <w:rsid w:val="00E62F31"/>
    <w:rsid w:val="00E62F9C"/>
    <w:rsid w:val="00E639A7"/>
    <w:rsid w:val="00E643DC"/>
    <w:rsid w:val="00E644F3"/>
    <w:rsid w:val="00E656D7"/>
    <w:rsid w:val="00E65F8A"/>
    <w:rsid w:val="00E702BF"/>
    <w:rsid w:val="00E70FEA"/>
    <w:rsid w:val="00E71C14"/>
    <w:rsid w:val="00E739EA"/>
    <w:rsid w:val="00E74A49"/>
    <w:rsid w:val="00E75A45"/>
    <w:rsid w:val="00E7657A"/>
    <w:rsid w:val="00E76CAA"/>
    <w:rsid w:val="00E771ED"/>
    <w:rsid w:val="00E80C83"/>
    <w:rsid w:val="00E81CEC"/>
    <w:rsid w:val="00E820DF"/>
    <w:rsid w:val="00E831F6"/>
    <w:rsid w:val="00E83714"/>
    <w:rsid w:val="00E86D5F"/>
    <w:rsid w:val="00E87D74"/>
    <w:rsid w:val="00E87F77"/>
    <w:rsid w:val="00E90A3F"/>
    <w:rsid w:val="00E9100F"/>
    <w:rsid w:val="00E910DD"/>
    <w:rsid w:val="00E91B23"/>
    <w:rsid w:val="00E9311B"/>
    <w:rsid w:val="00E93728"/>
    <w:rsid w:val="00E960DD"/>
    <w:rsid w:val="00E96207"/>
    <w:rsid w:val="00EA1286"/>
    <w:rsid w:val="00EA214A"/>
    <w:rsid w:val="00EA5513"/>
    <w:rsid w:val="00EB0F4B"/>
    <w:rsid w:val="00EB1D19"/>
    <w:rsid w:val="00EB3FEA"/>
    <w:rsid w:val="00EB5CBA"/>
    <w:rsid w:val="00EB6888"/>
    <w:rsid w:val="00EB78F8"/>
    <w:rsid w:val="00EC0802"/>
    <w:rsid w:val="00EC117F"/>
    <w:rsid w:val="00EC2ABA"/>
    <w:rsid w:val="00EC3AFA"/>
    <w:rsid w:val="00EC464A"/>
    <w:rsid w:val="00EC4815"/>
    <w:rsid w:val="00EC4B01"/>
    <w:rsid w:val="00EC5B7E"/>
    <w:rsid w:val="00EC6369"/>
    <w:rsid w:val="00EC64CF"/>
    <w:rsid w:val="00ED1D58"/>
    <w:rsid w:val="00ED2282"/>
    <w:rsid w:val="00ED277E"/>
    <w:rsid w:val="00ED38FD"/>
    <w:rsid w:val="00ED512D"/>
    <w:rsid w:val="00ED5F67"/>
    <w:rsid w:val="00ED7E38"/>
    <w:rsid w:val="00EE11D6"/>
    <w:rsid w:val="00EE1381"/>
    <w:rsid w:val="00EE1B65"/>
    <w:rsid w:val="00EE2000"/>
    <w:rsid w:val="00EE2A4E"/>
    <w:rsid w:val="00EE2B96"/>
    <w:rsid w:val="00EE2D7D"/>
    <w:rsid w:val="00EE33B6"/>
    <w:rsid w:val="00EE4B0C"/>
    <w:rsid w:val="00EE5201"/>
    <w:rsid w:val="00EE6021"/>
    <w:rsid w:val="00EE65D8"/>
    <w:rsid w:val="00EF0F57"/>
    <w:rsid w:val="00EF1572"/>
    <w:rsid w:val="00EF24C7"/>
    <w:rsid w:val="00EF32F2"/>
    <w:rsid w:val="00EF3DF4"/>
    <w:rsid w:val="00EF4B8F"/>
    <w:rsid w:val="00EF59E6"/>
    <w:rsid w:val="00EF5F48"/>
    <w:rsid w:val="00EF7969"/>
    <w:rsid w:val="00EF7D5F"/>
    <w:rsid w:val="00F00F44"/>
    <w:rsid w:val="00F02135"/>
    <w:rsid w:val="00F02B8F"/>
    <w:rsid w:val="00F044DD"/>
    <w:rsid w:val="00F04FFF"/>
    <w:rsid w:val="00F05A93"/>
    <w:rsid w:val="00F061D5"/>
    <w:rsid w:val="00F06ABC"/>
    <w:rsid w:val="00F128A1"/>
    <w:rsid w:val="00F12F26"/>
    <w:rsid w:val="00F14A40"/>
    <w:rsid w:val="00F14EF1"/>
    <w:rsid w:val="00F150A5"/>
    <w:rsid w:val="00F152FD"/>
    <w:rsid w:val="00F17738"/>
    <w:rsid w:val="00F20615"/>
    <w:rsid w:val="00F209F7"/>
    <w:rsid w:val="00F2146F"/>
    <w:rsid w:val="00F2555E"/>
    <w:rsid w:val="00F25ACB"/>
    <w:rsid w:val="00F25CF1"/>
    <w:rsid w:val="00F26270"/>
    <w:rsid w:val="00F26424"/>
    <w:rsid w:val="00F266BD"/>
    <w:rsid w:val="00F27A6F"/>
    <w:rsid w:val="00F300F9"/>
    <w:rsid w:val="00F309A1"/>
    <w:rsid w:val="00F33397"/>
    <w:rsid w:val="00F343E6"/>
    <w:rsid w:val="00F350D8"/>
    <w:rsid w:val="00F3515D"/>
    <w:rsid w:val="00F35830"/>
    <w:rsid w:val="00F36CD6"/>
    <w:rsid w:val="00F370DC"/>
    <w:rsid w:val="00F376D6"/>
    <w:rsid w:val="00F37F86"/>
    <w:rsid w:val="00F4048B"/>
    <w:rsid w:val="00F41CA3"/>
    <w:rsid w:val="00F42AC7"/>
    <w:rsid w:val="00F42F9D"/>
    <w:rsid w:val="00F444B6"/>
    <w:rsid w:val="00F44E90"/>
    <w:rsid w:val="00F45D83"/>
    <w:rsid w:val="00F462E8"/>
    <w:rsid w:val="00F475DC"/>
    <w:rsid w:val="00F50502"/>
    <w:rsid w:val="00F5074F"/>
    <w:rsid w:val="00F5122F"/>
    <w:rsid w:val="00F5167B"/>
    <w:rsid w:val="00F51B08"/>
    <w:rsid w:val="00F51CBE"/>
    <w:rsid w:val="00F51DCF"/>
    <w:rsid w:val="00F557F9"/>
    <w:rsid w:val="00F55F04"/>
    <w:rsid w:val="00F57408"/>
    <w:rsid w:val="00F616FB"/>
    <w:rsid w:val="00F619C2"/>
    <w:rsid w:val="00F623D3"/>
    <w:rsid w:val="00F635AA"/>
    <w:rsid w:val="00F63E69"/>
    <w:rsid w:val="00F6708A"/>
    <w:rsid w:val="00F67352"/>
    <w:rsid w:val="00F67760"/>
    <w:rsid w:val="00F72074"/>
    <w:rsid w:val="00F76FE5"/>
    <w:rsid w:val="00F775C1"/>
    <w:rsid w:val="00F817C8"/>
    <w:rsid w:val="00F81C1F"/>
    <w:rsid w:val="00F82AA1"/>
    <w:rsid w:val="00F840D3"/>
    <w:rsid w:val="00F849B4"/>
    <w:rsid w:val="00F8520E"/>
    <w:rsid w:val="00F86629"/>
    <w:rsid w:val="00F90835"/>
    <w:rsid w:val="00F90C29"/>
    <w:rsid w:val="00F91A77"/>
    <w:rsid w:val="00F927BD"/>
    <w:rsid w:val="00F93E19"/>
    <w:rsid w:val="00F93F94"/>
    <w:rsid w:val="00F95BA2"/>
    <w:rsid w:val="00F968F7"/>
    <w:rsid w:val="00F97C21"/>
    <w:rsid w:val="00FA0129"/>
    <w:rsid w:val="00FA098A"/>
    <w:rsid w:val="00FA2E05"/>
    <w:rsid w:val="00FA352C"/>
    <w:rsid w:val="00FA45BD"/>
    <w:rsid w:val="00FA469E"/>
    <w:rsid w:val="00FA5226"/>
    <w:rsid w:val="00FA5693"/>
    <w:rsid w:val="00FA6FE5"/>
    <w:rsid w:val="00FA7785"/>
    <w:rsid w:val="00FB022C"/>
    <w:rsid w:val="00FB07DD"/>
    <w:rsid w:val="00FB16B9"/>
    <w:rsid w:val="00FB187F"/>
    <w:rsid w:val="00FB1DD2"/>
    <w:rsid w:val="00FB21F1"/>
    <w:rsid w:val="00FB2B62"/>
    <w:rsid w:val="00FC0C50"/>
    <w:rsid w:val="00FC1A32"/>
    <w:rsid w:val="00FC1E4A"/>
    <w:rsid w:val="00FC4178"/>
    <w:rsid w:val="00FC4298"/>
    <w:rsid w:val="00FC495B"/>
    <w:rsid w:val="00FC57EB"/>
    <w:rsid w:val="00FD0031"/>
    <w:rsid w:val="00FD09F9"/>
    <w:rsid w:val="00FD22B8"/>
    <w:rsid w:val="00FD3050"/>
    <w:rsid w:val="00FD30F7"/>
    <w:rsid w:val="00FD3A33"/>
    <w:rsid w:val="00FD3E6C"/>
    <w:rsid w:val="00FD4003"/>
    <w:rsid w:val="00FD4624"/>
    <w:rsid w:val="00FD5484"/>
    <w:rsid w:val="00FD6398"/>
    <w:rsid w:val="00FD6D4B"/>
    <w:rsid w:val="00FD6E7C"/>
    <w:rsid w:val="00FE0942"/>
    <w:rsid w:val="00FE19B6"/>
    <w:rsid w:val="00FE2274"/>
    <w:rsid w:val="00FE277C"/>
    <w:rsid w:val="00FE2C90"/>
    <w:rsid w:val="00FE5AB4"/>
    <w:rsid w:val="00FE79A4"/>
    <w:rsid w:val="00FF0304"/>
    <w:rsid w:val="00FF0D03"/>
    <w:rsid w:val="00FF5FAA"/>
    <w:rsid w:val="00FF6461"/>
    <w:rsid w:val="00FF7070"/>
    <w:rsid w:val="157C6CE8"/>
    <w:rsid w:val="31A85BF8"/>
    <w:rsid w:val="373FFD83"/>
    <w:rsid w:val="3DB74F22"/>
    <w:rsid w:val="532F527C"/>
    <w:rsid w:val="5BAE75DE"/>
    <w:rsid w:val="6BF7494C"/>
    <w:rsid w:val="6EFF8A73"/>
    <w:rsid w:val="9BF5E6C8"/>
    <w:rsid w:val="EC7BE9E5"/>
    <w:rsid w:val="FFFFB7B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仿宋_GB2312"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Symbol"/>
      <w:kern w:val="2"/>
      <w:sz w:val="28"/>
      <w:szCs w:val="21"/>
      <w:lang w:val="en-US" w:eastAsia="zh-CN" w:bidi="ar-SA"/>
    </w:rPr>
  </w:style>
  <w:style w:type="paragraph" w:styleId="2">
    <w:name w:val="heading 1"/>
    <w:basedOn w:val="1"/>
    <w:next w:val="1"/>
    <w:link w:val="50"/>
    <w:qFormat/>
    <w:uiPriority w:val="0"/>
    <w:pPr>
      <w:numPr>
        <w:ilvl w:val="0"/>
        <w:numId w:val="1"/>
      </w:numPr>
      <w:autoSpaceDN w:val="0"/>
      <w:adjustRightInd w:val="0"/>
      <w:snapToGrid w:val="0"/>
      <w:ind w:left="431" w:hanging="431"/>
      <w:jc w:val="left"/>
      <w:outlineLvl w:val="0"/>
    </w:pPr>
    <w:rPr>
      <w:rFonts w:cs="Times New Roman"/>
      <w:b/>
      <w:bCs/>
      <w:szCs w:val="32"/>
      <w:lang w:val="zh-CN"/>
    </w:rPr>
  </w:style>
  <w:style w:type="paragraph" w:styleId="3">
    <w:name w:val="heading 2"/>
    <w:basedOn w:val="1"/>
    <w:next w:val="1"/>
    <w:link w:val="51"/>
    <w:qFormat/>
    <w:uiPriority w:val="0"/>
    <w:pPr>
      <w:numPr>
        <w:ilvl w:val="1"/>
        <w:numId w:val="1"/>
      </w:numPr>
      <w:autoSpaceDN w:val="0"/>
      <w:adjustRightInd w:val="0"/>
      <w:snapToGrid w:val="0"/>
      <w:spacing w:before="50" w:beforeLines="50"/>
      <w:outlineLvl w:val="1"/>
    </w:pPr>
    <w:rPr>
      <w:rFonts w:cs="Times New Roman"/>
      <w:b/>
      <w:bCs/>
      <w:szCs w:val="30"/>
      <w:lang w:val="zh-CN"/>
    </w:rPr>
  </w:style>
  <w:style w:type="paragraph" w:styleId="4">
    <w:name w:val="heading 3"/>
    <w:basedOn w:val="1"/>
    <w:next w:val="1"/>
    <w:link w:val="52"/>
    <w:qFormat/>
    <w:uiPriority w:val="0"/>
    <w:pPr>
      <w:numPr>
        <w:ilvl w:val="2"/>
        <w:numId w:val="1"/>
      </w:numPr>
      <w:autoSpaceDN w:val="0"/>
      <w:adjustRightInd w:val="0"/>
      <w:snapToGrid w:val="0"/>
      <w:outlineLvl w:val="2"/>
    </w:pPr>
    <w:rPr>
      <w:rFonts w:cs="Times New Roman"/>
      <w:b/>
      <w:bCs/>
      <w:szCs w:val="28"/>
      <w:lang w:val="zh-CN"/>
    </w:rPr>
  </w:style>
  <w:style w:type="paragraph" w:styleId="5">
    <w:name w:val="heading 4"/>
    <w:basedOn w:val="1"/>
    <w:next w:val="1"/>
    <w:link w:val="53"/>
    <w:qFormat/>
    <w:uiPriority w:val="0"/>
    <w:pPr>
      <w:numPr>
        <w:ilvl w:val="3"/>
        <w:numId w:val="1"/>
      </w:numPr>
      <w:adjustRightInd w:val="0"/>
      <w:snapToGrid w:val="0"/>
      <w:outlineLvl w:val="3"/>
    </w:pPr>
    <w:rPr>
      <w:rFonts w:cs="Times New Roman"/>
      <w:b/>
      <w:szCs w:val="28"/>
      <w:lang w:val="zh-CN"/>
    </w:rPr>
  </w:style>
  <w:style w:type="paragraph" w:styleId="6">
    <w:name w:val="heading 5"/>
    <w:basedOn w:val="1"/>
    <w:next w:val="1"/>
    <w:link w:val="54"/>
    <w:qFormat/>
    <w:uiPriority w:val="0"/>
    <w:pPr>
      <w:keepNext/>
      <w:keepLines/>
      <w:numPr>
        <w:ilvl w:val="4"/>
        <w:numId w:val="1"/>
      </w:numPr>
      <w:tabs>
        <w:tab w:val="left" w:pos="1008"/>
      </w:tabs>
      <w:spacing w:before="280" w:after="290" w:line="372" w:lineRule="auto"/>
      <w:outlineLvl w:val="4"/>
    </w:pPr>
    <w:rPr>
      <w:rFonts w:cs="等线"/>
      <w:b/>
      <w:bCs/>
      <w:kern w:val="0"/>
      <w:szCs w:val="28"/>
      <w:lang w:val="zh-CN"/>
    </w:rPr>
  </w:style>
  <w:style w:type="paragraph" w:styleId="7">
    <w:name w:val="heading 6"/>
    <w:basedOn w:val="1"/>
    <w:next w:val="1"/>
    <w:link w:val="55"/>
    <w:qFormat/>
    <w:uiPriority w:val="0"/>
    <w:pPr>
      <w:keepNext/>
      <w:keepLines/>
      <w:numPr>
        <w:ilvl w:val="5"/>
        <w:numId w:val="1"/>
      </w:numPr>
      <w:tabs>
        <w:tab w:val="left" w:pos="1152"/>
      </w:tabs>
      <w:spacing w:before="240" w:after="64" w:line="317" w:lineRule="auto"/>
      <w:outlineLvl w:val="5"/>
    </w:pPr>
    <w:rPr>
      <w:rFonts w:ascii="Cambria Math" w:hAnsi="Cambria Math" w:eastAsia="Symbol" w:cs="等线"/>
      <w:b/>
      <w:bCs/>
      <w:kern w:val="0"/>
      <w:sz w:val="24"/>
      <w:szCs w:val="24"/>
      <w:lang w:val="zh-CN"/>
    </w:rPr>
  </w:style>
  <w:style w:type="paragraph" w:styleId="8">
    <w:name w:val="heading 7"/>
    <w:basedOn w:val="1"/>
    <w:next w:val="1"/>
    <w:link w:val="56"/>
    <w:qFormat/>
    <w:uiPriority w:val="0"/>
    <w:pPr>
      <w:keepNext/>
      <w:keepLines/>
      <w:numPr>
        <w:ilvl w:val="6"/>
        <w:numId w:val="1"/>
      </w:numPr>
      <w:tabs>
        <w:tab w:val="left" w:pos="1296"/>
      </w:tabs>
      <w:spacing w:before="240" w:after="64" w:line="317" w:lineRule="auto"/>
      <w:outlineLvl w:val="6"/>
    </w:pPr>
    <w:rPr>
      <w:rFonts w:cs="等线"/>
      <w:b/>
      <w:bCs/>
      <w:kern w:val="0"/>
      <w:sz w:val="24"/>
      <w:szCs w:val="24"/>
      <w:lang w:val="zh-CN"/>
    </w:rPr>
  </w:style>
  <w:style w:type="paragraph" w:styleId="9">
    <w:name w:val="heading 8"/>
    <w:basedOn w:val="1"/>
    <w:next w:val="1"/>
    <w:link w:val="57"/>
    <w:qFormat/>
    <w:uiPriority w:val="0"/>
    <w:pPr>
      <w:keepNext/>
      <w:keepLines/>
      <w:numPr>
        <w:ilvl w:val="7"/>
        <w:numId w:val="1"/>
      </w:numPr>
      <w:tabs>
        <w:tab w:val="left" w:pos="1440"/>
      </w:tabs>
      <w:spacing w:before="240" w:after="64" w:line="317" w:lineRule="auto"/>
      <w:ind w:left="1440"/>
      <w:outlineLvl w:val="7"/>
    </w:pPr>
    <w:rPr>
      <w:rFonts w:ascii="Cambria Math" w:hAnsi="Cambria Math" w:eastAsia="Symbol" w:cs="等线"/>
      <w:kern w:val="0"/>
      <w:sz w:val="24"/>
      <w:szCs w:val="24"/>
      <w:lang w:val="zh-CN"/>
    </w:rPr>
  </w:style>
  <w:style w:type="paragraph" w:styleId="10">
    <w:name w:val="heading 9"/>
    <w:basedOn w:val="1"/>
    <w:next w:val="1"/>
    <w:link w:val="58"/>
    <w:qFormat/>
    <w:uiPriority w:val="0"/>
    <w:pPr>
      <w:keepNext/>
      <w:keepLines/>
      <w:numPr>
        <w:ilvl w:val="8"/>
        <w:numId w:val="1"/>
      </w:numPr>
      <w:tabs>
        <w:tab w:val="left" w:pos="1584"/>
      </w:tabs>
      <w:spacing w:before="240" w:after="64" w:line="317" w:lineRule="auto"/>
      <w:outlineLvl w:val="8"/>
    </w:pPr>
    <w:rPr>
      <w:rFonts w:ascii="Cambria Math" w:hAnsi="Cambria Math" w:eastAsia="Symbol" w:cs="等线"/>
      <w:kern w:val="0"/>
      <w:sz w:val="24"/>
      <w:lang w:val="zh-CN"/>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rFonts w:ascii="Arial" w:hAnsi="Arial"/>
      <w:sz w:val="18"/>
      <w:szCs w:val="18"/>
    </w:rPr>
  </w:style>
  <w:style w:type="paragraph" w:styleId="12">
    <w:name w:val="E-mail Signature"/>
    <w:basedOn w:val="1"/>
    <w:link w:val="127"/>
    <w:qFormat/>
    <w:uiPriority w:val="0"/>
    <w:rPr>
      <w:rFonts w:cs="等线"/>
      <w:szCs w:val="20"/>
    </w:rPr>
  </w:style>
  <w:style w:type="paragraph" w:styleId="13">
    <w:name w:val="Normal Indent"/>
    <w:basedOn w:val="1"/>
    <w:qFormat/>
    <w:uiPriority w:val="0"/>
    <w:pPr>
      <w:adjustRightInd w:val="0"/>
      <w:spacing w:line="312" w:lineRule="atLeast"/>
      <w:ind w:firstLine="420"/>
      <w:textAlignment w:val="baseline"/>
    </w:pPr>
    <w:rPr>
      <w:rFonts w:cs="等线"/>
      <w:kern w:val="0"/>
      <w:szCs w:val="20"/>
    </w:rPr>
  </w:style>
  <w:style w:type="paragraph" w:styleId="14">
    <w:name w:val="caption"/>
    <w:basedOn w:val="1"/>
    <w:next w:val="1"/>
    <w:link w:val="136"/>
    <w:qFormat/>
    <w:uiPriority w:val="35"/>
    <w:pPr>
      <w:spacing w:line="300" w:lineRule="auto"/>
      <w:jc w:val="center"/>
    </w:pPr>
    <w:rPr>
      <w:rFonts w:cs="Cambria Math"/>
      <w:sz w:val="24"/>
      <w:szCs w:val="24"/>
    </w:rPr>
  </w:style>
  <w:style w:type="paragraph" w:styleId="15">
    <w:name w:val="Document Map"/>
    <w:basedOn w:val="1"/>
    <w:link w:val="121"/>
    <w:qFormat/>
    <w:uiPriority w:val="0"/>
    <w:rPr>
      <w:rFonts w:ascii="仿宋_GB2312"/>
      <w:sz w:val="18"/>
      <w:szCs w:val="18"/>
    </w:rPr>
  </w:style>
  <w:style w:type="paragraph" w:styleId="16">
    <w:name w:val="annotation text"/>
    <w:basedOn w:val="1"/>
    <w:link w:val="78"/>
    <w:qFormat/>
    <w:uiPriority w:val="0"/>
    <w:pPr>
      <w:jc w:val="left"/>
    </w:pPr>
  </w:style>
  <w:style w:type="paragraph" w:styleId="17">
    <w:name w:val="Body Text 3"/>
    <w:basedOn w:val="1"/>
    <w:link w:val="137"/>
    <w:qFormat/>
    <w:uiPriority w:val="0"/>
    <w:pPr>
      <w:spacing w:after="120" w:line="360" w:lineRule="exact"/>
    </w:pPr>
    <w:rPr>
      <w:rFonts w:cs="等线"/>
      <w:sz w:val="16"/>
      <w:szCs w:val="16"/>
    </w:rPr>
  </w:style>
  <w:style w:type="paragraph" w:styleId="18">
    <w:name w:val="Body Text"/>
    <w:basedOn w:val="1"/>
    <w:link w:val="59"/>
    <w:qFormat/>
    <w:uiPriority w:val="0"/>
    <w:pPr>
      <w:spacing w:after="120"/>
    </w:pPr>
    <w:rPr>
      <w:rFonts w:cs="等线"/>
      <w:kern w:val="0"/>
      <w:sz w:val="24"/>
      <w:szCs w:val="20"/>
      <w:lang w:val="zh-CN"/>
    </w:rPr>
  </w:style>
  <w:style w:type="paragraph" w:styleId="19">
    <w:name w:val="Body Text Indent"/>
    <w:basedOn w:val="1"/>
    <w:link w:val="100"/>
    <w:qFormat/>
    <w:uiPriority w:val="0"/>
    <w:pPr>
      <w:tabs>
        <w:tab w:val="left" w:pos="0"/>
      </w:tabs>
      <w:adjustRightInd w:val="0"/>
      <w:ind w:left="13" w:leftChars="6" w:firstLine="420" w:firstLineChars="200"/>
      <w:jc w:val="left"/>
    </w:pPr>
    <w:rPr>
      <w:rFonts w:cs="等线"/>
      <w:sz w:val="24"/>
      <w:szCs w:val="24"/>
    </w:rPr>
  </w:style>
  <w:style w:type="paragraph" w:styleId="20">
    <w:name w:val="toc 5"/>
    <w:basedOn w:val="1"/>
    <w:next w:val="1"/>
    <w:qFormat/>
    <w:uiPriority w:val="39"/>
    <w:pPr>
      <w:ind w:left="840"/>
      <w:jc w:val="left"/>
    </w:pPr>
    <w:rPr>
      <w:rFonts w:ascii="Arial" w:hAnsi="Arial"/>
      <w:sz w:val="18"/>
      <w:szCs w:val="18"/>
    </w:rPr>
  </w:style>
  <w:style w:type="paragraph" w:styleId="21">
    <w:name w:val="toc 3"/>
    <w:basedOn w:val="1"/>
    <w:next w:val="1"/>
    <w:qFormat/>
    <w:uiPriority w:val="39"/>
    <w:pPr>
      <w:ind w:left="420"/>
      <w:jc w:val="left"/>
    </w:pPr>
    <w:rPr>
      <w:rFonts w:ascii="Arial" w:hAnsi="Arial"/>
      <w:i/>
      <w:iCs/>
      <w:szCs w:val="20"/>
    </w:rPr>
  </w:style>
  <w:style w:type="paragraph" w:styleId="22">
    <w:name w:val="Plain Text"/>
    <w:basedOn w:val="1"/>
    <w:link w:val="138"/>
    <w:qFormat/>
    <w:uiPriority w:val="0"/>
    <w:pPr>
      <w:spacing w:line="360" w:lineRule="exact"/>
    </w:pPr>
    <w:rPr>
      <w:rFonts w:ascii="仿宋_GB2312" w:hAnsi="楷体_GB2312" w:cs="楷体_GB2312"/>
    </w:rPr>
  </w:style>
  <w:style w:type="paragraph" w:styleId="23">
    <w:name w:val="toc 8"/>
    <w:basedOn w:val="1"/>
    <w:next w:val="1"/>
    <w:qFormat/>
    <w:uiPriority w:val="39"/>
    <w:pPr>
      <w:ind w:left="1470"/>
      <w:jc w:val="left"/>
    </w:pPr>
    <w:rPr>
      <w:rFonts w:ascii="Arial" w:hAnsi="Arial"/>
      <w:sz w:val="18"/>
      <w:szCs w:val="18"/>
    </w:rPr>
  </w:style>
  <w:style w:type="paragraph" w:styleId="24">
    <w:name w:val="Date"/>
    <w:basedOn w:val="1"/>
    <w:next w:val="1"/>
    <w:link w:val="122"/>
    <w:qFormat/>
    <w:uiPriority w:val="0"/>
    <w:pPr>
      <w:ind w:left="100" w:leftChars="2500"/>
    </w:pPr>
  </w:style>
  <w:style w:type="paragraph" w:styleId="25">
    <w:name w:val="Body Text Indent 2"/>
    <w:basedOn w:val="1"/>
    <w:link w:val="126"/>
    <w:qFormat/>
    <w:uiPriority w:val="0"/>
    <w:pPr>
      <w:tabs>
        <w:tab w:val="left" w:pos="0"/>
      </w:tabs>
      <w:adjustRightInd w:val="0"/>
      <w:ind w:left="13" w:leftChars="6" w:firstLine="480" w:firstLineChars="200"/>
      <w:jc w:val="left"/>
    </w:pPr>
    <w:rPr>
      <w:rFonts w:cs="等线"/>
      <w:sz w:val="24"/>
      <w:szCs w:val="24"/>
    </w:rPr>
  </w:style>
  <w:style w:type="paragraph" w:styleId="26">
    <w:name w:val="Balloon Text"/>
    <w:basedOn w:val="1"/>
    <w:link w:val="84"/>
    <w:qFormat/>
    <w:uiPriority w:val="0"/>
    <w:rPr>
      <w:rFonts w:cs="等线"/>
      <w:kern w:val="0"/>
      <w:sz w:val="18"/>
      <w:szCs w:val="18"/>
      <w:lang w:val="zh-CN"/>
    </w:rPr>
  </w:style>
  <w:style w:type="paragraph" w:styleId="27">
    <w:name w:val="footer"/>
    <w:basedOn w:val="1"/>
    <w:link w:val="94"/>
    <w:qFormat/>
    <w:uiPriority w:val="99"/>
    <w:pPr>
      <w:tabs>
        <w:tab w:val="center" w:pos="4153"/>
        <w:tab w:val="right" w:pos="8306"/>
      </w:tabs>
      <w:snapToGrid w:val="0"/>
      <w:jc w:val="left"/>
    </w:pPr>
    <w:rPr>
      <w:rFonts w:cs="等线"/>
      <w:kern w:val="0"/>
      <w:sz w:val="18"/>
      <w:szCs w:val="18"/>
      <w:lang w:val="zh-CN"/>
    </w:rPr>
  </w:style>
  <w:style w:type="paragraph" w:styleId="28">
    <w:name w:val="header"/>
    <w:basedOn w:val="1"/>
    <w:link w:val="97"/>
    <w:qFormat/>
    <w:uiPriority w:val="0"/>
    <w:pPr>
      <w:pBdr>
        <w:bottom w:val="single" w:color="auto" w:sz="6" w:space="1"/>
      </w:pBdr>
      <w:tabs>
        <w:tab w:val="center" w:pos="4153"/>
        <w:tab w:val="right" w:pos="8306"/>
      </w:tabs>
      <w:snapToGrid w:val="0"/>
      <w:jc w:val="center"/>
    </w:pPr>
    <w:rPr>
      <w:rFonts w:cs="等线"/>
      <w:kern w:val="0"/>
      <w:sz w:val="18"/>
      <w:szCs w:val="18"/>
      <w:lang w:val="zh-CN"/>
    </w:rPr>
  </w:style>
  <w:style w:type="paragraph" w:styleId="29">
    <w:name w:val="toc 1"/>
    <w:basedOn w:val="1"/>
    <w:next w:val="1"/>
    <w:qFormat/>
    <w:uiPriority w:val="39"/>
    <w:pPr>
      <w:spacing w:before="120" w:after="120"/>
      <w:jc w:val="left"/>
    </w:pPr>
    <w:rPr>
      <w:rFonts w:ascii="Arial" w:hAnsi="Arial"/>
      <w:b/>
      <w:bCs/>
      <w:caps/>
      <w:szCs w:val="20"/>
    </w:rPr>
  </w:style>
  <w:style w:type="paragraph" w:styleId="30">
    <w:name w:val="toc 4"/>
    <w:basedOn w:val="1"/>
    <w:next w:val="1"/>
    <w:qFormat/>
    <w:uiPriority w:val="39"/>
    <w:pPr>
      <w:ind w:left="630"/>
      <w:jc w:val="left"/>
    </w:pPr>
    <w:rPr>
      <w:rFonts w:ascii="Arial" w:hAnsi="Arial"/>
      <w:sz w:val="18"/>
      <w:szCs w:val="18"/>
    </w:rPr>
  </w:style>
  <w:style w:type="paragraph" w:styleId="31">
    <w:name w:val="Subtitle"/>
    <w:basedOn w:val="14"/>
    <w:next w:val="1"/>
    <w:link w:val="264"/>
    <w:qFormat/>
    <w:uiPriority w:val="0"/>
    <w:rPr>
      <w:rFonts w:cs="Times New Roman"/>
      <w:szCs w:val="21"/>
    </w:rPr>
  </w:style>
  <w:style w:type="paragraph" w:styleId="32">
    <w:name w:val="toc 6"/>
    <w:basedOn w:val="1"/>
    <w:next w:val="1"/>
    <w:qFormat/>
    <w:uiPriority w:val="39"/>
    <w:pPr>
      <w:ind w:left="1050"/>
      <w:jc w:val="left"/>
    </w:pPr>
    <w:rPr>
      <w:rFonts w:ascii="Arial" w:hAnsi="Arial"/>
      <w:sz w:val="18"/>
      <w:szCs w:val="18"/>
    </w:rPr>
  </w:style>
  <w:style w:type="paragraph" w:styleId="33">
    <w:name w:val="Body Text Indent 3"/>
    <w:basedOn w:val="1"/>
    <w:link w:val="117"/>
    <w:qFormat/>
    <w:uiPriority w:val="0"/>
    <w:pPr>
      <w:spacing w:after="120"/>
      <w:ind w:left="420" w:leftChars="200"/>
    </w:pPr>
    <w:rPr>
      <w:rFonts w:cs="等线"/>
      <w:sz w:val="16"/>
      <w:szCs w:val="16"/>
    </w:rPr>
  </w:style>
  <w:style w:type="paragraph" w:styleId="34">
    <w:name w:val="table of figures"/>
    <w:basedOn w:val="1"/>
    <w:next w:val="1"/>
    <w:unhideWhenUsed/>
    <w:qFormat/>
    <w:uiPriority w:val="99"/>
  </w:style>
  <w:style w:type="paragraph" w:styleId="35">
    <w:name w:val="toc 2"/>
    <w:basedOn w:val="1"/>
    <w:next w:val="1"/>
    <w:qFormat/>
    <w:uiPriority w:val="39"/>
    <w:pPr>
      <w:ind w:left="210"/>
      <w:jc w:val="left"/>
    </w:pPr>
    <w:rPr>
      <w:rFonts w:ascii="Arial" w:hAnsi="Arial"/>
      <w:smallCaps/>
      <w:szCs w:val="20"/>
    </w:rPr>
  </w:style>
  <w:style w:type="paragraph" w:styleId="36">
    <w:name w:val="toc 9"/>
    <w:basedOn w:val="1"/>
    <w:next w:val="1"/>
    <w:qFormat/>
    <w:uiPriority w:val="39"/>
    <w:pPr>
      <w:ind w:left="1680"/>
      <w:jc w:val="left"/>
    </w:pPr>
    <w:rPr>
      <w:rFonts w:ascii="Arial" w:hAnsi="Arial"/>
      <w:sz w:val="18"/>
      <w:szCs w:val="18"/>
    </w:rPr>
  </w:style>
  <w:style w:type="paragraph" w:styleId="37">
    <w:name w:val="Body Text 2"/>
    <w:basedOn w:val="1"/>
    <w:link w:val="125"/>
    <w:qFormat/>
    <w:uiPriority w:val="0"/>
    <w:pPr>
      <w:jc w:val="center"/>
    </w:pPr>
    <w:rPr>
      <w:rFonts w:cs="等线"/>
      <w:sz w:val="24"/>
      <w:szCs w:val="24"/>
    </w:rPr>
  </w:style>
  <w:style w:type="paragraph" w:styleId="38">
    <w:name w:val="Normal (Web)"/>
    <w:basedOn w:val="1"/>
    <w:qFormat/>
    <w:uiPriority w:val="99"/>
    <w:pPr>
      <w:widowControl/>
      <w:spacing w:before="100" w:beforeAutospacing="1" w:after="100" w:afterAutospacing="1"/>
      <w:jc w:val="left"/>
    </w:pPr>
    <w:rPr>
      <w:rFonts w:ascii="仿宋_GB2312" w:hAnsi="仿宋_GB2312" w:cs="仿宋_GB2312"/>
      <w:kern w:val="0"/>
      <w:sz w:val="24"/>
      <w:szCs w:val="24"/>
    </w:rPr>
  </w:style>
  <w:style w:type="paragraph" w:styleId="39">
    <w:name w:val="Title"/>
    <w:basedOn w:val="1"/>
    <w:link w:val="69"/>
    <w:qFormat/>
    <w:uiPriority w:val="0"/>
    <w:pPr>
      <w:snapToGrid w:val="0"/>
      <w:spacing w:before="60" w:after="60" w:line="264" w:lineRule="auto"/>
      <w:jc w:val="center"/>
      <w:outlineLvl w:val="0"/>
    </w:pPr>
    <w:rPr>
      <w:rFonts w:ascii="Cambria Math" w:hAnsi="Cambria Math" w:eastAsia="黑体" w:cs="等线"/>
      <w:b/>
      <w:bCs/>
      <w:w w:val="90"/>
      <w:kern w:val="0"/>
      <w:sz w:val="84"/>
      <w:szCs w:val="32"/>
      <w:lang w:val="zh-CN"/>
    </w:rPr>
  </w:style>
  <w:style w:type="paragraph" w:styleId="40">
    <w:name w:val="annotation subject"/>
    <w:basedOn w:val="16"/>
    <w:next w:val="16"/>
    <w:link w:val="128"/>
    <w:qFormat/>
    <w:uiPriority w:val="0"/>
    <w:rPr>
      <w:b/>
      <w:bCs/>
    </w:rPr>
  </w:style>
  <w:style w:type="table" w:styleId="42">
    <w:name w:val="Table Grid"/>
    <w:basedOn w:val="41"/>
    <w:qFormat/>
    <w:uiPriority w:val="0"/>
    <w:rPr>
      <w:rFonts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qFormat/>
    <w:uiPriority w:val="0"/>
    <w:rPr>
      <w:i/>
      <w:iCs/>
    </w:rPr>
  </w:style>
  <w:style w:type="character" w:styleId="48">
    <w:name w:val="Hyperlink"/>
    <w:qFormat/>
    <w:uiPriority w:val="99"/>
    <w:rPr>
      <w:color w:val="0000FF"/>
      <w:u w:val="single"/>
    </w:rPr>
  </w:style>
  <w:style w:type="character" w:styleId="49">
    <w:name w:val="annotation reference"/>
    <w:qFormat/>
    <w:uiPriority w:val="99"/>
    <w:rPr>
      <w:sz w:val="21"/>
      <w:szCs w:val="21"/>
    </w:rPr>
  </w:style>
  <w:style w:type="character" w:customStyle="1" w:styleId="50">
    <w:name w:val="标题 1 字符1"/>
    <w:link w:val="2"/>
    <w:qFormat/>
    <w:uiPriority w:val="0"/>
    <w:rPr>
      <w:rFonts w:ascii="Times New Roman" w:hAnsi="Times New Roman" w:eastAsia="宋体" w:cs="Times New Roman"/>
      <w:b/>
      <w:bCs/>
      <w:kern w:val="2"/>
      <w:sz w:val="28"/>
      <w:szCs w:val="32"/>
      <w:lang w:val="zh-CN" w:eastAsia="zh-CN"/>
    </w:rPr>
  </w:style>
  <w:style w:type="character" w:customStyle="1" w:styleId="51">
    <w:name w:val="标题 2 字符"/>
    <w:link w:val="3"/>
    <w:qFormat/>
    <w:uiPriority w:val="0"/>
    <w:rPr>
      <w:rFonts w:ascii="Times New Roman" w:hAnsi="Times New Roman" w:eastAsia="宋体" w:cs="Times New Roman"/>
      <w:b/>
      <w:bCs/>
      <w:kern w:val="2"/>
      <w:sz w:val="28"/>
      <w:szCs w:val="30"/>
      <w:lang w:val="zh-CN"/>
    </w:rPr>
  </w:style>
  <w:style w:type="character" w:customStyle="1" w:styleId="52">
    <w:name w:val="标题 3 字符"/>
    <w:link w:val="4"/>
    <w:qFormat/>
    <w:uiPriority w:val="0"/>
    <w:rPr>
      <w:rFonts w:ascii="Times New Roman" w:hAnsi="Times New Roman" w:eastAsia="宋体" w:cs="Times New Roman"/>
      <w:b/>
      <w:bCs/>
      <w:kern w:val="2"/>
      <w:sz w:val="28"/>
      <w:szCs w:val="28"/>
      <w:lang w:val="zh-CN"/>
    </w:rPr>
  </w:style>
  <w:style w:type="character" w:customStyle="1" w:styleId="53">
    <w:name w:val="标题 4 字符"/>
    <w:link w:val="5"/>
    <w:qFormat/>
    <w:uiPriority w:val="0"/>
    <w:rPr>
      <w:rFonts w:ascii="Times New Roman" w:hAnsi="Times New Roman" w:eastAsia="宋体" w:cs="Times New Roman"/>
      <w:b/>
      <w:kern w:val="2"/>
      <w:sz w:val="28"/>
      <w:szCs w:val="28"/>
      <w:lang w:val="zh-CN" w:eastAsia="zh-CN"/>
    </w:rPr>
  </w:style>
  <w:style w:type="character" w:customStyle="1" w:styleId="54">
    <w:name w:val="标题 5 字符"/>
    <w:link w:val="6"/>
    <w:qFormat/>
    <w:uiPriority w:val="0"/>
    <w:rPr>
      <w:rFonts w:ascii="Times New Roman" w:hAnsi="Times New Roman" w:eastAsia="宋体"/>
      <w:b/>
      <w:bCs/>
      <w:sz w:val="28"/>
      <w:szCs w:val="28"/>
      <w:lang w:val="zh-CN" w:eastAsia="zh-CN"/>
    </w:rPr>
  </w:style>
  <w:style w:type="character" w:customStyle="1" w:styleId="55">
    <w:name w:val="标题 6 字符"/>
    <w:link w:val="7"/>
    <w:qFormat/>
    <w:uiPriority w:val="0"/>
    <w:rPr>
      <w:rFonts w:ascii="Cambria Math" w:hAnsi="Cambria Math" w:eastAsia="Symbol"/>
      <w:b/>
      <w:bCs/>
      <w:sz w:val="24"/>
      <w:szCs w:val="24"/>
      <w:lang w:val="zh-CN" w:eastAsia="zh-CN"/>
    </w:rPr>
  </w:style>
  <w:style w:type="character" w:customStyle="1" w:styleId="56">
    <w:name w:val="标题 7 字符"/>
    <w:link w:val="8"/>
    <w:qFormat/>
    <w:uiPriority w:val="0"/>
    <w:rPr>
      <w:rFonts w:ascii="Times New Roman" w:hAnsi="Times New Roman" w:eastAsia="宋体"/>
      <w:b/>
      <w:bCs/>
      <w:sz w:val="24"/>
      <w:szCs w:val="24"/>
      <w:lang w:val="zh-CN" w:eastAsia="zh-CN"/>
    </w:rPr>
  </w:style>
  <w:style w:type="character" w:customStyle="1" w:styleId="57">
    <w:name w:val="标题 8 字符"/>
    <w:link w:val="9"/>
    <w:qFormat/>
    <w:uiPriority w:val="0"/>
    <w:rPr>
      <w:rFonts w:ascii="Cambria Math" w:hAnsi="Cambria Math" w:eastAsia="Symbol"/>
      <w:sz w:val="24"/>
      <w:szCs w:val="24"/>
      <w:lang w:val="zh-CN" w:eastAsia="zh-CN"/>
    </w:rPr>
  </w:style>
  <w:style w:type="character" w:customStyle="1" w:styleId="58">
    <w:name w:val="标题 9 字符"/>
    <w:link w:val="10"/>
    <w:qFormat/>
    <w:uiPriority w:val="0"/>
    <w:rPr>
      <w:rFonts w:ascii="Cambria Math" w:hAnsi="Cambria Math" w:eastAsia="Symbol"/>
      <w:sz w:val="24"/>
      <w:szCs w:val="21"/>
      <w:lang w:val="zh-CN" w:eastAsia="zh-CN"/>
    </w:rPr>
  </w:style>
  <w:style w:type="character" w:customStyle="1" w:styleId="59">
    <w:name w:val="正文文本 字符"/>
    <w:link w:val="18"/>
    <w:qFormat/>
    <w:uiPriority w:val="0"/>
    <w:rPr>
      <w:rFonts w:cs="等线"/>
      <w:sz w:val="24"/>
      <w:szCs w:val="20"/>
    </w:rPr>
  </w:style>
  <w:style w:type="character" w:customStyle="1" w:styleId="60">
    <w:name w:val="批注框文本 Char1"/>
    <w:qFormat/>
    <w:uiPriority w:val="0"/>
    <w:rPr>
      <w:rFonts w:hint="eastAsia" w:ascii="Symbol" w:hAnsi="Symbol" w:eastAsia="Symbol" w:cs="Symbol"/>
      <w:kern w:val="2"/>
      <w:sz w:val="18"/>
      <w:szCs w:val="18"/>
    </w:rPr>
  </w:style>
  <w:style w:type="character" w:customStyle="1" w:styleId="61">
    <w:name w:val="ZT-正文 Char Char"/>
    <w:link w:val="62"/>
    <w:qFormat/>
    <w:uiPriority w:val="0"/>
    <w:rPr>
      <w:rFonts w:ascii="Cambria Math" w:hAnsi="Cambria Math"/>
      <w:kern w:val="2"/>
      <w:sz w:val="21"/>
      <w:szCs w:val="22"/>
    </w:rPr>
  </w:style>
  <w:style w:type="paragraph" w:customStyle="1" w:styleId="62">
    <w:name w:val="ZT-正文"/>
    <w:basedOn w:val="1"/>
    <w:link w:val="61"/>
    <w:qFormat/>
    <w:uiPriority w:val="0"/>
    <w:pPr>
      <w:spacing w:line="300" w:lineRule="auto"/>
      <w:ind w:firstLine="420" w:firstLineChars="200"/>
    </w:pPr>
    <w:rPr>
      <w:rFonts w:ascii="Cambria Math" w:hAnsi="Cambria Math" w:cs="等线"/>
      <w:szCs w:val="22"/>
      <w:lang w:val="zh-CN"/>
    </w:rPr>
  </w:style>
  <w:style w:type="character" w:customStyle="1" w:styleId="63">
    <w:name w:val="批注主题 Char1"/>
    <w:qFormat/>
    <w:uiPriority w:val="0"/>
    <w:rPr>
      <w:rFonts w:cs="Symbol"/>
      <w:b/>
      <w:bCs/>
      <w:kern w:val="2"/>
      <w:sz w:val="21"/>
      <w:szCs w:val="21"/>
    </w:rPr>
  </w:style>
  <w:style w:type="character" w:customStyle="1" w:styleId="64">
    <w:name w:val="标题 Char1"/>
    <w:qFormat/>
    <w:uiPriority w:val="0"/>
    <w:rPr>
      <w:rFonts w:hint="default" w:ascii="Times New Roman" w:hAnsi="Times New Roman" w:cs="等线"/>
      <w:b/>
      <w:bCs/>
      <w:kern w:val="2"/>
      <w:sz w:val="32"/>
      <w:szCs w:val="32"/>
    </w:rPr>
  </w:style>
  <w:style w:type="character" w:customStyle="1" w:styleId="65">
    <w:name w:val="正文文本缩进 2 Char Char"/>
    <w:link w:val="66"/>
    <w:qFormat/>
    <w:uiPriority w:val="0"/>
    <w:rPr>
      <w:rFonts w:cs="等线"/>
      <w:sz w:val="24"/>
      <w:szCs w:val="24"/>
    </w:rPr>
  </w:style>
  <w:style w:type="paragraph" w:customStyle="1" w:styleId="66">
    <w:name w:val="正文文本缩进 21"/>
    <w:basedOn w:val="1"/>
    <w:link w:val="65"/>
    <w:qFormat/>
    <w:uiPriority w:val="0"/>
    <w:pPr>
      <w:tabs>
        <w:tab w:val="left" w:pos="0"/>
      </w:tabs>
      <w:adjustRightInd w:val="0"/>
      <w:ind w:left="13" w:leftChars="6" w:firstLine="480" w:firstLineChars="200"/>
      <w:jc w:val="left"/>
    </w:pPr>
    <w:rPr>
      <w:rFonts w:cs="等线"/>
      <w:kern w:val="0"/>
      <w:sz w:val="24"/>
      <w:szCs w:val="24"/>
      <w:lang w:val="zh-CN"/>
    </w:rPr>
  </w:style>
  <w:style w:type="character" w:customStyle="1" w:styleId="67">
    <w:name w:val="页脚 Char1"/>
    <w:qFormat/>
    <w:uiPriority w:val="0"/>
    <w:rPr>
      <w:rFonts w:hint="eastAsia" w:ascii="Symbol" w:hAnsi="Symbol" w:eastAsia="Symbol" w:cs="Symbol"/>
      <w:kern w:val="2"/>
      <w:sz w:val="18"/>
      <w:szCs w:val="18"/>
    </w:rPr>
  </w:style>
  <w:style w:type="character" w:customStyle="1" w:styleId="68">
    <w:name w:val="批注文字 Char1"/>
    <w:qFormat/>
    <w:uiPriority w:val="0"/>
    <w:rPr>
      <w:rFonts w:cs="Symbol"/>
      <w:kern w:val="2"/>
      <w:sz w:val="21"/>
      <w:szCs w:val="21"/>
    </w:rPr>
  </w:style>
  <w:style w:type="character" w:customStyle="1" w:styleId="69">
    <w:name w:val="标题 字符"/>
    <w:link w:val="39"/>
    <w:qFormat/>
    <w:uiPriority w:val="0"/>
    <w:rPr>
      <w:rFonts w:ascii="Cambria Math" w:hAnsi="Cambria Math" w:eastAsia="黑体" w:cs="等线"/>
      <w:b/>
      <w:bCs/>
      <w:w w:val="90"/>
      <w:sz w:val="84"/>
      <w:szCs w:val="32"/>
    </w:rPr>
  </w:style>
  <w:style w:type="character" w:customStyle="1" w:styleId="70">
    <w:name w:val="正文文本 Char1"/>
    <w:qFormat/>
    <w:uiPriority w:val="0"/>
    <w:rPr>
      <w:rFonts w:hint="eastAsia" w:ascii="Symbol" w:hAnsi="Symbol" w:eastAsia="Symbol" w:cs="Symbol"/>
      <w:kern w:val="2"/>
      <w:sz w:val="21"/>
      <w:szCs w:val="21"/>
    </w:rPr>
  </w:style>
  <w:style w:type="character" w:customStyle="1" w:styleId="71">
    <w:name w:val="正文文本缩进 3 Char Char"/>
    <w:link w:val="72"/>
    <w:qFormat/>
    <w:uiPriority w:val="0"/>
    <w:rPr>
      <w:rFonts w:cs="等线"/>
      <w:sz w:val="16"/>
      <w:szCs w:val="16"/>
    </w:rPr>
  </w:style>
  <w:style w:type="paragraph" w:customStyle="1" w:styleId="72">
    <w:name w:val="正文文本缩进 31"/>
    <w:basedOn w:val="1"/>
    <w:link w:val="71"/>
    <w:qFormat/>
    <w:uiPriority w:val="0"/>
    <w:pPr>
      <w:spacing w:after="120"/>
      <w:ind w:left="420" w:leftChars="200"/>
    </w:pPr>
    <w:rPr>
      <w:rFonts w:cs="等线"/>
      <w:kern w:val="0"/>
      <w:sz w:val="16"/>
      <w:szCs w:val="16"/>
      <w:lang w:val="zh-CN"/>
    </w:rPr>
  </w:style>
  <w:style w:type="character" w:customStyle="1" w:styleId="73">
    <w:name w:val="count4"/>
    <w:basedOn w:val="43"/>
    <w:qFormat/>
    <w:uiPriority w:val="0"/>
  </w:style>
  <w:style w:type="character" w:customStyle="1" w:styleId="74">
    <w:name w:val="正文文本 3 Char Char"/>
    <w:link w:val="75"/>
    <w:qFormat/>
    <w:uiPriority w:val="0"/>
    <w:rPr>
      <w:rFonts w:cs="等线"/>
      <w:sz w:val="16"/>
      <w:szCs w:val="16"/>
    </w:rPr>
  </w:style>
  <w:style w:type="paragraph" w:customStyle="1" w:styleId="75">
    <w:name w:val="正文文本 31"/>
    <w:basedOn w:val="1"/>
    <w:link w:val="74"/>
    <w:qFormat/>
    <w:uiPriority w:val="0"/>
    <w:pPr>
      <w:spacing w:after="120" w:line="360" w:lineRule="exact"/>
    </w:pPr>
    <w:rPr>
      <w:rFonts w:cs="等线"/>
      <w:kern w:val="0"/>
      <w:sz w:val="16"/>
      <w:szCs w:val="16"/>
      <w:lang w:val="zh-CN"/>
    </w:rPr>
  </w:style>
  <w:style w:type="character" w:customStyle="1" w:styleId="76">
    <w:name w:val="批注主题 Char Char"/>
    <w:link w:val="77"/>
    <w:qFormat/>
    <w:uiPriority w:val="0"/>
    <w:rPr>
      <w:b/>
      <w:bCs/>
    </w:rPr>
  </w:style>
  <w:style w:type="paragraph" w:customStyle="1" w:styleId="77">
    <w:name w:val="批注主题1"/>
    <w:basedOn w:val="16"/>
    <w:next w:val="16"/>
    <w:link w:val="76"/>
    <w:qFormat/>
    <w:uiPriority w:val="0"/>
    <w:rPr>
      <w:rFonts w:cs="等线"/>
      <w:b/>
      <w:bCs/>
      <w:kern w:val="0"/>
      <w:sz w:val="20"/>
      <w:szCs w:val="20"/>
      <w:lang w:val="zh-CN"/>
    </w:rPr>
  </w:style>
  <w:style w:type="character" w:customStyle="1" w:styleId="78">
    <w:name w:val="批注文字 字符"/>
    <w:basedOn w:val="43"/>
    <w:link w:val="16"/>
    <w:qFormat/>
    <w:uiPriority w:val="0"/>
  </w:style>
  <w:style w:type="character" w:customStyle="1" w:styleId="79">
    <w:name w:val="文档结构图 Char Char"/>
    <w:link w:val="80"/>
    <w:qFormat/>
    <w:uiPriority w:val="0"/>
    <w:rPr>
      <w:rFonts w:ascii="仿宋_GB2312"/>
      <w:sz w:val="18"/>
      <w:szCs w:val="18"/>
    </w:rPr>
  </w:style>
  <w:style w:type="paragraph" w:customStyle="1" w:styleId="80">
    <w:name w:val="文档结构图1"/>
    <w:basedOn w:val="1"/>
    <w:link w:val="79"/>
    <w:qFormat/>
    <w:uiPriority w:val="0"/>
    <w:rPr>
      <w:rFonts w:ascii="仿宋_GB2312" w:cs="等线"/>
      <w:kern w:val="0"/>
      <w:sz w:val="18"/>
      <w:szCs w:val="18"/>
      <w:lang w:val="zh-CN"/>
    </w:rPr>
  </w:style>
  <w:style w:type="character" w:customStyle="1" w:styleId="81">
    <w:name w:val="正文文本 2 Char Char"/>
    <w:link w:val="82"/>
    <w:qFormat/>
    <w:uiPriority w:val="0"/>
    <w:rPr>
      <w:rFonts w:cs="等线"/>
      <w:sz w:val="24"/>
      <w:szCs w:val="24"/>
    </w:rPr>
  </w:style>
  <w:style w:type="paragraph" w:customStyle="1" w:styleId="82">
    <w:name w:val="正文文本 21"/>
    <w:basedOn w:val="1"/>
    <w:link w:val="81"/>
    <w:qFormat/>
    <w:uiPriority w:val="0"/>
    <w:pPr>
      <w:jc w:val="center"/>
    </w:pPr>
    <w:rPr>
      <w:rFonts w:cs="等线"/>
      <w:kern w:val="0"/>
      <w:sz w:val="24"/>
      <w:szCs w:val="24"/>
      <w:lang w:val="zh-CN"/>
    </w:rPr>
  </w:style>
  <w:style w:type="character" w:customStyle="1" w:styleId="83">
    <w:name w:val="def"/>
    <w:basedOn w:val="43"/>
    <w:qFormat/>
    <w:uiPriority w:val="0"/>
  </w:style>
  <w:style w:type="character" w:customStyle="1" w:styleId="84">
    <w:name w:val="批注框文本 字符"/>
    <w:link w:val="26"/>
    <w:qFormat/>
    <w:uiPriority w:val="0"/>
    <w:rPr>
      <w:sz w:val="18"/>
      <w:szCs w:val="18"/>
    </w:rPr>
  </w:style>
  <w:style w:type="character" w:customStyle="1" w:styleId="85">
    <w:name w:val="页眉 Char1"/>
    <w:qFormat/>
    <w:uiPriority w:val="0"/>
    <w:rPr>
      <w:rFonts w:hint="eastAsia" w:ascii="Symbol" w:hAnsi="Symbol" w:eastAsia="Symbol" w:cs="Symbol"/>
      <w:kern w:val="2"/>
      <w:sz w:val="18"/>
      <w:szCs w:val="18"/>
    </w:rPr>
  </w:style>
  <w:style w:type="character" w:customStyle="1" w:styleId="86">
    <w:name w:val="日期 Char Char"/>
    <w:basedOn w:val="43"/>
    <w:link w:val="87"/>
    <w:qFormat/>
    <w:uiPriority w:val="0"/>
  </w:style>
  <w:style w:type="paragraph" w:customStyle="1" w:styleId="87">
    <w:name w:val="日期1"/>
    <w:basedOn w:val="1"/>
    <w:next w:val="1"/>
    <w:link w:val="86"/>
    <w:qFormat/>
    <w:uiPriority w:val="0"/>
    <w:pPr>
      <w:ind w:left="100" w:leftChars="2500"/>
    </w:pPr>
  </w:style>
  <w:style w:type="character" w:customStyle="1" w:styleId="88">
    <w:name w:val="正文文本缩进 3 Char1"/>
    <w:qFormat/>
    <w:uiPriority w:val="0"/>
    <w:rPr>
      <w:rFonts w:hint="eastAsia" w:ascii="Symbol" w:hAnsi="Symbol" w:eastAsia="Symbol" w:cs="Symbol"/>
      <w:kern w:val="2"/>
      <w:sz w:val="16"/>
      <w:szCs w:val="16"/>
    </w:rPr>
  </w:style>
  <w:style w:type="character" w:customStyle="1" w:styleId="89">
    <w:name w:val="正文文本缩进 Char Char"/>
    <w:link w:val="90"/>
    <w:qFormat/>
    <w:uiPriority w:val="0"/>
    <w:rPr>
      <w:rFonts w:cs="等线"/>
      <w:sz w:val="24"/>
      <w:szCs w:val="24"/>
    </w:rPr>
  </w:style>
  <w:style w:type="paragraph" w:customStyle="1" w:styleId="90">
    <w:name w:val="正文文本缩进1"/>
    <w:basedOn w:val="1"/>
    <w:link w:val="89"/>
    <w:qFormat/>
    <w:uiPriority w:val="0"/>
    <w:pPr>
      <w:tabs>
        <w:tab w:val="left" w:pos="0"/>
      </w:tabs>
      <w:adjustRightInd w:val="0"/>
      <w:ind w:left="13" w:leftChars="6" w:firstLine="420" w:firstLineChars="200"/>
      <w:jc w:val="left"/>
    </w:pPr>
    <w:rPr>
      <w:rFonts w:cs="等线"/>
      <w:kern w:val="0"/>
      <w:sz w:val="24"/>
      <w:szCs w:val="24"/>
      <w:lang w:val="zh-CN"/>
    </w:rPr>
  </w:style>
  <w:style w:type="character" w:customStyle="1" w:styleId="91">
    <w:name w:val="批注引用1"/>
    <w:qFormat/>
    <w:uiPriority w:val="0"/>
    <w:rPr>
      <w:sz w:val="21"/>
      <w:szCs w:val="21"/>
    </w:rPr>
  </w:style>
  <w:style w:type="character" w:customStyle="1" w:styleId="92">
    <w:name w:val="电子邮件签名 Char Char"/>
    <w:link w:val="93"/>
    <w:qFormat/>
    <w:uiPriority w:val="0"/>
    <w:rPr>
      <w:rFonts w:cs="等线"/>
      <w:szCs w:val="20"/>
    </w:rPr>
  </w:style>
  <w:style w:type="paragraph" w:customStyle="1" w:styleId="93">
    <w:name w:val="电子邮件签名1"/>
    <w:basedOn w:val="1"/>
    <w:link w:val="92"/>
    <w:qFormat/>
    <w:uiPriority w:val="0"/>
    <w:rPr>
      <w:rFonts w:cs="等线"/>
      <w:kern w:val="0"/>
      <w:sz w:val="20"/>
      <w:szCs w:val="20"/>
      <w:lang w:val="zh-CN"/>
    </w:rPr>
  </w:style>
  <w:style w:type="character" w:customStyle="1" w:styleId="94">
    <w:name w:val="页脚 字符"/>
    <w:link w:val="27"/>
    <w:qFormat/>
    <w:uiPriority w:val="99"/>
    <w:rPr>
      <w:sz w:val="18"/>
      <w:szCs w:val="18"/>
    </w:rPr>
  </w:style>
  <w:style w:type="character" w:customStyle="1" w:styleId="95">
    <w:name w:val="title8"/>
    <w:basedOn w:val="43"/>
    <w:qFormat/>
    <w:uiPriority w:val="0"/>
  </w:style>
  <w:style w:type="character" w:customStyle="1" w:styleId="96">
    <w:name w:val="页码1"/>
    <w:basedOn w:val="43"/>
    <w:qFormat/>
    <w:uiPriority w:val="0"/>
  </w:style>
  <w:style w:type="character" w:customStyle="1" w:styleId="97">
    <w:name w:val="页眉 字符"/>
    <w:link w:val="28"/>
    <w:qFormat/>
    <w:uiPriority w:val="0"/>
    <w:rPr>
      <w:sz w:val="18"/>
      <w:szCs w:val="18"/>
    </w:rPr>
  </w:style>
  <w:style w:type="character" w:customStyle="1" w:styleId="98">
    <w:name w:val="纯文本 Char Char"/>
    <w:link w:val="99"/>
    <w:qFormat/>
    <w:uiPriority w:val="0"/>
    <w:rPr>
      <w:rFonts w:ascii="仿宋_GB2312" w:hAnsi="楷体_GB2312" w:cs="楷体_GB2312"/>
      <w:szCs w:val="21"/>
    </w:rPr>
  </w:style>
  <w:style w:type="paragraph" w:customStyle="1" w:styleId="99">
    <w:name w:val="纯文本1"/>
    <w:basedOn w:val="1"/>
    <w:link w:val="98"/>
    <w:qFormat/>
    <w:uiPriority w:val="0"/>
    <w:pPr>
      <w:spacing w:line="360" w:lineRule="exact"/>
    </w:pPr>
    <w:rPr>
      <w:rFonts w:ascii="仿宋_GB2312" w:hAnsi="楷体_GB2312" w:cs="等线"/>
      <w:kern w:val="0"/>
      <w:sz w:val="20"/>
      <w:lang w:val="zh-CN"/>
    </w:rPr>
  </w:style>
  <w:style w:type="character" w:customStyle="1" w:styleId="100">
    <w:name w:val="正文文本缩进 字符"/>
    <w:basedOn w:val="43"/>
    <w:link w:val="19"/>
    <w:qFormat/>
    <w:uiPriority w:val="0"/>
    <w:rPr>
      <w:kern w:val="2"/>
      <w:sz w:val="24"/>
      <w:szCs w:val="24"/>
      <w:lang w:val="en-US"/>
    </w:rPr>
  </w:style>
  <w:style w:type="paragraph" w:customStyle="1" w:styleId="101">
    <w:name w:val="xl109"/>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02">
    <w:name w:val="xl7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03">
    <w:name w:val="引文目录标题1"/>
    <w:basedOn w:val="1"/>
    <w:next w:val="1"/>
    <w:qFormat/>
    <w:uiPriority w:val="0"/>
    <w:pPr>
      <w:spacing w:before="120"/>
    </w:pPr>
    <w:rPr>
      <w:rFonts w:ascii="Cambria Math" w:hAnsi="Cambria Math" w:cs="Cambria Math"/>
      <w:sz w:val="24"/>
      <w:szCs w:val="24"/>
    </w:rPr>
  </w:style>
  <w:style w:type="paragraph" w:customStyle="1" w:styleId="104">
    <w:name w:val="font14"/>
    <w:basedOn w:val="1"/>
    <w:qFormat/>
    <w:uiPriority w:val="0"/>
    <w:pPr>
      <w:widowControl/>
      <w:spacing w:before="100" w:beforeAutospacing="1" w:after="100" w:afterAutospacing="1"/>
      <w:jc w:val="left"/>
    </w:pPr>
    <w:rPr>
      <w:rFonts w:cs="等线"/>
      <w:color w:val="000000"/>
      <w:kern w:val="0"/>
      <w:sz w:val="20"/>
      <w:szCs w:val="20"/>
    </w:rPr>
  </w:style>
  <w:style w:type="paragraph" w:customStyle="1" w:styleId="105">
    <w:name w:val="xl83"/>
    <w:basedOn w:val="1"/>
    <w:qFormat/>
    <w:uiPriority w:val="0"/>
    <w:pPr>
      <w:widowControl/>
      <w:spacing w:before="100" w:beforeAutospacing="1" w:after="100" w:afterAutospacing="1"/>
      <w:jc w:val="center"/>
    </w:pPr>
    <w:rPr>
      <w:rFonts w:cs="等线"/>
      <w:kern w:val="0"/>
      <w:sz w:val="20"/>
      <w:szCs w:val="20"/>
    </w:rPr>
  </w:style>
  <w:style w:type="paragraph" w:customStyle="1" w:styleId="106">
    <w:name w:val="ZT-标题3"/>
    <w:next w:val="1"/>
    <w:qFormat/>
    <w:uiPriority w:val="0"/>
    <w:pPr>
      <w:numPr>
        <w:ilvl w:val="3"/>
        <w:numId w:val="2"/>
      </w:numPr>
      <w:spacing w:before="156" w:beforeLines="50" w:line="360" w:lineRule="auto"/>
      <w:outlineLvl w:val="2"/>
    </w:pPr>
    <w:rPr>
      <w:rFonts w:ascii="Cambria Math" w:hAnsi="Cambria Math" w:eastAsia="仿宋_GB2312" w:cs="Cambria Math"/>
      <w:b/>
      <w:kern w:val="2"/>
      <w:sz w:val="24"/>
      <w:szCs w:val="24"/>
      <w:lang w:val="en-US" w:eastAsia="zh-CN" w:bidi="ar-SA"/>
    </w:rPr>
  </w:style>
  <w:style w:type="paragraph" w:customStyle="1" w:styleId="107">
    <w:name w:val="加点字"/>
    <w:basedOn w:val="1"/>
    <w:qFormat/>
    <w:uiPriority w:val="0"/>
    <w:pPr>
      <w:widowControl/>
      <w:spacing w:after="200" w:line="300" w:lineRule="auto"/>
      <w:ind w:firstLine="420"/>
      <w:jc w:val="left"/>
    </w:pPr>
    <w:rPr>
      <w:rFonts w:ascii="Arial" w:hAnsi="Arial" w:cs="等线"/>
      <w:color w:val="0000FF"/>
      <w:kern w:val="0"/>
      <w:sz w:val="22"/>
      <w:szCs w:val="22"/>
      <w:em w:val="dot"/>
      <w:lang w:eastAsia="en-US" w:bidi="en-US"/>
    </w:rPr>
  </w:style>
  <w:style w:type="paragraph" w:customStyle="1" w:styleId="108">
    <w:name w:val="xl104"/>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09">
    <w:name w:val="xl67"/>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10">
    <w:name w:val="xl95"/>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kern w:val="0"/>
      <w:sz w:val="20"/>
      <w:szCs w:val="20"/>
    </w:rPr>
  </w:style>
  <w:style w:type="paragraph" w:customStyle="1" w:styleId="111">
    <w:name w:val="xl115"/>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12">
    <w:name w:val="正文 New"/>
    <w:qFormat/>
    <w:uiPriority w:val="0"/>
    <w:pPr>
      <w:widowControl w:val="0"/>
      <w:jc w:val="both"/>
    </w:pPr>
    <w:rPr>
      <w:rFonts w:ascii="等线" w:hAnsi="等线" w:eastAsia="仿宋_GB2312" w:cs="等线"/>
      <w:kern w:val="2"/>
      <w:sz w:val="21"/>
      <w:szCs w:val="24"/>
      <w:lang w:val="en-US" w:eastAsia="zh-CN" w:bidi="ar-SA"/>
    </w:rPr>
  </w:style>
  <w:style w:type="paragraph" w:customStyle="1" w:styleId="113">
    <w:name w:val="附件名"/>
    <w:qFormat/>
    <w:uiPriority w:val="0"/>
    <w:pPr>
      <w:widowControl w:val="0"/>
      <w:jc w:val="both"/>
    </w:pPr>
    <w:rPr>
      <w:rFonts w:ascii="仿宋_GB2312" w:hAnsi="仿宋_GB2312" w:eastAsia="仿宋_GB2312" w:cs="等线"/>
      <w:sz w:val="24"/>
      <w:szCs w:val="24"/>
      <w:lang w:val="en-US" w:eastAsia="zh-CN" w:bidi="ar-SA"/>
    </w:rPr>
  </w:style>
  <w:style w:type="paragraph" w:customStyle="1" w:styleId="114">
    <w:name w:val="p0"/>
    <w:basedOn w:val="1"/>
    <w:qFormat/>
    <w:uiPriority w:val="0"/>
    <w:pPr>
      <w:widowControl/>
    </w:pPr>
    <w:rPr>
      <w:rFonts w:cs="等线"/>
      <w:kern w:val="0"/>
    </w:rPr>
  </w:style>
  <w:style w:type="paragraph" w:customStyle="1" w:styleId="115">
    <w:name w:val="图中文字"/>
    <w:qFormat/>
    <w:uiPriority w:val="0"/>
    <w:pPr>
      <w:adjustRightInd w:val="0"/>
      <w:snapToGrid w:val="0"/>
      <w:spacing w:line="300" w:lineRule="exact"/>
      <w:jc w:val="center"/>
    </w:pPr>
    <w:rPr>
      <w:rFonts w:ascii="仿宋_GB2312" w:hAnsi="等线" w:eastAsia="仿宋_GB2312" w:cs="等线"/>
      <w:sz w:val="24"/>
      <w:lang w:val="en-US" w:eastAsia="zh-CN" w:bidi="ar-SA"/>
    </w:rPr>
  </w:style>
  <w:style w:type="paragraph" w:customStyle="1" w:styleId="116">
    <w:name w:val="修订1"/>
    <w:qFormat/>
    <w:uiPriority w:val="0"/>
    <w:rPr>
      <w:rFonts w:ascii="Arial" w:hAnsi="Arial" w:eastAsia="仿宋_GB2312" w:cs="等线"/>
      <w:kern w:val="2"/>
      <w:sz w:val="21"/>
      <w:szCs w:val="22"/>
      <w:lang w:val="en-US" w:eastAsia="zh-CN" w:bidi="ar-SA"/>
    </w:rPr>
  </w:style>
  <w:style w:type="character" w:customStyle="1" w:styleId="117">
    <w:name w:val="正文文本缩进 3 字符"/>
    <w:basedOn w:val="43"/>
    <w:link w:val="33"/>
    <w:qFormat/>
    <w:uiPriority w:val="0"/>
    <w:rPr>
      <w:kern w:val="2"/>
      <w:sz w:val="16"/>
      <w:szCs w:val="16"/>
      <w:lang w:val="en-US"/>
    </w:rPr>
  </w:style>
  <w:style w:type="paragraph" w:customStyle="1" w:styleId="118">
    <w:name w:val="xl110"/>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19">
    <w:name w:val="xl91"/>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20">
    <w:name w:val="xl114"/>
    <w:basedOn w:val="1"/>
    <w:qFormat/>
    <w:uiPriority w:val="0"/>
    <w:pPr>
      <w:widowControl/>
      <w:pBdr>
        <w:top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character" w:customStyle="1" w:styleId="121">
    <w:name w:val="文档结构图 字符"/>
    <w:basedOn w:val="43"/>
    <w:link w:val="15"/>
    <w:qFormat/>
    <w:uiPriority w:val="0"/>
    <w:rPr>
      <w:rFonts w:ascii="仿宋_GB2312" w:cs="Symbol"/>
      <w:kern w:val="2"/>
      <w:sz w:val="18"/>
      <w:szCs w:val="18"/>
      <w:lang w:val="en-US"/>
    </w:rPr>
  </w:style>
  <w:style w:type="character" w:customStyle="1" w:styleId="122">
    <w:name w:val="日期 字符"/>
    <w:basedOn w:val="43"/>
    <w:link w:val="24"/>
    <w:qFormat/>
    <w:uiPriority w:val="0"/>
    <w:rPr>
      <w:rFonts w:cs="Symbol"/>
      <w:kern w:val="2"/>
      <w:sz w:val="21"/>
      <w:szCs w:val="21"/>
      <w:lang w:val="en-US"/>
    </w:rPr>
  </w:style>
  <w:style w:type="paragraph" w:customStyle="1" w:styleId="123">
    <w:name w:val="pic-info"/>
    <w:basedOn w:val="1"/>
    <w:qFormat/>
    <w:uiPriority w:val="0"/>
    <w:pPr>
      <w:widowControl/>
      <w:spacing w:before="100" w:beforeAutospacing="1" w:after="100" w:afterAutospacing="1"/>
      <w:jc w:val="left"/>
    </w:pPr>
    <w:rPr>
      <w:rFonts w:ascii="仿宋_GB2312" w:hAnsi="仿宋_GB2312" w:cs="仿宋_GB2312"/>
      <w:kern w:val="0"/>
      <w:sz w:val="24"/>
      <w:szCs w:val="24"/>
    </w:rPr>
  </w:style>
  <w:style w:type="paragraph" w:customStyle="1" w:styleId="124">
    <w:name w:val="xl65"/>
    <w:basedOn w:val="1"/>
    <w:qFormat/>
    <w:uiPriority w:val="0"/>
    <w:pPr>
      <w:widowControl/>
      <w:shd w:val="clear" w:color="000000" w:fill="FFFFFF"/>
      <w:spacing w:before="100" w:beforeAutospacing="1" w:after="100" w:afterAutospacing="1"/>
      <w:jc w:val="left"/>
    </w:pPr>
    <w:rPr>
      <w:rFonts w:cs="等线"/>
      <w:kern w:val="0"/>
      <w:sz w:val="24"/>
      <w:szCs w:val="24"/>
    </w:rPr>
  </w:style>
  <w:style w:type="character" w:customStyle="1" w:styleId="125">
    <w:name w:val="正文文本 2 字符"/>
    <w:basedOn w:val="43"/>
    <w:link w:val="37"/>
    <w:qFormat/>
    <w:uiPriority w:val="0"/>
    <w:rPr>
      <w:kern w:val="2"/>
      <w:sz w:val="24"/>
      <w:szCs w:val="24"/>
      <w:lang w:val="en-US"/>
    </w:rPr>
  </w:style>
  <w:style w:type="character" w:customStyle="1" w:styleId="126">
    <w:name w:val="正文文本缩进 2 字符"/>
    <w:basedOn w:val="43"/>
    <w:link w:val="25"/>
    <w:qFormat/>
    <w:uiPriority w:val="0"/>
    <w:rPr>
      <w:kern w:val="2"/>
      <w:sz w:val="24"/>
      <w:szCs w:val="24"/>
      <w:lang w:val="en-US"/>
    </w:rPr>
  </w:style>
  <w:style w:type="character" w:customStyle="1" w:styleId="127">
    <w:name w:val="电子邮件签名 字符"/>
    <w:basedOn w:val="43"/>
    <w:link w:val="12"/>
    <w:qFormat/>
    <w:uiPriority w:val="0"/>
    <w:rPr>
      <w:kern w:val="2"/>
      <w:sz w:val="21"/>
      <w:lang w:val="en-US"/>
    </w:rPr>
  </w:style>
  <w:style w:type="character" w:customStyle="1" w:styleId="128">
    <w:name w:val="批注主题 字符"/>
    <w:basedOn w:val="78"/>
    <w:link w:val="40"/>
    <w:qFormat/>
    <w:uiPriority w:val="0"/>
    <w:rPr>
      <w:rFonts w:cs="Symbol"/>
      <w:b/>
      <w:bCs/>
      <w:kern w:val="2"/>
      <w:sz w:val="21"/>
      <w:szCs w:val="21"/>
      <w:lang w:val="en-US"/>
    </w:rPr>
  </w:style>
  <w:style w:type="paragraph" w:customStyle="1" w:styleId="129">
    <w:name w:val="列出段落1"/>
    <w:basedOn w:val="1"/>
    <w:qFormat/>
    <w:uiPriority w:val="0"/>
    <w:pPr>
      <w:ind w:firstLine="420" w:firstLineChars="200"/>
    </w:pPr>
    <w:rPr>
      <w:rFonts w:ascii="Arial" w:hAnsi="Arial" w:cs="等线"/>
      <w:sz w:val="24"/>
    </w:rPr>
  </w:style>
  <w:style w:type="paragraph" w:customStyle="1" w:styleId="130">
    <w:name w:val="font18"/>
    <w:basedOn w:val="1"/>
    <w:qFormat/>
    <w:uiPriority w:val="0"/>
    <w:pPr>
      <w:widowControl/>
      <w:spacing w:before="100" w:beforeAutospacing="1" w:after="100" w:afterAutospacing="1"/>
      <w:jc w:val="left"/>
    </w:pPr>
    <w:rPr>
      <w:rFonts w:ascii="仿宋_GB2312" w:hAnsi="仿宋_GB2312" w:cs="仿宋_GB2312"/>
      <w:b/>
      <w:bCs/>
      <w:kern w:val="0"/>
      <w:sz w:val="20"/>
      <w:szCs w:val="20"/>
    </w:rPr>
  </w:style>
  <w:style w:type="paragraph" w:customStyle="1" w:styleId="131">
    <w:name w:val="附件中表格"/>
    <w:basedOn w:val="1"/>
    <w:next w:val="1"/>
    <w:qFormat/>
    <w:uiPriority w:val="0"/>
    <w:pPr>
      <w:topLinePunct/>
      <w:ind w:firstLine="964" w:firstLineChars="400"/>
    </w:pPr>
    <w:rPr>
      <w:rFonts w:ascii="仿宋_GB2312" w:hAnsi="仿宋_GB2312" w:cs="等线"/>
      <w:b/>
      <w:color w:val="000000"/>
      <w:sz w:val="24"/>
    </w:rPr>
  </w:style>
  <w:style w:type="paragraph" w:customStyle="1" w:styleId="132">
    <w:name w:val="样式2"/>
    <w:basedOn w:val="2"/>
    <w:qFormat/>
    <w:uiPriority w:val="0"/>
    <w:pPr>
      <w:keepNext/>
      <w:keepLines/>
      <w:numPr>
        <w:numId w:val="0"/>
      </w:numPr>
      <w:tabs>
        <w:tab w:val="left" w:pos="0"/>
        <w:tab w:val="left" w:pos="756"/>
      </w:tabs>
    </w:pPr>
    <w:rPr>
      <w:rFonts w:ascii="等线"/>
      <w:b w:val="0"/>
      <w:bCs w:val="0"/>
      <w:kern w:val="44"/>
      <w:sz w:val="48"/>
      <w:szCs w:val="44"/>
    </w:rPr>
  </w:style>
  <w:style w:type="paragraph" w:customStyle="1" w:styleId="133">
    <w:name w:val="公式"/>
    <w:basedOn w:val="1"/>
    <w:qFormat/>
    <w:uiPriority w:val="0"/>
    <w:pPr>
      <w:spacing w:line="312" w:lineRule="auto"/>
      <w:jc w:val="right"/>
    </w:pPr>
    <w:rPr>
      <w:rFonts w:ascii="仿宋_GB2312" w:hAnsi="仿宋_GB2312" w:cs="等线"/>
      <w:sz w:val="24"/>
      <w:szCs w:val="24"/>
    </w:rPr>
  </w:style>
  <w:style w:type="paragraph" w:customStyle="1" w:styleId="134">
    <w:name w:val="xl105"/>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35">
    <w:name w:val="xl92"/>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kern w:val="0"/>
      <w:sz w:val="20"/>
      <w:szCs w:val="20"/>
    </w:rPr>
  </w:style>
  <w:style w:type="character" w:customStyle="1" w:styleId="136">
    <w:name w:val="题注 字符"/>
    <w:link w:val="14"/>
    <w:qFormat/>
    <w:uiPriority w:val="35"/>
    <w:rPr>
      <w:rFonts w:ascii="Times New Roman" w:hAnsi="Times New Roman" w:eastAsia="宋体" w:cs="Cambria Math"/>
      <w:kern w:val="2"/>
      <w:sz w:val="24"/>
      <w:szCs w:val="24"/>
      <w:lang w:val="en-US"/>
    </w:rPr>
  </w:style>
  <w:style w:type="character" w:customStyle="1" w:styleId="137">
    <w:name w:val="正文文本 3 字符"/>
    <w:basedOn w:val="43"/>
    <w:link w:val="17"/>
    <w:qFormat/>
    <w:uiPriority w:val="0"/>
    <w:rPr>
      <w:kern w:val="2"/>
      <w:sz w:val="16"/>
      <w:szCs w:val="16"/>
      <w:lang w:val="en-US"/>
    </w:rPr>
  </w:style>
  <w:style w:type="character" w:customStyle="1" w:styleId="138">
    <w:name w:val="纯文本 字符"/>
    <w:basedOn w:val="43"/>
    <w:link w:val="22"/>
    <w:qFormat/>
    <w:uiPriority w:val="0"/>
    <w:rPr>
      <w:rFonts w:ascii="仿宋_GB2312" w:hAnsi="楷体_GB2312" w:cs="楷体_GB2312"/>
      <w:kern w:val="2"/>
      <w:sz w:val="21"/>
      <w:szCs w:val="21"/>
      <w:lang w:val="en-US"/>
    </w:rPr>
  </w:style>
  <w:style w:type="paragraph" w:customStyle="1" w:styleId="139">
    <w:name w:val="前言目录"/>
    <w:basedOn w:val="1"/>
    <w:qFormat/>
    <w:uiPriority w:val="0"/>
    <w:pPr>
      <w:spacing w:before="156" w:beforeLines="50" w:after="156" w:afterLines="50"/>
      <w:jc w:val="center"/>
      <w:outlineLvl w:val="0"/>
    </w:pPr>
    <w:rPr>
      <w:rFonts w:ascii="Symbol" w:eastAsia="Symbol"/>
      <w:sz w:val="44"/>
      <w:szCs w:val="44"/>
    </w:rPr>
  </w:style>
  <w:style w:type="paragraph" w:customStyle="1" w:styleId="140">
    <w:name w:val="xl72"/>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41">
    <w:name w:val="xl107"/>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42">
    <w:name w:val="xl93"/>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43">
    <w:name w:val="xl10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仿宋_GB2312" w:hAnsi="仿宋_GB2312" w:cs="仿宋_GB2312"/>
      <w:b/>
      <w:bCs/>
      <w:color w:val="000000"/>
      <w:kern w:val="0"/>
      <w:sz w:val="20"/>
      <w:szCs w:val="20"/>
    </w:rPr>
  </w:style>
  <w:style w:type="paragraph" w:customStyle="1" w:styleId="144">
    <w:name w:val="font9"/>
    <w:basedOn w:val="1"/>
    <w:qFormat/>
    <w:uiPriority w:val="0"/>
    <w:pPr>
      <w:widowControl/>
      <w:spacing w:before="100" w:beforeAutospacing="1" w:after="100" w:afterAutospacing="1"/>
      <w:jc w:val="left"/>
    </w:pPr>
    <w:rPr>
      <w:rFonts w:ascii="仿宋_GB2312" w:hAnsi="仿宋_GB2312" w:cs="仿宋_GB2312"/>
      <w:color w:val="000000"/>
      <w:kern w:val="0"/>
      <w:sz w:val="20"/>
      <w:szCs w:val="20"/>
    </w:rPr>
  </w:style>
  <w:style w:type="paragraph" w:customStyle="1" w:styleId="145">
    <w:name w:val="xl99"/>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46">
    <w:name w:val="aa图表名"/>
    <w:basedOn w:val="1"/>
    <w:next w:val="1"/>
    <w:qFormat/>
    <w:uiPriority w:val="0"/>
    <w:pPr>
      <w:spacing w:line="300" w:lineRule="auto"/>
      <w:jc w:val="center"/>
    </w:pPr>
    <w:rPr>
      <w:rFonts w:cs="等线"/>
      <w:kern w:val="0"/>
      <w:sz w:val="22"/>
      <w:szCs w:val="20"/>
    </w:rPr>
  </w:style>
  <w:style w:type="paragraph" w:styleId="147">
    <w:name w:val="List Paragraph"/>
    <w:basedOn w:val="1"/>
    <w:link w:val="148"/>
    <w:qFormat/>
    <w:uiPriority w:val="34"/>
    <w:pPr>
      <w:ind w:firstLine="420" w:firstLineChars="200"/>
    </w:pPr>
  </w:style>
  <w:style w:type="character" w:customStyle="1" w:styleId="148">
    <w:name w:val="列表段落 字符"/>
    <w:basedOn w:val="43"/>
    <w:link w:val="147"/>
    <w:qFormat/>
    <w:uiPriority w:val="99"/>
    <w:rPr>
      <w:rFonts w:cs="Symbol"/>
      <w:kern w:val="2"/>
      <w:sz w:val="21"/>
      <w:szCs w:val="21"/>
      <w:lang w:val="en-US"/>
    </w:rPr>
  </w:style>
  <w:style w:type="paragraph" w:customStyle="1" w:styleId="149">
    <w:name w:val="xl73"/>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50">
    <w:name w:val="xl75"/>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51">
    <w:name w:val="BG-表内容"/>
    <w:qFormat/>
    <w:uiPriority w:val="0"/>
    <w:pPr>
      <w:jc w:val="center"/>
    </w:pPr>
    <w:rPr>
      <w:rFonts w:ascii="Cambria Math" w:hAnsi="Cambria Math" w:eastAsia="仿宋_GB2312" w:cs="Cambria Math"/>
      <w:sz w:val="18"/>
      <w:szCs w:val="18"/>
      <w:lang w:val="en-US" w:eastAsia="zh-CN" w:bidi="ar-SA"/>
    </w:rPr>
  </w:style>
  <w:style w:type="paragraph" w:customStyle="1" w:styleId="152">
    <w:name w:val="p18"/>
    <w:basedOn w:val="1"/>
    <w:qFormat/>
    <w:uiPriority w:val="0"/>
    <w:pPr>
      <w:widowControl/>
      <w:jc w:val="center"/>
    </w:pPr>
    <w:rPr>
      <w:rFonts w:ascii="Cambria Math" w:hAnsi="Cambria Math" w:cs="Cambria Math"/>
      <w:kern w:val="0"/>
      <w:sz w:val="18"/>
      <w:szCs w:val="18"/>
    </w:rPr>
  </w:style>
  <w:style w:type="paragraph" w:customStyle="1" w:styleId="153">
    <w:name w:val="xl111"/>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ascii="仿宋_GB2312" w:hAnsi="仿宋_GB2312" w:cs="仿宋_GB2312"/>
      <w:b/>
      <w:bCs/>
      <w:color w:val="000000"/>
      <w:kern w:val="0"/>
      <w:sz w:val="20"/>
      <w:szCs w:val="20"/>
    </w:rPr>
  </w:style>
  <w:style w:type="paragraph" w:customStyle="1" w:styleId="154">
    <w:name w:val="xl69"/>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kern w:val="0"/>
      <w:sz w:val="20"/>
      <w:szCs w:val="20"/>
    </w:rPr>
  </w:style>
  <w:style w:type="paragraph" w:customStyle="1" w:styleId="155">
    <w:name w:val="xl106"/>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56">
    <w:name w:val="p16"/>
    <w:basedOn w:val="1"/>
    <w:qFormat/>
    <w:uiPriority w:val="0"/>
    <w:pPr>
      <w:widowControl/>
      <w:spacing w:before="156"/>
      <w:jc w:val="left"/>
    </w:pPr>
    <w:rPr>
      <w:rFonts w:ascii="Cambria Math" w:hAnsi="Cambria Math" w:cs="Cambria Math"/>
      <w:b/>
      <w:bCs/>
      <w:kern w:val="0"/>
      <w:sz w:val="24"/>
      <w:szCs w:val="24"/>
    </w:rPr>
  </w:style>
  <w:style w:type="paragraph" w:customStyle="1" w:styleId="157">
    <w:name w:val="xl77"/>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58">
    <w:name w:val="xl90"/>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b/>
      <w:bCs/>
      <w:color w:val="000000"/>
      <w:kern w:val="0"/>
      <w:sz w:val="20"/>
      <w:szCs w:val="20"/>
    </w:rPr>
  </w:style>
  <w:style w:type="paragraph" w:customStyle="1" w:styleId="159">
    <w:name w:val="font16"/>
    <w:basedOn w:val="1"/>
    <w:qFormat/>
    <w:uiPriority w:val="0"/>
    <w:pPr>
      <w:widowControl/>
      <w:spacing w:before="100" w:beforeAutospacing="1" w:after="100" w:afterAutospacing="1"/>
      <w:jc w:val="left"/>
    </w:pPr>
    <w:rPr>
      <w:rFonts w:ascii="仿宋_GB2312" w:hAnsi="仿宋_GB2312" w:cs="仿宋_GB2312"/>
      <w:color w:val="000000"/>
      <w:kern w:val="0"/>
      <w:sz w:val="20"/>
      <w:szCs w:val="20"/>
    </w:rPr>
  </w:style>
  <w:style w:type="paragraph" w:customStyle="1" w:styleId="160">
    <w:name w:val="正文表格"/>
    <w:basedOn w:val="1"/>
    <w:qFormat/>
    <w:uiPriority w:val="0"/>
    <w:pPr>
      <w:jc w:val="center"/>
    </w:pPr>
    <w:rPr>
      <w:rFonts w:cs="等线"/>
      <w:szCs w:val="20"/>
    </w:rPr>
  </w:style>
  <w:style w:type="paragraph" w:customStyle="1" w:styleId="161">
    <w:name w:val="xl79"/>
    <w:basedOn w:val="1"/>
    <w:qFormat/>
    <w:uiPriority w:val="0"/>
    <w:pPr>
      <w:widowControl/>
      <w:spacing w:before="100" w:beforeAutospacing="1" w:after="100" w:afterAutospacing="1"/>
      <w:jc w:val="center"/>
    </w:pPr>
    <w:rPr>
      <w:rFonts w:cs="等线"/>
      <w:kern w:val="0"/>
      <w:sz w:val="20"/>
      <w:szCs w:val="20"/>
    </w:rPr>
  </w:style>
  <w:style w:type="paragraph" w:customStyle="1" w:styleId="162">
    <w:name w:val="xl101"/>
    <w:basedOn w:val="1"/>
    <w:qFormat/>
    <w:uiPriority w:val="0"/>
    <w:pPr>
      <w:widowControl/>
      <w:pBdr>
        <w:top w:val="single" w:color="auto" w:sz="8" w:space="0"/>
        <w:bottom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63">
    <w:name w:val="xl103"/>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64">
    <w:name w:val="表格"/>
    <w:basedOn w:val="1"/>
    <w:qFormat/>
    <w:uiPriority w:val="0"/>
    <w:pPr>
      <w:jc w:val="center"/>
    </w:pPr>
    <w:rPr>
      <w:rFonts w:ascii="仿宋_GB2312" w:hAnsi="仿宋_GB2312" w:cs="等线"/>
      <w:spacing w:val="-12"/>
      <w:szCs w:val="24"/>
    </w:rPr>
  </w:style>
  <w:style w:type="paragraph" w:customStyle="1" w:styleId="165">
    <w:name w:val="样式1"/>
    <w:basedOn w:val="1"/>
    <w:qFormat/>
    <w:uiPriority w:val="0"/>
    <w:pPr>
      <w:ind w:firstLine="480" w:firstLineChars="200"/>
    </w:pPr>
    <w:rPr>
      <w:rFonts w:ascii="仿宋_GB2312" w:hAnsi="仿宋_GB2312" w:cs="等线"/>
      <w:sz w:val="24"/>
      <w:szCs w:val="32"/>
    </w:rPr>
  </w:style>
  <w:style w:type="paragraph" w:customStyle="1" w:styleId="166">
    <w:name w:val="参考文献"/>
    <w:basedOn w:val="1"/>
    <w:qFormat/>
    <w:uiPriority w:val="0"/>
    <w:pPr>
      <w:widowControl/>
      <w:autoSpaceDE w:val="0"/>
      <w:autoSpaceDN w:val="0"/>
      <w:adjustRightInd w:val="0"/>
      <w:spacing w:line="318" w:lineRule="atLeast"/>
    </w:pPr>
    <w:rPr>
      <w:rFonts w:cs="等线"/>
      <w:kern w:val="0"/>
    </w:rPr>
  </w:style>
  <w:style w:type="paragraph" w:customStyle="1" w:styleId="167">
    <w:name w:val="xl80"/>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68">
    <w:name w:val="font8"/>
    <w:basedOn w:val="1"/>
    <w:qFormat/>
    <w:uiPriority w:val="0"/>
    <w:pPr>
      <w:widowControl/>
      <w:spacing w:before="100" w:beforeAutospacing="1" w:after="100" w:afterAutospacing="1"/>
      <w:jc w:val="left"/>
    </w:pPr>
    <w:rPr>
      <w:rFonts w:cs="等线"/>
      <w:color w:val="000000"/>
      <w:kern w:val="0"/>
      <w:sz w:val="20"/>
      <w:szCs w:val="20"/>
    </w:rPr>
  </w:style>
  <w:style w:type="paragraph" w:customStyle="1" w:styleId="169">
    <w:name w:val="样式 样式 仿宋_GB2312 段前: 0.5 行 段后: 6 磅 行距: 1.5 倍行距 + 首行缩进:  2 字符 段后:...2"/>
    <w:basedOn w:val="1"/>
    <w:qFormat/>
    <w:uiPriority w:val="0"/>
    <w:pPr>
      <w:adjustRightInd w:val="0"/>
      <w:snapToGrid w:val="0"/>
      <w:spacing w:after="312" w:afterLines="100" w:line="300" w:lineRule="auto"/>
      <w:ind w:firstLine="200" w:firstLineChars="200"/>
    </w:pPr>
    <w:rPr>
      <w:rFonts w:ascii="Calibri Light" w:eastAsia="Calibri Light" w:cs="等线"/>
      <w:szCs w:val="20"/>
    </w:rPr>
  </w:style>
  <w:style w:type="paragraph" w:customStyle="1" w:styleId="170">
    <w:name w:val="附件"/>
    <w:basedOn w:val="1"/>
    <w:qFormat/>
    <w:uiPriority w:val="0"/>
    <w:pPr>
      <w:adjustRightInd w:val="0"/>
      <w:snapToGrid w:val="0"/>
      <w:jc w:val="center"/>
      <w:outlineLvl w:val="0"/>
    </w:pPr>
    <w:rPr>
      <w:rFonts w:eastAsia="Symbol"/>
      <w:b/>
      <w:sz w:val="30"/>
      <w:szCs w:val="30"/>
    </w:rPr>
  </w:style>
  <w:style w:type="paragraph" w:customStyle="1" w:styleId="171">
    <w:name w:val="font5"/>
    <w:basedOn w:val="1"/>
    <w:qFormat/>
    <w:uiPriority w:val="0"/>
    <w:pPr>
      <w:widowControl/>
      <w:spacing w:before="100" w:beforeAutospacing="1" w:after="100" w:afterAutospacing="1"/>
      <w:jc w:val="left"/>
    </w:pPr>
    <w:rPr>
      <w:rFonts w:ascii="仿宋_GB2312" w:hAnsi="仿宋_GB2312" w:cs="仿宋_GB2312"/>
      <w:kern w:val="0"/>
      <w:sz w:val="18"/>
      <w:szCs w:val="18"/>
    </w:rPr>
  </w:style>
  <w:style w:type="paragraph" w:customStyle="1" w:styleId="172">
    <w:name w:val="xl97"/>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73">
    <w:name w:val="p17"/>
    <w:basedOn w:val="1"/>
    <w:qFormat/>
    <w:uiPriority w:val="0"/>
    <w:pPr>
      <w:widowControl/>
      <w:spacing w:line="300" w:lineRule="auto"/>
      <w:ind w:firstLine="420"/>
    </w:pPr>
    <w:rPr>
      <w:rFonts w:ascii="Cambria Math" w:hAnsi="Cambria Math" w:cs="Cambria Math"/>
      <w:kern w:val="0"/>
    </w:rPr>
  </w:style>
  <w:style w:type="paragraph" w:customStyle="1" w:styleId="174">
    <w:name w:val="标题4"/>
    <w:basedOn w:val="5"/>
    <w:qFormat/>
    <w:uiPriority w:val="0"/>
    <w:pPr>
      <w:keepNext/>
      <w:keepLines/>
      <w:numPr>
        <w:numId w:val="0"/>
      </w:numPr>
      <w:spacing w:before="260" w:after="260" w:line="360" w:lineRule="exact"/>
      <w:ind w:right="-899" w:rightChars="-428"/>
    </w:pPr>
    <w:rPr>
      <w:rFonts w:eastAsia="仿宋_GB2312"/>
      <w:b w:val="0"/>
      <w:color w:val="000000"/>
    </w:rPr>
  </w:style>
  <w:style w:type="paragraph" w:customStyle="1" w:styleId="175">
    <w:name w:val="xl113"/>
    <w:basedOn w:val="1"/>
    <w:qFormat/>
    <w:uiPriority w:val="0"/>
    <w:pPr>
      <w:widowControl/>
      <w:pBdr>
        <w:left w:val="single" w:color="auto" w:sz="8" w:space="0"/>
        <w:bottom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76">
    <w:name w:val="aa3级标题"/>
    <w:basedOn w:val="1"/>
    <w:next w:val="1"/>
    <w:qFormat/>
    <w:uiPriority w:val="0"/>
    <w:pPr>
      <w:numPr>
        <w:ilvl w:val="0"/>
        <w:numId w:val="3"/>
      </w:numPr>
      <w:spacing w:before="156" w:beforeLines="50" w:after="156" w:afterLines="50" w:line="300" w:lineRule="auto"/>
      <w:outlineLvl w:val="2"/>
    </w:pPr>
    <w:rPr>
      <w:rFonts w:cs="等线"/>
      <w:kern w:val="0"/>
      <w:szCs w:val="24"/>
    </w:rPr>
  </w:style>
  <w:style w:type="paragraph" w:customStyle="1" w:styleId="177">
    <w:name w:val="标题3"/>
    <w:basedOn w:val="1"/>
    <w:qFormat/>
    <w:uiPriority w:val="0"/>
    <w:pPr>
      <w:spacing w:line="240" w:lineRule="exact"/>
      <w:jc w:val="center"/>
    </w:pPr>
    <w:rPr>
      <w:rFonts w:ascii="仿宋_GB2312" w:hAnsi="仿宋_GB2312" w:cs="等线"/>
    </w:rPr>
  </w:style>
  <w:style w:type="paragraph" w:customStyle="1" w:styleId="178">
    <w:name w:val="xl86"/>
    <w:basedOn w:val="1"/>
    <w:qFormat/>
    <w:uiPriority w:val="0"/>
    <w:pPr>
      <w:widowControl/>
      <w:pBdr>
        <w:top w:val="single" w:color="auto" w:sz="8" w:space="0"/>
        <w:bottom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79">
    <w:name w:val="Char"/>
    <w:basedOn w:val="80"/>
    <w:qFormat/>
    <w:uiPriority w:val="0"/>
    <w:pPr>
      <w:widowControl/>
      <w:shd w:val="clear" w:color="auto" w:fill="000080"/>
      <w:ind w:firstLine="454"/>
      <w:jc w:val="left"/>
    </w:pPr>
  </w:style>
  <w:style w:type="paragraph" w:customStyle="1" w:styleId="180">
    <w:name w:val="font11"/>
    <w:basedOn w:val="1"/>
    <w:qFormat/>
    <w:uiPriority w:val="0"/>
    <w:pPr>
      <w:widowControl/>
      <w:spacing w:before="100" w:beforeAutospacing="1" w:after="100" w:afterAutospacing="1"/>
      <w:jc w:val="left"/>
    </w:pPr>
    <w:rPr>
      <w:rFonts w:ascii="仿宋_GB2312" w:hAnsi="仿宋_GB2312" w:cs="仿宋_GB2312"/>
      <w:b/>
      <w:bCs/>
      <w:color w:val="000000"/>
      <w:kern w:val="0"/>
      <w:sz w:val="20"/>
      <w:szCs w:val="20"/>
    </w:rPr>
  </w:style>
  <w:style w:type="paragraph" w:customStyle="1" w:styleId="181">
    <w:name w:val="font17"/>
    <w:basedOn w:val="1"/>
    <w:qFormat/>
    <w:uiPriority w:val="0"/>
    <w:pPr>
      <w:widowControl/>
      <w:spacing w:before="100" w:beforeAutospacing="1" w:after="100" w:afterAutospacing="1"/>
      <w:jc w:val="left"/>
    </w:pPr>
    <w:rPr>
      <w:rFonts w:ascii="仿宋_GB2312" w:hAnsi="仿宋_GB2312" w:cs="仿宋_GB2312"/>
      <w:kern w:val="0"/>
      <w:sz w:val="20"/>
      <w:szCs w:val="20"/>
    </w:rPr>
  </w:style>
  <w:style w:type="paragraph" w:customStyle="1" w:styleId="182">
    <w:name w:val="xl9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kern w:val="0"/>
      <w:sz w:val="20"/>
      <w:szCs w:val="20"/>
    </w:rPr>
  </w:style>
  <w:style w:type="paragraph" w:customStyle="1" w:styleId="183">
    <w:name w:val="样式3"/>
    <w:basedOn w:val="2"/>
    <w:qFormat/>
    <w:uiPriority w:val="0"/>
    <w:pPr>
      <w:keepNext/>
      <w:keepLines/>
      <w:numPr>
        <w:numId w:val="0"/>
      </w:numPr>
      <w:tabs>
        <w:tab w:val="left" w:pos="432"/>
      </w:tabs>
      <w:spacing w:line="576" w:lineRule="auto"/>
    </w:pPr>
    <w:rPr>
      <w:rFonts w:ascii="等线"/>
      <w:bCs w:val="0"/>
      <w:kern w:val="44"/>
      <w:sz w:val="24"/>
      <w:szCs w:val="44"/>
    </w:rPr>
  </w:style>
  <w:style w:type="paragraph" w:customStyle="1" w:styleId="184">
    <w:name w:val="xl94"/>
    <w:basedOn w:val="1"/>
    <w:qFormat/>
    <w:uiPriority w:val="0"/>
    <w:pPr>
      <w:widowControl/>
      <w:spacing w:before="100" w:beforeAutospacing="1" w:after="100" w:afterAutospacing="1"/>
      <w:jc w:val="left"/>
    </w:pPr>
    <w:rPr>
      <w:rFonts w:cs="等线"/>
      <w:kern w:val="0"/>
      <w:sz w:val="20"/>
      <w:szCs w:val="20"/>
    </w:rPr>
  </w:style>
  <w:style w:type="paragraph" w:customStyle="1" w:styleId="185">
    <w:name w:val="font6"/>
    <w:basedOn w:val="1"/>
    <w:qFormat/>
    <w:uiPriority w:val="0"/>
    <w:pPr>
      <w:widowControl/>
      <w:spacing w:before="100" w:beforeAutospacing="1" w:after="100" w:afterAutospacing="1"/>
      <w:jc w:val="left"/>
    </w:pPr>
    <w:rPr>
      <w:rFonts w:ascii="仿宋_GB2312" w:hAnsi="仿宋_GB2312" w:cs="仿宋_GB2312"/>
      <w:kern w:val="0"/>
      <w:sz w:val="18"/>
      <w:szCs w:val="18"/>
    </w:rPr>
  </w:style>
  <w:style w:type="paragraph" w:customStyle="1" w:styleId="186">
    <w:name w:val="文本块1"/>
    <w:basedOn w:val="1"/>
    <w:qFormat/>
    <w:uiPriority w:val="0"/>
    <w:pPr>
      <w:spacing w:after="120" w:line="360" w:lineRule="exact"/>
      <w:ind w:left="1440" w:leftChars="700" w:right="1440" w:rightChars="700"/>
    </w:pPr>
    <w:rPr>
      <w:rFonts w:cs="等线"/>
      <w:sz w:val="24"/>
      <w:szCs w:val="24"/>
    </w:rPr>
  </w:style>
  <w:style w:type="paragraph" w:customStyle="1" w:styleId="187">
    <w:name w:val="font15"/>
    <w:basedOn w:val="1"/>
    <w:qFormat/>
    <w:uiPriority w:val="0"/>
    <w:pPr>
      <w:widowControl/>
      <w:spacing w:before="100" w:beforeAutospacing="1" w:after="100" w:afterAutospacing="1"/>
      <w:jc w:val="left"/>
    </w:pPr>
    <w:rPr>
      <w:rFonts w:cs="等线"/>
      <w:color w:val="000000"/>
      <w:kern w:val="0"/>
      <w:sz w:val="20"/>
      <w:szCs w:val="20"/>
    </w:rPr>
  </w:style>
  <w:style w:type="paragraph" w:customStyle="1" w:styleId="188">
    <w:name w:val="xl6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cs="等线"/>
      <w:color w:val="000000"/>
      <w:kern w:val="0"/>
      <w:sz w:val="20"/>
      <w:szCs w:val="20"/>
    </w:rPr>
  </w:style>
  <w:style w:type="paragraph" w:customStyle="1" w:styleId="189">
    <w:name w:val="xl87"/>
    <w:basedOn w:val="1"/>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90">
    <w:name w:val="aa4级标题"/>
    <w:basedOn w:val="1"/>
    <w:next w:val="1"/>
    <w:qFormat/>
    <w:uiPriority w:val="0"/>
    <w:pPr>
      <w:numPr>
        <w:ilvl w:val="0"/>
        <w:numId w:val="4"/>
      </w:numPr>
      <w:spacing w:line="300" w:lineRule="auto"/>
      <w:outlineLvl w:val="3"/>
    </w:pPr>
    <w:rPr>
      <w:rFonts w:eastAsia="Wingdings" w:cs="等线"/>
      <w:kern w:val="0"/>
      <w:sz w:val="24"/>
      <w:szCs w:val="24"/>
    </w:rPr>
  </w:style>
  <w:style w:type="paragraph" w:customStyle="1" w:styleId="191">
    <w:name w:val="样式 样式 样式 仿宋_GB2312 段前: 0.5 行 段后: 6 磅 行距: 1.5 倍行距 + 首行缩进:  2 字符 段..."/>
    <w:basedOn w:val="1"/>
    <w:qFormat/>
    <w:uiPriority w:val="0"/>
    <w:pPr>
      <w:adjustRightInd w:val="0"/>
      <w:snapToGrid w:val="0"/>
      <w:spacing w:after="156" w:afterLines="50" w:line="300" w:lineRule="auto"/>
      <w:ind w:firstLine="200" w:firstLineChars="200"/>
    </w:pPr>
    <w:rPr>
      <w:rFonts w:eastAsia="Calibri Light" w:cs="等线"/>
      <w:szCs w:val="20"/>
    </w:rPr>
  </w:style>
  <w:style w:type="paragraph" w:customStyle="1" w:styleId="192">
    <w:name w:val="album-div"/>
    <w:basedOn w:val="1"/>
    <w:qFormat/>
    <w:uiPriority w:val="0"/>
    <w:pPr>
      <w:widowControl/>
      <w:spacing w:before="100" w:beforeAutospacing="1" w:after="100" w:afterAutospacing="1"/>
      <w:jc w:val="left"/>
    </w:pPr>
    <w:rPr>
      <w:rFonts w:ascii="仿宋_GB2312" w:hAnsi="仿宋_GB2312" w:cs="仿宋_GB2312"/>
      <w:kern w:val="0"/>
      <w:sz w:val="24"/>
      <w:szCs w:val="24"/>
    </w:rPr>
  </w:style>
  <w:style w:type="paragraph" w:customStyle="1" w:styleId="193">
    <w:name w:val="Default"/>
    <w:qFormat/>
    <w:uiPriority w:val="0"/>
    <w:pPr>
      <w:widowControl w:val="0"/>
      <w:autoSpaceDE w:val="0"/>
      <w:autoSpaceDN w:val="0"/>
      <w:adjustRightInd w:val="0"/>
    </w:pPr>
    <w:rPr>
      <w:rFonts w:ascii="仿宋_GB2312" w:hAnsi="Arial" w:eastAsia="仿宋_GB2312" w:cs="仿宋_GB2312"/>
      <w:color w:val="000000"/>
      <w:sz w:val="24"/>
      <w:szCs w:val="24"/>
      <w:lang w:val="en-US" w:eastAsia="zh-CN" w:bidi="ar-SA"/>
    </w:rPr>
  </w:style>
  <w:style w:type="paragraph" w:customStyle="1" w:styleId="194">
    <w:name w:val="xl9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95">
    <w:name w:val="xl102"/>
    <w:basedOn w:val="1"/>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96">
    <w:name w:val="xl64"/>
    <w:basedOn w:val="1"/>
    <w:qFormat/>
    <w:uiPriority w:val="0"/>
    <w:pPr>
      <w:widowControl/>
      <w:spacing w:before="100" w:beforeAutospacing="1" w:after="100" w:afterAutospacing="1"/>
      <w:jc w:val="left"/>
    </w:pPr>
    <w:rPr>
      <w:rFonts w:cs="等线"/>
      <w:b/>
      <w:bCs/>
      <w:kern w:val="0"/>
      <w:sz w:val="24"/>
      <w:szCs w:val="24"/>
    </w:rPr>
  </w:style>
  <w:style w:type="paragraph" w:customStyle="1" w:styleId="197">
    <w:name w:val="BG-04"/>
    <w:basedOn w:val="1"/>
    <w:qFormat/>
    <w:uiPriority w:val="0"/>
    <w:pPr>
      <w:widowControl/>
      <w:numPr>
        <w:ilvl w:val="0"/>
        <w:numId w:val="5"/>
      </w:numPr>
      <w:spacing w:before="312" w:beforeLines="100" w:after="156" w:afterLines="50"/>
      <w:jc w:val="center"/>
    </w:pPr>
    <w:rPr>
      <w:rFonts w:ascii="Cambria Math" w:hAnsi="Cambria Math" w:eastAsia="Symbol" w:cs="等线"/>
      <w:szCs w:val="24"/>
    </w:rPr>
  </w:style>
  <w:style w:type="paragraph" w:customStyle="1" w:styleId="198">
    <w:name w:val="xl84"/>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99">
    <w:name w:val="xl82"/>
    <w:basedOn w:val="1"/>
    <w:qFormat/>
    <w:uiPriority w:val="0"/>
    <w:pPr>
      <w:widowControl/>
      <w:spacing w:before="100" w:beforeAutospacing="1" w:after="100" w:afterAutospacing="1"/>
      <w:jc w:val="left"/>
    </w:pPr>
    <w:rPr>
      <w:rFonts w:cs="等线"/>
      <w:kern w:val="0"/>
      <w:sz w:val="20"/>
      <w:szCs w:val="20"/>
    </w:rPr>
  </w:style>
  <w:style w:type="paragraph" w:customStyle="1" w:styleId="200">
    <w:name w:val="font12"/>
    <w:basedOn w:val="1"/>
    <w:qFormat/>
    <w:uiPriority w:val="0"/>
    <w:pPr>
      <w:widowControl/>
      <w:spacing w:before="100" w:beforeAutospacing="1" w:after="100" w:afterAutospacing="1"/>
      <w:jc w:val="left"/>
    </w:pPr>
    <w:rPr>
      <w:rFonts w:cs="等线"/>
      <w:b/>
      <w:bCs/>
      <w:color w:val="000000"/>
      <w:kern w:val="0"/>
      <w:sz w:val="20"/>
      <w:szCs w:val="20"/>
    </w:rPr>
  </w:style>
  <w:style w:type="paragraph" w:customStyle="1" w:styleId="201">
    <w:name w:val="p15"/>
    <w:basedOn w:val="1"/>
    <w:qFormat/>
    <w:uiPriority w:val="0"/>
    <w:pPr>
      <w:widowControl/>
    </w:pPr>
    <w:rPr>
      <w:rFonts w:ascii="Cambria Math" w:hAnsi="Cambria Math" w:cs="Cambria Math"/>
      <w:kern w:val="0"/>
      <w:sz w:val="20"/>
      <w:szCs w:val="20"/>
    </w:rPr>
  </w:style>
  <w:style w:type="paragraph" w:customStyle="1" w:styleId="202">
    <w:name w:val="font13"/>
    <w:basedOn w:val="1"/>
    <w:qFormat/>
    <w:uiPriority w:val="0"/>
    <w:pPr>
      <w:widowControl/>
      <w:spacing w:before="100" w:beforeAutospacing="1" w:after="100" w:afterAutospacing="1"/>
      <w:jc w:val="left"/>
    </w:pPr>
    <w:rPr>
      <w:rFonts w:ascii="仿宋_GB2312" w:hAnsi="仿宋_GB2312" w:cs="仿宋_GB2312"/>
      <w:b/>
      <w:bCs/>
      <w:color w:val="000000"/>
      <w:kern w:val="0"/>
      <w:sz w:val="20"/>
      <w:szCs w:val="20"/>
    </w:rPr>
  </w:style>
  <w:style w:type="paragraph" w:customStyle="1" w:styleId="203">
    <w:name w:val="正文文字不缩进"/>
    <w:basedOn w:val="1"/>
    <w:next w:val="18"/>
    <w:qFormat/>
    <w:uiPriority w:val="0"/>
    <w:pPr>
      <w:widowControl/>
      <w:jc w:val="center"/>
    </w:pPr>
    <w:rPr>
      <w:rFonts w:ascii="仿宋_GB2312" w:hAnsi="仿宋_GB2312" w:cs="等线"/>
      <w:color w:val="000000"/>
      <w:kern w:val="0"/>
      <w:sz w:val="10"/>
    </w:rPr>
  </w:style>
  <w:style w:type="paragraph" w:customStyle="1" w:styleId="204">
    <w:name w:val="xl81"/>
    <w:basedOn w:val="1"/>
    <w:qFormat/>
    <w:uiPriority w:val="0"/>
    <w:pPr>
      <w:widowControl/>
      <w:spacing w:before="100" w:beforeAutospacing="1" w:after="100" w:afterAutospacing="1"/>
      <w:jc w:val="center"/>
    </w:pPr>
    <w:rPr>
      <w:rFonts w:cs="等线"/>
      <w:kern w:val="0"/>
      <w:sz w:val="20"/>
      <w:szCs w:val="20"/>
    </w:rPr>
  </w:style>
  <w:style w:type="paragraph" w:customStyle="1" w:styleId="205">
    <w:name w:val="font7"/>
    <w:basedOn w:val="1"/>
    <w:qFormat/>
    <w:uiPriority w:val="0"/>
    <w:pPr>
      <w:widowControl/>
      <w:spacing w:before="100" w:beforeAutospacing="1" w:after="100" w:afterAutospacing="1"/>
      <w:jc w:val="left"/>
    </w:pPr>
    <w:rPr>
      <w:rFonts w:ascii="仿宋_GB2312" w:hAnsi="仿宋_GB2312" w:cs="仿宋_GB2312"/>
      <w:color w:val="000000"/>
      <w:kern w:val="0"/>
      <w:sz w:val="18"/>
      <w:szCs w:val="18"/>
    </w:rPr>
  </w:style>
  <w:style w:type="paragraph" w:customStyle="1" w:styleId="206">
    <w:name w:val="图名"/>
    <w:qFormat/>
    <w:uiPriority w:val="0"/>
    <w:pPr>
      <w:widowControl w:val="0"/>
      <w:spacing w:before="156" w:beforeLines="50"/>
      <w:jc w:val="center"/>
    </w:pPr>
    <w:rPr>
      <w:rFonts w:ascii="仿宋_GB2312" w:hAnsi="仿宋_GB2312" w:eastAsia="仿宋_GB2312" w:cs="等线"/>
      <w:b/>
      <w:bCs/>
      <w:sz w:val="24"/>
      <w:szCs w:val="30"/>
      <w:lang w:val="en-US" w:eastAsia="zh-CN" w:bidi="ar-SA"/>
    </w:rPr>
  </w:style>
  <w:style w:type="paragraph" w:customStyle="1" w:styleId="207">
    <w:name w:val="xl85"/>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208">
    <w:name w:val="xl70"/>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b/>
      <w:bCs/>
      <w:color w:val="000000"/>
      <w:kern w:val="0"/>
      <w:sz w:val="20"/>
      <w:szCs w:val="20"/>
    </w:rPr>
  </w:style>
  <w:style w:type="paragraph" w:customStyle="1" w:styleId="209">
    <w:name w:val="正文缩进1"/>
    <w:basedOn w:val="1"/>
    <w:qFormat/>
    <w:uiPriority w:val="0"/>
    <w:pPr>
      <w:ind w:firstLine="420"/>
    </w:pPr>
    <w:rPr>
      <w:rFonts w:cs="等线"/>
      <w:sz w:val="24"/>
      <w:szCs w:val="24"/>
    </w:rPr>
  </w:style>
  <w:style w:type="paragraph" w:customStyle="1" w:styleId="210">
    <w:name w:val="Char Char Char Char Char Char Char Char Char Char Char Char Char Char Char Char Char Char Char"/>
    <w:basedOn w:val="1"/>
    <w:qFormat/>
    <w:uiPriority w:val="0"/>
    <w:rPr>
      <w:rFonts w:cs="等线"/>
      <w:szCs w:val="24"/>
    </w:rPr>
  </w:style>
  <w:style w:type="paragraph" w:customStyle="1" w:styleId="211">
    <w:name w:val="xl7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212">
    <w:name w:val="xl100"/>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213">
    <w:name w:val="标准文字"/>
    <w:basedOn w:val="1"/>
    <w:qFormat/>
    <w:uiPriority w:val="0"/>
    <w:pPr>
      <w:ind w:firstLine="560" w:firstLineChars="200"/>
    </w:pPr>
  </w:style>
  <w:style w:type="paragraph" w:customStyle="1" w:styleId="214">
    <w:name w:val="xl6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215">
    <w:name w:val="font10"/>
    <w:basedOn w:val="1"/>
    <w:qFormat/>
    <w:uiPriority w:val="0"/>
    <w:pPr>
      <w:widowControl/>
      <w:spacing w:before="100" w:beforeAutospacing="1" w:after="100" w:afterAutospacing="1"/>
      <w:jc w:val="left"/>
    </w:pPr>
    <w:rPr>
      <w:rFonts w:cs="等线"/>
      <w:kern w:val="0"/>
      <w:sz w:val="20"/>
      <w:szCs w:val="20"/>
    </w:rPr>
  </w:style>
  <w:style w:type="paragraph" w:customStyle="1" w:styleId="216">
    <w:name w:val="xl63"/>
    <w:basedOn w:val="1"/>
    <w:qFormat/>
    <w:uiPriority w:val="0"/>
    <w:pPr>
      <w:widowControl/>
      <w:spacing w:before="100" w:beforeAutospacing="1" w:after="100" w:afterAutospacing="1"/>
      <w:jc w:val="left"/>
    </w:pPr>
    <w:rPr>
      <w:rFonts w:cs="等线"/>
      <w:kern w:val="0"/>
      <w:sz w:val="24"/>
      <w:szCs w:val="24"/>
    </w:rPr>
  </w:style>
  <w:style w:type="paragraph" w:customStyle="1" w:styleId="217">
    <w:name w:val="表中文字"/>
    <w:qFormat/>
    <w:uiPriority w:val="0"/>
    <w:pPr>
      <w:adjustRightInd w:val="0"/>
      <w:snapToGrid w:val="0"/>
      <w:spacing w:line="300" w:lineRule="atLeast"/>
      <w:jc w:val="center"/>
    </w:pPr>
    <w:rPr>
      <w:rFonts w:ascii="等线" w:hAnsi="等线" w:eastAsia="黑体" w:cs="等线"/>
      <w:sz w:val="18"/>
      <w:lang w:val="en-US" w:eastAsia="zh-CN" w:bidi="ar-SA"/>
    </w:rPr>
  </w:style>
  <w:style w:type="paragraph" w:customStyle="1" w:styleId="218">
    <w:name w:val="表"/>
    <w:basedOn w:val="90"/>
    <w:next w:val="1"/>
    <w:qFormat/>
    <w:uiPriority w:val="0"/>
    <w:pPr>
      <w:adjustRightInd/>
      <w:ind w:left="0" w:leftChars="0" w:firstLine="0" w:firstLineChars="0"/>
      <w:jc w:val="center"/>
    </w:pPr>
    <w:rPr>
      <w:rFonts w:ascii="仿宋_GB2312" w:hAnsi="仿宋_GB2312"/>
      <w:b/>
      <w:bCs/>
      <w:szCs w:val="20"/>
    </w:rPr>
  </w:style>
  <w:style w:type="paragraph" w:customStyle="1" w:styleId="219">
    <w:name w:val="xl89"/>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220">
    <w:name w:val="ZT-标题1"/>
    <w:basedOn w:val="1"/>
    <w:next w:val="221"/>
    <w:qFormat/>
    <w:uiPriority w:val="0"/>
    <w:pPr>
      <w:numPr>
        <w:ilvl w:val="1"/>
        <w:numId w:val="2"/>
      </w:numPr>
      <w:tabs>
        <w:tab w:val="left" w:pos="1134"/>
      </w:tabs>
      <w:spacing w:before="312" w:beforeLines="100" w:after="156" w:afterLines="50"/>
      <w:jc w:val="center"/>
      <w:outlineLvl w:val="0"/>
    </w:pPr>
    <w:rPr>
      <w:rFonts w:ascii="Cambria Math" w:hAnsi="Cambria Math" w:eastAsia="Symbol" w:cs="Cambria Math"/>
      <w:b/>
      <w:sz w:val="32"/>
      <w:szCs w:val="32"/>
    </w:rPr>
  </w:style>
  <w:style w:type="paragraph" w:customStyle="1" w:styleId="221">
    <w:name w:val="ZT-标题2"/>
    <w:basedOn w:val="1"/>
    <w:next w:val="106"/>
    <w:qFormat/>
    <w:uiPriority w:val="0"/>
    <w:pPr>
      <w:numPr>
        <w:ilvl w:val="2"/>
        <w:numId w:val="2"/>
      </w:numPr>
      <w:spacing w:before="312" w:beforeLines="100"/>
      <w:ind w:left="0"/>
      <w:jc w:val="left"/>
      <w:outlineLvl w:val="1"/>
    </w:pPr>
    <w:rPr>
      <w:rFonts w:ascii="Symbol" w:hAnsi="Symbol" w:eastAsia="Symbol" w:cs="等线"/>
      <w:b/>
      <w:szCs w:val="22"/>
    </w:rPr>
  </w:style>
  <w:style w:type="paragraph" w:customStyle="1" w:styleId="222">
    <w:name w:val="aa段落"/>
    <w:basedOn w:val="1"/>
    <w:qFormat/>
    <w:uiPriority w:val="0"/>
    <w:pPr>
      <w:ind w:firstLine="200" w:firstLineChars="200"/>
    </w:pPr>
    <w:rPr>
      <w:rFonts w:cs="等线"/>
      <w:kern w:val="0"/>
      <w:sz w:val="24"/>
      <w:szCs w:val="24"/>
    </w:rPr>
  </w:style>
  <w:style w:type="paragraph" w:customStyle="1" w:styleId="223">
    <w:name w:val="xl112"/>
    <w:basedOn w:val="1"/>
    <w:qFormat/>
    <w:uiPriority w:val="0"/>
    <w:pPr>
      <w:widowControl/>
      <w:pBdr>
        <w:top w:val="single" w:color="auto" w:sz="8" w:space="0"/>
        <w:lef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224">
    <w:name w:val="样式4"/>
    <w:basedOn w:val="8"/>
    <w:qFormat/>
    <w:uiPriority w:val="0"/>
    <w:pPr>
      <w:tabs>
        <w:tab w:val="clear" w:pos="1296"/>
      </w:tabs>
      <w:ind w:left="0" w:firstLine="0"/>
    </w:pPr>
    <w:rPr>
      <w:rFonts w:eastAsia="Calibri Light"/>
      <w:b w:val="0"/>
      <w:bCs w:val="0"/>
    </w:rPr>
  </w:style>
  <w:style w:type="paragraph" w:customStyle="1" w:styleId="225">
    <w:name w:val="普通(网站)1"/>
    <w:basedOn w:val="1"/>
    <w:qFormat/>
    <w:uiPriority w:val="0"/>
    <w:pPr>
      <w:spacing w:line="360" w:lineRule="exact"/>
    </w:pPr>
    <w:rPr>
      <w:rFonts w:cs="等线"/>
      <w:sz w:val="24"/>
      <w:szCs w:val="24"/>
    </w:rPr>
  </w:style>
  <w:style w:type="paragraph" w:customStyle="1" w:styleId="226">
    <w:name w:val="一般强调"/>
    <w:basedOn w:val="1"/>
    <w:qFormat/>
    <w:uiPriority w:val="0"/>
    <w:pPr>
      <w:adjustRightInd w:val="0"/>
      <w:snapToGrid w:val="0"/>
    </w:pPr>
    <w:rPr>
      <w:rFonts w:eastAsia="Wingdings" w:cs="等线"/>
      <w:sz w:val="24"/>
      <w:szCs w:val="20"/>
    </w:rPr>
  </w:style>
  <w:style w:type="paragraph" w:customStyle="1" w:styleId="227">
    <w:name w:val="xl71"/>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228">
    <w:name w:val="xl74"/>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229">
    <w:name w:val="xl8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230">
    <w:name w:val="ZT-标题4"/>
    <w:basedOn w:val="1"/>
    <w:qFormat/>
    <w:uiPriority w:val="0"/>
    <w:pPr>
      <w:widowControl/>
      <w:tabs>
        <w:tab w:val="left" w:pos="1192"/>
      </w:tabs>
      <w:spacing w:before="156" w:beforeLines="50"/>
      <w:ind w:left="1192" w:hanging="992"/>
      <w:jc w:val="left"/>
      <w:outlineLvl w:val="3"/>
    </w:pPr>
    <w:rPr>
      <w:rFonts w:ascii="仿宋_GB2312" w:hAnsi="仿宋_GB2312" w:cs="等线"/>
      <w:b/>
      <w:kern w:val="0"/>
      <w:lang w:bidi="en-US"/>
    </w:rPr>
  </w:style>
  <w:style w:type="paragraph" w:customStyle="1" w:styleId="231">
    <w:name w:val="2"/>
    <w:basedOn w:val="1"/>
    <w:next w:val="33"/>
    <w:qFormat/>
    <w:uiPriority w:val="0"/>
    <w:pPr>
      <w:widowControl/>
      <w:spacing w:after="120" w:line="276" w:lineRule="auto"/>
      <w:ind w:left="200" w:leftChars="200"/>
      <w:jc w:val="left"/>
    </w:pPr>
    <w:rPr>
      <w:rFonts w:ascii="Arial" w:hAnsi="Arial" w:cs="等线"/>
      <w:kern w:val="0"/>
      <w:sz w:val="16"/>
      <w:szCs w:val="16"/>
      <w:lang w:eastAsia="en-US" w:bidi="en-US"/>
    </w:rPr>
  </w:style>
  <w:style w:type="paragraph" w:customStyle="1" w:styleId="232">
    <w:name w:val="aa图"/>
    <w:basedOn w:val="1"/>
    <w:next w:val="1"/>
    <w:qFormat/>
    <w:uiPriority w:val="0"/>
    <w:pPr>
      <w:spacing w:line="300" w:lineRule="auto"/>
      <w:jc w:val="center"/>
    </w:pPr>
    <w:rPr>
      <w:rFonts w:cs="等线"/>
      <w:szCs w:val="22"/>
    </w:rPr>
  </w:style>
  <w:style w:type="paragraph" w:customStyle="1" w:styleId="233">
    <w:name w:val="1"/>
    <w:basedOn w:val="1"/>
    <w:next w:val="1"/>
    <w:qFormat/>
    <w:uiPriority w:val="39"/>
    <w:pPr>
      <w:ind w:left="210"/>
      <w:jc w:val="left"/>
    </w:pPr>
    <w:rPr>
      <w:rFonts w:ascii="Arial" w:hAnsi="Arial"/>
      <w:smallCaps/>
      <w:sz w:val="20"/>
      <w:szCs w:val="20"/>
    </w:rPr>
  </w:style>
  <w:style w:type="character" w:customStyle="1" w:styleId="234">
    <w:name w:val="标题 1 字符"/>
    <w:qFormat/>
    <w:uiPriority w:val="0"/>
    <w:rPr>
      <w:rFonts w:ascii="等线" w:hAnsi="等线" w:eastAsia="Symbol" w:cs="等线"/>
      <w:bCs/>
      <w:kern w:val="44"/>
      <w:sz w:val="32"/>
      <w:szCs w:val="44"/>
      <w:lang w:val="en-US"/>
    </w:rPr>
  </w:style>
  <w:style w:type="paragraph" w:customStyle="1" w:styleId="235">
    <w:name w:val="无间隔1"/>
    <w:qFormat/>
    <w:uiPriority w:val="0"/>
    <w:pPr>
      <w:widowControl w:val="0"/>
      <w:spacing w:after="160" w:line="256" w:lineRule="auto"/>
      <w:ind w:left="100" w:leftChars="100" w:right="210" w:rightChars="100"/>
      <w:jc w:val="both"/>
    </w:pPr>
    <w:rPr>
      <w:rFonts w:ascii="Arial" w:hAnsi="Arial" w:eastAsia="仿宋_GB2312" w:cs="Cambria Math"/>
      <w:kern w:val="2"/>
      <w:sz w:val="21"/>
      <w:szCs w:val="22"/>
      <w:lang w:val="en-US" w:eastAsia="zh-CN" w:bidi="ar-SA"/>
    </w:rPr>
  </w:style>
  <w:style w:type="paragraph" w:customStyle="1" w:styleId="236">
    <w:name w:val="泃河"/>
    <w:basedOn w:val="1"/>
    <w:qFormat/>
    <w:uiPriority w:val="0"/>
    <w:pPr>
      <w:spacing w:after="160"/>
      <w:ind w:firstLine="200" w:firstLineChars="200"/>
    </w:pPr>
    <w:rPr>
      <w:rFonts w:ascii="仿宋_GB2312" w:hAnsi="仿宋_GB2312" w:cs="等线"/>
      <w:sz w:val="24"/>
      <w:szCs w:val="28"/>
    </w:rPr>
  </w:style>
  <w:style w:type="character" w:customStyle="1" w:styleId="237">
    <w:name w:val="未处理的提及1"/>
    <w:semiHidden/>
    <w:unhideWhenUsed/>
    <w:qFormat/>
    <w:uiPriority w:val="99"/>
    <w:rPr>
      <w:color w:val="605E5C"/>
      <w:shd w:val="clear" w:color="auto" w:fill="E1DFDD"/>
    </w:rPr>
  </w:style>
  <w:style w:type="table" w:customStyle="1" w:styleId="238">
    <w:name w:val="TableGrid"/>
    <w:qFormat/>
    <w:uiPriority w:val="0"/>
    <w:rPr>
      <w:rFonts w:eastAsia="等线" w:cs="Times New Roman"/>
      <w:kern w:val="2"/>
      <w:sz w:val="21"/>
      <w:szCs w:val="22"/>
    </w:rPr>
    <w:tblPr>
      <w:tblCellMar>
        <w:top w:w="0" w:type="dxa"/>
        <w:left w:w="0" w:type="dxa"/>
        <w:bottom w:w="0" w:type="dxa"/>
        <w:right w:w="0" w:type="dxa"/>
      </w:tblCellMar>
    </w:tblPr>
  </w:style>
  <w:style w:type="character" w:customStyle="1" w:styleId="239">
    <w:name w:val="标题 1 Char"/>
    <w:qFormat/>
    <w:uiPriority w:val="0"/>
    <w:rPr>
      <w:rFonts w:ascii="Symbol" w:eastAsia="Symbol"/>
      <w:kern w:val="2"/>
      <w:sz w:val="32"/>
      <w:szCs w:val="32"/>
      <w:lang w:val="zh-CN" w:eastAsia="zh-CN"/>
    </w:rPr>
  </w:style>
  <w:style w:type="character" w:customStyle="1" w:styleId="240">
    <w:name w:val="标题 2 Char"/>
    <w:qFormat/>
    <w:uiPriority w:val="0"/>
    <w:rPr>
      <w:b/>
      <w:kern w:val="2"/>
      <w:sz w:val="30"/>
      <w:szCs w:val="30"/>
      <w:lang w:val="zh-CN" w:eastAsia="zh-CN"/>
    </w:rPr>
  </w:style>
  <w:style w:type="character" w:customStyle="1" w:styleId="241">
    <w:name w:val="标题 3 Char"/>
    <w:qFormat/>
    <w:uiPriority w:val="0"/>
    <w:rPr>
      <w:b/>
      <w:kern w:val="2"/>
      <w:sz w:val="28"/>
      <w:szCs w:val="21"/>
      <w:lang w:val="zh-CN" w:eastAsia="zh-CN"/>
    </w:rPr>
  </w:style>
  <w:style w:type="character" w:customStyle="1" w:styleId="242">
    <w:name w:val="标题 4 Char"/>
    <w:qFormat/>
    <w:uiPriority w:val="0"/>
    <w:rPr>
      <w:rFonts w:eastAsia="Wingdings"/>
      <w:b/>
      <w:kern w:val="2"/>
      <w:sz w:val="28"/>
      <w:szCs w:val="21"/>
      <w:lang w:val="zh-CN" w:eastAsia="zh-CN"/>
    </w:rPr>
  </w:style>
  <w:style w:type="character" w:customStyle="1" w:styleId="243">
    <w:name w:val="标题 5 Char"/>
    <w:qFormat/>
    <w:uiPriority w:val="0"/>
    <w:rPr>
      <w:b/>
      <w:bCs/>
      <w:sz w:val="28"/>
      <w:szCs w:val="28"/>
      <w:lang w:val="zh-CN" w:eastAsia="zh-CN"/>
    </w:rPr>
  </w:style>
  <w:style w:type="character" w:customStyle="1" w:styleId="244">
    <w:name w:val="标题 6 Char"/>
    <w:qFormat/>
    <w:uiPriority w:val="0"/>
    <w:rPr>
      <w:rFonts w:ascii="Cambria Math" w:hAnsi="Cambria Math" w:eastAsia="Symbol"/>
      <w:b/>
      <w:bCs/>
      <w:sz w:val="24"/>
      <w:szCs w:val="24"/>
      <w:lang w:val="zh-CN" w:eastAsia="zh-CN"/>
    </w:rPr>
  </w:style>
  <w:style w:type="character" w:customStyle="1" w:styleId="245">
    <w:name w:val="标题 7 Char"/>
    <w:qFormat/>
    <w:uiPriority w:val="0"/>
    <w:rPr>
      <w:b/>
      <w:bCs/>
      <w:sz w:val="24"/>
      <w:szCs w:val="24"/>
      <w:lang w:val="zh-CN" w:eastAsia="zh-CN"/>
    </w:rPr>
  </w:style>
  <w:style w:type="character" w:customStyle="1" w:styleId="246">
    <w:name w:val="标题 8 Char"/>
    <w:qFormat/>
    <w:uiPriority w:val="0"/>
    <w:rPr>
      <w:rFonts w:ascii="Cambria Math" w:hAnsi="Cambria Math" w:eastAsia="Symbol"/>
      <w:sz w:val="24"/>
      <w:szCs w:val="24"/>
      <w:lang w:val="zh-CN" w:eastAsia="zh-CN"/>
    </w:rPr>
  </w:style>
  <w:style w:type="character" w:customStyle="1" w:styleId="247">
    <w:name w:val="标题 9 Char"/>
    <w:qFormat/>
    <w:uiPriority w:val="0"/>
    <w:rPr>
      <w:rFonts w:ascii="Cambria Math" w:hAnsi="Cambria Math" w:eastAsia="Symbol"/>
      <w:sz w:val="24"/>
      <w:szCs w:val="21"/>
      <w:lang w:val="zh-CN" w:eastAsia="zh-CN"/>
    </w:rPr>
  </w:style>
  <w:style w:type="character" w:customStyle="1" w:styleId="248">
    <w:name w:val="正文文本 Char"/>
    <w:qFormat/>
    <w:uiPriority w:val="0"/>
    <w:rPr>
      <w:sz w:val="24"/>
    </w:rPr>
  </w:style>
  <w:style w:type="character" w:customStyle="1" w:styleId="249">
    <w:name w:val="标题 Char"/>
    <w:qFormat/>
    <w:uiPriority w:val="0"/>
    <w:rPr>
      <w:rFonts w:ascii="Cambria Math" w:hAnsi="Cambria Math" w:eastAsia="黑体"/>
      <w:b/>
      <w:bCs/>
      <w:w w:val="90"/>
      <w:sz w:val="84"/>
      <w:szCs w:val="32"/>
    </w:rPr>
  </w:style>
  <w:style w:type="character" w:customStyle="1" w:styleId="250">
    <w:name w:val="批注文字 Char"/>
    <w:basedOn w:val="43"/>
    <w:qFormat/>
    <w:uiPriority w:val="99"/>
    <w:rPr>
      <w:rFonts w:cs="Symbol"/>
      <w:kern w:val="2"/>
      <w:sz w:val="21"/>
      <w:szCs w:val="21"/>
      <w:lang w:val="en-US"/>
    </w:rPr>
  </w:style>
  <w:style w:type="character" w:customStyle="1" w:styleId="251">
    <w:name w:val="批注框文本 Char"/>
    <w:qFormat/>
    <w:uiPriority w:val="0"/>
    <w:rPr>
      <w:sz w:val="18"/>
      <w:szCs w:val="18"/>
    </w:rPr>
  </w:style>
  <w:style w:type="character" w:customStyle="1" w:styleId="252">
    <w:name w:val="页脚 Char"/>
    <w:qFormat/>
    <w:uiPriority w:val="99"/>
    <w:rPr>
      <w:sz w:val="18"/>
      <w:szCs w:val="18"/>
    </w:rPr>
  </w:style>
  <w:style w:type="character" w:customStyle="1" w:styleId="253">
    <w:name w:val="页眉 Char"/>
    <w:qFormat/>
    <w:uiPriority w:val="0"/>
    <w:rPr>
      <w:sz w:val="18"/>
      <w:szCs w:val="18"/>
    </w:rPr>
  </w:style>
  <w:style w:type="paragraph" w:customStyle="1" w:styleId="254">
    <w:name w:val="10"/>
    <w:basedOn w:val="1"/>
    <w:next w:val="147"/>
    <w:qFormat/>
    <w:uiPriority w:val="0"/>
    <w:pPr>
      <w:ind w:firstLine="420" w:firstLineChars="200"/>
    </w:pPr>
  </w:style>
  <w:style w:type="paragraph" w:styleId="255">
    <w:name w:val="No Spacing"/>
    <w:qFormat/>
    <w:uiPriority w:val="1"/>
    <w:pPr>
      <w:widowControl w:val="0"/>
      <w:jc w:val="both"/>
    </w:pPr>
    <w:rPr>
      <w:rFonts w:ascii="等线" w:hAnsi="等线" w:eastAsia="等线" w:cs="Times New Roman"/>
      <w:kern w:val="2"/>
      <w:sz w:val="21"/>
      <w:szCs w:val="22"/>
      <w:lang w:val="en-US" w:eastAsia="zh-CN" w:bidi="ar-SA"/>
    </w:rPr>
  </w:style>
  <w:style w:type="table" w:customStyle="1" w:styleId="256">
    <w:name w:val="无格式表格 21"/>
    <w:basedOn w:val="41"/>
    <w:qFormat/>
    <w:uiPriority w:val="42"/>
    <w:rPr>
      <w:rFonts w:asciiTheme="minorHAnsi" w:hAnsiTheme="minorHAnsi" w:eastAsiaTheme="minorEastAsia" w:cstheme="minorBidi"/>
      <w:kern w:val="2"/>
      <w:sz w:val="21"/>
      <w:szCs w:val="22"/>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257">
    <w:name w:val="8"/>
    <w:basedOn w:val="1"/>
    <w:next w:val="147"/>
    <w:qFormat/>
    <w:uiPriority w:val="34"/>
    <w:pPr>
      <w:ind w:firstLine="420" w:firstLineChars="200"/>
    </w:pPr>
  </w:style>
  <w:style w:type="paragraph" w:customStyle="1" w:styleId="258">
    <w:name w:val="图表题名"/>
    <w:basedOn w:val="1"/>
    <w:link w:val="259"/>
    <w:qFormat/>
    <w:uiPriority w:val="0"/>
    <w:pPr>
      <w:jc w:val="center"/>
    </w:pPr>
    <w:rPr>
      <w:rFonts w:eastAsia="黑体" w:cs="Times New Roman"/>
      <w:szCs w:val="22"/>
    </w:rPr>
  </w:style>
  <w:style w:type="character" w:customStyle="1" w:styleId="259">
    <w:name w:val="图表题名 字符"/>
    <w:link w:val="258"/>
    <w:qFormat/>
    <w:uiPriority w:val="0"/>
    <w:rPr>
      <w:rFonts w:ascii="Times New Roman" w:hAnsi="Times New Roman" w:eastAsia="黑体" w:cs="Times New Roman"/>
      <w:kern w:val="2"/>
      <w:sz w:val="21"/>
      <w:szCs w:val="22"/>
      <w:lang w:val="en-US"/>
    </w:rPr>
  </w:style>
  <w:style w:type="table" w:customStyle="1" w:styleId="260">
    <w:name w:val="网格表 1 浅色1"/>
    <w:basedOn w:val="41"/>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261">
    <w:name w:val="7"/>
    <w:basedOn w:val="1"/>
    <w:next w:val="147"/>
    <w:qFormat/>
    <w:uiPriority w:val="0"/>
    <w:pPr>
      <w:ind w:firstLine="420" w:firstLineChars="200"/>
    </w:pPr>
    <w:rPr>
      <w:rFonts w:cs="黑体"/>
    </w:rPr>
  </w:style>
  <w:style w:type="paragraph" w:customStyle="1" w:styleId="262">
    <w:name w:val="+正文"/>
    <w:basedOn w:val="1"/>
    <w:link w:val="263"/>
    <w:qFormat/>
    <w:uiPriority w:val="0"/>
    <w:pPr>
      <w:ind w:firstLine="200" w:firstLineChars="200"/>
    </w:pPr>
    <w:rPr>
      <w:rFonts w:cs="Times New Roman"/>
      <w:szCs w:val="28"/>
    </w:rPr>
  </w:style>
  <w:style w:type="character" w:customStyle="1" w:styleId="263">
    <w:name w:val="+正文 Char"/>
    <w:link w:val="262"/>
    <w:qFormat/>
    <w:uiPriority w:val="0"/>
    <w:rPr>
      <w:rFonts w:ascii="Times New Roman" w:hAnsi="Times New Roman" w:eastAsia="宋体" w:cs="Times New Roman"/>
      <w:kern w:val="2"/>
      <w:sz w:val="28"/>
      <w:szCs w:val="28"/>
      <w:lang w:val="en-US"/>
    </w:rPr>
  </w:style>
  <w:style w:type="character" w:customStyle="1" w:styleId="264">
    <w:name w:val="副标题 字符"/>
    <w:basedOn w:val="43"/>
    <w:link w:val="31"/>
    <w:qFormat/>
    <w:uiPriority w:val="0"/>
    <w:rPr>
      <w:rFonts w:ascii="Times New Roman" w:hAnsi="Times New Roman" w:eastAsia="宋体" w:cs="Times New Roman"/>
      <w:kern w:val="2"/>
      <w:sz w:val="28"/>
      <w:szCs w:val="21"/>
      <w:lang w:val="en-US"/>
    </w:rPr>
  </w:style>
  <w:style w:type="character" w:styleId="265">
    <w:name w:val="Placeholder Text"/>
    <w:basedOn w:val="43"/>
    <w:semiHidden/>
    <w:qFormat/>
    <w:uiPriority w:val="99"/>
    <w:rPr>
      <w:color w:val="808080"/>
    </w:rPr>
  </w:style>
  <w:style w:type="character" w:customStyle="1" w:styleId="266">
    <w:name w:val="未处理的提及2"/>
    <w:basedOn w:val="43"/>
    <w:semiHidden/>
    <w:unhideWhenUsed/>
    <w:qFormat/>
    <w:uiPriority w:val="99"/>
    <w:rPr>
      <w:color w:val="605E5C"/>
      <w:shd w:val="clear" w:color="auto" w:fill="E1DFDD"/>
    </w:rPr>
  </w:style>
  <w:style w:type="table" w:customStyle="1" w:styleId="267">
    <w:name w:val="无格式表格 22"/>
    <w:basedOn w:val="41"/>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268">
    <w:name w:val="正文首行缩进1"/>
    <w:basedOn w:val="1"/>
    <w:next w:val="1"/>
    <w:link w:val="269"/>
    <w:qFormat/>
    <w:uiPriority w:val="0"/>
    <w:pPr>
      <w:spacing w:after="120" w:line="240" w:lineRule="auto"/>
      <w:ind w:left="420" w:leftChars="200" w:firstLine="100" w:firstLineChars="100"/>
    </w:pPr>
    <w:rPr>
      <w:rFonts w:cs="Times New Roman"/>
      <w:sz w:val="24"/>
      <w:szCs w:val="20"/>
      <w:lang w:val="zh-CN"/>
    </w:rPr>
  </w:style>
  <w:style w:type="character" w:customStyle="1" w:styleId="269">
    <w:name w:val="正文首行缩进 Char"/>
    <w:link w:val="268"/>
    <w:qFormat/>
    <w:uiPriority w:val="0"/>
    <w:rPr>
      <w:rFonts w:ascii="Times New Roman" w:hAnsi="Times New Roman" w:eastAsia="宋体" w:cs="Times New Roman"/>
      <w:kern w:val="2"/>
      <w:sz w:val="24"/>
      <w:lang w:val="zh-CN" w:eastAsia="zh-CN"/>
    </w:rPr>
  </w:style>
  <w:style w:type="paragraph" w:customStyle="1" w:styleId="270">
    <w:name w:val="列出段落2"/>
    <w:basedOn w:val="1"/>
    <w:qFormat/>
    <w:uiPriority w:val="34"/>
    <w:pPr>
      <w:spacing w:line="240" w:lineRule="auto"/>
      <w:ind w:firstLine="420" w:firstLineChars="200"/>
    </w:pPr>
    <w:rPr>
      <w:rFonts w:ascii="Calibri" w:hAnsi="Calibri" w:cs="Times New Roman"/>
      <w:sz w:val="21"/>
      <w:szCs w:val="22"/>
    </w:rPr>
  </w:style>
  <w:style w:type="character" w:customStyle="1" w:styleId="271">
    <w:name w:val="图 字符"/>
    <w:basedOn w:val="43"/>
    <w:qFormat/>
    <w:uiPriority w:val="0"/>
    <w:rPr>
      <w:rFonts w:ascii="Times New Roman" w:hAnsi="Times New Roman" w:eastAsia="黑体" w:cs="Times New Roman"/>
      <w:kern w:val="2"/>
      <w:sz w:val="28"/>
      <w:szCs w:val="22"/>
    </w:rPr>
  </w:style>
  <w:style w:type="paragraph" w:customStyle="1" w:styleId="27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table" w:customStyle="1" w:styleId="273">
    <w:name w:val="无格式表格 23"/>
    <w:basedOn w:val="41"/>
    <w:qFormat/>
    <w:uiPriority w:val="42"/>
    <w:rPr>
      <w:rFonts w:asciiTheme="minorHAnsi" w:hAnsiTheme="minorHAnsi" w:eastAsiaTheme="minorEastAsia" w:cstheme="minorBidi"/>
      <w:kern w:val="2"/>
      <w:sz w:val="21"/>
      <w:szCs w:val="22"/>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274">
    <w:name w:val="正文使用"/>
    <w:basedOn w:val="1"/>
    <w:qFormat/>
    <w:uiPriority w:val="0"/>
    <w:pPr>
      <w:adjustRightInd w:val="0"/>
      <w:snapToGrid w:val="0"/>
      <w:ind w:firstLine="192" w:firstLineChars="192"/>
    </w:pPr>
    <w:rPr>
      <w:rFonts w:eastAsia="仿宋_GB2312" w:cs="Times New Roman"/>
      <w:sz w:val="24"/>
      <w:szCs w:val="24"/>
    </w:rPr>
  </w:style>
  <w:style w:type="paragraph" w:customStyle="1" w:styleId="275">
    <w:name w:val="二级"/>
    <w:basedOn w:val="4"/>
    <w:qFormat/>
    <w:uiPriority w:val="0"/>
    <w:pPr>
      <w:keepNext/>
      <w:keepLines/>
      <w:numPr>
        <w:ilvl w:val="0"/>
        <w:numId w:val="0"/>
      </w:numPr>
      <w:autoSpaceDN/>
      <w:spacing w:before="260" w:beforeLines="100" w:after="260" w:afterLines="50"/>
      <w:outlineLvl w:val="1"/>
    </w:pPr>
    <w:rPr>
      <w:rFonts w:eastAsia="仿宋_GB2312"/>
      <w:kern w:val="0"/>
      <w:lang w:val="en-US"/>
    </w:rPr>
  </w:style>
  <w:style w:type="paragraph" w:customStyle="1" w:styleId="276">
    <w:name w:val="三级"/>
    <w:basedOn w:val="5"/>
    <w:qFormat/>
    <w:uiPriority w:val="0"/>
    <w:pPr>
      <w:keepNext/>
      <w:keepLines/>
      <w:numPr>
        <w:ilvl w:val="0"/>
        <w:numId w:val="0"/>
      </w:numPr>
      <w:spacing w:before="280" w:beforeLines="100" w:after="290" w:afterLines="50"/>
      <w:outlineLvl w:val="2"/>
    </w:pPr>
    <w:rPr>
      <w:rFonts w:eastAsia="仿宋_GB2312"/>
      <w:bCs/>
      <w:kern w:val="0"/>
      <w:sz w:val="24"/>
      <w:lang w:val="en-US"/>
    </w:rPr>
  </w:style>
  <w:style w:type="paragraph" w:customStyle="1" w:styleId="277">
    <w:name w:val="正文N"/>
    <w:basedOn w:val="1"/>
    <w:link w:val="278"/>
    <w:qFormat/>
    <w:uiPriority w:val="0"/>
    <w:pPr>
      <w:spacing w:line="560" w:lineRule="exact"/>
      <w:ind w:firstLine="560" w:firstLineChars="200"/>
    </w:pPr>
    <w:rPr>
      <w:rFonts w:ascii="仿宋_GB2312" w:eastAsia="仿宋_GB2312" w:cs="Times New Roman"/>
      <w:szCs w:val="28"/>
    </w:rPr>
  </w:style>
  <w:style w:type="character" w:customStyle="1" w:styleId="278">
    <w:name w:val="正文N 字符"/>
    <w:basedOn w:val="43"/>
    <w:link w:val="277"/>
    <w:qFormat/>
    <w:uiPriority w:val="0"/>
    <w:rPr>
      <w:rFonts w:ascii="仿宋_GB2312" w:hAnsi="Times New Roman" w:cs="Times New Roman"/>
      <w:kern w:val="2"/>
      <w:sz w:val="28"/>
      <w:szCs w:val="28"/>
      <w:lang w:val="en-US"/>
    </w:rPr>
  </w:style>
  <w:style w:type="paragraph" w:customStyle="1" w:styleId="279">
    <w:name w:val="表格1"/>
    <w:basedOn w:val="1"/>
    <w:qFormat/>
    <w:uiPriority w:val="0"/>
    <w:pPr>
      <w:snapToGrid w:val="0"/>
      <w:spacing w:line="288" w:lineRule="auto"/>
      <w:jc w:val="center"/>
    </w:pPr>
    <w:rPr>
      <w:rFonts w:cs="Times New Roman"/>
      <w:sz w:val="21"/>
      <w:szCs w:val="24"/>
    </w:rPr>
  </w:style>
  <w:style w:type="paragraph" w:customStyle="1" w:styleId="280">
    <w:name w:val="样式 样式 样式 宋体 小四 首行缩进:  0.74 厘米 右侧:  0.18 厘米 行距: 固定值 23 磅 + (西文) T..."/>
    <w:basedOn w:val="1"/>
    <w:qFormat/>
    <w:uiPriority w:val="0"/>
    <w:pPr>
      <w:spacing w:line="460" w:lineRule="exact"/>
      <w:ind w:firstLine="200" w:firstLineChars="200"/>
    </w:pPr>
    <w:rPr>
      <w:rFonts w:ascii="仿宋_GB2312" w:eastAsia="仿宋_GB2312" w:cs="宋体"/>
      <w:sz w:val="24"/>
      <w:szCs w:val="20"/>
    </w:rPr>
  </w:style>
  <w:style w:type="paragraph" w:customStyle="1" w:styleId="281">
    <w:name w:val="Revision"/>
    <w:hidden/>
    <w:semiHidden/>
    <w:qFormat/>
    <w:uiPriority w:val="99"/>
    <w:rPr>
      <w:rFonts w:ascii="Times New Roman" w:hAnsi="Times New Roman" w:eastAsia="宋体" w:cs="Symbol"/>
      <w:kern w:val="2"/>
      <w:sz w:val="2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CAEP</Company>
  <Pages>24</Pages>
  <Words>8462</Words>
  <Characters>9357</Characters>
  <Lines>109</Lines>
  <Paragraphs>30</Paragraphs>
  <TotalTime>45</TotalTime>
  <ScaleCrop>false</ScaleCrop>
  <LinksUpToDate>false</LinksUpToDate>
  <CharactersWithSpaces>9472</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2022-10-08T05:56:00Z</dcterms:created>
  <dc:creator>MaLK</dc:creator>
  <cp:lastModifiedBy>kylin</cp:lastModifiedBy>
  <cp:lastPrinted>2013-07-04T02:25:00Z</cp:lastPrinted>
  <dcterms:modified xsi:type="dcterms:W3CDTF">2022-10-11T12:43:03Z</dcterms:modified>
  <dc:title>Kinson Xiao</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55D0079203D746C39DAF86C154EEC89A</vt:lpwstr>
  </property>
</Properties>
</file>