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jc w:val="center"/>
        <w:rPr>
          <w:rFonts w:eastAsia="仿宋" w:cs="Times New Roman"/>
          <w:b/>
          <w:color w:val="000000" w:themeColor="text1"/>
          <w:sz w:val="56"/>
          <w:szCs w:val="56"/>
          <w14:textFill>
            <w14:solidFill>
              <w14:schemeClr w14:val="tx1"/>
            </w14:solidFill>
          </w14:textFill>
        </w:rPr>
      </w:pPr>
    </w:p>
    <w:p>
      <w:pPr>
        <w:adjustRightInd w:val="0"/>
        <w:snapToGrid w:val="0"/>
        <w:jc w:val="center"/>
        <w:rPr>
          <w:rFonts w:eastAsia="仿宋" w:cs="Times New Roman"/>
          <w:b/>
          <w:color w:val="000000" w:themeColor="text1"/>
          <w:sz w:val="56"/>
          <w:szCs w:val="56"/>
          <w14:textFill>
            <w14:solidFill>
              <w14:schemeClr w14:val="tx1"/>
            </w14:solidFill>
          </w14:textFill>
        </w:rPr>
      </w:pPr>
    </w:p>
    <w:p>
      <w:pPr>
        <w:adjustRightInd w:val="0"/>
        <w:snapToGrid w:val="0"/>
        <w:jc w:val="center"/>
        <w:rPr>
          <w:rFonts w:eastAsia="黑体" w:cs="Times New Roman"/>
          <w:b/>
          <w:color w:val="000000" w:themeColor="text1"/>
          <w:sz w:val="56"/>
          <w:szCs w:val="56"/>
          <w14:textFill>
            <w14:solidFill>
              <w14:schemeClr w14:val="tx1"/>
            </w14:solidFill>
          </w14:textFill>
        </w:rPr>
      </w:pPr>
      <w:bookmarkStart w:id="0" w:name="_Hlk94476790"/>
      <w:bookmarkStart w:id="1" w:name="_Hlk82112100"/>
      <w:r>
        <w:rPr>
          <w:rFonts w:eastAsia="黑体" w:cs="Times New Roman"/>
          <w:b/>
          <w:color w:val="000000" w:themeColor="text1"/>
          <w:sz w:val="56"/>
          <w:szCs w:val="56"/>
          <w14:textFill>
            <w14:solidFill>
              <w14:schemeClr w14:val="tx1"/>
            </w14:solidFill>
          </w14:textFill>
        </w:rPr>
        <w:t>鄱阳湖青岚湖断面</w:t>
      </w:r>
    </w:p>
    <w:p>
      <w:pPr>
        <w:adjustRightInd w:val="0"/>
        <w:snapToGrid w:val="0"/>
        <w:jc w:val="center"/>
        <w:rPr>
          <w:rFonts w:eastAsia="黑体" w:cs="Times New Roman"/>
          <w:b/>
          <w:color w:val="000000" w:themeColor="text1"/>
          <w:sz w:val="56"/>
          <w:szCs w:val="56"/>
          <w14:textFill>
            <w14:solidFill>
              <w14:schemeClr w14:val="tx1"/>
            </w14:solidFill>
          </w14:textFill>
        </w:rPr>
      </w:pPr>
      <w:r>
        <w:rPr>
          <w:rFonts w:eastAsia="黑体" w:cs="Times New Roman"/>
          <w:b/>
          <w:color w:val="000000" w:themeColor="text1"/>
          <w:sz w:val="56"/>
          <w:szCs w:val="56"/>
          <w14:textFill>
            <w14:solidFill>
              <w14:schemeClr w14:val="tx1"/>
            </w14:solidFill>
          </w14:textFill>
        </w:rPr>
        <w:t>“一断面一策”治理方案</w:t>
      </w:r>
      <w:bookmarkEnd w:id="0"/>
    </w:p>
    <w:bookmarkEnd w:id="1"/>
    <w:p>
      <w:pPr>
        <w:adjustRightInd w:val="0"/>
        <w:snapToGrid w:val="0"/>
        <w:jc w:val="center"/>
        <w:rPr>
          <w:rFonts w:eastAsia="仿宋" w:cs="Times New Roman"/>
          <w:color w:val="000000" w:themeColor="text1"/>
          <w:szCs w:val="28"/>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14:textFill>
            <w14:solidFill>
              <w14:schemeClr w14:val="tx1"/>
            </w14:solidFill>
          </w14:textFill>
        </w:rPr>
      </w:pPr>
    </w:p>
    <w:p>
      <w:pPr>
        <w:adjustRightInd w:val="0"/>
        <w:snapToGrid w:val="0"/>
        <w:jc w:val="center"/>
        <w:rPr>
          <w:rFonts w:eastAsia="仿宋" w:cs="Times New Roman"/>
          <w:color w:val="000000" w:themeColor="text1"/>
          <w:szCs w:val="28"/>
          <w14:textFill>
            <w14:solidFill>
              <w14:schemeClr w14:val="tx1"/>
            </w14:solidFill>
          </w14:textFill>
        </w:rPr>
      </w:pPr>
    </w:p>
    <w:p>
      <w:pPr>
        <w:adjustRightInd w:val="0"/>
        <w:snapToGrid w:val="0"/>
        <w:jc w:val="center"/>
        <w:rPr>
          <w:rFonts w:eastAsia="仿宋" w:cs="Times New Roman"/>
          <w:color w:val="000000" w:themeColor="text1"/>
          <w:szCs w:val="28"/>
          <w14:textFill>
            <w14:solidFill>
              <w14:schemeClr w14:val="tx1"/>
            </w14:solidFill>
          </w14:textFill>
        </w:rPr>
      </w:pPr>
    </w:p>
    <w:p>
      <w:pPr>
        <w:adjustRightInd w:val="0"/>
        <w:snapToGrid w:val="0"/>
        <w:jc w:val="center"/>
        <w:rPr>
          <w:rFonts w:eastAsia="仿宋" w:cs="Times New Roman"/>
          <w:color w:val="000000" w:themeColor="text1"/>
          <w:szCs w:val="28"/>
          <w14:textFill>
            <w14:solidFill>
              <w14:schemeClr w14:val="tx1"/>
            </w14:solidFill>
          </w14:textFill>
        </w:rPr>
      </w:pPr>
    </w:p>
    <w:p>
      <w:pPr>
        <w:adjustRightInd w:val="0"/>
        <w:snapToGrid w:val="0"/>
        <w:jc w:val="center"/>
        <w:rPr>
          <w:rFonts w:eastAsia="仿宋" w:cs="Times New Roman"/>
          <w:color w:val="000000" w:themeColor="text1"/>
          <w:szCs w:val="28"/>
          <w14:textFill>
            <w14:solidFill>
              <w14:schemeClr w14:val="tx1"/>
            </w14:solidFill>
          </w14:textFill>
        </w:rPr>
      </w:pPr>
    </w:p>
    <w:p>
      <w:pPr>
        <w:adjustRightInd w:val="0"/>
        <w:snapToGrid w:val="0"/>
        <w:jc w:val="center"/>
        <w:rPr>
          <w:rFonts w:eastAsia="仿宋" w:cs="Times New Roman"/>
          <w:color w:val="000000" w:themeColor="text1"/>
          <w:szCs w:val="28"/>
          <w14:textFill>
            <w14:solidFill>
              <w14:schemeClr w14:val="tx1"/>
            </w14:solidFill>
          </w14:textFill>
        </w:rPr>
      </w:pPr>
    </w:p>
    <w:p>
      <w:pPr>
        <w:pStyle w:val="2"/>
        <w:numPr>
          <w:ilvl w:val="0"/>
          <w:numId w:val="0"/>
        </w:numPr>
        <w:snapToGrid/>
        <w:jc w:val="both"/>
        <w:rPr>
          <w:rFonts w:eastAsia="仿宋"/>
          <w:color w:val="000000" w:themeColor="text1"/>
          <w:sz w:val="28"/>
          <w:szCs w:val="28"/>
          <w14:textFill>
            <w14:solidFill>
              <w14:schemeClr w14:val="tx1"/>
            </w14:solidFill>
          </w14:textFill>
        </w:rPr>
      </w:pPr>
      <w:bookmarkStart w:id="2" w:name="_Toc114056696"/>
      <w:bookmarkStart w:id="3" w:name="_Toc14197"/>
      <w:bookmarkStart w:id="4" w:name="_Toc21720655"/>
    </w:p>
    <w:p>
      <w:pPr>
        <w:pStyle w:val="2"/>
        <w:numPr>
          <w:ilvl w:val="0"/>
          <w:numId w:val="0"/>
        </w:numPr>
        <w:snapToGrid/>
        <w:jc w:val="both"/>
        <w:rPr>
          <w:rFonts w:eastAsia="仿宋"/>
          <w:color w:val="000000" w:themeColor="text1"/>
          <w:sz w:val="28"/>
          <w:szCs w:val="28"/>
          <w14:textFill>
            <w14:solidFill>
              <w14:schemeClr w14:val="tx1"/>
            </w14:solidFill>
          </w14:textFill>
        </w:rPr>
      </w:pPr>
    </w:p>
    <w:p>
      <w:pPr>
        <w:pStyle w:val="2"/>
        <w:numPr>
          <w:ilvl w:val="0"/>
          <w:numId w:val="0"/>
        </w:numPr>
        <w:snapToGrid/>
        <w:jc w:val="both"/>
        <w:rPr>
          <w:rFonts w:eastAsia="仿宋"/>
          <w:color w:val="000000" w:themeColor="text1"/>
          <w:sz w:val="28"/>
          <w:szCs w:val="28"/>
          <w14:textFill>
            <w14:solidFill>
              <w14:schemeClr w14:val="tx1"/>
            </w14:solidFill>
          </w14:textFill>
        </w:rPr>
      </w:pPr>
    </w:p>
    <w:p>
      <w:pPr>
        <w:pStyle w:val="2"/>
        <w:numPr>
          <w:ilvl w:val="0"/>
          <w:numId w:val="0"/>
        </w:numPr>
        <w:snapToGrid/>
        <w:jc w:val="both"/>
        <w:rPr>
          <w:rFonts w:eastAsia="仿宋"/>
          <w:color w:val="000000" w:themeColor="text1"/>
          <w:sz w:val="28"/>
          <w:szCs w:val="28"/>
          <w14:textFill>
            <w14:solidFill>
              <w14:schemeClr w14:val="tx1"/>
            </w14:solidFill>
          </w14:textFill>
        </w:rPr>
      </w:pPr>
    </w:p>
    <w:p>
      <w:pPr>
        <w:pStyle w:val="2"/>
        <w:numPr>
          <w:ilvl w:val="0"/>
          <w:numId w:val="0"/>
        </w:numPr>
        <w:snapToGrid/>
        <w:jc w:val="both"/>
        <w:rPr>
          <w:rFonts w:eastAsia="仿宋"/>
          <w:color w:val="000000" w:themeColor="text1"/>
          <w:sz w:val="28"/>
          <w:szCs w:val="28"/>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sectPr>
          <w:headerReference r:id="rId5" w:type="default"/>
          <w:type w:val="oddPage"/>
          <w:pgSz w:w="11906" w:h="16838"/>
          <w:pgMar w:top="1440" w:right="1800" w:bottom="1440" w:left="1800" w:header="851" w:footer="992" w:gutter="0"/>
          <w:cols w:space="720" w:num="1"/>
          <w:docGrid w:type="lines" w:linePitch="381" w:charSpace="0"/>
        </w:sectPr>
      </w:pPr>
    </w:p>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一、项目概述</w:t>
      </w:r>
      <w:bookmarkEnd w:id="2"/>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bookmarkStart w:id="5" w:name="_Hlk112434541"/>
      <w:r>
        <w:rPr>
          <w:rFonts w:hint="eastAsia" w:ascii="仿宋_GB2312" w:hAnsi="仿宋_GB2312" w:eastAsia="仿宋_GB2312" w:cs="仿宋_GB2312"/>
          <w:bCs/>
          <w:color w:val="000000" w:themeColor="text1"/>
          <w:sz w:val="32"/>
          <w:szCs w:val="32"/>
          <w14:textFill>
            <w14:solidFill>
              <w14:schemeClr w14:val="tx1"/>
            </w14:solidFill>
          </w14:textFill>
        </w:rPr>
        <w:t>为深入打好污染防治攻坚战，有效控制与削减鄱阳湖南昌湖区TP污染，持续改善区域水环境质量，按照江西省环委会办公室《关于组织编制鄱阳湖“一断面一策”治理方案的通知》</w:t>
      </w:r>
      <w:r>
        <w:rPr>
          <w:rFonts w:hint="eastAsia" w:ascii="仿宋_GB2312" w:hAnsi="仿宋_GB2312" w:eastAsia="仿宋_GB2312" w:cs="仿宋_GB2312"/>
          <w:color w:val="000000" w:themeColor="text1"/>
          <w:sz w:val="32"/>
          <w:szCs w:val="32"/>
          <w:lang w:val="zh-CN"/>
          <w14:textFill>
            <w14:solidFill>
              <w14:schemeClr w14:val="tx1"/>
            </w14:solidFill>
          </w14:textFill>
        </w:rPr>
        <w:t>（赣环委办字〔2022〕17号）</w:t>
      </w:r>
      <w:r>
        <w:rPr>
          <w:rFonts w:hint="eastAsia" w:ascii="仿宋_GB2312" w:hAnsi="仿宋_GB2312" w:eastAsia="仿宋_GB2312" w:cs="仿宋_GB2312"/>
          <w:bCs/>
          <w:color w:val="000000" w:themeColor="text1"/>
          <w:sz w:val="32"/>
          <w:szCs w:val="32"/>
          <w14:textFill>
            <w14:solidFill>
              <w14:schemeClr w14:val="tx1"/>
            </w14:solidFill>
          </w14:textFill>
        </w:rPr>
        <w:t>要求，</w:t>
      </w:r>
      <w:bookmarkStart w:id="6" w:name="_Hlk112314434"/>
      <w:r>
        <w:rPr>
          <w:rFonts w:hint="eastAsia" w:ascii="仿宋_GB2312" w:hAnsi="仿宋_GB2312" w:eastAsia="仿宋_GB2312" w:cs="仿宋_GB2312"/>
          <w:bCs/>
          <w:color w:val="000000" w:themeColor="text1"/>
          <w:sz w:val="32"/>
          <w:szCs w:val="32"/>
          <w14:textFill>
            <w14:solidFill>
              <w14:schemeClr w14:val="tx1"/>
            </w14:solidFill>
          </w14:textFill>
        </w:rPr>
        <w:t xml:space="preserve">针对鄱阳湖南昌湖区南湖村、南矶山、金溪咀刘家、伍湖分场、青岚湖5个断面，组织编制鄱阳湖南昌湖区“一断面一策”治理方案。 </w:t>
      </w:r>
    </w:p>
    <w:bookmarkEnd w:id="6"/>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eastAsia="仿宋" w:cs="Times New Roman"/>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按照“一断面一策”编制要求，各责任县区充分开展了断面周边污染源调查，精准识别了各断面主要环境问题，进而形成了污染“脉络图”和问题台账清单。以问题为导向，以项目为支撑，以控增量、降存量为目的，兼顾污染防治与生态修复，因地制宜制定措施，实现“十四五”</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末</w:t>
      </w:r>
      <w:r>
        <w:rPr>
          <w:rFonts w:hint="eastAsia" w:ascii="仿宋_GB2312" w:hAnsi="仿宋_GB2312" w:eastAsia="仿宋_GB2312" w:cs="仿宋_GB2312"/>
          <w:bCs/>
          <w:color w:val="000000" w:themeColor="text1"/>
          <w:sz w:val="32"/>
          <w:szCs w:val="32"/>
          <w14:textFill>
            <w14:solidFill>
              <w14:schemeClr w14:val="tx1"/>
            </w14:solidFill>
          </w14:textFill>
        </w:rPr>
        <w:t>鄱阳湖南昌湖区</w:t>
      </w:r>
      <w:r>
        <w:rPr>
          <w:rFonts w:hint="eastAsia" w:ascii="仿宋_GB2312" w:hAnsi="仿宋_GB2312" w:eastAsia="仿宋_GB2312" w:cs="仿宋_GB2312"/>
          <w:color w:val="000000" w:themeColor="text1"/>
          <w:sz w:val="32"/>
          <w:szCs w:val="32"/>
          <w:lang w:val="zh-CN"/>
          <w14:textFill>
            <w14:solidFill>
              <w14:schemeClr w14:val="tx1"/>
            </w14:solidFill>
          </w14:textFill>
        </w:rPr>
        <w:t>总磷（TP）</w:t>
      </w:r>
      <w:r>
        <w:rPr>
          <w:rFonts w:hint="eastAsia" w:ascii="仿宋_GB2312" w:hAnsi="仿宋_GB2312" w:eastAsia="仿宋_GB2312" w:cs="仿宋_GB2312"/>
          <w:bCs/>
          <w:color w:val="000000" w:themeColor="text1"/>
          <w:sz w:val="32"/>
          <w:szCs w:val="32"/>
          <w14:textFill>
            <w14:solidFill>
              <w14:schemeClr w14:val="tx1"/>
            </w14:solidFill>
          </w14:textFill>
        </w:rPr>
        <w:t>浓度</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≤0.075mg/L、其余指标达湖库Ⅲ类水质的考核目标；到2025年，力争鄱阳湖南昌湖区水质断面（点位）优良率达到60%；</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到</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2030年，力争鄱阳湖南昌湖区总磷平均浓度达到湖库Ⅲ类水质标准。</w:t>
      </w:r>
    </w:p>
    <w:bookmarkEnd w:id="5"/>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7" w:name="_Toc114056697"/>
      <w:r>
        <w:rPr>
          <w:rFonts w:hint="eastAsia" w:ascii="楷体_GB2312" w:hAnsi="楷体_GB2312" w:eastAsia="楷体_GB2312" w:cs="楷体_GB2312"/>
          <w:color w:val="000000" w:themeColor="text1"/>
          <w:sz w:val="32"/>
          <w:szCs w:val="32"/>
          <w14:textFill>
            <w14:solidFill>
              <w14:schemeClr w14:val="tx1"/>
            </w14:solidFill>
          </w14:textFill>
        </w:rPr>
        <w:t>（一）编制原则</w:t>
      </w:r>
      <w:bookmarkEnd w:id="7"/>
    </w:p>
    <w:p>
      <w:pPr>
        <w:keepNext w:val="0"/>
        <w:keepLines w:val="0"/>
        <w:pageBreakBefore w:val="0"/>
        <w:widowControl w:val="0"/>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流域统筹、系统治理。</w:t>
      </w:r>
      <w:r>
        <w:rPr>
          <w:rFonts w:hint="eastAsia" w:ascii="仿宋_GB2312" w:hAnsi="仿宋_GB2312" w:eastAsia="仿宋_GB2312" w:cs="仿宋_GB2312"/>
          <w:bCs/>
          <w:color w:val="000000" w:themeColor="text1"/>
          <w:sz w:val="32"/>
          <w:szCs w:val="32"/>
          <w14:textFill>
            <w14:solidFill>
              <w14:schemeClr w14:val="tx1"/>
            </w14:solidFill>
          </w14:textFill>
        </w:rPr>
        <w:t>牢牢把握山水林田湖草是一个生命共同体的理念，统筹经济社会发展和生态环境保护要求，统筹流域和行政区域，统筹上下游、左右岸和干支流，统筹城市和乡村、水域和陆地，系统推进鄱阳湖南昌湖区的治理与保护。</w:t>
      </w:r>
    </w:p>
    <w:p>
      <w:pPr>
        <w:keepNext w:val="0"/>
        <w:keepLines w:val="0"/>
        <w:pageBreakBefore w:val="0"/>
        <w:widowControl w:val="0"/>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问题导向、分类施策。</w:t>
      </w:r>
      <w:r>
        <w:rPr>
          <w:rFonts w:hint="eastAsia" w:ascii="仿宋_GB2312" w:hAnsi="仿宋_GB2312" w:eastAsia="仿宋_GB2312" w:cs="仿宋_GB2312"/>
          <w:bCs/>
          <w:color w:val="000000" w:themeColor="text1"/>
          <w:sz w:val="32"/>
          <w:szCs w:val="32"/>
          <w14:textFill>
            <w14:solidFill>
              <w14:schemeClr w14:val="tx1"/>
            </w14:solidFill>
          </w14:textFill>
        </w:rPr>
        <w:t>从断面及其控制范围的自身特点、现状、问题出发，对存在的问题进行全面排查，抓住断面水质达标的主要矛盾，对症下药，因地制宜、因地施策，重点解决鄱阳湖南昌湖区TP浓度偏高的问题。</w:t>
      </w:r>
    </w:p>
    <w:p>
      <w:pPr>
        <w:keepNext w:val="0"/>
        <w:keepLines w:val="0"/>
        <w:pageBreakBefore w:val="0"/>
        <w:widowControl w:val="0"/>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统筹兼顾、注重实效。</w:t>
      </w:r>
      <w:r>
        <w:rPr>
          <w:rFonts w:hint="eastAsia" w:ascii="仿宋_GB2312" w:hAnsi="仿宋_GB2312" w:eastAsia="仿宋_GB2312" w:cs="仿宋_GB2312"/>
          <w:bCs/>
          <w:color w:val="000000" w:themeColor="text1"/>
          <w:sz w:val="32"/>
          <w:szCs w:val="32"/>
          <w14:textFill>
            <w14:solidFill>
              <w14:schemeClr w14:val="tx1"/>
            </w14:solidFill>
          </w14:textFill>
        </w:rPr>
        <w:t>按照轻重缓急，统筹考虑投资规模、实施效果、前期工作、资金来源与保障措施，以近期为重点，兼顾远期目标，对于解决TP超标最为显著的措施，应优先安排。</w:t>
      </w:r>
    </w:p>
    <w:p>
      <w:pPr>
        <w:keepNext w:val="0"/>
        <w:keepLines w:val="0"/>
        <w:pageBreakBefore w:val="0"/>
        <w:widowControl w:val="0"/>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专业协调、措施落地。</w:t>
      </w:r>
      <w:r>
        <w:rPr>
          <w:rFonts w:hint="eastAsia" w:ascii="仿宋_GB2312" w:hAnsi="仿宋_GB2312" w:eastAsia="仿宋_GB2312" w:cs="仿宋_GB2312"/>
          <w:bCs/>
          <w:color w:val="000000" w:themeColor="text1"/>
          <w:sz w:val="32"/>
          <w:szCs w:val="32"/>
          <w14:textFill>
            <w14:solidFill>
              <w14:schemeClr w14:val="tx1"/>
            </w14:solidFill>
          </w14:textFill>
        </w:rPr>
        <w:t>按照综合治理的要求，打破部门、区域、层级的壁垒，充分利用已有规划和治理方案成果，做好目标、任务之间衔接，充分考虑工程及管理措施的可行性，落实部门分工，明确责任及要求。</w:t>
      </w:r>
    </w:p>
    <w:p>
      <w:pPr>
        <w:keepNext w:val="0"/>
        <w:keepLines w:val="0"/>
        <w:pageBreakBefore w:val="0"/>
        <w:widowControl w:val="0"/>
        <w:kinsoku/>
        <w:wordWrap/>
        <w:overflowPunct/>
        <w:topLinePunct w:val="0"/>
        <w:autoSpaceDE/>
        <w:bidi w:val="0"/>
        <w:snapToGrid/>
        <w:spacing w:line="560" w:lineRule="exact"/>
        <w:ind w:firstLine="642" w:firstLineChars="200"/>
        <w:textAlignment w:val="auto"/>
        <w:rPr>
          <w:rFonts w:eastAsia="仿宋" w:cs="Times New Roman"/>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党政领导，社会参与。</w:t>
      </w:r>
      <w:r>
        <w:rPr>
          <w:rFonts w:hint="eastAsia" w:ascii="仿宋_GB2312" w:hAnsi="仿宋_GB2312" w:eastAsia="仿宋_GB2312" w:cs="仿宋_GB2312"/>
          <w:bCs/>
          <w:color w:val="000000" w:themeColor="text1"/>
          <w:sz w:val="32"/>
          <w:szCs w:val="32"/>
          <w14:textFill>
            <w14:solidFill>
              <w14:schemeClr w14:val="tx1"/>
            </w14:solidFill>
          </w14:textFill>
        </w:rPr>
        <w:t>落实“党政同责、一岗双责”，加强部门协作，做到投入、政策与目标、任务相匹配。动员全社会参与环境保护，促进企业履行环境责任，形成政府、企业和公众共同行动的环境保护新格局。</w:t>
      </w:r>
    </w:p>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8" w:name="_Toc114056698"/>
      <w:r>
        <w:rPr>
          <w:rFonts w:hint="eastAsia" w:ascii="楷体_GB2312" w:hAnsi="楷体_GB2312" w:eastAsia="楷体_GB2312" w:cs="楷体_GB2312"/>
          <w:color w:val="000000" w:themeColor="text1"/>
          <w:sz w:val="32"/>
          <w:szCs w:val="32"/>
          <w14:textFill>
            <w14:solidFill>
              <w14:schemeClr w14:val="tx1"/>
            </w14:solidFill>
          </w14:textFill>
        </w:rPr>
        <w:t>（二）项目要求</w:t>
      </w:r>
      <w:bookmarkEnd w:id="8"/>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9" w:name="_Toc114056699"/>
      <w:r>
        <w:rPr>
          <w:rFonts w:hint="eastAsia" w:ascii="仿宋_GB2312" w:hAnsi="仿宋_GB2312" w:eastAsia="仿宋_GB2312" w:cs="仿宋_GB2312"/>
          <w:color w:val="000000" w:themeColor="text1"/>
          <w:sz w:val="32"/>
          <w:szCs w:val="32"/>
          <w14:textFill>
            <w14:solidFill>
              <w14:schemeClr w14:val="tx1"/>
            </w14:solidFill>
          </w14:textFill>
        </w:rPr>
        <w:t>1.实施范围</w:t>
      </w:r>
      <w:bookmarkEnd w:id="9"/>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本方案的实施范围为青岚湖断面汇水区域。主要包括进贤县民和镇、李渡镇、温圳镇、文港镇、张公镇、罗溪镇、架桥镇、前坊镇、下埠集乡、衙前乡、白圩乡、长山晏乡、泉岭乡、七里乡（S212西侧）和南昌县塔城乡水岚洲，面积</w:t>
      </w:r>
      <w:r>
        <w:rPr>
          <w:rFonts w:hint="eastAsia" w:ascii="仿宋_GB2312" w:hAnsi="仿宋_GB2312" w:eastAsia="仿宋_GB2312" w:cs="仿宋_GB2312"/>
          <w:color w:val="000000" w:themeColor="text1"/>
          <w:sz w:val="32"/>
          <w:szCs w:val="32"/>
          <w14:textFill>
            <w14:solidFill>
              <w14:schemeClr w14:val="tx1"/>
            </w14:solidFill>
          </w14:textFill>
        </w:rPr>
        <w:t>1015.72</w:t>
      </w:r>
      <w:r>
        <w:rPr>
          <w:rFonts w:hint="eastAsia" w:ascii="仿宋_GB2312" w:hAnsi="仿宋_GB2312" w:eastAsia="仿宋_GB2312" w:cs="仿宋_GB2312"/>
          <w:color w:val="000000" w:themeColor="text1"/>
          <w:sz w:val="32"/>
          <w:szCs w:val="32"/>
          <w:lang w:val="zh-CN"/>
          <w14:textFill>
            <w14:solidFill>
              <w14:schemeClr w14:val="tx1"/>
            </w14:solidFill>
          </w14:textFill>
        </w:rPr>
        <w:t xml:space="preserve"> km</w:t>
      </w:r>
      <w:r>
        <w:rPr>
          <w:rFonts w:hint="eastAsia" w:ascii="仿宋_GB2312" w:hAnsi="仿宋_GB2312" w:eastAsia="仿宋_GB2312" w:cs="仿宋_GB2312"/>
          <w:color w:val="000000" w:themeColor="text1"/>
          <w:sz w:val="32"/>
          <w:szCs w:val="32"/>
          <w:vertAlign w:val="superscript"/>
          <w:lang w:val="zh-CN"/>
          <w14:textFill>
            <w14:solidFill>
              <w14:schemeClr w14:val="tx1"/>
            </w14:solidFill>
          </w14:textFill>
        </w:rPr>
        <w:t>2</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10" w:name="_Toc114056700"/>
      <w:r>
        <w:rPr>
          <w:rFonts w:hint="eastAsia" w:ascii="仿宋_GB2312" w:hAnsi="仿宋_GB2312" w:eastAsia="仿宋_GB2312" w:cs="仿宋_GB2312"/>
          <w:color w:val="000000" w:themeColor="text1"/>
          <w:sz w:val="32"/>
          <w:szCs w:val="32"/>
          <w14:textFill>
            <w14:solidFill>
              <w14:schemeClr w14:val="tx1"/>
            </w14:solidFill>
          </w14:textFill>
        </w:rPr>
        <w:t>2.主要控制因子</w:t>
      </w:r>
      <w:bookmarkEnd w:id="10"/>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11" w:name="_Toc114056701"/>
      <w:r>
        <w:rPr>
          <w:rFonts w:hint="eastAsia" w:ascii="仿宋_GB2312" w:hAnsi="仿宋_GB2312" w:eastAsia="仿宋_GB2312" w:cs="仿宋_GB2312"/>
          <w:color w:val="000000" w:themeColor="text1"/>
          <w:sz w:val="32"/>
          <w:szCs w:val="32"/>
          <w:lang w:val="zh-CN"/>
          <w14:textFill>
            <w14:solidFill>
              <w14:schemeClr w14:val="tx1"/>
            </w14:solidFill>
          </w14:textFill>
        </w:rPr>
        <w:t>本方案的主要控制因子为TP，同时统筹兼顾高锰酸盐指数、化学需氧量（COD）、氨氮（NH</w:t>
      </w:r>
      <w:r>
        <w:rPr>
          <w:rFonts w:hint="eastAsia" w:ascii="仿宋_GB2312" w:hAnsi="仿宋_GB2312" w:eastAsia="仿宋_GB2312" w:cs="仿宋_GB2312"/>
          <w:color w:val="000000" w:themeColor="text1"/>
          <w:sz w:val="32"/>
          <w:szCs w:val="32"/>
          <w:vertAlign w:val="subscript"/>
          <w:lang w:val="zh-CN"/>
          <w14:textFill>
            <w14:solidFill>
              <w14:schemeClr w14:val="tx1"/>
            </w14:solidFill>
          </w14:textFill>
        </w:rPr>
        <w:t>3</w:t>
      </w:r>
      <w:r>
        <w:rPr>
          <w:rFonts w:hint="eastAsia" w:ascii="仿宋_GB2312" w:hAnsi="仿宋_GB2312" w:eastAsia="仿宋_GB2312" w:cs="仿宋_GB2312"/>
          <w:color w:val="000000" w:themeColor="text1"/>
          <w:sz w:val="32"/>
          <w:szCs w:val="32"/>
          <w:lang w:val="zh-CN"/>
          <w14:textFill>
            <w14:solidFill>
              <w14:schemeClr w14:val="tx1"/>
            </w14:solidFill>
          </w14:textFill>
        </w:rPr>
        <w:t>-N）和总氮（TN）。</w:t>
      </w:r>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3.预期目标</w:t>
      </w:r>
      <w:bookmarkEnd w:id="11"/>
      <w:r>
        <w:rPr>
          <w:rFonts w:hint="eastAsia" w:ascii="仿宋_GB2312" w:hAnsi="仿宋_GB2312" w:eastAsia="仿宋_GB2312" w:cs="仿宋_GB2312"/>
          <w:color w:val="000000" w:themeColor="text1"/>
          <w:sz w:val="32"/>
          <w:szCs w:val="32"/>
          <w14:textFill>
            <w14:solidFill>
              <w14:schemeClr w14:val="tx1"/>
            </w14:solidFill>
          </w14:textFill>
        </w:rPr>
        <w:t>及完成时限</w:t>
      </w:r>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bookmarkStart w:id="12" w:name="_Hlk112917042"/>
      <w:r>
        <w:rPr>
          <w:rFonts w:hint="eastAsia" w:ascii="仿宋_GB2312" w:hAnsi="仿宋_GB2312" w:eastAsia="仿宋_GB2312" w:cs="仿宋_GB2312"/>
          <w:color w:val="000000" w:themeColor="text1"/>
          <w:sz w:val="32"/>
          <w:szCs w:val="32"/>
          <w:lang w:val="zh-CN"/>
          <w14:textFill>
            <w14:solidFill>
              <w14:schemeClr w14:val="tx1"/>
            </w14:solidFill>
          </w14:textFill>
        </w:rPr>
        <w:t>到2025年，扣除自然因素，</w:t>
      </w:r>
      <w:bookmarkStart w:id="83" w:name="_GoBack"/>
      <w:bookmarkEnd w:id="83"/>
      <w:r>
        <w:rPr>
          <w:rFonts w:hint="eastAsia" w:ascii="仿宋_GB2312" w:hAnsi="仿宋_GB2312" w:eastAsia="仿宋_GB2312" w:cs="仿宋_GB2312"/>
          <w:color w:val="000000" w:themeColor="text1"/>
          <w:sz w:val="32"/>
          <w:szCs w:val="32"/>
          <w:lang w:val="zh-CN"/>
          <w14:textFill>
            <w14:solidFill>
              <w14:schemeClr w14:val="tx1"/>
            </w14:solidFill>
          </w14:textFill>
        </w:rPr>
        <w:t>鄱阳湖南昌湖区青岚湖断面TP浓</w:t>
      </w:r>
      <w:r>
        <w:rPr>
          <w:rFonts w:hint="eastAsia" w:ascii="仿宋_GB2312" w:hAnsi="仿宋_GB2312" w:eastAsia="仿宋_GB2312" w:cs="仿宋_GB2312"/>
          <w:color w:val="000000" w:themeColor="text1"/>
          <w:sz w:val="32"/>
          <w:szCs w:val="32"/>
          <w:highlight w:val="none"/>
          <w:lang w:val="zh-CN"/>
          <w14:textFill>
            <w14:solidFill>
              <w14:schemeClr w14:val="tx1"/>
            </w14:solidFill>
          </w14:textFill>
        </w:rPr>
        <w:t>度≤0.08mg/L</w:t>
      </w:r>
      <w:r>
        <w:rPr>
          <w:rFonts w:hint="eastAsia" w:ascii="仿宋_GB2312" w:hAnsi="仿宋_GB2312" w:eastAsia="仿宋_GB2312" w:cs="仿宋_GB2312"/>
          <w:color w:val="000000" w:themeColor="text1"/>
          <w:sz w:val="32"/>
          <w:szCs w:val="32"/>
          <w:lang w:val="zh-CN"/>
          <w14:textFill>
            <w14:solidFill>
              <w14:schemeClr w14:val="tx1"/>
            </w14:solidFill>
          </w14:textFill>
        </w:rPr>
        <w:t>，其余指标达到</w:t>
      </w:r>
      <w:r>
        <w:rPr>
          <w:rFonts w:hint="eastAsia" w:ascii="仿宋_GB2312" w:hAnsi="仿宋_GB2312" w:eastAsia="仿宋_GB2312" w:cs="仿宋_GB2312"/>
          <w:bCs/>
          <w:color w:val="000000" w:themeColor="text1"/>
          <w:sz w:val="32"/>
          <w:szCs w:val="32"/>
          <w14:textFill>
            <w14:solidFill>
              <w14:schemeClr w14:val="tx1"/>
            </w14:solidFill>
          </w14:textFill>
        </w:rPr>
        <w:t>《地表水环境质量标准（GB3838-2002）》的</w:t>
      </w:r>
      <w:r>
        <w:rPr>
          <w:rFonts w:hint="eastAsia" w:ascii="仿宋_GB2312" w:hAnsi="仿宋_GB2312" w:eastAsia="仿宋_GB2312" w:cs="仿宋_GB2312"/>
          <w:color w:val="000000" w:themeColor="text1"/>
          <w:sz w:val="32"/>
          <w:szCs w:val="32"/>
          <w:lang w:val="zh-CN"/>
          <w14:textFill>
            <w14:solidFill>
              <w14:schemeClr w14:val="tx1"/>
            </w14:solidFill>
          </w14:textFill>
        </w:rPr>
        <w:t>湖库Ⅲ类水质标准；到2030年，力争达到湖库Ⅲ类水质。</w:t>
      </w:r>
    </w:p>
    <w:bookmarkEnd w:id="12"/>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bookmarkStart w:id="13" w:name="_Toc114056702"/>
      <w:r>
        <w:rPr>
          <w:rFonts w:hint="eastAsia" w:ascii="黑体" w:hAnsi="黑体" w:eastAsia="黑体" w:cs="黑体"/>
          <w:b w:val="0"/>
          <w:bCs w:val="0"/>
          <w:color w:val="000000" w:themeColor="text1"/>
          <w:sz w:val="32"/>
          <w:szCs w:val="32"/>
          <w14:textFill>
            <w14:solidFill>
              <w14:schemeClr w14:val="tx1"/>
            </w14:solidFill>
          </w14:textFill>
        </w:rPr>
        <w:t>二、流域概况及水环境质量现状</w:t>
      </w:r>
      <w:bookmarkEnd w:id="13"/>
    </w:p>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14" w:name="_Toc114056703"/>
      <w:r>
        <w:rPr>
          <w:rFonts w:hint="eastAsia" w:ascii="楷体_GB2312" w:hAnsi="楷体_GB2312" w:eastAsia="楷体_GB2312" w:cs="楷体_GB2312"/>
          <w:color w:val="000000" w:themeColor="text1"/>
          <w:sz w:val="32"/>
          <w:szCs w:val="32"/>
          <w14:textFill>
            <w14:solidFill>
              <w14:schemeClr w14:val="tx1"/>
            </w14:solidFill>
          </w14:textFill>
        </w:rPr>
        <w:t>（一）流域概况</w:t>
      </w:r>
      <w:bookmarkEnd w:id="14"/>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15" w:name="_Toc94909189"/>
      <w:bookmarkStart w:id="16" w:name="_Toc114056704"/>
      <w:r>
        <w:rPr>
          <w:rFonts w:hint="eastAsia" w:ascii="仿宋_GB2312" w:hAnsi="仿宋_GB2312" w:eastAsia="仿宋_GB2312" w:cs="仿宋_GB2312"/>
          <w:color w:val="000000" w:themeColor="text1"/>
          <w:sz w:val="32"/>
          <w:szCs w:val="32"/>
          <w14:textFill>
            <w14:solidFill>
              <w14:schemeClr w14:val="tx1"/>
            </w14:solidFill>
          </w14:textFill>
        </w:rPr>
        <w:t>1. 流域概况</w:t>
      </w:r>
      <w:bookmarkEnd w:id="15"/>
      <w:bookmarkEnd w:id="16"/>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17" w:name="_Toc94909190"/>
      <w:r>
        <w:rPr>
          <w:rFonts w:hint="eastAsia" w:ascii="仿宋_GB2312" w:hAnsi="仿宋_GB2312" w:eastAsia="仿宋_GB2312" w:cs="仿宋_GB2312"/>
          <w:color w:val="000000" w:themeColor="text1"/>
          <w:sz w:val="32"/>
          <w:szCs w:val="32"/>
          <w14:textFill>
            <w14:solidFill>
              <w14:schemeClr w14:val="tx1"/>
            </w14:solidFill>
          </w14:textFill>
        </w:rPr>
        <w:t>1.1 地理位置</w:t>
      </w:r>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18" w:name="_Hlk112312234"/>
      <w:r>
        <w:rPr>
          <w:rFonts w:hint="eastAsia" w:ascii="仿宋_GB2312" w:hAnsi="仿宋_GB2312" w:eastAsia="仿宋_GB2312" w:cs="仿宋_GB2312"/>
          <w:color w:val="000000" w:themeColor="text1"/>
          <w:sz w:val="32"/>
          <w:szCs w:val="32"/>
          <w14:textFill>
            <w14:solidFill>
              <w14:schemeClr w14:val="tx1"/>
            </w14:solidFill>
          </w14:textFill>
        </w:rPr>
        <w:t>青岚湖断面位于南昌市进贤县英山圩以北的外青岚湖水域，为国考鄱阳湖断面。</w:t>
      </w:r>
    </w:p>
    <w:bookmarkEnd w:id="18"/>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 河流水系</w:t>
      </w:r>
      <w:bookmarkEnd w:id="17"/>
    </w:p>
    <w:p>
      <w:pPr>
        <w:keepNext w:val="0"/>
        <w:keepLines w:val="0"/>
        <w:pageBreakBefore w:val="0"/>
        <w:widowControl w:val="0"/>
        <w:kinsoku/>
        <w:wordWrap/>
        <w:overflowPunct/>
        <w:topLinePunct w:val="0"/>
        <w:autoSpaceDE/>
        <w:bidi w:val="0"/>
        <w:adjustRightInd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位于鄱阳湖流域，南昌市进贤县县城北部，南昌县南部，与城区紧密相连，是鄱阳湖众多卫星湖之一。英山堤在青岚湖南部截湖而建，水面大致呈“人”字形。东南部有地势较高的丘陵围绕，在地形上形成了一个独立的湖泊。英山圩和英山闸将青岚湖分为内青岚湖和外青岚湖，外青岚湖纳入抚河来水后汇入鄱阳湖卫星湖金溪湖，内青岚湖受纳马颈港及周边地区来水后经英山闸注入外青岚湖。</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19" w:name="_Toc94909191"/>
      <w:r>
        <w:rPr>
          <w:rFonts w:hint="eastAsia" w:ascii="仿宋_GB2312" w:hAnsi="仿宋_GB2312" w:eastAsia="仿宋_GB2312" w:cs="仿宋_GB2312"/>
          <w:color w:val="000000" w:themeColor="text1"/>
          <w:sz w:val="32"/>
          <w:szCs w:val="32"/>
          <w14:textFill>
            <w14:solidFill>
              <w14:schemeClr w14:val="tx1"/>
            </w14:solidFill>
          </w14:textFill>
        </w:rPr>
        <w:t>1.3 水文水情</w:t>
      </w:r>
      <w:bookmarkEnd w:id="19"/>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进贤县地表水资源较为丰富，抚河多年平均过境水量为139亿m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/a。环青岚湖片区控制范围东西长约9.6km，南北长约4.8km，总面积46km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，其中水域面积约15km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紧靠进贤县城，通过幸福港与军山湖相通，北面有英山大堤与外青岚湖相隔，水位稳定。青岚湖分为内湖和外湖，内湖的水域面积为1.7万亩，外湖的水域面积约为11万亩。历史上青岚湖水位稳定，枯水季节水深不低于3m。近年来，鄱阳湖枯水期大大提前，2018年9月17日、2019年9月10日连续两年刷新进入枯水期最早时间，2022年8月6日就进入枯水期，成为1951年有记录以来最早进入枯水期的年份。</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0" w:name="_Toc94909192"/>
      <w:r>
        <w:rPr>
          <w:rFonts w:hint="eastAsia" w:ascii="仿宋_GB2312" w:hAnsi="仿宋_GB2312" w:eastAsia="仿宋_GB2312" w:cs="仿宋_GB2312"/>
          <w:color w:val="000000" w:themeColor="text1"/>
          <w:sz w:val="32"/>
          <w:szCs w:val="32"/>
          <w14:textFill>
            <w14:solidFill>
              <w14:schemeClr w14:val="tx1"/>
            </w14:solidFill>
          </w14:textFill>
        </w:rPr>
        <w:t>1.4 地形地貌</w:t>
      </w:r>
      <w:bookmarkEnd w:id="20"/>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贤县南部低丘山峦，北部濒临湖滨，地势东南高，西北低，低丘山峦，起伏平缓，逐渐向西北降低。北部湖汊交错，山水环绕。境内有金山岭、麻山岭、流岭、铜岭、罗岭、窑背岭、浮游岭、伏山岭、香炉观、凰岭山等16个海拔100m以上的低丘，最高处金山岭，海拔256.9m，最低处在北部湖洲，海拔仅9m，平均海拔137.5m。</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1" w:name="_Toc94909193"/>
      <w:r>
        <w:rPr>
          <w:rFonts w:hint="eastAsia" w:ascii="仿宋_GB2312" w:hAnsi="仿宋_GB2312" w:eastAsia="仿宋_GB2312" w:cs="仿宋_GB2312"/>
          <w:color w:val="000000" w:themeColor="text1"/>
          <w:sz w:val="32"/>
          <w:szCs w:val="32"/>
          <w14:textFill>
            <w14:solidFill>
              <w14:schemeClr w14:val="tx1"/>
            </w14:solidFill>
          </w14:textFill>
        </w:rPr>
        <w:t>1.5 土壤特征</w:t>
      </w:r>
      <w:bookmarkEnd w:id="21"/>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沿岸主要土壤类型为红壤，周边为连绵的红壤低丘岗地，分布广、面积大。第四纪红色黏土组成的湖滨岗地中，厚层红壤或收到剧烈侵蚀的红壤，集中成片分布于三里、梅庄、二塘、南台、前坊等乡镇的滨湖地区。</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2" w:name="_Toc94909194"/>
      <w:r>
        <w:rPr>
          <w:rFonts w:hint="eastAsia" w:ascii="仿宋_GB2312" w:hAnsi="仿宋_GB2312" w:eastAsia="仿宋_GB2312" w:cs="仿宋_GB2312"/>
          <w:color w:val="000000" w:themeColor="text1"/>
          <w:sz w:val="32"/>
          <w:szCs w:val="32"/>
          <w14:textFill>
            <w14:solidFill>
              <w14:schemeClr w14:val="tx1"/>
            </w14:solidFill>
          </w14:textFill>
        </w:rPr>
        <w:t>1.6 气象气候</w:t>
      </w:r>
      <w:bookmarkEnd w:id="22"/>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青岚湖断面汇水区域</w:t>
      </w:r>
      <w:r>
        <w:rPr>
          <w:rFonts w:hint="eastAsia" w:ascii="仿宋_GB2312" w:hAnsi="仿宋_GB2312" w:eastAsia="仿宋_GB2312" w:cs="仿宋_GB2312"/>
          <w:color w:val="000000" w:themeColor="text1"/>
          <w:sz w:val="32"/>
          <w:szCs w:val="32"/>
          <w:highlight w:val="none"/>
          <w14:textFill>
            <w14:solidFill>
              <w14:schemeClr w14:val="tx1"/>
            </w14:solidFill>
          </w14:textFill>
        </w:rPr>
        <w:t>属于亚热带湿润气候，雨量</w:t>
      </w:r>
      <w:r>
        <w:rPr>
          <w:rFonts w:hint="eastAsia" w:ascii="仿宋_GB2312" w:hAnsi="仿宋_GB2312" w:eastAsia="仿宋_GB2312" w:cs="仿宋_GB2312"/>
          <w:color w:val="000000" w:themeColor="text1"/>
          <w:sz w:val="32"/>
          <w:szCs w:val="32"/>
          <w14:textFill>
            <w14:solidFill>
              <w14:schemeClr w14:val="tx1"/>
            </w14:solidFill>
          </w14:textFill>
        </w:rPr>
        <w:t>充沛，无霜期长，四季分明。湖区多年平均气温为17.7</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，极端最高气温为40.5℃；极端最低气温为零下12.1℃。年降雨量1600-1700mm，年平均相对湿度为78.5%。</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1.7 行政区划和人口</w:t>
      </w:r>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断面汇水范围涉及进贤县14个乡镇及南昌县塔城乡部分农村，民和镇12.38万人、李渡镇4.41万人、温圳镇4.75万人、文港镇5.41万人、张公镇3.68万人、罗溪镇3.35万人、架桥镇3.19万人、前坊镇3.34万人、下埠集乡3.36万人、衙前乡1.84万人、白圩乡3.29万人、长山晏乡2.33万人、泉岭乡3.18万人、七里乡1.2万人及南昌县塔城乡水岚洲0.38万人，共56万人。</w:t>
      </w:r>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3" w:name="_Toc114056705"/>
      <w:r>
        <w:rPr>
          <w:rFonts w:hint="eastAsia" w:ascii="仿宋_GB2312" w:hAnsi="仿宋_GB2312" w:eastAsia="仿宋_GB2312" w:cs="仿宋_GB2312"/>
          <w:color w:val="000000" w:themeColor="text1"/>
          <w:sz w:val="32"/>
          <w:szCs w:val="32"/>
          <w14:textFill>
            <w14:solidFill>
              <w14:schemeClr w14:val="tx1"/>
            </w14:solidFill>
          </w14:textFill>
        </w:rPr>
        <w:t>2. 断面汇水范围</w:t>
      </w:r>
      <w:bookmarkEnd w:id="23"/>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4" w:name="_Hlk91680417"/>
      <w:r>
        <w:rPr>
          <w:rFonts w:hint="eastAsia" w:ascii="仿宋_GB2312" w:hAnsi="仿宋_GB2312" w:eastAsia="仿宋_GB2312" w:cs="仿宋_GB2312"/>
          <w:color w:val="000000" w:themeColor="text1"/>
          <w:sz w:val="32"/>
          <w:szCs w:val="32"/>
          <w14:textFill>
            <w14:solidFill>
              <w14:schemeClr w14:val="tx1"/>
            </w14:solidFill>
          </w14:textFill>
        </w:rPr>
        <w:t>青岚湖断面汇水范围</w:t>
      </w:r>
      <w:r>
        <w:rPr>
          <w:rFonts w:hint="eastAsia" w:ascii="仿宋_GB2312" w:hAnsi="仿宋_GB2312" w:eastAsia="仿宋_GB2312" w:cs="仿宋_GB2312"/>
          <w:color w:val="000000" w:themeColor="text1"/>
          <w:sz w:val="32"/>
          <w:szCs w:val="32"/>
          <w:lang w:val="zh-CN"/>
          <w14:textFill>
            <w14:solidFill>
              <w14:schemeClr w14:val="tx1"/>
            </w14:solidFill>
          </w14:textFill>
        </w:rPr>
        <w:t>包括进贤县民和镇、李渡镇、温圳镇、文港镇、张公镇、罗溪镇、架桥镇、前坊镇、下埠集乡、衙前乡、白圩乡、长山晏乡、泉岭乡、七里乡（S212西侧）和南昌县塔城乡水岚洲</w:t>
      </w:r>
      <w:r>
        <w:rPr>
          <w:rFonts w:hint="eastAsia" w:ascii="仿宋_GB2312" w:hAnsi="仿宋_GB2312" w:eastAsia="仿宋_GB2312" w:cs="仿宋_GB2312"/>
          <w:color w:val="000000" w:themeColor="text1"/>
          <w:sz w:val="32"/>
          <w:szCs w:val="32"/>
          <w14:textFill>
            <w14:solidFill>
              <w14:schemeClr w14:val="tx1"/>
            </w14:solidFill>
          </w14:textFill>
        </w:rPr>
        <w:t>（附图1）</w:t>
      </w: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汇水区面积1015.72km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25" w:name="_Toc114056706"/>
      <w:r>
        <w:rPr>
          <w:rFonts w:hint="eastAsia" w:ascii="楷体_GB2312" w:hAnsi="楷体_GB2312" w:eastAsia="楷体_GB2312" w:cs="楷体_GB2312"/>
          <w:color w:val="000000" w:themeColor="text1"/>
          <w:sz w:val="32"/>
          <w:szCs w:val="32"/>
          <w14:textFill>
            <w14:solidFill>
              <w14:schemeClr w14:val="tx1"/>
            </w14:solidFill>
          </w14:textFill>
        </w:rPr>
        <w:t>（二）断面水质变化情况分析</w:t>
      </w:r>
      <w:bookmarkEnd w:id="25"/>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青岚湖断面为“十四五”期间新增的国考断面。</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2021年青岚湖断面年均水质为Ⅳ类</w:t>
      </w:r>
      <w:r>
        <w:rPr>
          <w:rFonts w:hint="eastAsia" w:ascii="仿宋_GB2312" w:hAnsi="仿宋_GB2312" w:eastAsia="仿宋_GB2312" w:cs="仿宋_GB2312"/>
          <w:color w:val="000000" w:themeColor="text1"/>
          <w:sz w:val="32"/>
          <w:szCs w:val="32"/>
          <w14:textFill>
            <w14:solidFill>
              <w14:schemeClr w14:val="tx1"/>
            </w14:solidFill>
          </w14:textFill>
        </w:rPr>
        <w:t>（附图2）</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。除1月、4月、6月和11月的水质达到了湖库Ⅲ类以外，该断面其他月份水质均为Ⅳ类，主要超标因子为TP，年度最高值出现在10月份，TP浓度达到了0.17mg/L。</w:t>
      </w:r>
      <w:r>
        <w:rPr>
          <w:rFonts w:hint="eastAsia" w:ascii="仿宋_GB2312" w:hAnsi="仿宋_GB2312" w:eastAsia="仿宋_GB2312" w:cs="仿宋_GB2312"/>
          <w:color w:val="000000" w:themeColor="text1"/>
          <w:sz w:val="32"/>
          <w:szCs w:val="32"/>
          <w14:textFill>
            <w14:solidFill>
              <w14:schemeClr w14:val="tx1"/>
            </w14:solidFill>
          </w14:textFill>
        </w:rPr>
        <w:t>高锰酸盐指数和氨氮浓度在2021年均能达到湖库Ⅲ类水质。</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总体来说，</w:t>
      </w:r>
      <w:r>
        <w:rPr>
          <w:rFonts w:hint="eastAsia" w:ascii="仿宋_GB2312" w:hAnsi="仿宋_GB2312" w:eastAsia="仿宋_GB2312" w:cs="仿宋_GB2312"/>
          <w:color w:val="000000" w:themeColor="text1"/>
          <w:sz w:val="32"/>
          <w:szCs w:val="32"/>
          <w14:textFill>
            <w14:solidFill>
              <w14:schemeClr w14:val="tx1"/>
            </w14:solidFill>
          </w14:textFill>
        </w:rPr>
        <w:t>青岚湖断面水质TP浓度于涨水期出现上升，在洪水期、退水期和枯水期均出现超标现象，随着枯水期结束TP浓度逐渐回落（水期划分依据为2018-2021年南矶山和外洲水文站水位变化趋势，并参考同期鄱阳湖星子站，表2.2-1）。应密切关注上游来水、季节性分层和水力扰动引起的水质变化。</w:t>
      </w:r>
      <w:bookmarkEnd w:id="3"/>
      <w:bookmarkEnd w:id="4"/>
      <w:bookmarkEnd w:id="24"/>
      <w:bookmarkStart w:id="26" w:name="_Hlk91665576"/>
    </w:p>
    <w:p>
      <w:pPr>
        <w:spacing w:line="300"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表2.2-1 鄱阳湖南昌湖区水期划分</w:t>
      </w:r>
    </w:p>
    <w:tbl>
      <w:tblPr>
        <w:tblStyle w:val="2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505"/>
        <w:gridCol w:w="372"/>
        <w:gridCol w:w="372"/>
        <w:gridCol w:w="373"/>
        <w:gridCol w:w="527"/>
        <w:gridCol w:w="527"/>
        <w:gridCol w:w="527"/>
        <w:gridCol w:w="523"/>
        <w:gridCol w:w="523"/>
        <w:gridCol w:w="523"/>
        <w:gridCol w:w="729"/>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3"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月份</w:t>
            </w:r>
          </w:p>
        </w:tc>
        <w:tc>
          <w:tcPr>
            <w:tcW w:w="296"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12</w:t>
            </w:r>
          </w:p>
        </w:tc>
        <w:tc>
          <w:tcPr>
            <w:tcW w:w="218"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p>
        </w:tc>
        <w:tc>
          <w:tcPr>
            <w:tcW w:w="218"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w:t>
            </w:r>
          </w:p>
        </w:tc>
        <w:tc>
          <w:tcPr>
            <w:tcW w:w="218"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3</w:t>
            </w:r>
          </w:p>
        </w:tc>
        <w:tc>
          <w:tcPr>
            <w:tcW w:w="309"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4</w:t>
            </w:r>
          </w:p>
        </w:tc>
        <w:tc>
          <w:tcPr>
            <w:tcW w:w="309"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5</w:t>
            </w:r>
          </w:p>
        </w:tc>
        <w:tc>
          <w:tcPr>
            <w:tcW w:w="309"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6</w:t>
            </w:r>
          </w:p>
        </w:tc>
        <w:tc>
          <w:tcPr>
            <w:tcW w:w="307"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7</w:t>
            </w:r>
          </w:p>
        </w:tc>
        <w:tc>
          <w:tcPr>
            <w:tcW w:w="307"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8</w:t>
            </w:r>
          </w:p>
        </w:tc>
        <w:tc>
          <w:tcPr>
            <w:tcW w:w="307"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9</w:t>
            </w:r>
          </w:p>
        </w:tc>
        <w:tc>
          <w:tcPr>
            <w:tcW w:w="428"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w:t>
            </w:r>
          </w:p>
        </w:tc>
        <w:tc>
          <w:tcPr>
            <w:tcW w:w="420"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3"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水期</w:t>
            </w:r>
          </w:p>
        </w:tc>
        <w:tc>
          <w:tcPr>
            <w:tcW w:w="951" w:type="pct"/>
            <w:gridSpan w:val="4"/>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枯水期</w:t>
            </w:r>
          </w:p>
        </w:tc>
        <w:tc>
          <w:tcPr>
            <w:tcW w:w="926" w:type="pct"/>
            <w:gridSpan w:val="3"/>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涨水期</w:t>
            </w:r>
          </w:p>
        </w:tc>
        <w:tc>
          <w:tcPr>
            <w:tcW w:w="921" w:type="pct"/>
            <w:gridSpan w:val="3"/>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洪水期</w:t>
            </w:r>
          </w:p>
        </w:tc>
        <w:tc>
          <w:tcPr>
            <w:tcW w:w="848" w:type="pct"/>
            <w:gridSpan w:val="2"/>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退水期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3" w:type="pct"/>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星子站水位（m）</w:t>
            </w:r>
          </w:p>
        </w:tc>
        <w:tc>
          <w:tcPr>
            <w:tcW w:w="951" w:type="pct"/>
            <w:gridSpan w:val="4"/>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7.54</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13.87</w:t>
            </w:r>
          </w:p>
        </w:tc>
        <w:tc>
          <w:tcPr>
            <w:tcW w:w="926" w:type="pct"/>
            <w:gridSpan w:val="3"/>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10.78</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18.42</w:t>
            </w:r>
          </w:p>
        </w:tc>
        <w:tc>
          <w:tcPr>
            <w:tcW w:w="921" w:type="pct"/>
            <w:gridSpan w:val="3"/>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11.68</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21.05</w:t>
            </w:r>
          </w:p>
        </w:tc>
        <w:tc>
          <w:tcPr>
            <w:tcW w:w="848" w:type="pct"/>
            <w:gridSpan w:val="2"/>
            <w:vAlign w:val="bottom"/>
          </w:tcPr>
          <w:p>
            <w:pPr>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9.14</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16.86</w:t>
            </w:r>
          </w:p>
        </w:tc>
      </w:tr>
    </w:tbl>
    <w:p>
      <w:pPr>
        <w:pStyle w:val="263"/>
        <w:keepNext w:val="0"/>
        <w:keepLines w:val="0"/>
        <w:pageBreakBefore w:val="0"/>
        <w:widowControl w:val="0"/>
        <w:kinsoku/>
        <w:wordWrap/>
        <w:overflowPunct/>
        <w:topLinePunct w:val="0"/>
        <w:autoSpaceDE/>
        <w:bidi w:val="0"/>
        <w:snapToGrid/>
        <w:spacing w:line="560" w:lineRule="exact"/>
        <w:ind w:firstLine="560"/>
        <w:jc w:val="both"/>
        <w:textAlignment w:val="auto"/>
        <w:rPr>
          <w:rFonts w:eastAsia="仿宋"/>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除了国控断面外，进贤县在青岚湖断面汇水区域内还设置8个监测点位（附图3），分别位于入湖口、五七排涝站、月亮湾、赵家、付家渡、湖中心、王家、英山堤。2022年6月，8个点位水质优良比例为50%，入湖口、湖中心、王家、英山堤测点水质良好；月亮湾、赵家、付家渡测点水质为Ⅳ类；五七排涝站测点水质为Ⅴ类。在本年度内，月亮湾、赵家、付家渡和五七排涝站监测点位多次出现超标现象。</w:t>
      </w:r>
    </w:p>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bookmarkStart w:id="27" w:name="_Toc114056707"/>
      <w:r>
        <w:rPr>
          <w:rFonts w:hint="eastAsia" w:ascii="黑体" w:hAnsi="黑体" w:eastAsia="黑体" w:cs="黑体"/>
          <w:b w:val="0"/>
          <w:bCs w:val="0"/>
          <w:color w:val="000000" w:themeColor="text1"/>
          <w:sz w:val="32"/>
          <w:szCs w:val="32"/>
          <w14:textFill>
            <w14:solidFill>
              <w14:schemeClr w14:val="tx1"/>
            </w14:solidFill>
          </w14:textFill>
        </w:rPr>
        <w:t>三、断面污染源调查及主要水环境问题识别</w:t>
      </w:r>
      <w:bookmarkEnd w:id="27"/>
    </w:p>
    <w:bookmarkEnd w:id="26"/>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28" w:name="_Toc114056708"/>
      <w:r>
        <w:rPr>
          <w:rFonts w:hint="eastAsia" w:ascii="楷体_GB2312" w:hAnsi="楷体_GB2312" w:eastAsia="楷体_GB2312" w:cs="楷体_GB2312"/>
          <w:color w:val="000000" w:themeColor="text1"/>
          <w:sz w:val="32"/>
          <w:szCs w:val="32"/>
          <w14:textFill>
            <w14:solidFill>
              <w14:schemeClr w14:val="tx1"/>
            </w14:solidFill>
          </w14:textFill>
        </w:rPr>
        <w:t>（一）污染源现状调查</w:t>
      </w:r>
      <w:bookmarkEnd w:id="28"/>
    </w:p>
    <w:p>
      <w:pPr>
        <w:pStyle w:val="4"/>
        <w:keepNext w:val="0"/>
        <w:keepLines w:val="0"/>
        <w:pageBreakBefore w:val="0"/>
        <w:widowControl w:val="0"/>
        <w:numPr>
          <w:ilvl w:val="0"/>
          <w:numId w:val="0"/>
        </w:numPr>
        <w:kinsoku/>
        <w:wordWrap/>
        <w:overflowPunct/>
        <w:topLinePunct w:val="0"/>
        <w:autoSpaceDE/>
        <w:bidi w:val="0"/>
        <w:snapToGrid/>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29" w:name="_Toc114056709"/>
      <w:r>
        <w:rPr>
          <w:rFonts w:hint="eastAsia" w:ascii="仿宋_GB2312" w:hAnsi="仿宋_GB2312" w:eastAsia="仿宋_GB2312" w:cs="仿宋_GB2312"/>
          <w:color w:val="000000" w:themeColor="text1"/>
          <w:sz w:val="32"/>
          <w:szCs w:val="32"/>
          <w14:textFill>
            <w14:solidFill>
              <w14:schemeClr w14:val="tx1"/>
            </w14:solidFill>
          </w14:textFill>
        </w:rPr>
        <w:t>1. 入湖排口污染</w:t>
      </w:r>
      <w:bookmarkEnd w:id="29"/>
      <w:r>
        <w:rPr>
          <w:rFonts w:hint="eastAsia" w:ascii="仿宋_GB2312" w:hAnsi="仿宋_GB2312" w:eastAsia="仿宋_GB2312" w:cs="仿宋_GB2312"/>
          <w:color w:val="000000" w:themeColor="text1"/>
          <w:sz w:val="32"/>
          <w:szCs w:val="32"/>
          <w14:textFill>
            <w14:solidFill>
              <w14:schemeClr w14:val="tx1"/>
            </w14:solidFill>
          </w14:textFill>
        </w:rPr>
        <w:t>源</w:t>
      </w:r>
    </w:p>
    <w:p>
      <w:pPr>
        <w:pStyle w:val="263"/>
        <w:keepNext w:val="0"/>
        <w:keepLines w:val="0"/>
        <w:pageBreakBefore w:val="0"/>
        <w:widowControl w:val="0"/>
        <w:kinsoku/>
        <w:wordWrap/>
        <w:overflowPunct/>
        <w:topLinePunct w:val="0"/>
        <w:autoSpaceDE/>
        <w:bidi w:val="0"/>
        <w:snapToGrid/>
        <w:spacing w:line="560" w:lineRule="exact"/>
        <w:ind w:firstLine="560"/>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青岚湖断面涉及的进贤县</w:t>
      </w:r>
      <w:r>
        <w:rPr>
          <w:rFonts w:hint="eastAsia" w:ascii="仿宋_GB2312" w:hAnsi="仿宋_GB2312" w:eastAsia="仿宋_GB2312" w:cs="仿宋_GB2312"/>
          <w:color w:val="000000" w:themeColor="text1"/>
          <w:sz w:val="32"/>
          <w:szCs w:val="32"/>
          <w:lang w:val="zh-CN"/>
          <w14:textFill>
            <w14:solidFill>
              <w14:schemeClr w14:val="tx1"/>
            </w14:solidFill>
          </w14:textFill>
        </w:rPr>
        <w:t>入湖排口共26个</w:t>
      </w:r>
      <w:r>
        <w:rPr>
          <w:rFonts w:hint="eastAsia" w:ascii="仿宋_GB2312" w:hAnsi="仿宋_GB2312" w:eastAsia="仿宋_GB2312" w:cs="仿宋_GB2312"/>
          <w:color w:val="000000" w:themeColor="text1"/>
          <w:sz w:val="32"/>
          <w:szCs w:val="32"/>
          <w14:textFill>
            <w14:solidFill>
              <w14:schemeClr w14:val="tx1"/>
            </w14:solidFill>
          </w14:textFill>
        </w:rPr>
        <w:t>（附图4）</w:t>
      </w:r>
      <w:r>
        <w:rPr>
          <w:rFonts w:hint="eastAsia" w:ascii="仿宋_GB2312" w:hAnsi="仿宋_GB2312" w:eastAsia="仿宋_GB2312" w:cs="仿宋_GB2312"/>
          <w:color w:val="000000" w:themeColor="text1"/>
          <w:sz w:val="32"/>
          <w:szCs w:val="32"/>
          <w:lang w:val="zh-CN"/>
          <w14:textFill>
            <w14:solidFill>
              <w14:schemeClr w14:val="tx1"/>
            </w14:solidFill>
          </w14:textFill>
        </w:rPr>
        <w:t>，其中城镇雨洪排口21个、农业农村排口5个，规模以上排口1个。枯水期（12月）部分排口无水排出，有水排口COD浓度为17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32mg/L、氨氮浓度为0.17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2.17mg/L、TP浓度为0.03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0.27mg/L；丰水期（6月）排口排水COD浓度为10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45mg/L、氨氮浓度为0.101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1.73mg/L、TP浓度为0.03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0.72mg/L，罗溪镇方向排口TP明显高于其他排口。</w:t>
      </w:r>
    </w:p>
    <w:p>
      <w:pPr>
        <w:pStyle w:val="263"/>
        <w:keepNext w:val="0"/>
        <w:keepLines w:val="0"/>
        <w:pageBreakBefore w:val="0"/>
        <w:widowControl w:val="0"/>
        <w:kinsoku/>
        <w:wordWrap/>
        <w:overflowPunct/>
        <w:topLinePunct w:val="0"/>
        <w:autoSpaceDE/>
        <w:bidi w:val="0"/>
        <w:snapToGrid/>
        <w:spacing w:line="560" w:lineRule="exact"/>
        <w:ind w:firstLine="560"/>
        <w:jc w:val="both"/>
        <w:textAlignment w:val="auto"/>
        <w:rPr>
          <w:rFonts w:eastAsia="仿宋"/>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青岚湖断面涉及的</w:t>
      </w:r>
      <w:r>
        <w:rPr>
          <w:rFonts w:hint="eastAsia" w:ascii="仿宋_GB2312" w:hAnsi="仿宋_GB2312" w:eastAsia="仿宋_GB2312" w:cs="仿宋_GB2312"/>
          <w:color w:val="000000" w:themeColor="text1"/>
          <w:sz w:val="32"/>
          <w:szCs w:val="32"/>
          <w:lang w:val="zh-CN"/>
          <w14:textFill>
            <w14:solidFill>
              <w14:schemeClr w14:val="tx1"/>
            </w14:solidFill>
          </w14:textFill>
        </w:rPr>
        <w:t>南昌县入湖排口共10个</w:t>
      </w:r>
      <w:r>
        <w:rPr>
          <w:rFonts w:hint="eastAsia" w:ascii="仿宋_GB2312" w:hAnsi="仿宋_GB2312" w:eastAsia="仿宋_GB2312" w:cs="仿宋_GB2312"/>
          <w:color w:val="000000" w:themeColor="text1"/>
          <w:sz w:val="32"/>
          <w:szCs w:val="32"/>
          <w14:textFill>
            <w14:solidFill>
              <w14:schemeClr w14:val="tx1"/>
            </w14:solidFill>
          </w14:textFill>
        </w:rPr>
        <w:t>（附图4）</w:t>
      </w:r>
      <w:r>
        <w:rPr>
          <w:rFonts w:hint="eastAsia" w:ascii="仿宋_GB2312" w:hAnsi="仿宋_GB2312" w:eastAsia="仿宋_GB2312" w:cs="仿宋_GB2312"/>
          <w:color w:val="000000" w:themeColor="text1"/>
          <w:sz w:val="32"/>
          <w:szCs w:val="32"/>
          <w:lang w:val="zh-CN"/>
          <w14:textFill>
            <w14:solidFill>
              <w14:schemeClr w14:val="tx1"/>
            </w14:solidFill>
          </w14:textFill>
        </w:rPr>
        <w:t>，主要为电排站和自排闸口。采样（7月份）监测发现，北坊闸COD浓度为74mg/L、氨氮浓度为0.247mg/L、TP浓度为0.3mg/L；凤凰闸COD浓度为27mg/L、氨氮浓度为0.274 mg/L、TP浓度为0.15mg/L；喻家闸COD浓度为16mg/L、氨氮浓度为0.148mg/L、TP浓度为0.12mg/L；新星闸COD浓度为51mg/L、氨氮浓度为0.252mg/L、TP浓度为0.23 mg/L，表明南昌县入青岚湖主要排口TP浓度偏高。</w:t>
      </w:r>
    </w:p>
    <w:p>
      <w:pPr>
        <w:pStyle w:val="4"/>
        <w:keepNext w:val="0"/>
        <w:keepLines w:val="0"/>
        <w:pageBreakBefore w:val="0"/>
        <w:widowControl w:val="0"/>
        <w:numPr>
          <w:ilvl w:val="0"/>
          <w:numId w:val="0"/>
        </w:numPr>
        <w:kinsoku/>
        <w:wordWrap/>
        <w:overflowPunct/>
        <w:topLinePunct w:val="0"/>
        <w:autoSpaceDE/>
        <w:bidi w:val="0"/>
        <w:adjustRightInd/>
        <w:snapToGrid/>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30" w:name="_Toc114056710"/>
      <w:bookmarkStart w:id="31" w:name="_Hlk91667698"/>
      <w:r>
        <w:rPr>
          <w:rFonts w:hint="eastAsia" w:ascii="仿宋_GB2312" w:hAnsi="仿宋_GB2312" w:eastAsia="仿宋_GB2312" w:cs="仿宋_GB2312"/>
          <w:color w:val="000000" w:themeColor="text1"/>
          <w:sz w:val="32"/>
          <w:szCs w:val="32"/>
          <w14:textFill>
            <w14:solidFill>
              <w14:schemeClr w14:val="tx1"/>
            </w14:solidFill>
          </w14:textFill>
        </w:rPr>
        <w:t>2. 农业污染</w:t>
      </w:r>
      <w:bookmarkEnd w:id="30"/>
      <w:r>
        <w:rPr>
          <w:rFonts w:hint="eastAsia" w:ascii="仿宋_GB2312" w:hAnsi="仿宋_GB2312" w:eastAsia="仿宋_GB2312" w:cs="仿宋_GB2312"/>
          <w:color w:val="000000" w:themeColor="text1"/>
          <w:sz w:val="32"/>
          <w:szCs w:val="32"/>
          <w14:textFill>
            <w14:solidFill>
              <w14:schemeClr w14:val="tx1"/>
            </w14:solidFill>
          </w14:textFill>
        </w:rPr>
        <w:t>源</w:t>
      </w:r>
    </w:p>
    <w:p>
      <w:pPr>
        <w:pStyle w:val="263"/>
        <w:keepNext w:val="0"/>
        <w:keepLines w:val="0"/>
        <w:pageBreakBefore w:val="0"/>
        <w:widowControl w:val="0"/>
        <w:kinsoku/>
        <w:wordWrap/>
        <w:overflowPunct/>
        <w:topLinePunct w:val="0"/>
        <w:autoSpaceDE/>
        <w:bidi w:val="0"/>
        <w:snapToGrid/>
        <w:spacing w:line="560" w:lineRule="exact"/>
        <w:ind w:firstLine="56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农业包括种植业、畜禽养殖业和水产养殖业。</w:t>
      </w:r>
    </w:p>
    <w:p>
      <w:pPr>
        <w:keepNext w:val="0"/>
        <w:keepLines w:val="0"/>
        <w:pageBreakBefore w:val="0"/>
        <w:widowControl w:val="0"/>
        <w:kinsoku/>
        <w:wordWrap/>
        <w:overflowPunct/>
        <w:topLinePunct w:val="0"/>
        <w:autoSpaceDE/>
        <w:bidi w:val="0"/>
        <w:adjustRightInd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汇水区内耕地面积维持在64万亩左右。2020年化肥施用量为4.8万</w:t>
      </w:r>
      <w:r>
        <w:rPr>
          <w:rFonts w:hint="eastAsia" w:ascii="仿宋_GB2312" w:hAnsi="仿宋_GB2312" w:eastAsia="仿宋_GB2312" w:cs="仿宋_GB2312"/>
          <w:color w:val="000000" w:themeColor="text1"/>
          <w:sz w:val="32"/>
          <w:szCs w:val="32"/>
          <w14:textFill>
            <w14:solidFill>
              <w14:schemeClr w14:val="tx1"/>
            </w14:solidFill>
          </w14:textFill>
        </w:rPr>
        <w:t>t/a，农药施用量为444t/a。</w:t>
      </w:r>
      <w:r>
        <w:rPr>
          <w:rFonts w:hint="eastAsia" w:ascii="仿宋_GB2312" w:hAnsi="仿宋_GB2312" w:eastAsia="仿宋_GB2312" w:cs="仿宋_GB2312"/>
          <w:color w:val="000000" w:themeColor="text1"/>
          <w:sz w:val="32"/>
          <w:szCs w:val="32"/>
          <w:lang w:val="zh-CN"/>
          <w14:textFill>
            <w14:solidFill>
              <w14:schemeClr w14:val="tx1"/>
            </w14:solidFill>
          </w14:textFill>
        </w:rPr>
        <w:t>汇水区域内</w:t>
      </w:r>
      <w:bookmarkStart w:id="32" w:name="_Hlk112137803"/>
      <w:r>
        <w:rPr>
          <w:rFonts w:hint="eastAsia" w:ascii="仿宋_GB2312" w:hAnsi="仿宋_GB2312" w:eastAsia="仿宋_GB2312" w:cs="仿宋_GB2312"/>
          <w:color w:val="000000" w:themeColor="text1"/>
          <w:sz w:val="32"/>
          <w:szCs w:val="32"/>
          <w:lang w:val="zh-CN"/>
          <w14:textFill>
            <w14:solidFill>
              <w14:schemeClr w14:val="tx1"/>
            </w14:solidFill>
          </w14:textFill>
        </w:rPr>
        <w:t>农田种植产生的污染物入湖量分别为氨氮27.99</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、总氮196.88</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和TP</w:t>
      </w:r>
      <w:bookmarkStart w:id="33" w:name="_Hlk112137792"/>
      <w:r>
        <w:rPr>
          <w:rFonts w:hint="eastAsia" w:ascii="仿宋_GB2312" w:hAnsi="仿宋_GB2312" w:eastAsia="仿宋_GB2312" w:cs="仿宋_GB2312"/>
          <w:color w:val="000000" w:themeColor="text1"/>
          <w:sz w:val="32"/>
          <w:szCs w:val="32"/>
          <w:lang w:val="zh-CN"/>
          <w14:textFill>
            <w14:solidFill>
              <w14:schemeClr w14:val="tx1"/>
            </w14:solidFill>
          </w14:textFill>
        </w:rPr>
        <w:t>19.32</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bookmarkEnd w:id="33"/>
    </w:p>
    <w:bookmarkEnd w:id="32"/>
    <w:p>
      <w:pPr>
        <w:keepNext w:val="0"/>
        <w:keepLines w:val="0"/>
        <w:pageBreakBefore w:val="0"/>
        <w:widowControl w:val="0"/>
        <w:kinsoku/>
        <w:wordWrap/>
        <w:overflowPunct/>
        <w:topLinePunct w:val="0"/>
        <w:autoSpaceDE/>
        <w:bidi w:val="0"/>
        <w:adjustRightInd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bookmarkStart w:id="34" w:name="_Hlk111801048"/>
      <w:r>
        <w:rPr>
          <w:rFonts w:hint="eastAsia" w:ascii="仿宋_GB2312" w:hAnsi="仿宋_GB2312" w:eastAsia="仿宋_GB2312" w:cs="仿宋_GB2312"/>
          <w:color w:val="000000" w:themeColor="text1"/>
          <w:sz w:val="32"/>
          <w:szCs w:val="32"/>
          <w:lang w:val="zh-CN"/>
          <w14:textFill>
            <w14:solidFill>
              <w14:schemeClr w14:val="tx1"/>
            </w14:solidFill>
          </w14:textFill>
        </w:rPr>
        <w:t>猪和鸡是当地畜禽养殖的主要对象。</w:t>
      </w:r>
      <w:bookmarkStart w:id="35" w:name="_Hlk112137863"/>
      <w:r>
        <w:rPr>
          <w:rFonts w:hint="eastAsia" w:ascii="仿宋_GB2312" w:hAnsi="仿宋_GB2312" w:eastAsia="仿宋_GB2312" w:cs="仿宋_GB2312"/>
          <w:color w:val="000000" w:themeColor="text1"/>
          <w:sz w:val="32"/>
          <w:szCs w:val="32"/>
          <w:lang w:val="zh-CN"/>
          <w14:textFill>
            <w14:solidFill>
              <w14:schemeClr w14:val="tx1"/>
            </w14:solidFill>
          </w14:textFill>
        </w:rPr>
        <w:t>畜禽养殖产生的污染物入湖量分别为COD 1897.32</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、氨氮28.60</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、总氮95.65</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和TP17.47</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bookmarkEnd w:id="35"/>
      <w:r>
        <w:rPr>
          <w:rFonts w:hint="eastAsia" w:ascii="仿宋_GB2312" w:hAnsi="仿宋_GB2312" w:eastAsia="仿宋_GB2312" w:cs="仿宋_GB2312"/>
          <w:color w:val="000000" w:themeColor="text1"/>
          <w:sz w:val="32"/>
          <w:szCs w:val="32"/>
          <w:lang w:val="zh-CN"/>
          <w14:textFill>
            <w14:solidFill>
              <w14:schemeClr w14:val="tx1"/>
            </w14:solidFill>
          </w14:textFill>
        </w:rPr>
        <w:t>民和镇和前坊镇TP产生量和入湖量均较高。</w:t>
      </w:r>
    </w:p>
    <w:p>
      <w:pPr>
        <w:keepNext w:val="0"/>
        <w:keepLines w:val="0"/>
        <w:pageBreakBefore w:val="0"/>
        <w:widowControl w:val="0"/>
        <w:kinsoku/>
        <w:wordWrap/>
        <w:overflowPunct/>
        <w:topLinePunct w:val="0"/>
        <w:autoSpaceDE/>
        <w:bidi w:val="0"/>
        <w:adjustRightInd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水产养殖以青草鲢鳙4大家鱼为主。</w:t>
      </w:r>
      <w:bookmarkStart w:id="36" w:name="_Hlk112137985"/>
      <w:r>
        <w:rPr>
          <w:rFonts w:hint="eastAsia" w:ascii="仿宋_GB2312" w:hAnsi="仿宋_GB2312" w:eastAsia="仿宋_GB2312" w:cs="仿宋_GB2312"/>
          <w:color w:val="000000" w:themeColor="text1"/>
          <w:sz w:val="32"/>
          <w:szCs w:val="32"/>
          <w:lang w:val="zh-CN"/>
          <w14:textFill>
            <w14:solidFill>
              <w14:schemeClr w14:val="tx1"/>
            </w14:solidFill>
          </w14:textFill>
        </w:rPr>
        <w:t>汇水区内</w:t>
      </w:r>
      <w:bookmarkStart w:id="37" w:name="_Hlk111799351"/>
      <w:r>
        <w:rPr>
          <w:rFonts w:hint="eastAsia" w:ascii="仿宋_GB2312" w:hAnsi="仿宋_GB2312" w:eastAsia="仿宋_GB2312" w:cs="仿宋_GB2312"/>
          <w:color w:val="000000" w:themeColor="text1"/>
          <w:sz w:val="32"/>
          <w:szCs w:val="32"/>
          <w:lang w:val="zh-CN"/>
          <w14:textFill>
            <w14:solidFill>
              <w14:schemeClr w14:val="tx1"/>
            </w14:solidFill>
          </w14:textFill>
        </w:rPr>
        <w:t>因水产养殖产生的污染物入湖量分别为COD769.88</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、氨氮35.55</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、总氮111.88</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和TP20.60</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bookmarkEnd w:id="36"/>
      <w:r>
        <w:rPr>
          <w:rFonts w:hint="eastAsia" w:ascii="仿宋_GB2312" w:hAnsi="仿宋_GB2312" w:eastAsia="仿宋_GB2312" w:cs="仿宋_GB2312"/>
          <w:color w:val="000000" w:themeColor="text1"/>
          <w:sz w:val="32"/>
          <w:szCs w:val="32"/>
          <w:lang w:val="zh-CN"/>
          <w14:textFill>
            <w14:solidFill>
              <w14:schemeClr w14:val="tx1"/>
            </w14:solidFill>
          </w14:textFill>
        </w:rPr>
        <w:t>其中民和镇、前坊镇和罗溪镇TP释放量最高，分别为达到了2.88</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、2.92</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和2.34</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bookmarkEnd w:id="34"/>
      <w:bookmarkEnd w:id="37"/>
    </w:p>
    <w:p>
      <w:pPr>
        <w:keepNext w:val="0"/>
        <w:keepLines w:val="0"/>
        <w:pageBreakBefore w:val="0"/>
        <w:widowControl w:val="0"/>
        <w:kinsoku/>
        <w:wordWrap/>
        <w:overflowPunct/>
        <w:topLinePunct w:val="0"/>
        <w:autoSpaceDE/>
        <w:bidi w:val="0"/>
        <w:adjustRightInd w:val="0"/>
        <w:snapToGrid/>
        <w:spacing w:line="560" w:lineRule="exact"/>
        <w:ind w:firstLine="640" w:firstLineChars="200"/>
        <w:jc w:val="both"/>
        <w:textAlignment w:val="auto"/>
        <w:rPr>
          <w:rFonts w:eastAsia="仿宋" w:cs="Times New Roman"/>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综上，青岚湖断面农业污染源入湖量如下表所示。</w:t>
      </w:r>
    </w:p>
    <w:p>
      <w:pPr>
        <w:ind w:firstLine="481" w:firstLineChars="200"/>
        <w:jc w:val="center"/>
        <w:rPr>
          <w:rFonts w:eastAsia="仿宋" w:cs="Times New Roman"/>
          <w:b/>
          <w:bCs/>
          <w:color w:val="000000" w:themeColor="text1"/>
          <w:sz w:val="24"/>
          <w:szCs w:val="20"/>
          <w14:textFill>
            <w14:solidFill>
              <w14:schemeClr w14:val="tx1"/>
            </w14:solidFill>
          </w14:textFill>
        </w:rPr>
      </w:pPr>
      <w:r>
        <w:rPr>
          <w:rFonts w:hint="eastAsia" w:ascii="仿宋_GB2312" w:hAnsi="仿宋_GB2312" w:eastAsia="仿宋_GB2312" w:cs="仿宋_GB2312"/>
          <w:b/>
          <w:bCs/>
          <w:color w:val="000000" w:themeColor="text1"/>
          <w:sz w:val="24"/>
          <w:szCs w:val="20"/>
          <w14:textFill>
            <w14:solidFill>
              <w14:schemeClr w14:val="tx1"/>
            </w14:solidFill>
          </w14:textFill>
        </w:rPr>
        <w:t>表3.1-1 青岚湖断面汇水区域农业污染源入湖量（t/a）</w:t>
      </w:r>
    </w:p>
    <w:tbl>
      <w:tblPr>
        <w:tblStyle w:val="41"/>
        <w:tblW w:w="5000" w:type="pct"/>
        <w:jc w:val="cente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autofit"/>
        <w:tblCellMar>
          <w:top w:w="0" w:type="dxa"/>
          <w:left w:w="108" w:type="dxa"/>
          <w:bottom w:w="0" w:type="dxa"/>
          <w:right w:w="108" w:type="dxa"/>
        </w:tblCellMar>
      </w:tblPr>
      <w:tblGrid>
        <w:gridCol w:w="1844"/>
        <w:gridCol w:w="2195"/>
        <w:gridCol w:w="1202"/>
        <w:gridCol w:w="1041"/>
        <w:gridCol w:w="1205"/>
        <w:gridCol w:w="1035"/>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trHeight w:val="510" w:hRule="atLeast"/>
          <w:jc w:val="center"/>
        </w:trPr>
        <w:tc>
          <w:tcPr>
            <w:tcW w:w="2370" w:type="pct"/>
            <w:gridSpan w:val="2"/>
            <w:tcBorders>
              <w:bottom w:val="single" w:color="666666" w:sz="12" w:space="0"/>
            </w:tcBorders>
            <w:shd w:val="clear" w:color="auto" w:fill="auto"/>
            <w:vAlign w:val="center"/>
          </w:tcPr>
          <w:p>
            <w:pPr>
              <w:widowControl/>
              <w:spacing w:line="240" w:lineRule="auto"/>
              <w:jc w:val="center"/>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污染源</w:t>
            </w:r>
          </w:p>
        </w:tc>
        <w:tc>
          <w:tcPr>
            <w:tcW w:w="705" w:type="pct"/>
            <w:tcBorders>
              <w:bottom w:val="single" w:color="666666" w:sz="12" w:space="0"/>
            </w:tcBorders>
            <w:shd w:val="clear" w:color="auto" w:fill="auto"/>
            <w:noWrap/>
            <w:vAlign w:val="center"/>
          </w:tcPr>
          <w:p>
            <w:pPr>
              <w:widowControl/>
              <w:wordWrap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COD</w:t>
            </w:r>
          </w:p>
        </w:tc>
        <w:tc>
          <w:tcPr>
            <w:tcW w:w="611" w:type="pct"/>
            <w:tcBorders>
              <w:bottom w:val="single" w:color="666666" w:sz="12" w:space="0"/>
            </w:tcBorders>
            <w:shd w:val="clear" w:color="auto" w:fill="auto"/>
            <w:noWrap/>
            <w:vAlign w:val="center"/>
          </w:tcPr>
          <w:p>
            <w:pPr>
              <w:widowControl/>
              <w:wordWrap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氨氮</w:t>
            </w:r>
          </w:p>
        </w:tc>
        <w:tc>
          <w:tcPr>
            <w:tcW w:w="707" w:type="pct"/>
            <w:tcBorders>
              <w:bottom w:val="single" w:color="666666" w:sz="12" w:space="0"/>
            </w:tcBorders>
            <w:shd w:val="clear" w:color="auto" w:fill="auto"/>
            <w:noWrap/>
            <w:vAlign w:val="center"/>
          </w:tcPr>
          <w:p>
            <w:pPr>
              <w:widowControl/>
              <w:wordWrap w:val="0"/>
              <w:spacing w:line="240" w:lineRule="auto"/>
              <w:ind w:right="241"/>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总氮</w:t>
            </w:r>
          </w:p>
        </w:tc>
        <w:tc>
          <w:tcPr>
            <w:tcW w:w="607" w:type="pct"/>
            <w:tcBorders>
              <w:bottom w:val="single" w:color="666666" w:sz="12" w:space="0"/>
            </w:tcBorders>
            <w:shd w:val="clear" w:color="auto" w:fill="auto"/>
            <w:noWrap/>
            <w:vAlign w:val="center"/>
          </w:tcPr>
          <w:p>
            <w:pPr>
              <w:widowControl/>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总磷</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trHeight w:val="510" w:hRule="atLeast"/>
          <w:jc w:val="center"/>
        </w:trPr>
        <w:tc>
          <w:tcPr>
            <w:tcW w:w="1082" w:type="pct"/>
            <w:vMerge w:val="restart"/>
            <w:shd w:val="clear" w:color="auto" w:fill="auto"/>
            <w:vAlign w:val="center"/>
          </w:tcPr>
          <w:p>
            <w:pPr>
              <w:widowControl/>
              <w:spacing w:line="240" w:lineRule="auto"/>
              <w:jc w:val="center"/>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农业面源</w:t>
            </w:r>
          </w:p>
        </w:tc>
        <w:tc>
          <w:tcPr>
            <w:tcW w:w="1288"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农业种植源</w:t>
            </w:r>
          </w:p>
        </w:tc>
        <w:tc>
          <w:tcPr>
            <w:tcW w:w="705"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w:t>
            </w:r>
          </w:p>
        </w:tc>
        <w:tc>
          <w:tcPr>
            <w:tcW w:w="611"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27.99</w:t>
            </w:r>
          </w:p>
        </w:tc>
        <w:tc>
          <w:tcPr>
            <w:tcW w:w="707"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196.88</w:t>
            </w:r>
          </w:p>
        </w:tc>
        <w:tc>
          <w:tcPr>
            <w:tcW w:w="607"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19.2</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trHeight w:val="510" w:hRule="atLeast"/>
          <w:jc w:val="center"/>
        </w:trPr>
        <w:tc>
          <w:tcPr>
            <w:tcW w:w="1082" w:type="pct"/>
            <w:vMerge w:val="continue"/>
            <w:shd w:val="clear" w:color="auto" w:fill="auto"/>
            <w:vAlign w:val="center"/>
          </w:tcPr>
          <w:p>
            <w:pPr>
              <w:widowControl/>
              <w:spacing w:line="240" w:lineRule="auto"/>
              <w:jc w:val="center"/>
              <w:rPr>
                <w:rFonts w:hint="eastAsia" w:ascii="仿宋_GB2312" w:hAnsi="仿宋_GB2312" w:eastAsia="仿宋_GB2312" w:cs="仿宋_GB2312"/>
                <w:b/>
                <w:bCs/>
                <w:color w:val="000000" w:themeColor="text1"/>
                <w:kern w:val="0"/>
                <w:sz w:val="24"/>
                <w:szCs w:val="24"/>
                <w14:textFill>
                  <w14:solidFill>
                    <w14:schemeClr w14:val="tx1"/>
                  </w14:solidFill>
                </w14:textFill>
              </w:rPr>
            </w:pPr>
          </w:p>
        </w:tc>
        <w:tc>
          <w:tcPr>
            <w:tcW w:w="1288"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畜禽养殖源</w:t>
            </w:r>
          </w:p>
        </w:tc>
        <w:tc>
          <w:tcPr>
            <w:tcW w:w="705"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bookmarkStart w:id="38" w:name="RANGE!H11"/>
            <w:r>
              <w:rPr>
                <w:rFonts w:hint="eastAsia" w:ascii="仿宋_GB2312" w:hAnsi="仿宋_GB2312" w:eastAsia="仿宋_GB2312" w:cs="仿宋_GB2312"/>
                <w:color w:val="000000" w:themeColor="text1"/>
                <w:sz w:val="22"/>
                <w:szCs w:val="22"/>
                <w:lang w:val="zh-CN"/>
                <w14:textFill>
                  <w14:solidFill>
                    <w14:schemeClr w14:val="tx1"/>
                  </w14:solidFill>
                </w14:textFill>
              </w:rPr>
              <w:t>1897.32</w:t>
            </w:r>
            <w:bookmarkEnd w:id="38"/>
          </w:p>
        </w:tc>
        <w:tc>
          <w:tcPr>
            <w:tcW w:w="611"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28.6</w:t>
            </w:r>
          </w:p>
        </w:tc>
        <w:tc>
          <w:tcPr>
            <w:tcW w:w="707"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95.65</w:t>
            </w:r>
          </w:p>
        </w:tc>
        <w:tc>
          <w:tcPr>
            <w:tcW w:w="607"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17.47</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trHeight w:val="510" w:hRule="atLeast"/>
          <w:jc w:val="center"/>
        </w:trPr>
        <w:tc>
          <w:tcPr>
            <w:tcW w:w="1082" w:type="pct"/>
            <w:vMerge w:val="continue"/>
            <w:shd w:val="clear" w:color="auto" w:fill="auto"/>
            <w:vAlign w:val="center"/>
          </w:tcPr>
          <w:p>
            <w:pPr>
              <w:widowControl/>
              <w:spacing w:line="240" w:lineRule="auto"/>
              <w:jc w:val="center"/>
              <w:rPr>
                <w:rFonts w:hint="eastAsia" w:ascii="仿宋_GB2312" w:hAnsi="仿宋_GB2312" w:eastAsia="仿宋_GB2312" w:cs="仿宋_GB2312"/>
                <w:b/>
                <w:bCs/>
                <w:color w:val="000000" w:themeColor="text1"/>
                <w:kern w:val="0"/>
                <w:sz w:val="24"/>
                <w:szCs w:val="24"/>
                <w14:textFill>
                  <w14:solidFill>
                    <w14:schemeClr w14:val="tx1"/>
                  </w14:solidFill>
                </w14:textFill>
              </w:rPr>
            </w:pPr>
          </w:p>
        </w:tc>
        <w:tc>
          <w:tcPr>
            <w:tcW w:w="1288"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水产养殖源</w:t>
            </w:r>
          </w:p>
        </w:tc>
        <w:tc>
          <w:tcPr>
            <w:tcW w:w="705"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769.88</w:t>
            </w:r>
          </w:p>
        </w:tc>
        <w:tc>
          <w:tcPr>
            <w:tcW w:w="611"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35.55</w:t>
            </w:r>
          </w:p>
        </w:tc>
        <w:tc>
          <w:tcPr>
            <w:tcW w:w="707"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111.88</w:t>
            </w:r>
          </w:p>
        </w:tc>
        <w:tc>
          <w:tcPr>
            <w:tcW w:w="607" w:type="pct"/>
            <w:shd w:val="clear" w:color="auto" w:fill="auto"/>
            <w:noWrap/>
            <w:vAlign w:val="center"/>
          </w:tcPr>
          <w:p>
            <w:pPr>
              <w:widowControl/>
              <w:spacing w:line="240" w:lineRule="auto"/>
              <w:jc w:val="center"/>
              <w:rPr>
                <w:rFonts w:hint="eastAsia" w:ascii="仿宋_GB2312" w:hAnsi="仿宋_GB2312" w:eastAsia="仿宋_GB2312" w:cs="仿宋_GB2312"/>
                <w:color w:val="000000" w:themeColor="text1"/>
                <w:sz w:val="22"/>
                <w:szCs w:val="22"/>
                <w:lang w:val="zh-CN"/>
                <w14:textFill>
                  <w14:solidFill>
                    <w14:schemeClr w14:val="tx1"/>
                  </w14:solidFill>
                </w14:textFill>
              </w:rPr>
            </w:pPr>
            <w:r>
              <w:rPr>
                <w:rFonts w:hint="eastAsia" w:ascii="仿宋_GB2312" w:hAnsi="仿宋_GB2312" w:eastAsia="仿宋_GB2312" w:cs="仿宋_GB2312"/>
                <w:color w:val="000000" w:themeColor="text1"/>
                <w:sz w:val="22"/>
                <w:szCs w:val="22"/>
                <w:lang w:val="zh-CN"/>
                <w14:textFill>
                  <w14:solidFill>
                    <w14:schemeClr w14:val="tx1"/>
                  </w14:solidFill>
                </w14:textFill>
              </w:rPr>
              <w:t>20.6</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trHeight w:val="510" w:hRule="atLeast"/>
          <w:jc w:val="center"/>
        </w:trPr>
        <w:tc>
          <w:tcPr>
            <w:tcW w:w="2370" w:type="pct"/>
            <w:gridSpan w:val="2"/>
            <w:shd w:val="clear" w:color="auto" w:fill="auto"/>
            <w:vAlign w:val="center"/>
          </w:tcPr>
          <w:p>
            <w:pPr>
              <w:widowControl/>
              <w:spacing w:line="240" w:lineRule="auto"/>
              <w:jc w:val="center"/>
              <w:rPr>
                <w:rFonts w:hint="eastAsia" w:ascii="仿宋_GB2312" w:hAnsi="仿宋_GB2312" w:eastAsia="仿宋_GB2312" w:cs="仿宋_GB2312"/>
                <w:b/>
                <w:bCs/>
                <w:color w:val="000000" w:themeColor="text1"/>
                <w:kern w:val="0"/>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14:textFill>
                  <w14:solidFill>
                    <w14:schemeClr w14:val="tx1"/>
                  </w14:solidFill>
                </w14:textFill>
              </w:rPr>
              <w:t>合计</w:t>
            </w:r>
          </w:p>
        </w:tc>
        <w:tc>
          <w:tcPr>
            <w:tcW w:w="705" w:type="pct"/>
            <w:shd w:val="clear" w:color="auto" w:fill="auto"/>
            <w:noWrap/>
            <w:vAlign w:val="center"/>
          </w:tcPr>
          <w:p>
            <w:pPr>
              <w:widowControl/>
              <w:spacing w:line="240" w:lineRule="auto"/>
              <w:jc w:val="center"/>
              <w:rPr>
                <w:rFonts w:hint="eastAsia" w:ascii="仿宋_GB2312" w:hAnsi="仿宋_GB2312" w:eastAsia="仿宋_GB2312" w:cs="仿宋_GB2312"/>
                <w:b/>
                <w:bCs/>
                <w:color w:val="000000" w:themeColor="text1"/>
                <w:sz w:val="22"/>
                <w:szCs w:val="22"/>
                <w:lang w:val="zh-CN"/>
                <w14:textFill>
                  <w14:solidFill>
                    <w14:schemeClr w14:val="tx1"/>
                  </w14:solidFill>
                </w14:textFill>
              </w:rPr>
            </w:pPr>
            <w:r>
              <w:rPr>
                <w:rFonts w:hint="eastAsia" w:ascii="仿宋_GB2312" w:hAnsi="仿宋_GB2312" w:eastAsia="仿宋_GB2312" w:cs="仿宋_GB2312"/>
                <w:b/>
                <w:bCs/>
                <w:color w:val="000000" w:themeColor="text1"/>
                <w:sz w:val="22"/>
                <w:szCs w:val="22"/>
                <w:lang w:val="zh-CN"/>
                <w14:textFill>
                  <w14:solidFill>
                    <w14:schemeClr w14:val="tx1"/>
                  </w14:solidFill>
                </w14:textFill>
              </w:rPr>
              <w:t>2667.2</w:t>
            </w:r>
          </w:p>
        </w:tc>
        <w:tc>
          <w:tcPr>
            <w:tcW w:w="611" w:type="pct"/>
            <w:shd w:val="clear" w:color="auto" w:fill="auto"/>
            <w:noWrap/>
            <w:vAlign w:val="center"/>
          </w:tcPr>
          <w:p>
            <w:pPr>
              <w:widowControl/>
              <w:spacing w:line="240" w:lineRule="auto"/>
              <w:jc w:val="center"/>
              <w:rPr>
                <w:rFonts w:hint="eastAsia" w:ascii="仿宋_GB2312" w:hAnsi="仿宋_GB2312" w:eastAsia="仿宋_GB2312" w:cs="仿宋_GB2312"/>
                <w:b/>
                <w:bCs/>
                <w:color w:val="000000" w:themeColor="text1"/>
                <w:sz w:val="22"/>
                <w:szCs w:val="22"/>
                <w:lang w:val="zh-CN"/>
                <w14:textFill>
                  <w14:solidFill>
                    <w14:schemeClr w14:val="tx1"/>
                  </w14:solidFill>
                </w14:textFill>
              </w:rPr>
            </w:pPr>
            <w:r>
              <w:rPr>
                <w:rFonts w:hint="eastAsia" w:ascii="仿宋_GB2312" w:hAnsi="仿宋_GB2312" w:eastAsia="仿宋_GB2312" w:cs="仿宋_GB2312"/>
                <w:b/>
                <w:bCs/>
                <w:color w:val="000000" w:themeColor="text1"/>
                <w:sz w:val="22"/>
                <w:szCs w:val="22"/>
                <w:lang w:val="zh-CN"/>
                <w14:textFill>
                  <w14:solidFill>
                    <w14:schemeClr w14:val="tx1"/>
                  </w14:solidFill>
                </w14:textFill>
              </w:rPr>
              <w:t>92.14</w:t>
            </w:r>
          </w:p>
        </w:tc>
        <w:tc>
          <w:tcPr>
            <w:tcW w:w="707" w:type="pct"/>
            <w:shd w:val="clear" w:color="auto" w:fill="auto"/>
            <w:noWrap/>
            <w:vAlign w:val="center"/>
          </w:tcPr>
          <w:p>
            <w:pPr>
              <w:widowControl/>
              <w:spacing w:line="240" w:lineRule="auto"/>
              <w:jc w:val="center"/>
              <w:rPr>
                <w:rFonts w:hint="eastAsia" w:ascii="仿宋_GB2312" w:hAnsi="仿宋_GB2312" w:eastAsia="仿宋_GB2312" w:cs="仿宋_GB2312"/>
                <w:b/>
                <w:bCs/>
                <w:color w:val="000000" w:themeColor="text1"/>
                <w:sz w:val="22"/>
                <w:szCs w:val="22"/>
                <w:lang w:val="zh-CN"/>
                <w14:textFill>
                  <w14:solidFill>
                    <w14:schemeClr w14:val="tx1"/>
                  </w14:solidFill>
                </w14:textFill>
              </w:rPr>
            </w:pPr>
            <w:r>
              <w:rPr>
                <w:rFonts w:hint="eastAsia" w:ascii="仿宋_GB2312" w:hAnsi="仿宋_GB2312" w:eastAsia="仿宋_GB2312" w:cs="仿宋_GB2312"/>
                <w:b/>
                <w:bCs/>
                <w:color w:val="000000" w:themeColor="text1"/>
                <w:sz w:val="22"/>
                <w:szCs w:val="22"/>
                <w:lang w:val="zh-CN"/>
                <w14:textFill>
                  <w14:solidFill>
                    <w14:schemeClr w14:val="tx1"/>
                  </w14:solidFill>
                </w14:textFill>
              </w:rPr>
              <w:t>404.41</w:t>
            </w:r>
          </w:p>
        </w:tc>
        <w:tc>
          <w:tcPr>
            <w:tcW w:w="607" w:type="pct"/>
            <w:shd w:val="clear" w:color="auto" w:fill="auto"/>
            <w:noWrap/>
            <w:vAlign w:val="center"/>
          </w:tcPr>
          <w:p>
            <w:pPr>
              <w:widowControl/>
              <w:spacing w:line="240" w:lineRule="auto"/>
              <w:jc w:val="center"/>
              <w:rPr>
                <w:rFonts w:hint="eastAsia" w:ascii="仿宋_GB2312" w:hAnsi="仿宋_GB2312" w:eastAsia="仿宋_GB2312" w:cs="仿宋_GB2312"/>
                <w:b/>
                <w:bCs/>
                <w:color w:val="000000" w:themeColor="text1"/>
                <w:sz w:val="22"/>
                <w:szCs w:val="22"/>
                <w:lang w:val="zh-CN"/>
                <w14:textFill>
                  <w14:solidFill>
                    <w14:schemeClr w14:val="tx1"/>
                  </w14:solidFill>
                </w14:textFill>
              </w:rPr>
            </w:pPr>
            <w:r>
              <w:rPr>
                <w:rFonts w:hint="eastAsia" w:ascii="仿宋_GB2312" w:hAnsi="仿宋_GB2312" w:eastAsia="仿宋_GB2312" w:cs="仿宋_GB2312"/>
                <w:b/>
                <w:bCs/>
                <w:color w:val="000000" w:themeColor="text1"/>
                <w:sz w:val="22"/>
                <w:szCs w:val="22"/>
                <w:lang w:val="zh-CN"/>
                <w14:textFill>
                  <w14:solidFill>
                    <w14:schemeClr w14:val="tx1"/>
                  </w14:solidFill>
                </w14:textFill>
              </w:rPr>
              <w:t>57.27</w:t>
            </w:r>
          </w:p>
        </w:tc>
      </w:tr>
    </w:tbl>
    <w:p>
      <w:pPr>
        <w:pStyle w:val="4"/>
        <w:keepNext w:val="0"/>
        <w:keepLines w:val="0"/>
        <w:pageBreakBefore w:val="0"/>
        <w:widowControl w:val="0"/>
        <w:numPr>
          <w:ilvl w:val="0"/>
          <w:numId w:val="0"/>
        </w:numPr>
        <w:kinsoku/>
        <w:wordWrap/>
        <w:overflowPunct/>
        <w:topLinePunct w:val="0"/>
        <w:autoSpaceDE/>
        <w:bidi w:val="0"/>
        <w:adjustRightInd/>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39" w:name="_Toc114056711"/>
      <w:r>
        <w:rPr>
          <w:rFonts w:hint="eastAsia" w:ascii="仿宋_GB2312" w:hAnsi="仿宋_GB2312" w:eastAsia="仿宋_GB2312" w:cs="仿宋_GB2312"/>
          <w:color w:val="000000" w:themeColor="text1"/>
          <w:sz w:val="32"/>
          <w:szCs w:val="32"/>
          <w14:textFill>
            <w14:solidFill>
              <w14:schemeClr w14:val="tx1"/>
            </w14:solidFill>
          </w14:textFill>
        </w:rPr>
        <w:t>3.生活污染</w:t>
      </w:r>
      <w:bookmarkEnd w:id="39"/>
      <w:r>
        <w:rPr>
          <w:rFonts w:hint="eastAsia" w:ascii="仿宋_GB2312" w:hAnsi="仿宋_GB2312" w:eastAsia="仿宋_GB2312" w:cs="仿宋_GB2312"/>
          <w:color w:val="000000" w:themeColor="text1"/>
          <w:sz w:val="32"/>
          <w:szCs w:val="32"/>
          <w14:textFill>
            <w14:solidFill>
              <w14:schemeClr w14:val="tx1"/>
            </w14:solidFill>
          </w14:textFill>
        </w:rPr>
        <w:t>源</w:t>
      </w:r>
    </w:p>
    <w:p>
      <w:pPr>
        <w:keepNext w:val="0"/>
        <w:keepLines w:val="0"/>
        <w:pageBreakBefore w:val="0"/>
        <w:widowControl w:val="0"/>
        <w:kinsoku/>
        <w:wordWrap/>
        <w:overflowPunct/>
        <w:topLinePunct w:val="0"/>
        <w:autoSpaceDE/>
        <w:bidi w:val="0"/>
        <w:adjustRightInd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青岚湖断面汇水区域居民生活污染物包括城镇与乡村居民生活污水，涉及</w:t>
      </w:r>
      <w:r>
        <w:rPr>
          <w:rFonts w:hint="eastAsia" w:ascii="仿宋_GB2312" w:hAnsi="仿宋_GB2312" w:eastAsia="仿宋_GB2312" w:cs="仿宋_GB2312"/>
          <w:color w:val="000000" w:themeColor="text1"/>
          <w:sz w:val="32"/>
          <w:szCs w:val="32"/>
          <w14:textFill>
            <w14:solidFill>
              <w14:schemeClr w14:val="tx1"/>
            </w14:solidFill>
          </w14:textFill>
        </w:rPr>
        <w:t>进贤县14个乡镇及南昌县塔城乡部分农村，共56万人，近年来</w:t>
      </w:r>
      <w:r>
        <w:rPr>
          <w:rFonts w:hint="eastAsia" w:ascii="仿宋_GB2312" w:hAnsi="仿宋_GB2312" w:eastAsia="仿宋_GB2312" w:cs="仿宋_GB2312"/>
          <w:color w:val="000000" w:themeColor="text1"/>
          <w:sz w:val="32"/>
          <w:szCs w:val="32"/>
          <w:lang w:val="zh-CN"/>
          <w14:textFill>
            <w14:solidFill>
              <w14:schemeClr w14:val="tx1"/>
            </w14:solidFill>
          </w14:textFill>
        </w:rPr>
        <w:t>常住人口维持在42万人左右，生活污染排放量较大。断面汇水区内化学需氧量、氨氮、总氮和TP入湖量分别为905.24</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、79.52</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 xml:space="preserve">、141.91 </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和10.65</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，其中李渡镇、温圳镇、文港镇TP产生量和入湖量较高。</w:t>
      </w:r>
    </w:p>
    <w:p>
      <w:pPr>
        <w:pStyle w:val="4"/>
        <w:keepNext w:val="0"/>
        <w:keepLines w:val="0"/>
        <w:pageBreakBefore w:val="0"/>
        <w:widowControl w:val="0"/>
        <w:numPr>
          <w:ilvl w:val="0"/>
          <w:numId w:val="0"/>
        </w:numPr>
        <w:kinsoku/>
        <w:wordWrap/>
        <w:overflowPunct/>
        <w:topLinePunct w:val="0"/>
        <w:autoSpaceDE/>
        <w:bidi w:val="0"/>
        <w:adjustRightInd/>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40" w:name="_Toc114056712"/>
      <w:r>
        <w:rPr>
          <w:rFonts w:hint="eastAsia" w:ascii="仿宋_GB2312" w:hAnsi="仿宋_GB2312" w:eastAsia="仿宋_GB2312" w:cs="仿宋_GB2312"/>
          <w:color w:val="000000" w:themeColor="text1"/>
          <w:sz w:val="32"/>
          <w:szCs w:val="32"/>
          <w14:textFill>
            <w14:solidFill>
              <w14:schemeClr w14:val="tx1"/>
            </w14:solidFill>
          </w14:textFill>
        </w:rPr>
        <w:t>4.工业污染源</w:t>
      </w:r>
      <w:bookmarkEnd w:id="40"/>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断面汇水区域共有工业企业645个，其中大型企业1个，中型企业15个，小型企业204个，微型企业426个，民和镇、文港镇、温圳镇、李渡镇、长山晏乡的工业企业数量达532个，占比81.1%。青岚湖断面汇水区内COD入河量为185t/a；氨氮入河量为4.920t/a；总氮入河量为26.176t/a；TP入河量为1.867t/a。</w:t>
      </w:r>
    </w:p>
    <w:p>
      <w:pPr>
        <w:pStyle w:val="4"/>
        <w:keepNext w:val="0"/>
        <w:keepLines w:val="0"/>
        <w:pageBreakBefore w:val="0"/>
        <w:widowControl w:val="0"/>
        <w:numPr>
          <w:ilvl w:val="0"/>
          <w:numId w:val="0"/>
        </w:numPr>
        <w:kinsoku/>
        <w:wordWrap/>
        <w:overflowPunct/>
        <w:topLinePunct w:val="0"/>
        <w:autoSpaceDE/>
        <w:bidi w:val="0"/>
        <w:adjustRightInd/>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41" w:name="_Toc114056713"/>
      <w:r>
        <w:rPr>
          <w:rFonts w:hint="eastAsia" w:ascii="仿宋_GB2312" w:hAnsi="仿宋_GB2312" w:eastAsia="仿宋_GB2312" w:cs="仿宋_GB2312"/>
          <w:color w:val="000000" w:themeColor="text1"/>
          <w:sz w:val="32"/>
          <w:szCs w:val="32"/>
          <w14:textFill>
            <w14:solidFill>
              <w14:schemeClr w14:val="tx1"/>
            </w14:solidFill>
          </w14:textFill>
        </w:rPr>
        <w:t>5.其它污染源</w:t>
      </w:r>
      <w:bookmarkEnd w:id="41"/>
    </w:p>
    <w:bookmarkEnd w:id="31"/>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5.1 底泥释放</w:t>
      </w:r>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据2022年7月实测数据，青岚湖国考断面及其上游断面底泥壤质类别主要为粉土、粉壤土、粉质黏壤土、粉质黏土和黏土。底泥表层含水率较高，表现为流态。底泥总氮、TP和总有机质含量空间分布规律基本一致</w:t>
      </w:r>
      <w:bookmarkStart w:id="42" w:name="_Hlk112152286"/>
      <w:r>
        <w:rPr>
          <w:rFonts w:hint="eastAsia" w:ascii="仿宋_GB2312" w:hAnsi="仿宋_GB2312" w:eastAsia="仿宋_GB2312" w:cs="仿宋_GB2312"/>
          <w:color w:val="000000" w:themeColor="text1"/>
          <w:sz w:val="32"/>
          <w:szCs w:val="32"/>
          <w:lang w:val="zh-CN"/>
          <w14:textFill>
            <w14:solidFill>
              <w14:schemeClr w14:val="tx1"/>
            </w14:solidFill>
          </w14:textFill>
        </w:rPr>
        <w:t>。内青岚湖表层（20cm）沉积物TP含量总体高于外青岚湖底泥TP含量。汇水范围内底泥污染负荷贡献为TP7.42</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，氨氮221.84</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，总氮237.61</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bookmarkEnd w:id="42"/>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5.2 候鸟粪便</w:t>
      </w:r>
    </w:p>
    <w:p>
      <w:pPr>
        <w:pStyle w:val="263"/>
        <w:keepNext w:val="0"/>
        <w:keepLines w:val="0"/>
        <w:pageBreakBefore w:val="0"/>
        <w:widowControl w:val="0"/>
        <w:kinsoku/>
        <w:wordWrap/>
        <w:overflowPunct/>
        <w:topLinePunct w:val="0"/>
        <w:autoSpaceDE/>
        <w:bidi w:val="0"/>
        <w:snapToGrid/>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43" w:name="_Hlk112923249"/>
      <w:r>
        <w:rPr>
          <w:rFonts w:hint="eastAsia" w:ascii="仿宋_GB2312" w:hAnsi="仿宋_GB2312" w:eastAsia="仿宋_GB2312" w:cs="仿宋_GB2312"/>
          <w:color w:val="000000" w:themeColor="text1"/>
          <w:sz w:val="32"/>
          <w:szCs w:val="32"/>
          <w14:textFill>
            <w14:solidFill>
              <w14:schemeClr w14:val="tx1"/>
            </w14:solidFill>
          </w14:textFill>
        </w:rPr>
        <w:t>鄱阳湖是鸟类迁徙路线上重要的湿地，鸟类产生的粪便也成为污染来源之一。</w:t>
      </w:r>
      <w:bookmarkStart w:id="44" w:name="_Hlk116226574"/>
      <w:r>
        <w:rPr>
          <w:rFonts w:hint="eastAsia" w:ascii="仿宋_GB2312" w:hAnsi="仿宋_GB2312" w:eastAsia="仿宋_GB2312" w:cs="仿宋_GB2312"/>
          <w:color w:val="000000" w:themeColor="text1"/>
          <w:sz w:val="32"/>
          <w:szCs w:val="32"/>
          <w14:textFill>
            <w14:solidFill>
              <w14:schemeClr w14:val="tx1"/>
            </w14:solidFill>
          </w14:textFill>
        </w:rPr>
        <w:t>根据历史资料显示，</w:t>
      </w:r>
      <w:bookmarkEnd w:id="44"/>
      <w:r>
        <w:rPr>
          <w:rFonts w:hint="eastAsia" w:ascii="仿宋_GB2312" w:hAnsi="仿宋_GB2312" w:eastAsia="仿宋_GB2312" w:cs="仿宋_GB2312"/>
          <w:color w:val="000000" w:themeColor="text1"/>
          <w:sz w:val="32"/>
          <w:szCs w:val="32"/>
          <w14:textFill>
            <w14:solidFill>
              <w14:schemeClr w14:val="tx1"/>
            </w14:solidFill>
          </w14:textFill>
        </w:rPr>
        <w:t>青岚湖全年共记录鸟类71种，水鸟38种2562只，优势种为豆雁、罗纹鸭、小天鹅和红嘴鸥</w:t>
      </w:r>
      <w:bookmarkEnd w:id="43"/>
      <w:r>
        <w:rPr>
          <w:rFonts w:hint="eastAsia" w:ascii="仿宋_GB2312" w:hAnsi="仿宋_GB2312" w:eastAsia="仿宋_GB2312" w:cs="仿宋_GB2312"/>
          <w:color w:val="000000" w:themeColor="text1"/>
          <w:sz w:val="32"/>
          <w:szCs w:val="32"/>
          <w14:textFill>
            <w14:solidFill>
              <w14:schemeClr w14:val="tx1"/>
            </w14:solidFill>
          </w14:textFill>
        </w:rPr>
        <w:t>，其中冬候鸟1846只，留鸟687只，夏侯鸟/旅鸟29只。</w:t>
      </w:r>
      <w:bookmarkStart w:id="45" w:name="_Hlk116226679"/>
      <w:r>
        <w:rPr>
          <w:rFonts w:hint="eastAsia" w:ascii="仿宋_GB2312" w:hAnsi="仿宋_GB2312" w:eastAsia="仿宋_GB2312" w:cs="仿宋_GB2312"/>
          <w:color w:val="000000" w:themeColor="text1"/>
          <w:sz w:val="32"/>
          <w:szCs w:val="32"/>
          <w14:textFill>
            <w14:solidFill>
              <w14:schemeClr w14:val="tx1"/>
            </w14:solidFill>
          </w14:textFill>
        </w:rPr>
        <w:t>以鄱阳湖鸟类的组成特征计算得出的排放系数计算为549.46gN/只∙年，175.04gP/只∙年。据此核算，由鸟类排泄带来的污染物总氮约1</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41t/a，TP0.45t/a。 </w:t>
      </w:r>
      <w:bookmarkEnd w:id="45"/>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 xml:space="preserve">5.3 </w:t>
      </w:r>
      <w:r>
        <w:rPr>
          <w:rFonts w:hint="eastAsia" w:ascii="仿宋_GB2312" w:hAnsi="仿宋_GB2312" w:eastAsia="仿宋_GB2312" w:cs="仿宋_GB2312"/>
          <w:color w:val="000000" w:themeColor="text1"/>
          <w:sz w:val="32"/>
          <w:szCs w:val="32"/>
          <w14:textFill>
            <w14:solidFill>
              <w14:schemeClr w14:val="tx1"/>
            </w14:solidFill>
          </w14:textFill>
        </w:rPr>
        <w:t>干湿沉降</w:t>
      </w:r>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依据青岚湖的水域面积，结合南昌大气沉降观测数据，核算由大气沉降输入的污染负荷</w:t>
      </w:r>
      <w:r>
        <w:rPr>
          <w:rFonts w:hint="eastAsia" w:ascii="仿宋_GB2312" w:hAnsi="仿宋_GB2312" w:eastAsia="仿宋_GB2312" w:cs="仿宋_GB2312"/>
          <w:color w:val="000000" w:themeColor="text1"/>
          <w:sz w:val="32"/>
          <w:szCs w:val="32"/>
          <w:lang w:val="en-US"/>
          <w14:textFill>
            <w14:solidFill>
              <w14:schemeClr w14:val="tx1"/>
            </w14:solidFill>
          </w14:textFill>
        </w:rPr>
        <w:t>COD297.8</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en-US"/>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总氮</w:t>
      </w:r>
      <w:r>
        <w:rPr>
          <w:rFonts w:hint="eastAsia" w:ascii="仿宋_GB2312" w:hAnsi="仿宋_GB2312" w:eastAsia="仿宋_GB2312" w:cs="仿宋_GB2312"/>
          <w:color w:val="000000" w:themeColor="text1"/>
          <w:sz w:val="32"/>
          <w:szCs w:val="32"/>
          <w:lang w:val="en-US"/>
          <w14:textFill>
            <w14:solidFill>
              <w14:schemeClr w14:val="tx1"/>
            </w14:solidFill>
          </w14:textFill>
        </w:rPr>
        <w:t xml:space="preserve">732.2 </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en-US"/>
          <w14:textFill>
            <w14:solidFill>
              <w14:schemeClr w14:val="tx1"/>
            </w14:solidFill>
          </w14:textFill>
        </w:rPr>
        <w:t>，TP6.11</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pPr>
        <w:pStyle w:val="5"/>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 xml:space="preserve">5.4 </w:t>
      </w:r>
      <w:r>
        <w:rPr>
          <w:rFonts w:hint="eastAsia" w:ascii="仿宋_GB2312" w:hAnsi="仿宋_GB2312" w:eastAsia="仿宋_GB2312" w:cs="仿宋_GB2312"/>
          <w:color w:val="000000" w:themeColor="text1"/>
          <w:sz w:val="32"/>
          <w:szCs w:val="32"/>
          <w14:textFill>
            <w14:solidFill>
              <w14:schemeClr w14:val="tx1"/>
            </w14:solidFill>
          </w14:textFill>
        </w:rPr>
        <w:t>城市径流</w:t>
      </w:r>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进贤县城市地表径流面源</w:t>
      </w:r>
      <w:r>
        <w:rPr>
          <w:rFonts w:hint="eastAsia" w:ascii="仿宋_GB2312" w:hAnsi="仿宋_GB2312" w:eastAsia="仿宋_GB2312" w:cs="仿宋_GB2312"/>
          <w:color w:val="000000" w:themeColor="text1"/>
          <w:sz w:val="32"/>
          <w:szCs w:val="32"/>
          <w:lang w:val="en-US"/>
          <w14:textFill>
            <w14:solidFill>
              <w14:schemeClr w14:val="tx1"/>
            </w14:solidFill>
          </w14:textFill>
        </w:rPr>
        <w:t>COD</w:t>
      </w:r>
      <w:r>
        <w:rPr>
          <w:rFonts w:hint="eastAsia" w:ascii="仿宋_GB2312" w:hAnsi="仿宋_GB2312" w:eastAsia="仿宋_GB2312" w:cs="仿宋_GB2312"/>
          <w:color w:val="000000" w:themeColor="text1"/>
          <w:sz w:val="32"/>
          <w:szCs w:val="32"/>
          <w:lang w:val="zh-CN"/>
          <w14:textFill>
            <w14:solidFill>
              <w14:schemeClr w14:val="tx1"/>
            </w14:solidFill>
          </w14:textFill>
        </w:rPr>
        <w:t>入河量为</w:t>
      </w:r>
      <w:r>
        <w:rPr>
          <w:rFonts w:hint="eastAsia" w:ascii="仿宋_GB2312" w:hAnsi="仿宋_GB2312" w:eastAsia="仿宋_GB2312" w:cs="仿宋_GB2312"/>
          <w:color w:val="000000" w:themeColor="text1"/>
          <w:sz w:val="32"/>
          <w:szCs w:val="32"/>
          <w:lang w:val="en-US"/>
          <w14:textFill>
            <w14:solidFill>
              <w14:schemeClr w14:val="tx1"/>
            </w14:solidFill>
          </w14:textFill>
        </w:rPr>
        <w:t>33.15</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、氨氮入河量为</w:t>
      </w:r>
      <w:r>
        <w:rPr>
          <w:rFonts w:hint="eastAsia" w:ascii="仿宋_GB2312" w:hAnsi="仿宋_GB2312" w:eastAsia="仿宋_GB2312" w:cs="仿宋_GB2312"/>
          <w:color w:val="000000" w:themeColor="text1"/>
          <w:sz w:val="32"/>
          <w:szCs w:val="32"/>
          <w:lang w:val="en-US"/>
          <w14:textFill>
            <w14:solidFill>
              <w14:schemeClr w14:val="tx1"/>
            </w14:solidFill>
          </w14:textFill>
        </w:rPr>
        <w:t>1.40</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14:textFill>
            <w14:solidFill>
              <w14:schemeClr w14:val="tx1"/>
            </w14:solidFill>
          </w14:textFill>
        </w:rPr>
        <w:t>TP</w:t>
      </w:r>
      <w:r>
        <w:rPr>
          <w:rFonts w:hint="eastAsia" w:ascii="仿宋_GB2312" w:hAnsi="仿宋_GB2312" w:eastAsia="仿宋_GB2312" w:cs="仿宋_GB2312"/>
          <w:color w:val="000000" w:themeColor="text1"/>
          <w:sz w:val="32"/>
          <w:szCs w:val="32"/>
          <w:lang w:val="zh-CN"/>
          <w14:textFill>
            <w14:solidFill>
              <w14:schemeClr w14:val="tx1"/>
            </w14:solidFill>
          </w14:textFill>
        </w:rPr>
        <w:t>入河量为</w:t>
      </w:r>
      <w:r>
        <w:rPr>
          <w:rFonts w:hint="eastAsia" w:ascii="仿宋_GB2312" w:hAnsi="仿宋_GB2312" w:eastAsia="仿宋_GB2312" w:cs="仿宋_GB2312"/>
          <w:color w:val="000000" w:themeColor="text1"/>
          <w:sz w:val="32"/>
          <w:szCs w:val="32"/>
          <w:lang w:val="en-US"/>
          <w14:textFill>
            <w14:solidFill>
              <w14:schemeClr w14:val="tx1"/>
            </w14:solidFill>
          </w14:textFill>
        </w:rPr>
        <w:t>0.04</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、总氮入河量为</w:t>
      </w:r>
      <w:r>
        <w:rPr>
          <w:rFonts w:hint="eastAsia" w:ascii="仿宋_GB2312" w:hAnsi="仿宋_GB2312" w:eastAsia="仿宋_GB2312" w:cs="仿宋_GB2312"/>
          <w:color w:val="000000" w:themeColor="text1"/>
          <w:sz w:val="32"/>
          <w:szCs w:val="32"/>
          <w:lang w:val="en-US"/>
          <w14:textFill>
            <w14:solidFill>
              <w14:schemeClr w14:val="tx1"/>
            </w14:solidFill>
          </w14:textFill>
        </w:rPr>
        <w:t>2.36</w:t>
      </w:r>
      <w:r>
        <w:rPr>
          <w:rFonts w:hint="eastAsia" w:ascii="仿宋_GB2312" w:hAnsi="仿宋_GB2312" w:eastAsia="仿宋_GB2312" w:cs="仿宋_GB2312"/>
          <w:color w:val="000000" w:themeColor="text1"/>
          <w:sz w:val="32"/>
          <w:szCs w:val="32"/>
          <w14:textFill>
            <w14:solidFill>
              <w14:schemeClr w14:val="tx1"/>
            </w14:solidFill>
          </w14:textFill>
        </w:rPr>
        <w:t>t/a</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46" w:name="_Toc114056714"/>
      <w:r>
        <w:rPr>
          <w:rFonts w:hint="eastAsia" w:ascii="楷体_GB2312" w:hAnsi="楷体_GB2312" w:eastAsia="楷体_GB2312" w:cs="楷体_GB2312"/>
          <w:color w:val="000000" w:themeColor="text1"/>
          <w:sz w:val="32"/>
          <w:szCs w:val="32"/>
          <w14:textFill>
            <w14:solidFill>
              <w14:schemeClr w14:val="tx1"/>
            </w14:solidFill>
          </w14:textFill>
        </w:rPr>
        <w:t>（二）水生态环境调查</w:t>
      </w:r>
      <w:bookmarkEnd w:id="46"/>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青岚湖为天然湖泊，主要生境为湖泊水域、草洲和农田。青岚湖湖泊驳岸多为自然岸坡，沿线植栽仅有一层草皮，少量乔木，部分水域淤泥较深，总体植被单一。湖滨绿地进深不足、分布不均，缺乏连续性，沿河绿化景观节点少，且只分布在老城区段内。</w:t>
      </w:r>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据南昌市历史观测数据，青岚湖鸟类71种，其中水鸟较多有38种，占比54%。优势种为豆雁、罗纹鸭、小天鹅和红嘴鸥。青岚湖土著鱼类11种，优势种为鲢鱼、鳙鱼、草鱼和鲤鱼。青岚湖大型底栖动物密度467ind./m</w:t>
      </w:r>
      <w:r>
        <w:rPr>
          <w:rFonts w:hint="eastAsia" w:ascii="仿宋_GB2312" w:hAnsi="仿宋_GB2312" w:eastAsia="仿宋_GB2312" w:cs="仿宋_GB2312"/>
          <w:color w:val="000000" w:themeColor="text1"/>
          <w:sz w:val="32"/>
          <w:szCs w:val="32"/>
          <w:vertAlign w:val="superscript"/>
          <w:lang w:val="zh-CN"/>
          <w14:textFill>
            <w14:solidFill>
              <w14:schemeClr w14:val="tx1"/>
            </w14:solidFill>
          </w14:textFill>
        </w:rPr>
        <w:t>2</w:t>
      </w:r>
      <w:r>
        <w:rPr>
          <w:rFonts w:hint="eastAsia" w:ascii="仿宋_GB2312" w:hAnsi="仿宋_GB2312" w:eastAsia="仿宋_GB2312" w:cs="仿宋_GB2312"/>
          <w:color w:val="000000" w:themeColor="text1"/>
          <w:sz w:val="32"/>
          <w:szCs w:val="32"/>
          <w:lang w:val="zh-CN"/>
          <w14:textFill>
            <w14:solidFill>
              <w14:schemeClr w14:val="tx1"/>
            </w14:solidFill>
          </w14:textFill>
        </w:rPr>
        <w:t>，其中寡鳃齿吻沙蚕、梨形环棱螺、河蚬、粗腹摇蚊属、羽摇蚊属占据优势地位。捕食者密度较高，刮食者较低。青岚湖淡水蚌类有11属35种，优势种为圆顶珠蚌、洞穴丽蚌和中国尖嵴蚌，年平均生物量为15.94±5.26g/m</w:t>
      </w:r>
      <w:r>
        <w:rPr>
          <w:rFonts w:hint="eastAsia" w:ascii="仿宋_GB2312" w:hAnsi="仿宋_GB2312" w:eastAsia="仿宋_GB2312" w:cs="仿宋_GB2312"/>
          <w:color w:val="000000" w:themeColor="text1"/>
          <w:sz w:val="32"/>
          <w:szCs w:val="32"/>
          <w:vertAlign w:val="superscript"/>
          <w:lang w:val="zh-CN"/>
          <w14:textFill>
            <w14:solidFill>
              <w14:schemeClr w14:val="tx1"/>
            </w14:solidFill>
          </w14:textFill>
        </w:rPr>
        <w:t>2</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47" w:name="_Toc114056715"/>
      <w:r>
        <w:rPr>
          <w:rFonts w:hint="eastAsia" w:ascii="楷体_GB2312" w:hAnsi="楷体_GB2312" w:eastAsia="楷体_GB2312" w:cs="楷体_GB2312"/>
          <w:color w:val="000000" w:themeColor="text1"/>
          <w:sz w:val="32"/>
          <w:szCs w:val="32"/>
          <w14:textFill>
            <w14:solidFill>
              <w14:schemeClr w14:val="tx1"/>
            </w14:solidFill>
          </w14:textFill>
        </w:rPr>
        <w:t>（三）加密监测与溯源分析</w:t>
      </w:r>
      <w:bookmarkEnd w:id="47"/>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eastAsia="仿宋" w:cs="Times New Roman"/>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准确掌握青岚湖断面和排口水质情况，2022年5月对外青岚湖进行了走航加密监测（附图6），点位信息及监测结果如表3.3-1。外青岚湖左上游支流中，东湖头来水TP浓度最高，可达0.18mg/L，推测东湖头来水TP浓度过高是导致外青岚湖左上游水体TP浓度偏高（0.08mg/L）的重要原因；其余排口/支流TP浓度在0.07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0.09mg/L之间，与青岚湖水体TP浓度水平相当。青岚湖右侧断面TP浓度由0.05mg/L升高至国考断面的0.07mg/L，推测进贤县回峰闸1、回峰闸2排水对青岚湖断面TP浓度升高有一定影响。</w:t>
      </w:r>
    </w:p>
    <w:p>
      <w:pPr>
        <w:widowControl/>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p>
    <w:p>
      <w:pPr>
        <w:widowControl/>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p>
    <w:p>
      <w:pPr>
        <w:widowControl/>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表3.3-1  2022年5月18日青岚湖走航监测布点图</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0"/>
        <w:gridCol w:w="2943"/>
        <w:gridCol w:w="2472"/>
        <w:gridCol w:w="512"/>
        <w:gridCol w:w="644"/>
        <w:gridCol w:w="654"/>
        <w:gridCol w:w="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vMerge w:val="restart"/>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hint="eastAsia" w:eastAsia="仿宋" w:cs="Times New Roman"/>
                <w:b/>
                <w:bCs w:val="0"/>
                <w:color w:val="000000" w:themeColor="text1"/>
                <w:sz w:val="22"/>
                <w:szCs w:val="22"/>
                <w14:textFill>
                  <w14:solidFill>
                    <w14:schemeClr w14:val="tx1"/>
                  </w14:solidFill>
                </w14:textFill>
              </w:rPr>
              <w:t>点位编号</w:t>
            </w:r>
          </w:p>
        </w:tc>
        <w:tc>
          <w:tcPr>
            <w:tcW w:w="1769" w:type="pct"/>
            <w:vMerge w:val="restart"/>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hint="eastAsia" w:eastAsia="仿宋" w:cs="Times New Roman"/>
                <w:b/>
                <w:bCs w:val="0"/>
                <w:color w:val="000000" w:themeColor="text1"/>
                <w:sz w:val="22"/>
                <w:szCs w:val="22"/>
                <w14:textFill>
                  <w14:solidFill>
                    <w14:schemeClr w14:val="tx1"/>
                  </w14:solidFill>
                </w14:textFill>
              </w:rPr>
              <w:t>点位名称</w:t>
            </w:r>
          </w:p>
        </w:tc>
        <w:tc>
          <w:tcPr>
            <w:tcW w:w="1486" w:type="pct"/>
            <w:vMerge w:val="restart"/>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hint="eastAsia" w:eastAsia="仿宋" w:cs="Times New Roman"/>
                <w:b/>
                <w:bCs w:val="0"/>
                <w:color w:val="000000" w:themeColor="text1"/>
                <w:sz w:val="22"/>
                <w:szCs w:val="22"/>
                <w14:textFill>
                  <w14:solidFill>
                    <w14:schemeClr w14:val="tx1"/>
                  </w14:solidFill>
                </w14:textFill>
              </w:rPr>
              <w:t>经纬度</w:t>
            </w:r>
          </w:p>
        </w:tc>
        <w:tc>
          <w:tcPr>
            <w:tcW w:w="1395" w:type="pct"/>
            <w:gridSpan w:val="4"/>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hint="eastAsia" w:eastAsia="仿宋" w:cs="Times New Roman"/>
                <w:b/>
                <w:bCs w:val="0"/>
                <w:color w:val="000000" w:themeColor="text1"/>
                <w:sz w:val="22"/>
                <w:szCs w:val="22"/>
                <w14:textFill>
                  <w14:solidFill>
                    <w14:schemeClr w14:val="tx1"/>
                  </w14:solidFill>
                </w14:textFill>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349" w:type="pct"/>
            <w:vMerge w:val="continue"/>
            <w:shd w:val="clear" w:color="auto" w:fill="auto"/>
            <w:vAlign w:val="center"/>
          </w:tcPr>
          <w:p>
            <w:pPr>
              <w:adjustRightInd w:val="0"/>
              <w:snapToGrid w:val="0"/>
              <w:spacing w:line="240" w:lineRule="auto"/>
              <w:jc w:val="center"/>
              <w:rPr>
                <w:rFonts w:eastAsia="仿宋" w:cs="Times New Roman"/>
                <w:b/>
                <w:color w:val="000000" w:themeColor="text1"/>
                <w:sz w:val="22"/>
                <w:szCs w:val="22"/>
                <w14:textFill>
                  <w14:solidFill>
                    <w14:schemeClr w14:val="tx1"/>
                  </w14:solidFill>
                </w14:textFill>
              </w:rPr>
            </w:pPr>
          </w:p>
        </w:tc>
        <w:tc>
          <w:tcPr>
            <w:tcW w:w="1769" w:type="pct"/>
            <w:vMerge w:val="continue"/>
            <w:shd w:val="clear" w:color="auto" w:fill="auto"/>
            <w:vAlign w:val="center"/>
          </w:tcPr>
          <w:p>
            <w:pPr>
              <w:adjustRightInd w:val="0"/>
              <w:snapToGrid w:val="0"/>
              <w:spacing w:line="240" w:lineRule="auto"/>
              <w:jc w:val="center"/>
              <w:rPr>
                <w:rFonts w:eastAsia="仿宋" w:cs="Times New Roman"/>
                <w:b/>
                <w:color w:val="000000" w:themeColor="text1"/>
                <w:sz w:val="22"/>
                <w:szCs w:val="22"/>
                <w14:textFill>
                  <w14:solidFill>
                    <w14:schemeClr w14:val="tx1"/>
                  </w14:solidFill>
                </w14:textFill>
              </w:rPr>
            </w:pPr>
          </w:p>
        </w:tc>
        <w:tc>
          <w:tcPr>
            <w:tcW w:w="1486" w:type="pct"/>
            <w:vMerge w:val="continue"/>
            <w:shd w:val="clear" w:color="auto" w:fill="auto"/>
            <w:vAlign w:val="center"/>
          </w:tcPr>
          <w:p>
            <w:pPr>
              <w:adjustRightInd w:val="0"/>
              <w:snapToGrid w:val="0"/>
              <w:spacing w:line="240" w:lineRule="auto"/>
              <w:jc w:val="center"/>
              <w:rPr>
                <w:rFonts w:eastAsia="仿宋" w:cs="Times New Roman"/>
                <w:b/>
                <w:color w:val="000000" w:themeColor="text1"/>
                <w:sz w:val="22"/>
                <w:szCs w:val="22"/>
                <w14:textFill>
                  <w14:solidFill>
                    <w14:schemeClr w14:val="tx1"/>
                  </w14:solidFill>
                </w14:textFill>
              </w:rPr>
            </w:pPr>
          </w:p>
        </w:tc>
        <w:tc>
          <w:tcPr>
            <w:tcW w:w="308" w:type="pct"/>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eastAsia="仿宋" w:cs="Times New Roman"/>
                <w:b/>
                <w:bCs w:val="0"/>
                <w:color w:val="000000" w:themeColor="text1"/>
                <w:sz w:val="22"/>
                <w:szCs w:val="22"/>
                <w14:textFill>
                  <w14:solidFill>
                    <w14:schemeClr w14:val="tx1"/>
                  </w14:solidFill>
                </w14:textFill>
              </w:rPr>
              <w:t>pH</w:t>
            </w:r>
          </w:p>
        </w:tc>
        <w:tc>
          <w:tcPr>
            <w:tcW w:w="387" w:type="pct"/>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eastAsia="仿宋" w:cs="Times New Roman"/>
                <w:b/>
                <w:bCs w:val="0"/>
                <w:color w:val="000000" w:themeColor="text1"/>
                <w:sz w:val="22"/>
                <w:szCs w:val="22"/>
                <w14:textFill>
                  <w14:solidFill>
                    <w14:schemeClr w14:val="tx1"/>
                  </w14:solidFill>
                </w14:textFill>
              </w:rPr>
              <w:t>COD</w:t>
            </w:r>
          </w:p>
        </w:tc>
        <w:tc>
          <w:tcPr>
            <w:tcW w:w="393" w:type="pct"/>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hint="eastAsia" w:eastAsia="仿宋" w:cs="Times New Roman"/>
                <w:b/>
                <w:bCs w:val="0"/>
                <w:color w:val="000000" w:themeColor="text1"/>
                <w:sz w:val="22"/>
                <w:szCs w:val="22"/>
                <w14:textFill>
                  <w14:solidFill>
                    <w14:schemeClr w14:val="tx1"/>
                  </w14:solidFill>
                </w14:textFill>
              </w:rPr>
              <w:t>氨氮</w:t>
            </w:r>
          </w:p>
        </w:tc>
        <w:tc>
          <w:tcPr>
            <w:tcW w:w="307" w:type="pct"/>
            <w:shd w:val="clear" w:color="auto" w:fill="auto"/>
            <w:vAlign w:val="center"/>
          </w:tcPr>
          <w:p>
            <w:pPr>
              <w:adjustRightInd w:val="0"/>
              <w:snapToGrid w:val="0"/>
              <w:spacing w:line="240" w:lineRule="auto"/>
              <w:jc w:val="center"/>
              <w:rPr>
                <w:rFonts w:eastAsia="仿宋" w:cs="Times New Roman"/>
                <w:b/>
                <w:bCs w:val="0"/>
                <w:color w:val="000000" w:themeColor="text1"/>
                <w:sz w:val="22"/>
                <w:szCs w:val="22"/>
                <w14:textFill>
                  <w14:solidFill>
                    <w14:schemeClr w14:val="tx1"/>
                  </w14:solidFill>
                </w14:textFill>
              </w:rPr>
            </w:pPr>
            <w:r>
              <w:rPr>
                <w:rFonts w:eastAsia="仿宋" w:cs="Times New Roman"/>
                <w:b/>
                <w:bCs w:val="0"/>
                <w:color w:val="000000" w:themeColor="text1"/>
                <w:sz w:val="22"/>
                <w:szCs w:val="22"/>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英山堤闸外</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116.1854，28.4341</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6.54</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9</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0.047</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离闸3000</w:t>
            </w:r>
            <w:r>
              <w:rPr>
                <w:rFonts w:hint="eastAsia" w:eastAsia="仿宋" w:cs="Times New Roman"/>
                <w:color w:val="000000" w:themeColor="text1"/>
                <w:sz w:val="22"/>
                <w:szCs w:val="22"/>
                <w14:textFill>
                  <w14:solidFill>
                    <w14:schemeClr w14:val="tx1"/>
                  </w14:solidFill>
                </w14:textFill>
              </w:rPr>
              <w:t>m</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116.1787，28.4515</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6.71</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10</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0.198</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3</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离闸5000</w:t>
            </w:r>
            <w:r>
              <w:rPr>
                <w:rFonts w:hint="eastAsia" w:eastAsia="仿宋" w:cs="Times New Roman"/>
                <w:color w:val="000000" w:themeColor="text1"/>
                <w:sz w:val="22"/>
                <w:szCs w:val="22"/>
                <w14:textFill>
                  <w14:solidFill>
                    <w14:schemeClr w14:val="tx1"/>
                  </w14:solidFill>
                </w14:textFill>
              </w:rPr>
              <w:t>m</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116.1750，28.4607</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6.86</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13</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0.204</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4</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离闸7000</w:t>
            </w:r>
            <w:r>
              <w:rPr>
                <w:rFonts w:hint="eastAsia" w:eastAsia="仿宋" w:cs="Times New Roman"/>
                <w:color w:val="000000" w:themeColor="text1"/>
                <w:sz w:val="22"/>
                <w:szCs w:val="22"/>
                <w14:textFill>
                  <w14:solidFill>
                    <w14:schemeClr w14:val="tx1"/>
                  </w14:solidFill>
                </w14:textFill>
              </w:rPr>
              <w:t>m</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116.1704，28.4705</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6.93</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12</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0.193</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5</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国控点位</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116.1464，28.4913</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7.22</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12</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0.209</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凤凰咀闸</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116.1336，28.4873</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6.33</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0.22</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南昌县喻家</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116.1272，28.4775</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6.74</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15</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0.204</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8</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南昌县南山龚家</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116.1246，28.4704</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6.69</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13</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0.188</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9</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南昌县润埠龚家</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116.1221，28.4615</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7.34</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16</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0.517</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10</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南昌县润埠龚家闸口</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116.1176，28.4579</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7.15</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0.409</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南昌县润埠龚家排口</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116.1147，28.45</w:t>
            </w:r>
            <w:r>
              <w:rPr>
                <w:rFonts w:hint="eastAsia" w:eastAsia="仿宋" w:cs="Times New Roman"/>
                <w:color w:val="000000" w:themeColor="text1"/>
                <w:sz w:val="22"/>
                <w:szCs w:val="22"/>
                <w14:textFill>
                  <w14:solidFill>
                    <w14:schemeClr w14:val="tx1"/>
                  </w14:solidFill>
                </w14:textFill>
              </w:rPr>
              <w:t>3</w:t>
            </w:r>
            <w:r>
              <w:rPr>
                <w:rFonts w:eastAsia="仿宋" w:cs="Times New Roman"/>
                <w:color w:val="000000" w:themeColor="text1"/>
                <w:sz w:val="22"/>
                <w:szCs w:val="22"/>
                <w14:textFill>
                  <w14:solidFill>
                    <w14:schemeClr w14:val="tx1"/>
                  </w14:solidFill>
                </w14:textFill>
              </w:rPr>
              <w:t>9</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6.95</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13</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0.442</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12</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架桥沙头严家</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116.1164，28.4487</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6.73</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12</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0.382</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13</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蛤蟆墩下</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116.1175，28.4418</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6.88</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16</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0.766</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蛤蟆墩</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116.1207，28.4344</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6.85</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15</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0.734</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15</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魏家闸下游400</w:t>
            </w:r>
            <w:r>
              <w:rPr>
                <w:rFonts w:hint="eastAsia" w:eastAsia="仿宋" w:cs="Times New Roman"/>
                <w:color w:val="000000" w:themeColor="text1"/>
                <w:sz w:val="22"/>
                <w:szCs w:val="22"/>
                <w14:textFill>
                  <w14:solidFill>
                    <w14:schemeClr w14:val="tx1"/>
                  </w14:solidFill>
                </w14:textFill>
              </w:rPr>
              <w:t>m</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116.1251，28.4292</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7.42</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15</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0.777</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16</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东湖头与电干尾渠汇合点</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116.1229，28.4256</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7.38</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16</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0.75</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17</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东湖头</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116.1200，28.4217</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7.68</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23</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1.33</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18</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电干尾渠</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116.1221，28.4190</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7.47</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0.723</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19</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民升纸业</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116.1230，28.4170</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7.34</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15</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0.755</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20</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南阳桥下游200</w:t>
            </w:r>
            <w:r>
              <w:rPr>
                <w:rFonts w:hint="eastAsia" w:eastAsia="仿宋" w:cs="Times New Roman"/>
                <w:color w:val="000000" w:themeColor="text1"/>
                <w:sz w:val="22"/>
                <w:szCs w:val="22"/>
                <w14:textFill>
                  <w14:solidFill>
                    <w14:schemeClr w14:val="tx1"/>
                  </w14:solidFill>
                </w14:textFill>
              </w:rPr>
              <w:t>m</w:t>
            </w:r>
            <w:r>
              <w:rPr>
                <w:rFonts w:eastAsia="仿宋" w:cs="Times New Roman"/>
                <w:color w:val="000000" w:themeColor="text1"/>
                <w:sz w:val="22"/>
                <w:szCs w:val="22"/>
                <w14:textFill>
                  <w14:solidFill>
                    <w14:schemeClr w14:val="tx1"/>
                  </w14:solidFill>
                </w14:textFill>
              </w:rPr>
              <w:t>排口</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116.1258，28.4099</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6.87</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0.182</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21</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南阳桥</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116.1280，28.4083</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6.62</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15</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0.274</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22</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电干渠入湖口</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116.1211，28.4228</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6.91</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0.647</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23</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魏家闸口</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116.1278，28.4256</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6.84</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0.879</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24</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西昌渡</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116.1196，28.4458</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6.83</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12</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0.744</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25</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斗笠卢家</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116.1274，28.4509</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7.18</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0.182</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26</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北边村</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116.1334，28.4613</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6.79</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0.193</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27</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回峰闸1</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116.1508，28.4692</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6.82</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0.362</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28</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回峰闸2</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116.1564，28.4684</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7.1</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14</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0.376</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29</w:t>
            </w:r>
          </w:p>
        </w:tc>
        <w:tc>
          <w:tcPr>
            <w:tcW w:w="1769"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旧下闸口</w:t>
            </w:r>
          </w:p>
        </w:tc>
        <w:tc>
          <w:tcPr>
            <w:tcW w:w="1486"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116.1659，28.4539</w:t>
            </w:r>
          </w:p>
        </w:tc>
        <w:tc>
          <w:tcPr>
            <w:tcW w:w="308"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6.9</w:t>
            </w:r>
          </w:p>
        </w:tc>
        <w:tc>
          <w:tcPr>
            <w:tcW w:w="38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12</w:t>
            </w:r>
          </w:p>
        </w:tc>
        <w:tc>
          <w:tcPr>
            <w:tcW w:w="393"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0.285</w:t>
            </w:r>
          </w:p>
        </w:tc>
        <w:tc>
          <w:tcPr>
            <w:tcW w:w="307" w:type="pct"/>
            <w:shd w:val="clear" w:color="auto" w:fill="auto"/>
            <w:vAlign w:val="bottom"/>
          </w:tcPr>
          <w:p>
            <w:pPr>
              <w:adjustRightInd w:val="0"/>
              <w:snapToGrid w:val="0"/>
              <w:spacing w:line="240" w:lineRule="auto"/>
              <w:jc w:val="center"/>
              <w:rPr>
                <w:rFonts w:eastAsia="仿宋" w:cs="Times New Roman"/>
                <w:color w:val="000000" w:themeColor="text1"/>
                <w:sz w:val="22"/>
                <w:szCs w:val="22"/>
                <w14:textFill>
                  <w14:solidFill>
                    <w14:schemeClr w14:val="tx1"/>
                  </w14:solidFill>
                </w14:textFill>
              </w:rPr>
            </w:pPr>
            <w:r>
              <w:rPr>
                <w:rFonts w:eastAsia="仿宋" w:cs="Times New Roman"/>
                <w:color w:val="000000" w:themeColor="text1"/>
                <w:sz w:val="22"/>
                <w:szCs w:val="22"/>
                <w14:textFill>
                  <w14:solidFill>
                    <w14:schemeClr w14:val="tx1"/>
                  </w14:solidFill>
                </w14:textFill>
              </w:rPr>
              <w:t>0.05</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内青岚湖7个监测点位（附图7，表3.3-2）表层水TP浓度均值为0.141mg/L（0.063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0.3mg/L），显著高于外青岚湖13个监测点位表层水TP（均值0.091mg/L，0.077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0.132mg/L）。此外，青岚湖国考断面左上游5个监测点TP浓度均值也显著高于国考断面右上游5个监测点的TP浓度均值。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adjustRightInd w:val="0"/>
        <w:jc w:val="center"/>
        <w:rPr>
          <w:rFonts w:hint="eastAsia" w:ascii="仿宋_GB2312" w:hAnsi="仿宋_GB2312" w:eastAsia="仿宋_GB2312" w:cs="仿宋_GB2312"/>
          <w:b/>
          <w:bCs/>
          <w:color w:val="000000" w:themeColor="text1"/>
          <w:sz w:val="24"/>
          <w14:textFill>
            <w14:solidFill>
              <w14:schemeClr w14:val="tx1"/>
            </w14:solidFill>
          </w14:textFill>
        </w:rPr>
      </w:pPr>
    </w:p>
    <w:p>
      <w:pPr>
        <w:adjustRightInd w:val="0"/>
        <w:jc w:val="center"/>
        <w:rPr>
          <w:rFonts w:eastAsia="仿宋" w:cs="Times New Roman"/>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表3.3-2 2022年7月加密监测结果</w:t>
      </w:r>
    </w:p>
    <w:tbl>
      <w:tblPr>
        <w:tblStyle w:val="4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4"/>
        <w:gridCol w:w="1084"/>
        <w:gridCol w:w="722"/>
        <w:gridCol w:w="723"/>
        <w:gridCol w:w="1008"/>
        <w:gridCol w:w="855"/>
        <w:gridCol w:w="723"/>
        <w:gridCol w:w="1050"/>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hint="eastAsia" w:eastAsia="仿宋" w:cs="Times New Roman"/>
                <w:b/>
                <w:bCs/>
                <w:color w:val="000000" w:themeColor="text1"/>
                <w:kern w:val="0"/>
                <w:sz w:val="22"/>
                <w:szCs w:val="22"/>
                <w14:textFill>
                  <w14:solidFill>
                    <w14:schemeClr w14:val="tx1"/>
                  </w14:solidFill>
                </w14:textFill>
              </w:rPr>
              <w:t>点位说明</w:t>
            </w:r>
          </w:p>
        </w:tc>
        <w:tc>
          <w:tcPr>
            <w:tcW w:w="652"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hint="eastAsia" w:eastAsia="仿宋" w:cs="Times New Roman"/>
                <w:b/>
                <w:bCs/>
                <w:color w:val="000000" w:themeColor="text1"/>
                <w:kern w:val="0"/>
                <w:sz w:val="22"/>
                <w:szCs w:val="22"/>
                <w14:textFill>
                  <w14:solidFill>
                    <w14:schemeClr w14:val="tx1"/>
                  </w14:solidFill>
                </w14:textFill>
              </w:rPr>
              <w:t>编号</w:t>
            </w:r>
          </w:p>
        </w:tc>
        <w:tc>
          <w:tcPr>
            <w:tcW w:w="434"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eastAsia="仿宋" w:cs="Times New Roman"/>
                <w:b/>
                <w:bCs/>
                <w:color w:val="000000" w:themeColor="text1"/>
                <w:kern w:val="0"/>
                <w:sz w:val="22"/>
                <w:szCs w:val="22"/>
                <w14:textFill>
                  <w14:solidFill>
                    <w14:schemeClr w14:val="tx1"/>
                  </w14:solidFill>
                </w14:textFill>
              </w:rPr>
              <w:t>TDP</w:t>
            </w:r>
          </w:p>
        </w:tc>
        <w:tc>
          <w:tcPr>
            <w:tcW w:w="435"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eastAsia="仿宋" w:cs="Times New Roman"/>
                <w:b/>
                <w:bCs/>
                <w:color w:val="000000" w:themeColor="text1"/>
                <w:kern w:val="0"/>
                <w:sz w:val="22"/>
                <w:szCs w:val="22"/>
                <w14:textFill>
                  <w14:solidFill>
                    <w14:schemeClr w14:val="tx1"/>
                  </w14:solidFill>
                </w14:textFill>
              </w:rPr>
              <w:t>TP</w:t>
            </w:r>
          </w:p>
        </w:tc>
        <w:tc>
          <w:tcPr>
            <w:tcW w:w="606"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hint="eastAsia" w:eastAsia="仿宋" w:cs="Times New Roman"/>
                <w:b/>
                <w:bCs/>
                <w:color w:val="000000" w:themeColor="text1"/>
                <w:kern w:val="0"/>
                <w:sz w:val="22"/>
                <w:szCs w:val="22"/>
                <w14:textFill>
                  <w14:solidFill>
                    <w14:schemeClr w14:val="tx1"/>
                  </w14:solidFill>
                </w14:textFill>
              </w:rPr>
              <w:t>正磷酸盐</w:t>
            </w:r>
          </w:p>
        </w:tc>
        <w:tc>
          <w:tcPr>
            <w:tcW w:w="514"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eastAsia="仿宋" w:cs="Times New Roman"/>
                <w:b/>
                <w:bCs/>
                <w:color w:val="000000" w:themeColor="text1"/>
                <w:kern w:val="0"/>
                <w:sz w:val="22"/>
                <w:szCs w:val="22"/>
                <w14:textFill>
                  <w14:solidFill>
                    <w14:schemeClr w14:val="tx1"/>
                  </w14:solidFill>
                </w14:textFill>
              </w:rPr>
              <w:t>COD</w:t>
            </w:r>
          </w:p>
        </w:tc>
        <w:tc>
          <w:tcPr>
            <w:tcW w:w="435"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hint="eastAsia" w:eastAsia="仿宋" w:cs="Times New Roman"/>
                <w:b/>
                <w:bCs/>
                <w:color w:val="000000" w:themeColor="text1"/>
                <w:kern w:val="0"/>
                <w:sz w:val="22"/>
                <w:szCs w:val="22"/>
                <w14:textFill>
                  <w14:solidFill>
                    <w14:schemeClr w14:val="tx1"/>
                  </w14:solidFill>
                </w14:textFill>
              </w:rPr>
              <w:t>氨氮</w:t>
            </w:r>
          </w:p>
        </w:tc>
        <w:tc>
          <w:tcPr>
            <w:tcW w:w="631"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hint="eastAsia" w:eastAsia="仿宋" w:cs="Times New Roman"/>
                <w:b/>
                <w:bCs/>
                <w:color w:val="000000" w:themeColor="text1"/>
                <w:kern w:val="0"/>
                <w:sz w:val="22"/>
                <w:szCs w:val="22"/>
                <w14:textFill>
                  <w14:solidFill>
                    <w14:schemeClr w14:val="tx1"/>
                  </w14:solidFill>
                </w14:textFill>
              </w:rPr>
              <w:t>浊度</w:t>
            </w:r>
            <w:r>
              <w:rPr>
                <w:rFonts w:eastAsia="仿宋" w:cs="Times New Roman"/>
                <w:b/>
                <w:bCs/>
                <w:color w:val="000000" w:themeColor="text1"/>
                <w:kern w:val="0"/>
                <w:sz w:val="22"/>
                <w:szCs w:val="22"/>
                <w14:textFill>
                  <w14:solidFill>
                    <w14:schemeClr w14:val="tx1"/>
                  </w14:solidFill>
                </w14:textFill>
              </w:rPr>
              <w:t>NTU</w:t>
            </w:r>
          </w:p>
        </w:tc>
        <w:tc>
          <w:tcPr>
            <w:tcW w:w="641" w:type="pct"/>
            <w:noWrap/>
            <w:vAlign w:val="center"/>
          </w:tcPr>
          <w:p>
            <w:pPr>
              <w:widowControl/>
              <w:spacing w:line="240" w:lineRule="auto"/>
              <w:jc w:val="center"/>
              <w:rPr>
                <w:rFonts w:eastAsia="仿宋" w:cs="Times New Roman"/>
                <w:b/>
                <w:bCs/>
                <w:color w:val="000000" w:themeColor="text1"/>
                <w:kern w:val="0"/>
                <w:sz w:val="22"/>
                <w:szCs w:val="22"/>
                <w14:textFill>
                  <w14:solidFill>
                    <w14:schemeClr w14:val="tx1"/>
                  </w14:solidFill>
                </w14:textFill>
              </w:rPr>
            </w:pPr>
            <w:r>
              <w:rPr>
                <w:rFonts w:eastAsia="仿宋" w:cs="Times New Roman"/>
                <w:b/>
                <w:bCs/>
                <w:color w:val="000000" w:themeColor="text1"/>
                <w:kern w:val="0"/>
                <w:sz w:val="22"/>
                <w:szCs w:val="22"/>
                <w14:textFill>
                  <w14:solidFill>
                    <w14:schemeClr w14:val="tx1"/>
                  </w14:solidFill>
                </w14:textFill>
              </w:rPr>
              <w:t>TSS_mg/L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restart"/>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内青岚湖</w:t>
            </w: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0.1023</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0.2039</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0.0837</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25.1397</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0.395</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42.8</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QLCJZ-2</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0.1713</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0.3002</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0.1697</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25.7117</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0.5514</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68.2</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QLCJZ-3</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0.0643</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0.1488</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0.0148</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24.2093</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0.2196</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56.5</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QLCJZ-4</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0.0466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0.1275</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0.0061</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24.882</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0.2395</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49.4</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QLCJZ-5</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0.0392</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0.0788</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0.0035</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17.9759</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0.1653</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29.2</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QLCJZ-6</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0.0336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0.0625</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0.0026</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16.3287</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0.1243</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25.6</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QLCJZ-7</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0.0308</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0.0674</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0.0064</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20.0031</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0.118</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25.4</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restart"/>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外青岚湖</w:t>
            </w: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QLCJZ-8</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0.0356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0.0773</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0.0044</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18.0217</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0.1712</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42.6</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QLCJZ-9</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0.039</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0.0795</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0.0006</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15.184</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0.2964</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37.5</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QLCJZ-10</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0.0322</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0.0869</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0.0032</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13.4042</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0.1792</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45.5</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QLCJZ-11</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0.0506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0.0905</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0.0138</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12.1271</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0.3369</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30.6</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QLCJZ-12</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0.0373</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0.0969</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0.0175</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11.8807</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0.3286</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44.6</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QLCJZ-13</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0.0301</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0.083</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0.0128</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8.6569</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0.2243</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26.5</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QLCJZ-14</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0.0261</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0.0913</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0.0066</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12.1258</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0.2956</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33.1</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QLCJZ-15</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0.0268</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0.0859</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0.0069</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12.3292</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0.3163</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33.9</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QLCJZ-16</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0.0416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0.1029</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0.0135</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13.1803</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0.2369</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49.8</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QLCJZ-17</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0.0416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0.0895</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0.0095</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12.9446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0.3167</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32.7</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QLCJZ-18</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0.043</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0.1327</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0.0172</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10.7525</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0.3481</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47.9</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QLCJZ-19</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0.0391</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0.0825</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0.0247</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9.3534</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0.2352</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36.9</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2" w:type="pct"/>
            <w:vMerge w:val="continue"/>
          </w:tcPr>
          <w:p>
            <w:pPr>
              <w:widowControl/>
              <w:spacing w:line="240" w:lineRule="auto"/>
              <w:jc w:val="center"/>
              <w:rPr>
                <w:rFonts w:eastAsia="仿宋" w:cs="Times New Roman"/>
                <w:color w:val="000000" w:themeColor="text1"/>
                <w:kern w:val="0"/>
                <w:sz w:val="22"/>
                <w:szCs w:val="22"/>
                <w14:textFill>
                  <w14:solidFill>
                    <w14:schemeClr w14:val="tx1"/>
                  </w14:solidFill>
                </w14:textFill>
              </w:rPr>
            </w:pPr>
          </w:p>
        </w:tc>
        <w:tc>
          <w:tcPr>
            <w:tcW w:w="652"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QLCJZ-20</w:t>
            </w:r>
          </w:p>
        </w:tc>
        <w:tc>
          <w:tcPr>
            <w:tcW w:w="43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0.0506</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0.0902</w:t>
            </w:r>
          </w:p>
        </w:tc>
        <w:tc>
          <w:tcPr>
            <w:tcW w:w="606"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0.0185</w:t>
            </w:r>
          </w:p>
        </w:tc>
        <w:tc>
          <w:tcPr>
            <w:tcW w:w="514"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8.1051</w:t>
            </w:r>
          </w:p>
        </w:tc>
        <w:tc>
          <w:tcPr>
            <w:tcW w:w="435"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0.1519</w:t>
            </w:r>
          </w:p>
        </w:tc>
        <w:tc>
          <w:tcPr>
            <w:tcW w:w="63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36.8</w:t>
            </w:r>
          </w:p>
        </w:tc>
        <w:tc>
          <w:tcPr>
            <w:tcW w:w="641" w:type="pct"/>
            <w:noWrap/>
            <w:vAlign w:val="center"/>
          </w:tcPr>
          <w:p>
            <w:pPr>
              <w:widowControl/>
              <w:spacing w:line="240" w:lineRule="auto"/>
              <w:jc w:val="center"/>
              <w:rPr>
                <w:rFonts w:eastAsia="仿宋" w:cs="Times New Roman"/>
                <w:color w:val="000000" w:themeColor="text1"/>
                <w:kern w:val="0"/>
                <w:sz w:val="22"/>
                <w:szCs w:val="22"/>
                <w14:textFill>
                  <w14:solidFill>
                    <w14:schemeClr w14:val="tx1"/>
                  </w14:solidFill>
                </w14:textFill>
              </w:rPr>
            </w:pPr>
            <w:r>
              <w:rPr>
                <w:rFonts w:eastAsia="仿宋" w:cs="Times New Roman"/>
                <w:color w:val="000000" w:themeColor="text1"/>
                <w:kern w:val="0"/>
                <w:sz w:val="22"/>
                <w:szCs w:val="22"/>
                <w14:textFill>
                  <w14:solidFill>
                    <w14:schemeClr w14:val="tx1"/>
                  </w14:solidFill>
                </w14:textFill>
              </w:rPr>
              <w:t>41.5</w:t>
            </w:r>
          </w:p>
        </w:tc>
      </w:tr>
    </w:tbl>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综上，内青岚湖（接纳进贤县生活污水、水产养殖污水）和国考断面左上游（接纳东湖头污水、进贤县及南昌县塔城乡水岚洲排口排水）为青岚湖国考断面TP污染负荷的主要来源。</w:t>
      </w:r>
    </w:p>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lang w:val="en-US"/>
          <w14:textFill>
            <w14:solidFill>
              <w14:schemeClr w14:val="tx1"/>
            </w14:solidFill>
          </w14:textFill>
        </w:rPr>
      </w:pPr>
      <w:bookmarkStart w:id="48" w:name="_Toc114056716"/>
      <w:r>
        <w:rPr>
          <w:rFonts w:hint="eastAsia" w:ascii="楷体_GB2312" w:hAnsi="楷体_GB2312" w:eastAsia="楷体_GB2312" w:cs="楷体_GB2312"/>
          <w:color w:val="000000" w:themeColor="text1"/>
          <w:sz w:val="32"/>
          <w:szCs w:val="32"/>
          <w:lang w:val="en-US"/>
          <w14:textFill>
            <w14:solidFill>
              <w14:schemeClr w14:val="tx1"/>
            </w14:solidFill>
          </w14:textFill>
        </w:rPr>
        <w:t>（</w:t>
      </w:r>
      <w:r>
        <w:rPr>
          <w:rFonts w:hint="eastAsia" w:ascii="楷体_GB2312" w:hAnsi="楷体_GB2312" w:eastAsia="楷体_GB2312" w:cs="楷体_GB2312"/>
          <w:color w:val="000000" w:themeColor="text1"/>
          <w:sz w:val="32"/>
          <w:szCs w:val="32"/>
          <w14:textFill>
            <w14:solidFill>
              <w14:schemeClr w14:val="tx1"/>
            </w14:solidFill>
          </w14:textFill>
        </w:rPr>
        <w:t>四</w:t>
      </w:r>
      <w:r>
        <w:rPr>
          <w:rFonts w:hint="eastAsia" w:ascii="楷体_GB2312" w:hAnsi="楷体_GB2312" w:eastAsia="楷体_GB2312" w:cs="楷体_GB2312"/>
          <w:color w:val="000000" w:themeColor="text1"/>
          <w:sz w:val="32"/>
          <w:szCs w:val="32"/>
          <w:lang w:val="en-US"/>
          <w14:textFill>
            <w14:solidFill>
              <w14:schemeClr w14:val="tx1"/>
            </w14:solidFill>
          </w14:textFill>
        </w:rPr>
        <w:t>）</w:t>
      </w:r>
      <w:r>
        <w:rPr>
          <w:rFonts w:hint="eastAsia" w:ascii="楷体_GB2312" w:hAnsi="楷体_GB2312" w:eastAsia="楷体_GB2312" w:cs="楷体_GB2312"/>
          <w:color w:val="000000" w:themeColor="text1"/>
          <w:sz w:val="32"/>
          <w:szCs w:val="32"/>
          <w14:textFill>
            <w14:solidFill>
              <w14:schemeClr w14:val="tx1"/>
            </w14:solidFill>
          </w14:textFill>
        </w:rPr>
        <w:t>入湖污染量分析</w:t>
      </w:r>
      <w:bookmarkEnd w:id="48"/>
    </w:p>
    <w:p>
      <w:pPr>
        <w:keepNext w:val="0"/>
        <w:keepLines w:val="0"/>
        <w:pageBreakBefore w:val="0"/>
        <w:widowControl w:val="0"/>
        <w:kinsoku/>
        <w:wordWrap/>
        <w:overflowPunct/>
        <w:topLinePunct w:val="0"/>
        <w:autoSpaceDE/>
        <w:autoSpaceDN w:val="0"/>
        <w:bidi w:val="0"/>
        <w:snapToGrid/>
        <w:spacing w:line="560" w:lineRule="exact"/>
        <w:ind w:firstLine="642" w:firstLineChars="200"/>
        <w:textAlignment w:val="auto"/>
        <w:outlineLvl w:val="2"/>
        <w:rPr>
          <w:rFonts w:hint="eastAsia" w:ascii="仿宋_GB2312" w:hAnsi="仿宋_GB2312" w:eastAsia="仿宋_GB2312" w:cs="仿宋_GB2312"/>
          <w:b/>
          <w:bCs/>
          <w:color w:val="000000" w:themeColor="text1"/>
          <w:sz w:val="32"/>
          <w:szCs w:val="32"/>
          <w:lang w:val="en-US"/>
          <w14:textFill>
            <w14:solidFill>
              <w14:schemeClr w14:val="tx1"/>
            </w14:solidFill>
          </w14:textFill>
        </w:rPr>
      </w:pPr>
      <w:bookmarkStart w:id="49" w:name="_Toc112589790"/>
      <w:r>
        <w:rPr>
          <w:rFonts w:hint="eastAsia" w:ascii="仿宋_GB2312" w:hAnsi="仿宋_GB2312" w:eastAsia="仿宋_GB2312" w:cs="仿宋_GB2312"/>
          <w:b/>
          <w:bCs/>
          <w:color w:val="000000" w:themeColor="text1"/>
          <w:sz w:val="32"/>
          <w:szCs w:val="32"/>
          <w:lang w:val="en-US"/>
          <w14:textFill>
            <w14:solidFill>
              <w14:schemeClr w14:val="tx1"/>
            </w14:solidFill>
          </w14:textFill>
        </w:rPr>
        <w:t xml:space="preserve">1. </w:t>
      </w:r>
      <w:r>
        <w:rPr>
          <w:rFonts w:hint="eastAsia" w:ascii="仿宋_GB2312" w:hAnsi="仿宋_GB2312" w:eastAsia="仿宋_GB2312" w:cs="仿宋_GB2312"/>
          <w:b/>
          <w:bCs/>
          <w:color w:val="000000" w:themeColor="text1"/>
          <w:sz w:val="32"/>
          <w:szCs w:val="32"/>
          <w:lang w:val="zh-CN"/>
          <w14:textFill>
            <w14:solidFill>
              <w14:schemeClr w14:val="tx1"/>
            </w14:solidFill>
          </w14:textFill>
        </w:rPr>
        <w:t>污染物入湖量分析</w:t>
      </w:r>
      <w:bookmarkEnd w:id="49"/>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eastAsia="仿宋" w:cs="Times New Roman"/>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基于污染源现状调查和数据分析</w:t>
      </w:r>
      <w:r>
        <w:rPr>
          <w:rFonts w:hint="eastAsia" w:ascii="仿宋_GB2312" w:hAnsi="仿宋_GB2312" w:eastAsia="仿宋_GB2312" w:cs="仿宋_GB2312"/>
          <w:color w:val="000000" w:themeColor="text1"/>
          <w:sz w:val="32"/>
          <w:szCs w:val="32"/>
          <w:lang w:val="en-US"/>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青岚湖断面汇水区域污染物入湖量为</w:t>
      </w:r>
      <w:r>
        <w:rPr>
          <w:rFonts w:hint="eastAsia" w:ascii="仿宋_GB2312" w:hAnsi="仿宋_GB2312" w:eastAsia="仿宋_GB2312" w:cs="仿宋_GB2312"/>
          <w:color w:val="000000" w:themeColor="text1"/>
          <w:sz w:val="32"/>
          <w:szCs w:val="32"/>
          <w:lang w:val="en-US"/>
          <w14:textFill>
            <w14:solidFill>
              <w14:schemeClr w14:val="tx1"/>
            </w14:solidFill>
          </w14:textFill>
        </w:rPr>
        <w:t>COD</w:t>
      </w:r>
      <w:r>
        <w:rPr>
          <w:rFonts w:hint="eastAsia" w:ascii="仿宋_GB2312" w:hAnsi="仿宋_GB2312" w:eastAsia="仿宋_GB2312" w:cs="仿宋_GB2312"/>
          <w:color w:val="000000" w:themeColor="text1"/>
          <w:sz w:val="32"/>
          <w:szCs w:val="32"/>
          <w14:textFill>
            <w14:solidFill>
              <w14:schemeClr w14:val="tx1"/>
            </w14:solidFill>
          </w14:textFill>
        </w:rPr>
        <w:t>4088.4t/a</w:t>
      </w:r>
      <w:r>
        <w:rPr>
          <w:rFonts w:hint="eastAsia" w:ascii="仿宋_GB2312" w:hAnsi="仿宋_GB2312" w:eastAsia="仿宋_GB2312" w:cs="仿宋_GB2312"/>
          <w:color w:val="000000" w:themeColor="text1"/>
          <w:sz w:val="32"/>
          <w:szCs w:val="32"/>
          <w:lang w:val="zh-CN"/>
          <w14:textFill>
            <w14:solidFill>
              <w14:schemeClr w14:val="tx1"/>
            </w14:solidFill>
          </w14:textFill>
        </w:rPr>
        <w:t>、氨氮</w:t>
      </w:r>
      <w:r>
        <w:rPr>
          <w:rFonts w:hint="eastAsia" w:ascii="仿宋_GB2312" w:hAnsi="仿宋_GB2312" w:eastAsia="仿宋_GB2312" w:cs="仿宋_GB2312"/>
          <w:color w:val="000000" w:themeColor="text1"/>
          <w:sz w:val="32"/>
          <w:szCs w:val="32"/>
          <w14:textFill>
            <w14:solidFill>
              <w14:schemeClr w14:val="tx1"/>
            </w14:solidFill>
          </w14:textFill>
        </w:rPr>
        <w:t>399.8t/a</w:t>
      </w:r>
      <w:r>
        <w:rPr>
          <w:rFonts w:hint="eastAsia" w:ascii="仿宋_GB2312" w:hAnsi="仿宋_GB2312" w:eastAsia="仿宋_GB2312" w:cs="仿宋_GB2312"/>
          <w:color w:val="000000" w:themeColor="text1"/>
          <w:sz w:val="32"/>
          <w:szCs w:val="32"/>
          <w:lang w:val="zh-CN"/>
          <w14:textFill>
            <w14:solidFill>
              <w14:schemeClr w14:val="tx1"/>
            </w14:solidFill>
          </w14:textFill>
        </w:rPr>
        <w:t>、总氮</w:t>
      </w:r>
      <w:r>
        <w:rPr>
          <w:rFonts w:hint="eastAsia" w:ascii="仿宋_GB2312" w:hAnsi="仿宋_GB2312" w:eastAsia="仿宋_GB2312" w:cs="仿宋_GB2312"/>
          <w:color w:val="000000" w:themeColor="text1"/>
          <w:sz w:val="32"/>
          <w:szCs w:val="32"/>
          <w14:textFill>
            <w14:solidFill>
              <w14:schemeClr w14:val="tx1"/>
            </w14:solidFill>
          </w14:textFill>
        </w:rPr>
        <w:t>1545.9t/a</w:t>
      </w: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14:textFill>
            <w14:solidFill>
              <w14:schemeClr w14:val="tx1"/>
            </w14:solidFill>
          </w14:textFill>
        </w:rPr>
        <w:t>TP</w:t>
      </w:r>
      <w:r>
        <w:rPr>
          <w:rFonts w:hint="eastAsia" w:ascii="仿宋_GB2312" w:hAnsi="仿宋_GB2312" w:eastAsia="仿宋_GB2312" w:cs="仿宋_GB2312"/>
          <w:color w:val="000000" w:themeColor="text1"/>
          <w:sz w:val="32"/>
          <w:szCs w:val="32"/>
          <w14:textFill>
            <w14:solidFill>
              <w14:schemeClr w14:val="tx1"/>
            </w14:solidFill>
          </w14:textFill>
        </w:rPr>
        <w:t>83.81t/a</w:t>
      </w:r>
      <w:r>
        <w:rPr>
          <w:rFonts w:hint="eastAsia" w:ascii="仿宋_GB2312" w:hAnsi="仿宋_GB2312" w:eastAsia="仿宋_GB2312" w:cs="仿宋_GB2312"/>
          <w:color w:val="000000" w:themeColor="text1"/>
          <w:sz w:val="32"/>
          <w:szCs w:val="32"/>
          <w:lang w:val="zh-CN"/>
          <w14:textFill>
            <w14:solidFill>
              <w14:schemeClr w14:val="tx1"/>
            </w14:solidFill>
          </w14:textFill>
        </w:rPr>
        <w:t>。从污染类别分析，COD主要来自农业面源，占比65%；氨氮主要来自内源污染源，占比55%；总氮主要来自大气沉降，占比47%；TP主要来自农业面源，占比69%，生活污染排放和</w:t>
      </w:r>
      <w:bookmarkStart w:id="50" w:name="_Hlk112329458"/>
      <w:r>
        <w:rPr>
          <w:rFonts w:hint="eastAsia" w:ascii="仿宋_GB2312" w:hAnsi="仿宋_GB2312" w:eastAsia="仿宋_GB2312" w:cs="仿宋_GB2312"/>
          <w:color w:val="000000" w:themeColor="text1"/>
          <w:sz w:val="32"/>
          <w:szCs w:val="32"/>
          <w:lang w:val="zh-CN"/>
          <w14:textFill>
            <w14:solidFill>
              <w14:schemeClr w14:val="tx1"/>
            </w14:solidFill>
          </w14:textFill>
        </w:rPr>
        <w:t>内源污染释放也是影响断面水质TP指标的重要因素。</w:t>
      </w:r>
      <w:bookmarkEnd w:id="50"/>
    </w:p>
    <w:p>
      <w:pPr>
        <w:keepNext w:val="0"/>
        <w:keepLines w:val="0"/>
        <w:pageBreakBefore w:val="0"/>
        <w:widowControl w:val="0"/>
        <w:kinsoku/>
        <w:wordWrap/>
        <w:overflowPunct/>
        <w:topLinePunct w:val="0"/>
        <w:autoSpaceDE/>
        <w:autoSpaceDN w:val="0"/>
        <w:bidi w:val="0"/>
        <w:snapToGrid/>
        <w:spacing w:line="560" w:lineRule="exact"/>
        <w:ind w:firstLine="642" w:firstLineChars="200"/>
        <w:textAlignment w:val="auto"/>
        <w:outlineLvl w:val="2"/>
        <w:rPr>
          <w:rFonts w:hint="eastAsia" w:ascii="仿宋_GB2312" w:hAnsi="仿宋_GB2312" w:eastAsia="仿宋_GB2312" w:cs="仿宋_GB2312"/>
          <w:b/>
          <w:bCs/>
          <w:color w:val="000000" w:themeColor="text1"/>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val="zh-CN"/>
          <w14:textFill>
            <w14:solidFill>
              <w14:schemeClr w14:val="tx1"/>
            </w14:solidFill>
          </w14:textFill>
        </w:rPr>
        <w:t>2. 断面控制单元设置</w:t>
      </w:r>
    </w:p>
    <w:p>
      <w:pPr>
        <w:keepNext w:val="0"/>
        <w:keepLines w:val="0"/>
        <w:pageBreakBefore w:val="0"/>
        <w:widowControl w:val="0"/>
        <w:kinsoku/>
        <w:wordWrap/>
        <w:overflowPunct/>
        <w:topLinePunct w:val="0"/>
        <w:autoSpaceDE/>
        <w:bidi w:val="0"/>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bookmarkStart w:id="51" w:name="_Hlk112047305"/>
      <w:r>
        <w:rPr>
          <w:rFonts w:hint="eastAsia" w:ascii="仿宋_GB2312" w:hAnsi="仿宋_GB2312" w:eastAsia="仿宋_GB2312" w:cs="仿宋_GB2312"/>
          <w:color w:val="000000" w:themeColor="text1"/>
          <w:sz w:val="32"/>
          <w:szCs w:val="32"/>
          <w:lang w:val="zh-CN"/>
          <w14:textFill>
            <w14:solidFill>
              <w14:schemeClr w14:val="tx1"/>
            </w14:solidFill>
          </w14:textFill>
        </w:rPr>
        <w:t>青岚湖断面汇水区域的重点控制单元划分是根据区域管理主体、水系结构等来确定影响断面水质的污染源分布区域。在控制单元划分过程中，综合考虑了区域污染源分布、产流汇流过程和行政单元，保证各控制单元污染源相对独立，并明确各行政主体的治理责任。青岚湖</w:t>
      </w:r>
      <w:r>
        <w:rPr>
          <w:rFonts w:hint="eastAsia" w:ascii="仿宋_GB2312" w:hAnsi="仿宋_GB2312" w:eastAsia="仿宋_GB2312" w:cs="仿宋_GB2312"/>
          <w:color w:val="000000" w:themeColor="text1"/>
          <w:kern w:val="0"/>
          <w:sz w:val="32"/>
          <w:szCs w:val="32"/>
          <w14:textFill>
            <w14:solidFill>
              <w14:schemeClr w14:val="tx1"/>
            </w14:solidFill>
          </w14:textFill>
        </w:rPr>
        <w:t>断面</w:t>
      </w:r>
      <w:r>
        <w:rPr>
          <w:rFonts w:hint="eastAsia" w:ascii="仿宋_GB2312" w:hAnsi="仿宋_GB2312" w:eastAsia="仿宋_GB2312" w:cs="仿宋_GB2312"/>
          <w:color w:val="000000" w:themeColor="text1"/>
          <w:sz w:val="32"/>
          <w:szCs w:val="32"/>
          <w14:textFill>
            <w14:solidFill>
              <w14:schemeClr w14:val="tx1"/>
            </w14:solidFill>
          </w14:textFill>
        </w:rPr>
        <w:t>汇水范围涉及进贤县和南昌县。</w:t>
      </w:r>
      <w:r>
        <w:rPr>
          <w:rFonts w:hint="eastAsia" w:ascii="仿宋_GB2312" w:hAnsi="仿宋_GB2312" w:eastAsia="仿宋_GB2312" w:cs="仿宋_GB2312"/>
          <w:color w:val="000000" w:themeColor="text1"/>
          <w:sz w:val="32"/>
          <w:szCs w:val="32"/>
          <w:lang w:val="zh-CN"/>
          <w14:textFill>
            <w14:solidFill>
              <w14:schemeClr w14:val="tx1"/>
            </w14:solidFill>
          </w14:textFill>
        </w:rPr>
        <w:t>基于以上考虑，并充分与地方管理部门密切结合，将青岚湖断面汇水区域划分为3个控制单元，包括进贤工业园、汇水范围内进贤县各乡镇和南昌县塔城乡水岚洲。</w:t>
      </w:r>
    </w:p>
    <w:p>
      <w:pPr>
        <w:jc w:val="center"/>
        <w:rPr>
          <w:rFonts w:hint="eastAsia" w:ascii="仿宋_GB2312" w:hAnsi="仿宋_GB2312" w:eastAsia="仿宋_GB2312" w:cs="仿宋_GB2312"/>
          <w:color w:val="000000" w:themeColor="text1"/>
          <w:sz w:val="24"/>
          <w:szCs w:val="20"/>
          <w:lang w:val="zh-CN"/>
          <w14:textFill>
            <w14:solidFill>
              <w14:schemeClr w14:val="tx1"/>
            </w14:solidFill>
          </w14:textFill>
        </w:rPr>
      </w:pPr>
      <w:r>
        <w:rPr>
          <w:rFonts w:hint="eastAsia" w:ascii="仿宋_GB2312" w:hAnsi="仿宋_GB2312" w:eastAsia="仿宋_GB2312" w:cs="仿宋_GB2312"/>
          <w:color w:val="000000" w:themeColor="text1"/>
          <w:sz w:val="24"/>
          <w:szCs w:val="20"/>
          <w:lang w:val="zh-CN"/>
          <w14:textFill>
            <w14:solidFill>
              <w14:schemeClr w14:val="tx1"/>
            </w14:solidFill>
          </w14:textFill>
        </w:rPr>
        <w:t>表3.4-1 伍湖分场断面汇水区域的重点控制单元</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691"/>
        <w:gridCol w:w="4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序号</w:t>
            </w:r>
          </w:p>
        </w:tc>
        <w:tc>
          <w:tcPr>
            <w:tcW w:w="1579"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控制单元</w:t>
            </w:r>
          </w:p>
        </w:tc>
        <w:tc>
          <w:tcPr>
            <w:tcW w:w="2857" w:type="pct"/>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水环境治理责任主体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p>
        </w:tc>
        <w:tc>
          <w:tcPr>
            <w:tcW w:w="1579"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zh-CN"/>
                <w14:textFill>
                  <w14:solidFill>
                    <w14:schemeClr w14:val="tx1"/>
                  </w14:solidFill>
                </w14:textFill>
              </w:rPr>
              <w:t>进贤工业园</w:t>
            </w:r>
          </w:p>
        </w:tc>
        <w:tc>
          <w:tcPr>
            <w:tcW w:w="2857" w:type="pct"/>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进贤县生态环境局及</w:t>
            </w:r>
            <w:r>
              <w:rPr>
                <w:rFonts w:hint="eastAsia" w:ascii="仿宋_GB2312" w:hAnsi="仿宋_GB2312" w:eastAsia="仿宋_GB2312" w:cs="仿宋_GB2312"/>
                <w:color w:val="000000" w:themeColor="text1"/>
                <w:sz w:val="24"/>
                <w:szCs w:val="24"/>
                <w:lang w:val="zh-CN"/>
                <w14:textFill>
                  <w14:solidFill>
                    <w14:schemeClr w14:val="tx1"/>
                  </w14:solidFill>
                </w14:textFill>
              </w:rPr>
              <w:t>进贤工业园管委会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2</w:t>
            </w:r>
          </w:p>
        </w:tc>
        <w:tc>
          <w:tcPr>
            <w:tcW w:w="1579"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lang w:val="zh-CN"/>
                <w14:textFill>
                  <w14:solidFill>
                    <w14:schemeClr w14:val="tx1"/>
                  </w14:solidFill>
                </w14:textFill>
              </w:rPr>
            </w:pPr>
            <w:r>
              <w:rPr>
                <w:rFonts w:hint="eastAsia" w:ascii="仿宋_GB2312" w:hAnsi="仿宋_GB2312" w:eastAsia="仿宋_GB2312" w:cs="仿宋_GB2312"/>
                <w:color w:val="000000" w:themeColor="text1"/>
                <w:sz w:val="24"/>
                <w:szCs w:val="24"/>
                <w:lang w:val="zh-CN"/>
                <w14:textFill>
                  <w14:solidFill>
                    <w14:schemeClr w14:val="tx1"/>
                  </w14:solidFill>
                </w14:textFill>
              </w:rPr>
              <w:t>进贤县各乡镇</w:t>
            </w:r>
          </w:p>
        </w:tc>
        <w:tc>
          <w:tcPr>
            <w:tcW w:w="2857" w:type="pct"/>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进贤县生态环境局及各乡镇人民政府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3</w:t>
            </w:r>
          </w:p>
        </w:tc>
        <w:tc>
          <w:tcPr>
            <w:tcW w:w="1579" w:type="pct"/>
            <w:shd w:val="clear" w:color="auto" w:fill="auto"/>
            <w:noWrap/>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zh-CN"/>
                <w14:textFill>
                  <w14:solidFill>
                    <w14:schemeClr w14:val="tx1"/>
                  </w14:solidFill>
                </w14:textFill>
              </w:rPr>
              <w:t>南昌县塔城乡水岚洲</w:t>
            </w:r>
          </w:p>
        </w:tc>
        <w:tc>
          <w:tcPr>
            <w:tcW w:w="2857" w:type="pct"/>
            <w:vAlign w:val="center"/>
          </w:tcPr>
          <w:p>
            <w:pPr>
              <w:adjustRightInd w:val="0"/>
              <w:snapToGrid w:val="0"/>
              <w:spacing w:line="276" w:lineRule="auto"/>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南昌县生态环境局及塔城乡人民政府</w:t>
            </w:r>
          </w:p>
        </w:tc>
      </w:tr>
      <w:bookmarkEnd w:id="51"/>
    </w:tbl>
    <w:p>
      <w:pPr>
        <w:pStyle w:val="3"/>
        <w:keepNext w:val="0"/>
        <w:keepLines w:val="0"/>
        <w:pageBreakBefore w:val="0"/>
        <w:widowControl w:val="0"/>
        <w:numPr>
          <w:ilvl w:val="0"/>
          <w:numId w:val="0"/>
        </w:numPr>
        <w:kinsoku/>
        <w:wordWrap/>
        <w:overflowPunct/>
        <w:topLinePunct w:val="0"/>
        <w:autoSpaceDE/>
        <w:bidi w:val="0"/>
        <w:snapToGrid/>
        <w:spacing w:line="560" w:lineRule="exact"/>
        <w:ind w:firstLine="642" w:firstLineChars="200"/>
        <w:textAlignment w:val="auto"/>
        <w:rPr>
          <w:rFonts w:hint="eastAsia" w:ascii="楷体_GB2312" w:hAnsi="楷体_GB2312" w:eastAsia="楷体_GB2312" w:cs="楷体_GB2312"/>
          <w:color w:val="000000" w:themeColor="text1"/>
          <w:sz w:val="32"/>
          <w:szCs w:val="32"/>
          <w14:textFill>
            <w14:solidFill>
              <w14:schemeClr w14:val="tx1"/>
            </w14:solidFill>
          </w14:textFill>
        </w:rPr>
      </w:pPr>
      <w:bookmarkStart w:id="52" w:name="_Toc114056717"/>
      <w:r>
        <w:rPr>
          <w:rFonts w:hint="eastAsia" w:ascii="楷体_GB2312" w:hAnsi="楷体_GB2312" w:eastAsia="楷体_GB2312" w:cs="楷体_GB2312"/>
          <w:color w:val="000000" w:themeColor="text1"/>
          <w:sz w:val="32"/>
          <w:szCs w:val="32"/>
          <w14:textFill>
            <w14:solidFill>
              <w14:schemeClr w14:val="tx1"/>
            </w14:solidFill>
          </w14:textFill>
        </w:rPr>
        <w:t>（五）主要水环境问题识别</w:t>
      </w:r>
      <w:bookmarkEnd w:id="52"/>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青岚湖断面为“十四五”新增的国控断面。青岚湖</w:t>
      </w:r>
      <w:r>
        <w:rPr>
          <w:rFonts w:hint="eastAsia" w:ascii="仿宋_GB2312" w:hAnsi="仿宋_GB2312" w:eastAsia="仿宋_GB2312" w:cs="仿宋_GB2312"/>
          <w:color w:val="000000" w:themeColor="text1"/>
          <w:sz w:val="32"/>
          <w:szCs w:val="32"/>
          <w14:textFill>
            <w14:solidFill>
              <w14:schemeClr w14:val="tx1"/>
            </w14:solidFill>
          </w14:textFill>
        </w:rPr>
        <w:t>局部存在驳岸僵直、硬化的问题，阻碍了河水与周边环境的互动，隔断了河流生态系统内部的联系，自净能力受限。</w:t>
      </w:r>
      <w:r>
        <w:rPr>
          <w:rFonts w:hint="eastAsia" w:ascii="仿宋_GB2312" w:hAnsi="仿宋_GB2312" w:eastAsia="仿宋_GB2312" w:cs="仿宋_GB2312"/>
          <w:color w:val="000000" w:themeColor="text1"/>
          <w:sz w:val="32"/>
          <w:szCs w:val="32"/>
          <w:lang w:val="zh-CN"/>
          <w14:textFill>
            <w14:solidFill>
              <w14:schemeClr w14:val="tx1"/>
            </w14:solidFill>
          </w14:textFill>
        </w:rPr>
        <w:t>断面年均水质为IV类，主要超标指标为TP。</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
          <w:bCs/>
          <w:color w:val="000000" w:themeColor="text1"/>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val="zh-CN"/>
          <w14:textFill>
            <w14:solidFill>
              <w14:schemeClr w14:val="tx1"/>
            </w14:solidFill>
          </w14:textFill>
        </w:rPr>
        <w:t>（1）农业面源污染突出</w:t>
      </w:r>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青岚湖断面汇水区域内TP入湖污染量的69%来自农业面源，农业种植、畜禽养殖和水产养殖所占比重基本相当。断面COD污染同样主要来自农业面源，其占比为65%，以畜禽养殖为主。民和镇和前坊镇是农业面源污染治理的重点区域。</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
          <w:bCs/>
          <w:color w:val="000000" w:themeColor="text1"/>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val="zh-CN"/>
          <w14:textFill>
            <w14:solidFill>
              <w14:schemeClr w14:val="tx1"/>
            </w14:solidFill>
          </w14:textFill>
        </w:rPr>
        <w:t>（2）内源污染负荷较高</w:t>
      </w:r>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青岚湖断面表层底泥以泥质为主，污染物从底泥向上覆水扩散较为明显。内源污染贡献了断面入湖TP污染量的8.9%，氨氮污染量的55.5%。控制内源污染释放是改善断面水质的有效途径。</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（3）污水处理水平有待提升</w:t>
      </w:r>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断面控制范围内有进贤县污水处理厂，设计处理量6.0万t/d，处理能力基本满足要求，但城区污水管网仍为合流制，存在雨季溢流，加重断面水质达标负担。除民和镇外，其他集镇居民及农村居民所产生居民生活废水均经简单处理后直接排放。应加快实施沿湖村点生活污水截污工程，推进乡镇污水处理设施建设，实现行政村生活污水处理设施全覆盖。</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（4）工业废水处理能力不足</w:t>
      </w:r>
    </w:p>
    <w:p>
      <w:pPr>
        <w:keepNext w:val="0"/>
        <w:keepLines w:val="0"/>
        <w:pageBreakBefore w:val="0"/>
        <w:widowControl w:val="0"/>
        <w:kinsoku/>
        <w:wordWrap/>
        <w:overflowPunct/>
        <w:topLinePunct w:val="0"/>
        <w:autoSpaceDE/>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贤县环保基础设施欠账较多，企业及工业园区污水处理配套设施尚不健全。进贤县经开区已形成“一区五园”的发展格局，并建设了污水处理厂。但是由于未采用完整的雨污分流系统，生活污水与工业废水混排，造成了进水浓度偏低，影响了工业污水厂的正常运行。甚至存在部分企业污水进入城市下水道，还有部分企业直排进入青岚湖，对断面水质造成了一定影响。应加强工业集聚区污水集中处理设施及配套管网建设和监管，</w:t>
      </w:r>
      <w:r>
        <w:rPr>
          <w:rFonts w:hint="eastAsia" w:ascii="仿宋_GB2312" w:hAnsi="仿宋_GB2312" w:eastAsia="仿宋_GB2312" w:cs="仿宋_GB2312"/>
          <w:color w:val="000000" w:themeColor="text1"/>
          <w:sz w:val="32"/>
          <w:szCs w:val="32"/>
          <w:shd w:val="clear" w:color="auto" w:fill="auto"/>
          <w14:textFill>
            <w14:solidFill>
              <w14:schemeClr w14:val="tx1"/>
            </w14:solidFill>
          </w14:textFill>
        </w:rPr>
        <w:t>切实发挥污水处理厂生态减排效益。</w:t>
      </w:r>
    </w:p>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bookmarkStart w:id="53" w:name="_Toc114056718"/>
      <w:r>
        <w:rPr>
          <w:rFonts w:hint="eastAsia" w:ascii="黑体" w:hAnsi="黑体" w:eastAsia="黑体" w:cs="黑体"/>
          <w:b w:val="0"/>
          <w:bCs w:val="0"/>
          <w:color w:val="000000" w:themeColor="text1"/>
          <w:sz w:val="32"/>
          <w:szCs w:val="32"/>
          <w14:textFill>
            <w14:solidFill>
              <w14:schemeClr w14:val="tx1"/>
            </w14:solidFill>
          </w14:textFill>
        </w:rPr>
        <w:t>四、</w:t>
      </w:r>
      <w:bookmarkEnd w:id="53"/>
      <w:bookmarkStart w:id="54" w:name="_Toc89435979"/>
      <w:bookmarkEnd w:id="54"/>
      <w:bookmarkStart w:id="55" w:name="_Toc89435982"/>
      <w:bookmarkEnd w:id="55"/>
      <w:bookmarkStart w:id="56" w:name="_Toc87977718"/>
      <w:bookmarkEnd w:id="56"/>
      <w:r>
        <w:rPr>
          <w:rFonts w:hint="eastAsia" w:ascii="黑体" w:hAnsi="黑体" w:eastAsia="黑体" w:cs="黑体"/>
          <w:b w:val="0"/>
          <w:bCs w:val="0"/>
          <w:color w:val="000000" w:themeColor="text1"/>
          <w:sz w:val="32"/>
          <w:szCs w:val="32"/>
          <w14:textFill>
            <w14:solidFill>
              <w14:schemeClr w14:val="tx1"/>
            </w14:solidFill>
          </w14:textFill>
        </w:rPr>
        <w:t>断面水质提升主要措施</w:t>
      </w:r>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为全面打好碧水保卫站，</w:t>
      </w:r>
      <w:r>
        <w:rPr>
          <w:rFonts w:hint="eastAsia" w:ascii="仿宋_GB2312" w:hAnsi="仿宋_GB2312" w:eastAsia="仿宋_GB2312" w:cs="仿宋_GB2312"/>
          <w:color w:val="000000" w:themeColor="text1"/>
          <w:sz w:val="32"/>
          <w:szCs w:val="32"/>
          <w14:textFill>
            <w14:solidFill>
              <w14:schemeClr w14:val="tx1"/>
            </w14:solidFill>
          </w14:textFill>
        </w:rPr>
        <w:t>以</w:t>
      </w:r>
      <w:r>
        <w:rPr>
          <w:rFonts w:hint="eastAsia" w:ascii="仿宋_GB2312" w:hAnsi="仿宋_GB2312" w:eastAsia="仿宋_GB2312" w:cs="仿宋_GB2312"/>
          <w:bCs/>
          <w:color w:val="000000" w:themeColor="text1"/>
          <w:sz w:val="32"/>
          <w:szCs w:val="32"/>
          <w14:textFill>
            <w14:solidFill>
              <w14:schemeClr w14:val="tx1"/>
            </w14:solidFill>
          </w14:textFill>
        </w:rPr>
        <w:t>鄱阳湖南昌湖区水环境质量持续改善</w:t>
      </w:r>
      <w:r>
        <w:rPr>
          <w:rFonts w:hint="eastAsia" w:ascii="仿宋_GB2312" w:hAnsi="仿宋_GB2312" w:eastAsia="仿宋_GB2312" w:cs="仿宋_GB2312"/>
          <w:color w:val="000000" w:themeColor="text1"/>
          <w:sz w:val="32"/>
          <w:szCs w:val="32"/>
          <w14:textFill>
            <w14:solidFill>
              <w14:schemeClr w14:val="tx1"/>
            </w14:solidFill>
          </w14:textFill>
        </w:rPr>
        <w:t>为重点</w:t>
      </w:r>
      <w:r>
        <w:rPr>
          <w:rFonts w:hint="eastAsia" w:ascii="仿宋_GB2312" w:hAnsi="仿宋_GB2312" w:eastAsia="仿宋_GB2312" w:cs="仿宋_GB2312"/>
          <w:bCs/>
          <w:color w:val="000000" w:themeColor="text1"/>
          <w:sz w:val="32"/>
          <w:szCs w:val="32"/>
          <w14:textFill>
            <w14:solidFill>
              <w14:schemeClr w14:val="tx1"/>
            </w14:solidFill>
          </w14:textFill>
        </w:rPr>
        <w:t>，严守生态保护红线，</w:t>
      </w:r>
      <w:r>
        <w:rPr>
          <w:rFonts w:hint="eastAsia" w:ascii="仿宋_GB2312" w:hAnsi="仿宋_GB2312" w:eastAsia="仿宋_GB2312" w:cs="仿宋_GB2312"/>
          <w:color w:val="000000" w:themeColor="text1"/>
          <w:sz w:val="32"/>
          <w:szCs w:val="32"/>
          <w14:textFill>
            <w14:solidFill>
              <w14:schemeClr w14:val="tx1"/>
            </w14:solidFill>
          </w14:textFill>
        </w:rPr>
        <w:t>沿青岚湖推进入河排口综合整治，加快建设治污设施，统筹推进城镇与乡村水污染防治，改善进贤县水生态环境质量，为青岚湖断面水质达标和持续改善提供支撑。</w:t>
      </w:r>
    </w:p>
    <w:p>
      <w:pPr>
        <w:pStyle w:val="3"/>
        <w:keepNext w:val="0"/>
        <w:keepLines w:val="0"/>
        <w:pageBreakBefore w:val="0"/>
        <w:widowControl w:val="0"/>
        <w:numPr>
          <w:ilvl w:val="1"/>
          <w:numId w:val="0"/>
        </w:numPr>
        <w:kinsoku/>
        <w:wordWrap/>
        <w:overflowPunct/>
        <w:topLinePunct w:val="0"/>
        <w:autoSpaceDE/>
        <w:bidi w:val="0"/>
        <w:snapToGrid/>
        <w:spacing w:line="560" w:lineRule="exact"/>
        <w:ind w:firstLine="642" w:firstLineChars="200"/>
        <w:jc w:val="both"/>
        <w:textAlignment w:val="auto"/>
        <w:rPr>
          <w:rFonts w:hint="eastAsia" w:ascii="楷体_GB2312" w:hAnsi="楷体_GB2312" w:eastAsia="楷体_GB2312" w:cs="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（一）严守生态保护红线</w:t>
      </w:r>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b/>
          <w:color w:val="000000" w:themeColor="text1"/>
          <w:sz w:val="32"/>
          <w:szCs w:val="32"/>
          <w:lang w:val="en-US"/>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根据流域生态环境功能需要，明确生态环境保护要求，严格落实赣抚尾闾进贤县区域生态保护红线、环境质量底线、资源利用上线，制定生态环境准入清单。在生态保护红线范围内对水环境产生污染的建设项目，制定限期整改时间表，整改后仍不达标的，依法依规取缔。依法打击侵占河湖水域岸线、围垦湖泊、填湖造地等行为，大力保护修复沿河环湖湿地生态系统，提高水环境承载能力。</w:t>
      </w:r>
      <w:r>
        <w:rPr>
          <w:rFonts w:hint="eastAsia" w:ascii="仿宋_GB2312" w:hAnsi="仿宋_GB2312" w:eastAsia="仿宋_GB2312" w:cs="仿宋_GB2312"/>
          <w:b/>
          <w:color w:val="000000" w:themeColor="text1"/>
          <w:sz w:val="32"/>
          <w:szCs w:val="32"/>
          <w14:textFill>
            <w14:solidFill>
              <w14:schemeClr w14:val="tx1"/>
            </w14:solidFill>
          </w14:textFill>
        </w:rPr>
        <w:t>（牵头单位：进贤生态环境局、进贤县水利局；责任单位：</w:t>
      </w:r>
      <w:r>
        <w:rPr>
          <w:rFonts w:hint="eastAsia" w:ascii="仿宋_GB2312" w:hAnsi="仿宋_GB2312" w:eastAsia="仿宋_GB2312" w:cs="仿宋_GB2312"/>
          <w:b/>
          <w:bCs/>
          <w:color w:val="000000" w:themeColor="text1"/>
          <w:sz w:val="32"/>
          <w:szCs w:val="32"/>
          <w:lang w:val="zh-CN"/>
          <w14:textFill>
            <w14:solidFill>
              <w14:schemeClr w14:val="tx1"/>
            </w14:solidFill>
          </w14:textFill>
        </w:rPr>
        <w:t>进贤县民和镇、李渡镇、温圳镇、文港镇、张公镇、罗溪镇、架桥镇、前坊镇、下埠集乡、衙前乡、白圩乡、长山晏乡、七里乡和泉岭乡人民政府（以下简称进贤县各乡（镇）人民政府</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sz w:val="32"/>
          <w:szCs w:val="32"/>
          <w:lang w:val="en-US"/>
          <w14:textFill>
            <w14:solidFill>
              <w14:schemeClr w14:val="tx1"/>
            </w14:solidFill>
          </w14:textFill>
        </w:rPr>
        <w:t>）</w:t>
      </w:r>
    </w:p>
    <w:p>
      <w:pPr>
        <w:pStyle w:val="3"/>
        <w:keepNext w:val="0"/>
        <w:keepLines w:val="0"/>
        <w:pageBreakBefore w:val="0"/>
        <w:widowControl w:val="0"/>
        <w:numPr>
          <w:ilvl w:val="1"/>
          <w:numId w:val="0"/>
        </w:numPr>
        <w:kinsoku/>
        <w:wordWrap/>
        <w:overflowPunct/>
        <w:topLinePunct w:val="0"/>
        <w:autoSpaceDE/>
        <w:bidi w:val="0"/>
        <w:snapToGrid/>
        <w:spacing w:line="560" w:lineRule="exact"/>
        <w:ind w:firstLine="642" w:firstLineChars="200"/>
        <w:jc w:val="both"/>
        <w:textAlignment w:val="auto"/>
        <w:rPr>
          <w:rFonts w:hint="eastAsia" w:ascii="楷体_GB2312" w:hAnsi="楷体_GB2312" w:eastAsia="楷体_GB2312" w:cs="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（二）推进入湖排口整治</w:t>
      </w:r>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动态更新的青岚湖区入湖排污口名录，开展持续监测，筛选出整治入湖排污口名单优先级，按“一口一策”工作原则，逐一明确入河排污口整治要求，分类有序推进入河排污口整治和规范化建设。重点关注东湖头闸、五七排涝站、北方闸等排口整治。对英山闸等重点入河排污口，安装在线计量和监控设施，强化水质水量实时监控和信息共享。定期开展规模以上入河排污口执法监测。</w:t>
      </w:r>
      <w:r>
        <w:rPr>
          <w:rFonts w:hint="eastAsia" w:ascii="仿宋_GB2312" w:hAnsi="仿宋_GB2312" w:eastAsia="仿宋_GB2312" w:cs="仿宋_GB2312"/>
          <w:b/>
          <w:bCs/>
          <w:color w:val="000000" w:themeColor="text1"/>
          <w:sz w:val="32"/>
          <w:szCs w:val="32"/>
          <w14:textFill>
            <w14:solidFill>
              <w14:schemeClr w14:val="tx1"/>
            </w14:solidFill>
          </w14:textFill>
        </w:rPr>
        <w:t>（牵头单位：进贤生态环境局、进贤县水利局；责任单位：进贤县各乡</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镇</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人民政府、南昌县塔城乡人民政府）</w:t>
      </w:r>
    </w:p>
    <w:p>
      <w:pPr>
        <w:pStyle w:val="3"/>
        <w:keepNext w:val="0"/>
        <w:keepLines w:val="0"/>
        <w:pageBreakBefore w:val="0"/>
        <w:widowControl w:val="0"/>
        <w:numPr>
          <w:ilvl w:val="1"/>
          <w:numId w:val="0"/>
        </w:numPr>
        <w:kinsoku/>
        <w:wordWrap/>
        <w:overflowPunct/>
        <w:topLinePunct w:val="0"/>
        <w:autoSpaceDE/>
        <w:bidi w:val="0"/>
        <w:snapToGrid/>
        <w:spacing w:line="560" w:lineRule="exact"/>
        <w:ind w:firstLine="642" w:firstLineChars="200"/>
        <w:jc w:val="both"/>
        <w:textAlignment w:val="auto"/>
        <w:rPr>
          <w:rFonts w:hint="eastAsia" w:ascii="楷体_GB2312" w:hAnsi="楷体_GB2312" w:eastAsia="楷体_GB2312" w:cs="楷体_GB2312"/>
          <w:color w:val="000000" w:themeColor="text1"/>
          <w:sz w:val="32"/>
          <w:szCs w:val="32"/>
          <w:lang w:eastAsia="zh-CN"/>
          <w14:textFill>
            <w14:solidFill>
              <w14:schemeClr w14:val="tx1"/>
            </w14:solidFill>
          </w14:textFill>
        </w:rPr>
      </w:pPr>
      <w:bookmarkStart w:id="57" w:name="_Toc113610785"/>
      <w:bookmarkStart w:id="58" w:name="_Toc114056720"/>
      <w:r>
        <w:rPr>
          <w:rFonts w:hint="eastAsia" w:ascii="楷体_GB2312" w:hAnsi="楷体_GB2312" w:eastAsia="楷体_GB2312" w:cs="楷体_GB2312"/>
          <w:color w:val="000000" w:themeColor="text1"/>
          <w:sz w:val="32"/>
          <w:szCs w:val="32"/>
          <w:lang w:eastAsia="zh-CN"/>
          <w14:textFill>
            <w14:solidFill>
              <w14:schemeClr w14:val="tx1"/>
            </w14:solidFill>
          </w14:textFill>
        </w:rPr>
        <w:t>（三）深入实施工业污染治理</w:t>
      </w:r>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eastAsia="仿宋"/>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展进贤县开发区污水收集处理提升专项行动，提升经开区、温圳产业园、医科园污水集中处理设施处理能力，完善污水管网建设，深入排查整治污水管网老旧破损、混接错接等问题，提高污水处理厂污水进水浓度。依法依规推进企业排污许可证、排口档案管理，强化在线监控设施管护与运维，提升企业污染防治水平，加大污水处理监管力度，确保达标排放。强化工业园区污水处理厂运行管理，有效提高运行管理水平，确保工业污水处理厂尾水达标排放，积极探索多途径回用提高尾水回用率，有效降低入湖负荷。鼓励有条件的园区开展初期雨水污染控制试点示范，防范环境风险。</w:t>
      </w:r>
      <w:r>
        <w:rPr>
          <w:rFonts w:hint="eastAsia" w:ascii="仿宋_GB2312" w:hAnsi="仿宋_GB2312" w:eastAsia="仿宋_GB2312" w:cs="仿宋_GB2312"/>
          <w:b/>
          <w:bCs/>
          <w:color w:val="000000" w:themeColor="text1"/>
          <w:sz w:val="32"/>
          <w:szCs w:val="32"/>
          <w14:textFill>
            <w14:solidFill>
              <w14:schemeClr w14:val="tx1"/>
            </w14:solidFill>
          </w14:textFill>
        </w:rPr>
        <w:t>（牵头单位：进贤生态环境局；责任单位：进贤县经开区管委会）</w:t>
      </w:r>
    </w:p>
    <w:p>
      <w:pPr>
        <w:pStyle w:val="3"/>
        <w:keepNext w:val="0"/>
        <w:keepLines w:val="0"/>
        <w:pageBreakBefore w:val="0"/>
        <w:widowControl w:val="0"/>
        <w:numPr>
          <w:ilvl w:val="1"/>
          <w:numId w:val="0"/>
        </w:numPr>
        <w:kinsoku/>
        <w:wordWrap/>
        <w:overflowPunct/>
        <w:topLinePunct w:val="0"/>
        <w:autoSpaceDE/>
        <w:bidi w:val="0"/>
        <w:snapToGrid/>
        <w:spacing w:line="560" w:lineRule="exact"/>
        <w:ind w:firstLine="642" w:firstLineChars="200"/>
        <w:jc w:val="both"/>
        <w:textAlignment w:val="auto"/>
        <w:rPr>
          <w:rFonts w:ascii="仿宋" w:hAnsi="仿宋"/>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（四）开展农业面源污染治理</w:t>
      </w:r>
      <w:bookmarkEnd w:id="57"/>
      <w:bookmarkEnd w:id="58"/>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推进民和镇、下埠集乡等农业重镇化肥农药减量增效，推广应用生物防治等绿色防控技术。在架桥镇、罗溪镇等临湖乡镇，通过探索建设生态沟、污水净化塘、地表径流集蓄池，结合湿地等设施，探索减轻农田退水对周边水体的不良影响的模式。完善畜禽水产养殖“禁养区、限养区”划定落实，加强畜禽水产养殖禁养区监管，防止进贤县赣江尾闾等自然保护区、重要河流区域已拆除或关停的畜禽水产规模化养殖拆后重建或关后复养等反弹现象。在白圩乡、温圳镇、前坊镇等创建特色畜禽养殖示范基地中，加强粪污处理设施装备配套建设，重点推广机械清粪、漏缝地板、节水装置等设施。依托全国首批畜禽粪污资源化利用重点县建设中，大力推广生物发酵床、有机肥加工等工艺技术，坚持种养结合、农牧循环，高效推进畜禽养殖废弃物资源化利用。以水产健康养殖标准示范创建为抓手，加大养殖基础设施改造力度，支持生态沟渠、潜流湿地等尾水处理设施建设，在青岚湖试点开展渔业人放天养，实现可持续发展。</w:t>
      </w:r>
      <w:r>
        <w:rPr>
          <w:rFonts w:hint="eastAsia" w:ascii="仿宋_GB2312" w:hAnsi="仿宋_GB2312" w:eastAsia="仿宋_GB2312" w:cs="仿宋_GB2312"/>
          <w:b/>
          <w:bCs/>
          <w:color w:val="000000" w:themeColor="text1"/>
          <w:sz w:val="32"/>
          <w:szCs w:val="32"/>
          <w14:textFill>
            <w14:solidFill>
              <w14:schemeClr w14:val="tx1"/>
            </w14:solidFill>
          </w14:textFill>
        </w:rPr>
        <w:t>(牵头单位：进贤县、南昌县农业农村局；责任单位:进贤县各乡(镇)人民政府；南昌县塔城乡人民政府)</w:t>
      </w:r>
    </w:p>
    <w:p>
      <w:pPr>
        <w:pStyle w:val="3"/>
        <w:keepNext w:val="0"/>
        <w:keepLines w:val="0"/>
        <w:pageBreakBefore w:val="0"/>
        <w:widowControl w:val="0"/>
        <w:numPr>
          <w:ilvl w:val="1"/>
          <w:numId w:val="0"/>
        </w:numPr>
        <w:kinsoku/>
        <w:wordWrap/>
        <w:overflowPunct/>
        <w:topLinePunct w:val="0"/>
        <w:autoSpaceDE/>
        <w:bidi w:val="0"/>
        <w:snapToGrid/>
        <w:spacing w:line="560" w:lineRule="exact"/>
        <w:ind w:firstLine="642" w:firstLineChars="200"/>
        <w:jc w:val="both"/>
        <w:textAlignment w:val="auto"/>
        <w:rPr>
          <w:rFonts w:hint="eastAsia" w:ascii="楷体_GB2312" w:hAnsi="楷体_GB2312" w:eastAsia="楷体_GB2312" w:cs="楷体_GB2312"/>
          <w:color w:val="000000" w:themeColor="text1"/>
          <w:sz w:val="32"/>
          <w:szCs w:val="32"/>
          <w:lang w:eastAsia="zh-CN"/>
          <w14:textFill>
            <w14:solidFill>
              <w14:schemeClr w14:val="tx1"/>
            </w14:solidFill>
          </w14:textFill>
        </w:rPr>
      </w:pPr>
      <w:bookmarkStart w:id="59" w:name="_Toc114056721"/>
      <w:bookmarkStart w:id="60" w:name="_Toc113610786"/>
      <w:r>
        <w:rPr>
          <w:rFonts w:hint="eastAsia" w:ascii="楷体_GB2312" w:hAnsi="楷体_GB2312" w:eastAsia="楷体_GB2312" w:cs="楷体_GB2312"/>
          <w:color w:val="000000" w:themeColor="text1"/>
          <w:sz w:val="32"/>
          <w:szCs w:val="32"/>
          <w:lang w:eastAsia="zh-CN"/>
          <w14:textFill>
            <w14:solidFill>
              <w14:schemeClr w14:val="tx1"/>
            </w14:solidFill>
          </w14:textFill>
        </w:rPr>
        <w:t>（五）梯次推进生活污染治理</w:t>
      </w:r>
      <w:bookmarkEnd w:id="59"/>
      <w:bookmarkEnd w:id="60"/>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eastAsia="仿宋"/>
          <w:b/>
          <w:bCs/>
          <w:color w:val="000000" w:themeColor="text1"/>
          <w:sz w:val="32"/>
          <w:szCs w:val="32"/>
          <w14:textFill>
            <w14:solidFill>
              <w14:schemeClr w14:val="tx1"/>
            </w14:solidFill>
          </w14:textFill>
        </w:rPr>
      </w:pPr>
      <w:bookmarkStart w:id="61" w:name="_Hlk114197467"/>
      <w:r>
        <w:rPr>
          <w:rFonts w:hint="eastAsia" w:ascii="仿宋_GB2312" w:hAnsi="仿宋_GB2312" w:eastAsia="仿宋_GB2312" w:cs="仿宋_GB2312"/>
          <w:color w:val="000000" w:themeColor="text1"/>
          <w:sz w:val="32"/>
          <w:szCs w:val="32"/>
          <w14:textFill>
            <w14:solidFill>
              <w14:schemeClr w14:val="tx1"/>
            </w14:solidFill>
          </w14:textFill>
        </w:rPr>
        <w:t>探索乡镇污水处理统一规划布局、统一实施建设、统一组织运营、统一政府监管的工作模式，按照“城旁接管、就近联建、独建补全”的原则进行设施优化布局，有序推进民和镇、架桥镇、罗溪镇等乡镇污水处理设施和配套管网建设。按照“建管并重、奖惩并举”的原则建立运行管理模式，动态维护乡镇生活污水处理设施长效运行。以治理塔城乡、前坊镇等环湖农村地区污水直排为出发点，结合农村厕所革命，以环境绩效和对湖区污染贡献大小为原则，逐步支持区域内农村地区因地制宜推行生活污水的简易生物处理，充分利用池塘、沟渠等自净能力，切实解决污水治理的问题</w:t>
      </w:r>
      <w:bookmarkEnd w:id="61"/>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（牵头单位：进贤县、南昌县住建局、进贤生态环境局，南昌县县农业农村局；责任单位：进贤县各乡〔镇〕人民政府、南昌县塔城乡人民政府）</w:t>
      </w:r>
    </w:p>
    <w:p>
      <w:pPr>
        <w:pStyle w:val="3"/>
        <w:keepNext w:val="0"/>
        <w:keepLines w:val="0"/>
        <w:pageBreakBefore w:val="0"/>
        <w:widowControl w:val="0"/>
        <w:numPr>
          <w:ilvl w:val="1"/>
          <w:numId w:val="0"/>
        </w:numPr>
        <w:kinsoku/>
        <w:wordWrap/>
        <w:overflowPunct/>
        <w:topLinePunct w:val="0"/>
        <w:autoSpaceDE/>
        <w:bidi w:val="0"/>
        <w:snapToGrid/>
        <w:spacing w:line="560" w:lineRule="exact"/>
        <w:ind w:firstLine="642" w:firstLineChars="200"/>
        <w:jc w:val="both"/>
        <w:textAlignment w:val="auto"/>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（六）</w:t>
      </w:r>
      <w:r>
        <w:rPr>
          <w:rFonts w:hint="eastAsia" w:ascii="楷体_GB2312" w:hAnsi="楷体_GB2312" w:eastAsia="楷体_GB2312" w:cs="楷体_GB2312"/>
          <w:color w:val="000000" w:themeColor="text1"/>
          <w:sz w:val="32"/>
          <w:szCs w:val="32"/>
          <w14:textFill>
            <w14:solidFill>
              <w14:schemeClr w14:val="tx1"/>
            </w14:solidFill>
          </w14:textFill>
        </w:rPr>
        <w:t>科学实施内源污染管控</w:t>
      </w:r>
    </w:p>
    <w:p>
      <w:pPr>
        <w:pStyle w:val="263"/>
        <w:keepNext w:val="0"/>
        <w:keepLines w:val="0"/>
        <w:pageBreakBefore w:val="0"/>
        <w:widowControl w:val="0"/>
        <w:kinsoku/>
        <w:wordWrap/>
        <w:overflowPunct/>
        <w:topLinePunct w:val="0"/>
        <w:autoSpaceDE/>
        <w:bidi w:val="0"/>
        <w:spacing w:line="560" w:lineRule="exact"/>
        <w:ind w:firstLine="560"/>
        <w:jc w:val="both"/>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针对青岚湖内源在枯水期影响大的问题，持续开展底泥污染和TP迁移分析，夯实科学治污基础。在青岚湖内湖等历史养殖存量区域科学精细划定清淤范围，通过机械挖掘方式进行清淤，及时进行底栖生物修复，为生态修复建设提供基础。结合重大工程项目实施和运行调度，加强断面水情（生态流量）监测，完善水情（生态流量）监测体系，及时向有关部门报送水情变化。</w:t>
      </w:r>
      <w:r>
        <w:rPr>
          <w:rFonts w:hint="eastAsia" w:ascii="仿宋_GB2312" w:hAnsi="仿宋_GB2312" w:eastAsia="仿宋_GB2312" w:cs="仿宋_GB2312"/>
          <w:b/>
          <w:bCs/>
          <w:color w:val="000000" w:themeColor="text1"/>
          <w:sz w:val="32"/>
          <w:szCs w:val="32"/>
          <w14:textFill>
            <w14:solidFill>
              <w14:schemeClr w14:val="tx1"/>
            </w14:solidFill>
          </w14:textFill>
        </w:rPr>
        <w:t>（牵头单位：进贤生态环境局；责任单位：进贤县各乡〔镇〕人民政府、南昌县塔城乡人民政府）</w:t>
      </w:r>
    </w:p>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bookmarkStart w:id="62" w:name="_Toc114056723"/>
      <w:r>
        <w:rPr>
          <w:rFonts w:hint="eastAsia" w:ascii="黑体" w:hAnsi="黑体" w:eastAsia="黑体" w:cs="黑体"/>
          <w:b w:val="0"/>
          <w:bCs w:val="0"/>
          <w:color w:val="000000" w:themeColor="text1"/>
          <w:sz w:val="32"/>
          <w:szCs w:val="32"/>
          <w14:textFill>
            <w14:solidFill>
              <w14:schemeClr w14:val="tx1"/>
            </w14:solidFill>
          </w14:textFill>
        </w:rPr>
        <w:t>五、保障措施</w:t>
      </w:r>
      <w:bookmarkEnd w:id="62"/>
    </w:p>
    <w:p>
      <w:pPr>
        <w:pStyle w:val="263"/>
        <w:keepNext w:val="0"/>
        <w:keepLines w:val="0"/>
        <w:pageBreakBefore w:val="0"/>
        <w:widowControl w:val="0"/>
        <w:kinsoku/>
        <w:wordWrap/>
        <w:overflowPunct/>
        <w:topLinePunct w:val="0"/>
        <w:autoSpaceDE/>
        <w:bidi w:val="0"/>
        <w:spacing w:line="560" w:lineRule="exact"/>
        <w:ind w:firstLine="562"/>
        <w:jc w:val="both"/>
        <w:textAlignment w:val="auto"/>
        <w:rPr>
          <w:rFonts w:hint="eastAsia" w:ascii="仿宋_GB2312" w:hAnsi="仿宋_GB2312" w:eastAsia="仿宋_GB2312" w:cs="仿宋_GB2312"/>
          <w:color w:val="000000" w:themeColor="text1"/>
          <w:sz w:val="32"/>
          <w:szCs w:val="32"/>
          <w:lang w:val="zh-CN"/>
          <w14:textFill>
            <w14:solidFill>
              <w14:schemeClr w14:val="tx1"/>
            </w14:solidFill>
          </w14:textFill>
        </w:rPr>
      </w:pPr>
      <w:bookmarkStart w:id="63" w:name="_Toc365645780"/>
      <w:bookmarkStart w:id="64" w:name="_Toc343777160"/>
      <w:bookmarkStart w:id="65" w:name="_Toc114056724"/>
      <w:r>
        <w:rPr>
          <w:rFonts w:hint="eastAsia" w:ascii="仿宋_GB2312" w:hAnsi="仿宋_GB2312" w:eastAsia="仿宋_GB2312" w:cs="仿宋_GB2312"/>
          <w:b/>
          <w:bCs/>
          <w:color w:val="000000" w:themeColor="text1"/>
          <w:sz w:val="32"/>
          <w:szCs w:val="32"/>
          <w14:textFill>
            <w14:solidFill>
              <w14:schemeClr w14:val="tx1"/>
            </w14:solidFill>
          </w14:textFill>
        </w:rPr>
        <w:t>（一）加强组织</w:t>
      </w:r>
      <w:r>
        <w:rPr>
          <w:rFonts w:hint="eastAsia" w:ascii="仿宋_GB2312" w:hAnsi="仿宋_GB2312" w:eastAsia="仿宋_GB2312" w:cs="仿宋_GB2312"/>
          <w:b/>
          <w:bCs/>
          <w:color w:val="000000" w:themeColor="text1"/>
          <w:sz w:val="32"/>
          <w:szCs w:val="32"/>
          <w:lang w:val="zh-CN"/>
          <w14:textFill>
            <w14:solidFill>
              <w14:schemeClr w14:val="tx1"/>
            </w14:solidFill>
          </w14:textFill>
        </w:rPr>
        <w:t>领导</w:t>
      </w:r>
      <w:bookmarkEnd w:id="63"/>
      <w:bookmarkEnd w:id="64"/>
      <w:r>
        <w:rPr>
          <w:rFonts w:hint="eastAsia" w:ascii="仿宋_GB2312" w:hAnsi="仿宋_GB2312" w:eastAsia="仿宋_GB2312" w:cs="仿宋_GB2312"/>
          <w:b/>
          <w:bCs/>
          <w:color w:val="000000" w:themeColor="text1"/>
          <w:sz w:val="32"/>
          <w:szCs w:val="32"/>
          <w14:textFill>
            <w14:solidFill>
              <w14:schemeClr w14:val="tx1"/>
            </w14:solidFill>
          </w14:textFill>
        </w:rPr>
        <w:t>，明确职责分工</w:t>
      </w:r>
      <w:bookmarkEnd w:id="65"/>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zh-CN"/>
          <w14:textFill>
            <w14:solidFill>
              <w14:schemeClr w14:val="tx1"/>
            </w14:solidFill>
          </w14:textFill>
        </w:rPr>
        <w:t>青岚湖断面水环境质量提升，不仅是断面所在地政府的责任，更需要流域协同治理，各级党委和政府要坚决抗扛起生态环境保护的政治责任，形成政府负总责，各部门齐抓共管的机制。要落实责任主体，明确工作推进时间节点，及时协调解决整治过程中的问题。要明确整治问题责任单位和责任人员，切实抓好相关项目实施，确保治理效果，努力提升青岚湖断面水环境质量。</w:t>
      </w:r>
    </w:p>
    <w:p>
      <w:pPr>
        <w:keepNext w:val="0"/>
        <w:keepLines w:val="0"/>
        <w:pageBreakBefore w:val="0"/>
        <w:widowControl w:val="0"/>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66" w:name="_Toc114056727"/>
      <w:r>
        <w:rPr>
          <w:rFonts w:hint="eastAsia" w:ascii="仿宋_GB2312" w:hAnsi="仿宋_GB2312" w:eastAsia="仿宋_GB2312" w:cs="仿宋_GB2312"/>
          <w:b/>
          <w:bCs/>
          <w:color w:val="000000" w:themeColor="text1"/>
          <w:sz w:val="32"/>
          <w:szCs w:val="32"/>
          <w14:textFill>
            <w14:solidFill>
              <w14:schemeClr w14:val="tx1"/>
            </w14:solidFill>
          </w14:textFill>
        </w:rPr>
        <w:t>（二）强化监督管理，加强实施评估</w:t>
      </w:r>
      <w:bookmarkEnd w:id="66"/>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进贤生态环境局会同相关部门围绕本方案各项措施的落实情况进行监督管理，适时开展联合执法，对整治措施实行动态评估，及时发现和解决出现的问题，确保各项任务措施落到实处。</w:t>
      </w:r>
    </w:p>
    <w:p>
      <w:pPr>
        <w:pStyle w:val="263"/>
        <w:keepNext w:val="0"/>
        <w:keepLines w:val="0"/>
        <w:pageBreakBefore w:val="0"/>
        <w:widowControl w:val="0"/>
        <w:kinsoku/>
        <w:wordWrap/>
        <w:overflowPunct/>
        <w:topLinePunct w:val="0"/>
        <w:autoSpaceDE/>
        <w:bidi w:val="0"/>
        <w:spacing w:line="560" w:lineRule="exact"/>
        <w:ind w:firstLine="562"/>
        <w:jc w:val="both"/>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（三）强化科技服务，精准、科学、依法治污。</w:t>
      </w:r>
      <w:bookmarkStart w:id="67" w:name="_Toc365645783"/>
      <w:bookmarkStart w:id="68" w:name="_Toc307231628"/>
      <w:bookmarkStart w:id="69" w:name="_Toc299432844"/>
      <w:bookmarkStart w:id="70" w:name="_Toc343777163"/>
      <w:bookmarkStart w:id="71" w:name="_Toc299432842"/>
      <w:bookmarkStart w:id="72" w:name="_Toc307231626"/>
      <w:bookmarkStart w:id="73" w:name="_Toc343777161"/>
      <w:bookmarkStart w:id="74" w:name="_Toc365645781"/>
      <w:r>
        <w:rPr>
          <w:rFonts w:hint="eastAsia" w:ascii="仿宋_GB2312" w:hAnsi="仿宋_GB2312" w:eastAsia="仿宋_GB2312" w:cs="仿宋_GB2312"/>
          <w:color w:val="000000" w:themeColor="text1"/>
          <w:sz w:val="32"/>
          <w:szCs w:val="32"/>
          <w14:textFill>
            <w14:solidFill>
              <w14:schemeClr w14:val="tx1"/>
            </w14:solidFill>
          </w14:textFill>
        </w:rPr>
        <w:t>结合长江生态环境保护修复驻点跟踪研究工作，借助中国科学院生态环境研究中心等大院大所的科技优势，充分吸纳江西省科学院等地方科研力量，重点针对鄱阳湖南昌湖区水生态监测、TP污染溯源等重点、难点问题，开展前瞻性、基础性和对策性分析，锚定精准治污的要害、夯实科学治污的基础、增强依法治污的保障，提高区域水环境治理和水生态修复水平。同时，积极推广先进适用的科技成果，加强成果在鄱阳湖的试点应用。</w:t>
      </w:r>
    </w:p>
    <w:bookmarkEnd w:id="67"/>
    <w:bookmarkEnd w:id="68"/>
    <w:bookmarkEnd w:id="69"/>
    <w:bookmarkEnd w:id="70"/>
    <w:p>
      <w:pPr>
        <w:pStyle w:val="263"/>
        <w:keepNext w:val="0"/>
        <w:keepLines w:val="0"/>
        <w:pageBreakBefore w:val="0"/>
        <w:widowControl w:val="0"/>
        <w:kinsoku/>
        <w:wordWrap/>
        <w:overflowPunct/>
        <w:topLinePunct w:val="0"/>
        <w:autoSpaceDE/>
        <w:bidi w:val="0"/>
        <w:spacing w:line="560" w:lineRule="exact"/>
        <w:ind w:firstLine="562"/>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bookmarkStart w:id="75" w:name="_Toc114056726"/>
      <w:r>
        <w:rPr>
          <w:rFonts w:hint="eastAsia" w:ascii="仿宋_GB2312" w:hAnsi="仿宋_GB2312" w:eastAsia="仿宋_GB2312" w:cs="仿宋_GB2312"/>
          <w:b/>
          <w:bCs/>
          <w:color w:val="000000" w:themeColor="text1"/>
          <w:sz w:val="32"/>
          <w:szCs w:val="32"/>
          <w14:textFill>
            <w14:solidFill>
              <w14:schemeClr w14:val="tx1"/>
            </w14:solidFill>
          </w14:textFill>
        </w:rPr>
        <w:t>（四）拓展投融资渠道，加强资金保障</w:t>
      </w:r>
      <w:bookmarkEnd w:id="71"/>
      <w:bookmarkEnd w:id="72"/>
      <w:bookmarkEnd w:id="73"/>
      <w:bookmarkEnd w:id="74"/>
      <w:bookmarkEnd w:id="75"/>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加强财政资源统筹，聚焦湖区生态环境，提前开展项目谋划，多途径积极争取中央和地方污染防治资金，健全生态保护补偿机制，促进生态产品价值实现，整合各渠道的专项资金，为断面生态环境持续改善提供资金保障。完善市场化投融资机制，吸引社会资本投资，促进多元化多渠道融资，保障项目资金落实。</w:t>
      </w:r>
      <w:bookmarkStart w:id="76" w:name="_Toc112432507"/>
      <w:bookmarkStart w:id="77" w:name="_Toc114056728"/>
      <w:bookmarkStart w:id="78" w:name="_Toc111809894"/>
    </w:p>
    <w:p>
      <w:pPr>
        <w:pStyle w:val="2"/>
        <w:keepNext w:val="0"/>
        <w:keepLines w:val="0"/>
        <w:pageBreakBefore w:val="0"/>
        <w:widowControl w:val="0"/>
        <w:numPr>
          <w:ilvl w:val="0"/>
          <w:numId w:val="0"/>
        </w:numPr>
        <w:kinsoku/>
        <w:wordWrap/>
        <w:overflowPunct/>
        <w:topLinePunct w:val="0"/>
        <w:autoSpaceDE/>
        <w:bidi w:val="0"/>
        <w:snapToGrid/>
        <w:spacing w:line="560" w:lineRule="exact"/>
        <w:ind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六、附件</w:t>
      </w:r>
      <w:bookmarkEnd w:id="76"/>
    </w:p>
    <w:p>
      <w:pPr>
        <w:pStyle w:val="4"/>
        <w:keepNext w:val="0"/>
        <w:keepLines w:val="0"/>
        <w:pageBreakBefore w:val="0"/>
        <w:widowControl w:val="0"/>
        <w:numPr>
          <w:ilvl w:val="0"/>
          <w:numId w:val="0"/>
        </w:numPr>
        <w:kinsoku/>
        <w:wordWrap/>
        <w:overflowPunct/>
        <w:topLinePunct w:val="0"/>
        <w:autoSpaceDE/>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79" w:name="_Toc111809889"/>
      <w:bookmarkStart w:id="80" w:name="_Toc112432508"/>
      <w:r>
        <w:rPr>
          <w:rFonts w:hint="eastAsia" w:ascii="仿宋_GB2312" w:hAnsi="仿宋_GB2312" w:eastAsia="仿宋_GB2312" w:cs="仿宋_GB2312"/>
          <w:color w:val="000000" w:themeColor="text1"/>
          <w:sz w:val="32"/>
          <w:szCs w:val="32"/>
          <w14:textFill>
            <w14:solidFill>
              <w14:schemeClr w14:val="tx1"/>
            </w14:solidFill>
          </w14:textFill>
        </w:rPr>
        <w:t>1.青岚湖国控断面汇水范围图</w:t>
      </w:r>
    </w:p>
    <w:p>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5092700" cy="5092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92700" cy="5092700"/>
                    </a:xfrm>
                    <a:prstGeom prst="rect">
                      <a:avLst/>
                    </a:prstGeom>
                    <a:noFill/>
                    <a:ln>
                      <a:noFill/>
                    </a:ln>
                  </pic:spPr>
                </pic:pic>
              </a:graphicData>
            </a:graphic>
          </wp:inline>
        </w:drawing>
      </w:r>
    </w:p>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zh-CN"/>
          <w14:textFill>
            <w14:solidFill>
              <w14:schemeClr w14:val="tx1"/>
            </w14:solidFill>
          </w14:textFill>
        </w:rPr>
        <w:t>附图1 青岚湖断面汇水范围图</w:t>
      </w:r>
    </w:p>
    <w:p>
      <w:pPr>
        <w:pStyle w:val="4"/>
        <w:keepNext w:val="0"/>
        <w:keepLines w:val="0"/>
        <w:pageBreakBefore w:val="0"/>
        <w:widowControl w:val="0"/>
        <w:numPr>
          <w:ilvl w:val="0"/>
          <w:numId w:val="0"/>
        </w:numPr>
        <w:kinsoku/>
        <w:wordWrap/>
        <w:overflowPunct/>
        <w:topLinePunct w:val="0"/>
        <w:autoSpaceDE/>
        <w:autoSpaceDN w:val="0"/>
        <w:bidi w:val="0"/>
        <w:adjustRightInd w:val="0"/>
        <w:snapToGrid w:val="0"/>
        <w:ind w:firstLine="562" w:firstLineChars="200"/>
        <w:textAlignment w:val="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br w:type="page"/>
      </w:r>
      <w:r>
        <w:rPr>
          <w:rFonts w:hint="eastAsia" w:ascii="仿宋_GB2312" w:hAnsi="仿宋_GB2312" w:eastAsia="仿宋_GB2312" w:cs="仿宋_GB2312"/>
          <w:color w:val="000000" w:themeColor="text1"/>
          <w:sz w:val="32"/>
          <w:szCs w:val="32"/>
          <w14:textFill>
            <w14:solidFill>
              <w14:schemeClr w14:val="tx1"/>
            </w14:solidFill>
          </w14:textFill>
        </w:rPr>
        <w:t>2.断面水质时空变化示意图</w:t>
      </w:r>
    </w:p>
    <w:p>
      <w:pPr>
        <w:pStyle w:val="263"/>
        <w:snapToGrid w:val="0"/>
        <w:spacing w:line="240" w:lineRule="auto"/>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4439920" cy="257429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46882" cy="2578574"/>
                    </a:xfrm>
                    <a:prstGeom prst="rect">
                      <a:avLst/>
                    </a:prstGeom>
                    <a:noFill/>
                    <a:ln>
                      <a:noFill/>
                    </a:ln>
                  </pic:spPr>
                </pic:pic>
              </a:graphicData>
            </a:graphic>
          </wp:inline>
        </w:drawing>
      </w:r>
    </w:p>
    <w:p>
      <w:pPr>
        <w:pStyle w:val="263"/>
        <w:snapToGrid w:val="0"/>
        <w:spacing w:line="240" w:lineRule="auto"/>
        <w:ind w:firstLine="0" w:firstLineChars="0"/>
        <w:jc w:val="center"/>
        <w:rPr>
          <w:rFonts w:eastAsia="仿宋"/>
          <w:color w:val="000000" w:themeColor="text1"/>
          <w:sz w:val="24"/>
          <w:szCs w:val="24"/>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4296410" cy="2507615"/>
            <wp:effectExtent l="0" t="0" r="8890"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04888" cy="2512576"/>
                    </a:xfrm>
                    <a:prstGeom prst="rect">
                      <a:avLst/>
                    </a:prstGeom>
                    <a:noFill/>
                    <a:ln>
                      <a:noFill/>
                    </a:ln>
                  </pic:spPr>
                </pic:pic>
              </a:graphicData>
            </a:graphic>
          </wp:inline>
        </w:drawing>
      </w:r>
    </w:p>
    <w:p>
      <w:pPr>
        <w:pStyle w:val="263"/>
        <w:snapToGrid w:val="0"/>
        <w:spacing w:line="240" w:lineRule="auto"/>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4344670" cy="2340610"/>
            <wp:effectExtent l="0" t="0" r="0"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52695" cy="2344910"/>
                    </a:xfrm>
                    <a:prstGeom prst="rect">
                      <a:avLst/>
                    </a:prstGeom>
                    <a:noFill/>
                    <a:ln>
                      <a:noFill/>
                    </a:ln>
                  </pic:spPr>
                </pic:pic>
              </a:graphicData>
            </a:graphic>
          </wp:inline>
        </w:drawing>
      </w:r>
    </w:p>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附图</w:t>
      </w:r>
      <w:r>
        <w:rPr>
          <w:rFonts w:hint="eastAsia" w:ascii="仿宋_GB2312" w:hAnsi="仿宋_GB2312" w:eastAsia="仿宋_GB2312" w:cs="仿宋_GB2312"/>
          <w:b/>
          <w:bCs/>
          <w:color w:val="000000" w:themeColor="text1"/>
          <w:sz w:val="24"/>
          <w:szCs w:val="20"/>
          <w14:textFill>
            <w14:solidFill>
              <w14:schemeClr w14:val="tx1"/>
            </w14:solidFill>
          </w14:textFill>
        </w:rPr>
        <w:t xml:space="preserve">2 </w:t>
      </w:r>
      <w:r>
        <w:rPr>
          <w:rFonts w:hint="eastAsia" w:ascii="仿宋_GB2312" w:hAnsi="仿宋_GB2312" w:eastAsia="仿宋_GB2312" w:cs="仿宋_GB2312"/>
          <w:b/>
          <w:bCs/>
          <w:color w:val="000000" w:themeColor="text1"/>
          <w:sz w:val="24"/>
          <w:szCs w:val="24"/>
          <w:lang w:val="zh-CN"/>
          <w14:textFill>
            <w14:solidFill>
              <w14:schemeClr w14:val="tx1"/>
            </w14:solidFill>
          </w14:textFill>
        </w:rPr>
        <w:t>青岚湖断面</w:t>
      </w:r>
      <w:r>
        <w:rPr>
          <w:rFonts w:hint="eastAsia" w:ascii="仿宋_GB2312" w:hAnsi="仿宋_GB2312" w:eastAsia="仿宋_GB2312" w:cs="仿宋_GB2312"/>
          <w:b/>
          <w:bCs/>
          <w:color w:val="000000" w:themeColor="text1"/>
          <w:sz w:val="24"/>
          <w:szCs w:val="24"/>
          <w14:textFill>
            <w14:solidFill>
              <w14:schemeClr w14:val="tx1"/>
            </w14:solidFill>
          </w14:textFill>
        </w:rPr>
        <w:t>水质时空变化图</w:t>
      </w:r>
    </w:p>
    <w:p>
      <w:pPr>
        <w:widowControl/>
        <w:spacing w:line="240" w:lineRule="auto"/>
        <w:jc w:val="left"/>
        <w:rPr>
          <w:rFonts w:eastAsia="仿宋" w:cs="Times New Roman"/>
          <w:b/>
          <w:bCs/>
          <w:color w:val="000000" w:themeColor="text1"/>
          <w:szCs w:val="28"/>
          <w:lang w:val="zh-CN"/>
          <w14:textFill>
            <w14:solidFill>
              <w14:schemeClr w14:val="tx1"/>
            </w14:solidFill>
          </w14:textFill>
        </w:rPr>
      </w:pPr>
      <w:r>
        <w:rPr>
          <w:rFonts w:eastAsia="仿宋"/>
          <w:color w:val="000000" w:themeColor="text1"/>
          <w14:textFill>
            <w14:solidFill>
              <w14:schemeClr w14:val="tx1"/>
            </w14:solidFill>
          </w14:textFill>
        </w:rPr>
        <w:br w:type="page"/>
      </w:r>
    </w:p>
    <w:p>
      <w:pPr>
        <w:pStyle w:val="4"/>
        <w:numPr>
          <w:ilvl w:val="0"/>
          <w:numId w:val="0"/>
        </w:numPr>
        <w:ind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3.汇水范围内其他监测点位图</w:t>
      </w:r>
    </w:p>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26050" cy="374904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noChangeArrowheads="1"/>
                    </pic:cNvPicPr>
                  </pic:nvPicPr>
                  <pic:blipFill>
                    <a:blip r:embed="rId12">
                      <a:extLst>
                        <a:ext uri="{28A0092B-C50C-407E-A947-70E740481C1C}">
                          <a14:useLocalDpi xmlns:a14="http://schemas.microsoft.com/office/drawing/2010/main" val="0"/>
                        </a:ext>
                      </a:extLst>
                    </a:blip>
                    <a:srcRect l="10028" t="10100"/>
                    <a:stretch>
                      <a:fillRect/>
                    </a:stretch>
                  </pic:blipFill>
                  <pic:spPr>
                    <a:xfrm>
                      <a:off x="0" y="0"/>
                      <a:ext cx="5226050" cy="3749040"/>
                    </a:xfrm>
                    <a:prstGeom prst="rect">
                      <a:avLst/>
                    </a:prstGeom>
                    <a:noFill/>
                    <a:ln>
                      <a:noFill/>
                    </a:ln>
                  </pic:spPr>
                </pic:pic>
              </a:graphicData>
            </a:graphic>
          </wp:inline>
        </w:drawing>
      </w:r>
    </w:p>
    <w:p>
      <w:pPr>
        <w:snapToGrid w:val="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附图</w:t>
      </w:r>
      <w:r>
        <w:rPr>
          <w:rFonts w:hint="eastAsia" w:ascii="仿宋_GB2312" w:hAnsi="仿宋_GB2312" w:eastAsia="仿宋_GB2312" w:cs="仿宋_GB2312"/>
          <w:b/>
          <w:bCs/>
          <w:color w:val="000000" w:themeColor="text1"/>
          <w:sz w:val="24"/>
          <w:szCs w:val="20"/>
          <w14:textFill>
            <w14:solidFill>
              <w14:schemeClr w14:val="tx1"/>
            </w14:solidFill>
          </w14:textFill>
        </w:rPr>
        <w:t xml:space="preserve">3 </w:t>
      </w:r>
      <w:r>
        <w:rPr>
          <w:rFonts w:hint="eastAsia" w:ascii="仿宋_GB2312" w:hAnsi="仿宋_GB2312" w:eastAsia="仿宋_GB2312" w:cs="仿宋_GB2312"/>
          <w:b/>
          <w:bCs/>
          <w:color w:val="000000" w:themeColor="text1"/>
          <w:sz w:val="24"/>
          <w:szCs w:val="24"/>
          <w:lang w:val="zh-CN"/>
          <w14:textFill>
            <w14:solidFill>
              <w14:schemeClr w14:val="tx1"/>
            </w14:solidFill>
          </w14:textFill>
        </w:rPr>
        <w:t>青岚湖断面汇水范围内其他监测点位图（绿色标记）</w:t>
      </w:r>
    </w:p>
    <w:p>
      <w:pPr>
        <w:pStyle w:val="4"/>
        <w:numPr>
          <w:ilvl w:val="0"/>
          <w:numId w:val="0"/>
        </w:numPr>
        <w:ind w:firstLine="64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4.排污口分布图</w:t>
      </w:r>
    </w:p>
    <w:p>
      <w:pPr>
        <w:snapToGrid w:val="0"/>
        <w:jc w:val="center"/>
        <w:rPr>
          <w:rFonts w:eastAsia="仿宋" w:cs="Times New Roman"/>
          <w:color w:val="000000" w:themeColor="text1"/>
          <w14:textFill>
            <w14:solidFill>
              <w14:schemeClr w14:val="tx1"/>
            </w14:solidFill>
          </w14:textFill>
        </w:rPr>
      </w:pPr>
      <w:r>
        <w:rPr>
          <w:rFonts w:eastAsia="仿宋" w:cs="Times New Roman"/>
          <w:color w:val="000000" w:themeColor="text1"/>
          <w14:textFill>
            <w14:solidFill>
              <w14:schemeClr w14:val="tx1"/>
            </w14:solidFill>
          </w14:textFill>
        </w:rPr>
        <w:drawing>
          <wp:inline distT="0" distB="0" distL="0" distR="0">
            <wp:extent cx="5205095" cy="3418205"/>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05095" cy="3418205"/>
                    </a:xfrm>
                    <a:prstGeom prst="rect">
                      <a:avLst/>
                    </a:prstGeom>
                    <a:noFill/>
                    <a:ln>
                      <a:noFill/>
                    </a:ln>
                  </pic:spPr>
                </pic:pic>
              </a:graphicData>
            </a:graphic>
          </wp:inline>
        </w:drawing>
      </w:r>
    </w:p>
    <w:p>
      <w:pPr>
        <w:snapToGrid w:val="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 xml:space="preserve">附图4 </w:t>
      </w:r>
      <w:r>
        <w:rPr>
          <w:rFonts w:hint="eastAsia" w:ascii="仿宋_GB2312" w:hAnsi="仿宋_GB2312" w:eastAsia="仿宋_GB2312" w:cs="仿宋_GB2312"/>
          <w:b/>
          <w:bCs/>
          <w:color w:val="000000" w:themeColor="text1"/>
          <w:sz w:val="24"/>
          <w:szCs w:val="24"/>
          <w:lang w:val="zh-CN"/>
          <w14:textFill>
            <w14:solidFill>
              <w14:schemeClr w14:val="tx1"/>
            </w14:solidFill>
          </w14:textFill>
        </w:rPr>
        <w:t>青岚湖断面</w:t>
      </w:r>
      <w:r>
        <w:rPr>
          <w:rFonts w:hint="eastAsia" w:ascii="仿宋_GB2312" w:hAnsi="仿宋_GB2312" w:eastAsia="仿宋_GB2312" w:cs="仿宋_GB2312"/>
          <w:b/>
          <w:bCs/>
          <w:color w:val="000000" w:themeColor="text1"/>
          <w:sz w:val="24"/>
          <w:szCs w:val="24"/>
          <w14:textFill>
            <w14:solidFill>
              <w14:schemeClr w14:val="tx1"/>
            </w14:solidFill>
          </w14:textFill>
        </w:rPr>
        <w:t>排污口分布图</w:t>
      </w:r>
    </w:p>
    <w:p>
      <w:pPr>
        <w:pStyle w:val="4"/>
        <w:numPr>
          <w:ilvl w:val="0"/>
          <w:numId w:val="0"/>
        </w:numP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br w:type="page"/>
      </w:r>
      <w:r>
        <w:rPr>
          <w:rFonts w:hint="eastAsia" w:eastAsia="仿宋"/>
          <w:color w:val="000000" w:themeColor="text1"/>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5.主要工业污染源分布图</w:t>
      </w:r>
    </w:p>
    <w:p>
      <w:pPr>
        <w:pStyle w:val="263"/>
        <w:ind w:firstLine="0" w:firstLineChars="0"/>
        <w:jc w:val="center"/>
        <w:rPr>
          <w:rFonts w:eastAsia="仿宋"/>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12765" cy="79343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12765" cy="7934325"/>
                    </a:xfrm>
                    <a:prstGeom prst="rect">
                      <a:avLst/>
                    </a:prstGeom>
                    <a:noFill/>
                    <a:ln>
                      <a:noFill/>
                    </a:ln>
                  </pic:spPr>
                </pic:pic>
              </a:graphicData>
            </a:graphic>
          </wp:inline>
        </w:drawing>
      </w:r>
    </w:p>
    <w:p>
      <w:pPr>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附图</w:t>
      </w:r>
      <w:r>
        <w:rPr>
          <w:rFonts w:hint="eastAsia" w:ascii="仿宋_GB2312" w:hAnsi="仿宋_GB2312" w:eastAsia="仿宋_GB2312" w:cs="仿宋_GB2312"/>
          <w:b/>
          <w:bCs/>
          <w:color w:val="000000" w:themeColor="text1"/>
          <w:sz w:val="24"/>
          <w:szCs w:val="20"/>
          <w14:textFill>
            <w14:solidFill>
              <w14:schemeClr w14:val="tx1"/>
            </w14:solidFill>
          </w14:textFill>
        </w:rPr>
        <w:t xml:space="preserve">5 </w:t>
      </w:r>
      <w:r>
        <w:rPr>
          <w:rFonts w:hint="eastAsia" w:ascii="仿宋_GB2312" w:hAnsi="仿宋_GB2312" w:eastAsia="仿宋_GB2312" w:cs="仿宋_GB2312"/>
          <w:b/>
          <w:bCs/>
          <w:color w:val="000000" w:themeColor="text1"/>
          <w:sz w:val="24"/>
          <w:szCs w:val="24"/>
          <w:lang w:val="zh-CN"/>
          <w14:textFill>
            <w14:solidFill>
              <w14:schemeClr w14:val="tx1"/>
            </w14:solidFill>
          </w14:textFill>
        </w:rPr>
        <w:t>青岚湖断面</w:t>
      </w:r>
      <w:r>
        <w:rPr>
          <w:rFonts w:hint="eastAsia" w:ascii="仿宋_GB2312" w:hAnsi="仿宋_GB2312" w:eastAsia="仿宋_GB2312" w:cs="仿宋_GB2312"/>
          <w:b/>
          <w:bCs/>
          <w:color w:val="000000" w:themeColor="text1"/>
          <w:sz w:val="24"/>
          <w:szCs w:val="24"/>
          <w14:textFill>
            <w14:solidFill>
              <w14:schemeClr w14:val="tx1"/>
            </w14:solidFill>
          </w14:textFill>
        </w:rPr>
        <w:t>主要工业污染源分布图</w:t>
      </w:r>
    </w:p>
    <w:p>
      <w:pPr>
        <w:pStyle w:val="4"/>
        <w:keepNext w:val="0"/>
        <w:keepLines w:val="0"/>
        <w:pageBreakBefore w:val="0"/>
        <w:widowControl w:val="0"/>
        <w:numPr>
          <w:ilvl w:val="0"/>
          <w:numId w:val="0"/>
        </w:numPr>
        <w:kinsoku/>
        <w:wordWrap/>
        <w:overflowPunct/>
        <w:topLinePunct w:val="0"/>
        <w:autoSpaceDE/>
        <w:autoSpaceDN w:val="0"/>
        <w:bidi w:val="0"/>
        <w:adjustRightInd w:val="0"/>
        <w:snapToGrid w:val="0"/>
        <w:spacing w:line="360" w:lineRule="auto"/>
        <w:ind w:firstLine="481" w:firstLineChars="200"/>
        <w:textAlignment w:val="auto"/>
        <w:rPr>
          <w:rFonts w:eastAsia="仿宋"/>
          <w:color w:val="000000" w:themeColor="text1"/>
          <w14:textFill>
            <w14:solidFill>
              <w14:schemeClr w14:val="tx1"/>
            </w14:solidFill>
          </w14:textFill>
        </w:rPr>
      </w:pPr>
      <w:r>
        <w:rPr>
          <w:rFonts w:eastAsia="仿宋"/>
          <w:color w:val="000000" w:themeColor="text1"/>
          <w:sz w:val="24"/>
          <w:szCs w:val="24"/>
          <w14:textFill>
            <w14:solidFill>
              <w14:schemeClr w14:val="tx1"/>
            </w14:solidFill>
          </w14:textFill>
        </w:rPr>
        <w:br w:type="page"/>
      </w:r>
      <w:r>
        <w:rPr>
          <w:rFonts w:hint="eastAsia" w:ascii="仿宋_GB2312" w:hAnsi="仿宋_GB2312" w:eastAsia="仿宋_GB2312" w:cs="仿宋_GB2312"/>
          <w:color w:val="000000" w:themeColor="text1"/>
          <w:sz w:val="32"/>
          <w:szCs w:val="32"/>
          <w14:textFill>
            <w14:solidFill>
              <w14:schemeClr w14:val="tx1"/>
            </w14:solidFill>
          </w14:textFill>
        </w:rPr>
        <w:t>6.加密监测点位图</w:t>
      </w:r>
    </w:p>
    <w:p>
      <w:pPr>
        <w:pStyle w:val="263"/>
        <w:spacing w:line="240" w:lineRule="auto"/>
        <w:ind w:firstLine="0" w:firstLineChars="0"/>
        <w:jc w:val="center"/>
        <w:rPr>
          <w:rFonts w:eastAsia="仿宋"/>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89120" cy="353123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89120" cy="3531235"/>
                    </a:xfrm>
                    <a:prstGeom prst="rect">
                      <a:avLst/>
                    </a:prstGeom>
                    <a:noFill/>
                    <a:ln>
                      <a:noFill/>
                    </a:ln>
                  </pic:spPr>
                </pic:pic>
              </a:graphicData>
            </a:graphic>
          </wp:inline>
        </w:drawing>
      </w:r>
    </w:p>
    <w:p>
      <w:pPr>
        <w:spacing w:line="240" w:lineRule="auto"/>
        <w:jc w:val="center"/>
        <w:rPr>
          <w:rFonts w:eastAsia="仿宋" w:cs="Times New Roman"/>
          <w:b/>
          <w:bCs/>
          <w:color w:val="000000" w:themeColor="text1"/>
          <w:sz w:val="24"/>
          <w:szCs w:val="24"/>
          <w14:textFill>
            <w14:solidFill>
              <w14:schemeClr w14:val="tx1"/>
            </w14:solidFill>
          </w14:textFill>
        </w:rPr>
      </w:pPr>
      <w:r>
        <w:rPr>
          <w:rFonts w:hint="eastAsia" w:eastAsia="仿宋" w:cs="Times New Roman"/>
          <w:b/>
          <w:bCs/>
          <w:color w:val="000000" w:themeColor="text1"/>
          <w:sz w:val="24"/>
          <w:szCs w:val="24"/>
          <w14:textFill>
            <w14:solidFill>
              <w14:schemeClr w14:val="tx1"/>
            </w14:solidFill>
          </w14:textFill>
        </w:rPr>
        <w:t>附</w:t>
      </w:r>
      <w:r>
        <w:rPr>
          <w:rFonts w:eastAsia="仿宋" w:cs="Times New Roman"/>
          <w:b/>
          <w:bCs/>
          <w:color w:val="000000" w:themeColor="text1"/>
          <w:sz w:val="24"/>
          <w:szCs w:val="24"/>
          <w14:textFill>
            <w14:solidFill>
              <w14:schemeClr w14:val="tx1"/>
            </w14:solidFill>
          </w14:textFill>
        </w:rPr>
        <w:t>图</w:t>
      </w:r>
      <w:r>
        <w:rPr>
          <w:rFonts w:hint="eastAsia" w:eastAsia="仿宋" w:cs="Times New Roman"/>
          <w:b/>
          <w:bCs/>
          <w:color w:val="000000" w:themeColor="text1"/>
          <w:sz w:val="24"/>
          <w:szCs w:val="24"/>
          <w14:textFill>
            <w14:solidFill>
              <w14:schemeClr w14:val="tx1"/>
            </w14:solidFill>
          </w14:textFill>
        </w:rPr>
        <w:t>6</w:t>
      </w:r>
      <w:r>
        <w:rPr>
          <w:rFonts w:eastAsia="仿宋" w:cs="Times New Roman"/>
          <w:b/>
          <w:bCs/>
          <w:color w:val="000000" w:themeColor="text1"/>
          <w:sz w:val="24"/>
          <w:szCs w:val="20"/>
          <w14:textFill>
            <w14:solidFill>
              <w14:schemeClr w14:val="tx1"/>
            </w14:solidFill>
          </w14:textFill>
        </w:rPr>
        <w:t xml:space="preserve"> </w:t>
      </w:r>
      <w:r>
        <w:rPr>
          <w:rFonts w:hint="eastAsia" w:eastAsia="仿宋" w:cs="Times New Roman"/>
          <w:b/>
          <w:bCs/>
          <w:color w:val="000000" w:themeColor="text1"/>
          <w:sz w:val="24"/>
          <w:szCs w:val="20"/>
          <w14:textFill>
            <w14:solidFill>
              <w14:schemeClr w14:val="tx1"/>
            </w14:solidFill>
          </w14:textFill>
        </w:rPr>
        <w:t>2022年5月</w:t>
      </w:r>
      <w:r>
        <w:rPr>
          <w:rFonts w:hint="eastAsia" w:ascii="仿宋" w:hAnsi="仿宋" w:eastAsia="仿宋" w:cs="Times New Roman"/>
          <w:b/>
          <w:bCs/>
          <w:color w:val="000000" w:themeColor="text1"/>
          <w:sz w:val="24"/>
          <w:szCs w:val="24"/>
          <w:lang w:val="zh-CN"/>
          <w14:textFill>
            <w14:solidFill>
              <w14:schemeClr w14:val="tx1"/>
            </w14:solidFill>
          </w14:textFill>
        </w:rPr>
        <w:t>青岚湖断面</w:t>
      </w:r>
      <w:r>
        <w:rPr>
          <w:rFonts w:hint="eastAsia" w:eastAsia="仿宋" w:cs="Times New Roman"/>
          <w:b/>
          <w:bCs/>
          <w:color w:val="000000" w:themeColor="text1"/>
          <w:sz w:val="24"/>
          <w:szCs w:val="24"/>
          <w14:textFill>
            <w14:solidFill>
              <w14:schemeClr w14:val="tx1"/>
            </w14:solidFill>
          </w14:textFill>
        </w:rPr>
        <w:t>加密监测点位图</w:t>
      </w:r>
    </w:p>
    <w:p>
      <w:pPr>
        <w:adjustRightInd w:val="0"/>
        <w:snapToGrid w:val="0"/>
        <w:spacing w:line="360" w:lineRule="auto"/>
        <w:jc w:val="center"/>
        <w:rPr>
          <w:rFonts w:eastAsia="仿宋" w:cs="Times New Roman"/>
          <w:color w:val="000000" w:themeColor="text1"/>
          <w:sz w:val="24"/>
          <w:lang w:val="zh-CN"/>
          <w14:textFill>
            <w14:solidFill>
              <w14:schemeClr w14:val="tx1"/>
            </w14:solidFill>
          </w14:textFill>
        </w:rPr>
      </w:pPr>
      <w:r>
        <w:rPr>
          <w:rFonts w:eastAsia="仿宋" w:cs="Times New Roman"/>
          <w:color w:val="000000" w:themeColor="text1"/>
          <w:sz w:val="24"/>
          <w14:textFill>
            <w14:solidFill>
              <w14:schemeClr w14:val="tx1"/>
            </w14:solidFill>
          </w14:textFill>
        </w:rPr>
        <w:drawing>
          <wp:inline distT="0" distB="0" distL="0" distR="0">
            <wp:extent cx="4417060" cy="408686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extLst>
                        <a:ext uri="{28A0092B-C50C-407E-A947-70E740481C1C}">
                          <a14:useLocalDpi xmlns:a14="http://schemas.microsoft.com/office/drawing/2010/main" val="0"/>
                        </a:ext>
                      </a:extLst>
                    </a:blip>
                    <a:srcRect l="1176" t="1851"/>
                    <a:stretch>
                      <a:fillRect/>
                    </a:stretch>
                  </pic:blipFill>
                  <pic:spPr>
                    <a:xfrm>
                      <a:off x="0" y="0"/>
                      <a:ext cx="4417060" cy="4086860"/>
                    </a:xfrm>
                    <a:prstGeom prst="rect">
                      <a:avLst/>
                    </a:prstGeom>
                    <a:noFill/>
                    <a:ln>
                      <a:noFill/>
                    </a:ln>
                  </pic:spPr>
                </pic:pic>
              </a:graphicData>
            </a:graphic>
          </wp:inline>
        </w:drawing>
      </w:r>
    </w:p>
    <w:p>
      <w:pPr>
        <w:adjustRightInd w:val="0"/>
        <w:snapToGrid w:val="0"/>
        <w:spacing w:line="360" w:lineRule="auto"/>
        <w:jc w:val="center"/>
        <w:rPr>
          <w:rFonts w:eastAsia="仿宋" w:cs="Times New Roman"/>
          <w:b/>
          <w:bCs/>
          <w:color w:val="000000" w:themeColor="text1"/>
          <w:sz w:val="24"/>
          <w:lang w:val="zh-CN"/>
          <w14:textFill>
            <w14:solidFill>
              <w14:schemeClr w14:val="tx1"/>
            </w14:solidFill>
          </w14:textFill>
        </w:rPr>
      </w:pPr>
      <w:r>
        <w:rPr>
          <w:rFonts w:hint="eastAsia" w:eastAsia="仿宋" w:cs="Times New Roman"/>
          <w:b/>
          <w:bCs/>
          <w:color w:val="000000" w:themeColor="text1"/>
          <w:sz w:val="24"/>
          <w:lang w:val="zh-CN"/>
          <w14:textFill>
            <w14:solidFill>
              <w14:schemeClr w14:val="tx1"/>
            </w14:solidFill>
          </w14:textFill>
        </w:rPr>
        <w:t>附图</w:t>
      </w:r>
      <w:r>
        <w:rPr>
          <w:rFonts w:eastAsia="仿宋" w:cs="Times New Roman"/>
          <w:b/>
          <w:bCs/>
          <w:color w:val="000000" w:themeColor="text1"/>
          <w:sz w:val="24"/>
          <w:lang w:val="zh-CN"/>
          <w14:textFill>
            <w14:solidFill>
              <w14:schemeClr w14:val="tx1"/>
            </w14:solidFill>
          </w14:textFill>
        </w:rPr>
        <w:t>7</w:t>
      </w:r>
      <w:r>
        <w:rPr>
          <w:rFonts w:eastAsia="仿宋" w:cs="Times New Roman"/>
          <w:b/>
          <w:bCs/>
          <w:color w:val="000000" w:themeColor="text1"/>
          <w:sz w:val="24"/>
          <w14:textFill>
            <w14:solidFill>
              <w14:schemeClr w14:val="tx1"/>
            </w14:solidFill>
          </w14:textFill>
        </w:rPr>
        <w:t xml:space="preserve"> 2022年7月</w:t>
      </w:r>
      <w:r>
        <w:rPr>
          <w:rFonts w:hint="eastAsia" w:eastAsia="仿宋" w:cs="Times New Roman"/>
          <w:b/>
          <w:bCs/>
          <w:color w:val="000000" w:themeColor="text1"/>
          <w:sz w:val="24"/>
          <w14:textFill>
            <w14:solidFill>
              <w14:schemeClr w14:val="tx1"/>
            </w14:solidFill>
          </w14:textFill>
        </w:rPr>
        <w:t>加密监测和内源污染调查点位图</w:t>
      </w:r>
    </w:p>
    <w:bookmarkEnd w:id="79"/>
    <w:bookmarkEnd w:id="80"/>
    <w:p>
      <w:pPr>
        <w:pStyle w:val="4"/>
        <w:keepNext w:val="0"/>
        <w:keepLines w:val="0"/>
        <w:pageBreakBefore w:val="0"/>
        <w:widowControl w:val="0"/>
        <w:numPr>
          <w:ilvl w:val="0"/>
          <w:numId w:val="0"/>
        </w:numPr>
        <w:kinsoku/>
        <w:wordWrap/>
        <w:overflowPunct/>
        <w:topLinePunct w:val="0"/>
        <w:autoSpaceDE/>
        <w:bidi w:val="0"/>
        <w:spacing w:line="560" w:lineRule="exact"/>
        <w:ind w:firstLine="642"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bookmarkStart w:id="81" w:name="_Toc112432513"/>
      <w:r>
        <w:rPr>
          <w:rFonts w:hint="eastAsia" w:ascii="仿宋_GB2312" w:hAnsi="仿宋_GB2312" w:eastAsia="仿宋_GB2312" w:cs="仿宋_GB2312"/>
          <w:color w:val="000000" w:themeColor="text1"/>
          <w:sz w:val="32"/>
          <w:szCs w:val="32"/>
          <w14:textFill>
            <w14:solidFill>
              <w14:schemeClr w14:val="tx1"/>
            </w14:solidFill>
          </w14:textFill>
        </w:rPr>
        <w:t>7.重点项目清单</w:t>
      </w:r>
      <w:bookmarkEnd w:id="81"/>
    </w:p>
    <w:p>
      <w:pPr>
        <w:pStyle w:val="263"/>
        <w:keepNext w:val="0"/>
        <w:keepLines w:val="0"/>
        <w:pageBreakBefore w:val="0"/>
        <w:widowControl w:val="0"/>
        <w:kinsoku/>
        <w:wordWrap/>
        <w:overflowPunct/>
        <w:topLinePunct w:val="0"/>
        <w:autoSpaceDE/>
        <w:bidi w:val="0"/>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青岚湖汇水范围内“十四五”时期重点任务包括完善入河（湖）排口污染治理，强化监管和监测能力建设，深入落实农业源治理工程与管理措施，不断提高生活源治理措施建设和运维水平，建管结合强化全程监管，系统改善青岚湖断面水质达标状况。</w:t>
      </w:r>
    </w:p>
    <w:bookmarkEnd w:id="77"/>
    <w:bookmarkEnd w:id="78"/>
    <w:p>
      <w:pPr>
        <w:pStyle w:val="263"/>
        <w:keepNext w:val="0"/>
        <w:keepLines w:val="0"/>
        <w:pageBreakBefore w:val="0"/>
        <w:widowControl w:val="0"/>
        <w:kinsoku/>
        <w:wordWrap/>
        <w:overflowPunct/>
        <w:topLinePunct w:val="0"/>
        <w:autoSpaceDE/>
        <w:bidi w:val="0"/>
        <w:spacing w:line="560" w:lineRule="exact"/>
        <w:ind w:firstLine="56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“十四五”期间拟实施骨干工程项目9个，计划投资约113407.99万元。</w:t>
      </w:r>
    </w:p>
    <w:p>
      <w:pPr>
        <w:pStyle w:val="14"/>
        <w:rPr>
          <w:rFonts w:eastAsia="仿宋" w:cs="Times New Roman"/>
          <w:b/>
          <w:bCs/>
          <w:color w:val="000000" w:themeColor="text1"/>
          <w14:textFill>
            <w14:solidFill>
              <w14:schemeClr w14:val="tx1"/>
            </w14:solidFill>
          </w14:textFill>
        </w:rPr>
      </w:pPr>
      <w:bookmarkStart w:id="82" w:name="_Toc106822359"/>
      <w:r>
        <w:rPr>
          <w:rFonts w:hint="eastAsia" w:ascii="仿宋_GB2312" w:hAnsi="仿宋_GB2312" w:eastAsia="仿宋_GB2312" w:cs="仿宋_GB2312"/>
          <w:b/>
          <w:bCs/>
          <w:color w:val="000000" w:themeColor="text1"/>
          <w14:textFill>
            <w14:solidFill>
              <w14:schemeClr w14:val="tx1"/>
            </w14:solidFill>
          </w14:textFill>
        </w:rPr>
        <w:t>附表1. 青岚湖断面汇水范围规划工程项目</w:t>
      </w:r>
      <w:bookmarkEnd w:id="82"/>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637"/>
        <w:gridCol w:w="1483"/>
        <w:gridCol w:w="4076"/>
        <w:gridCol w:w="1160"/>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序号</w:t>
            </w:r>
          </w:p>
        </w:tc>
        <w:tc>
          <w:tcPr>
            <w:tcW w:w="637"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类型</w:t>
            </w:r>
          </w:p>
        </w:tc>
        <w:tc>
          <w:tcPr>
            <w:tcW w:w="1483"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项目名称</w:t>
            </w:r>
          </w:p>
        </w:tc>
        <w:tc>
          <w:tcPr>
            <w:tcW w:w="4076"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项目内容</w:t>
            </w:r>
          </w:p>
        </w:tc>
        <w:tc>
          <w:tcPr>
            <w:tcW w:w="1160"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计划投资（万元）</w:t>
            </w:r>
          </w:p>
        </w:tc>
        <w:tc>
          <w:tcPr>
            <w:tcW w:w="704"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完成年限（年）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w:t>
            </w:r>
          </w:p>
        </w:tc>
        <w:tc>
          <w:tcPr>
            <w:tcW w:w="637" w:type="dxa"/>
            <w:vMerge w:val="restart"/>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入河（湖）排口污染治理</w:t>
            </w:r>
          </w:p>
        </w:tc>
        <w:tc>
          <w:tcPr>
            <w:tcW w:w="1483"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进贤产业园综合污水处理厂</w:t>
            </w:r>
          </w:p>
        </w:tc>
        <w:tc>
          <w:tcPr>
            <w:tcW w:w="4076"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进行污水处理厂及配套设施建设。项目一期完成建设后日处理量为1万吨，项目全部完成后，日处理量为3万吨。</w:t>
            </w:r>
          </w:p>
        </w:tc>
        <w:tc>
          <w:tcPr>
            <w:tcW w:w="1160"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20000</w:t>
            </w:r>
          </w:p>
        </w:tc>
        <w:tc>
          <w:tcPr>
            <w:tcW w:w="704"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w:t>
            </w:r>
          </w:p>
        </w:tc>
        <w:tc>
          <w:tcPr>
            <w:tcW w:w="637" w:type="dxa"/>
            <w:vMerge w:val="continue"/>
            <w:vAlign w:val="center"/>
          </w:tcPr>
          <w:p>
            <w:pPr>
              <w:pStyle w:val="279"/>
              <w:rPr>
                <w:rFonts w:hint="eastAsia" w:ascii="仿宋_GB2312" w:hAnsi="仿宋_GB2312" w:eastAsia="仿宋_GB2312" w:cs="仿宋_GB2312"/>
                <w:color w:val="000000" w:themeColor="text1"/>
                <w14:textFill>
                  <w14:solidFill>
                    <w14:schemeClr w14:val="tx1"/>
                  </w14:solidFill>
                </w14:textFill>
              </w:rPr>
            </w:pPr>
          </w:p>
        </w:tc>
        <w:tc>
          <w:tcPr>
            <w:tcW w:w="1483"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合流制管网溢流污染调蓄净化工程</w:t>
            </w:r>
          </w:p>
        </w:tc>
        <w:tc>
          <w:tcPr>
            <w:tcW w:w="4076"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新建调蓄池有效容积4万方，同时新建CSOs 溢流污染污水处理设施,处理能力可达12万方/天。项目完成后可彻底解决嘉禾路箱涵溢流污染问题，确保晴天无污水直排、小雨（日降雨 20mm 以下）天气无溢流、中雨（日降雨 20mm</w:t>
            </w:r>
            <w:r>
              <w:rPr>
                <w:rFonts w:hint="eastAsia" w:ascii="仿宋_GB2312" w:hAnsi="仿宋_GB2312" w:eastAsia="仿宋_GB2312" w:cs="仿宋_GB2312"/>
                <w:color w:val="000000" w:themeColor="text1"/>
                <w:lang w:val="en-US" w:eastAsia="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40mm）天气嘉禾路箱涵排口不开闸、大、暴雨（日降雨大于 40mm）天气完成初期雨水收集后嘉禾路排口开闸保障排涝。</w:t>
            </w:r>
          </w:p>
        </w:tc>
        <w:tc>
          <w:tcPr>
            <w:tcW w:w="1160"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11000</w:t>
            </w:r>
          </w:p>
        </w:tc>
        <w:tc>
          <w:tcPr>
            <w:tcW w:w="704"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w:t>
            </w:r>
          </w:p>
        </w:tc>
        <w:tc>
          <w:tcPr>
            <w:tcW w:w="637"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监管和监测能力建设</w:t>
            </w:r>
          </w:p>
        </w:tc>
        <w:tc>
          <w:tcPr>
            <w:tcW w:w="1483"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排污口动态监管能力与标准化建设项目</w:t>
            </w:r>
          </w:p>
        </w:tc>
        <w:tc>
          <w:tcPr>
            <w:tcW w:w="4076"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开展排污口规范化建设，定期进行监督性监测</w:t>
            </w:r>
          </w:p>
        </w:tc>
        <w:tc>
          <w:tcPr>
            <w:tcW w:w="1160"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210.00</w:t>
            </w:r>
          </w:p>
        </w:tc>
        <w:tc>
          <w:tcPr>
            <w:tcW w:w="704"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w:t>
            </w:r>
          </w:p>
        </w:tc>
        <w:tc>
          <w:tcPr>
            <w:tcW w:w="637"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生活源治理措施</w:t>
            </w:r>
          </w:p>
        </w:tc>
        <w:tc>
          <w:tcPr>
            <w:tcW w:w="1483"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乡镇污水处理站</w:t>
            </w:r>
          </w:p>
        </w:tc>
        <w:tc>
          <w:tcPr>
            <w:tcW w:w="4076"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完成11个乡镇集镇生活污水处理设施及配套管网</w:t>
            </w:r>
          </w:p>
        </w:tc>
        <w:tc>
          <w:tcPr>
            <w:tcW w:w="1160"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6000</w:t>
            </w:r>
          </w:p>
        </w:tc>
        <w:tc>
          <w:tcPr>
            <w:tcW w:w="704"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58" w:type="dxa"/>
            <w:gridSpan w:val="4"/>
            <w:vAlign w:val="center"/>
          </w:tcPr>
          <w:p>
            <w:pPr>
              <w:pStyle w:val="279"/>
              <w:jc w:val="righ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合计</w:t>
            </w:r>
          </w:p>
        </w:tc>
        <w:tc>
          <w:tcPr>
            <w:tcW w:w="1160"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37210.00</w:t>
            </w:r>
          </w:p>
        </w:tc>
        <w:tc>
          <w:tcPr>
            <w:tcW w:w="704" w:type="dxa"/>
            <w:vAlign w:val="center"/>
          </w:tcPr>
          <w:p>
            <w:pPr>
              <w:pStyle w:val="279"/>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万元</w:t>
            </w:r>
          </w:p>
        </w:tc>
      </w:tr>
    </w:tbl>
    <w:p>
      <w:pPr>
        <w:pStyle w:val="263"/>
        <w:ind w:left="0" w:leftChars="0" w:firstLine="0" w:firstLineChars="0"/>
        <w:rPr>
          <w:rFonts w:eastAsia="仿宋"/>
          <w:color w:val="000000" w:themeColor="text1"/>
          <w14:textFill>
            <w14:solidFill>
              <w14:schemeClr w14:val="tx1"/>
            </w14:solidFill>
          </w14:textFill>
        </w:rPr>
      </w:pPr>
    </w:p>
    <w:sectPr>
      <w:footerReference r:id="rId6" w:type="default"/>
      <w:pgSz w:w="11906" w:h="16838"/>
      <w:pgMar w:top="1440" w:right="1800" w:bottom="1440" w:left="1800" w:header="851" w:footer="992" w:gutter="0"/>
      <w:pgNumType w:start="1"/>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Droid Sans Ethiop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Droid Sans Ethiopic"/>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Cambria Math">
    <w:altName w:val="DejaVu Math TeX Gyre"/>
    <w:panose1 w:val="02040503050406030204"/>
    <w:charset w:val="00"/>
    <w:family w:val="roman"/>
    <w:pitch w:val="default"/>
    <w:sig w:usb0="00000000" w:usb1="00000000"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DejaVu Math TeX Gyre">
    <w:panose1 w:val="02000503000000000000"/>
    <w:charset w:val="00"/>
    <w:family w:val="auto"/>
    <w:pitch w:val="default"/>
    <w:sig w:usb0="A10000EF" w:usb1="4201F9EE" w:usb2="02000000" w:usb3="00000000" w:csb0="60000193" w:csb1="0DD40000"/>
  </w:font>
  <w:font w:name="Liberation Serif">
    <w:panose1 w:val="02020603050405020304"/>
    <w:charset w:val="00"/>
    <w:family w:val="auto"/>
    <w:pitch w:val="default"/>
    <w:sig w:usb0="A00002AF" w:usb1="500078FB" w:usb2="00000000" w:usb3="00000000" w:csb0="6000009F" w:csb1="DFD70000"/>
  </w:font>
  <w:font w:name="DejaVu Sans">
    <w:panose1 w:val="020B0603030804020204"/>
    <w:charset w:val="00"/>
    <w:family w:val="auto"/>
    <w:pitch w:val="default"/>
    <w:sig w:usb0="E7006EFF" w:usb1="D200FDFF" w:usb2="0A246029" w:usb3="0400200C" w:csb0="600001FF" w:csb1="DFFF0000"/>
  </w:font>
  <w:font w:name="Droid Sans Ethiopic">
    <w:panose1 w:val="020B0606030804020204"/>
    <w:charset w:val="00"/>
    <w:family w:val="auto"/>
    <w:pitch w:val="default"/>
    <w:sig w:usb0="00000003" w:usb1="00000000" w:usb2="000008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PAGE   \* MERGEFORMAT</w:instrText>
    </w:r>
    <w:r>
      <w:fldChar w:fldCharType="separate"/>
    </w:r>
    <w: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left="-18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chineseCountingThousand"/>
      <w:pStyle w:val="191"/>
      <w:lvlText w:val="（%1）"/>
      <w:lvlJc w:val="left"/>
      <w:pPr>
        <w:ind w:left="840" w:hanging="420"/>
      </w:pPr>
      <w:rPr>
        <w:rFonts w:hint="eastAsia" w:ascii="Wingdings" w:eastAsia="Wingding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F"/>
    <w:multiLevelType w:val="multilevel"/>
    <w:tmpl w:val="0000000F"/>
    <w:lvl w:ilvl="0" w:tentative="0">
      <w:start w:val="1"/>
      <w:numFmt w:val="decimal"/>
      <w:pStyle w:val="198"/>
      <w:lvlText w:val="表4-%1 "/>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pStyle w:val="177"/>
      <w:lvlText w:val="%1、"/>
      <w:lvlJc w:val="left"/>
      <w:pPr>
        <w:ind w:left="840"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9"/>
    <w:multiLevelType w:val="multilevel"/>
    <w:tmpl w:val="00000019"/>
    <w:lvl w:ilvl="0" w:tentative="0">
      <w:start w:val="1"/>
      <w:numFmt w:val="decimal"/>
      <w:suff w:val="space"/>
      <w:lvlText w:val="专题%1"/>
      <w:lvlJc w:val="left"/>
      <w:pPr>
        <w:ind w:left="0" w:firstLine="0"/>
      </w:pPr>
      <w:rPr>
        <w:rFonts w:hint="eastAsia" w:ascii="Symbol" w:eastAsia="Symbol"/>
        <w:sz w:val="32"/>
        <w:szCs w:val="32"/>
      </w:rPr>
    </w:lvl>
    <w:lvl w:ilvl="1" w:tentative="0">
      <w:start w:val="1"/>
      <w:numFmt w:val="decimal"/>
      <w:pStyle w:val="221"/>
      <w:lvlText w:val="第%2章"/>
      <w:lvlJc w:val="left"/>
      <w:pPr>
        <w:ind w:left="0" w:firstLine="0"/>
      </w:pPr>
      <w:rPr>
        <w:rFonts w:hint="eastAsia"/>
        <w:sz w:val="32"/>
        <w:szCs w:val="28"/>
      </w:rPr>
    </w:lvl>
    <w:lvl w:ilvl="2" w:tentative="0">
      <w:start w:val="1"/>
      <w:numFmt w:val="decimal"/>
      <w:pStyle w:val="222"/>
      <w:suff w:val="space"/>
      <w:lvlText w:val="%2.%3 "/>
      <w:lvlJc w:val="left"/>
      <w:pPr>
        <w:ind w:left="3545" w:firstLine="0"/>
      </w:pPr>
      <w:rPr>
        <w:rFonts w:hint="default" w:ascii="Cambria Math" w:hAnsi="Cambria Math" w:eastAsia="Symbol" w:cs="Cambria Math"/>
        <w:sz w:val="28"/>
        <w:szCs w:val="24"/>
      </w:rPr>
    </w:lvl>
    <w:lvl w:ilvl="3" w:tentative="0">
      <w:start w:val="1"/>
      <w:numFmt w:val="decimal"/>
      <w:pStyle w:val="117"/>
      <w:isLgl/>
      <w:suff w:val="space"/>
      <w:lvlText w:val="%2.%3.%4 "/>
      <w:lvlJc w:val="left"/>
      <w:pPr>
        <w:ind w:left="0" w:firstLine="0"/>
      </w:pPr>
    </w:lvl>
    <w:lvl w:ilvl="4" w:tentative="0">
      <w:start w:val="1"/>
      <w:numFmt w:val="decimal"/>
      <w:lvlText w:val="%2.%3.%4.%5"/>
      <w:lvlJc w:val="left"/>
      <w:pPr>
        <w:tabs>
          <w:tab w:val="left" w:pos="1192"/>
        </w:tabs>
        <w:ind w:left="1192" w:hanging="992"/>
      </w:pPr>
      <w:rPr>
        <w:rFonts w:hint="default" w:ascii="Cambria Math" w:hAnsi="Cambria Math" w:cs="Cambria Math"/>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4">
    <w:nsid w:val="35344690"/>
    <w:multiLevelType w:val="multilevel"/>
    <w:tmpl w:val="35344690"/>
    <w:lvl w:ilvl="0" w:tentative="0">
      <w:start w:val="1"/>
      <w:numFmt w:val="decimal"/>
      <w:pStyle w:val="2"/>
      <w:lvlText w:val="第%1章 "/>
      <w:lvlJc w:val="left"/>
      <w:pPr>
        <w:ind w:left="3551" w:hanging="432"/>
      </w:pPr>
      <w:rPr>
        <w:rFonts w:hint="eastAsia"/>
        <w:lang w:val="en-US"/>
      </w:rPr>
    </w:lvl>
    <w:lvl w:ilvl="1" w:tentative="0">
      <w:start w:val="1"/>
      <w:numFmt w:val="chineseCountingThousand"/>
      <w:pStyle w:val="3"/>
      <w:lvlText w:val="（%2）"/>
      <w:lvlJc w:val="left"/>
      <w:rPr>
        <w:rFonts w:hint="eastAsia"/>
        <w:b/>
        <w:bCs w:val="0"/>
        <w:i w:val="0"/>
        <w:iCs w:val="0"/>
        <w:caps w:val="0"/>
        <w:smallCaps w:val="0"/>
        <w:strike w:val="0"/>
        <w:dstrike w:val="0"/>
        <w:vanish w:val="0"/>
        <w:color w:val="000000"/>
        <w:spacing w:val="0"/>
        <w:kern w:val="0"/>
        <w:position w:val="0"/>
        <w:u w:val="none"/>
        <w:vertAlign w:val="baseline"/>
      </w:rPr>
    </w:lvl>
    <w:lvl w:ilvl="2" w:tentative="0">
      <w:start w:val="1"/>
      <w:numFmt w:val="decimal"/>
      <w:pStyle w:val="4"/>
      <w:lvlText w:val="%1.%2.%3"/>
      <w:lvlJc w:val="left"/>
      <w:rPr>
        <w:rFonts w:ascii="Times New Roman" w:hAnsi="Times New Roman"/>
        <w:b/>
        <w:bCs w:val="0"/>
        <w:i w:val="0"/>
        <w:iCs w:val="0"/>
        <w:caps w:val="0"/>
        <w:smallCaps w:val="0"/>
        <w:strike w:val="0"/>
        <w:dstrike w:val="0"/>
        <w:vanish w:val="0"/>
        <w:color w:val="000000"/>
        <w:spacing w:val="0"/>
        <w:position w:val="0"/>
        <w:u w:val="none"/>
        <w:vertAlign w:val="baseline"/>
      </w:rPr>
    </w:lvl>
    <w:lvl w:ilvl="3" w:tentative="0">
      <w:start w:val="1"/>
      <w:numFmt w:val="decimal"/>
      <w:pStyle w:val="5"/>
      <w:lvlText w:val="%1.%2.%3.%4"/>
      <w:lvlJc w:val="left"/>
      <w:rPr>
        <w:rFonts w:ascii="Times New Roman" w:hAnsi="Times New Roman" w:cs="Times New Roman"/>
        <w:i w:val="0"/>
        <w:iCs w:val="0"/>
        <w:caps w:val="0"/>
        <w:smallCaps w:val="0"/>
        <w:strike w:val="0"/>
        <w:dstrike w:val="0"/>
        <w:vanish w:val="0"/>
        <w:color w:val="000000"/>
        <w:spacing w:val="0"/>
        <w:position w:val="0"/>
        <w:u w:val="none"/>
        <w:vertAlign w:val="baseline"/>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2008"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140"/>
  <w:drawingGridHorizontalSpacing w:val="140"/>
  <w:drawingGridVerticalSpacing w:val="381"/>
  <w:displayHorizontalDrawingGridEvery w:val="2"/>
  <w:characterSpacingControl w:val="doNotCompress"/>
  <w:footnotePr>
    <w:footnote w:id="0"/>
    <w:footnote w:id="1"/>
  </w:footnotePr>
  <w:endnotePr>
    <w:endnote w:id="0"/>
    <w:endnote w:id="1"/>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wNjIzNjK0NDE3sLRQ0lEKTi0uzszPAykwMakFAFQ0lUotAAAA"/>
    <w:docVar w:name="commondata" w:val="eyJoZGlkIjoiNjIxNzQ5MmVkYzNiNTI4MjgxOWI1YmJjYzY2MjI1ZGEifQ=="/>
  </w:docVars>
  <w:rsids>
    <w:rsidRoot w:val="00172A27"/>
    <w:rsid w:val="00000CC3"/>
    <w:rsid w:val="000042BD"/>
    <w:rsid w:val="00005B97"/>
    <w:rsid w:val="00007E9D"/>
    <w:rsid w:val="00011D78"/>
    <w:rsid w:val="00013B59"/>
    <w:rsid w:val="0001437C"/>
    <w:rsid w:val="00014566"/>
    <w:rsid w:val="00014A9E"/>
    <w:rsid w:val="00014F7A"/>
    <w:rsid w:val="000163E5"/>
    <w:rsid w:val="000175F4"/>
    <w:rsid w:val="000200BB"/>
    <w:rsid w:val="0002022D"/>
    <w:rsid w:val="00020452"/>
    <w:rsid w:val="000207D4"/>
    <w:rsid w:val="00020B70"/>
    <w:rsid w:val="00020F4E"/>
    <w:rsid w:val="000233B5"/>
    <w:rsid w:val="00024B16"/>
    <w:rsid w:val="00024D02"/>
    <w:rsid w:val="00025334"/>
    <w:rsid w:val="000253C2"/>
    <w:rsid w:val="000257CF"/>
    <w:rsid w:val="000258BD"/>
    <w:rsid w:val="0002730B"/>
    <w:rsid w:val="00027B47"/>
    <w:rsid w:val="00027E58"/>
    <w:rsid w:val="00031972"/>
    <w:rsid w:val="00032399"/>
    <w:rsid w:val="00034106"/>
    <w:rsid w:val="00035D71"/>
    <w:rsid w:val="00040F0B"/>
    <w:rsid w:val="000427FC"/>
    <w:rsid w:val="00042ECC"/>
    <w:rsid w:val="00043128"/>
    <w:rsid w:val="00043837"/>
    <w:rsid w:val="00044D8F"/>
    <w:rsid w:val="00046477"/>
    <w:rsid w:val="0004768B"/>
    <w:rsid w:val="00047F46"/>
    <w:rsid w:val="0005002A"/>
    <w:rsid w:val="0005041A"/>
    <w:rsid w:val="0005056C"/>
    <w:rsid w:val="0005112A"/>
    <w:rsid w:val="0005279A"/>
    <w:rsid w:val="00055594"/>
    <w:rsid w:val="00055C81"/>
    <w:rsid w:val="00056486"/>
    <w:rsid w:val="00056CB2"/>
    <w:rsid w:val="0005734C"/>
    <w:rsid w:val="0006067B"/>
    <w:rsid w:val="00060B97"/>
    <w:rsid w:val="000610AE"/>
    <w:rsid w:val="0006225A"/>
    <w:rsid w:val="000626A3"/>
    <w:rsid w:val="0006290B"/>
    <w:rsid w:val="00062CCD"/>
    <w:rsid w:val="0006387E"/>
    <w:rsid w:val="000650EF"/>
    <w:rsid w:val="00065168"/>
    <w:rsid w:val="000662E9"/>
    <w:rsid w:val="00067255"/>
    <w:rsid w:val="000676B0"/>
    <w:rsid w:val="00067AD9"/>
    <w:rsid w:val="00067D30"/>
    <w:rsid w:val="0007051A"/>
    <w:rsid w:val="00071137"/>
    <w:rsid w:val="00072284"/>
    <w:rsid w:val="00073356"/>
    <w:rsid w:val="000739B2"/>
    <w:rsid w:val="000741C0"/>
    <w:rsid w:val="00074DB1"/>
    <w:rsid w:val="000759E0"/>
    <w:rsid w:val="00076F35"/>
    <w:rsid w:val="00077717"/>
    <w:rsid w:val="000779BF"/>
    <w:rsid w:val="0008030B"/>
    <w:rsid w:val="0008379C"/>
    <w:rsid w:val="00083C8E"/>
    <w:rsid w:val="00083F3C"/>
    <w:rsid w:val="0008452D"/>
    <w:rsid w:val="000854E0"/>
    <w:rsid w:val="00085CD7"/>
    <w:rsid w:val="00091F48"/>
    <w:rsid w:val="00093A3F"/>
    <w:rsid w:val="0009685C"/>
    <w:rsid w:val="000A1545"/>
    <w:rsid w:val="000A1625"/>
    <w:rsid w:val="000A42B9"/>
    <w:rsid w:val="000A52AC"/>
    <w:rsid w:val="000B01FD"/>
    <w:rsid w:val="000B224A"/>
    <w:rsid w:val="000B2A78"/>
    <w:rsid w:val="000B37C6"/>
    <w:rsid w:val="000B3ED6"/>
    <w:rsid w:val="000B485D"/>
    <w:rsid w:val="000C025E"/>
    <w:rsid w:val="000C036D"/>
    <w:rsid w:val="000C03B2"/>
    <w:rsid w:val="000C1605"/>
    <w:rsid w:val="000C3DCB"/>
    <w:rsid w:val="000C43CC"/>
    <w:rsid w:val="000D03ED"/>
    <w:rsid w:val="000D1B5C"/>
    <w:rsid w:val="000D22ED"/>
    <w:rsid w:val="000D2A3D"/>
    <w:rsid w:val="000D2C2F"/>
    <w:rsid w:val="000D4056"/>
    <w:rsid w:val="000D4E5C"/>
    <w:rsid w:val="000D6AAB"/>
    <w:rsid w:val="000D7590"/>
    <w:rsid w:val="000D7631"/>
    <w:rsid w:val="000D7DD5"/>
    <w:rsid w:val="000E0F15"/>
    <w:rsid w:val="000E2514"/>
    <w:rsid w:val="000E3288"/>
    <w:rsid w:val="000E38FC"/>
    <w:rsid w:val="000E3AD8"/>
    <w:rsid w:val="000E3CF2"/>
    <w:rsid w:val="000E4820"/>
    <w:rsid w:val="000E4DAC"/>
    <w:rsid w:val="000E6387"/>
    <w:rsid w:val="000E6B2E"/>
    <w:rsid w:val="000F08A9"/>
    <w:rsid w:val="000F0AE9"/>
    <w:rsid w:val="000F144D"/>
    <w:rsid w:val="000F1B1E"/>
    <w:rsid w:val="000F236D"/>
    <w:rsid w:val="000F265C"/>
    <w:rsid w:val="000F316C"/>
    <w:rsid w:val="000F3799"/>
    <w:rsid w:val="000F3F7E"/>
    <w:rsid w:val="000F5011"/>
    <w:rsid w:val="000F78E8"/>
    <w:rsid w:val="001007CA"/>
    <w:rsid w:val="001009C3"/>
    <w:rsid w:val="0010148F"/>
    <w:rsid w:val="00102634"/>
    <w:rsid w:val="001028EF"/>
    <w:rsid w:val="00104B35"/>
    <w:rsid w:val="001054C6"/>
    <w:rsid w:val="0010586A"/>
    <w:rsid w:val="00107429"/>
    <w:rsid w:val="00107C08"/>
    <w:rsid w:val="00111473"/>
    <w:rsid w:val="00113435"/>
    <w:rsid w:val="0011382A"/>
    <w:rsid w:val="00113B3F"/>
    <w:rsid w:val="00116032"/>
    <w:rsid w:val="001163D0"/>
    <w:rsid w:val="00117FCD"/>
    <w:rsid w:val="001201F1"/>
    <w:rsid w:val="00121649"/>
    <w:rsid w:val="001218AE"/>
    <w:rsid w:val="00122FF5"/>
    <w:rsid w:val="00124D1D"/>
    <w:rsid w:val="00131100"/>
    <w:rsid w:val="00131861"/>
    <w:rsid w:val="00131CB3"/>
    <w:rsid w:val="00132C16"/>
    <w:rsid w:val="00132EE6"/>
    <w:rsid w:val="00133E42"/>
    <w:rsid w:val="001357AE"/>
    <w:rsid w:val="00142735"/>
    <w:rsid w:val="00142BC0"/>
    <w:rsid w:val="00142F00"/>
    <w:rsid w:val="001434D3"/>
    <w:rsid w:val="0014501A"/>
    <w:rsid w:val="001460C5"/>
    <w:rsid w:val="00146E5D"/>
    <w:rsid w:val="00147659"/>
    <w:rsid w:val="0015065B"/>
    <w:rsid w:val="00150B7D"/>
    <w:rsid w:val="00151674"/>
    <w:rsid w:val="0015177A"/>
    <w:rsid w:val="001536B0"/>
    <w:rsid w:val="00154D39"/>
    <w:rsid w:val="00160F86"/>
    <w:rsid w:val="00161780"/>
    <w:rsid w:val="001639CD"/>
    <w:rsid w:val="00164224"/>
    <w:rsid w:val="00164DDB"/>
    <w:rsid w:val="001652C8"/>
    <w:rsid w:val="00165CE9"/>
    <w:rsid w:val="00165E8F"/>
    <w:rsid w:val="001671FC"/>
    <w:rsid w:val="001672AA"/>
    <w:rsid w:val="00170BB6"/>
    <w:rsid w:val="00170F63"/>
    <w:rsid w:val="001710A8"/>
    <w:rsid w:val="00171450"/>
    <w:rsid w:val="00172486"/>
    <w:rsid w:val="00172A27"/>
    <w:rsid w:val="00173631"/>
    <w:rsid w:val="0017395F"/>
    <w:rsid w:val="00173EBE"/>
    <w:rsid w:val="00176D0F"/>
    <w:rsid w:val="0017785E"/>
    <w:rsid w:val="0018026B"/>
    <w:rsid w:val="00182BE9"/>
    <w:rsid w:val="00182CB5"/>
    <w:rsid w:val="0018373C"/>
    <w:rsid w:val="00183D3D"/>
    <w:rsid w:val="00183E2F"/>
    <w:rsid w:val="00190414"/>
    <w:rsid w:val="00190F05"/>
    <w:rsid w:val="001913BE"/>
    <w:rsid w:val="00191ABE"/>
    <w:rsid w:val="00192EFB"/>
    <w:rsid w:val="00194F1B"/>
    <w:rsid w:val="0019637F"/>
    <w:rsid w:val="001966CD"/>
    <w:rsid w:val="00196EB6"/>
    <w:rsid w:val="00197932"/>
    <w:rsid w:val="00197FED"/>
    <w:rsid w:val="001A2E68"/>
    <w:rsid w:val="001A475A"/>
    <w:rsid w:val="001A4C2B"/>
    <w:rsid w:val="001A4F89"/>
    <w:rsid w:val="001A51C8"/>
    <w:rsid w:val="001A54DA"/>
    <w:rsid w:val="001A70EA"/>
    <w:rsid w:val="001B0348"/>
    <w:rsid w:val="001B06ED"/>
    <w:rsid w:val="001B0779"/>
    <w:rsid w:val="001B16C6"/>
    <w:rsid w:val="001B22C2"/>
    <w:rsid w:val="001B35B8"/>
    <w:rsid w:val="001B42B0"/>
    <w:rsid w:val="001B536D"/>
    <w:rsid w:val="001B70D7"/>
    <w:rsid w:val="001B75F5"/>
    <w:rsid w:val="001C0E8F"/>
    <w:rsid w:val="001C2A6B"/>
    <w:rsid w:val="001C4622"/>
    <w:rsid w:val="001C4EBD"/>
    <w:rsid w:val="001C5D83"/>
    <w:rsid w:val="001C5F55"/>
    <w:rsid w:val="001C5F58"/>
    <w:rsid w:val="001C6089"/>
    <w:rsid w:val="001C715D"/>
    <w:rsid w:val="001C7970"/>
    <w:rsid w:val="001D11AB"/>
    <w:rsid w:val="001D2397"/>
    <w:rsid w:val="001D3390"/>
    <w:rsid w:val="001D3A04"/>
    <w:rsid w:val="001D3E3A"/>
    <w:rsid w:val="001D4C7D"/>
    <w:rsid w:val="001D6261"/>
    <w:rsid w:val="001D704A"/>
    <w:rsid w:val="001D7112"/>
    <w:rsid w:val="001D7F77"/>
    <w:rsid w:val="001E049D"/>
    <w:rsid w:val="001E0E1E"/>
    <w:rsid w:val="001E15ED"/>
    <w:rsid w:val="001E162C"/>
    <w:rsid w:val="001E23CE"/>
    <w:rsid w:val="001E2847"/>
    <w:rsid w:val="001E2F72"/>
    <w:rsid w:val="001E3A9A"/>
    <w:rsid w:val="001E5468"/>
    <w:rsid w:val="001E5EED"/>
    <w:rsid w:val="001E6418"/>
    <w:rsid w:val="001E77F4"/>
    <w:rsid w:val="001F2EB1"/>
    <w:rsid w:val="001F38B1"/>
    <w:rsid w:val="001F3E16"/>
    <w:rsid w:val="001F5DBD"/>
    <w:rsid w:val="001F6EED"/>
    <w:rsid w:val="001F71DC"/>
    <w:rsid w:val="001F7943"/>
    <w:rsid w:val="001F7A2F"/>
    <w:rsid w:val="00200E28"/>
    <w:rsid w:val="002028C9"/>
    <w:rsid w:val="002039FD"/>
    <w:rsid w:val="002049C4"/>
    <w:rsid w:val="00204A7A"/>
    <w:rsid w:val="00206433"/>
    <w:rsid w:val="00210735"/>
    <w:rsid w:val="002127EC"/>
    <w:rsid w:val="002157E6"/>
    <w:rsid w:val="00215AFE"/>
    <w:rsid w:val="00215BEB"/>
    <w:rsid w:val="00217734"/>
    <w:rsid w:val="00221D26"/>
    <w:rsid w:val="00221E0F"/>
    <w:rsid w:val="002234C0"/>
    <w:rsid w:val="00223C9B"/>
    <w:rsid w:val="00226694"/>
    <w:rsid w:val="00230139"/>
    <w:rsid w:val="00231A90"/>
    <w:rsid w:val="002320A0"/>
    <w:rsid w:val="00232B75"/>
    <w:rsid w:val="00232D16"/>
    <w:rsid w:val="002338F4"/>
    <w:rsid w:val="002347B3"/>
    <w:rsid w:val="002349F4"/>
    <w:rsid w:val="00240AD7"/>
    <w:rsid w:val="00240CB0"/>
    <w:rsid w:val="00240E58"/>
    <w:rsid w:val="00240F8A"/>
    <w:rsid w:val="00241F22"/>
    <w:rsid w:val="002423C8"/>
    <w:rsid w:val="00242960"/>
    <w:rsid w:val="002435EB"/>
    <w:rsid w:val="00247189"/>
    <w:rsid w:val="00253337"/>
    <w:rsid w:val="00253D78"/>
    <w:rsid w:val="00254304"/>
    <w:rsid w:val="00254E49"/>
    <w:rsid w:val="00255C67"/>
    <w:rsid w:val="00256F06"/>
    <w:rsid w:val="00260279"/>
    <w:rsid w:val="002610D2"/>
    <w:rsid w:val="00264B07"/>
    <w:rsid w:val="00265433"/>
    <w:rsid w:val="00266AB5"/>
    <w:rsid w:val="0026775F"/>
    <w:rsid w:val="002679B6"/>
    <w:rsid w:val="00270EB5"/>
    <w:rsid w:val="00272EAA"/>
    <w:rsid w:val="0027336E"/>
    <w:rsid w:val="00273441"/>
    <w:rsid w:val="002735FF"/>
    <w:rsid w:val="00275281"/>
    <w:rsid w:val="002755A7"/>
    <w:rsid w:val="00276C30"/>
    <w:rsid w:val="00281422"/>
    <w:rsid w:val="002827CF"/>
    <w:rsid w:val="002850CF"/>
    <w:rsid w:val="00286581"/>
    <w:rsid w:val="00286F02"/>
    <w:rsid w:val="00287197"/>
    <w:rsid w:val="0028722C"/>
    <w:rsid w:val="002921A0"/>
    <w:rsid w:val="00293203"/>
    <w:rsid w:val="00294459"/>
    <w:rsid w:val="00295680"/>
    <w:rsid w:val="0029594D"/>
    <w:rsid w:val="00297E11"/>
    <w:rsid w:val="002A662E"/>
    <w:rsid w:val="002B1A34"/>
    <w:rsid w:val="002B53A9"/>
    <w:rsid w:val="002B5A19"/>
    <w:rsid w:val="002B66E9"/>
    <w:rsid w:val="002B6B73"/>
    <w:rsid w:val="002B7866"/>
    <w:rsid w:val="002B7F2A"/>
    <w:rsid w:val="002C02E8"/>
    <w:rsid w:val="002C03FA"/>
    <w:rsid w:val="002C32F1"/>
    <w:rsid w:val="002C4E13"/>
    <w:rsid w:val="002C5290"/>
    <w:rsid w:val="002C58D9"/>
    <w:rsid w:val="002C5D29"/>
    <w:rsid w:val="002C7F56"/>
    <w:rsid w:val="002D066E"/>
    <w:rsid w:val="002D0869"/>
    <w:rsid w:val="002D0D98"/>
    <w:rsid w:val="002D1545"/>
    <w:rsid w:val="002D27F9"/>
    <w:rsid w:val="002D31D3"/>
    <w:rsid w:val="002D3F36"/>
    <w:rsid w:val="002E16A9"/>
    <w:rsid w:val="002E17C9"/>
    <w:rsid w:val="002E38F7"/>
    <w:rsid w:val="002E4B07"/>
    <w:rsid w:val="002E4E3E"/>
    <w:rsid w:val="002E5294"/>
    <w:rsid w:val="002E5E91"/>
    <w:rsid w:val="002F0CE9"/>
    <w:rsid w:val="002F1F04"/>
    <w:rsid w:val="002F388A"/>
    <w:rsid w:val="002F42F5"/>
    <w:rsid w:val="002F430A"/>
    <w:rsid w:val="002F5778"/>
    <w:rsid w:val="002F5F32"/>
    <w:rsid w:val="002F79C5"/>
    <w:rsid w:val="00300590"/>
    <w:rsid w:val="00301092"/>
    <w:rsid w:val="00302556"/>
    <w:rsid w:val="00302652"/>
    <w:rsid w:val="003051A6"/>
    <w:rsid w:val="00305388"/>
    <w:rsid w:val="00305922"/>
    <w:rsid w:val="00306491"/>
    <w:rsid w:val="003077BD"/>
    <w:rsid w:val="003106D3"/>
    <w:rsid w:val="00310F6A"/>
    <w:rsid w:val="003112F5"/>
    <w:rsid w:val="003116D4"/>
    <w:rsid w:val="00312D9B"/>
    <w:rsid w:val="00313F89"/>
    <w:rsid w:val="0031622F"/>
    <w:rsid w:val="0031665C"/>
    <w:rsid w:val="00316CCE"/>
    <w:rsid w:val="00317318"/>
    <w:rsid w:val="0031755A"/>
    <w:rsid w:val="0032078C"/>
    <w:rsid w:val="003213F4"/>
    <w:rsid w:val="003218E7"/>
    <w:rsid w:val="00322454"/>
    <w:rsid w:val="003225F6"/>
    <w:rsid w:val="00322915"/>
    <w:rsid w:val="00322C03"/>
    <w:rsid w:val="003240EF"/>
    <w:rsid w:val="00325F5A"/>
    <w:rsid w:val="00326475"/>
    <w:rsid w:val="00330D58"/>
    <w:rsid w:val="00331219"/>
    <w:rsid w:val="00332345"/>
    <w:rsid w:val="00332BA0"/>
    <w:rsid w:val="0033442E"/>
    <w:rsid w:val="00334AF7"/>
    <w:rsid w:val="00336388"/>
    <w:rsid w:val="00336425"/>
    <w:rsid w:val="00336AB3"/>
    <w:rsid w:val="00337E4A"/>
    <w:rsid w:val="00340635"/>
    <w:rsid w:val="00340E40"/>
    <w:rsid w:val="00341437"/>
    <w:rsid w:val="00341EB5"/>
    <w:rsid w:val="00342495"/>
    <w:rsid w:val="00343EB3"/>
    <w:rsid w:val="00344313"/>
    <w:rsid w:val="003456A7"/>
    <w:rsid w:val="003457AB"/>
    <w:rsid w:val="0034627E"/>
    <w:rsid w:val="00346453"/>
    <w:rsid w:val="0034717E"/>
    <w:rsid w:val="00347C1D"/>
    <w:rsid w:val="00347F51"/>
    <w:rsid w:val="00350D6A"/>
    <w:rsid w:val="00351355"/>
    <w:rsid w:val="0035223A"/>
    <w:rsid w:val="003529FF"/>
    <w:rsid w:val="00352AFB"/>
    <w:rsid w:val="003536C2"/>
    <w:rsid w:val="0035476D"/>
    <w:rsid w:val="00354FF1"/>
    <w:rsid w:val="00355D78"/>
    <w:rsid w:val="00360CB9"/>
    <w:rsid w:val="00360ECC"/>
    <w:rsid w:val="00362272"/>
    <w:rsid w:val="00363491"/>
    <w:rsid w:val="00364921"/>
    <w:rsid w:val="0036519C"/>
    <w:rsid w:val="00366259"/>
    <w:rsid w:val="0036633B"/>
    <w:rsid w:val="00366F9A"/>
    <w:rsid w:val="00371265"/>
    <w:rsid w:val="00372048"/>
    <w:rsid w:val="00373CD6"/>
    <w:rsid w:val="003754BB"/>
    <w:rsid w:val="003768F1"/>
    <w:rsid w:val="0037709B"/>
    <w:rsid w:val="00380158"/>
    <w:rsid w:val="00381444"/>
    <w:rsid w:val="0038173E"/>
    <w:rsid w:val="00381AA5"/>
    <w:rsid w:val="00383CA6"/>
    <w:rsid w:val="00383E66"/>
    <w:rsid w:val="00384531"/>
    <w:rsid w:val="003855F3"/>
    <w:rsid w:val="00387E66"/>
    <w:rsid w:val="0039235C"/>
    <w:rsid w:val="00392B22"/>
    <w:rsid w:val="003931E7"/>
    <w:rsid w:val="00393F0D"/>
    <w:rsid w:val="003944AF"/>
    <w:rsid w:val="00394C99"/>
    <w:rsid w:val="00394E8A"/>
    <w:rsid w:val="003951EE"/>
    <w:rsid w:val="003A0CBF"/>
    <w:rsid w:val="003A1DC5"/>
    <w:rsid w:val="003A24D4"/>
    <w:rsid w:val="003A2ADD"/>
    <w:rsid w:val="003A2F7B"/>
    <w:rsid w:val="003A33DE"/>
    <w:rsid w:val="003A42E1"/>
    <w:rsid w:val="003A4828"/>
    <w:rsid w:val="003A4E7C"/>
    <w:rsid w:val="003B07A4"/>
    <w:rsid w:val="003B0F49"/>
    <w:rsid w:val="003B14AA"/>
    <w:rsid w:val="003B1909"/>
    <w:rsid w:val="003B29F8"/>
    <w:rsid w:val="003B2DEC"/>
    <w:rsid w:val="003B49C9"/>
    <w:rsid w:val="003B579F"/>
    <w:rsid w:val="003B6365"/>
    <w:rsid w:val="003B783E"/>
    <w:rsid w:val="003C0B79"/>
    <w:rsid w:val="003C0C5D"/>
    <w:rsid w:val="003C1101"/>
    <w:rsid w:val="003C2DB6"/>
    <w:rsid w:val="003C54E7"/>
    <w:rsid w:val="003D001D"/>
    <w:rsid w:val="003D1624"/>
    <w:rsid w:val="003D1720"/>
    <w:rsid w:val="003D1FBB"/>
    <w:rsid w:val="003D2E27"/>
    <w:rsid w:val="003D3AFE"/>
    <w:rsid w:val="003D6083"/>
    <w:rsid w:val="003D794A"/>
    <w:rsid w:val="003E085C"/>
    <w:rsid w:val="003E0D6F"/>
    <w:rsid w:val="003E1BAE"/>
    <w:rsid w:val="003E1C68"/>
    <w:rsid w:val="003E3850"/>
    <w:rsid w:val="003E4D74"/>
    <w:rsid w:val="003E6463"/>
    <w:rsid w:val="003F03E6"/>
    <w:rsid w:val="003F0B99"/>
    <w:rsid w:val="003F0F04"/>
    <w:rsid w:val="003F633D"/>
    <w:rsid w:val="003F6488"/>
    <w:rsid w:val="003F7187"/>
    <w:rsid w:val="00400C51"/>
    <w:rsid w:val="00401280"/>
    <w:rsid w:val="00402800"/>
    <w:rsid w:val="00403423"/>
    <w:rsid w:val="00404AE7"/>
    <w:rsid w:val="00406415"/>
    <w:rsid w:val="00406D7D"/>
    <w:rsid w:val="00410772"/>
    <w:rsid w:val="0041120F"/>
    <w:rsid w:val="00412567"/>
    <w:rsid w:val="004128A8"/>
    <w:rsid w:val="00412967"/>
    <w:rsid w:val="00413228"/>
    <w:rsid w:val="0041512B"/>
    <w:rsid w:val="00416A91"/>
    <w:rsid w:val="00420CC1"/>
    <w:rsid w:val="0042194A"/>
    <w:rsid w:val="00421B59"/>
    <w:rsid w:val="00422A63"/>
    <w:rsid w:val="00422E65"/>
    <w:rsid w:val="004232B0"/>
    <w:rsid w:val="0042403F"/>
    <w:rsid w:val="00424D42"/>
    <w:rsid w:val="0042539C"/>
    <w:rsid w:val="0042668B"/>
    <w:rsid w:val="0042753C"/>
    <w:rsid w:val="00431854"/>
    <w:rsid w:val="00434EEF"/>
    <w:rsid w:val="00434F06"/>
    <w:rsid w:val="00436A8D"/>
    <w:rsid w:val="00437766"/>
    <w:rsid w:val="00440427"/>
    <w:rsid w:val="00441D73"/>
    <w:rsid w:val="00442343"/>
    <w:rsid w:val="004425E2"/>
    <w:rsid w:val="00442995"/>
    <w:rsid w:val="00442FCF"/>
    <w:rsid w:val="00444142"/>
    <w:rsid w:val="00445E16"/>
    <w:rsid w:val="00446504"/>
    <w:rsid w:val="00454508"/>
    <w:rsid w:val="00454F8C"/>
    <w:rsid w:val="00456FF5"/>
    <w:rsid w:val="00457934"/>
    <w:rsid w:val="00460BE5"/>
    <w:rsid w:val="00461684"/>
    <w:rsid w:val="004617E9"/>
    <w:rsid w:val="004634A0"/>
    <w:rsid w:val="00464257"/>
    <w:rsid w:val="004658FC"/>
    <w:rsid w:val="00466F4B"/>
    <w:rsid w:val="004674C4"/>
    <w:rsid w:val="00470339"/>
    <w:rsid w:val="00474F7C"/>
    <w:rsid w:val="0047594A"/>
    <w:rsid w:val="00476F57"/>
    <w:rsid w:val="004805FB"/>
    <w:rsid w:val="00480FAD"/>
    <w:rsid w:val="0048359D"/>
    <w:rsid w:val="00483803"/>
    <w:rsid w:val="004850C3"/>
    <w:rsid w:val="00485456"/>
    <w:rsid w:val="004872CC"/>
    <w:rsid w:val="004874AF"/>
    <w:rsid w:val="00487614"/>
    <w:rsid w:val="00487A62"/>
    <w:rsid w:val="00490729"/>
    <w:rsid w:val="00490BE5"/>
    <w:rsid w:val="004945DD"/>
    <w:rsid w:val="004956A6"/>
    <w:rsid w:val="004A0D73"/>
    <w:rsid w:val="004A0E13"/>
    <w:rsid w:val="004A1722"/>
    <w:rsid w:val="004A2315"/>
    <w:rsid w:val="004A2DA8"/>
    <w:rsid w:val="004A4319"/>
    <w:rsid w:val="004A4891"/>
    <w:rsid w:val="004A4FFE"/>
    <w:rsid w:val="004A54DD"/>
    <w:rsid w:val="004A6E15"/>
    <w:rsid w:val="004B3B47"/>
    <w:rsid w:val="004B3C52"/>
    <w:rsid w:val="004B4066"/>
    <w:rsid w:val="004B5B96"/>
    <w:rsid w:val="004B5E25"/>
    <w:rsid w:val="004B63A9"/>
    <w:rsid w:val="004B7039"/>
    <w:rsid w:val="004B76DF"/>
    <w:rsid w:val="004C0910"/>
    <w:rsid w:val="004C151B"/>
    <w:rsid w:val="004C2BED"/>
    <w:rsid w:val="004C36C6"/>
    <w:rsid w:val="004C4DC8"/>
    <w:rsid w:val="004C5091"/>
    <w:rsid w:val="004C6024"/>
    <w:rsid w:val="004C6043"/>
    <w:rsid w:val="004C6729"/>
    <w:rsid w:val="004C76C8"/>
    <w:rsid w:val="004C79BA"/>
    <w:rsid w:val="004D08EF"/>
    <w:rsid w:val="004D145B"/>
    <w:rsid w:val="004D193C"/>
    <w:rsid w:val="004D218E"/>
    <w:rsid w:val="004D22B9"/>
    <w:rsid w:val="004D3821"/>
    <w:rsid w:val="004D53D0"/>
    <w:rsid w:val="004D60B1"/>
    <w:rsid w:val="004D6739"/>
    <w:rsid w:val="004D73C8"/>
    <w:rsid w:val="004E14F7"/>
    <w:rsid w:val="004E2137"/>
    <w:rsid w:val="004E21D2"/>
    <w:rsid w:val="004E4EAB"/>
    <w:rsid w:val="004E6DA9"/>
    <w:rsid w:val="004F0D5B"/>
    <w:rsid w:val="004F117C"/>
    <w:rsid w:val="004F51D9"/>
    <w:rsid w:val="004F5E30"/>
    <w:rsid w:val="004F65F1"/>
    <w:rsid w:val="004F66CB"/>
    <w:rsid w:val="004F7748"/>
    <w:rsid w:val="005022D7"/>
    <w:rsid w:val="005035B0"/>
    <w:rsid w:val="0050429D"/>
    <w:rsid w:val="00504912"/>
    <w:rsid w:val="0050545E"/>
    <w:rsid w:val="00505CCD"/>
    <w:rsid w:val="00506460"/>
    <w:rsid w:val="00507A7B"/>
    <w:rsid w:val="005115FA"/>
    <w:rsid w:val="005117EA"/>
    <w:rsid w:val="00512328"/>
    <w:rsid w:val="00512C3F"/>
    <w:rsid w:val="005164DE"/>
    <w:rsid w:val="00517611"/>
    <w:rsid w:val="00517A81"/>
    <w:rsid w:val="005206C1"/>
    <w:rsid w:val="00520C80"/>
    <w:rsid w:val="005222CD"/>
    <w:rsid w:val="00522331"/>
    <w:rsid w:val="0052263D"/>
    <w:rsid w:val="00525030"/>
    <w:rsid w:val="00525F1D"/>
    <w:rsid w:val="0052607F"/>
    <w:rsid w:val="005265D2"/>
    <w:rsid w:val="00526ACF"/>
    <w:rsid w:val="00526FC3"/>
    <w:rsid w:val="00527C22"/>
    <w:rsid w:val="00527CF0"/>
    <w:rsid w:val="00530D79"/>
    <w:rsid w:val="00532B81"/>
    <w:rsid w:val="00533DCC"/>
    <w:rsid w:val="00534135"/>
    <w:rsid w:val="005357BE"/>
    <w:rsid w:val="00535C31"/>
    <w:rsid w:val="00536496"/>
    <w:rsid w:val="00540DFC"/>
    <w:rsid w:val="00541901"/>
    <w:rsid w:val="00543FB3"/>
    <w:rsid w:val="00544D88"/>
    <w:rsid w:val="0054511B"/>
    <w:rsid w:val="00545454"/>
    <w:rsid w:val="00545E2A"/>
    <w:rsid w:val="00547B21"/>
    <w:rsid w:val="0055203F"/>
    <w:rsid w:val="005538D0"/>
    <w:rsid w:val="0055486C"/>
    <w:rsid w:val="00554AF8"/>
    <w:rsid w:val="00554C61"/>
    <w:rsid w:val="00555181"/>
    <w:rsid w:val="005573AA"/>
    <w:rsid w:val="00560316"/>
    <w:rsid w:val="005603FC"/>
    <w:rsid w:val="00560DCC"/>
    <w:rsid w:val="005628AD"/>
    <w:rsid w:val="00562B2B"/>
    <w:rsid w:val="00563155"/>
    <w:rsid w:val="00563D02"/>
    <w:rsid w:val="00564376"/>
    <w:rsid w:val="005655DA"/>
    <w:rsid w:val="005668F6"/>
    <w:rsid w:val="0056783E"/>
    <w:rsid w:val="00570A59"/>
    <w:rsid w:val="005711F4"/>
    <w:rsid w:val="00571E55"/>
    <w:rsid w:val="005732E9"/>
    <w:rsid w:val="005747E5"/>
    <w:rsid w:val="00577DA1"/>
    <w:rsid w:val="00582BEE"/>
    <w:rsid w:val="00583AFB"/>
    <w:rsid w:val="005841F6"/>
    <w:rsid w:val="00584C0F"/>
    <w:rsid w:val="00584E5D"/>
    <w:rsid w:val="00584FF0"/>
    <w:rsid w:val="00585E9F"/>
    <w:rsid w:val="005862FF"/>
    <w:rsid w:val="005873DC"/>
    <w:rsid w:val="00591B36"/>
    <w:rsid w:val="005923C6"/>
    <w:rsid w:val="0059498A"/>
    <w:rsid w:val="00594DCD"/>
    <w:rsid w:val="00596FE4"/>
    <w:rsid w:val="005A038C"/>
    <w:rsid w:val="005A151D"/>
    <w:rsid w:val="005A184D"/>
    <w:rsid w:val="005A2257"/>
    <w:rsid w:val="005A49EB"/>
    <w:rsid w:val="005A5597"/>
    <w:rsid w:val="005A58ED"/>
    <w:rsid w:val="005B155E"/>
    <w:rsid w:val="005B16BF"/>
    <w:rsid w:val="005B2A69"/>
    <w:rsid w:val="005B3064"/>
    <w:rsid w:val="005B3214"/>
    <w:rsid w:val="005B36CE"/>
    <w:rsid w:val="005B3891"/>
    <w:rsid w:val="005B4C7B"/>
    <w:rsid w:val="005B4D96"/>
    <w:rsid w:val="005B5989"/>
    <w:rsid w:val="005B5FE8"/>
    <w:rsid w:val="005B7A3A"/>
    <w:rsid w:val="005C12F4"/>
    <w:rsid w:val="005C2426"/>
    <w:rsid w:val="005C2FB4"/>
    <w:rsid w:val="005C2FE2"/>
    <w:rsid w:val="005C30D6"/>
    <w:rsid w:val="005C364C"/>
    <w:rsid w:val="005C4B52"/>
    <w:rsid w:val="005C4DD9"/>
    <w:rsid w:val="005C53C5"/>
    <w:rsid w:val="005C58D5"/>
    <w:rsid w:val="005C61A8"/>
    <w:rsid w:val="005C643A"/>
    <w:rsid w:val="005C6BA0"/>
    <w:rsid w:val="005C7093"/>
    <w:rsid w:val="005C75D4"/>
    <w:rsid w:val="005D0486"/>
    <w:rsid w:val="005D456A"/>
    <w:rsid w:val="005D4709"/>
    <w:rsid w:val="005D552B"/>
    <w:rsid w:val="005D6BAE"/>
    <w:rsid w:val="005D7C36"/>
    <w:rsid w:val="005E07F3"/>
    <w:rsid w:val="005E0941"/>
    <w:rsid w:val="005E0C4A"/>
    <w:rsid w:val="005E0ED1"/>
    <w:rsid w:val="005E1216"/>
    <w:rsid w:val="005E14E3"/>
    <w:rsid w:val="005E36E9"/>
    <w:rsid w:val="005E47E0"/>
    <w:rsid w:val="005E594D"/>
    <w:rsid w:val="005E7345"/>
    <w:rsid w:val="005F00EE"/>
    <w:rsid w:val="005F0F5D"/>
    <w:rsid w:val="005F2AC5"/>
    <w:rsid w:val="005F365F"/>
    <w:rsid w:val="005F54BE"/>
    <w:rsid w:val="005F571B"/>
    <w:rsid w:val="005F662D"/>
    <w:rsid w:val="005F6FC8"/>
    <w:rsid w:val="00602DCF"/>
    <w:rsid w:val="00603C80"/>
    <w:rsid w:val="00604BCC"/>
    <w:rsid w:val="00604BE7"/>
    <w:rsid w:val="006066F1"/>
    <w:rsid w:val="006076F9"/>
    <w:rsid w:val="00607779"/>
    <w:rsid w:val="00613E9E"/>
    <w:rsid w:val="0061409A"/>
    <w:rsid w:val="00614440"/>
    <w:rsid w:val="00614A52"/>
    <w:rsid w:val="00614ABC"/>
    <w:rsid w:val="00616BFD"/>
    <w:rsid w:val="00617665"/>
    <w:rsid w:val="0062074E"/>
    <w:rsid w:val="00620D99"/>
    <w:rsid w:val="00620DD9"/>
    <w:rsid w:val="00621648"/>
    <w:rsid w:val="00621853"/>
    <w:rsid w:val="00622CB0"/>
    <w:rsid w:val="006244E4"/>
    <w:rsid w:val="0062549B"/>
    <w:rsid w:val="00625754"/>
    <w:rsid w:val="006258B9"/>
    <w:rsid w:val="00625B66"/>
    <w:rsid w:val="006262E5"/>
    <w:rsid w:val="00632424"/>
    <w:rsid w:val="00632FEE"/>
    <w:rsid w:val="006334BC"/>
    <w:rsid w:val="006337A2"/>
    <w:rsid w:val="00634306"/>
    <w:rsid w:val="00634AC2"/>
    <w:rsid w:val="006357FA"/>
    <w:rsid w:val="006371BC"/>
    <w:rsid w:val="0064029B"/>
    <w:rsid w:val="006410E1"/>
    <w:rsid w:val="006417C1"/>
    <w:rsid w:val="006417C7"/>
    <w:rsid w:val="00642E9B"/>
    <w:rsid w:val="00643BFB"/>
    <w:rsid w:val="006442F3"/>
    <w:rsid w:val="00646CCE"/>
    <w:rsid w:val="00651C55"/>
    <w:rsid w:val="00656789"/>
    <w:rsid w:val="006575D2"/>
    <w:rsid w:val="006603F9"/>
    <w:rsid w:val="00660459"/>
    <w:rsid w:val="006607E6"/>
    <w:rsid w:val="006613E2"/>
    <w:rsid w:val="0066178E"/>
    <w:rsid w:val="006621DB"/>
    <w:rsid w:val="00662677"/>
    <w:rsid w:val="00662CC1"/>
    <w:rsid w:val="00664324"/>
    <w:rsid w:val="00665119"/>
    <w:rsid w:val="00666026"/>
    <w:rsid w:val="00666583"/>
    <w:rsid w:val="00666A0D"/>
    <w:rsid w:val="006701D7"/>
    <w:rsid w:val="00670AC3"/>
    <w:rsid w:val="00670EF9"/>
    <w:rsid w:val="006721E4"/>
    <w:rsid w:val="00672B5B"/>
    <w:rsid w:val="00674444"/>
    <w:rsid w:val="0067730C"/>
    <w:rsid w:val="006806C5"/>
    <w:rsid w:val="00680871"/>
    <w:rsid w:val="006828EB"/>
    <w:rsid w:val="00683054"/>
    <w:rsid w:val="00683BB5"/>
    <w:rsid w:val="006846C9"/>
    <w:rsid w:val="00685C45"/>
    <w:rsid w:val="00686202"/>
    <w:rsid w:val="006863F3"/>
    <w:rsid w:val="00686B35"/>
    <w:rsid w:val="00686F29"/>
    <w:rsid w:val="006911B8"/>
    <w:rsid w:val="00691293"/>
    <w:rsid w:val="0069290D"/>
    <w:rsid w:val="00693C2A"/>
    <w:rsid w:val="00694CFC"/>
    <w:rsid w:val="0069515A"/>
    <w:rsid w:val="0069570C"/>
    <w:rsid w:val="006961A2"/>
    <w:rsid w:val="0069626C"/>
    <w:rsid w:val="00696F3C"/>
    <w:rsid w:val="00697408"/>
    <w:rsid w:val="006A0D85"/>
    <w:rsid w:val="006A2607"/>
    <w:rsid w:val="006A2AFD"/>
    <w:rsid w:val="006A3424"/>
    <w:rsid w:val="006A3D14"/>
    <w:rsid w:val="006A3F56"/>
    <w:rsid w:val="006A5FBA"/>
    <w:rsid w:val="006A615C"/>
    <w:rsid w:val="006B1F56"/>
    <w:rsid w:val="006B3EA2"/>
    <w:rsid w:val="006B446A"/>
    <w:rsid w:val="006B4D72"/>
    <w:rsid w:val="006B573B"/>
    <w:rsid w:val="006B59C0"/>
    <w:rsid w:val="006B6A5F"/>
    <w:rsid w:val="006B6D0A"/>
    <w:rsid w:val="006B7B8D"/>
    <w:rsid w:val="006C0434"/>
    <w:rsid w:val="006C1256"/>
    <w:rsid w:val="006C2B8B"/>
    <w:rsid w:val="006C3EE5"/>
    <w:rsid w:val="006C6320"/>
    <w:rsid w:val="006C68E8"/>
    <w:rsid w:val="006C6A45"/>
    <w:rsid w:val="006C70EF"/>
    <w:rsid w:val="006C71A0"/>
    <w:rsid w:val="006C7C23"/>
    <w:rsid w:val="006D5C85"/>
    <w:rsid w:val="006D5EEC"/>
    <w:rsid w:val="006D7578"/>
    <w:rsid w:val="006D7BBC"/>
    <w:rsid w:val="006E034C"/>
    <w:rsid w:val="006E078A"/>
    <w:rsid w:val="006E0DF4"/>
    <w:rsid w:val="006E23A9"/>
    <w:rsid w:val="006E3530"/>
    <w:rsid w:val="006E3AC2"/>
    <w:rsid w:val="006E3FAF"/>
    <w:rsid w:val="006E4530"/>
    <w:rsid w:val="006E4ED6"/>
    <w:rsid w:val="006E5213"/>
    <w:rsid w:val="006E6114"/>
    <w:rsid w:val="006E73F2"/>
    <w:rsid w:val="006F31C1"/>
    <w:rsid w:val="006F32D7"/>
    <w:rsid w:val="006F5B71"/>
    <w:rsid w:val="006F7716"/>
    <w:rsid w:val="00701598"/>
    <w:rsid w:val="00701C07"/>
    <w:rsid w:val="00702470"/>
    <w:rsid w:val="0070293E"/>
    <w:rsid w:val="00702972"/>
    <w:rsid w:val="00702F03"/>
    <w:rsid w:val="00704122"/>
    <w:rsid w:val="007046BE"/>
    <w:rsid w:val="007057D9"/>
    <w:rsid w:val="00705B64"/>
    <w:rsid w:val="00706074"/>
    <w:rsid w:val="00706482"/>
    <w:rsid w:val="00707320"/>
    <w:rsid w:val="00710832"/>
    <w:rsid w:val="00710E31"/>
    <w:rsid w:val="007113AE"/>
    <w:rsid w:val="00711444"/>
    <w:rsid w:val="0071233F"/>
    <w:rsid w:val="00712DE7"/>
    <w:rsid w:val="00713B9A"/>
    <w:rsid w:val="00714793"/>
    <w:rsid w:val="00716C05"/>
    <w:rsid w:val="007205AF"/>
    <w:rsid w:val="007207FC"/>
    <w:rsid w:val="0072086A"/>
    <w:rsid w:val="00720926"/>
    <w:rsid w:val="007239A8"/>
    <w:rsid w:val="007245A9"/>
    <w:rsid w:val="00724AD8"/>
    <w:rsid w:val="00725555"/>
    <w:rsid w:val="00725AEF"/>
    <w:rsid w:val="0072616B"/>
    <w:rsid w:val="0073183E"/>
    <w:rsid w:val="0073226E"/>
    <w:rsid w:val="0073412E"/>
    <w:rsid w:val="007343B9"/>
    <w:rsid w:val="00734E6E"/>
    <w:rsid w:val="00735E3E"/>
    <w:rsid w:val="0073669E"/>
    <w:rsid w:val="007377E8"/>
    <w:rsid w:val="00737D1A"/>
    <w:rsid w:val="00741B82"/>
    <w:rsid w:val="007420BF"/>
    <w:rsid w:val="00745EEB"/>
    <w:rsid w:val="0074711B"/>
    <w:rsid w:val="00747ABE"/>
    <w:rsid w:val="007509A0"/>
    <w:rsid w:val="00751113"/>
    <w:rsid w:val="007512C6"/>
    <w:rsid w:val="007517C7"/>
    <w:rsid w:val="0075563E"/>
    <w:rsid w:val="00757DE0"/>
    <w:rsid w:val="00761B7B"/>
    <w:rsid w:val="00762087"/>
    <w:rsid w:val="00762B37"/>
    <w:rsid w:val="00763912"/>
    <w:rsid w:val="007643BA"/>
    <w:rsid w:val="00764E90"/>
    <w:rsid w:val="007653E2"/>
    <w:rsid w:val="00765CEF"/>
    <w:rsid w:val="00766BEB"/>
    <w:rsid w:val="00771651"/>
    <w:rsid w:val="00771E44"/>
    <w:rsid w:val="007728AC"/>
    <w:rsid w:val="00773B7C"/>
    <w:rsid w:val="0077513C"/>
    <w:rsid w:val="00775B8C"/>
    <w:rsid w:val="00776034"/>
    <w:rsid w:val="00776659"/>
    <w:rsid w:val="00776B52"/>
    <w:rsid w:val="00776C3F"/>
    <w:rsid w:val="007809F3"/>
    <w:rsid w:val="00782F66"/>
    <w:rsid w:val="0078543F"/>
    <w:rsid w:val="007854FE"/>
    <w:rsid w:val="0078697D"/>
    <w:rsid w:val="0079050A"/>
    <w:rsid w:val="007908A7"/>
    <w:rsid w:val="0079111C"/>
    <w:rsid w:val="00791B53"/>
    <w:rsid w:val="00791E30"/>
    <w:rsid w:val="00792861"/>
    <w:rsid w:val="00792B84"/>
    <w:rsid w:val="007936A6"/>
    <w:rsid w:val="0079584C"/>
    <w:rsid w:val="00795E87"/>
    <w:rsid w:val="00796908"/>
    <w:rsid w:val="007A1C10"/>
    <w:rsid w:val="007A2FC1"/>
    <w:rsid w:val="007A451F"/>
    <w:rsid w:val="007B0F4D"/>
    <w:rsid w:val="007B1AA1"/>
    <w:rsid w:val="007B1AD7"/>
    <w:rsid w:val="007B3BD9"/>
    <w:rsid w:val="007B3E01"/>
    <w:rsid w:val="007B4250"/>
    <w:rsid w:val="007B5DD5"/>
    <w:rsid w:val="007B68BB"/>
    <w:rsid w:val="007B7513"/>
    <w:rsid w:val="007C0286"/>
    <w:rsid w:val="007C21DC"/>
    <w:rsid w:val="007C2C1A"/>
    <w:rsid w:val="007C3999"/>
    <w:rsid w:val="007C4B35"/>
    <w:rsid w:val="007C4E48"/>
    <w:rsid w:val="007C6C06"/>
    <w:rsid w:val="007C6D2B"/>
    <w:rsid w:val="007C73CC"/>
    <w:rsid w:val="007D0E38"/>
    <w:rsid w:val="007D1310"/>
    <w:rsid w:val="007D236D"/>
    <w:rsid w:val="007D25C0"/>
    <w:rsid w:val="007D286D"/>
    <w:rsid w:val="007D3D5D"/>
    <w:rsid w:val="007D559F"/>
    <w:rsid w:val="007D59A5"/>
    <w:rsid w:val="007D5F0B"/>
    <w:rsid w:val="007D6108"/>
    <w:rsid w:val="007E3092"/>
    <w:rsid w:val="007E30AB"/>
    <w:rsid w:val="007E3368"/>
    <w:rsid w:val="007E5222"/>
    <w:rsid w:val="007E5EDC"/>
    <w:rsid w:val="007E653E"/>
    <w:rsid w:val="007F156F"/>
    <w:rsid w:val="007F3449"/>
    <w:rsid w:val="007F3E85"/>
    <w:rsid w:val="007F3F42"/>
    <w:rsid w:val="00802B27"/>
    <w:rsid w:val="00802D46"/>
    <w:rsid w:val="008043D2"/>
    <w:rsid w:val="00805424"/>
    <w:rsid w:val="00805F3C"/>
    <w:rsid w:val="008062FE"/>
    <w:rsid w:val="008068F7"/>
    <w:rsid w:val="0080764C"/>
    <w:rsid w:val="00807D43"/>
    <w:rsid w:val="00810006"/>
    <w:rsid w:val="00810C81"/>
    <w:rsid w:val="00810D4B"/>
    <w:rsid w:val="00812ED0"/>
    <w:rsid w:val="0081351E"/>
    <w:rsid w:val="008140AC"/>
    <w:rsid w:val="008143A9"/>
    <w:rsid w:val="00815B62"/>
    <w:rsid w:val="00817BC8"/>
    <w:rsid w:val="00820BE5"/>
    <w:rsid w:val="00820C87"/>
    <w:rsid w:val="00821161"/>
    <w:rsid w:val="00821200"/>
    <w:rsid w:val="00821428"/>
    <w:rsid w:val="008215D8"/>
    <w:rsid w:val="00821674"/>
    <w:rsid w:val="008216A9"/>
    <w:rsid w:val="00821DD5"/>
    <w:rsid w:val="00824CCA"/>
    <w:rsid w:val="00824FC0"/>
    <w:rsid w:val="00825FC3"/>
    <w:rsid w:val="0083035F"/>
    <w:rsid w:val="00831BE0"/>
    <w:rsid w:val="00831D00"/>
    <w:rsid w:val="00832BB4"/>
    <w:rsid w:val="0083320D"/>
    <w:rsid w:val="0083338E"/>
    <w:rsid w:val="00833CA8"/>
    <w:rsid w:val="00834DF9"/>
    <w:rsid w:val="00834F0E"/>
    <w:rsid w:val="0083684C"/>
    <w:rsid w:val="00836F92"/>
    <w:rsid w:val="00837059"/>
    <w:rsid w:val="0083766E"/>
    <w:rsid w:val="00841AE9"/>
    <w:rsid w:val="00844277"/>
    <w:rsid w:val="00845626"/>
    <w:rsid w:val="00846E88"/>
    <w:rsid w:val="008477B0"/>
    <w:rsid w:val="00850996"/>
    <w:rsid w:val="00850EFA"/>
    <w:rsid w:val="008515C0"/>
    <w:rsid w:val="008531F7"/>
    <w:rsid w:val="00853B8D"/>
    <w:rsid w:val="00854130"/>
    <w:rsid w:val="00855794"/>
    <w:rsid w:val="00855A50"/>
    <w:rsid w:val="008613C8"/>
    <w:rsid w:val="008637C8"/>
    <w:rsid w:val="0086406E"/>
    <w:rsid w:val="00864097"/>
    <w:rsid w:val="008649DF"/>
    <w:rsid w:val="00866C8C"/>
    <w:rsid w:val="00867935"/>
    <w:rsid w:val="00867E22"/>
    <w:rsid w:val="00870163"/>
    <w:rsid w:val="0087104E"/>
    <w:rsid w:val="0087425E"/>
    <w:rsid w:val="00880D7A"/>
    <w:rsid w:val="008838EC"/>
    <w:rsid w:val="00885492"/>
    <w:rsid w:val="00886388"/>
    <w:rsid w:val="00890B26"/>
    <w:rsid w:val="00890EE7"/>
    <w:rsid w:val="00890F46"/>
    <w:rsid w:val="00892AE7"/>
    <w:rsid w:val="00894202"/>
    <w:rsid w:val="00894B5B"/>
    <w:rsid w:val="00894D54"/>
    <w:rsid w:val="00894FAB"/>
    <w:rsid w:val="00895AC3"/>
    <w:rsid w:val="0089776A"/>
    <w:rsid w:val="0089776F"/>
    <w:rsid w:val="008A002E"/>
    <w:rsid w:val="008A1A51"/>
    <w:rsid w:val="008A2D5B"/>
    <w:rsid w:val="008A37E4"/>
    <w:rsid w:val="008A4C47"/>
    <w:rsid w:val="008A4F7E"/>
    <w:rsid w:val="008A5AEC"/>
    <w:rsid w:val="008A62D1"/>
    <w:rsid w:val="008A6673"/>
    <w:rsid w:val="008A66C5"/>
    <w:rsid w:val="008A6989"/>
    <w:rsid w:val="008A75A3"/>
    <w:rsid w:val="008A7E18"/>
    <w:rsid w:val="008B00CA"/>
    <w:rsid w:val="008B02B7"/>
    <w:rsid w:val="008B2701"/>
    <w:rsid w:val="008B45D5"/>
    <w:rsid w:val="008B5293"/>
    <w:rsid w:val="008B581C"/>
    <w:rsid w:val="008C1DBB"/>
    <w:rsid w:val="008C208E"/>
    <w:rsid w:val="008C2BF2"/>
    <w:rsid w:val="008C30B7"/>
    <w:rsid w:val="008C3BB5"/>
    <w:rsid w:val="008C4ED2"/>
    <w:rsid w:val="008C5586"/>
    <w:rsid w:val="008C6D98"/>
    <w:rsid w:val="008D4E20"/>
    <w:rsid w:val="008D6006"/>
    <w:rsid w:val="008D771C"/>
    <w:rsid w:val="008E0D51"/>
    <w:rsid w:val="008E0E11"/>
    <w:rsid w:val="008E0F09"/>
    <w:rsid w:val="008E10D6"/>
    <w:rsid w:val="008E185F"/>
    <w:rsid w:val="008E2092"/>
    <w:rsid w:val="008E2104"/>
    <w:rsid w:val="008E4856"/>
    <w:rsid w:val="008E5258"/>
    <w:rsid w:val="008E6412"/>
    <w:rsid w:val="008F0D7E"/>
    <w:rsid w:val="008F294A"/>
    <w:rsid w:val="008F2AE9"/>
    <w:rsid w:val="008F4B20"/>
    <w:rsid w:val="008F5753"/>
    <w:rsid w:val="008F5C41"/>
    <w:rsid w:val="008F632E"/>
    <w:rsid w:val="008F79D3"/>
    <w:rsid w:val="00900EDF"/>
    <w:rsid w:val="009014D6"/>
    <w:rsid w:val="00902554"/>
    <w:rsid w:val="00903188"/>
    <w:rsid w:val="0090332F"/>
    <w:rsid w:val="00903FA7"/>
    <w:rsid w:val="0090433B"/>
    <w:rsid w:val="0090448D"/>
    <w:rsid w:val="00904D8E"/>
    <w:rsid w:val="009073DC"/>
    <w:rsid w:val="009103BD"/>
    <w:rsid w:val="00910763"/>
    <w:rsid w:val="00910BE4"/>
    <w:rsid w:val="0091100F"/>
    <w:rsid w:val="00911757"/>
    <w:rsid w:val="00912090"/>
    <w:rsid w:val="00912B8D"/>
    <w:rsid w:val="00913477"/>
    <w:rsid w:val="00913E1A"/>
    <w:rsid w:val="00914131"/>
    <w:rsid w:val="00914B98"/>
    <w:rsid w:val="009151D2"/>
    <w:rsid w:val="009152E0"/>
    <w:rsid w:val="00915D76"/>
    <w:rsid w:val="00920044"/>
    <w:rsid w:val="009217C5"/>
    <w:rsid w:val="0092430A"/>
    <w:rsid w:val="0092438B"/>
    <w:rsid w:val="00924457"/>
    <w:rsid w:val="009265E9"/>
    <w:rsid w:val="00927338"/>
    <w:rsid w:val="009275C0"/>
    <w:rsid w:val="00930A4F"/>
    <w:rsid w:val="0093191B"/>
    <w:rsid w:val="009319A8"/>
    <w:rsid w:val="00932C5C"/>
    <w:rsid w:val="00935EC4"/>
    <w:rsid w:val="00937734"/>
    <w:rsid w:val="0094138D"/>
    <w:rsid w:val="00941482"/>
    <w:rsid w:val="0094167D"/>
    <w:rsid w:val="009436DA"/>
    <w:rsid w:val="009451AF"/>
    <w:rsid w:val="009451B7"/>
    <w:rsid w:val="0094568E"/>
    <w:rsid w:val="009463F0"/>
    <w:rsid w:val="00947173"/>
    <w:rsid w:val="00950569"/>
    <w:rsid w:val="0095083D"/>
    <w:rsid w:val="00955B06"/>
    <w:rsid w:val="00956E6E"/>
    <w:rsid w:val="009578CD"/>
    <w:rsid w:val="00957A30"/>
    <w:rsid w:val="009601BE"/>
    <w:rsid w:val="0096020B"/>
    <w:rsid w:val="009627F5"/>
    <w:rsid w:val="00962F25"/>
    <w:rsid w:val="00962F69"/>
    <w:rsid w:val="009633F0"/>
    <w:rsid w:val="0096488F"/>
    <w:rsid w:val="00965D1E"/>
    <w:rsid w:val="00965F58"/>
    <w:rsid w:val="00966B96"/>
    <w:rsid w:val="0097101D"/>
    <w:rsid w:val="00971B0A"/>
    <w:rsid w:val="00972697"/>
    <w:rsid w:val="0097551B"/>
    <w:rsid w:val="009765E2"/>
    <w:rsid w:val="009766D9"/>
    <w:rsid w:val="00976E3C"/>
    <w:rsid w:val="009809F4"/>
    <w:rsid w:val="00981118"/>
    <w:rsid w:val="00981223"/>
    <w:rsid w:val="009818B9"/>
    <w:rsid w:val="00982CA2"/>
    <w:rsid w:val="009845F4"/>
    <w:rsid w:val="0098507E"/>
    <w:rsid w:val="00985137"/>
    <w:rsid w:val="009909FF"/>
    <w:rsid w:val="00993C27"/>
    <w:rsid w:val="009973D0"/>
    <w:rsid w:val="009A14B2"/>
    <w:rsid w:val="009A15D3"/>
    <w:rsid w:val="009A38BC"/>
    <w:rsid w:val="009A466F"/>
    <w:rsid w:val="009A474C"/>
    <w:rsid w:val="009A5AD7"/>
    <w:rsid w:val="009B026C"/>
    <w:rsid w:val="009B0983"/>
    <w:rsid w:val="009B19A4"/>
    <w:rsid w:val="009B2940"/>
    <w:rsid w:val="009B3F43"/>
    <w:rsid w:val="009C14C9"/>
    <w:rsid w:val="009C2325"/>
    <w:rsid w:val="009C2C02"/>
    <w:rsid w:val="009C2C93"/>
    <w:rsid w:val="009C4953"/>
    <w:rsid w:val="009C6DCB"/>
    <w:rsid w:val="009D00EA"/>
    <w:rsid w:val="009D0635"/>
    <w:rsid w:val="009D2878"/>
    <w:rsid w:val="009D2B80"/>
    <w:rsid w:val="009D4EDA"/>
    <w:rsid w:val="009D5C70"/>
    <w:rsid w:val="009D5EC5"/>
    <w:rsid w:val="009D6AF7"/>
    <w:rsid w:val="009D7889"/>
    <w:rsid w:val="009D7EAB"/>
    <w:rsid w:val="009E1128"/>
    <w:rsid w:val="009E15AB"/>
    <w:rsid w:val="009E22EE"/>
    <w:rsid w:val="009E2B2A"/>
    <w:rsid w:val="009E3B4C"/>
    <w:rsid w:val="009E59A8"/>
    <w:rsid w:val="009E59C1"/>
    <w:rsid w:val="009E7FFD"/>
    <w:rsid w:val="009F1100"/>
    <w:rsid w:val="009F129F"/>
    <w:rsid w:val="009F2D53"/>
    <w:rsid w:val="009F38ED"/>
    <w:rsid w:val="009F7C5F"/>
    <w:rsid w:val="00A0249D"/>
    <w:rsid w:val="00A04E98"/>
    <w:rsid w:val="00A05035"/>
    <w:rsid w:val="00A0506C"/>
    <w:rsid w:val="00A052CC"/>
    <w:rsid w:val="00A05494"/>
    <w:rsid w:val="00A06982"/>
    <w:rsid w:val="00A06CC3"/>
    <w:rsid w:val="00A107CD"/>
    <w:rsid w:val="00A10938"/>
    <w:rsid w:val="00A10B42"/>
    <w:rsid w:val="00A10E36"/>
    <w:rsid w:val="00A12944"/>
    <w:rsid w:val="00A131B8"/>
    <w:rsid w:val="00A15834"/>
    <w:rsid w:val="00A1616B"/>
    <w:rsid w:val="00A17BCA"/>
    <w:rsid w:val="00A217CC"/>
    <w:rsid w:val="00A23076"/>
    <w:rsid w:val="00A2312A"/>
    <w:rsid w:val="00A24988"/>
    <w:rsid w:val="00A26148"/>
    <w:rsid w:val="00A26EB8"/>
    <w:rsid w:val="00A27442"/>
    <w:rsid w:val="00A27692"/>
    <w:rsid w:val="00A303AC"/>
    <w:rsid w:val="00A319BE"/>
    <w:rsid w:val="00A34345"/>
    <w:rsid w:val="00A34F62"/>
    <w:rsid w:val="00A36CD9"/>
    <w:rsid w:val="00A37EAC"/>
    <w:rsid w:val="00A403A0"/>
    <w:rsid w:val="00A42B68"/>
    <w:rsid w:val="00A43E20"/>
    <w:rsid w:val="00A4425A"/>
    <w:rsid w:val="00A44350"/>
    <w:rsid w:val="00A44839"/>
    <w:rsid w:val="00A44BE1"/>
    <w:rsid w:val="00A45CE4"/>
    <w:rsid w:val="00A46430"/>
    <w:rsid w:val="00A4693F"/>
    <w:rsid w:val="00A46D02"/>
    <w:rsid w:val="00A50F5B"/>
    <w:rsid w:val="00A51AB9"/>
    <w:rsid w:val="00A51D4E"/>
    <w:rsid w:val="00A539EC"/>
    <w:rsid w:val="00A53CF2"/>
    <w:rsid w:val="00A552E1"/>
    <w:rsid w:val="00A57E12"/>
    <w:rsid w:val="00A60D25"/>
    <w:rsid w:val="00A60E16"/>
    <w:rsid w:val="00A622E9"/>
    <w:rsid w:val="00A6337A"/>
    <w:rsid w:val="00A655E9"/>
    <w:rsid w:val="00A67DDF"/>
    <w:rsid w:val="00A7016B"/>
    <w:rsid w:val="00A709AC"/>
    <w:rsid w:val="00A70E9A"/>
    <w:rsid w:val="00A721EF"/>
    <w:rsid w:val="00A76639"/>
    <w:rsid w:val="00A7686F"/>
    <w:rsid w:val="00A773E9"/>
    <w:rsid w:val="00A80442"/>
    <w:rsid w:val="00A80BD6"/>
    <w:rsid w:val="00A8172E"/>
    <w:rsid w:val="00A81773"/>
    <w:rsid w:val="00A8207D"/>
    <w:rsid w:val="00A827FC"/>
    <w:rsid w:val="00A83FE2"/>
    <w:rsid w:val="00A84401"/>
    <w:rsid w:val="00A8499D"/>
    <w:rsid w:val="00A85339"/>
    <w:rsid w:val="00A858F3"/>
    <w:rsid w:val="00A87897"/>
    <w:rsid w:val="00A92F5C"/>
    <w:rsid w:val="00A93112"/>
    <w:rsid w:val="00A93393"/>
    <w:rsid w:val="00A93BC9"/>
    <w:rsid w:val="00A93BE5"/>
    <w:rsid w:val="00A93CE8"/>
    <w:rsid w:val="00A9500F"/>
    <w:rsid w:val="00A9519C"/>
    <w:rsid w:val="00A96E24"/>
    <w:rsid w:val="00A96F77"/>
    <w:rsid w:val="00A976A0"/>
    <w:rsid w:val="00AA0CD2"/>
    <w:rsid w:val="00AA1100"/>
    <w:rsid w:val="00AA21E2"/>
    <w:rsid w:val="00AA262A"/>
    <w:rsid w:val="00AA27F4"/>
    <w:rsid w:val="00AA33E4"/>
    <w:rsid w:val="00AA36A9"/>
    <w:rsid w:val="00AA453B"/>
    <w:rsid w:val="00AA4850"/>
    <w:rsid w:val="00AB0B39"/>
    <w:rsid w:val="00AB222F"/>
    <w:rsid w:val="00AB31DF"/>
    <w:rsid w:val="00AB4F4A"/>
    <w:rsid w:val="00AB549E"/>
    <w:rsid w:val="00AB6BAA"/>
    <w:rsid w:val="00AB7501"/>
    <w:rsid w:val="00AB773D"/>
    <w:rsid w:val="00AC0A36"/>
    <w:rsid w:val="00AC0E36"/>
    <w:rsid w:val="00AC1724"/>
    <w:rsid w:val="00AC2322"/>
    <w:rsid w:val="00AC3B32"/>
    <w:rsid w:val="00AC4427"/>
    <w:rsid w:val="00AC6C01"/>
    <w:rsid w:val="00AC6C3E"/>
    <w:rsid w:val="00AC725F"/>
    <w:rsid w:val="00AC7311"/>
    <w:rsid w:val="00AD033A"/>
    <w:rsid w:val="00AD0CDD"/>
    <w:rsid w:val="00AD23E1"/>
    <w:rsid w:val="00AD2DF4"/>
    <w:rsid w:val="00AD3916"/>
    <w:rsid w:val="00AD3D27"/>
    <w:rsid w:val="00AD4266"/>
    <w:rsid w:val="00AD4F7E"/>
    <w:rsid w:val="00AD57F4"/>
    <w:rsid w:val="00AD5F20"/>
    <w:rsid w:val="00AD70A7"/>
    <w:rsid w:val="00AD79D1"/>
    <w:rsid w:val="00AE0547"/>
    <w:rsid w:val="00AE08EE"/>
    <w:rsid w:val="00AE0F02"/>
    <w:rsid w:val="00AE1400"/>
    <w:rsid w:val="00AE19CB"/>
    <w:rsid w:val="00AE2718"/>
    <w:rsid w:val="00AE477C"/>
    <w:rsid w:val="00AE5F48"/>
    <w:rsid w:val="00AE79CB"/>
    <w:rsid w:val="00AF07FB"/>
    <w:rsid w:val="00AF1998"/>
    <w:rsid w:val="00AF283C"/>
    <w:rsid w:val="00AF307D"/>
    <w:rsid w:val="00AF49D1"/>
    <w:rsid w:val="00B0045F"/>
    <w:rsid w:val="00B0123C"/>
    <w:rsid w:val="00B014B7"/>
    <w:rsid w:val="00B01B3E"/>
    <w:rsid w:val="00B042A9"/>
    <w:rsid w:val="00B04BE9"/>
    <w:rsid w:val="00B05F8D"/>
    <w:rsid w:val="00B07272"/>
    <w:rsid w:val="00B07E97"/>
    <w:rsid w:val="00B103D7"/>
    <w:rsid w:val="00B10731"/>
    <w:rsid w:val="00B108AC"/>
    <w:rsid w:val="00B1153A"/>
    <w:rsid w:val="00B11AF2"/>
    <w:rsid w:val="00B14293"/>
    <w:rsid w:val="00B14658"/>
    <w:rsid w:val="00B14A90"/>
    <w:rsid w:val="00B15168"/>
    <w:rsid w:val="00B15C14"/>
    <w:rsid w:val="00B15DCD"/>
    <w:rsid w:val="00B165A0"/>
    <w:rsid w:val="00B16C22"/>
    <w:rsid w:val="00B17374"/>
    <w:rsid w:val="00B214B6"/>
    <w:rsid w:val="00B2221A"/>
    <w:rsid w:val="00B22DD0"/>
    <w:rsid w:val="00B22E8A"/>
    <w:rsid w:val="00B231BE"/>
    <w:rsid w:val="00B2353A"/>
    <w:rsid w:val="00B23BBC"/>
    <w:rsid w:val="00B24081"/>
    <w:rsid w:val="00B258EF"/>
    <w:rsid w:val="00B259DC"/>
    <w:rsid w:val="00B25D8C"/>
    <w:rsid w:val="00B261B4"/>
    <w:rsid w:val="00B27E6E"/>
    <w:rsid w:val="00B30469"/>
    <w:rsid w:val="00B3165C"/>
    <w:rsid w:val="00B3217E"/>
    <w:rsid w:val="00B33FC3"/>
    <w:rsid w:val="00B346E6"/>
    <w:rsid w:val="00B35F81"/>
    <w:rsid w:val="00B368E0"/>
    <w:rsid w:val="00B4158B"/>
    <w:rsid w:val="00B42E92"/>
    <w:rsid w:val="00B44B7A"/>
    <w:rsid w:val="00B45F63"/>
    <w:rsid w:val="00B46D99"/>
    <w:rsid w:val="00B47EFD"/>
    <w:rsid w:val="00B509A9"/>
    <w:rsid w:val="00B50B7E"/>
    <w:rsid w:val="00B50D63"/>
    <w:rsid w:val="00B51AAB"/>
    <w:rsid w:val="00B51B14"/>
    <w:rsid w:val="00B5422B"/>
    <w:rsid w:val="00B54F49"/>
    <w:rsid w:val="00B54F66"/>
    <w:rsid w:val="00B5546C"/>
    <w:rsid w:val="00B57A28"/>
    <w:rsid w:val="00B57AF8"/>
    <w:rsid w:val="00B6271F"/>
    <w:rsid w:val="00B6441A"/>
    <w:rsid w:val="00B64722"/>
    <w:rsid w:val="00B651A5"/>
    <w:rsid w:val="00B7111B"/>
    <w:rsid w:val="00B71F56"/>
    <w:rsid w:val="00B73BCA"/>
    <w:rsid w:val="00B743A9"/>
    <w:rsid w:val="00B74C0A"/>
    <w:rsid w:val="00B7575A"/>
    <w:rsid w:val="00B77D49"/>
    <w:rsid w:val="00B81274"/>
    <w:rsid w:val="00B838BA"/>
    <w:rsid w:val="00B84380"/>
    <w:rsid w:val="00B85560"/>
    <w:rsid w:val="00B8627B"/>
    <w:rsid w:val="00B87612"/>
    <w:rsid w:val="00B91BAD"/>
    <w:rsid w:val="00B91DF8"/>
    <w:rsid w:val="00B9229F"/>
    <w:rsid w:val="00B928FA"/>
    <w:rsid w:val="00B92BDB"/>
    <w:rsid w:val="00B94D08"/>
    <w:rsid w:val="00B96EDC"/>
    <w:rsid w:val="00B973E5"/>
    <w:rsid w:val="00B9743E"/>
    <w:rsid w:val="00B97587"/>
    <w:rsid w:val="00B97A23"/>
    <w:rsid w:val="00BA0525"/>
    <w:rsid w:val="00BA05FC"/>
    <w:rsid w:val="00BA1853"/>
    <w:rsid w:val="00BA1C58"/>
    <w:rsid w:val="00BA2AD9"/>
    <w:rsid w:val="00BA4855"/>
    <w:rsid w:val="00BA5865"/>
    <w:rsid w:val="00BA6C9E"/>
    <w:rsid w:val="00BA75E6"/>
    <w:rsid w:val="00BA7A00"/>
    <w:rsid w:val="00BA7C83"/>
    <w:rsid w:val="00BB0093"/>
    <w:rsid w:val="00BB0E6A"/>
    <w:rsid w:val="00BB1318"/>
    <w:rsid w:val="00BB1622"/>
    <w:rsid w:val="00BB1A76"/>
    <w:rsid w:val="00BB6ECC"/>
    <w:rsid w:val="00BC082C"/>
    <w:rsid w:val="00BC0F6E"/>
    <w:rsid w:val="00BC1A10"/>
    <w:rsid w:val="00BC2060"/>
    <w:rsid w:val="00BC2313"/>
    <w:rsid w:val="00BC2863"/>
    <w:rsid w:val="00BC31BD"/>
    <w:rsid w:val="00BC36B5"/>
    <w:rsid w:val="00BC379C"/>
    <w:rsid w:val="00BC44FC"/>
    <w:rsid w:val="00BC4756"/>
    <w:rsid w:val="00BC54AC"/>
    <w:rsid w:val="00BC66E5"/>
    <w:rsid w:val="00BC6F6C"/>
    <w:rsid w:val="00BD059B"/>
    <w:rsid w:val="00BD0A9B"/>
    <w:rsid w:val="00BD2A06"/>
    <w:rsid w:val="00BD40D9"/>
    <w:rsid w:val="00BD4818"/>
    <w:rsid w:val="00BD5225"/>
    <w:rsid w:val="00BD629D"/>
    <w:rsid w:val="00BE2749"/>
    <w:rsid w:val="00BE2E2D"/>
    <w:rsid w:val="00BE5542"/>
    <w:rsid w:val="00BE7331"/>
    <w:rsid w:val="00BF09F5"/>
    <w:rsid w:val="00BF0B09"/>
    <w:rsid w:val="00BF1B70"/>
    <w:rsid w:val="00BF2597"/>
    <w:rsid w:val="00BF2F94"/>
    <w:rsid w:val="00BF39F7"/>
    <w:rsid w:val="00BF4B0C"/>
    <w:rsid w:val="00BF524F"/>
    <w:rsid w:val="00BF527A"/>
    <w:rsid w:val="00BF65B6"/>
    <w:rsid w:val="00BF6A17"/>
    <w:rsid w:val="00BF70DD"/>
    <w:rsid w:val="00C0027B"/>
    <w:rsid w:val="00C00D70"/>
    <w:rsid w:val="00C027C8"/>
    <w:rsid w:val="00C02823"/>
    <w:rsid w:val="00C03F81"/>
    <w:rsid w:val="00C03F8F"/>
    <w:rsid w:val="00C04116"/>
    <w:rsid w:val="00C042DE"/>
    <w:rsid w:val="00C04A65"/>
    <w:rsid w:val="00C0508C"/>
    <w:rsid w:val="00C07FA6"/>
    <w:rsid w:val="00C10C1E"/>
    <w:rsid w:val="00C12AC7"/>
    <w:rsid w:val="00C14E8C"/>
    <w:rsid w:val="00C16149"/>
    <w:rsid w:val="00C171E7"/>
    <w:rsid w:val="00C17469"/>
    <w:rsid w:val="00C176FD"/>
    <w:rsid w:val="00C17782"/>
    <w:rsid w:val="00C17FFE"/>
    <w:rsid w:val="00C206C1"/>
    <w:rsid w:val="00C21524"/>
    <w:rsid w:val="00C23011"/>
    <w:rsid w:val="00C24C06"/>
    <w:rsid w:val="00C257DB"/>
    <w:rsid w:val="00C2584C"/>
    <w:rsid w:val="00C25F32"/>
    <w:rsid w:val="00C262D5"/>
    <w:rsid w:val="00C277A5"/>
    <w:rsid w:val="00C322DB"/>
    <w:rsid w:val="00C35001"/>
    <w:rsid w:val="00C35293"/>
    <w:rsid w:val="00C36977"/>
    <w:rsid w:val="00C36E8F"/>
    <w:rsid w:val="00C402C5"/>
    <w:rsid w:val="00C40FEA"/>
    <w:rsid w:val="00C418CA"/>
    <w:rsid w:val="00C41D0D"/>
    <w:rsid w:val="00C45B2A"/>
    <w:rsid w:val="00C478E5"/>
    <w:rsid w:val="00C47B18"/>
    <w:rsid w:val="00C47E9D"/>
    <w:rsid w:val="00C51C2F"/>
    <w:rsid w:val="00C52042"/>
    <w:rsid w:val="00C5219F"/>
    <w:rsid w:val="00C52B48"/>
    <w:rsid w:val="00C53FBB"/>
    <w:rsid w:val="00C556E8"/>
    <w:rsid w:val="00C55852"/>
    <w:rsid w:val="00C562DD"/>
    <w:rsid w:val="00C566CD"/>
    <w:rsid w:val="00C60E17"/>
    <w:rsid w:val="00C63B2A"/>
    <w:rsid w:val="00C6491F"/>
    <w:rsid w:val="00C64C2D"/>
    <w:rsid w:val="00C64D98"/>
    <w:rsid w:val="00C656C5"/>
    <w:rsid w:val="00C67C30"/>
    <w:rsid w:val="00C70EF0"/>
    <w:rsid w:val="00C7225B"/>
    <w:rsid w:val="00C736DC"/>
    <w:rsid w:val="00C73D99"/>
    <w:rsid w:val="00C743C8"/>
    <w:rsid w:val="00C74BE4"/>
    <w:rsid w:val="00C74DF9"/>
    <w:rsid w:val="00C773F2"/>
    <w:rsid w:val="00C804AB"/>
    <w:rsid w:val="00C82F71"/>
    <w:rsid w:val="00C86BF9"/>
    <w:rsid w:val="00C86C03"/>
    <w:rsid w:val="00C913A0"/>
    <w:rsid w:val="00C91EA0"/>
    <w:rsid w:val="00C942CA"/>
    <w:rsid w:val="00C94601"/>
    <w:rsid w:val="00C94E38"/>
    <w:rsid w:val="00C96D74"/>
    <w:rsid w:val="00C974AD"/>
    <w:rsid w:val="00C9753D"/>
    <w:rsid w:val="00CA3141"/>
    <w:rsid w:val="00CA3ECA"/>
    <w:rsid w:val="00CA58D1"/>
    <w:rsid w:val="00CA6E5D"/>
    <w:rsid w:val="00CA7171"/>
    <w:rsid w:val="00CA7C92"/>
    <w:rsid w:val="00CB2101"/>
    <w:rsid w:val="00CB2B20"/>
    <w:rsid w:val="00CB6C80"/>
    <w:rsid w:val="00CB78A3"/>
    <w:rsid w:val="00CC17BB"/>
    <w:rsid w:val="00CC2B09"/>
    <w:rsid w:val="00CC337F"/>
    <w:rsid w:val="00CC44DD"/>
    <w:rsid w:val="00CC5A18"/>
    <w:rsid w:val="00CC6346"/>
    <w:rsid w:val="00CC6C86"/>
    <w:rsid w:val="00CD0080"/>
    <w:rsid w:val="00CD190B"/>
    <w:rsid w:val="00CD2C4B"/>
    <w:rsid w:val="00CD3662"/>
    <w:rsid w:val="00CD3AC2"/>
    <w:rsid w:val="00CD3CEF"/>
    <w:rsid w:val="00CD4A80"/>
    <w:rsid w:val="00CD4D92"/>
    <w:rsid w:val="00CD7BDC"/>
    <w:rsid w:val="00CE0981"/>
    <w:rsid w:val="00CE0C1D"/>
    <w:rsid w:val="00CE23B3"/>
    <w:rsid w:val="00CE4BBB"/>
    <w:rsid w:val="00CE5B3C"/>
    <w:rsid w:val="00CE5CB1"/>
    <w:rsid w:val="00CE6920"/>
    <w:rsid w:val="00CE6B98"/>
    <w:rsid w:val="00CE7E5F"/>
    <w:rsid w:val="00CF02A5"/>
    <w:rsid w:val="00CF05B0"/>
    <w:rsid w:val="00CF33BB"/>
    <w:rsid w:val="00CF3832"/>
    <w:rsid w:val="00CF4114"/>
    <w:rsid w:val="00CF4585"/>
    <w:rsid w:val="00CF4A89"/>
    <w:rsid w:val="00CF57A9"/>
    <w:rsid w:val="00CF5D88"/>
    <w:rsid w:val="00CF623B"/>
    <w:rsid w:val="00CF62B0"/>
    <w:rsid w:val="00CF6644"/>
    <w:rsid w:val="00CF6FD6"/>
    <w:rsid w:val="00D068F9"/>
    <w:rsid w:val="00D07082"/>
    <w:rsid w:val="00D07950"/>
    <w:rsid w:val="00D07EE9"/>
    <w:rsid w:val="00D11289"/>
    <w:rsid w:val="00D128E5"/>
    <w:rsid w:val="00D15D31"/>
    <w:rsid w:val="00D15FE3"/>
    <w:rsid w:val="00D174EA"/>
    <w:rsid w:val="00D20F29"/>
    <w:rsid w:val="00D21693"/>
    <w:rsid w:val="00D23057"/>
    <w:rsid w:val="00D236B2"/>
    <w:rsid w:val="00D23C56"/>
    <w:rsid w:val="00D24366"/>
    <w:rsid w:val="00D24489"/>
    <w:rsid w:val="00D245DD"/>
    <w:rsid w:val="00D25892"/>
    <w:rsid w:val="00D262B8"/>
    <w:rsid w:val="00D26BB9"/>
    <w:rsid w:val="00D27B8A"/>
    <w:rsid w:val="00D304AD"/>
    <w:rsid w:val="00D3076E"/>
    <w:rsid w:val="00D32E9F"/>
    <w:rsid w:val="00D33293"/>
    <w:rsid w:val="00D34054"/>
    <w:rsid w:val="00D34EA9"/>
    <w:rsid w:val="00D40828"/>
    <w:rsid w:val="00D41DA0"/>
    <w:rsid w:val="00D4234D"/>
    <w:rsid w:val="00D42CA8"/>
    <w:rsid w:val="00D4638E"/>
    <w:rsid w:val="00D46480"/>
    <w:rsid w:val="00D50004"/>
    <w:rsid w:val="00D51D18"/>
    <w:rsid w:val="00D51E5C"/>
    <w:rsid w:val="00D54025"/>
    <w:rsid w:val="00D54B53"/>
    <w:rsid w:val="00D557B6"/>
    <w:rsid w:val="00D563A2"/>
    <w:rsid w:val="00D571FF"/>
    <w:rsid w:val="00D57B16"/>
    <w:rsid w:val="00D615EC"/>
    <w:rsid w:val="00D62401"/>
    <w:rsid w:val="00D64120"/>
    <w:rsid w:val="00D64468"/>
    <w:rsid w:val="00D64A6D"/>
    <w:rsid w:val="00D653BF"/>
    <w:rsid w:val="00D65BC4"/>
    <w:rsid w:val="00D66459"/>
    <w:rsid w:val="00D707C5"/>
    <w:rsid w:val="00D7147A"/>
    <w:rsid w:val="00D71579"/>
    <w:rsid w:val="00D71A25"/>
    <w:rsid w:val="00D720D6"/>
    <w:rsid w:val="00D72CD5"/>
    <w:rsid w:val="00D733E4"/>
    <w:rsid w:val="00D7485A"/>
    <w:rsid w:val="00D7626D"/>
    <w:rsid w:val="00D766F4"/>
    <w:rsid w:val="00D76E15"/>
    <w:rsid w:val="00D775B0"/>
    <w:rsid w:val="00D826ED"/>
    <w:rsid w:val="00D86CE8"/>
    <w:rsid w:val="00D9015B"/>
    <w:rsid w:val="00D90A71"/>
    <w:rsid w:val="00D9138D"/>
    <w:rsid w:val="00D919ED"/>
    <w:rsid w:val="00D91B59"/>
    <w:rsid w:val="00D931E9"/>
    <w:rsid w:val="00D93707"/>
    <w:rsid w:val="00D93A12"/>
    <w:rsid w:val="00D93AEC"/>
    <w:rsid w:val="00D93ED3"/>
    <w:rsid w:val="00D953F8"/>
    <w:rsid w:val="00D956AF"/>
    <w:rsid w:val="00D96377"/>
    <w:rsid w:val="00D966B5"/>
    <w:rsid w:val="00D9704B"/>
    <w:rsid w:val="00D975EC"/>
    <w:rsid w:val="00DA0112"/>
    <w:rsid w:val="00DA0367"/>
    <w:rsid w:val="00DA0644"/>
    <w:rsid w:val="00DA07A9"/>
    <w:rsid w:val="00DA1296"/>
    <w:rsid w:val="00DA43A9"/>
    <w:rsid w:val="00DA5146"/>
    <w:rsid w:val="00DA57CF"/>
    <w:rsid w:val="00DA7921"/>
    <w:rsid w:val="00DB02EF"/>
    <w:rsid w:val="00DB07EA"/>
    <w:rsid w:val="00DB26E8"/>
    <w:rsid w:val="00DB28B7"/>
    <w:rsid w:val="00DB32BA"/>
    <w:rsid w:val="00DB3DF3"/>
    <w:rsid w:val="00DB54A8"/>
    <w:rsid w:val="00DB5A33"/>
    <w:rsid w:val="00DC1180"/>
    <w:rsid w:val="00DC1529"/>
    <w:rsid w:val="00DC2401"/>
    <w:rsid w:val="00DC2443"/>
    <w:rsid w:val="00DC2C7C"/>
    <w:rsid w:val="00DC2FB0"/>
    <w:rsid w:val="00DC363E"/>
    <w:rsid w:val="00DC3B34"/>
    <w:rsid w:val="00DC4339"/>
    <w:rsid w:val="00DC5065"/>
    <w:rsid w:val="00DC5344"/>
    <w:rsid w:val="00DC5638"/>
    <w:rsid w:val="00DC59EE"/>
    <w:rsid w:val="00DC5D93"/>
    <w:rsid w:val="00DC63D5"/>
    <w:rsid w:val="00DC6B55"/>
    <w:rsid w:val="00DC734B"/>
    <w:rsid w:val="00DC7A74"/>
    <w:rsid w:val="00DD08E6"/>
    <w:rsid w:val="00DD27E4"/>
    <w:rsid w:val="00DD574F"/>
    <w:rsid w:val="00DD602D"/>
    <w:rsid w:val="00DD62B9"/>
    <w:rsid w:val="00DD6EDB"/>
    <w:rsid w:val="00DD74E6"/>
    <w:rsid w:val="00DE0012"/>
    <w:rsid w:val="00DE0B61"/>
    <w:rsid w:val="00DE20AB"/>
    <w:rsid w:val="00DE39A7"/>
    <w:rsid w:val="00DE5070"/>
    <w:rsid w:val="00DE6796"/>
    <w:rsid w:val="00DE7596"/>
    <w:rsid w:val="00DE7C2D"/>
    <w:rsid w:val="00DE7F6E"/>
    <w:rsid w:val="00DF10F7"/>
    <w:rsid w:val="00DF15C0"/>
    <w:rsid w:val="00DF16AC"/>
    <w:rsid w:val="00DF25E2"/>
    <w:rsid w:val="00DF2C71"/>
    <w:rsid w:val="00DF322E"/>
    <w:rsid w:val="00DF667F"/>
    <w:rsid w:val="00DF6F83"/>
    <w:rsid w:val="00E00987"/>
    <w:rsid w:val="00E03288"/>
    <w:rsid w:val="00E040A6"/>
    <w:rsid w:val="00E044B9"/>
    <w:rsid w:val="00E045F8"/>
    <w:rsid w:val="00E04E68"/>
    <w:rsid w:val="00E05F9E"/>
    <w:rsid w:val="00E066ED"/>
    <w:rsid w:val="00E07A61"/>
    <w:rsid w:val="00E07DC6"/>
    <w:rsid w:val="00E13878"/>
    <w:rsid w:val="00E15093"/>
    <w:rsid w:val="00E1617F"/>
    <w:rsid w:val="00E22150"/>
    <w:rsid w:val="00E2440C"/>
    <w:rsid w:val="00E24B62"/>
    <w:rsid w:val="00E24FC3"/>
    <w:rsid w:val="00E2566B"/>
    <w:rsid w:val="00E27C91"/>
    <w:rsid w:val="00E3037B"/>
    <w:rsid w:val="00E31768"/>
    <w:rsid w:val="00E319B5"/>
    <w:rsid w:val="00E319F1"/>
    <w:rsid w:val="00E32E79"/>
    <w:rsid w:val="00E335F3"/>
    <w:rsid w:val="00E35A30"/>
    <w:rsid w:val="00E36A49"/>
    <w:rsid w:val="00E3783E"/>
    <w:rsid w:val="00E404B9"/>
    <w:rsid w:val="00E43B58"/>
    <w:rsid w:val="00E43DF0"/>
    <w:rsid w:val="00E454E8"/>
    <w:rsid w:val="00E45BA1"/>
    <w:rsid w:val="00E50460"/>
    <w:rsid w:val="00E50DBD"/>
    <w:rsid w:val="00E51A38"/>
    <w:rsid w:val="00E521A0"/>
    <w:rsid w:val="00E52A49"/>
    <w:rsid w:val="00E53AD5"/>
    <w:rsid w:val="00E53D49"/>
    <w:rsid w:val="00E55D7B"/>
    <w:rsid w:val="00E57EE8"/>
    <w:rsid w:val="00E60F6D"/>
    <w:rsid w:val="00E61081"/>
    <w:rsid w:val="00E61288"/>
    <w:rsid w:val="00E62547"/>
    <w:rsid w:val="00E62856"/>
    <w:rsid w:val="00E62A24"/>
    <w:rsid w:val="00E62B0F"/>
    <w:rsid w:val="00E62F9C"/>
    <w:rsid w:val="00E639A7"/>
    <w:rsid w:val="00E643DC"/>
    <w:rsid w:val="00E644F3"/>
    <w:rsid w:val="00E656D7"/>
    <w:rsid w:val="00E65F8A"/>
    <w:rsid w:val="00E702BF"/>
    <w:rsid w:val="00E70FEA"/>
    <w:rsid w:val="00E71C14"/>
    <w:rsid w:val="00E726F5"/>
    <w:rsid w:val="00E72932"/>
    <w:rsid w:val="00E7294C"/>
    <w:rsid w:val="00E74A49"/>
    <w:rsid w:val="00E75A45"/>
    <w:rsid w:val="00E7657A"/>
    <w:rsid w:val="00E76CAA"/>
    <w:rsid w:val="00E771ED"/>
    <w:rsid w:val="00E80C83"/>
    <w:rsid w:val="00E81DC6"/>
    <w:rsid w:val="00E820DF"/>
    <w:rsid w:val="00E857E1"/>
    <w:rsid w:val="00E863F2"/>
    <w:rsid w:val="00E86D5F"/>
    <w:rsid w:val="00E86E8C"/>
    <w:rsid w:val="00E87387"/>
    <w:rsid w:val="00E87822"/>
    <w:rsid w:val="00E87D74"/>
    <w:rsid w:val="00E87F77"/>
    <w:rsid w:val="00E90A3F"/>
    <w:rsid w:val="00E9100F"/>
    <w:rsid w:val="00E910DD"/>
    <w:rsid w:val="00E91B23"/>
    <w:rsid w:val="00E93728"/>
    <w:rsid w:val="00E96207"/>
    <w:rsid w:val="00EA02BF"/>
    <w:rsid w:val="00EA1286"/>
    <w:rsid w:val="00EA5513"/>
    <w:rsid w:val="00EA60F9"/>
    <w:rsid w:val="00EB0F4B"/>
    <w:rsid w:val="00EB1A90"/>
    <w:rsid w:val="00EB1C77"/>
    <w:rsid w:val="00EB4818"/>
    <w:rsid w:val="00EB5CBA"/>
    <w:rsid w:val="00EB6888"/>
    <w:rsid w:val="00EB78F8"/>
    <w:rsid w:val="00EB7B8D"/>
    <w:rsid w:val="00EC117F"/>
    <w:rsid w:val="00EC1ED2"/>
    <w:rsid w:val="00EC2ABA"/>
    <w:rsid w:val="00EC4144"/>
    <w:rsid w:val="00EC464A"/>
    <w:rsid w:val="00EC4815"/>
    <w:rsid w:val="00EC4B01"/>
    <w:rsid w:val="00EC50A5"/>
    <w:rsid w:val="00EC5825"/>
    <w:rsid w:val="00EC6369"/>
    <w:rsid w:val="00EC64CF"/>
    <w:rsid w:val="00ED2282"/>
    <w:rsid w:val="00ED277E"/>
    <w:rsid w:val="00ED38FD"/>
    <w:rsid w:val="00ED512D"/>
    <w:rsid w:val="00EE11D6"/>
    <w:rsid w:val="00EE1381"/>
    <w:rsid w:val="00EE1B65"/>
    <w:rsid w:val="00EE2000"/>
    <w:rsid w:val="00EE2A4E"/>
    <w:rsid w:val="00EE2B96"/>
    <w:rsid w:val="00EE2D7D"/>
    <w:rsid w:val="00EE33B6"/>
    <w:rsid w:val="00EE369A"/>
    <w:rsid w:val="00EE4B0C"/>
    <w:rsid w:val="00EE6021"/>
    <w:rsid w:val="00EF0F57"/>
    <w:rsid w:val="00EF1572"/>
    <w:rsid w:val="00EF24C7"/>
    <w:rsid w:val="00EF2FDC"/>
    <w:rsid w:val="00EF32F2"/>
    <w:rsid w:val="00EF3DF4"/>
    <w:rsid w:val="00EF4B8F"/>
    <w:rsid w:val="00EF5092"/>
    <w:rsid w:val="00EF5406"/>
    <w:rsid w:val="00EF59E6"/>
    <w:rsid w:val="00EF5F48"/>
    <w:rsid w:val="00F00346"/>
    <w:rsid w:val="00F00F44"/>
    <w:rsid w:val="00F01423"/>
    <w:rsid w:val="00F044DD"/>
    <w:rsid w:val="00F04FFF"/>
    <w:rsid w:val="00F061D5"/>
    <w:rsid w:val="00F06ABC"/>
    <w:rsid w:val="00F07F2F"/>
    <w:rsid w:val="00F107D0"/>
    <w:rsid w:val="00F128A1"/>
    <w:rsid w:val="00F12F26"/>
    <w:rsid w:val="00F13D17"/>
    <w:rsid w:val="00F14EF1"/>
    <w:rsid w:val="00F150A5"/>
    <w:rsid w:val="00F17738"/>
    <w:rsid w:val="00F209F7"/>
    <w:rsid w:val="00F2555E"/>
    <w:rsid w:val="00F26270"/>
    <w:rsid w:val="00F26424"/>
    <w:rsid w:val="00F266BD"/>
    <w:rsid w:val="00F27A6F"/>
    <w:rsid w:val="00F300F9"/>
    <w:rsid w:val="00F309A1"/>
    <w:rsid w:val="00F321AB"/>
    <w:rsid w:val="00F33397"/>
    <w:rsid w:val="00F3450D"/>
    <w:rsid w:val="00F3515D"/>
    <w:rsid w:val="00F35830"/>
    <w:rsid w:val="00F36CD6"/>
    <w:rsid w:val="00F36ED4"/>
    <w:rsid w:val="00F376D6"/>
    <w:rsid w:val="00F4048B"/>
    <w:rsid w:val="00F41CA3"/>
    <w:rsid w:val="00F41F21"/>
    <w:rsid w:val="00F4274E"/>
    <w:rsid w:val="00F42F9D"/>
    <w:rsid w:val="00F444B6"/>
    <w:rsid w:val="00F44E90"/>
    <w:rsid w:val="00F45D83"/>
    <w:rsid w:val="00F46915"/>
    <w:rsid w:val="00F475DC"/>
    <w:rsid w:val="00F50502"/>
    <w:rsid w:val="00F5074F"/>
    <w:rsid w:val="00F5122F"/>
    <w:rsid w:val="00F51CBE"/>
    <w:rsid w:val="00F52A7D"/>
    <w:rsid w:val="00F557F9"/>
    <w:rsid w:val="00F57408"/>
    <w:rsid w:val="00F5764D"/>
    <w:rsid w:val="00F616FB"/>
    <w:rsid w:val="00F623D3"/>
    <w:rsid w:val="00F635AA"/>
    <w:rsid w:val="00F63E69"/>
    <w:rsid w:val="00F6403D"/>
    <w:rsid w:val="00F64E78"/>
    <w:rsid w:val="00F6708A"/>
    <w:rsid w:val="00F67352"/>
    <w:rsid w:val="00F674AB"/>
    <w:rsid w:val="00F67760"/>
    <w:rsid w:val="00F72074"/>
    <w:rsid w:val="00F76FE5"/>
    <w:rsid w:val="00F775C1"/>
    <w:rsid w:val="00F817C8"/>
    <w:rsid w:val="00F81C1F"/>
    <w:rsid w:val="00F82AA1"/>
    <w:rsid w:val="00F840D3"/>
    <w:rsid w:val="00F849B4"/>
    <w:rsid w:val="00F85BFA"/>
    <w:rsid w:val="00F86629"/>
    <w:rsid w:val="00F90C29"/>
    <w:rsid w:val="00F91A77"/>
    <w:rsid w:val="00F927BD"/>
    <w:rsid w:val="00F93E19"/>
    <w:rsid w:val="00F93EC8"/>
    <w:rsid w:val="00F93F94"/>
    <w:rsid w:val="00F948DC"/>
    <w:rsid w:val="00F95BA2"/>
    <w:rsid w:val="00F968F7"/>
    <w:rsid w:val="00F97C21"/>
    <w:rsid w:val="00FA13BB"/>
    <w:rsid w:val="00FA469E"/>
    <w:rsid w:val="00FA5312"/>
    <w:rsid w:val="00FA5693"/>
    <w:rsid w:val="00FA5934"/>
    <w:rsid w:val="00FA6FAC"/>
    <w:rsid w:val="00FA6FE5"/>
    <w:rsid w:val="00FB16B9"/>
    <w:rsid w:val="00FB187F"/>
    <w:rsid w:val="00FB1DD2"/>
    <w:rsid w:val="00FB1DEA"/>
    <w:rsid w:val="00FB21F1"/>
    <w:rsid w:val="00FB2B62"/>
    <w:rsid w:val="00FC196A"/>
    <w:rsid w:val="00FC1A32"/>
    <w:rsid w:val="00FC1E4A"/>
    <w:rsid w:val="00FC4298"/>
    <w:rsid w:val="00FC495B"/>
    <w:rsid w:val="00FC57EB"/>
    <w:rsid w:val="00FC5CF8"/>
    <w:rsid w:val="00FD0031"/>
    <w:rsid w:val="00FD09F9"/>
    <w:rsid w:val="00FD22B8"/>
    <w:rsid w:val="00FD30F7"/>
    <w:rsid w:val="00FD38BF"/>
    <w:rsid w:val="00FD3A33"/>
    <w:rsid w:val="00FD4003"/>
    <w:rsid w:val="00FD40B9"/>
    <w:rsid w:val="00FD4624"/>
    <w:rsid w:val="00FD5484"/>
    <w:rsid w:val="00FD6D4B"/>
    <w:rsid w:val="00FD6E7C"/>
    <w:rsid w:val="00FE0942"/>
    <w:rsid w:val="00FE19B6"/>
    <w:rsid w:val="00FE2274"/>
    <w:rsid w:val="00FE277C"/>
    <w:rsid w:val="00FE2C90"/>
    <w:rsid w:val="00FE5AB4"/>
    <w:rsid w:val="00FE5F0F"/>
    <w:rsid w:val="00FE6429"/>
    <w:rsid w:val="00FE79A4"/>
    <w:rsid w:val="00FF0304"/>
    <w:rsid w:val="00FF0D03"/>
    <w:rsid w:val="00FF5FAA"/>
    <w:rsid w:val="00FF6461"/>
    <w:rsid w:val="191B653E"/>
    <w:rsid w:val="23DBCE03"/>
    <w:rsid w:val="25DF5CBB"/>
    <w:rsid w:val="47B7726B"/>
    <w:rsid w:val="52027DCF"/>
    <w:rsid w:val="56D42CF9"/>
    <w:rsid w:val="5FF50873"/>
    <w:rsid w:val="6B1A6924"/>
    <w:rsid w:val="7EFA3C67"/>
    <w:rsid w:val="7FEDE6A0"/>
    <w:rsid w:val="BFBAD3FD"/>
    <w:rsid w:val="E6D90C4A"/>
    <w:rsid w:val="F7DFD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仿宋_GB2312"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Symbol"/>
      <w:kern w:val="2"/>
      <w:sz w:val="28"/>
      <w:szCs w:val="21"/>
      <w:lang w:val="en-US" w:eastAsia="zh-CN" w:bidi="ar-SA"/>
    </w:rPr>
  </w:style>
  <w:style w:type="paragraph" w:styleId="2">
    <w:name w:val="heading 1"/>
    <w:basedOn w:val="1"/>
    <w:next w:val="1"/>
    <w:link w:val="50"/>
    <w:qFormat/>
    <w:uiPriority w:val="0"/>
    <w:pPr>
      <w:numPr>
        <w:ilvl w:val="0"/>
        <w:numId w:val="1"/>
      </w:numPr>
      <w:autoSpaceDN w:val="0"/>
      <w:adjustRightInd w:val="0"/>
      <w:snapToGrid w:val="0"/>
      <w:jc w:val="center"/>
      <w:outlineLvl w:val="0"/>
    </w:pPr>
    <w:rPr>
      <w:rFonts w:cs="Times New Roman"/>
      <w:b/>
      <w:bCs/>
      <w:sz w:val="32"/>
      <w:szCs w:val="32"/>
      <w:lang w:val="zh-CN"/>
    </w:rPr>
  </w:style>
  <w:style w:type="paragraph" w:styleId="3">
    <w:name w:val="heading 2"/>
    <w:basedOn w:val="1"/>
    <w:next w:val="1"/>
    <w:link w:val="51"/>
    <w:qFormat/>
    <w:uiPriority w:val="0"/>
    <w:pPr>
      <w:numPr>
        <w:ilvl w:val="1"/>
        <w:numId w:val="1"/>
      </w:numPr>
      <w:autoSpaceDN w:val="0"/>
      <w:adjustRightInd w:val="0"/>
      <w:snapToGrid w:val="0"/>
      <w:outlineLvl w:val="1"/>
    </w:pPr>
    <w:rPr>
      <w:rFonts w:eastAsia="仿宋" w:cs="Times New Roman"/>
      <w:b/>
      <w:bCs/>
      <w:szCs w:val="30"/>
      <w:lang w:val="zh-CN"/>
    </w:rPr>
  </w:style>
  <w:style w:type="paragraph" w:styleId="4">
    <w:name w:val="heading 3"/>
    <w:basedOn w:val="1"/>
    <w:next w:val="1"/>
    <w:link w:val="52"/>
    <w:qFormat/>
    <w:uiPriority w:val="0"/>
    <w:pPr>
      <w:numPr>
        <w:ilvl w:val="2"/>
        <w:numId w:val="1"/>
      </w:numPr>
      <w:autoSpaceDN w:val="0"/>
      <w:adjustRightInd w:val="0"/>
      <w:snapToGrid w:val="0"/>
      <w:outlineLvl w:val="2"/>
    </w:pPr>
    <w:rPr>
      <w:rFonts w:cs="Times New Roman"/>
      <w:b/>
      <w:bCs/>
      <w:szCs w:val="28"/>
      <w:lang w:val="zh-CN"/>
    </w:rPr>
  </w:style>
  <w:style w:type="paragraph" w:styleId="5">
    <w:name w:val="heading 4"/>
    <w:basedOn w:val="1"/>
    <w:next w:val="1"/>
    <w:link w:val="53"/>
    <w:qFormat/>
    <w:uiPriority w:val="0"/>
    <w:pPr>
      <w:numPr>
        <w:ilvl w:val="3"/>
        <w:numId w:val="1"/>
      </w:numPr>
      <w:adjustRightInd w:val="0"/>
      <w:snapToGrid w:val="0"/>
      <w:outlineLvl w:val="3"/>
    </w:pPr>
    <w:rPr>
      <w:rFonts w:cs="Times New Roman"/>
      <w:b/>
      <w:szCs w:val="28"/>
      <w:lang w:val="zh-CN"/>
    </w:rPr>
  </w:style>
  <w:style w:type="paragraph" w:styleId="6">
    <w:name w:val="heading 5"/>
    <w:basedOn w:val="1"/>
    <w:next w:val="1"/>
    <w:link w:val="54"/>
    <w:qFormat/>
    <w:uiPriority w:val="0"/>
    <w:pPr>
      <w:keepNext/>
      <w:keepLines/>
      <w:numPr>
        <w:ilvl w:val="4"/>
        <w:numId w:val="1"/>
      </w:numPr>
      <w:tabs>
        <w:tab w:val="left" w:pos="1008"/>
      </w:tabs>
      <w:spacing w:before="280" w:after="290" w:line="372" w:lineRule="auto"/>
      <w:outlineLvl w:val="4"/>
    </w:pPr>
    <w:rPr>
      <w:rFonts w:cs="等线"/>
      <w:b/>
      <w:bCs/>
      <w:kern w:val="0"/>
      <w:szCs w:val="28"/>
      <w:lang w:val="zh-CN"/>
    </w:rPr>
  </w:style>
  <w:style w:type="paragraph" w:styleId="7">
    <w:name w:val="heading 6"/>
    <w:basedOn w:val="1"/>
    <w:next w:val="1"/>
    <w:link w:val="55"/>
    <w:qFormat/>
    <w:uiPriority w:val="0"/>
    <w:pPr>
      <w:keepNext/>
      <w:keepLines/>
      <w:numPr>
        <w:ilvl w:val="5"/>
        <w:numId w:val="1"/>
      </w:numPr>
      <w:tabs>
        <w:tab w:val="left" w:pos="1152"/>
      </w:tabs>
      <w:spacing w:before="240" w:after="64" w:line="317" w:lineRule="auto"/>
      <w:outlineLvl w:val="5"/>
    </w:pPr>
    <w:rPr>
      <w:rFonts w:ascii="Cambria Math" w:hAnsi="Cambria Math" w:eastAsia="Symbol" w:cs="等线"/>
      <w:b/>
      <w:bCs/>
      <w:kern w:val="0"/>
      <w:sz w:val="24"/>
      <w:szCs w:val="24"/>
      <w:lang w:val="zh-CN"/>
    </w:rPr>
  </w:style>
  <w:style w:type="paragraph" w:styleId="8">
    <w:name w:val="heading 7"/>
    <w:basedOn w:val="1"/>
    <w:next w:val="1"/>
    <w:link w:val="56"/>
    <w:qFormat/>
    <w:uiPriority w:val="0"/>
    <w:pPr>
      <w:keepNext/>
      <w:keepLines/>
      <w:numPr>
        <w:ilvl w:val="6"/>
        <w:numId w:val="1"/>
      </w:numPr>
      <w:tabs>
        <w:tab w:val="left" w:pos="1296"/>
      </w:tabs>
      <w:spacing w:before="240" w:after="64" w:line="317" w:lineRule="auto"/>
      <w:outlineLvl w:val="6"/>
    </w:pPr>
    <w:rPr>
      <w:rFonts w:cs="等线"/>
      <w:b/>
      <w:bCs/>
      <w:kern w:val="0"/>
      <w:sz w:val="24"/>
      <w:szCs w:val="24"/>
      <w:lang w:val="zh-CN"/>
    </w:rPr>
  </w:style>
  <w:style w:type="paragraph" w:styleId="9">
    <w:name w:val="heading 8"/>
    <w:basedOn w:val="1"/>
    <w:next w:val="1"/>
    <w:link w:val="57"/>
    <w:qFormat/>
    <w:uiPriority w:val="0"/>
    <w:pPr>
      <w:keepNext/>
      <w:keepLines/>
      <w:numPr>
        <w:ilvl w:val="7"/>
        <w:numId w:val="1"/>
      </w:numPr>
      <w:tabs>
        <w:tab w:val="left" w:pos="1440"/>
      </w:tabs>
      <w:spacing w:before="240" w:after="64" w:line="317" w:lineRule="auto"/>
      <w:ind w:left="1440"/>
      <w:outlineLvl w:val="7"/>
    </w:pPr>
    <w:rPr>
      <w:rFonts w:ascii="Cambria Math" w:hAnsi="Cambria Math" w:eastAsia="Symbol" w:cs="等线"/>
      <w:kern w:val="0"/>
      <w:sz w:val="24"/>
      <w:szCs w:val="24"/>
      <w:lang w:val="zh-CN"/>
    </w:rPr>
  </w:style>
  <w:style w:type="paragraph" w:styleId="10">
    <w:name w:val="heading 9"/>
    <w:basedOn w:val="1"/>
    <w:next w:val="1"/>
    <w:link w:val="58"/>
    <w:qFormat/>
    <w:uiPriority w:val="0"/>
    <w:pPr>
      <w:keepNext/>
      <w:keepLines/>
      <w:numPr>
        <w:ilvl w:val="8"/>
        <w:numId w:val="1"/>
      </w:numPr>
      <w:tabs>
        <w:tab w:val="left" w:pos="1584"/>
      </w:tabs>
      <w:spacing w:before="240" w:after="64" w:line="317" w:lineRule="auto"/>
      <w:outlineLvl w:val="8"/>
    </w:pPr>
    <w:rPr>
      <w:rFonts w:ascii="Cambria Math" w:hAnsi="Cambria Math" w:eastAsia="Symbol" w:cs="等线"/>
      <w:kern w:val="0"/>
      <w:sz w:val="24"/>
      <w:lang w:val="zh-CN"/>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ascii="Arial" w:hAnsi="Arial"/>
      <w:sz w:val="18"/>
      <w:szCs w:val="18"/>
    </w:rPr>
  </w:style>
  <w:style w:type="paragraph" w:styleId="12">
    <w:name w:val="E-mail Signature"/>
    <w:basedOn w:val="1"/>
    <w:link w:val="59"/>
    <w:qFormat/>
    <w:uiPriority w:val="0"/>
    <w:rPr>
      <w:rFonts w:cs="等线"/>
      <w:szCs w:val="20"/>
    </w:rPr>
  </w:style>
  <w:style w:type="paragraph" w:styleId="13">
    <w:name w:val="Normal Indent"/>
    <w:basedOn w:val="1"/>
    <w:qFormat/>
    <w:uiPriority w:val="0"/>
    <w:pPr>
      <w:adjustRightInd w:val="0"/>
      <w:spacing w:line="312" w:lineRule="atLeast"/>
      <w:ind w:firstLine="420"/>
      <w:textAlignment w:val="baseline"/>
    </w:pPr>
    <w:rPr>
      <w:rFonts w:cs="等线"/>
      <w:kern w:val="0"/>
      <w:szCs w:val="20"/>
    </w:rPr>
  </w:style>
  <w:style w:type="paragraph" w:styleId="14">
    <w:name w:val="caption"/>
    <w:basedOn w:val="1"/>
    <w:next w:val="1"/>
    <w:link w:val="60"/>
    <w:qFormat/>
    <w:uiPriority w:val="35"/>
    <w:pPr>
      <w:spacing w:line="300" w:lineRule="auto"/>
      <w:jc w:val="center"/>
    </w:pPr>
    <w:rPr>
      <w:rFonts w:cs="Cambria Math"/>
      <w:sz w:val="24"/>
      <w:szCs w:val="24"/>
    </w:rPr>
  </w:style>
  <w:style w:type="paragraph" w:styleId="15">
    <w:name w:val="Document Map"/>
    <w:basedOn w:val="1"/>
    <w:link w:val="61"/>
    <w:qFormat/>
    <w:uiPriority w:val="0"/>
    <w:rPr>
      <w:rFonts w:ascii="仿宋_GB2312"/>
      <w:sz w:val="18"/>
      <w:szCs w:val="18"/>
    </w:rPr>
  </w:style>
  <w:style w:type="paragraph" w:styleId="16">
    <w:name w:val="annotation text"/>
    <w:basedOn w:val="1"/>
    <w:link w:val="62"/>
    <w:qFormat/>
    <w:uiPriority w:val="99"/>
    <w:pPr>
      <w:jc w:val="left"/>
    </w:pPr>
  </w:style>
  <w:style w:type="paragraph" w:styleId="17">
    <w:name w:val="Body Text 3"/>
    <w:basedOn w:val="1"/>
    <w:link w:val="63"/>
    <w:qFormat/>
    <w:uiPriority w:val="0"/>
    <w:pPr>
      <w:spacing w:after="120" w:line="360" w:lineRule="exact"/>
    </w:pPr>
    <w:rPr>
      <w:rFonts w:cs="等线"/>
      <w:sz w:val="16"/>
      <w:szCs w:val="16"/>
    </w:rPr>
  </w:style>
  <w:style w:type="paragraph" w:styleId="18">
    <w:name w:val="Body Text"/>
    <w:basedOn w:val="1"/>
    <w:link w:val="64"/>
    <w:qFormat/>
    <w:uiPriority w:val="0"/>
    <w:pPr>
      <w:spacing w:after="120"/>
    </w:pPr>
    <w:rPr>
      <w:rFonts w:cs="等线"/>
      <w:kern w:val="0"/>
      <w:sz w:val="24"/>
      <w:szCs w:val="20"/>
      <w:lang w:val="zh-CN"/>
    </w:rPr>
  </w:style>
  <w:style w:type="paragraph" w:styleId="19">
    <w:name w:val="Body Text Indent"/>
    <w:basedOn w:val="1"/>
    <w:link w:val="65"/>
    <w:qFormat/>
    <w:uiPriority w:val="0"/>
    <w:pPr>
      <w:tabs>
        <w:tab w:val="left" w:pos="0"/>
      </w:tabs>
      <w:adjustRightInd w:val="0"/>
      <w:ind w:left="13" w:leftChars="6" w:firstLine="420" w:firstLineChars="200"/>
      <w:jc w:val="left"/>
    </w:pPr>
    <w:rPr>
      <w:rFonts w:cs="等线"/>
      <w:sz w:val="24"/>
      <w:szCs w:val="24"/>
    </w:rPr>
  </w:style>
  <w:style w:type="paragraph" w:styleId="20">
    <w:name w:val="toc 5"/>
    <w:basedOn w:val="1"/>
    <w:next w:val="1"/>
    <w:qFormat/>
    <w:uiPriority w:val="39"/>
    <w:pPr>
      <w:ind w:left="840"/>
      <w:jc w:val="left"/>
    </w:pPr>
    <w:rPr>
      <w:rFonts w:ascii="Arial" w:hAnsi="Arial"/>
      <w:sz w:val="18"/>
      <w:szCs w:val="18"/>
    </w:rPr>
  </w:style>
  <w:style w:type="paragraph" w:styleId="21">
    <w:name w:val="toc 3"/>
    <w:basedOn w:val="1"/>
    <w:next w:val="1"/>
    <w:qFormat/>
    <w:uiPriority w:val="39"/>
    <w:pPr>
      <w:ind w:left="420"/>
      <w:jc w:val="left"/>
    </w:pPr>
    <w:rPr>
      <w:rFonts w:ascii="Arial" w:hAnsi="Arial"/>
      <w:i/>
      <w:iCs/>
      <w:szCs w:val="20"/>
    </w:rPr>
  </w:style>
  <w:style w:type="paragraph" w:styleId="22">
    <w:name w:val="Plain Text"/>
    <w:basedOn w:val="1"/>
    <w:link w:val="66"/>
    <w:qFormat/>
    <w:uiPriority w:val="0"/>
    <w:pPr>
      <w:spacing w:line="360" w:lineRule="exact"/>
    </w:pPr>
    <w:rPr>
      <w:rFonts w:ascii="仿宋_GB2312" w:hAnsi="楷体_GB2312" w:cs="楷体_GB2312"/>
    </w:rPr>
  </w:style>
  <w:style w:type="paragraph" w:styleId="23">
    <w:name w:val="toc 8"/>
    <w:basedOn w:val="1"/>
    <w:next w:val="1"/>
    <w:qFormat/>
    <w:uiPriority w:val="39"/>
    <w:pPr>
      <w:ind w:left="1470"/>
      <w:jc w:val="left"/>
    </w:pPr>
    <w:rPr>
      <w:rFonts w:ascii="Arial" w:hAnsi="Arial"/>
      <w:sz w:val="18"/>
      <w:szCs w:val="18"/>
    </w:rPr>
  </w:style>
  <w:style w:type="paragraph" w:styleId="24">
    <w:name w:val="Date"/>
    <w:basedOn w:val="1"/>
    <w:next w:val="1"/>
    <w:link w:val="67"/>
    <w:qFormat/>
    <w:uiPriority w:val="0"/>
    <w:pPr>
      <w:ind w:left="100" w:leftChars="2500"/>
    </w:pPr>
  </w:style>
  <w:style w:type="paragraph" w:styleId="25">
    <w:name w:val="Body Text Indent 2"/>
    <w:basedOn w:val="1"/>
    <w:link w:val="68"/>
    <w:qFormat/>
    <w:uiPriority w:val="0"/>
    <w:pPr>
      <w:tabs>
        <w:tab w:val="left" w:pos="0"/>
      </w:tabs>
      <w:adjustRightInd w:val="0"/>
      <w:ind w:left="13" w:leftChars="6" w:firstLine="480" w:firstLineChars="200"/>
      <w:jc w:val="left"/>
    </w:pPr>
    <w:rPr>
      <w:rFonts w:cs="等线"/>
      <w:sz w:val="24"/>
      <w:szCs w:val="24"/>
    </w:rPr>
  </w:style>
  <w:style w:type="paragraph" w:styleId="26">
    <w:name w:val="Balloon Text"/>
    <w:basedOn w:val="1"/>
    <w:link w:val="69"/>
    <w:qFormat/>
    <w:uiPriority w:val="0"/>
    <w:rPr>
      <w:rFonts w:cs="等线"/>
      <w:kern w:val="0"/>
      <w:sz w:val="18"/>
      <w:szCs w:val="18"/>
      <w:lang w:val="zh-CN"/>
    </w:rPr>
  </w:style>
  <w:style w:type="paragraph" w:styleId="27">
    <w:name w:val="footer"/>
    <w:basedOn w:val="1"/>
    <w:link w:val="70"/>
    <w:qFormat/>
    <w:uiPriority w:val="99"/>
    <w:pPr>
      <w:tabs>
        <w:tab w:val="center" w:pos="4153"/>
        <w:tab w:val="right" w:pos="8306"/>
      </w:tabs>
      <w:snapToGrid w:val="0"/>
      <w:jc w:val="left"/>
    </w:pPr>
    <w:rPr>
      <w:rFonts w:cs="等线"/>
      <w:kern w:val="0"/>
      <w:sz w:val="18"/>
      <w:szCs w:val="18"/>
      <w:lang w:val="zh-CN"/>
    </w:rPr>
  </w:style>
  <w:style w:type="paragraph" w:styleId="28">
    <w:name w:val="header"/>
    <w:basedOn w:val="1"/>
    <w:link w:val="71"/>
    <w:qFormat/>
    <w:uiPriority w:val="0"/>
    <w:pPr>
      <w:pBdr>
        <w:bottom w:val="single" w:color="auto" w:sz="6" w:space="1"/>
      </w:pBdr>
      <w:tabs>
        <w:tab w:val="center" w:pos="4153"/>
        <w:tab w:val="right" w:pos="8306"/>
      </w:tabs>
      <w:snapToGrid w:val="0"/>
      <w:jc w:val="center"/>
    </w:pPr>
    <w:rPr>
      <w:rFonts w:cs="等线"/>
      <w:kern w:val="0"/>
      <w:sz w:val="18"/>
      <w:szCs w:val="18"/>
      <w:lang w:val="zh-CN"/>
    </w:rPr>
  </w:style>
  <w:style w:type="paragraph" w:styleId="29">
    <w:name w:val="toc 1"/>
    <w:basedOn w:val="1"/>
    <w:next w:val="1"/>
    <w:qFormat/>
    <w:uiPriority w:val="39"/>
    <w:pPr>
      <w:spacing w:before="120" w:after="120"/>
      <w:jc w:val="left"/>
    </w:pPr>
    <w:rPr>
      <w:rFonts w:ascii="Arial" w:hAnsi="Arial"/>
      <w:b/>
      <w:bCs/>
      <w:caps/>
      <w:szCs w:val="20"/>
    </w:rPr>
  </w:style>
  <w:style w:type="paragraph" w:styleId="30">
    <w:name w:val="toc 4"/>
    <w:basedOn w:val="1"/>
    <w:next w:val="1"/>
    <w:qFormat/>
    <w:uiPriority w:val="39"/>
    <w:pPr>
      <w:ind w:left="630"/>
      <w:jc w:val="left"/>
    </w:pPr>
    <w:rPr>
      <w:rFonts w:ascii="Arial" w:hAnsi="Arial"/>
      <w:sz w:val="18"/>
      <w:szCs w:val="18"/>
    </w:rPr>
  </w:style>
  <w:style w:type="paragraph" w:styleId="31">
    <w:name w:val="Subtitle"/>
    <w:basedOn w:val="14"/>
    <w:next w:val="1"/>
    <w:link w:val="72"/>
    <w:qFormat/>
    <w:uiPriority w:val="0"/>
    <w:rPr>
      <w:rFonts w:cs="Times New Roman"/>
      <w:szCs w:val="21"/>
    </w:rPr>
  </w:style>
  <w:style w:type="paragraph" w:styleId="32">
    <w:name w:val="toc 6"/>
    <w:basedOn w:val="1"/>
    <w:next w:val="1"/>
    <w:qFormat/>
    <w:uiPriority w:val="39"/>
    <w:pPr>
      <w:ind w:left="1050"/>
      <w:jc w:val="left"/>
    </w:pPr>
    <w:rPr>
      <w:rFonts w:ascii="Arial" w:hAnsi="Arial"/>
      <w:sz w:val="18"/>
      <w:szCs w:val="18"/>
    </w:rPr>
  </w:style>
  <w:style w:type="paragraph" w:styleId="33">
    <w:name w:val="Body Text Indent 3"/>
    <w:basedOn w:val="1"/>
    <w:link w:val="73"/>
    <w:qFormat/>
    <w:uiPriority w:val="0"/>
    <w:pPr>
      <w:spacing w:after="120"/>
      <w:ind w:left="420" w:leftChars="200"/>
    </w:pPr>
    <w:rPr>
      <w:rFonts w:cs="等线"/>
      <w:sz w:val="16"/>
      <w:szCs w:val="16"/>
    </w:rPr>
  </w:style>
  <w:style w:type="paragraph" w:styleId="34">
    <w:name w:val="table of figures"/>
    <w:basedOn w:val="1"/>
    <w:next w:val="1"/>
    <w:unhideWhenUsed/>
    <w:qFormat/>
    <w:uiPriority w:val="99"/>
  </w:style>
  <w:style w:type="paragraph" w:styleId="35">
    <w:name w:val="toc 2"/>
    <w:basedOn w:val="1"/>
    <w:next w:val="1"/>
    <w:qFormat/>
    <w:uiPriority w:val="39"/>
    <w:pPr>
      <w:ind w:left="210"/>
      <w:jc w:val="left"/>
    </w:pPr>
    <w:rPr>
      <w:rFonts w:ascii="Arial" w:hAnsi="Arial"/>
      <w:smallCaps/>
      <w:szCs w:val="20"/>
    </w:rPr>
  </w:style>
  <w:style w:type="paragraph" w:styleId="36">
    <w:name w:val="toc 9"/>
    <w:basedOn w:val="1"/>
    <w:next w:val="1"/>
    <w:qFormat/>
    <w:uiPriority w:val="39"/>
    <w:pPr>
      <w:ind w:left="1680"/>
      <w:jc w:val="left"/>
    </w:pPr>
    <w:rPr>
      <w:rFonts w:ascii="Arial" w:hAnsi="Arial"/>
      <w:sz w:val="18"/>
      <w:szCs w:val="18"/>
    </w:rPr>
  </w:style>
  <w:style w:type="paragraph" w:styleId="37">
    <w:name w:val="Body Text 2"/>
    <w:basedOn w:val="1"/>
    <w:link w:val="74"/>
    <w:qFormat/>
    <w:uiPriority w:val="0"/>
    <w:pPr>
      <w:jc w:val="center"/>
    </w:pPr>
    <w:rPr>
      <w:rFonts w:cs="等线"/>
      <w:sz w:val="24"/>
      <w:szCs w:val="24"/>
    </w:rPr>
  </w:style>
  <w:style w:type="paragraph" w:styleId="38">
    <w:name w:val="Normal (Web)"/>
    <w:basedOn w:val="1"/>
    <w:qFormat/>
    <w:uiPriority w:val="99"/>
    <w:pPr>
      <w:widowControl/>
      <w:spacing w:before="100" w:beforeAutospacing="1" w:after="100" w:afterAutospacing="1"/>
      <w:jc w:val="left"/>
    </w:pPr>
    <w:rPr>
      <w:rFonts w:ascii="仿宋_GB2312" w:hAnsi="仿宋_GB2312" w:cs="仿宋_GB2312"/>
      <w:kern w:val="0"/>
      <w:sz w:val="24"/>
      <w:szCs w:val="24"/>
    </w:rPr>
  </w:style>
  <w:style w:type="paragraph" w:styleId="39">
    <w:name w:val="Title"/>
    <w:basedOn w:val="1"/>
    <w:link w:val="75"/>
    <w:qFormat/>
    <w:uiPriority w:val="0"/>
    <w:pPr>
      <w:snapToGrid w:val="0"/>
      <w:spacing w:before="60" w:after="60" w:line="264" w:lineRule="auto"/>
      <w:jc w:val="center"/>
      <w:outlineLvl w:val="0"/>
    </w:pPr>
    <w:rPr>
      <w:rFonts w:ascii="Cambria Math" w:hAnsi="Cambria Math" w:eastAsia="黑体" w:cs="等线"/>
      <w:b/>
      <w:bCs/>
      <w:w w:val="90"/>
      <w:kern w:val="0"/>
      <w:sz w:val="84"/>
      <w:szCs w:val="32"/>
      <w:lang w:val="zh-CN"/>
    </w:rPr>
  </w:style>
  <w:style w:type="paragraph" w:styleId="40">
    <w:name w:val="annotation subject"/>
    <w:basedOn w:val="16"/>
    <w:next w:val="16"/>
    <w:link w:val="76"/>
    <w:qFormat/>
    <w:uiPriority w:val="0"/>
    <w:rPr>
      <w:b/>
      <w:bCs/>
    </w:rPr>
  </w:style>
  <w:style w:type="table" w:styleId="42">
    <w:name w:val="Table Grid"/>
    <w:basedOn w:val="41"/>
    <w:qFormat/>
    <w:uiPriority w:val="39"/>
    <w:rPr>
      <w:rFonts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qFormat/>
    <w:uiPriority w:val="0"/>
  </w:style>
  <w:style w:type="character" w:styleId="46">
    <w:name w:val="FollowedHyperlink"/>
    <w:qFormat/>
    <w:uiPriority w:val="0"/>
    <w:rPr>
      <w:color w:val="800080"/>
      <w:u w:val="single"/>
    </w:rPr>
  </w:style>
  <w:style w:type="character" w:styleId="47">
    <w:name w:val="Emphasis"/>
    <w:qFormat/>
    <w:uiPriority w:val="0"/>
    <w:rPr>
      <w:i/>
      <w:iCs/>
    </w:rPr>
  </w:style>
  <w:style w:type="character" w:styleId="48">
    <w:name w:val="Hyperlink"/>
    <w:qFormat/>
    <w:uiPriority w:val="99"/>
    <w:rPr>
      <w:color w:val="0000FF"/>
      <w:u w:val="single"/>
    </w:rPr>
  </w:style>
  <w:style w:type="character" w:styleId="49">
    <w:name w:val="annotation reference"/>
    <w:qFormat/>
    <w:uiPriority w:val="99"/>
    <w:rPr>
      <w:sz w:val="21"/>
      <w:szCs w:val="21"/>
    </w:rPr>
  </w:style>
  <w:style w:type="character" w:customStyle="1" w:styleId="50">
    <w:name w:val="标题 1 字符1"/>
    <w:link w:val="2"/>
    <w:qFormat/>
    <w:uiPriority w:val="0"/>
    <w:rPr>
      <w:rFonts w:ascii="Times New Roman" w:hAnsi="Times New Roman" w:eastAsia="宋体" w:cs="Times New Roman"/>
      <w:b/>
      <w:bCs/>
      <w:kern w:val="2"/>
      <w:sz w:val="32"/>
      <w:szCs w:val="32"/>
      <w:lang w:val="zh-CN" w:eastAsia="zh-CN"/>
    </w:rPr>
  </w:style>
  <w:style w:type="character" w:customStyle="1" w:styleId="51">
    <w:name w:val="标题 2 字符"/>
    <w:link w:val="3"/>
    <w:qFormat/>
    <w:uiPriority w:val="0"/>
    <w:rPr>
      <w:rFonts w:ascii="Times New Roman" w:hAnsi="Times New Roman" w:eastAsia="仿宋" w:cs="Times New Roman"/>
      <w:b/>
      <w:bCs/>
      <w:kern w:val="2"/>
      <w:sz w:val="28"/>
      <w:szCs w:val="30"/>
      <w:lang w:val="zh-CN"/>
    </w:rPr>
  </w:style>
  <w:style w:type="character" w:customStyle="1" w:styleId="52">
    <w:name w:val="标题 3 字符"/>
    <w:link w:val="4"/>
    <w:qFormat/>
    <w:uiPriority w:val="0"/>
    <w:rPr>
      <w:rFonts w:ascii="Times New Roman" w:hAnsi="Times New Roman" w:eastAsia="宋体" w:cs="Times New Roman"/>
      <w:b/>
      <w:bCs/>
      <w:kern w:val="2"/>
      <w:sz w:val="28"/>
      <w:szCs w:val="28"/>
      <w:lang w:val="zh-CN"/>
    </w:rPr>
  </w:style>
  <w:style w:type="character" w:customStyle="1" w:styleId="53">
    <w:name w:val="标题 4 字符"/>
    <w:link w:val="5"/>
    <w:qFormat/>
    <w:uiPriority w:val="0"/>
    <w:rPr>
      <w:rFonts w:ascii="Times New Roman" w:hAnsi="Times New Roman" w:eastAsia="宋体" w:cs="Times New Roman"/>
      <w:b/>
      <w:kern w:val="2"/>
      <w:sz w:val="28"/>
      <w:szCs w:val="28"/>
      <w:lang w:val="zh-CN" w:eastAsia="zh-CN"/>
    </w:rPr>
  </w:style>
  <w:style w:type="character" w:customStyle="1" w:styleId="54">
    <w:name w:val="标题 5 字符"/>
    <w:link w:val="6"/>
    <w:qFormat/>
    <w:uiPriority w:val="0"/>
    <w:rPr>
      <w:rFonts w:ascii="Times New Roman" w:hAnsi="Times New Roman" w:eastAsia="宋体"/>
      <w:b/>
      <w:bCs/>
      <w:sz w:val="28"/>
      <w:szCs w:val="28"/>
      <w:lang w:val="zh-CN" w:eastAsia="zh-CN"/>
    </w:rPr>
  </w:style>
  <w:style w:type="character" w:customStyle="1" w:styleId="55">
    <w:name w:val="标题 6 字符"/>
    <w:link w:val="7"/>
    <w:qFormat/>
    <w:uiPriority w:val="0"/>
    <w:rPr>
      <w:rFonts w:ascii="Cambria Math" w:hAnsi="Cambria Math" w:eastAsia="Symbol"/>
      <w:b/>
      <w:bCs/>
      <w:sz w:val="24"/>
      <w:szCs w:val="24"/>
      <w:lang w:val="zh-CN" w:eastAsia="zh-CN"/>
    </w:rPr>
  </w:style>
  <w:style w:type="character" w:customStyle="1" w:styleId="56">
    <w:name w:val="标题 7 字符"/>
    <w:link w:val="8"/>
    <w:qFormat/>
    <w:uiPriority w:val="0"/>
    <w:rPr>
      <w:rFonts w:ascii="Times New Roman" w:hAnsi="Times New Roman" w:eastAsia="宋体"/>
      <w:b/>
      <w:bCs/>
      <w:sz w:val="24"/>
      <w:szCs w:val="24"/>
      <w:lang w:val="zh-CN" w:eastAsia="zh-CN"/>
    </w:rPr>
  </w:style>
  <w:style w:type="character" w:customStyle="1" w:styleId="57">
    <w:name w:val="标题 8 字符"/>
    <w:link w:val="9"/>
    <w:qFormat/>
    <w:uiPriority w:val="0"/>
    <w:rPr>
      <w:rFonts w:ascii="Cambria Math" w:hAnsi="Cambria Math" w:eastAsia="Symbol"/>
      <w:sz w:val="24"/>
      <w:szCs w:val="24"/>
      <w:lang w:val="zh-CN" w:eastAsia="zh-CN"/>
    </w:rPr>
  </w:style>
  <w:style w:type="character" w:customStyle="1" w:styleId="58">
    <w:name w:val="标题 9 字符"/>
    <w:link w:val="10"/>
    <w:qFormat/>
    <w:uiPriority w:val="0"/>
    <w:rPr>
      <w:rFonts w:ascii="Cambria Math" w:hAnsi="Cambria Math" w:eastAsia="Symbol"/>
      <w:sz w:val="24"/>
      <w:szCs w:val="21"/>
      <w:lang w:val="zh-CN" w:eastAsia="zh-CN"/>
    </w:rPr>
  </w:style>
  <w:style w:type="character" w:customStyle="1" w:styleId="59">
    <w:name w:val="电子邮件签名 字符"/>
    <w:link w:val="12"/>
    <w:qFormat/>
    <w:uiPriority w:val="0"/>
    <w:rPr>
      <w:kern w:val="2"/>
      <w:sz w:val="21"/>
      <w:lang w:val="en-US"/>
    </w:rPr>
  </w:style>
  <w:style w:type="character" w:customStyle="1" w:styleId="60">
    <w:name w:val="题注 字符"/>
    <w:link w:val="14"/>
    <w:qFormat/>
    <w:uiPriority w:val="35"/>
    <w:rPr>
      <w:rFonts w:ascii="Times New Roman" w:hAnsi="Times New Roman" w:eastAsia="宋体" w:cs="Cambria Math"/>
      <w:kern w:val="2"/>
      <w:sz w:val="24"/>
      <w:szCs w:val="24"/>
      <w:lang w:val="en-US"/>
    </w:rPr>
  </w:style>
  <w:style w:type="character" w:customStyle="1" w:styleId="61">
    <w:name w:val="文档结构图 字符"/>
    <w:link w:val="15"/>
    <w:qFormat/>
    <w:uiPriority w:val="0"/>
    <w:rPr>
      <w:rFonts w:ascii="仿宋_GB2312" w:cs="Symbol"/>
      <w:kern w:val="2"/>
      <w:sz w:val="18"/>
      <w:szCs w:val="18"/>
      <w:lang w:val="en-US"/>
    </w:rPr>
  </w:style>
  <w:style w:type="character" w:customStyle="1" w:styleId="62">
    <w:name w:val="批注文字 字符"/>
    <w:link w:val="16"/>
    <w:qFormat/>
    <w:uiPriority w:val="99"/>
  </w:style>
  <w:style w:type="character" w:customStyle="1" w:styleId="63">
    <w:name w:val="正文文本 3 字符"/>
    <w:link w:val="17"/>
    <w:qFormat/>
    <w:uiPriority w:val="0"/>
    <w:rPr>
      <w:kern w:val="2"/>
      <w:sz w:val="16"/>
      <w:szCs w:val="16"/>
      <w:lang w:val="en-US"/>
    </w:rPr>
  </w:style>
  <w:style w:type="character" w:customStyle="1" w:styleId="64">
    <w:name w:val="正文文本 字符"/>
    <w:link w:val="18"/>
    <w:qFormat/>
    <w:uiPriority w:val="0"/>
    <w:rPr>
      <w:rFonts w:cs="等线"/>
      <w:sz w:val="24"/>
      <w:szCs w:val="20"/>
    </w:rPr>
  </w:style>
  <w:style w:type="character" w:customStyle="1" w:styleId="65">
    <w:name w:val="正文文本缩进 字符"/>
    <w:link w:val="19"/>
    <w:qFormat/>
    <w:uiPriority w:val="0"/>
    <w:rPr>
      <w:kern w:val="2"/>
      <w:sz w:val="24"/>
      <w:szCs w:val="24"/>
      <w:lang w:val="en-US"/>
    </w:rPr>
  </w:style>
  <w:style w:type="character" w:customStyle="1" w:styleId="66">
    <w:name w:val="纯文本 字符"/>
    <w:link w:val="22"/>
    <w:qFormat/>
    <w:uiPriority w:val="0"/>
    <w:rPr>
      <w:rFonts w:ascii="仿宋_GB2312" w:hAnsi="楷体_GB2312" w:cs="楷体_GB2312"/>
      <w:kern w:val="2"/>
      <w:sz w:val="21"/>
      <w:szCs w:val="21"/>
      <w:lang w:val="en-US"/>
    </w:rPr>
  </w:style>
  <w:style w:type="character" w:customStyle="1" w:styleId="67">
    <w:name w:val="日期 字符"/>
    <w:link w:val="24"/>
    <w:qFormat/>
    <w:uiPriority w:val="0"/>
    <w:rPr>
      <w:rFonts w:cs="Symbol"/>
      <w:kern w:val="2"/>
      <w:sz w:val="21"/>
      <w:szCs w:val="21"/>
      <w:lang w:val="en-US"/>
    </w:rPr>
  </w:style>
  <w:style w:type="character" w:customStyle="1" w:styleId="68">
    <w:name w:val="正文文本缩进 2 字符"/>
    <w:link w:val="25"/>
    <w:qFormat/>
    <w:uiPriority w:val="0"/>
    <w:rPr>
      <w:kern w:val="2"/>
      <w:sz w:val="24"/>
      <w:szCs w:val="24"/>
      <w:lang w:val="en-US"/>
    </w:rPr>
  </w:style>
  <w:style w:type="character" w:customStyle="1" w:styleId="69">
    <w:name w:val="批注框文本 字符"/>
    <w:link w:val="26"/>
    <w:qFormat/>
    <w:uiPriority w:val="0"/>
    <w:rPr>
      <w:sz w:val="18"/>
      <w:szCs w:val="18"/>
    </w:rPr>
  </w:style>
  <w:style w:type="character" w:customStyle="1" w:styleId="70">
    <w:name w:val="页脚 字符"/>
    <w:link w:val="27"/>
    <w:qFormat/>
    <w:uiPriority w:val="99"/>
    <w:rPr>
      <w:sz w:val="18"/>
      <w:szCs w:val="18"/>
    </w:rPr>
  </w:style>
  <w:style w:type="character" w:customStyle="1" w:styleId="71">
    <w:name w:val="页眉 字符"/>
    <w:link w:val="28"/>
    <w:qFormat/>
    <w:uiPriority w:val="0"/>
    <w:rPr>
      <w:sz w:val="18"/>
      <w:szCs w:val="18"/>
    </w:rPr>
  </w:style>
  <w:style w:type="character" w:customStyle="1" w:styleId="72">
    <w:name w:val="副标题 字符"/>
    <w:link w:val="31"/>
    <w:qFormat/>
    <w:uiPriority w:val="0"/>
    <w:rPr>
      <w:rFonts w:ascii="Times New Roman" w:hAnsi="Times New Roman" w:eastAsia="宋体" w:cs="Times New Roman"/>
      <w:kern w:val="2"/>
      <w:sz w:val="28"/>
      <w:szCs w:val="21"/>
      <w:lang w:val="en-US"/>
    </w:rPr>
  </w:style>
  <w:style w:type="character" w:customStyle="1" w:styleId="73">
    <w:name w:val="正文文本缩进 3 字符"/>
    <w:link w:val="33"/>
    <w:qFormat/>
    <w:uiPriority w:val="0"/>
    <w:rPr>
      <w:kern w:val="2"/>
      <w:sz w:val="16"/>
      <w:szCs w:val="16"/>
      <w:lang w:val="en-US"/>
    </w:rPr>
  </w:style>
  <w:style w:type="character" w:customStyle="1" w:styleId="74">
    <w:name w:val="正文文本 2 字符"/>
    <w:link w:val="37"/>
    <w:qFormat/>
    <w:uiPriority w:val="0"/>
    <w:rPr>
      <w:kern w:val="2"/>
      <w:sz w:val="24"/>
      <w:szCs w:val="24"/>
      <w:lang w:val="en-US"/>
    </w:rPr>
  </w:style>
  <w:style w:type="character" w:customStyle="1" w:styleId="75">
    <w:name w:val="标题 字符"/>
    <w:link w:val="39"/>
    <w:qFormat/>
    <w:uiPriority w:val="0"/>
    <w:rPr>
      <w:rFonts w:ascii="Cambria Math" w:hAnsi="Cambria Math" w:eastAsia="黑体" w:cs="等线"/>
      <w:b/>
      <w:bCs/>
      <w:w w:val="90"/>
      <w:sz w:val="84"/>
      <w:szCs w:val="32"/>
    </w:rPr>
  </w:style>
  <w:style w:type="character" w:customStyle="1" w:styleId="76">
    <w:name w:val="批注主题 字符"/>
    <w:link w:val="40"/>
    <w:qFormat/>
    <w:uiPriority w:val="0"/>
    <w:rPr>
      <w:rFonts w:cs="Symbol"/>
      <w:b/>
      <w:bCs/>
      <w:kern w:val="2"/>
      <w:sz w:val="21"/>
      <w:szCs w:val="21"/>
      <w:lang w:val="en-US"/>
    </w:rPr>
  </w:style>
  <w:style w:type="character" w:customStyle="1" w:styleId="77">
    <w:name w:val="批注框文本 Char1"/>
    <w:qFormat/>
    <w:uiPriority w:val="0"/>
    <w:rPr>
      <w:rFonts w:hint="eastAsia" w:ascii="Symbol" w:hAnsi="Symbol" w:eastAsia="Symbol" w:cs="Symbol"/>
      <w:kern w:val="2"/>
      <w:sz w:val="18"/>
      <w:szCs w:val="18"/>
    </w:rPr>
  </w:style>
  <w:style w:type="character" w:customStyle="1" w:styleId="78">
    <w:name w:val="ZT-正文 Char Char"/>
    <w:link w:val="79"/>
    <w:qFormat/>
    <w:uiPriority w:val="0"/>
    <w:rPr>
      <w:rFonts w:ascii="Cambria Math" w:hAnsi="Cambria Math"/>
      <w:kern w:val="2"/>
      <w:sz w:val="21"/>
      <w:szCs w:val="22"/>
    </w:rPr>
  </w:style>
  <w:style w:type="paragraph" w:customStyle="1" w:styleId="79">
    <w:name w:val="ZT-正文"/>
    <w:basedOn w:val="1"/>
    <w:link w:val="78"/>
    <w:qFormat/>
    <w:uiPriority w:val="0"/>
    <w:pPr>
      <w:spacing w:line="300" w:lineRule="auto"/>
      <w:ind w:firstLine="420" w:firstLineChars="200"/>
    </w:pPr>
    <w:rPr>
      <w:rFonts w:ascii="Cambria Math" w:hAnsi="Cambria Math" w:cs="等线"/>
      <w:szCs w:val="22"/>
      <w:lang w:val="zh-CN"/>
    </w:rPr>
  </w:style>
  <w:style w:type="character" w:customStyle="1" w:styleId="80">
    <w:name w:val="批注主题 Char1"/>
    <w:qFormat/>
    <w:uiPriority w:val="0"/>
    <w:rPr>
      <w:rFonts w:cs="Symbol"/>
      <w:b/>
      <w:bCs/>
      <w:kern w:val="2"/>
      <w:sz w:val="21"/>
      <w:szCs w:val="21"/>
    </w:rPr>
  </w:style>
  <w:style w:type="character" w:customStyle="1" w:styleId="81">
    <w:name w:val="标题 Char1"/>
    <w:qFormat/>
    <w:uiPriority w:val="0"/>
    <w:rPr>
      <w:rFonts w:hint="default" w:ascii="Times New Roman" w:hAnsi="Times New Roman" w:cs="等线"/>
      <w:b/>
      <w:bCs/>
      <w:kern w:val="2"/>
      <w:sz w:val="32"/>
      <w:szCs w:val="32"/>
    </w:rPr>
  </w:style>
  <w:style w:type="character" w:customStyle="1" w:styleId="82">
    <w:name w:val="正文文本缩进 2 Char Char"/>
    <w:link w:val="83"/>
    <w:qFormat/>
    <w:uiPriority w:val="0"/>
    <w:rPr>
      <w:rFonts w:cs="等线"/>
      <w:sz w:val="24"/>
      <w:szCs w:val="24"/>
    </w:rPr>
  </w:style>
  <w:style w:type="paragraph" w:customStyle="1" w:styleId="83">
    <w:name w:val="正文文本缩进 21"/>
    <w:basedOn w:val="1"/>
    <w:link w:val="82"/>
    <w:qFormat/>
    <w:uiPriority w:val="0"/>
    <w:pPr>
      <w:tabs>
        <w:tab w:val="left" w:pos="0"/>
      </w:tabs>
      <w:adjustRightInd w:val="0"/>
      <w:ind w:left="13" w:leftChars="6" w:firstLine="480" w:firstLineChars="200"/>
      <w:jc w:val="left"/>
    </w:pPr>
    <w:rPr>
      <w:rFonts w:cs="等线"/>
      <w:kern w:val="0"/>
      <w:sz w:val="24"/>
      <w:szCs w:val="24"/>
      <w:lang w:val="zh-CN"/>
    </w:rPr>
  </w:style>
  <w:style w:type="character" w:customStyle="1" w:styleId="84">
    <w:name w:val="页脚 Char1"/>
    <w:qFormat/>
    <w:uiPriority w:val="0"/>
    <w:rPr>
      <w:rFonts w:hint="eastAsia" w:ascii="Symbol" w:hAnsi="Symbol" w:eastAsia="Symbol" w:cs="Symbol"/>
      <w:kern w:val="2"/>
      <w:sz w:val="18"/>
      <w:szCs w:val="18"/>
    </w:rPr>
  </w:style>
  <w:style w:type="character" w:customStyle="1" w:styleId="85">
    <w:name w:val="批注文字 Char1"/>
    <w:qFormat/>
    <w:uiPriority w:val="0"/>
    <w:rPr>
      <w:rFonts w:cs="Symbol"/>
      <w:kern w:val="2"/>
      <w:sz w:val="21"/>
      <w:szCs w:val="21"/>
    </w:rPr>
  </w:style>
  <w:style w:type="character" w:customStyle="1" w:styleId="86">
    <w:name w:val="正文文本 Char1"/>
    <w:qFormat/>
    <w:uiPriority w:val="0"/>
    <w:rPr>
      <w:rFonts w:hint="eastAsia" w:ascii="Symbol" w:hAnsi="Symbol" w:eastAsia="Symbol" w:cs="Symbol"/>
      <w:kern w:val="2"/>
      <w:sz w:val="21"/>
      <w:szCs w:val="21"/>
    </w:rPr>
  </w:style>
  <w:style w:type="character" w:customStyle="1" w:styleId="87">
    <w:name w:val="正文文本缩进 3 Char Char"/>
    <w:link w:val="88"/>
    <w:qFormat/>
    <w:uiPriority w:val="0"/>
    <w:rPr>
      <w:rFonts w:cs="等线"/>
      <w:sz w:val="16"/>
      <w:szCs w:val="16"/>
    </w:rPr>
  </w:style>
  <w:style w:type="paragraph" w:customStyle="1" w:styleId="88">
    <w:name w:val="正文文本缩进 31"/>
    <w:basedOn w:val="1"/>
    <w:link w:val="87"/>
    <w:qFormat/>
    <w:uiPriority w:val="0"/>
    <w:pPr>
      <w:spacing w:after="120"/>
      <w:ind w:left="420" w:leftChars="200"/>
    </w:pPr>
    <w:rPr>
      <w:rFonts w:cs="等线"/>
      <w:kern w:val="0"/>
      <w:sz w:val="16"/>
      <w:szCs w:val="16"/>
      <w:lang w:val="zh-CN"/>
    </w:rPr>
  </w:style>
  <w:style w:type="character" w:customStyle="1" w:styleId="89">
    <w:name w:val="count4"/>
    <w:qFormat/>
    <w:uiPriority w:val="0"/>
  </w:style>
  <w:style w:type="character" w:customStyle="1" w:styleId="90">
    <w:name w:val="正文文本 3 Char Char"/>
    <w:link w:val="91"/>
    <w:qFormat/>
    <w:uiPriority w:val="0"/>
    <w:rPr>
      <w:rFonts w:cs="等线"/>
      <w:sz w:val="16"/>
      <w:szCs w:val="16"/>
    </w:rPr>
  </w:style>
  <w:style w:type="paragraph" w:customStyle="1" w:styleId="91">
    <w:name w:val="正文文本 31"/>
    <w:basedOn w:val="1"/>
    <w:link w:val="90"/>
    <w:qFormat/>
    <w:uiPriority w:val="0"/>
    <w:pPr>
      <w:spacing w:after="120" w:line="360" w:lineRule="exact"/>
    </w:pPr>
    <w:rPr>
      <w:rFonts w:cs="等线"/>
      <w:kern w:val="0"/>
      <w:sz w:val="16"/>
      <w:szCs w:val="16"/>
      <w:lang w:val="zh-CN"/>
    </w:rPr>
  </w:style>
  <w:style w:type="character" w:customStyle="1" w:styleId="92">
    <w:name w:val="批注主题 Char Char"/>
    <w:link w:val="93"/>
    <w:qFormat/>
    <w:uiPriority w:val="0"/>
    <w:rPr>
      <w:b/>
      <w:bCs/>
    </w:rPr>
  </w:style>
  <w:style w:type="paragraph" w:customStyle="1" w:styleId="93">
    <w:name w:val="批注主题1"/>
    <w:basedOn w:val="16"/>
    <w:next w:val="16"/>
    <w:link w:val="92"/>
    <w:qFormat/>
    <w:uiPriority w:val="0"/>
    <w:rPr>
      <w:rFonts w:cs="等线"/>
      <w:b/>
      <w:bCs/>
      <w:kern w:val="0"/>
      <w:sz w:val="20"/>
      <w:szCs w:val="20"/>
      <w:lang w:val="zh-CN"/>
    </w:rPr>
  </w:style>
  <w:style w:type="character" w:customStyle="1" w:styleId="94">
    <w:name w:val="文档结构图 Char Char"/>
    <w:link w:val="95"/>
    <w:qFormat/>
    <w:uiPriority w:val="0"/>
    <w:rPr>
      <w:rFonts w:ascii="仿宋_GB2312"/>
      <w:sz w:val="18"/>
      <w:szCs w:val="18"/>
    </w:rPr>
  </w:style>
  <w:style w:type="paragraph" w:customStyle="1" w:styleId="95">
    <w:name w:val="文档结构图1"/>
    <w:basedOn w:val="1"/>
    <w:link w:val="94"/>
    <w:qFormat/>
    <w:uiPriority w:val="0"/>
    <w:rPr>
      <w:rFonts w:ascii="仿宋_GB2312" w:cs="等线"/>
      <w:kern w:val="0"/>
      <w:sz w:val="18"/>
      <w:szCs w:val="18"/>
      <w:lang w:val="zh-CN"/>
    </w:rPr>
  </w:style>
  <w:style w:type="character" w:customStyle="1" w:styleId="96">
    <w:name w:val="正文文本 2 Char Char"/>
    <w:link w:val="97"/>
    <w:qFormat/>
    <w:uiPriority w:val="0"/>
    <w:rPr>
      <w:rFonts w:cs="等线"/>
      <w:sz w:val="24"/>
      <w:szCs w:val="24"/>
    </w:rPr>
  </w:style>
  <w:style w:type="paragraph" w:customStyle="1" w:styleId="97">
    <w:name w:val="正文文本 21"/>
    <w:basedOn w:val="1"/>
    <w:link w:val="96"/>
    <w:qFormat/>
    <w:uiPriority w:val="0"/>
    <w:pPr>
      <w:jc w:val="center"/>
    </w:pPr>
    <w:rPr>
      <w:rFonts w:cs="等线"/>
      <w:kern w:val="0"/>
      <w:sz w:val="24"/>
      <w:szCs w:val="24"/>
      <w:lang w:val="zh-CN"/>
    </w:rPr>
  </w:style>
  <w:style w:type="character" w:customStyle="1" w:styleId="98">
    <w:name w:val="def"/>
    <w:qFormat/>
    <w:uiPriority w:val="0"/>
  </w:style>
  <w:style w:type="character" w:customStyle="1" w:styleId="99">
    <w:name w:val="页眉 Char1"/>
    <w:qFormat/>
    <w:uiPriority w:val="0"/>
    <w:rPr>
      <w:rFonts w:hint="eastAsia" w:ascii="Symbol" w:hAnsi="Symbol" w:eastAsia="Symbol" w:cs="Symbol"/>
      <w:kern w:val="2"/>
      <w:sz w:val="18"/>
      <w:szCs w:val="18"/>
    </w:rPr>
  </w:style>
  <w:style w:type="character" w:customStyle="1" w:styleId="100">
    <w:name w:val="日期 Char Char"/>
    <w:link w:val="101"/>
    <w:qFormat/>
    <w:uiPriority w:val="0"/>
  </w:style>
  <w:style w:type="paragraph" w:customStyle="1" w:styleId="101">
    <w:name w:val="日期1"/>
    <w:basedOn w:val="1"/>
    <w:next w:val="1"/>
    <w:link w:val="100"/>
    <w:qFormat/>
    <w:uiPriority w:val="0"/>
    <w:pPr>
      <w:ind w:left="100" w:leftChars="2500"/>
    </w:pPr>
  </w:style>
  <w:style w:type="character" w:customStyle="1" w:styleId="102">
    <w:name w:val="正文文本缩进 3 Char1"/>
    <w:qFormat/>
    <w:uiPriority w:val="0"/>
    <w:rPr>
      <w:rFonts w:hint="eastAsia" w:ascii="Symbol" w:hAnsi="Symbol" w:eastAsia="Symbol" w:cs="Symbol"/>
      <w:kern w:val="2"/>
      <w:sz w:val="16"/>
      <w:szCs w:val="16"/>
    </w:rPr>
  </w:style>
  <w:style w:type="character" w:customStyle="1" w:styleId="103">
    <w:name w:val="正文文本缩进 Char Char"/>
    <w:link w:val="104"/>
    <w:qFormat/>
    <w:uiPriority w:val="0"/>
    <w:rPr>
      <w:rFonts w:cs="等线"/>
      <w:sz w:val="24"/>
      <w:szCs w:val="24"/>
    </w:rPr>
  </w:style>
  <w:style w:type="paragraph" w:customStyle="1" w:styleId="104">
    <w:name w:val="正文文本缩进1"/>
    <w:basedOn w:val="1"/>
    <w:link w:val="103"/>
    <w:qFormat/>
    <w:uiPriority w:val="0"/>
    <w:pPr>
      <w:tabs>
        <w:tab w:val="left" w:pos="0"/>
      </w:tabs>
      <w:adjustRightInd w:val="0"/>
      <w:ind w:left="13" w:leftChars="6" w:firstLine="420" w:firstLineChars="200"/>
      <w:jc w:val="left"/>
    </w:pPr>
    <w:rPr>
      <w:rFonts w:cs="等线"/>
      <w:kern w:val="0"/>
      <w:sz w:val="24"/>
      <w:szCs w:val="24"/>
      <w:lang w:val="zh-CN"/>
    </w:rPr>
  </w:style>
  <w:style w:type="character" w:customStyle="1" w:styleId="105">
    <w:name w:val="批注引用1"/>
    <w:qFormat/>
    <w:uiPriority w:val="0"/>
    <w:rPr>
      <w:sz w:val="21"/>
      <w:szCs w:val="21"/>
    </w:rPr>
  </w:style>
  <w:style w:type="character" w:customStyle="1" w:styleId="106">
    <w:name w:val="电子邮件签名 Char Char"/>
    <w:link w:val="107"/>
    <w:qFormat/>
    <w:uiPriority w:val="0"/>
    <w:rPr>
      <w:rFonts w:cs="等线"/>
      <w:szCs w:val="20"/>
    </w:rPr>
  </w:style>
  <w:style w:type="paragraph" w:customStyle="1" w:styleId="107">
    <w:name w:val="电子邮件签名1"/>
    <w:basedOn w:val="1"/>
    <w:link w:val="106"/>
    <w:qFormat/>
    <w:uiPriority w:val="0"/>
    <w:rPr>
      <w:rFonts w:cs="等线"/>
      <w:kern w:val="0"/>
      <w:sz w:val="20"/>
      <w:szCs w:val="20"/>
      <w:lang w:val="zh-CN"/>
    </w:rPr>
  </w:style>
  <w:style w:type="character" w:customStyle="1" w:styleId="108">
    <w:name w:val="title8"/>
    <w:qFormat/>
    <w:uiPriority w:val="0"/>
  </w:style>
  <w:style w:type="character" w:customStyle="1" w:styleId="109">
    <w:name w:val="页码1"/>
    <w:qFormat/>
    <w:uiPriority w:val="0"/>
  </w:style>
  <w:style w:type="character" w:customStyle="1" w:styleId="110">
    <w:name w:val="纯文本 Char Char"/>
    <w:link w:val="111"/>
    <w:qFormat/>
    <w:uiPriority w:val="0"/>
    <w:rPr>
      <w:rFonts w:ascii="仿宋_GB2312" w:hAnsi="楷体_GB2312" w:cs="楷体_GB2312"/>
      <w:szCs w:val="21"/>
    </w:rPr>
  </w:style>
  <w:style w:type="paragraph" w:customStyle="1" w:styleId="111">
    <w:name w:val="纯文本1"/>
    <w:basedOn w:val="1"/>
    <w:link w:val="110"/>
    <w:qFormat/>
    <w:uiPriority w:val="0"/>
    <w:pPr>
      <w:spacing w:line="360" w:lineRule="exact"/>
    </w:pPr>
    <w:rPr>
      <w:rFonts w:ascii="仿宋_GB2312" w:hAnsi="楷体_GB2312" w:cs="等线"/>
      <w:kern w:val="0"/>
      <w:sz w:val="20"/>
      <w:lang w:val="zh-CN"/>
    </w:rPr>
  </w:style>
  <w:style w:type="paragraph" w:customStyle="1" w:styleId="112">
    <w:name w:val="xl109"/>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13">
    <w:name w:val="xl7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14">
    <w:name w:val="引文目录标题1"/>
    <w:basedOn w:val="1"/>
    <w:next w:val="1"/>
    <w:qFormat/>
    <w:uiPriority w:val="0"/>
    <w:pPr>
      <w:spacing w:before="120"/>
    </w:pPr>
    <w:rPr>
      <w:rFonts w:ascii="Cambria Math" w:hAnsi="Cambria Math" w:cs="Cambria Math"/>
      <w:sz w:val="24"/>
      <w:szCs w:val="24"/>
    </w:rPr>
  </w:style>
  <w:style w:type="paragraph" w:customStyle="1" w:styleId="115">
    <w:name w:val="font14"/>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16">
    <w:name w:val="xl83"/>
    <w:basedOn w:val="1"/>
    <w:qFormat/>
    <w:uiPriority w:val="0"/>
    <w:pPr>
      <w:widowControl/>
      <w:spacing w:before="100" w:beforeAutospacing="1" w:after="100" w:afterAutospacing="1"/>
      <w:jc w:val="center"/>
    </w:pPr>
    <w:rPr>
      <w:rFonts w:cs="等线"/>
      <w:kern w:val="0"/>
      <w:sz w:val="20"/>
      <w:szCs w:val="20"/>
    </w:rPr>
  </w:style>
  <w:style w:type="paragraph" w:customStyle="1" w:styleId="117">
    <w:name w:val="ZT-标题3"/>
    <w:next w:val="1"/>
    <w:qFormat/>
    <w:uiPriority w:val="0"/>
    <w:pPr>
      <w:numPr>
        <w:ilvl w:val="3"/>
        <w:numId w:val="2"/>
      </w:numPr>
      <w:spacing w:before="156" w:beforeLines="50" w:line="360" w:lineRule="auto"/>
      <w:outlineLvl w:val="2"/>
    </w:pPr>
    <w:rPr>
      <w:rFonts w:ascii="Cambria Math" w:hAnsi="Cambria Math" w:eastAsia="仿宋_GB2312" w:cs="Cambria Math"/>
      <w:b/>
      <w:kern w:val="2"/>
      <w:sz w:val="24"/>
      <w:szCs w:val="24"/>
      <w:lang w:val="en-US" w:eastAsia="zh-CN" w:bidi="ar-SA"/>
    </w:rPr>
  </w:style>
  <w:style w:type="paragraph" w:customStyle="1" w:styleId="118">
    <w:name w:val="加点字"/>
    <w:basedOn w:val="1"/>
    <w:qFormat/>
    <w:uiPriority w:val="0"/>
    <w:pPr>
      <w:widowControl/>
      <w:spacing w:after="200" w:line="300" w:lineRule="auto"/>
      <w:ind w:firstLine="420"/>
      <w:jc w:val="left"/>
    </w:pPr>
    <w:rPr>
      <w:rFonts w:ascii="Arial" w:hAnsi="Arial" w:cs="等线"/>
      <w:color w:val="0000FF"/>
      <w:kern w:val="0"/>
      <w:sz w:val="22"/>
      <w:szCs w:val="22"/>
      <w:em w:val="dot"/>
      <w:lang w:eastAsia="en-US" w:bidi="en-US"/>
    </w:rPr>
  </w:style>
  <w:style w:type="paragraph" w:customStyle="1" w:styleId="119">
    <w:name w:val="xl104"/>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20">
    <w:name w:val="xl6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21">
    <w:name w:val="xl9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kern w:val="0"/>
      <w:sz w:val="20"/>
      <w:szCs w:val="20"/>
    </w:rPr>
  </w:style>
  <w:style w:type="paragraph" w:customStyle="1" w:styleId="122">
    <w:name w:val="xl115"/>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23">
    <w:name w:val="正文 New"/>
    <w:qFormat/>
    <w:uiPriority w:val="0"/>
    <w:pPr>
      <w:widowControl w:val="0"/>
      <w:jc w:val="both"/>
    </w:pPr>
    <w:rPr>
      <w:rFonts w:ascii="等线" w:hAnsi="等线" w:eastAsia="仿宋_GB2312" w:cs="等线"/>
      <w:kern w:val="2"/>
      <w:sz w:val="21"/>
      <w:szCs w:val="24"/>
      <w:lang w:val="en-US" w:eastAsia="zh-CN" w:bidi="ar-SA"/>
    </w:rPr>
  </w:style>
  <w:style w:type="paragraph" w:customStyle="1" w:styleId="124">
    <w:name w:val="附件名"/>
    <w:qFormat/>
    <w:uiPriority w:val="0"/>
    <w:pPr>
      <w:widowControl w:val="0"/>
      <w:jc w:val="both"/>
    </w:pPr>
    <w:rPr>
      <w:rFonts w:ascii="仿宋_GB2312" w:hAnsi="仿宋_GB2312" w:eastAsia="仿宋_GB2312" w:cs="等线"/>
      <w:sz w:val="24"/>
      <w:szCs w:val="24"/>
      <w:lang w:val="en-US" w:eastAsia="zh-CN" w:bidi="ar-SA"/>
    </w:rPr>
  </w:style>
  <w:style w:type="paragraph" w:customStyle="1" w:styleId="125">
    <w:name w:val="p0"/>
    <w:basedOn w:val="1"/>
    <w:qFormat/>
    <w:uiPriority w:val="0"/>
    <w:pPr>
      <w:widowControl/>
    </w:pPr>
    <w:rPr>
      <w:rFonts w:cs="等线"/>
      <w:kern w:val="0"/>
    </w:rPr>
  </w:style>
  <w:style w:type="paragraph" w:customStyle="1" w:styleId="126">
    <w:name w:val="图中文字"/>
    <w:qFormat/>
    <w:uiPriority w:val="0"/>
    <w:pPr>
      <w:adjustRightInd w:val="0"/>
      <w:snapToGrid w:val="0"/>
      <w:spacing w:line="300" w:lineRule="exact"/>
      <w:jc w:val="center"/>
    </w:pPr>
    <w:rPr>
      <w:rFonts w:ascii="仿宋_GB2312" w:hAnsi="等线" w:eastAsia="仿宋_GB2312" w:cs="等线"/>
      <w:sz w:val="24"/>
      <w:lang w:val="en-US" w:eastAsia="zh-CN" w:bidi="ar-SA"/>
    </w:rPr>
  </w:style>
  <w:style w:type="paragraph" w:customStyle="1" w:styleId="127">
    <w:name w:val="修订1"/>
    <w:qFormat/>
    <w:uiPriority w:val="0"/>
    <w:rPr>
      <w:rFonts w:ascii="Arial" w:hAnsi="Arial" w:eastAsia="仿宋_GB2312" w:cs="等线"/>
      <w:kern w:val="2"/>
      <w:sz w:val="21"/>
      <w:szCs w:val="22"/>
      <w:lang w:val="en-US" w:eastAsia="zh-CN" w:bidi="ar-SA"/>
    </w:rPr>
  </w:style>
  <w:style w:type="paragraph" w:customStyle="1" w:styleId="128">
    <w:name w:val="xl110"/>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29">
    <w:name w:val="xl91"/>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30">
    <w:name w:val="xl114"/>
    <w:basedOn w:val="1"/>
    <w:qFormat/>
    <w:uiPriority w:val="0"/>
    <w:pPr>
      <w:widowControl/>
      <w:pBdr>
        <w:top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31">
    <w:name w:val="pic-info"/>
    <w:basedOn w:val="1"/>
    <w:qFormat/>
    <w:uiPriority w:val="0"/>
    <w:pPr>
      <w:widowControl/>
      <w:spacing w:before="100" w:beforeAutospacing="1" w:after="100" w:afterAutospacing="1"/>
      <w:jc w:val="left"/>
    </w:pPr>
    <w:rPr>
      <w:rFonts w:ascii="仿宋_GB2312" w:hAnsi="仿宋_GB2312" w:cs="仿宋_GB2312"/>
      <w:kern w:val="0"/>
      <w:sz w:val="24"/>
      <w:szCs w:val="24"/>
    </w:rPr>
  </w:style>
  <w:style w:type="paragraph" w:customStyle="1" w:styleId="132">
    <w:name w:val="xl65"/>
    <w:basedOn w:val="1"/>
    <w:qFormat/>
    <w:uiPriority w:val="0"/>
    <w:pPr>
      <w:widowControl/>
      <w:shd w:val="clear" w:color="000000" w:fill="FFFFFF"/>
      <w:spacing w:before="100" w:beforeAutospacing="1" w:after="100" w:afterAutospacing="1"/>
      <w:jc w:val="left"/>
    </w:pPr>
    <w:rPr>
      <w:rFonts w:cs="等线"/>
      <w:kern w:val="0"/>
      <w:sz w:val="24"/>
      <w:szCs w:val="24"/>
    </w:rPr>
  </w:style>
  <w:style w:type="paragraph" w:customStyle="1" w:styleId="133">
    <w:name w:val="列出段落1"/>
    <w:basedOn w:val="1"/>
    <w:qFormat/>
    <w:uiPriority w:val="0"/>
    <w:pPr>
      <w:ind w:firstLine="420" w:firstLineChars="200"/>
    </w:pPr>
    <w:rPr>
      <w:rFonts w:ascii="Arial" w:hAnsi="Arial" w:cs="等线"/>
      <w:sz w:val="24"/>
    </w:rPr>
  </w:style>
  <w:style w:type="paragraph" w:customStyle="1" w:styleId="134">
    <w:name w:val="font18"/>
    <w:basedOn w:val="1"/>
    <w:qFormat/>
    <w:uiPriority w:val="0"/>
    <w:pPr>
      <w:widowControl/>
      <w:spacing w:before="100" w:beforeAutospacing="1" w:after="100" w:afterAutospacing="1"/>
      <w:jc w:val="left"/>
    </w:pPr>
    <w:rPr>
      <w:rFonts w:ascii="仿宋_GB2312" w:hAnsi="仿宋_GB2312" w:cs="仿宋_GB2312"/>
      <w:b/>
      <w:bCs/>
      <w:kern w:val="0"/>
      <w:sz w:val="20"/>
      <w:szCs w:val="20"/>
    </w:rPr>
  </w:style>
  <w:style w:type="paragraph" w:customStyle="1" w:styleId="135">
    <w:name w:val="附件中表格"/>
    <w:basedOn w:val="1"/>
    <w:next w:val="1"/>
    <w:qFormat/>
    <w:uiPriority w:val="0"/>
    <w:pPr>
      <w:topLinePunct/>
      <w:ind w:firstLine="964" w:firstLineChars="400"/>
    </w:pPr>
    <w:rPr>
      <w:rFonts w:ascii="仿宋_GB2312" w:hAnsi="仿宋_GB2312" w:cs="等线"/>
      <w:b/>
      <w:color w:val="000000"/>
      <w:sz w:val="24"/>
    </w:rPr>
  </w:style>
  <w:style w:type="paragraph" w:customStyle="1" w:styleId="136">
    <w:name w:val="样式2"/>
    <w:basedOn w:val="2"/>
    <w:qFormat/>
    <w:uiPriority w:val="0"/>
    <w:pPr>
      <w:keepNext/>
      <w:keepLines/>
      <w:numPr>
        <w:numId w:val="0"/>
      </w:numPr>
      <w:tabs>
        <w:tab w:val="left" w:pos="0"/>
        <w:tab w:val="left" w:pos="756"/>
      </w:tabs>
    </w:pPr>
    <w:rPr>
      <w:rFonts w:ascii="等线"/>
      <w:b w:val="0"/>
      <w:bCs w:val="0"/>
      <w:kern w:val="44"/>
      <w:sz w:val="48"/>
      <w:szCs w:val="44"/>
    </w:rPr>
  </w:style>
  <w:style w:type="paragraph" w:customStyle="1" w:styleId="137">
    <w:name w:val="公式"/>
    <w:basedOn w:val="1"/>
    <w:qFormat/>
    <w:uiPriority w:val="0"/>
    <w:pPr>
      <w:spacing w:line="312" w:lineRule="auto"/>
      <w:jc w:val="right"/>
    </w:pPr>
    <w:rPr>
      <w:rFonts w:ascii="仿宋_GB2312" w:hAnsi="仿宋_GB2312" w:cs="等线"/>
      <w:sz w:val="24"/>
      <w:szCs w:val="24"/>
    </w:rPr>
  </w:style>
  <w:style w:type="paragraph" w:customStyle="1" w:styleId="138">
    <w:name w:val="xl105"/>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39">
    <w:name w:val="xl92"/>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kern w:val="0"/>
      <w:sz w:val="20"/>
      <w:szCs w:val="20"/>
    </w:rPr>
  </w:style>
  <w:style w:type="paragraph" w:customStyle="1" w:styleId="140">
    <w:name w:val="前言目录"/>
    <w:basedOn w:val="1"/>
    <w:qFormat/>
    <w:uiPriority w:val="0"/>
    <w:pPr>
      <w:spacing w:before="156" w:beforeLines="50" w:after="156" w:afterLines="50"/>
      <w:jc w:val="center"/>
      <w:outlineLvl w:val="0"/>
    </w:pPr>
    <w:rPr>
      <w:rFonts w:ascii="Symbol" w:eastAsia="Symbol"/>
      <w:sz w:val="44"/>
      <w:szCs w:val="44"/>
    </w:rPr>
  </w:style>
  <w:style w:type="paragraph" w:customStyle="1" w:styleId="141">
    <w:name w:val="xl72"/>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42">
    <w:name w:val="xl107"/>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43">
    <w:name w:val="xl93"/>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44">
    <w:name w:val="xl10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仿宋_GB2312" w:hAnsi="仿宋_GB2312" w:cs="仿宋_GB2312"/>
      <w:b/>
      <w:bCs/>
      <w:color w:val="000000"/>
      <w:kern w:val="0"/>
      <w:sz w:val="20"/>
      <w:szCs w:val="20"/>
    </w:rPr>
  </w:style>
  <w:style w:type="paragraph" w:customStyle="1" w:styleId="145">
    <w:name w:val="font9"/>
    <w:basedOn w:val="1"/>
    <w:qFormat/>
    <w:uiPriority w:val="0"/>
    <w:pPr>
      <w:widowControl/>
      <w:spacing w:before="100" w:beforeAutospacing="1" w:after="100" w:afterAutospacing="1"/>
      <w:jc w:val="left"/>
    </w:pPr>
    <w:rPr>
      <w:rFonts w:ascii="仿宋_GB2312" w:hAnsi="仿宋_GB2312" w:cs="仿宋_GB2312"/>
      <w:color w:val="000000"/>
      <w:kern w:val="0"/>
      <w:sz w:val="20"/>
      <w:szCs w:val="20"/>
    </w:rPr>
  </w:style>
  <w:style w:type="paragraph" w:customStyle="1" w:styleId="146">
    <w:name w:val="xl9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47">
    <w:name w:val="aa图表名"/>
    <w:basedOn w:val="1"/>
    <w:next w:val="1"/>
    <w:qFormat/>
    <w:uiPriority w:val="0"/>
    <w:pPr>
      <w:spacing w:line="300" w:lineRule="auto"/>
      <w:jc w:val="center"/>
    </w:pPr>
    <w:rPr>
      <w:rFonts w:cs="等线"/>
      <w:kern w:val="0"/>
      <w:sz w:val="22"/>
      <w:szCs w:val="20"/>
    </w:rPr>
  </w:style>
  <w:style w:type="paragraph" w:styleId="148">
    <w:name w:val="List Paragraph"/>
    <w:basedOn w:val="1"/>
    <w:link w:val="149"/>
    <w:qFormat/>
    <w:uiPriority w:val="34"/>
    <w:pPr>
      <w:ind w:firstLine="420" w:firstLineChars="200"/>
    </w:pPr>
  </w:style>
  <w:style w:type="character" w:customStyle="1" w:styleId="149">
    <w:name w:val="列表段落 字符"/>
    <w:link w:val="148"/>
    <w:qFormat/>
    <w:uiPriority w:val="99"/>
    <w:rPr>
      <w:rFonts w:cs="Symbol"/>
      <w:kern w:val="2"/>
      <w:sz w:val="21"/>
      <w:szCs w:val="21"/>
      <w:lang w:val="en-US"/>
    </w:rPr>
  </w:style>
  <w:style w:type="paragraph" w:customStyle="1" w:styleId="150">
    <w:name w:val="xl73"/>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51">
    <w:name w:val="xl7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52">
    <w:name w:val="BG-表内容"/>
    <w:qFormat/>
    <w:uiPriority w:val="0"/>
    <w:pPr>
      <w:jc w:val="center"/>
    </w:pPr>
    <w:rPr>
      <w:rFonts w:ascii="Cambria Math" w:hAnsi="Cambria Math" w:eastAsia="仿宋_GB2312" w:cs="Cambria Math"/>
      <w:sz w:val="18"/>
      <w:szCs w:val="18"/>
      <w:lang w:val="en-US" w:eastAsia="zh-CN" w:bidi="ar-SA"/>
    </w:rPr>
  </w:style>
  <w:style w:type="paragraph" w:customStyle="1" w:styleId="153">
    <w:name w:val="p18"/>
    <w:basedOn w:val="1"/>
    <w:qFormat/>
    <w:uiPriority w:val="0"/>
    <w:pPr>
      <w:widowControl/>
      <w:jc w:val="center"/>
    </w:pPr>
    <w:rPr>
      <w:rFonts w:ascii="Cambria Math" w:hAnsi="Cambria Math" w:cs="Cambria Math"/>
      <w:kern w:val="0"/>
      <w:sz w:val="18"/>
      <w:szCs w:val="18"/>
    </w:rPr>
  </w:style>
  <w:style w:type="paragraph" w:customStyle="1" w:styleId="154">
    <w:name w:val="xl111"/>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仿宋_GB2312" w:hAnsi="仿宋_GB2312" w:cs="仿宋_GB2312"/>
      <w:b/>
      <w:bCs/>
      <w:color w:val="000000"/>
      <w:kern w:val="0"/>
      <w:sz w:val="20"/>
      <w:szCs w:val="20"/>
    </w:rPr>
  </w:style>
  <w:style w:type="paragraph" w:customStyle="1" w:styleId="155">
    <w:name w:val="xl6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kern w:val="0"/>
      <w:sz w:val="20"/>
      <w:szCs w:val="20"/>
    </w:rPr>
  </w:style>
  <w:style w:type="paragraph" w:customStyle="1" w:styleId="156">
    <w:name w:val="xl106"/>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57">
    <w:name w:val="p16"/>
    <w:basedOn w:val="1"/>
    <w:qFormat/>
    <w:uiPriority w:val="0"/>
    <w:pPr>
      <w:widowControl/>
      <w:spacing w:before="156"/>
      <w:jc w:val="left"/>
    </w:pPr>
    <w:rPr>
      <w:rFonts w:ascii="Cambria Math" w:hAnsi="Cambria Math" w:cs="Cambria Math"/>
      <w:b/>
      <w:bCs/>
      <w:kern w:val="0"/>
      <w:sz w:val="24"/>
      <w:szCs w:val="24"/>
    </w:rPr>
  </w:style>
  <w:style w:type="paragraph" w:customStyle="1" w:styleId="158">
    <w:name w:val="xl7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59">
    <w:name w:val="xl9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b/>
      <w:bCs/>
      <w:color w:val="000000"/>
      <w:kern w:val="0"/>
      <w:sz w:val="20"/>
      <w:szCs w:val="20"/>
    </w:rPr>
  </w:style>
  <w:style w:type="paragraph" w:customStyle="1" w:styleId="160">
    <w:name w:val="font16"/>
    <w:basedOn w:val="1"/>
    <w:qFormat/>
    <w:uiPriority w:val="0"/>
    <w:pPr>
      <w:widowControl/>
      <w:spacing w:before="100" w:beforeAutospacing="1" w:after="100" w:afterAutospacing="1"/>
      <w:jc w:val="left"/>
    </w:pPr>
    <w:rPr>
      <w:rFonts w:ascii="仿宋_GB2312" w:hAnsi="仿宋_GB2312" w:cs="仿宋_GB2312"/>
      <w:color w:val="000000"/>
      <w:kern w:val="0"/>
      <w:sz w:val="20"/>
      <w:szCs w:val="20"/>
    </w:rPr>
  </w:style>
  <w:style w:type="paragraph" w:customStyle="1" w:styleId="161">
    <w:name w:val="正文表格"/>
    <w:basedOn w:val="1"/>
    <w:qFormat/>
    <w:uiPriority w:val="0"/>
    <w:pPr>
      <w:jc w:val="center"/>
    </w:pPr>
    <w:rPr>
      <w:rFonts w:cs="等线"/>
      <w:szCs w:val="20"/>
    </w:rPr>
  </w:style>
  <w:style w:type="paragraph" w:customStyle="1" w:styleId="162">
    <w:name w:val="xl79"/>
    <w:basedOn w:val="1"/>
    <w:qFormat/>
    <w:uiPriority w:val="0"/>
    <w:pPr>
      <w:widowControl/>
      <w:spacing w:before="100" w:beforeAutospacing="1" w:after="100" w:afterAutospacing="1"/>
      <w:jc w:val="center"/>
    </w:pPr>
    <w:rPr>
      <w:rFonts w:cs="等线"/>
      <w:kern w:val="0"/>
      <w:sz w:val="20"/>
      <w:szCs w:val="20"/>
    </w:rPr>
  </w:style>
  <w:style w:type="paragraph" w:customStyle="1" w:styleId="163">
    <w:name w:val="xl101"/>
    <w:basedOn w:val="1"/>
    <w:qFormat/>
    <w:uiPriority w:val="0"/>
    <w:pPr>
      <w:widowControl/>
      <w:pBdr>
        <w:top w:val="single" w:color="auto" w:sz="8" w:space="0"/>
        <w:bottom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64">
    <w:name w:val="xl103"/>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65">
    <w:name w:val="表格"/>
    <w:basedOn w:val="1"/>
    <w:qFormat/>
    <w:uiPriority w:val="0"/>
    <w:pPr>
      <w:jc w:val="center"/>
    </w:pPr>
    <w:rPr>
      <w:rFonts w:ascii="仿宋_GB2312" w:hAnsi="仿宋_GB2312" w:cs="等线"/>
      <w:spacing w:val="-12"/>
      <w:szCs w:val="24"/>
    </w:rPr>
  </w:style>
  <w:style w:type="paragraph" w:customStyle="1" w:styleId="166">
    <w:name w:val="样式1"/>
    <w:basedOn w:val="1"/>
    <w:qFormat/>
    <w:uiPriority w:val="0"/>
    <w:pPr>
      <w:ind w:firstLine="480" w:firstLineChars="200"/>
    </w:pPr>
    <w:rPr>
      <w:rFonts w:ascii="仿宋_GB2312" w:hAnsi="仿宋_GB2312" w:cs="等线"/>
      <w:sz w:val="24"/>
      <w:szCs w:val="32"/>
    </w:rPr>
  </w:style>
  <w:style w:type="paragraph" w:customStyle="1" w:styleId="167">
    <w:name w:val="参考文献"/>
    <w:basedOn w:val="1"/>
    <w:qFormat/>
    <w:uiPriority w:val="0"/>
    <w:pPr>
      <w:widowControl/>
      <w:autoSpaceDE w:val="0"/>
      <w:autoSpaceDN w:val="0"/>
      <w:adjustRightInd w:val="0"/>
      <w:spacing w:line="318" w:lineRule="atLeast"/>
    </w:pPr>
    <w:rPr>
      <w:rFonts w:cs="等线"/>
      <w:kern w:val="0"/>
    </w:rPr>
  </w:style>
  <w:style w:type="paragraph" w:customStyle="1" w:styleId="168">
    <w:name w:val="xl8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69">
    <w:name w:val="font8"/>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70">
    <w:name w:val="样式 样式 仿宋_GB2312 段前: 0.5 行 段后: 6 磅 行距: 1.5 倍行距 + 首行缩进:  2 字符 段后:...2"/>
    <w:basedOn w:val="1"/>
    <w:qFormat/>
    <w:uiPriority w:val="0"/>
    <w:pPr>
      <w:adjustRightInd w:val="0"/>
      <w:snapToGrid w:val="0"/>
      <w:spacing w:after="312" w:afterLines="100" w:line="300" w:lineRule="auto"/>
      <w:ind w:firstLine="200" w:firstLineChars="200"/>
    </w:pPr>
    <w:rPr>
      <w:rFonts w:ascii="Calibri Light" w:eastAsia="Calibri Light" w:cs="等线"/>
      <w:szCs w:val="20"/>
    </w:rPr>
  </w:style>
  <w:style w:type="paragraph" w:customStyle="1" w:styleId="171">
    <w:name w:val="附件"/>
    <w:basedOn w:val="1"/>
    <w:qFormat/>
    <w:uiPriority w:val="0"/>
    <w:pPr>
      <w:adjustRightInd w:val="0"/>
      <w:snapToGrid w:val="0"/>
      <w:jc w:val="center"/>
      <w:outlineLvl w:val="0"/>
    </w:pPr>
    <w:rPr>
      <w:rFonts w:eastAsia="Symbol"/>
      <w:b/>
      <w:sz w:val="30"/>
      <w:szCs w:val="30"/>
    </w:rPr>
  </w:style>
  <w:style w:type="paragraph" w:customStyle="1" w:styleId="172">
    <w:name w:val="font5"/>
    <w:basedOn w:val="1"/>
    <w:qFormat/>
    <w:uiPriority w:val="0"/>
    <w:pPr>
      <w:widowControl/>
      <w:spacing w:before="100" w:beforeAutospacing="1" w:after="100" w:afterAutospacing="1"/>
      <w:jc w:val="left"/>
    </w:pPr>
    <w:rPr>
      <w:rFonts w:ascii="仿宋_GB2312" w:hAnsi="仿宋_GB2312" w:cs="仿宋_GB2312"/>
      <w:kern w:val="0"/>
      <w:sz w:val="18"/>
      <w:szCs w:val="18"/>
    </w:rPr>
  </w:style>
  <w:style w:type="paragraph" w:customStyle="1" w:styleId="173">
    <w:name w:val="xl97"/>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74">
    <w:name w:val="p17"/>
    <w:basedOn w:val="1"/>
    <w:qFormat/>
    <w:uiPriority w:val="0"/>
    <w:pPr>
      <w:widowControl/>
      <w:spacing w:line="300" w:lineRule="auto"/>
      <w:ind w:firstLine="420"/>
    </w:pPr>
    <w:rPr>
      <w:rFonts w:ascii="Cambria Math" w:hAnsi="Cambria Math" w:cs="Cambria Math"/>
      <w:kern w:val="0"/>
    </w:rPr>
  </w:style>
  <w:style w:type="paragraph" w:customStyle="1" w:styleId="175">
    <w:name w:val="标题4"/>
    <w:basedOn w:val="5"/>
    <w:qFormat/>
    <w:uiPriority w:val="0"/>
    <w:pPr>
      <w:keepNext/>
      <w:keepLines/>
      <w:numPr>
        <w:ilvl w:val="0"/>
        <w:numId w:val="0"/>
      </w:numPr>
      <w:spacing w:before="260" w:after="260" w:line="360" w:lineRule="exact"/>
      <w:ind w:right="-899" w:rightChars="-428"/>
    </w:pPr>
    <w:rPr>
      <w:rFonts w:eastAsia="仿宋_GB2312"/>
      <w:b w:val="0"/>
      <w:color w:val="000000"/>
    </w:rPr>
  </w:style>
  <w:style w:type="paragraph" w:customStyle="1" w:styleId="176">
    <w:name w:val="xl113"/>
    <w:basedOn w:val="1"/>
    <w:qFormat/>
    <w:uiPriority w:val="0"/>
    <w:pPr>
      <w:widowControl/>
      <w:pBdr>
        <w:left w:val="single" w:color="auto" w:sz="8" w:space="0"/>
        <w:bottom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177">
    <w:name w:val="aa3级标题"/>
    <w:basedOn w:val="1"/>
    <w:next w:val="1"/>
    <w:qFormat/>
    <w:uiPriority w:val="0"/>
    <w:pPr>
      <w:numPr>
        <w:ilvl w:val="0"/>
        <w:numId w:val="3"/>
      </w:numPr>
      <w:spacing w:before="156" w:beforeLines="50" w:after="156" w:afterLines="50" w:line="300" w:lineRule="auto"/>
      <w:outlineLvl w:val="2"/>
    </w:pPr>
    <w:rPr>
      <w:rFonts w:cs="等线"/>
      <w:kern w:val="0"/>
      <w:szCs w:val="24"/>
    </w:rPr>
  </w:style>
  <w:style w:type="paragraph" w:customStyle="1" w:styleId="178">
    <w:name w:val="标题3"/>
    <w:basedOn w:val="1"/>
    <w:qFormat/>
    <w:uiPriority w:val="0"/>
    <w:pPr>
      <w:spacing w:line="240" w:lineRule="exact"/>
      <w:jc w:val="center"/>
    </w:pPr>
    <w:rPr>
      <w:rFonts w:ascii="仿宋_GB2312" w:hAnsi="仿宋_GB2312" w:cs="等线"/>
    </w:rPr>
  </w:style>
  <w:style w:type="paragraph" w:customStyle="1" w:styleId="179">
    <w:name w:val="xl86"/>
    <w:basedOn w:val="1"/>
    <w:qFormat/>
    <w:uiPriority w:val="0"/>
    <w:pPr>
      <w:widowControl/>
      <w:pBdr>
        <w:top w:val="single" w:color="auto" w:sz="8" w:space="0"/>
        <w:bottom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80">
    <w:name w:val="Char"/>
    <w:basedOn w:val="95"/>
    <w:qFormat/>
    <w:uiPriority w:val="0"/>
    <w:pPr>
      <w:widowControl/>
      <w:shd w:val="clear" w:color="auto" w:fill="000080"/>
      <w:ind w:firstLine="454"/>
      <w:jc w:val="left"/>
    </w:pPr>
  </w:style>
  <w:style w:type="paragraph" w:customStyle="1" w:styleId="181">
    <w:name w:val="font11"/>
    <w:basedOn w:val="1"/>
    <w:qFormat/>
    <w:uiPriority w:val="0"/>
    <w:pPr>
      <w:widowControl/>
      <w:spacing w:before="100" w:beforeAutospacing="1" w:after="100" w:afterAutospacing="1"/>
      <w:jc w:val="left"/>
    </w:pPr>
    <w:rPr>
      <w:rFonts w:ascii="仿宋_GB2312" w:hAnsi="仿宋_GB2312" w:cs="仿宋_GB2312"/>
      <w:b/>
      <w:bCs/>
      <w:color w:val="000000"/>
      <w:kern w:val="0"/>
      <w:sz w:val="20"/>
      <w:szCs w:val="20"/>
    </w:rPr>
  </w:style>
  <w:style w:type="paragraph" w:customStyle="1" w:styleId="182">
    <w:name w:val="font17"/>
    <w:basedOn w:val="1"/>
    <w:qFormat/>
    <w:uiPriority w:val="0"/>
    <w:pPr>
      <w:widowControl/>
      <w:spacing w:before="100" w:beforeAutospacing="1" w:after="100" w:afterAutospacing="1"/>
      <w:jc w:val="left"/>
    </w:pPr>
    <w:rPr>
      <w:rFonts w:ascii="仿宋_GB2312" w:hAnsi="仿宋_GB2312" w:cs="仿宋_GB2312"/>
      <w:kern w:val="0"/>
      <w:sz w:val="20"/>
      <w:szCs w:val="20"/>
    </w:rPr>
  </w:style>
  <w:style w:type="paragraph" w:customStyle="1" w:styleId="183">
    <w:name w:val="xl9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kern w:val="0"/>
      <w:sz w:val="20"/>
      <w:szCs w:val="20"/>
    </w:rPr>
  </w:style>
  <w:style w:type="paragraph" w:customStyle="1" w:styleId="184">
    <w:name w:val="样式3"/>
    <w:basedOn w:val="2"/>
    <w:qFormat/>
    <w:uiPriority w:val="0"/>
    <w:pPr>
      <w:keepNext/>
      <w:keepLines/>
      <w:numPr>
        <w:numId w:val="0"/>
      </w:numPr>
      <w:tabs>
        <w:tab w:val="left" w:pos="432"/>
      </w:tabs>
      <w:spacing w:line="576" w:lineRule="auto"/>
    </w:pPr>
    <w:rPr>
      <w:rFonts w:ascii="等线"/>
      <w:bCs w:val="0"/>
      <w:kern w:val="44"/>
      <w:sz w:val="24"/>
      <w:szCs w:val="44"/>
    </w:rPr>
  </w:style>
  <w:style w:type="paragraph" w:customStyle="1" w:styleId="185">
    <w:name w:val="xl94"/>
    <w:basedOn w:val="1"/>
    <w:qFormat/>
    <w:uiPriority w:val="0"/>
    <w:pPr>
      <w:widowControl/>
      <w:spacing w:before="100" w:beforeAutospacing="1" w:after="100" w:afterAutospacing="1"/>
      <w:jc w:val="left"/>
    </w:pPr>
    <w:rPr>
      <w:rFonts w:cs="等线"/>
      <w:kern w:val="0"/>
      <w:sz w:val="20"/>
      <w:szCs w:val="20"/>
    </w:rPr>
  </w:style>
  <w:style w:type="paragraph" w:customStyle="1" w:styleId="186">
    <w:name w:val="font6"/>
    <w:basedOn w:val="1"/>
    <w:qFormat/>
    <w:uiPriority w:val="0"/>
    <w:pPr>
      <w:widowControl/>
      <w:spacing w:before="100" w:beforeAutospacing="1" w:after="100" w:afterAutospacing="1"/>
      <w:jc w:val="left"/>
    </w:pPr>
    <w:rPr>
      <w:rFonts w:ascii="仿宋_GB2312" w:hAnsi="仿宋_GB2312" w:cs="仿宋_GB2312"/>
      <w:kern w:val="0"/>
      <w:sz w:val="18"/>
      <w:szCs w:val="18"/>
    </w:rPr>
  </w:style>
  <w:style w:type="paragraph" w:customStyle="1" w:styleId="187">
    <w:name w:val="文本块1"/>
    <w:basedOn w:val="1"/>
    <w:qFormat/>
    <w:uiPriority w:val="0"/>
    <w:pPr>
      <w:spacing w:after="120" w:line="360" w:lineRule="exact"/>
      <w:ind w:left="1440" w:leftChars="700" w:right="1440" w:rightChars="700"/>
    </w:pPr>
    <w:rPr>
      <w:rFonts w:cs="等线"/>
      <w:sz w:val="24"/>
      <w:szCs w:val="24"/>
    </w:rPr>
  </w:style>
  <w:style w:type="paragraph" w:customStyle="1" w:styleId="188">
    <w:name w:val="font15"/>
    <w:basedOn w:val="1"/>
    <w:qFormat/>
    <w:uiPriority w:val="0"/>
    <w:pPr>
      <w:widowControl/>
      <w:spacing w:before="100" w:beforeAutospacing="1" w:after="100" w:afterAutospacing="1"/>
      <w:jc w:val="left"/>
    </w:pPr>
    <w:rPr>
      <w:rFonts w:cs="等线"/>
      <w:color w:val="000000"/>
      <w:kern w:val="0"/>
      <w:sz w:val="20"/>
      <w:szCs w:val="20"/>
    </w:rPr>
  </w:style>
  <w:style w:type="paragraph" w:customStyle="1" w:styleId="189">
    <w:name w:val="xl6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cs="等线"/>
      <w:color w:val="000000"/>
      <w:kern w:val="0"/>
      <w:sz w:val="20"/>
      <w:szCs w:val="20"/>
    </w:rPr>
  </w:style>
  <w:style w:type="paragraph" w:customStyle="1" w:styleId="190">
    <w:name w:val="xl87"/>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191">
    <w:name w:val="aa4级标题"/>
    <w:basedOn w:val="1"/>
    <w:next w:val="1"/>
    <w:qFormat/>
    <w:uiPriority w:val="0"/>
    <w:pPr>
      <w:numPr>
        <w:ilvl w:val="0"/>
        <w:numId w:val="4"/>
      </w:numPr>
      <w:spacing w:line="300" w:lineRule="auto"/>
      <w:outlineLvl w:val="3"/>
    </w:pPr>
    <w:rPr>
      <w:rFonts w:eastAsia="Wingdings" w:cs="等线"/>
      <w:kern w:val="0"/>
      <w:sz w:val="24"/>
      <w:szCs w:val="24"/>
    </w:rPr>
  </w:style>
  <w:style w:type="paragraph" w:customStyle="1" w:styleId="192">
    <w:name w:val="样式 样式 样式 仿宋_GB2312 段前: 0.5 行 段后: 6 磅 行距: 1.5 倍行距 + 首行缩进:  2 字符 段..."/>
    <w:basedOn w:val="1"/>
    <w:qFormat/>
    <w:uiPriority w:val="0"/>
    <w:pPr>
      <w:adjustRightInd w:val="0"/>
      <w:snapToGrid w:val="0"/>
      <w:spacing w:after="156" w:afterLines="50" w:line="300" w:lineRule="auto"/>
      <w:ind w:firstLine="200" w:firstLineChars="200"/>
    </w:pPr>
    <w:rPr>
      <w:rFonts w:eastAsia="Calibri Light" w:cs="等线"/>
      <w:szCs w:val="20"/>
    </w:rPr>
  </w:style>
  <w:style w:type="paragraph" w:customStyle="1" w:styleId="193">
    <w:name w:val="album-div"/>
    <w:basedOn w:val="1"/>
    <w:qFormat/>
    <w:uiPriority w:val="0"/>
    <w:pPr>
      <w:widowControl/>
      <w:spacing w:before="100" w:beforeAutospacing="1" w:after="100" w:afterAutospacing="1"/>
      <w:jc w:val="left"/>
    </w:pPr>
    <w:rPr>
      <w:rFonts w:ascii="仿宋_GB2312" w:hAnsi="仿宋_GB2312" w:cs="仿宋_GB2312"/>
      <w:kern w:val="0"/>
      <w:sz w:val="24"/>
      <w:szCs w:val="24"/>
    </w:rPr>
  </w:style>
  <w:style w:type="paragraph" w:customStyle="1" w:styleId="194">
    <w:name w:val="Default"/>
    <w:qFormat/>
    <w:uiPriority w:val="0"/>
    <w:pPr>
      <w:widowControl w:val="0"/>
      <w:autoSpaceDE w:val="0"/>
      <w:autoSpaceDN w:val="0"/>
      <w:adjustRightInd w:val="0"/>
    </w:pPr>
    <w:rPr>
      <w:rFonts w:ascii="仿宋_GB2312" w:hAnsi="Arial" w:eastAsia="仿宋_GB2312" w:cs="仿宋_GB2312"/>
      <w:color w:val="000000"/>
      <w:sz w:val="24"/>
      <w:szCs w:val="24"/>
      <w:lang w:val="en-US" w:eastAsia="zh-CN" w:bidi="ar-SA"/>
    </w:rPr>
  </w:style>
  <w:style w:type="paragraph" w:customStyle="1" w:styleId="195">
    <w:name w:val="xl9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196">
    <w:name w:val="xl102"/>
    <w:basedOn w:val="1"/>
    <w:qFormat/>
    <w:uiPriority w:val="0"/>
    <w:pPr>
      <w:widowControl/>
      <w:pBdr>
        <w:top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197">
    <w:name w:val="xl64"/>
    <w:basedOn w:val="1"/>
    <w:qFormat/>
    <w:uiPriority w:val="0"/>
    <w:pPr>
      <w:widowControl/>
      <w:spacing w:before="100" w:beforeAutospacing="1" w:after="100" w:afterAutospacing="1"/>
      <w:jc w:val="left"/>
    </w:pPr>
    <w:rPr>
      <w:rFonts w:cs="等线"/>
      <w:b/>
      <w:bCs/>
      <w:kern w:val="0"/>
      <w:sz w:val="24"/>
      <w:szCs w:val="24"/>
    </w:rPr>
  </w:style>
  <w:style w:type="paragraph" w:customStyle="1" w:styleId="198">
    <w:name w:val="BG-04"/>
    <w:basedOn w:val="1"/>
    <w:qFormat/>
    <w:uiPriority w:val="0"/>
    <w:pPr>
      <w:widowControl/>
      <w:numPr>
        <w:ilvl w:val="0"/>
        <w:numId w:val="5"/>
      </w:numPr>
      <w:spacing w:before="312" w:beforeLines="100" w:after="156" w:afterLines="50"/>
      <w:jc w:val="center"/>
    </w:pPr>
    <w:rPr>
      <w:rFonts w:ascii="Cambria Math" w:hAnsi="Cambria Math" w:eastAsia="Symbol" w:cs="等线"/>
      <w:szCs w:val="24"/>
    </w:rPr>
  </w:style>
  <w:style w:type="paragraph" w:customStyle="1" w:styleId="199">
    <w:name w:val="xl84"/>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00">
    <w:name w:val="xl82"/>
    <w:basedOn w:val="1"/>
    <w:qFormat/>
    <w:uiPriority w:val="0"/>
    <w:pPr>
      <w:widowControl/>
      <w:spacing w:before="100" w:beforeAutospacing="1" w:after="100" w:afterAutospacing="1"/>
      <w:jc w:val="left"/>
    </w:pPr>
    <w:rPr>
      <w:rFonts w:cs="等线"/>
      <w:kern w:val="0"/>
      <w:sz w:val="20"/>
      <w:szCs w:val="20"/>
    </w:rPr>
  </w:style>
  <w:style w:type="paragraph" w:customStyle="1" w:styleId="201">
    <w:name w:val="font12"/>
    <w:basedOn w:val="1"/>
    <w:qFormat/>
    <w:uiPriority w:val="0"/>
    <w:pPr>
      <w:widowControl/>
      <w:spacing w:before="100" w:beforeAutospacing="1" w:after="100" w:afterAutospacing="1"/>
      <w:jc w:val="left"/>
    </w:pPr>
    <w:rPr>
      <w:rFonts w:cs="等线"/>
      <w:b/>
      <w:bCs/>
      <w:color w:val="000000"/>
      <w:kern w:val="0"/>
      <w:sz w:val="20"/>
      <w:szCs w:val="20"/>
    </w:rPr>
  </w:style>
  <w:style w:type="paragraph" w:customStyle="1" w:styleId="202">
    <w:name w:val="p15"/>
    <w:basedOn w:val="1"/>
    <w:qFormat/>
    <w:uiPriority w:val="0"/>
    <w:pPr>
      <w:widowControl/>
    </w:pPr>
    <w:rPr>
      <w:rFonts w:ascii="Cambria Math" w:hAnsi="Cambria Math" w:cs="Cambria Math"/>
      <w:kern w:val="0"/>
      <w:sz w:val="20"/>
      <w:szCs w:val="20"/>
    </w:rPr>
  </w:style>
  <w:style w:type="paragraph" w:customStyle="1" w:styleId="203">
    <w:name w:val="font13"/>
    <w:basedOn w:val="1"/>
    <w:qFormat/>
    <w:uiPriority w:val="0"/>
    <w:pPr>
      <w:widowControl/>
      <w:spacing w:before="100" w:beforeAutospacing="1" w:after="100" w:afterAutospacing="1"/>
      <w:jc w:val="left"/>
    </w:pPr>
    <w:rPr>
      <w:rFonts w:ascii="仿宋_GB2312" w:hAnsi="仿宋_GB2312" w:cs="仿宋_GB2312"/>
      <w:b/>
      <w:bCs/>
      <w:color w:val="000000"/>
      <w:kern w:val="0"/>
      <w:sz w:val="20"/>
      <w:szCs w:val="20"/>
    </w:rPr>
  </w:style>
  <w:style w:type="paragraph" w:customStyle="1" w:styleId="204">
    <w:name w:val="正文文字不缩进"/>
    <w:basedOn w:val="1"/>
    <w:next w:val="18"/>
    <w:qFormat/>
    <w:uiPriority w:val="0"/>
    <w:pPr>
      <w:widowControl/>
      <w:jc w:val="center"/>
    </w:pPr>
    <w:rPr>
      <w:rFonts w:ascii="仿宋_GB2312" w:hAnsi="仿宋_GB2312" w:cs="等线"/>
      <w:color w:val="000000"/>
      <w:kern w:val="0"/>
      <w:sz w:val="10"/>
    </w:rPr>
  </w:style>
  <w:style w:type="paragraph" w:customStyle="1" w:styleId="205">
    <w:name w:val="xl81"/>
    <w:basedOn w:val="1"/>
    <w:qFormat/>
    <w:uiPriority w:val="0"/>
    <w:pPr>
      <w:widowControl/>
      <w:spacing w:before="100" w:beforeAutospacing="1" w:after="100" w:afterAutospacing="1"/>
      <w:jc w:val="center"/>
    </w:pPr>
    <w:rPr>
      <w:rFonts w:cs="等线"/>
      <w:kern w:val="0"/>
      <w:sz w:val="20"/>
      <w:szCs w:val="20"/>
    </w:rPr>
  </w:style>
  <w:style w:type="paragraph" w:customStyle="1" w:styleId="206">
    <w:name w:val="font7"/>
    <w:basedOn w:val="1"/>
    <w:qFormat/>
    <w:uiPriority w:val="0"/>
    <w:pPr>
      <w:widowControl/>
      <w:spacing w:before="100" w:beforeAutospacing="1" w:after="100" w:afterAutospacing="1"/>
      <w:jc w:val="left"/>
    </w:pPr>
    <w:rPr>
      <w:rFonts w:ascii="仿宋_GB2312" w:hAnsi="仿宋_GB2312" w:cs="仿宋_GB2312"/>
      <w:color w:val="000000"/>
      <w:kern w:val="0"/>
      <w:sz w:val="18"/>
      <w:szCs w:val="18"/>
    </w:rPr>
  </w:style>
  <w:style w:type="paragraph" w:customStyle="1" w:styleId="207">
    <w:name w:val="图名"/>
    <w:qFormat/>
    <w:uiPriority w:val="0"/>
    <w:pPr>
      <w:widowControl w:val="0"/>
      <w:spacing w:before="156" w:beforeLines="50"/>
      <w:jc w:val="center"/>
    </w:pPr>
    <w:rPr>
      <w:rFonts w:ascii="仿宋_GB2312" w:hAnsi="仿宋_GB2312" w:eastAsia="仿宋_GB2312" w:cs="等线"/>
      <w:b/>
      <w:bCs/>
      <w:sz w:val="24"/>
      <w:szCs w:val="30"/>
      <w:lang w:val="en-US" w:eastAsia="zh-CN" w:bidi="ar-SA"/>
    </w:rPr>
  </w:style>
  <w:style w:type="paragraph" w:customStyle="1" w:styleId="208">
    <w:name w:val="xl85"/>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09">
    <w:name w:val="xl70"/>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b/>
      <w:bCs/>
      <w:color w:val="000000"/>
      <w:kern w:val="0"/>
      <w:sz w:val="20"/>
      <w:szCs w:val="20"/>
    </w:rPr>
  </w:style>
  <w:style w:type="paragraph" w:customStyle="1" w:styleId="210">
    <w:name w:val="正文缩进1"/>
    <w:basedOn w:val="1"/>
    <w:qFormat/>
    <w:uiPriority w:val="0"/>
    <w:pPr>
      <w:ind w:firstLine="420"/>
    </w:pPr>
    <w:rPr>
      <w:rFonts w:cs="等线"/>
      <w:sz w:val="24"/>
      <w:szCs w:val="24"/>
    </w:rPr>
  </w:style>
  <w:style w:type="paragraph" w:customStyle="1" w:styleId="211">
    <w:name w:val="Char Char Char Char Char Char Char Char Char Char Char Char Char Char Char Char Char Char Char"/>
    <w:basedOn w:val="1"/>
    <w:qFormat/>
    <w:uiPriority w:val="0"/>
    <w:rPr>
      <w:rFonts w:cs="等线"/>
      <w:szCs w:val="24"/>
    </w:rPr>
  </w:style>
  <w:style w:type="paragraph" w:customStyle="1" w:styleId="212">
    <w:name w:val="xl7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13">
    <w:name w:val="xl100"/>
    <w:basedOn w:val="1"/>
    <w:qFormat/>
    <w:uiPriority w:val="0"/>
    <w:pPr>
      <w:widowControl/>
      <w:pBdr>
        <w:top w:val="single" w:color="auto" w:sz="8" w:space="0"/>
        <w:left w:val="single" w:color="auto" w:sz="8" w:space="0"/>
        <w:bottom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14">
    <w:name w:val="标准文字"/>
    <w:basedOn w:val="1"/>
    <w:qFormat/>
    <w:uiPriority w:val="0"/>
    <w:pPr>
      <w:ind w:firstLine="560" w:firstLineChars="200"/>
    </w:pPr>
  </w:style>
  <w:style w:type="paragraph" w:customStyle="1" w:styleId="215">
    <w:name w:val="xl6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216">
    <w:name w:val="font10"/>
    <w:basedOn w:val="1"/>
    <w:qFormat/>
    <w:uiPriority w:val="0"/>
    <w:pPr>
      <w:widowControl/>
      <w:spacing w:before="100" w:beforeAutospacing="1" w:after="100" w:afterAutospacing="1"/>
      <w:jc w:val="left"/>
    </w:pPr>
    <w:rPr>
      <w:rFonts w:cs="等线"/>
      <w:kern w:val="0"/>
      <w:sz w:val="20"/>
      <w:szCs w:val="20"/>
    </w:rPr>
  </w:style>
  <w:style w:type="paragraph" w:customStyle="1" w:styleId="217">
    <w:name w:val="xl63"/>
    <w:basedOn w:val="1"/>
    <w:qFormat/>
    <w:uiPriority w:val="0"/>
    <w:pPr>
      <w:widowControl/>
      <w:spacing w:before="100" w:beforeAutospacing="1" w:after="100" w:afterAutospacing="1"/>
      <w:jc w:val="left"/>
    </w:pPr>
    <w:rPr>
      <w:rFonts w:cs="等线"/>
      <w:kern w:val="0"/>
      <w:sz w:val="24"/>
      <w:szCs w:val="24"/>
    </w:rPr>
  </w:style>
  <w:style w:type="paragraph" w:customStyle="1" w:styleId="218">
    <w:name w:val="表中文字"/>
    <w:qFormat/>
    <w:uiPriority w:val="0"/>
    <w:pPr>
      <w:adjustRightInd w:val="0"/>
      <w:snapToGrid w:val="0"/>
      <w:spacing w:line="300" w:lineRule="atLeast"/>
      <w:jc w:val="center"/>
    </w:pPr>
    <w:rPr>
      <w:rFonts w:ascii="等线" w:hAnsi="等线" w:eastAsia="黑体" w:cs="等线"/>
      <w:sz w:val="18"/>
      <w:lang w:val="en-US" w:eastAsia="zh-CN" w:bidi="ar-SA"/>
    </w:rPr>
  </w:style>
  <w:style w:type="paragraph" w:customStyle="1" w:styleId="219">
    <w:name w:val="表"/>
    <w:basedOn w:val="104"/>
    <w:next w:val="1"/>
    <w:qFormat/>
    <w:uiPriority w:val="0"/>
    <w:pPr>
      <w:adjustRightInd/>
      <w:ind w:left="0" w:leftChars="0" w:firstLine="0" w:firstLineChars="0"/>
      <w:jc w:val="center"/>
    </w:pPr>
    <w:rPr>
      <w:rFonts w:ascii="仿宋_GB2312" w:hAnsi="仿宋_GB2312"/>
      <w:b/>
      <w:bCs/>
      <w:szCs w:val="20"/>
    </w:rPr>
  </w:style>
  <w:style w:type="paragraph" w:customStyle="1" w:styleId="220">
    <w:name w:val="xl89"/>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21">
    <w:name w:val="ZT-标题1"/>
    <w:basedOn w:val="1"/>
    <w:next w:val="222"/>
    <w:qFormat/>
    <w:uiPriority w:val="0"/>
    <w:pPr>
      <w:numPr>
        <w:ilvl w:val="1"/>
        <w:numId w:val="2"/>
      </w:numPr>
      <w:tabs>
        <w:tab w:val="left" w:pos="1134"/>
      </w:tabs>
      <w:spacing w:before="312" w:beforeLines="100" w:after="156" w:afterLines="50"/>
      <w:jc w:val="center"/>
      <w:outlineLvl w:val="0"/>
    </w:pPr>
    <w:rPr>
      <w:rFonts w:ascii="Cambria Math" w:hAnsi="Cambria Math" w:eastAsia="Symbol" w:cs="Cambria Math"/>
      <w:b/>
      <w:sz w:val="32"/>
      <w:szCs w:val="32"/>
    </w:rPr>
  </w:style>
  <w:style w:type="paragraph" w:customStyle="1" w:styleId="222">
    <w:name w:val="ZT-标题2"/>
    <w:basedOn w:val="1"/>
    <w:next w:val="117"/>
    <w:qFormat/>
    <w:uiPriority w:val="0"/>
    <w:pPr>
      <w:numPr>
        <w:ilvl w:val="2"/>
        <w:numId w:val="2"/>
      </w:numPr>
      <w:spacing w:before="312" w:beforeLines="100"/>
      <w:ind w:left="0"/>
      <w:jc w:val="left"/>
      <w:outlineLvl w:val="1"/>
    </w:pPr>
    <w:rPr>
      <w:rFonts w:ascii="Symbol" w:hAnsi="Symbol" w:eastAsia="Symbol" w:cs="等线"/>
      <w:b/>
      <w:szCs w:val="22"/>
    </w:rPr>
  </w:style>
  <w:style w:type="paragraph" w:customStyle="1" w:styleId="223">
    <w:name w:val="aa段落"/>
    <w:basedOn w:val="1"/>
    <w:qFormat/>
    <w:uiPriority w:val="0"/>
    <w:pPr>
      <w:ind w:firstLine="200" w:firstLineChars="200"/>
    </w:pPr>
    <w:rPr>
      <w:rFonts w:cs="等线"/>
      <w:kern w:val="0"/>
      <w:sz w:val="24"/>
      <w:szCs w:val="24"/>
    </w:rPr>
  </w:style>
  <w:style w:type="paragraph" w:customStyle="1" w:styleId="224">
    <w:name w:val="xl112"/>
    <w:basedOn w:val="1"/>
    <w:qFormat/>
    <w:uiPriority w:val="0"/>
    <w:pPr>
      <w:widowControl/>
      <w:pBdr>
        <w:top w:val="single" w:color="auto" w:sz="8" w:space="0"/>
        <w:left w:val="single" w:color="auto" w:sz="8" w:space="0"/>
      </w:pBdr>
      <w:shd w:val="clear" w:color="000000" w:fill="FFFFFF"/>
      <w:spacing w:before="100" w:beforeAutospacing="1" w:after="100" w:afterAutospacing="1"/>
      <w:jc w:val="center"/>
    </w:pPr>
    <w:rPr>
      <w:rFonts w:cs="等线"/>
      <w:b/>
      <w:bCs/>
      <w:color w:val="000000"/>
      <w:kern w:val="0"/>
      <w:sz w:val="20"/>
      <w:szCs w:val="20"/>
    </w:rPr>
  </w:style>
  <w:style w:type="paragraph" w:customStyle="1" w:styleId="225">
    <w:name w:val="样式4"/>
    <w:basedOn w:val="8"/>
    <w:qFormat/>
    <w:uiPriority w:val="0"/>
    <w:pPr>
      <w:tabs>
        <w:tab w:val="clear" w:pos="1296"/>
      </w:tabs>
      <w:ind w:left="0" w:firstLine="0"/>
    </w:pPr>
    <w:rPr>
      <w:rFonts w:eastAsia="Calibri Light"/>
      <w:b w:val="0"/>
      <w:bCs w:val="0"/>
    </w:rPr>
  </w:style>
  <w:style w:type="paragraph" w:customStyle="1" w:styleId="226">
    <w:name w:val="普通(网站)1"/>
    <w:basedOn w:val="1"/>
    <w:qFormat/>
    <w:uiPriority w:val="0"/>
    <w:pPr>
      <w:spacing w:line="360" w:lineRule="exact"/>
    </w:pPr>
    <w:rPr>
      <w:rFonts w:cs="等线"/>
      <w:sz w:val="24"/>
      <w:szCs w:val="24"/>
    </w:rPr>
  </w:style>
  <w:style w:type="paragraph" w:customStyle="1" w:styleId="227">
    <w:name w:val="一般强调"/>
    <w:basedOn w:val="1"/>
    <w:qFormat/>
    <w:uiPriority w:val="0"/>
    <w:pPr>
      <w:adjustRightInd w:val="0"/>
      <w:snapToGrid w:val="0"/>
    </w:pPr>
    <w:rPr>
      <w:rFonts w:eastAsia="Wingdings" w:cs="等线"/>
      <w:sz w:val="24"/>
      <w:szCs w:val="20"/>
    </w:rPr>
  </w:style>
  <w:style w:type="paragraph" w:customStyle="1" w:styleId="228">
    <w:name w:val="xl71"/>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cs="等线"/>
      <w:color w:val="000000"/>
      <w:kern w:val="0"/>
      <w:sz w:val="20"/>
      <w:szCs w:val="20"/>
    </w:rPr>
  </w:style>
  <w:style w:type="paragraph" w:customStyle="1" w:styleId="229">
    <w:name w:val="xl74"/>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cs="等线"/>
      <w:color w:val="000000"/>
      <w:kern w:val="0"/>
      <w:sz w:val="20"/>
      <w:szCs w:val="20"/>
    </w:rPr>
  </w:style>
  <w:style w:type="paragraph" w:customStyle="1" w:styleId="230">
    <w:name w:val="xl88"/>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left"/>
    </w:pPr>
    <w:rPr>
      <w:rFonts w:ascii="仿宋_GB2312" w:hAnsi="仿宋_GB2312" w:cs="仿宋_GB2312"/>
      <w:color w:val="000000"/>
      <w:kern w:val="0"/>
      <w:sz w:val="20"/>
      <w:szCs w:val="20"/>
    </w:rPr>
  </w:style>
  <w:style w:type="paragraph" w:customStyle="1" w:styleId="231">
    <w:name w:val="ZT-标题4"/>
    <w:basedOn w:val="1"/>
    <w:qFormat/>
    <w:uiPriority w:val="0"/>
    <w:pPr>
      <w:widowControl/>
      <w:tabs>
        <w:tab w:val="left" w:pos="1192"/>
      </w:tabs>
      <w:spacing w:before="156" w:beforeLines="50"/>
      <w:ind w:left="1192" w:hanging="992"/>
      <w:jc w:val="left"/>
      <w:outlineLvl w:val="3"/>
    </w:pPr>
    <w:rPr>
      <w:rFonts w:ascii="仿宋_GB2312" w:hAnsi="仿宋_GB2312" w:cs="等线"/>
      <w:b/>
      <w:kern w:val="0"/>
      <w:lang w:bidi="en-US"/>
    </w:rPr>
  </w:style>
  <w:style w:type="paragraph" w:customStyle="1" w:styleId="232">
    <w:name w:val="2"/>
    <w:basedOn w:val="1"/>
    <w:next w:val="33"/>
    <w:qFormat/>
    <w:uiPriority w:val="0"/>
    <w:pPr>
      <w:widowControl/>
      <w:spacing w:after="120" w:line="276" w:lineRule="auto"/>
      <w:ind w:left="200" w:leftChars="200"/>
      <w:jc w:val="left"/>
    </w:pPr>
    <w:rPr>
      <w:rFonts w:ascii="Arial" w:hAnsi="Arial" w:cs="等线"/>
      <w:kern w:val="0"/>
      <w:sz w:val="16"/>
      <w:szCs w:val="16"/>
      <w:lang w:eastAsia="en-US" w:bidi="en-US"/>
    </w:rPr>
  </w:style>
  <w:style w:type="paragraph" w:customStyle="1" w:styleId="233">
    <w:name w:val="aa图"/>
    <w:basedOn w:val="1"/>
    <w:next w:val="1"/>
    <w:qFormat/>
    <w:uiPriority w:val="0"/>
    <w:pPr>
      <w:spacing w:line="300" w:lineRule="auto"/>
      <w:jc w:val="center"/>
    </w:pPr>
    <w:rPr>
      <w:rFonts w:cs="等线"/>
      <w:szCs w:val="22"/>
    </w:rPr>
  </w:style>
  <w:style w:type="paragraph" w:customStyle="1" w:styleId="234">
    <w:name w:val="1"/>
    <w:basedOn w:val="1"/>
    <w:next w:val="1"/>
    <w:qFormat/>
    <w:uiPriority w:val="39"/>
    <w:pPr>
      <w:ind w:left="210"/>
      <w:jc w:val="left"/>
    </w:pPr>
    <w:rPr>
      <w:rFonts w:ascii="Arial" w:hAnsi="Arial"/>
      <w:smallCaps/>
      <w:sz w:val="20"/>
      <w:szCs w:val="20"/>
    </w:rPr>
  </w:style>
  <w:style w:type="character" w:customStyle="1" w:styleId="235">
    <w:name w:val="标题 1 字符"/>
    <w:qFormat/>
    <w:uiPriority w:val="0"/>
    <w:rPr>
      <w:rFonts w:ascii="等线" w:hAnsi="等线" w:eastAsia="Symbol" w:cs="等线"/>
      <w:bCs/>
      <w:kern w:val="44"/>
      <w:sz w:val="32"/>
      <w:szCs w:val="44"/>
      <w:lang w:val="en-US"/>
    </w:rPr>
  </w:style>
  <w:style w:type="paragraph" w:customStyle="1" w:styleId="236">
    <w:name w:val="无间隔1"/>
    <w:qFormat/>
    <w:uiPriority w:val="0"/>
    <w:pPr>
      <w:widowControl w:val="0"/>
      <w:spacing w:after="160" w:line="256" w:lineRule="auto"/>
      <w:ind w:left="100" w:leftChars="100" w:right="210" w:rightChars="100"/>
      <w:jc w:val="both"/>
    </w:pPr>
    <w:rPr>
      <w:rFonts w:ascii="Arial" w:hAnsi="Arial" w:eastAsia="仿宋_GB2312" w:cs="Cambria Math"/>
      <w:kern w:val="2"/>
      <w:sz w:val="21"/>
      <w:szCs w:val="22"/>
      <w:lang w:val="en-US" w:eastAsia="zh-CN" w:bidi="ar-SA"/>
    </w:rPr>
  </w:style>
  <w:style w:type="paragraph" w:customStyle="1" w:styleId="237">
    <w:name w:val="泃河"/>
    <w:basedOn w:val="1"/>
    <w:qFormat/>
    <w:uiPriority w:val="0"/>
    <w:pPr>
      <w:spacing w:after="160"/>
      <w:ind w:firstLine="200" w:firstLineChars="200"/>
    </w:pPr>
    <w:rPr>
      <w:rFonts w:ascii="仿宋_GB2312" w:hAnsi="仿宋_GB2312" w:cs="等线"/>
      <w:sz w:val="24"/>
      <w:szCs w:val="28"/>
    </w:rPr>
  </w:style>
  <w:style w:type="character" w:customStyle="1" w:styleId="238">
    <w:name w:val="未处理的提及1"/>
    <w:unhideWhenUsed/>
    <w:qFormat/>
    <w:uiPriority w:val="99"/>
    <w:rPr>
      <w:color w:val="605E5C"/>
      <w:shd w:val="clear" w:color="auto" w:fill="E1DFDD"/>
    </w:rPr>
  </w:style>
  <w:style w:type="table" w:customStyle="1" w:styleId="239">
    <w:name w:val="TableGrid"/>
    <w:qFormat/>
    <w:uiPriority w:val="0"/>
    <w:rPr>
      <w:rFonts w:eastAsia="等线" w:cs="Times New Roman"/>
      <w:kern w:val="2"/>
      <w:sz w:val="21"/>
      <w:szCs w:val="22"/>
    </w:rPr>
    <w:tblPr>
      <w:tblCellMar>
        <w:top w:w="0" w:type="dxa"/>
        <w:left w:w="0" w:type="dxa"/>
        <w:bottom w:w="0" w:type="dxa"/>
        <w:right w:w="0" w:type="dxa"/>
      </w:tblCellMar>
    </w:tblPr>
  </w:style>
  <w:style w:type="character" w:customStyle="1" w:styleId="240">
    <w:name w:val="标题 1 Char"/>
    <w:qFormat/>
    <w:uiPriority w:val="0"/>
    <w:rPr>
      <w:rFonts w:ascii="Symbol" w:eastAsia="Symbol"/>
      <w:kern w:val="2"/>
      <w:sz w:val="32"/>
      <w:szCs w:val="32"/>
      <w:lang w:val="zh-CN" w:eastAsia="zh-CN"/>
    </w:rPr>
  </w:style>
  <w:style w:type="character" w:customStyle="1" w:styleId="241">
    <w:name w:val="标题 2 Char"/>
    <w:qFormat/>
    <w:uiPriority w:val="0"/>
    <w:rPr>
      <w:b/>
      <w:kern w:val="2"/>
      <w:sz w:val="30"/>
      <w:szCs w:val="30"/>
      <w:lang w:val="zh-CN" w:eastAsia="zh-CN"/>
    </w:rPr>
  </w:style>
  <w:style w:type="character" w:customStyle="1" w:styleId="242">
    <w:name w:val="标题 3 Char"/>
    <w:qFormat/>
    <w:uiPriority w:val="0"/>
    <w:rPr>
      <w:b/>
      <w:kern w:val="2"/>
      <w:sz w:val="28"/>
      <w:szCs w:val="21"/>
      <w:lang w:val="zh-CN" w:eastAsia="zh-CN"/>
    </w:rPr>
  </w:style>
  <w:style w:type="character" w:customStyle="1" w:styleId="243">
    <w:name w:val="标题 4 Char"/>
    <w:qFormat/>
    <w:uiPriority w:val="0"/>
    <w:rPr>
      <w:rFonts w:eastAsia="Wingdings"/>
      <w:b/>
      <w:kern w:val="2"/>
      <w:sz w:val="28"/>
      <w:szCs w:val="21"/>
      <w:lang w:val="zh-CN" w:eastAsia="zh-CN"/>
    </w:rPr>
  </w:style>
  <w:style w:type="character" w:customStyle="1" w:styleId="244">
    <w:name w:val="标题 5 Char"/>
    <w:qFormat/>
    <w:uiPriority w:val="0"/>
    <w:rPr>
      <w:b/>
      <w:bCs/>
      <w:sz w:val="28"/>
      <w:szCs w:val="28"/>
      <w:lang w:val="zh-CN" w:eastAsia="zh-CN"/>
    </w:rPr>
  </w:style>
  <w:style w:type="character" w:customStyle="1" w:styleId="245">
    <w:name w:val="标题 6 Char"/>
    <w:qFormat/>
    <w:uiPriority w:val="0"/>
    <w:rPr>
      <w:rFonts w:ascii="Cambria Math" w:hAnsi="Cambria Math" w:eastAsia="Symbol"/>
      <w:b/>
      <w:bCs/>
      <w:sz w:val="24"/>
      <w:szCs w:val="24"/>
      <w:lang w:val="zh-CN" w:eastAsia="zh-CN"/>
    </w:rPr>
  </w:style>
  <w:style w:type="character" w:customStyle="1" w:styleId="246">
    <w:name w:val="标题 7 Char"/>
    <w:qFormat/>
    <w:uiPriority w:val="0"/>
    <w:rPr>
      <w:b/>
      <w:bCs/>
      <w:sz w:val="24"/>
      <w:szCs w:val="24"/>
      <w:lang w:val="zh-CN" w:eastAsia="zh-CN"/>
    </w:rPr>
  </w:style>
  <w:style w:type="character" w:customStyle="1" w:styleId="247">
    <w:name w:val="标题 8 Char"/>
    <w:qFormat/>
    <w:uiPriority w:val="0"/>
    <w:rPr>
      <w:rFonts w:ascii="Cambria Math" w:hAnsi="Cambria Math" w:eastAsia="Symbol"/>
      <w:sz w:val="24"/>
      <w:szCs w:val="24"/>
      <w:lang w:val="zh-CN" w:eastAsia="zh-CN"/>
    </w:rPr>
  </w:style>
  <w:style w:type="character" w:customStyle="1" w:styleId="248">
    <w:name w:val="标题 9 Char"/>
    <w:qFormat/>
    <w:uiPriority w:val="0"/>
    <w:rPr>
      <w:rFonts w:ascii="Cambria Math" w:hAnsi="Cambria Math" w:eastAsia="Symbol"/>
      <w:sz w:val="24"/>
      <w:szCs w:val="21"/>
      <w:lang w:val="zh-CN" w:eastAsia="zh-CN"/>
    </w:rPr>
  </w:style>
  <w:style w:type="character" w:customStyle="1" w:styleId="249">
    <w:name w:val="正文文本 Char"/>
    <w:qFormat/>
    <w:uiPriority w:val="0"/>
    <w:rPr>
      <w:sz w:val="24"/>
    </w:rPr>
  </w:style>
  <w:style w:type="character" w:customStyle="1" w:styleId="250">
    <w:name w:val="标题 Char"/>
    <w:qFormat/>
    <w:uiPriority w:val="0"/>
    <w:rPr>
      <w:rFonts w:ascii="Cambria Math" w:hAnsi="Cambria Math" w:eastAsia="黑体"/>
      <w:b/>
      <w:bCs/>
      <w:w w:val="90"/>
      <w:sz w:val="84"/>
      <w:szCs w:val="32"/>
    </w:rPr>
  </w:style>
  <w:style w:type="character" w:customStyle="1" w:styleId="251">
    <w:name w:val="批注文字 Char"/>
    <w:qFormat/>
    <w:uiPriority w:val="99"/>
    <w:rPr>
      <w:rFonts w:cs="Symbol"/>
      <w:kern w:val="2"/>
      <w:sz w:val="21"/>
      <w:szCs w:val="21"/>
      <w:lang w:val="en-US"/>
    </w:rPr>
  </w:style>
  <w:style w:type="character" w:customStyle="1" w:styleId="252">
    <w:name w:val="批注框文本 Char"/>
    <w:qFormat/>
    <w:uiPriority w:val="0"/>
    <w:rPr>
      <w:sz w:val="18"/>
      <w:szCs w:val="18"/>
    </w:rPr>
  </w:style>
  <w:style w:type="character" w:customStyle="1" w:styleId="253">
    <w:name w:val="页脚 Char"/>
    <w:qFormat/>
    <w:uiPriority w:val="99"/>
    <w:rPr>
      <w:sz w:val="18"/>
      <w:szCs w:val="18"/>
    </w:rPr>
  </w:style>
  <w:style w:type="character" w:customStyle="1" w:styleId="254">
    <w:name w:val="页眉 Char"/>
    <w:qFormat/>
    <w:uiPriority w:val="0"/>
    <w:rPr>
      <w:sz w:val="18"/>
      <w:szCs w:val="18"/>
    </w:rPr>
  </w:style>
  <w:style w:type="paragraph" w:customStyle="1" w:styleId="255">
    <w:name w:val="10"/>
    <w:basedOn w:val="1"/>
    <w:next w:val="148"/>
    <w:qFormat/>
    <w:uiPriority w:val="0"/>
    <w:pPr>
      <w:ind w:firstLine="420" w:firstLineChars="200"/>
    </w:pPr>
  </w:style>
  <w:style w:type="paragraph" w:styleId="256">
    <w:name w:val="No Spacing"/>
    <w:qFormat/>
    <w:uiPriority w:val="1"/>
    <w:pPr>
      <w:widowControl w:val="0"/>
      <w:jc w:val="both"/>
    </w:pPr>
    <w:rPr>
      <w:rFonts w:ascii="等线" w:hAnsi="等线" w:eastAsia="等线" w:cs="Times New Roman"/>
      <w:kern w:val="2"/>
      <w:sz w:val="21"/>
      <w:szCs w:val="22"/>
      <w:lang w:val="en-US" w:eastAsia="zh-CN" w:bidi="ar-SA"/>
    </w:rPr>
  </w:style>
  <w:style w:type="table" w:customStyle="1" w:styleId="257">
    <w:name w:val="无格式表格 21"/>
    <w:basedOn w:val="41"/>
    <w:qFormat/>
    <w:uiPriority w:val="42"/>
    <w:rPr>
      <w:rFonts w:ascii="Calibri" w:hAnsi="Calibri" w:eastAsia="等线" w:cs="Times New Roman"/>
      <w:kern w:val="2"/>
      <w:sz w:val="21"/>
      <w:szCs w:val="22"/>
    </w:rPr>
    <w:tblPr>
      <w:tblBorders>
        <w:top w:val="single" w:color="7E7E7E" w:sz="4" w:space="0"/>
        <w:bottom w:val="single" w:color="7E7E7E" w:sz="4" w:space="0"/>
      </w:tblBorders>
    </w:tblPr>
    <w:tblStylePr w:type="firstRow">
      <w:rPr>
        <w:b/>
        <w:bCs/>
      </w:rPr>
      <w:tcPr>
        <w:tcBorders>
          <w:top w:val="nil"/>
          <w:left w:val="single" w:color="7E7E7E" w:sz="4" w:space="0"/>
          <w:bottom w:val="nil"/>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E7E7E" w:sz="4" w:space="0"/>
          <w:right w:val="single" w:color="7E7E7E" w:sz="4" w:space="0"/>
          <w:insideH w:val="nil"/>
          <w:insideV w:val="nil"/>
          <w:tl2br w:val="nil"/>
          <w:tr2bl w:val="nil"/>
        </w:tcBorders>
      </w:tcPr>
    </w:tblStylePr>
    <w:tblStylePr w:type="band2Vert">
      <w:tcPr>
        <w:tcBorders>
          <w:top w:val="nil"/>
          <w:left w:val="nil"/>
          <w:bottom w:val="single" w:color="7E7E7E" w:sz="4" w:space="0"/>
          <w:right w:val="single" w:color="7E7E7E" w:sz="4" w:space="0"/>
          <w:insideH w:val="nil"/>
          <w:insideV w:val="nil"/>
          <w:tl2br w:val="nil"/>
          <w:tr2bl w:val="nil"/>
        </w:tcBorders>
      </w:tcPr>
    </w:tblStylePr>
    <w:tblStylePr w:type="band1Horz">
      <w:tcPr>
        <w:tcBorders>
          <w:top w:val="single" w:color="7E7E7E" w:sz="4" w:space="0"/>
          <w:left w:val="single" w:color="7E7E7E" w:sz="4" w:space="0"/>
          <w:bottom w:val="nil"/>
          <w:right w:val="nil"/>
          <w:insideH w:val="nil"/>
          <w:insideV w:val="nil"/>
          <w:tl2br w:val="nil"/>
          <w:tr2bl w:val="nil"/>
        </w:tcBorders>
      </w:tcPr>
    </w:tblStylePr>
  </w:style>
  <w:style w:type="paragraph" w:customStyle="1" w:styleId="258">
    <w:name w:val="8"/>
    <w:basedOn w:val="1"/>
    <w:next w:val="148"/>
    <w:qFormat/>
    <w:uiPriority w:val="34"/>
    <w:pPr>
      <w:ind w:firstLine="420" w:firstLineChars="200"/>
    </w:pPr>
  </w:style>
  <w:style w:type="paragraph" w:customStyle="1" w:styleId="259">
    <w:name w:val="图表题名"/>
    <w:basedOn w:val="1"/>
    <w:link w:val="260"/>
    <w:qFormat/>
    <w:uiPriority w:val="0"/>
    <w:pPr>
      <w:jc w:val="center"/>
    </w:pPr>
    <w:rPr>
      <w:rFonts w:eastAsia="黑体" w:cs="Times New Roman"/>
      <w:szCs w:val="22"/>
    </w:rPr>
  </w:style>
  <w:style w:type="character" w:customStyle="1" w:styleId="260">
    <w:name w:val="图表题名 字符"/>
    <w:link w:val="259"/>
    <w:qFormat/>
    <w:uiPriority w:val="0"/>
    <w:rPr>
      <w:rFonts w:ascii="Times New Roman" w:hAnsi="Times New Roman" w:eastAsia="黑体" w:cs="Times New Roman"/>
      <w:kern w:val="2"/>
      <w:sz w:val="21"/>
      <w:szCs w:val="22"/>
      <w:lang w:val="en-US"/>
    </w:rPr>
  </w:style>
  <w:style w:type="table" w:customStyle="1" w:styleId="261">
    <w:name w:val="网格表 1 浅色1"/>
    <w:basedOn w:val="41"/>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top w:val="nil"/>
          <w:left w:val="single" w:color="666666" w:sz="12" w:space="0"/>
          <w:bottom w:val="nil"/>
          <w:right w:val="nil"/>
          <w:insideH w:val="nil"/>
          <w:insideV w:val="nil"/>
          <w:tl2br w:val="nil"/>
          <w:tr2bl w:val="nil"/>
        </w:tcBorders>
      </w:tcPr>
    </w:tblStylePr>
    <w:tblStylePr w:type="lastRow">
      <w:rPr>
        <w:b/>
        <w:bCs/>
      </w:r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262">
    <w:name w:val="7"/>
    <w:basedOn w:val="1"/>
    <w:next w:val="148"/>
    <w:qFormat/>
    <w:uiPriority w:val="0"/>
    <w:pPr>
      <w:ind w:firstLine="420" w:firstLineChars="200"/>
    </w:pPr>
    <w:rPr>
      <w:rFonts w:cs="黑体"/>
    </w:rPr>
  </w:style>
  <w:style w:type="paragraph" w:customStyle="1" w:styleId="263">
    <w:name w:val="+正文"/>
    <w:basedOn w:val="1"/>
    <w:link w:val="264"/>
    <w:qFormat/>
    <w:uiPriority w:val="0"/>
    <w:pPr>
      <w:ind w:firstLine="200" w:firstLineChars="200"/>
    </w:pPr>
    <w:rPr>
      <w:rFonts w:cs="Times New Roman"/>
      <w:szCs w:val="28"/>
    </w:rPr>
  </w:style>
  <w:style w:type="character" w:customStyle="1" w:styleId="264">
    <w:name w:val="+正文 Char"/>
    <w:link w:val="263"/>
    <w:qFormat/>
    <w:uiPriority w:val="0"/>
    <w:rPr>
      <w:rFonts w:ascii="Times New Roman" w:hAnsi="Times New Roman" w:eastAsia="宋体" w:cs="Times New Roman"/>
      <w:kern w:val="2"/>
      <w:sz w:val="28"/>
      <w:szCs w:val="28"/>
      <w:lang w:val="en-US"/>
    </w:rPr>
  </w:style>
  <w:style w:type="character" w:styleId="265">
    <w:name w:val="Placeholder Text"/>
    <w:semiHidden/>
    <w:qFormat/>
    <w:uiPriority w:val="99"/>
    <w:rPr>
      <w:color w:val="808080"/>
    </w:rPr>
  </w:style>
  <w:style w:type="character" w:customStyle="1" w:styleId="266">
    <w:name w:val="未处理的提及2"/>
    <w:unhideWhenUsed/>
    <w:qFormat/>
    <w:uiPriority w:val="99"/>
    <w:rPr>
      <w:color w:val="605E5C"/>
      <w:shd w:val="clear" w:color="auto" w:fill="E1DFDD"/>
    </w:rPr>
  </w:style>
  <w:style w:type="table" w:customStyle="1" w:styleId="267">
    <w:name w:val="无格式表格 22"/>
    <w:basedOn w:val="41"/>
    <w:qFormat/>
    <w:uiPriority w:val="42"/>
    <w:tblPr>
      <w:tblBorders>
        <w:top w:val="single" w:color="7E7E7E" w:sz="4" w:space="0"/>
        <w:bottom w:val="single" w:color="7E7E7E" w:sz="4" w:space="0"/>
      </w:tblBorders>
    </w:tblPr>
    <w:tblStylePr w:type="firstRow">
      <w:rPr>
        <w:b/>
        <w:bCs/>
      </w:rPr>
      <w:tcPr>
        <w:tcBorders>
          <w:top w:val="nil"/>
          <w:left w:val="single" w:color="7E7E7E" w:sz="4" w:space="0"/>
          <w:bottom w:val="nil"/>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E7E7E" w:sz="4" w:space="0"/>
          <w:right w:val="single" w:color="7E7E7E" w:sz="4" w:space="0"/>
          <w:insideH w:val="nil"/>
          <w:insideV w:val="nil"/>
          <w:tl2br w:val="nil"/>
          <w:tr2bl w:val="nil"/>
        </w:tcBorders>
      </w:tcPr>
    </w:tblStylePr>
    <w:tblStylePr w:type="band2Vert">
      <w:tcPr>
        <w:tcBorders>
          <w:top w:val="nil"/>
          <w:left w:val="nil"/>
          <w:bottom w:val="single" w:color="7E7E7E" w:sz="4" w:space="0"/>
          <w:right w:val="single" w:color="7E7E7E" w:sz="4" w:space="0"/>
          <w:insideH w:val="nil"/>
          <w:insideV w:val="nil"/>
          <w:tl2br w:val="nil"/>
          <w:tr2bl w:val="nil"/>
        </w:tcBorders>
      </w:tcPr>
    </w:tblStylePr>
    <w:tblStylePr w:type="band1Horz">
      <w:tcPr>
        <w:tcBorders>
          <w:top w:val="single" w:color="7E7E7E" w:sz="4" w:space="0"/>
          <w:left w:val="single" w:color="7E7E7E" w:sz="4" w:space="0"/>
          <w:bottom w:val="nil"/>
          <w:right w:val="nil"/>
          <w:insideH w:val="nil"/>
          <w:insideV w:val="nil"/>
          <w:tl2br w:val="nil"/>
          <w:tr2bl w:val="nil"/>
        </w:tcBorders>
      </w:tcPr>
    </w:tblStylePr>
  </w:style>
  <w:style w:type="paragraph" w:customStyle="1" w:styleId="268">
    <w:name w:val="正文首行缩进1"/>
    <w:basedOn w:val="1"/>
    <w:next w:val="1"/>
    <w:link w:val="269"/>
    <w:qFormat/>
    <w:uiPriority w:val="0"/>
    <w:pPr>
      <w:spacing w:after="120" w:line="240" w:lineRule="auto"/>
      <w:ind w:left="420" w:leftChars="200" w:firstLine="100" w:firstLineChars="100"/>
    </w:pPr>
    <w:rPr>
      <w:rFonts w:cs="Times New Roman"/>
      <w:sz w:val="24"/>
      <w:szCs w:val="20"/>
      <w:lang w:val="zh-CN"/>
    </w:rPr>
  </w:style>
  <w:style w:type="character" w:customStyle="1" w:styleId="269">
    <w:name w:val="正文首行缩进 Char"/>
    <w:link w:val="268"/>
    <w:qFormat/>
    <w:uiPriority w:val="0"/>
    <w:rPr>
      <w:rFonts w:ascii="Times New Roman" w:hAnsi="Times New Roman" w:eastAsia="宋体" w:cs="Times New Roman"/>
      <w:kern w:val="2"/>
      <w:sz w:val="24"/>
      <w:lang w:val="zh-CN" w:eastAsia="zh-CN"/>
    </w:rPr>
  </w:style>
  <w:style w:type="paragraph" w:customStyle="1" w:styleId="270">
    <w:name w:val="列出段落2"/>
    <w:basedOn w:val="1"/>
    <w:qFormat/>
    <w:uiPriority w:val="34"/>
    <w:pPr>
      <w:spacing w:line="240" w:lineRule="auto"/>
      <w:ind w:firstLine="420" w:firstLineChars="200"/>
    </w:pPr>
    <w:rPr>
      <w:rFonts w:ascii="Calibri" w:hAnsi="Calibri" w:cs="Times New Roman"/>
      <w:sz w:val="21"/>
      <w:szCs w:val="22"/>
    </w:rPr>
  </w:style>
  <w:style w:type="character" w:customStyle="1" w:styleId="271">
    <w:name w:val="图 字符"/>
    <w:qFormat/>
    <w:uiPriority w:val="0"/>
    <w:rPr>
      <w:rFonts w:ascii="Times New Roman" w:hAnsi="Times New Roman" w:eastAsia="黑体" w:cs="Times New Roman"/>
      <w:kern w:val="2"/>
      <w:sz w:val="28"/>
      <w:szCs w:val="22"/>
    </w:rPr>
  </w:style>
  <w:style w:type="paragraph" w:customStyle="1" w:styleId="27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273">
    <w:name w:val="无格式表格 23"/>
    <w:basedOn w:val="41"/>
    <w:qFormat/>
    <w:uiPriority w:val="42"/>
    <w:rPr>
      <w:rFonts w:ascii="Calibri" w:hAnsi="Calibri" w:eastAsia="等线" w:cs="Times New Roman"/>
      <w:kern w:val="2"/>
      <w:sz w:val="21"/>
      <w:szCs w:val="22"/>
    </w:rPr>
    <w:tblPr>
      <w:tblBorders>
        <w:top w:val="single" w:color="7E7E7E" w:sz="4" w:space="0"/>
        <w:bottom w:val="single" w:color="7E7E7E" w:sz="4" w:space="0"/>
      </w:tblBorders>
    </w:tblPr>
    <w:tblStylePr w:type="firstRow">
      <w:rPr>
        <w:b/>
        <w:bCs/>
      </w:rPr>
      <w:tcPr>
        <w:tcBorders>
          <w:top w:val="nil"/>
          <w:left w:val="single" w:color="7E7E7E" w:sz="4" w:space="0"/>
          <w:bottom w:val="nil"/>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E7E7E" w:sz="4" w:space="0"/>
          <w:right w:val="single" w:color="7E7E7E" w:sz="4" w:space="0"/>
          <w:insideH w:val="nil"/>
          <w:insideV w:val="nil"/>
          <w:tl2br w:val="nil"/>
          <w:tr2bl w:val="nil"/>
        </w:tcBorders>
      </w:tcPr>
    </w:tblStylePr>
    <w:tblStylePr w:type="band2Vert">
      <w:tcPr>
        <w:tcBorders>
          <w:top w:val="nil"/>
          <w:left w:val="nil"/>
          <w:bottom w:val="single" w:color="7E7E7E" w:sz="4" w:space="0"/>
          <w:right w:val="single" w:color="7E7E7E" w:sz="4" w:space="0"/>
          <w:insideH w:val="nil"/>
          <w:insideV w:val="nil"/>
          <w:tl2br w:val="nil"/>
          <w:tr2bl w:val="nil"/>
        </w:tcBorders>
      </w:tcPr>
    </w:tblStylePr>
    <w:tblStylePr w:type="band1Horz">
      <w:tcPr>
        <w:tcBorders>
          <w:top w:val="single" w:color="7E7E7E" w:sz="4" w:space="0"/>
          <w:left w:val="single" w:color="7E7E7E" w:sz="4" w:space="0"/>
          <w:bottom w:val="nil"/>
          <w:right w:val="nil"/>
          <w:insideH w:val="nil"/>
          <w:insideV w:val="nil"/>
          <w:tl2br w:val="nil"/>
          <w:tr2bl w:val="nil"/>
        </w:tcBorders>
      </w:tcPr>
    </w:tblStylePr>
  </w:style>
  <w:style w:type="paragraph" w:customStyle="1" w:styleId="274">
    <w:name w:val="正文使用"/>
    <w:basedOn w:val="1"/>
    <w:qFormat/>
    <w:uiPriority w:val="0"/>
    <w:pPr>
      <w:adjustRightInd w:val="0"/>
      <w:snapToGrid w:val="0"/>
      <w:ind w:firstLine="192" w:firstLineChars="192"/>
    </w:pPr>
    <w:rPr>
      <w:rFonts w:eastAsia="仿宋_GB2312" w:cs="Times New Roman"/>
      <w:sz w:val="24"/>
      <w:szCs w:val="24"/>
    </w:rPr>
  </w:style>
  <w:style w:type="paragraph" w:customStyle="1" w:styleId="275">
    <w:name w:val="二级"/>
    <w:basedOn w:val="4"/>
    <w:qFormat/>
    <w:uiPriority w:val="0"/>
    <w:pPr>
      <w:keepNext/>
      <w:keepLines/>
      <w:numPr>
        <w:ilvl w:val="0"/>
        <w:numId w:val="0"/>
      </w:numPr>
      <w:autoSpaceDN/>
      <w:spacing w:before="260" w:beforeLines="100" w:after="260" w:afterLines="50"/>
      <w:outlineLvl w:val="1"/>
    </w:pPr>
    <w:rPr>
      <w:rFonts w:eastAsia="仿宋_GB2312"/>
      <w:kern w:val="0"/>
      <w:lang w:val="en-US"/>
    </w:rPr>
  </w:style>
  <w:style w:type="paragraph" w:customStyle="1" w:styleId="276">
    <w:name w:val="三级"/>
    <w:basedOn w:val="5"/>
    <w:qFormat/>
    <w:uiPriority w:val="0"/>
    <w:pPr>
      <w:keepNext/>
      <w:keepLines/>
      <w:numPr>
        <w:ilvl w:val="0"/>
        <w:numId w:val="0"/>
      </w:numPr>
      <w:spacing w:before="280" w:beforeLines="100" w:after="290" w:afterLines="50"/>
      <w:outlineLvl w:val="2"/>
    </w:pPr>
    <w:rPr>
      <w:rFonts w:eastAsia="仿宋_GB2312"/>
      <w:bCs/>
      <w:kern w:val="0"/>
      <w:sz w:val="24"/>
      <w:lang w:val="en-US"/>
    </w:rPr>
  </w:style>
  <w:style w:type="paragraph" w:customStyle="1" w:styleId="277">
    <w:name w:val="正文N"/>
    <w:basedOn w:val="1"/>
    <w:link w:val="278"/>
    <w:qFormat/>
    <w:uiPriority w:val="0"/>
    <w:pPr>
      <w:spacing w:line="560" w:lineRule="exact"/>
      <w:ind w:firstLine="560" w:firstLineChars="200"/>
    </w:pPr>
    <w:rPr>
      <w:rFonts w:ascii="仿宋_GB2312" w:eastAsia="仿宋_GB2312" w:cs="Times New Roman"/>
      <w:szCs w:val="28"/>
    </w:rPr>
  </w:style>
  <w:style w:type="character" w:customStyle="1" w:styleId="278">
    <w:name w:val="正文N 字符"/>
    <w:link w:val="277"/>
    <w:qFormat/>
    <w:uiPriority w:val="0"/>
    <w:rPr>
      <w:rFonts w:ascii="仿宋_GB2312" w:hAnsi="Times New Roman" w:cs="Times New Roman"/>
      <w:kern w:val="2"/>
      <w:sz w:val="28"/>
      <w:szCs w:val="28"/>
      <w:lang w:val="en-US"/>
    </w:rPr>
  </w:style>
  <w:style w:type="paragraph" w:customStyle="1" w:styleId="279">
    <w:name w:val="表格1"/>
    <w:basedOn w:val="1"/>
    <w:qFormat/>
    <w:uiPriority w:val="0"/>
    <w:pPr>
      <w:snapToGrid w:val="0"/>
      <w:spacing w:line="288" w:lineRule="auto"/>
      <w:jc w:val="center"/>
    </w:pPr>
    <w:rPr>
      <w:rFonts w:cs="Times New Roman"/>
      <w:sz w:val="21"/>
      <w:szCs w:val="24"/>
    </w:rPr>
  </w:style>
  <w:style w:type="paragraph" w:customStyle="1" w:styleId="280">
    <w:name w:val="样式 样式 样式 宋体 小四 首行缩进:  0.74 厘米 右侧:  0.18 厘米 行距: 固定值 23 磅 + (西文) T..."/>
    <w:basedOn w:val="1"/>
    <w:qFormat/>
    <w:uiPriority w:val="0"/>
    <w:pPr>
      <w:spacing w:line="460" w:lineRule="exact"/>
      <w:ind w:firstLine="200" w:firstLineChars="200"/>
    </w:pPr>
    <w:rPr>
      <w:rFonts w:ascii="仿宋_GB2312" w:eastAsia="仿宋_GB2312" w:cs="宋体"/>
      <w:sz w:val="24"/>
      <w:szCs w:val="20"/>
    </w:rPr>
  </w:style>
  <w:style w:type="paragraph" w:customStyle="1" w:styleId="281">
    <w:name w:val="p"/>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paragraph" w:customStyle="1" w:styleId="282">
    <w:name w:val="TOC 标题1"/>
    <w:basedOn w:val="2"/>
    <w:next w:val="1"/>
    <w:unhideWhenUsed/>
    <w:qFormat/>
    <w:uiPriority w:val="39"/>
    <w:pPr>
      <w:keepNext/>
      <w:keepLines/>
      <w:widowControl/>
      <w:numPr>
        <w:numId w:val="0"/>
      </w:numPr>
      <w:autoSpaceDN/>
      <w:adjustRightInd/>
      <w:snapToGrid/>
      <w:spacing w:before="240" w:line="259" w:lineRule="auto"/>
      <w:jc w:val="left"/>
      <w:outlineLvl w:val="9"/>
    </w:pPr>
    <w:rPr>
      <w:rFonts w:ascii="Calibri Light" w:hAnsi="Calibri Light" w:eastAsia="等线 Light"/>
      <w:b w:val="0"/>
      <w:bCs w:val="0"/>
      <w:color w:val="2F5496"/>
      <w:kern w:val="0"/>
      <w:lang w:val="en-US"/>
    </w:rPr>
  </w:style>
  <w:style w:type="character" w:customStyle="1" w:styleId="283">
    <w:name w:val="u-visually-hidden1"/>
    <w:qFormat/>
    <w:uiPriority w:val="0"/>
  </w:style>
  <w:style w:type="paragraph" w:customStyle="1" w:styleId="284">
    <w:name w:val="Revision"/>
    <w:hidden/>
    <w:unhideWhenUsed/>
    <w:qFormat/>
    <w:uiPriority w:val="99"/>
    <w:rPr>
      <w:rFonts w:ascii="Times New Roman" w:hAnsi="Times New Roman" w:eastAsia="宋体" w:cs="Symbol"/>
      <w:kern w:val="2"/>
      <w:sz w:val="28"/>
      <w:szCs w:val="21"/>
      <w:lang w:val="en-US" w:eastAsia="zh-CN" w:bidi="ar-SA"/>
    </w:rPr>
  </w:style>
  <w:style w:type="table" w:customStyle="1" w:styleId="285">
    <w:name w:val="网格型1"/>
    <w:basedOn w:val="41"/>
    <w:qFormat/>
    <w:uiPriority w:val="0"/>
    <w:rPr>
      <w:rFonts w:eastAsia="等线"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CAEP</Company>
  <Pages>27</Pages>
  <Words>9909</Words>
  <Characters>12484</Characters>
  <Lines>114</Lines>
  <Paragraphs>32</Paragraphs>
  <TotalTime>40</TotalTime>
  <ScaleCrop>false</ScaleCrop>
  <LinksUpToDate>false</LinksUpToDate>
  <CharactersWithSpaces>12652</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2022-10-10T02:37:00Z</dcterms:created>
  <dc:creator>MaLK</dc:creator>
  <cp:lastModifiedBy>kylin</cp:lastModifiedBy>
  <cp:lastPrinted>2022-10-11T10:17:00Z</cp:lastPrinted>
  <dcterms:modified xsi:type="dcterms:W3CDTF">2022-10-11T11:52:26Z</dcterms:modified>
  <dc:title>Kinson Xiao</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7170C74787C044ED9574E0979469AA8E</vt:lpwstr>
  </property>
</Properties>
</file>