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utoSpaceDE w:val="0"/>
        <w:autoSpaceDN w:val="0"/>
        <w:adjustRightInd w:val="0"/>
        <w:spacing w:line="600" w:lineRule="auto"/>
        <w:ind w:right="42" w:rightChars="20"/>
        <w:rPr>
          <w:b/>
          <w:color w:val="000000" w:themeColor="text1"/>
          <w:sz w:val="48"/>
          <w:szCs w:val="48"/>
        </w:rPr>
      </w:pPr>
      <w:r>
        <w:rPr>
          <w:rFonts w:hint="eastAsia"/>
          <w:b/>
          <w:color w:val="000000" w:themeColor="text1"/>
          <w:kern w:val="0"/>
          <w:sz w:val="24"/>
        </w:rPr>
        <w:t>风险评估报告</w:t>
      </w:r>
      <w:r>
        <w:rPr>
          <w:b/>
          <w:color w:val="000000" w:themeColor="text1"/>
          <w:kern w:val="0"/>
          <w:sz w:val="24"/>
        </w:rPr>
        <w:t>版本号（201</w:t>
      </w:r>
      <w:r>
        <w:rPr>
          <w:rFonts w:hint="eastAsia"/>
          <w:b/>
          <w:color w:val="000000" w:themeColor="text1"/>
          <w:kern w:val="0"/>
          <w:sz w:val="24"/>
        </w:rPr>
        <w:t>9</w:t>
      </w:r>
      <w:r>
        <w:rPr>
          <w:b/>
          <w:color w:val="000000" w:themeColor="text1"/>
          <w:kern w:val="0"/>
          <w:sz w:val="24"/>
        </w:rPr>
        <w:t>）第一版</w:t>
      </w:r>
    </w:p>
    <w:p>
      <w:pPr>
        <w:autoSpaceDE w:val="0"/>
        <w:autoSpaceDN w:val="0"/>
        <w:adjustRightInd w:val="0"/>
        <w:spacing w:line="600" w:lineRule="auto"/>
        <w:ind w:left="105" w:leftChars="50" w:right="42" w:rightChars="20" w:firstLine="964"/>
        <w:jc w:val="center"/>
        <w:rPr>
          <w:b/>
          <w:color w:val="000000" w:themeColor="text1"/>
          <w:sz w:val="48"/>
          <w:szCs w:val="48"/>
        </w:rPr>
      </w:pPr>
    </w:p>
    <w:p>
      <w:pPr>
        <w:autoSpaceDE w:val="0"/>
        <w:autoSpaceDN w:val="0"/>
        <w:adjustRightInd w:val="0"/>
        <w:spacing w:line="600" w:lineRule="auto"/>
        <w:ind w:left="105" w:leftChars="50" w:right="42" w:rightChars="20"/>
        <w:jc w:val="center"/>
        <w:rPr>
          <w:rFonts w:ascii="宋体" w:hAnsi="宋体" w:cs="宋体"/>
          <w:b/>
          <w:color w:val="000000" w:themeColor="text1"/>
          <w:sz w:val="44"/>
          <w:szCs w:val="44"/>
        </w:rPr>
      </w:pPr>
      <w:r>
        <w:rPr>
          <w:rFonts w:hint="eastAsia" w:ascii="宋体" w:hAnsi="宋体" w:cs="宋体"/>
          <w:b/>
          <w:color w:val="000000" w:themeColor="text1"/>
          <w:sz w:val="44"/>
          <w:szCs w:val="44"/>
        </w:rPr>
        <w:t>南昌中油瑶湖石油销售有限公司</w:t>
      </w:r>
    </w:p>
    <w:p>
      <w:pPr>
        <w:autoSpaceDE w:val="0"/>
        <w:autoSpaceDN w:val="0"/>
        <w:adjustRightInd w:val="0"/>
        <w:spacing w:line="600" w:lineRule="auto"/>
        <w:ind w:left="105" w:leftChars="50" w:right="42" w:rightChars="20"/>
        <w:jc w:val="center"/>
        <w:rPr>
          <w:rFonts w:ascii="宋体" w:hAnsi="宋体" w:cs="宋体"/>
          <w:b/>
          <w:color w:val="000000" w:themeColor="text1"/>
          <w:sz w:val="44"/>
          <w:szCs w:val="44"/>
        </w:rPr>
      </w:pPr>
      <w:r>
        <w:rPr>
          <w:rFonts w:hint="eastAsia" w:ascii="宋体" w:hAnsi="宋体" w:cs="宋体"/>
          <w:b/>
          <w:color w:val="000000" w:themeColor="text1"/>
          <w:sz w:val="44"/>
          <w:szCs w:val="44"/>
        </w:rPr>
        <w:t>瑶湖加油站</w:t>
      </w:r>
    </w:p>
    <w:p>
      <w:pPr>
        <w:autoSpaceDE w:val="0"/>
        <w:autoSpaceDN w:val="0"/>
        <w:adjustRightInd w:val="0"/>
        <w:spacing w:line="600" w:lineRule="auto"/>
        <w:ind w:left="105" w:leftChars="50" w:right="42" w:rightChars="20"/>
        <w:jc w:val="center"/>
        <w:rPr>
          <w:rFonts w:ascii="宋体" w:hAnsi="宋体" w:cs="宋体"/>
          <w:b/>
          <w:color w:val="000000" w:themeColor="text1"/>
          <w:sz w:val="44"/>
          <w:szCs w:val="44"/>
        </w:rPr>
      </w:pPr>
      <w:r>
        <w:rPr>
          <w:rFonts w:hint="eastAsia" w:ascii="宋体" w:hAnsi="宋体" w:cs="宋体"/>
          <w:b/>
          <w:color w:val="000000" w:themeColor="text1"/>
          <w:sz w:val="44"/>
          <w:szCs w:val="44"/>
        </w:rPr>
        <w:t>突发环境事件风险评估报告</w:t>
      </w:r>
    </w:p>
    <w:p>
      <w:pPr>
        <w:autoSpaceDE w:val="0"/>
        <w:autoSpaceDN w:val="0"/>
        <w:adjustRightInd w:val="0"/>
        <w:ind w:left="105" w:leftChars="50" w:right="42" w:rightChars="20" w:firstLine="1044"/>
        <w:jc w:val="center"/>
        <w:rPr>
          <w:b/>
          <w:color w:val="000000" w:themeColor="text1"/>
          <w:sz w:val="52"/>
          <w:szCs w:val="52"/>
        </w:rPr>
      </w:pPr>
    </w:p>
    <w:p>
      <w:pPr>
        <w:autoSpaceDE w:val="0"/>
        <w:autoSpaceDN w:val="0"/>
        <w:adjustRightInd w:val="0"/>
        <w:ind w:left="105" w:leftChars="50" w:right="42" w:rightChars="20" w:firstLine="560"/>
        <w:jc w:val="center"/>
        <w:rPr>
          <w:color w:val="000000" w:themeColor="text1"/>
          <w:szCs w:val="28"/>
        </w:rPr>
      </w:pPr>
    </w:p>
    <w:p>
      <w:pPr>
        <w:autoSpaceDE w:val="0"/>
        <w:autoSpaceDN w:val="0"/>
        <w:adjustRightInd w:val="0"/>
        <w:ind w:left="105" w:leftChars="50" w:right="42" w:rightChars="20" w:firstLine="560"/>
        <w:jc w:val="center"/>
        <w:rPr>
          <w:color w:val="000000" w:themeColor="text1"/>
          <w:szCs w:val="28"/>
        </w:rPr>
      </w:pPr>
    </w:p>
    <w:p>
      <w:pPr>
        <w:autoSpaceDE w:val="0"/>
        <w:autoSpaceDN w:val="0"/>
        <w:adjustRightInd w:val="0"/>
        <w:ind w:left="105" w:leftChars="50" w:right="42" w:rightChars="20" w:firstLine="560"/>
        <w:jc w:val="center"/>
        <w:rPr>
          <w:color w:val="000000" w:themeColor="text1"/>
          <w:szCs w:val="28"/>
        </w:rPr>
      </w:pPr>
    </w:p>
    <w:p>
      <w:pPr>
        <w:autoSpaceDE w:val="0"/>
        <w:autoSpaceDN w:val="0"/>
        <w:adjustRightInd w:val="0"/>
        <w:ind w:left="105" w:leftChars="50" w:right="42" w:rightChars="20" w:firstLine="560"/>
        <w:jc w:val="center"/>
        <w:rPr>
          <w:color w:val="000000" w:themeColor="text1"/>
          <w:szCs w:val="28"/>
        </w:rPr>
      </w:pPr>
    </w:p>
    <w:p>
      <w:pPr>
        <w:autoSpaceDE w:val="0"/>
        <w:autoSpaceDN w:val="0"/>
        <w:adjustRightInd w:val="0"/>
        <w:ind w:left="105" w:leftChars="50" w:right="42" w:rightChars="20" w:firstLine="560"/>
        <w:jc w:val="center"/>
        <w:rPr>
          <w:color w:val="000000" w:themeColor="text1"/>
          <w:szCs w:val="28"/>
        </w:rPr>
      </w:pPr>
    </w:p>
    <w:p>
      <w:pPr>
        <w:autoSpaceDE w:val="0"/>
        <w:autoSpaceDN w:val="0"/>
        <w:adjustRightInd w:val="0"/>
        <w:ind w:left="105" w:leftChars="50" w:right="42" w:rightChars="20" w:firstLine="560"/>
        <w:jc w:val="center"/>
        <w:rPr>
          <w:color w:val="000000" w:themeColor="text1"/>
          <w:szCs w:val="28"/>
        </w:rPr>
      </w:pPr>
    </w:p>
    <w:p>
      <w:pPr>
        <w:autoSpaceDE w:val="0"/>
        <w:autoSpaceDN w:val="0"/>
        <w:adjustRightInd w:val="0"/>
        <w:ind w:left="105" w:leftChars="50" w:right="42" w:rightChars="20" w:firstLine="560"/>
        <w:jc w:val="center"/>
        <w:rPr>
          <w:color w:val="000000" w:themeColor="text1"/>
          <w:szCs w:val="28"/>
        </w:rPr>
      </w:pPr>
    </w:p>
    <w:p>
      <w:pPr>
        <w:autoSpaceDE w:val="0"/>
        <w:autoSpaceDN w:val="0"/>
        <w:adjustRightInd w:val="0"/>
        <w:ind w:left="105" w:leftChars="50" w:right="42" w:rightChars="20" w:firstLine="560"/>
        <w:jc w:val="center"/>
        <w:rPr>
          <w:color w:val="000000" w:themeColor="text1"/>
          <w:szCs w:val="28"/>
        </w:rPr>
      </w:pPr>
    </w:p>
    <w:p>
      <w:pPr>
        <w:autoSpaceDE w:val="0"/>
        <w:autoSpaceDN w:val="0"/>
        <w:adjustRightInd w:val="0"/>
        <w:ind w:left="105" w:leftChars="50" w:right="42" w:rightChars="20" w:firstLine="560"/>
        <w:jc w:val="center"/>
        <w:rPr>
          <w:color w:val="000000" w:themeColor="text1"/>
          <w:szCs w:val="28"/>
        </w:rPr>
      </w:pPr>
    </w:p>
    <w:p>
      <w:pPr>
        <w:autoSpaceDE w:val="0"/>
        <w:autoSpaceDN w:val="0"/>
        <w:adjustRightInd w:val="0"/>
        <w:ind w:left="105" w:leftChars="50" w:right="42" w:rightChars="20" w:firstLine="560"/>
        <w:jc w:val="center"/>
        <w:rPr>
          <w:color w:val="000000" w:themeColor="text1"/>
          <w:szCs w:val="28"/>
        </w:rPr>
      </w:pPr>
    </w:p>
    <w:p>
      <w:pPr>
        <w:pStyle w:val="2"/>
        <w:ind w:firstLine="480"/>
        <w:rPr>
          <w:rFonts w:hint="default"/>
          <w:color w:val="000000" w:themeColor="text1"/>
        </w:rPr>
      </w:pPr>
    </w:p>
    <w:p>
      <w:pPr>
        <w:rPr>
          <w:color w:val="000000" w:themeColor="text1"/>
        </w:rPr>
      </w:pPr>
    </w:p>
    <w:p>
      <w:pPr>
        <w:pStyle w:val="2"/>
        <w:ind w:firstLine="480"/>
        <w:rPr>
          <w:rFonts w:hint="default"/>
          <w:color w:val="000000" w:themeColor="text1"/>
        </w:rPr>
      </w:pPr>
    </w:p>
    <w:p>
      <w:pPr>
        <w:autoSpaceDE w:val="0"/>
        <w:autoSpaceDN w:val="0"/>
        <w:adjustRightInd w:val="0"/>
        <w:ind w:left="105" w:leftChars="50" w:right="42" w:rightChars="20" w:firstLine="560"/>
        <w:jc w:val="center"/>
        <w:rPr>
          <w:color w:val="000000" w:themeColor="text1"/>
          <w:szCs w:val="28"/>
        </w:rPr>
      </w:pPr>
    </w:p>
    <w:p>
      <w:pPr>
        <w:autoSpaceDE w:val="0"/>
        <w:autoSpaceDN w:val="0"/>
        <w:adjustRightInd w:val="0"/>
        <w:ind w:left="105" w:leftChars="50" w:right="42" w:rightChars="20" w:firstLine="560"/>
        <w:jc w:val="center"/>
        <w:rPr>
          <w:color w:val="000000" w:themeColor="text1"/>
          <w:szCs w:val="28"/>
        </w:rPr>
      </w:pPr>
    </w:p>
    <w:p>
      <w:pPr>
        <w:autoSpaceDE w:val="0"/>
        <w:autoSpaceDN w:val="0"/>
        <w:adjustRightInd w:val="0"/>
        <w:ind w:left="105" w:leftChars="50" w:right="42" w:rightChars="20" w:firstLine="560"/>
        <w:jc w:val="center"/>
        <w:rPr>
          <w:color w:val="000000" w:themeColor="text1"/>
          <w:szCs w:val="28"/>
        </w:rPr>
      </w:pPr>
    </w:p>
    <w:p>
      <w:pPr>
        <w:pStyle w:val="2"/>
        <w:ind w:firstLine="480"/>
        <w:rPr>
          <w:rFonts w:hint="default"/>
          <w:color w:val="000000" w:themeColor="text1"/>
        </w:rPr>
      </w:pPr>
    </w:p>
    <w:p>
      <w:pPr>
        <w:rPr>
          <w:color w:val="000000" w:themeColor="text1"/>
        </w:rPr>
      </w:pPr>
    </w:p>
    <w:p>
      <w:pPr>
        <w:ind w:right="42" w:rightChars="20" w:firstLine="640"/>
        <w:jc w:val="center"/>
        <w:rPr>
          <w:b/>
          <w:color w:val="000000" w:themeColor="text1"/>
          <w:sz w:val="32"/>
          <w:szCs w:val="32"/>
        </w:rPr>
      </w:pPr>
      <w:r>
        <w:rPr>
          <w:rFonts w:hint="eastAsia"/>
          <w:b/>
          <w:color w:val="000000" w:themeColor="text1"/>
          <w:sz w:val="32"/>
          <w:szCs w:val="32"/>
        </w:rPr>
        <w:t>南昌中油瑶湖石油销售有限公司</w:t>
      </w:r>
    </w:p>
    <w:p>
      <w:pPr>
        <w:ind w:right="42" w:rightChars="20" w:firstLine="640"/>
        <w:jc w:val="center"/>
        <w:rPr>
          <w:b/>
          <w:color w:val="000000" w:themeColor="text1"/>
          <w:sz w:val="32"/>
          <w:szCs w:val="32"/>
        </w:rPr>
      </w:pPr>
      <w:r>
        <w:rPr>
          <w:rFonts w:hint="eastAsia"/>
          <w:b/>
          <w:color w:val="000000" w:themeColor="text1"/>
          <w:sz w:val="32"/>
          <w:szCs w:val="32"/>
        </w:rPr>
        <w:t>瑶湖加油站</w:t>
      </w:r>
    </w:p>
    <w:p>
      <w:pPr>
        <w:pStyle w:val="2"/>
        <w:ind w:firstLine="482"/>
        <w:rPr>
          <w:rFonts w:hint="default"/>
          <w:b/>
          <w:color w:val="000000" w:themeColor="text1"/>
        </w:rPr>
      </w:pPr>
    </w:p>
    <w:p>
      <w:pPr>
        <w:ind w:right="42" w:rightChars="20" w:firstLine="640"/>
        <w:jc w:val="center"/>
        <w:rPr>
          <w:b/>
          <w:color w:val="000000" w:themeColor="text1"/>
          <w:sz w:val="32"/>
          <w:szCs w:val="32"/>
        </w:rPr>
      </w:pPr>
      <w:r>
        <w:rPr>
          <w:b/>
          <w:color w:val="000000" w:themeColor="text1"/>
          <w:sz w:val="32"/>
          <w:szCs w:val="32"/>
        </w:rPr>
        <w:t>编制日期：201</w:t>
      </w:r>
      <w:r>
        <w:rPr>
          <w:rFonts w:hint="eastAsia"/>
          <w:b/>
          <w:color w:val="000000" w:themeColor="text1"/>
          <w:sz w:val="32"/>
          <w:szCs w:val="32"/>
        </w:rPr>
        <w:t>9</w:t>
      </w:r>
      <w:r>
        <w:rPr>
          <w:b/>
          <w:color w:val="000000" w:themeColor="text1"/>
          <w:sz w:val="32"/>
          <w:szCs w:val="32"/>
        </w:rPr>
        <w:t>年10月</w:t>
      </w:r>
    </w:p>
    <w:p>
      <w:pPr>
        <w:autoSpaceDN w:val="0"/>
        <w:snapToGrid w:val="0"/>
        <w:spacing w:line="360" w:lineRule="auto"/>
        <w:ind w:firstLine="12" w:firstLineChars="5"/>
        <w:rPr>
          <w:color w:val="000000" w:themeColor="text1"/>
          <w:sz w:val="24"/>
        </w:rPr>
      </w:pPr>
    </w:p>
    <w:p>
      <w:pPr>
        <w:pStyle w:val="2"/>
        <w:ind w:firstLine="480"/>
        <w:rPr>
          <w:rFonts w:hint="default"/>
          <w:color w:val="000000" w:themeColor="text1"/>
        </w:rPr>
      </w:pPr>
    </w:p>
    <w:p>
      <w:pPr>
        <w:pStyle w:val="10"/>
        <w:tabs>
          <w:tab w:val="right" w:leader="hyphen" w:pos="8306"/>
        </w:tabs>
        <w:spacing w:line="360" w:lineRule="auto"/>
        <w:jc w:val="center"/>
        <w:rPr>
          <w:bCs/>
          <w:color w:val="000000" w:themeColor="text1"/>
          <w:sz w:val="24"/>
        </w:rPr>
      </w:pPr>
      <w:r>
        <w:rPr>
          <w:bCs/>
          <w:color w:val="000000" w:themeColor="text1"/>
          <w:sz w:val="24"/>
        </w:rPr>
        <w:t>目录</w:t>
      </w:r>
    </w:p>
    <w:p>
      <w:pPr>
        <w:pStyle w:val="10"/>
        <w:tabs>
          <w:tab w:val="right" w:leader="dot" w:pos="8306"/>
        </w:tabs>
        <w:rPr>
          <w:sz w:val="24"/>
          <w:szCs w:val="24"/>
        </w:rPr>
      </w:pPr>
      <w:r>
        <w:rPr>
          <w:color w:val="000000" w:themeColor="text1"/>
          <w:szCs w:val="21"/>
        </w:rPr>
        <w:fldChar w:fldCharType="begin"/>
      </w:r>
      <w:r>
        <w:rPr>
          <w:color w:val="000000" w:themeColor="text1"/>
          <w:szCs w:val="21"/>
        </w:rPr>
        <w:instrText xml:space="preserve">TOC \o "1-3" \h \u </w:instrText>
      </w:r>
      <w:r>
        <w:rPr>
          <w:color w:val="000000" w:themeColor="text1"/>
          <w:szCs w:val="21"/>
        </w:rPr>
        <w:fldChar w:fldCharType="separate"/>
      </w:r>
      <w:r>
        <w:rPr>
          <w:color w:val="000000" w:themeColor="text1"/>
          <w:sz w:val="24"/>
          <w:szCs w:val="24"/>
        </w:rPr>
        <w:fldChar w:fldCharType="begin"/>
      </w:r>
      <w:r>
        <w:rPr>
          <w:sz w:val="24"/>
          <w:szCs w:val="24"/>
        </w:rPr>
        <w:instrText xml:space="preserve"> HYPERLINK \l _Toc25182 </w:instrText>
      </w:r>
      <w:r>
        <w:rPr>
          <w:sz w:val="24"/>
          <w:szCs w:val="24"/>
        </w:rPr>
        <w:fldChar w:fldCharType="separate"/>
      </w:r>
      <w:r>
        <w:rPr>
          <w:bCs/>
          <w:sz w:val="24"/>
          <w:szCs w:val="24"/>
        </w:rPr>
        <w:t>1、前言</w:t>
      </w:r>
      <w:r>
        <w:rPr>
          <w:sz w:val="24"/>
          <w:szCs w:val="24"/>
        </w:rPr>
        <w:tab/>
      </w:r>
      <w:r>
        <w:rPr>
          <w:sz w:val="24"/>
          <w:szCs w:val="24"/>
        </w:rPr>
        <w:fldChar w:fldCharType="begin"/>
      </w:r>
      <w:r>
        <w:rPr>
          <w:sz w:val="24"/>
          <w:szCs w:val="24"/>
        </w:rPr>
        <w:instrText xml:space="preserve"> PAGEREF _Toc25182 </w:instrText>
      </w:r>
      <w:r>
        <w:rPr>
          <w:sz w:val="24"/>
          <w:szCs w:val="24"/>
        </w:rPr>
        <w:fldChar w:fldCharType="separate"/>
      </w:r>
      <w:r>
        <w:rPr>
          <w:sz w:val="24"/>
          <w:szCs w:val="24"/>
        </w:rPr>
        <w:t>1</w:t>
      </w:r>
      <w:r>
        <w:rPr>
          <w:sz w:val="24"/>
          <w:szCs w:val="24"/>
        </w:rPr>
        <w:fldChar w:fldCharType="end"/>
      </w:r>
      <w:r>
        <w:rPr>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_Toc8517 </w:instrText>
      </w:r>
      <w:r>
        <w:rPr>
          <w:rFonts w:hint="default"/>
          <w:sz w:val="24"/>
          <w:szCs w:val="24"/>
        </w:rPr>
        <w:fldChar w:fldCharType="separate"/>
      </w:r>
      <w:r>
        <w:rPr>
          <w:bCs/>
          <w:sz w:val="24"/>
          <w:szCs w:val="24"/>
        </w:rPr>
        <w:t>2、评价依据</w:t>
      </w:r>
      <w:r>
        <w:rPr>
          <w:sz w:val="24"/>
          <w:szCs w:val="24"/>
        </w:rPr>
        <w:tab/>
      </w:r>
      <w:r>
        <w:rPr>
          <w:sz w:val="24"/>
          <w:szCs w:val="24"/>
        </w:rPr>
        <w:fldChar w:fldCharType="begin"/>
      </w:r>
      <w:r>
        <w:rPr>
          <w:sz w:val="24"/>
          <w:szCs w:val="24"/>
        </w:rPr>
        <w:instrText xml:space="preserve"> PAGEREF _Toc8517 </w:instrText>
      </w:r>
      <w:r>
        <w:rPr>
          <w:sz w:val="24"/>
          <w:szCs w:val="24"/>
        </w:rPr>
        <w:fldChar w:fldCharType="separate"/>
      </w:r>
      <w:r>
        <w:rPr>
          <w:sz w:val="24"/>
          <w:szCs w:val="24"/>
        </w:rPr>
        <w:t>2</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_Toc13613 </w:instrText>
      </w:r>
      <w:r>
        <w:rPr>
          <w:rFonts w:hint="default"/>
          <w:sz w:val="24"/>
          <w:szCs w:val="24"/>
        </w:rPr>
        <w:fldChar w:fldCharType="separate"/>
      </w:r>
      <w:r>
        <w:rPr>
          <w:bCs/>
          <w:sz w:val="24"/>
          <w:szCs w:val="24"/>
        </w:rPr>
        <w:t>2.1 编制原则</w:t>
      </w:r>
      <w:r>
        <w:rPr>
          <w:sz w:val="24"/>
          <w:szCs w:val="24"/>
        </w:rPr>
        <w:tab/>
      </w:r>
      <w:r>
        <w:rPr>
          <w:sz w:val="24"/>
          <w:szCs w:val="24"/>
        </w:rPr>
        <w:fldChar w:fldCharType="begin"/>
      </w:r>
      <w:r>
        <w:rPr>
          <w:sz w:val="24"/>
          <w:szCs w:val="24"/>
        </w:rPr>
        <w:instrText xml:space="preserve"> PAGEREF _Toc13613 </w:instrText>
      </w:r>
      <w:r>
        <w:rPr>
          <w:sz w:val="24"/>
          <w:szCs w:val="24"/>
        </w:rPr>
        <w:fldChar w:fldCharType="separate"/>
      </w:r>
      <w:r>
        <w:rPr>
          <w:sz w:val="24"/>
          <w:szCs w:val="24"/>
        </w:rPr>
        <w:t>2</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_Toc25994 </w:instrText>
      </w:r>
      <w:r>
        <w:rPr>
          <w:rFonts w:hint="default"/>
          <w:sz w:val="24"/>
          <w:szCs w:val="24"/>
        </w:rPr>
        <w:fldChar w:fldCharType="separate"/>
      </w:r>
      <w:r>
        <w:rPr>
          <w:bCs/>
          <w:sz w:val="24"/>
          <w:szCs w:val="24"/>
        </w:rPr>
        <w:t>2.2 编制依据</w:t>
      </w:r>
      <w:r>
        <w:rPr>
          <w:sz w:val="24"/>
          <w:szCs w:val="24"/>
        </w:rPr>
        <w:tab/>
      </w:r>
      <w:r>
        <w:rPr>
          <w:sz w:val="24"/>
          <w:szCs w:val="24"/>
        </w:rPr>
        <w:fldChar w:fldCharType="begin"/>
      </w:r>
      <w:r>
        <w:rPr>
          <w:sz w:val="24"/>
          <w:szCs w:val="24"/>
        </w:rPr>
        <w:instrText xml:space="preserve"> PAGEREF _Toc25994 </w:instrText>
      </w:r>
      <w:r>
        <w:rPr>
          <w:sz w:val="24"/>
          <w:szCs w:val="24"/>
        </w:rPr>
        <w:fldChar w:fldCharType="separate"/>
      </w:r>
      <w:r>
        <w:rPr>
          <w:sz w:val="24"/>
          <w:szCs w:val="24"/>
        </w:rPr>
        <w:t>2</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_Toc13927 </w:instrText>
      </w:r>
      <w:r>
        <w:rPr>
          <w:rFonts w:hint="default"/>
          <w:sz w:val="24"/>
          <w:szCs w:val="24"/>
        </w:rPr>
        <w:fldChar w:fldCharType="separate"/>
      </w:r>
      <w:r>
        <w:rPr>
          <w:bCs/>
          <w:sz w:val="24"/>
          <w:szCs w:val="24"/>
        </w:rPr>
        <w:t>2.2.1 法律、法规</w:t>
      </w:r>
      <w:r>
        <w:rPr>
          <w:sz w:val="24"/>
          <w:szCs w:val="24"/>
        </w:rPr>
        <w:tab/>
      </w:r>
      <w:r>
        <w:rPr>
          <w:sz w:val="24"/>
          <w:szCs w:val="24"/>
        </w:rPr>
        <w:fldChar w:fldCharType="begin"/>
      </w:r>
      <w:r>
        <w:rPr>
          <w:sz w:val="24"/>
          <w:szCs w:val="24"/>
        </w:rPr>
        <w:instrText xml:space="preserve"> PAGEREF _Toc13927 </w:instrText>
      </w:r>
      <w:r>
        <w:rPr>
          <w:sz w:val="24"/>
          <w:szCs w:val="24"/>
        </w:rPr>
        <w:fldChar w:fldCharType="separate"/>
      </w:r>
      <w:r>
        <w:rPr>
          <w:sz w:val="24"/>
          <w:szCs w:val="24"/>
        </w:rPr>
        <w:t>2</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_Toc27491 </w:instrText>
      </w:r>
      <w:r>
        <w:rPr>
          <w:rFonts w:hint="default"/>
          <w:sz w:val="24"/>
          <w:szCs w:val="24"/>
        </w:rPr>
        <w:fldChar w:fldCharType="separate"/>
      </w:r>
      <w:r>
        <w:rPr>
          <w:bCs/>
          <w:sz w:val="24"/>
          <w:szCs w:val="24"/>
        </w:rPr>
        <w:t>2.1 法律、法规</w:t>
      </w:r>
      <w:r>
        <w:rPr>
          <w:sz w:val="24"/>
          <w:szCs w:val="24"/>
        </w:rPr>
        <w:tab/>
      </w:r>
      <w:r>
        <w:rPr>
          <w:sz w:val="24"/>
          <w:szCs w:val="24"/>
        </w:rPr>
        <w:fldChar w:fldCharType="begin"/>
      </w:r>
      <w:r>
        <w:rPr>
          <w:sz w:val="24"/>
          <w:szCs w:val="24"/>
        </w:rPr>
        <w:instrText xml:space="preserve"> PAGEREF _Toc27491 </w:instrText>
      </w:r>
      <w:r>
        <w:rPr>
          <w:sz w:val="24"/>
          <w:szCs w:val="24"/>
        </w:rPr>
        <w:fldChar w:fldCharType="separate"/>
      </w:r>
      <w:r>
        <w:rPr>
          <w:sz w:val="24"/>
          <w:szCs w:val="24"/>
        </w:rPr>
        <w:t>2</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_Toc11623 </w:instrText>
      </w:r>
      <w:r>
        <w:rPr>
          <w:rFonts w:hint="default"/>
          <w:sz w:val="24"/>
          <w:szCs w:val="24"/>
        </w:rPr>
        <w:fldChar w:fldCharType="separate"/>
      </w:r>
      <w:r>
        <w:rPr>
          <w:bCs/>
          <w:sz w:val="24"/>
          <w:szCs w:val="24"/>
        </w:rPr>
        <w:t>2.2.2 导则、标准、技术规范</w:t>
      </w:r>
      <w:r>
        <w:rPr>
          <w:sz w:val="24"/>
          <w:szCs w:val="24"/>
        </w:rPr>
        <w:tab/>
      </w:r>
      <w:r>
        <w:rPr>
          <w:sz w:val="24"/>
          <w:szCs w:val="24"/>
        </w:rPr>
        <w:fldChar w:fldCharType="begin"/>
      </w:r>
      <w:r>
        <w:rPr>
          <w:sz w:val="24"/>
          <w:szCs w:val="24"/>
        </w:rPr>
        <w:instrText xml:space="preserve"> PAGEREF _Toc11623 </w:instrText>
      </w:r>
      <w:r>
        <w:rPr>
          <w:sz w:val="24"/>
          <w:szCs w:val="24"/>
        </w:rPr>
        <w:fldChar w:fldCharType="separate"/>
      </w:r>
      <w:r>
        <w:rPr>
          <w:sz w:val="24"/>
          <w:szCs w:val="24"/>
        </w:rPr>
        <w:t>3</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_Toc32095 </w:instrText>
      </w:r>
      <w:r>
        <w:rPr>
          <w:rFonts w:hint="default"/>
          <w:sz w:val="24"/>
          <w:szCs w:val="24"/>
        </w:rPr>
        <w:fldChar w:fldCharType="separate"/>
      </w:r>
      <w:r>
        <w:rPr>
          <w:bCs/>
          <w:sz w:val="24"/>
          <w:szCs w:val="24"/>
        </w:rPr>
        <w:t>2.2.3相关资料</w:t>
      </w:r>
      <w:r>
        <w:rPr>
          <w:sz w:val="24"/>
          <w:szCs w:val="24"/>
        </w:rPr>
        <w:tab/>
      </w:r>
      <w:r>
        <w:rPr>
          <w:sz w:val="24"/>
          <w:szCs w:val="24"/>
        </w:rPr>
        <w:fldChar w:fldCharType="begin"/>
      </w:r>
      <w:r>
        <w:rPr>
          <w:sz w:val="24"/>
          <w:szCs w:val="24"/>
        </w:rPr>
        <w:instrText xml:space="preserve"> PAGEREF _Toc32095 </w:instrText>
      </w:r>
      <w:r>
        <w:rPr>
          <w:sz w:val="24"/>
          <w:szCs w:val="24"/>
        </w:rPr>
        <w:fldChar w:fldCharType="separate"/>
      </w:r>
      <w:r>
        <w:rPr>
          <w:sz w:val="24"/>
          <w:szCs w:val="24"/>
        </w:rPr>
        <w:t>4</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_Toc24731 </w:instrText>
      </w:r>
      <w:r>
        <w:rPr>
          <w:rFonts w:hint="default"/>
          <w:sz w:val="24"/>
          <w:szCs w:val="24"/>
        </w:rPr>
        <w:fldChar w:fldCharType="separate"/>
      </w:r>
      <w:r>
        <w:rPr>
          <w:bCs/>
          <w:sz w:val="24"/>
          <w:szCs w:val="24"/>
        </w:rPr>
        <w:t>2.3 企业突发环境事件风险评估程序</w:t>
      </w:r>
      <w:r>
        <w:rPr>
          <w:sz w:val="24"/>
          <w:szCs w:val="24"/>
        </w:rPr>
        <w:tab/>
      </w:r>
      <w:r>
        <w:rPr>
          <w:sz w:val="24"/>
          <w:szCs w:val="24"/>
        </w:rPr>
        <w:fldChar w:fldCharType="begin"/>
      </w:r>
      <w:r>
        <w:rPr>
          <w:sz w:val="24"/>
          <w:szCs w:val="24"/>
        </w:rPr>
        <w:instrText xml:space="preserve"> PAGEREF _Toc24731 </w:instrText>
      </w:r>
      <w:r>
        <w:rPr>
          <w:sz w:val="24"/>
          <w:szCs w:val="24"/>
        </w:rPr>
        <w:fldChar w:fldCharType="separate"/>
      </w:r>
      <w:r>
        <w:rPr>
          <w:sz w:val="24"/>
          <w:szCs w:val="24"/>
        </w:rPr>
        <w:t>4</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_Toc15847 </w:instrText>
      </w:r>
      <w:r>
        <w:rPr>
          <w:rFonts w:hint="default"/>
          <w:sz w:val="24"/>
          <w:szCs w:val="24"/>
        </w:rPr>
        <w:fldChar w:fldCharType="separate"/>
      </w:r>
      <w:r>
        <w:rPr>
          <w:bCs/>
          <w:sz w:val="24"/>
          <w:szCs w:val="24"/>
        </w:rPr>
        <w:t>3、准备资料与环境风险识别</w:t>
      </w:r>
      <w:r>
        <w:rPr>
          <w:sz w:val="24"/>
          <w:szCs w:val="24"/>
        </w:rPr>
        <w:tab/>
      </w:r>
      <w:r>
        <w:rPr>
          <w:sz w:val="24"/>
          <w:szCs w:val="24"/>
        </w:rPr>
        <w:fldChar w:fldCharType="begin"/>
      </w:r>
      <w:r>
        <w:rPr>
          <w:sz w:val="24"/>
          <w:szCs w:val="24"/>
        </w:rPr>
        <w:instrText xml:space="preserve"> PAGEREF _Toc15847 </w:instrText>
      </w:r>
      <w:r>
        <w:rPr>
          <w:sz w:val="24"/>
          <w:szCs w:val="24"/>
        </w:rPr>
        <w:fldChar w:fldCharType="separate"/>
      </w:r>
      <w:r>
        <w:rPr>
          <w:sz w:val="24"/>
          <w:szCs w:val="24"/>
        </w:rPr>
        <w:t>5</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_Toc20404 </w:instrText>
      </w:r>
      <w:r>
        <w:rPr>
          <w:rFonts w:hint="default"/>
          <w:sz w:val="24"/>
          <w:szCs w:val="24"/>
        </w:rPr>
        <w:fldChar w:fldCharType="separate"/>
      </w:r>
      <w:r>
        <w:rPr>
          <w:bCs/>
          <w:sz w:val="24"/>
          <w:szCs w:val="24"/>
        </w:rPr>
        <w:t>3.1 企业信息</w:t>
      </w:r>
      <w:r>
        <w:rPr>
          <w:sz w:val="24"/>
          <w:szCs w:val="24"/>
        </w:rPr>
        <w:tab/>
      </w:r>
      <w:r>
        <w:rPr>
          <w:sz w:val="24"/>
          <w:szCs w:val="24"/>
        </w:rPr>
        <w:fldChar w:fldCharType="begin"/>
      </w:r>
      <w:r>
        <w:rPr>
          <w:sz w:val="24"/>
          <w:szCs w:val="24"/>
        </w:rPr>
        <w:instrText xml:space="preserve"> PAGEREF _Toc20404 </w:instrText>
      </w:r>
      <w:r>
        <w:rPr>
          <w:sz w:val="24"/>
          <w:szCs w:val="24"/>
        </w:rPr>
        <w:fldChar w:fldCharType="separate"/>
      </w:r>
      <w:r>
        <w:rPr>
          <w:sz w:val="24"/>
          <w:szCs w:val="24"/>
        </w:rPr>
        <w:t>5</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_Toc8493 </w:instrText>
      </w:r>
      <w:r>
        <w:rPr>
          <w:rFonts w:hint="default"/>
          <w:sz w:val="24"/>
          <w:szCs w:val="24"/>
        </w:rPr>
        <w:fldChar w:fldCharType="separate"/>
      </w:r>
      <w:r>
        <w:rPr>
          <w:bCs/>
          <w:sz w:val="24"/>
          <w:szCs w:val="24"/>
        </w:rPr>
        <w:t>3.2 加油站周边环境风险受体情况</w:t>
      </w:r>
      <w:r>
        <w:rPr>
          <w:sz w:val="24"/>
          <w:szCs w:val="24"/>
        </w:rPr>
        <w:tab/>
      </w:r>
      <w:r>
        <w:rPr>
          <w:sz w:val="24"/>
          <w:szCs w:val="24"/>
        </w:rPr>
        <w:fldChar w:fldCharType="begin"/>
      </w:r>
      <w:r>
        <w:rPr>
          <w:sz w:val="24"/>
          <w:szCs w:val="24"/>
        </w:rPr>
        <w:instrText xml:space="preserve"> PAGEREF _Toc8493 </w:instrText>
      </w:r>
      <w:r>
        <w:rPr>
          <w:sz w:val="24"/>
          <w:szCs w:val="24"/>
        </w:rPr>
        <w:fldChar w:fldCharType="separate"/>
      </w:r>
      <w:r>
        <w:rPr>
          <w:sz w:val="24"/>
          <w:szCs w:val="24"/>
        </w:rPr>
        <w:t>7</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_Toc19540 </w:instrText>
      </w:r>
      <w:r>
        <w:rPr>
          <w:rFonts w:hint="default"/>
          <w:sz w:val="24"/>
          <w:szCs w:val="24"/>
        </w:rPr>
        <w:fldChar w:fldCharType="separate"/>
      </w:r>
      <w:r>
        <w:rPr>
          <w:bCs/>
          <w:sz w:val="24"/>
          <w:szCs w:val="24"/>
        </w:rPr>
        <w:t>3.3 涉及环境风险物质情况</w:t>
      </w:r>
      <w:r>
        <w:rPr>
          <w:sz w:val="24"/>
          <w:szCs w:val="24"/>
        </w:rPr>
        <w:tab/>
      </w:r>
      <w:r>
        <w:rPr>
          <w:sz w:val="24"/>
          <w:szCs w:val="24"/>
        </w:rPr>
        <w:fldChar w:fldCharType="begin"/>
      </w:r>
      <w:r>
        <w:rPr>
          <w:sz w:val="24"/>
          <w:szCs w:val="24"/>
        </w:rPr>
        <w:instrText xml:space="preserve"> PAGEREF _Toc19540 </w:instrText>
      </w:r>
      <w:r>
        <w:rPr>
          <w:sz w:val="24"/>
          <w:szCs w:val="24"/>
        </w:rPr>
        <w:fldChar w:fldCharType="separate"/>
      </w:r>
      <w:r>
        <w:rPr>
          <w:sz w:val="24"/>
          <w:szCs w:val="24"/>
        </w:rPr>
        <w:t>8</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_Toc3994 </w:instrText>
      </w:r>
      <w:r>
        <w:rPr>
          <w:rFonts w:hint="default"/>
          <w:sz w:val="24"/>
          <w:szCs w:val="24"/>
        </w:rPr>
        <w:fldChar w:fldCharType="separate"/>
      </w:r>
      <w:r>
        <w:rPr>
          <w:bCs/>
          <w:sz w:val="24"/>
          <w:szCs w:val="24"/>
        </w:rPr>
        <w:t>3.4 加油站运营流程及水平衡</w:t>
      </w:r>
      <w:r>
        <w:rPr>
          <w:sz w:val="24"/>
          <w:szCs w:val="24"/>
        </w:rPr>
        <w:tab/>
      </w:r>
      <w:r>
        <w:rPr>
          <w:sz w:val="24"/>
          <w:szCs w:val="24"/>
        </w:rPr>
        <w:fldChar w:fldCharType="begin"/>
      </w:r>
      <w:r>
        <w:rPr>
          <w:sz w:val="24"/>
          <w:szCs w:val="24"/>
        </w:rPr>
        <w:instrText xml:space="preserve"> PAGEREF _Toc3994 </w:instrText>
      </w:r>
      <w:r>
        <w:rPr>
          <w:sz w:val="24"/>
          <w:szCs w:val="24"/>
        </w:rPr>
        <w:fldChar w:fldCharType="separate"/>
      </w:r>
      <w:r>
        <w:rPr>
          <w:sz w:val="24"/>
          <w:szCs w:val="24"/>
        </w:rPr>
        <w:t>9</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_Toc19787 </w:instrText>
      </w:r>
      <w:r>
        <w:rPr>
          <w:rFonts w:hint="default"/>
          <w:sz w:val="24"/>
          <w:szCs w:val="24"/>
        </w:rPr>
        <w:fldChar w:fldCharType="separate"/>
      </w:r>
      <w:r>
        <w:rPr>
          <w:bCs/>
          <w:sz w:val="24"/>
          <w:szCs w:val="24"/>
        </w:rPr>
        <w:t>3.5 安全生产管理</w:t>
      </w:r>
      <w:r>
        <w:rPr>
          <w:sz w:val="24"/>
          <w:szCs w:val="24"/>
        </w:rPr>
        <w:tab/>
      </w:r>
      <w:r>
        <w:rPr>
          <w:sz w:val="24"/>
          <w:szCs w:val="24"/>
        </w:rPr>
        <w:fldChar w:fldCharType="begin"/>
      </w:r>
      <w:r>
        <w:rPr>
          <w:sz w:val="24"/>
          <w:szCs w:val="24"/>
        </w:rPr>
        <w:instrText xml:space="preserve"> PAGEREF _Toc19787 </w:instrText>
      </w:r>
      <w:r>
        <w:rPr>
          <w:sz w:val="24"/>
          <w:szCs w:val="24"/>
        </w:rPr>
        <w:fldChar w:fldCharType="separate"/>
      </w:r>
      <w:r>
        <w:rPr>
          <w:sz w:val="24"/>
          <w:szCs w:val="24"/>
        </w:rPr>
        <w:t>11</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_Toc15517 </w:instrText>
      </w:r>
      <w:r>
        <w:rPr>
          <w:rFonts w:hint="default"/>
          <w:sz w:val="24"/>
          <w:szCs w:val="24"/>
        </w:rPr>
        <w:fldChar w:fldCharType="separate"/>
      </w:r>
      <w:r>
        <w:rPr>
          <w:bCs/>
          <w:sz w:val="24"/>
          <w:szCs w:val="24"/>
        </w:rPr>
        <w:t>3.6 现有环境风险防控与应急措施情况</w:t>
      </w:r>
      <w:r>
        <w:rPr>
          <w:sz w:val="24"/>
          <w:szCs w:val="24"/>
        </w:rPr>
        <w:tab/>
      </w:r>
      <w:r>
        <w:rPr>
          <w:sz w:val="24"/>
          <w:szCs w:val="24"/>
        </w:rPr>
        <w:fldChar w:fldCharType="begin"/>
      </w:r>
      <w:r>
        <w:rPr>
          <w:sz w:val="24"/>
          <w:szCs w:val="24"/>
        </w:rPr>
        <w:instrText xml:space="preserve"> PAGEREF _Toc15517 </w:instrText>
      </w:r>
      <w:r>
        <w:rPr>
          <w:sz w:val="24"/>
          <w:szCs w:val="24"/>
        </w:rPr>
        <w:fldChar w:fldCharType="separate"/>
      </w:r>
      <w:r>
        <w:rPr>
          <w:sz w:val="24"/>
          <w:szCs w:val="24"/>
        </w:rPr>
        <w:t>11</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_Toc30884 </w:instrText>
      </w:r>
      <w:r>
        <w:rPr>
          <w:rFonts w:hint="default"/>
          <w:sz w:val="24"/>
          <w:szCs w:val="24"/>
        </w:rPr>
        <w:fldChar w:fldCharType="separate"/>
      </w:r>
      <w:r>
        <w:rPr>
          <w:bCs/>
          <w:sz w:val="24"/>
          <w:szCs w:val="24"/>
        </w:rPr>
        <w:t>3.7 现有应急物资与装备、救援队伍情况</w:t>
      </w:r>
      <w:r>
        <w:rPr>
          <w:sz w:val="24"/>
          <w:szCs w:val="24"/>
        </w:rPr>
        <w:tab/>
      </w:r>
      <w:r>
        <w:rPr>
          <w:sz w:val="24"/>
          <w:szCs w:val="24"/>
        </w:rPr>
        <w:fldChar w:fldCharType="begin"/>
      </w:r>
      <w:r>
        <w:rPr>
          <w:sz w:val="24"/>
          <w:szCs w:val="24"/>
        </w:rPr>
        <w:instrText xml:space="preserve"> PAGEREF _Toc30884 </w:instrText>
      </w:r>
      <w:r>
        <w:rPr>
          <w:sz w:val="24"/>
          <w:szCs w:val="24"/>
        </w:rPr>
        <w:fldChar w:fldCharType="separate"/>
      </w:r>
      <w:r>
        <w:rPr>
          <w:sz w:val="24"/>
          <w:szCs w:val="24"/>
        </w:rPr>
        <w:t>12</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_Toc23821 </w:instrText>
      </w:r>
      <w:r>
        <w:rPr>
          <w:rFonts w:hint="default"/>
          <w:sz w:val="24"/>
          <w:szCs w:val="24"/>
        </w:rPr>
        <w:fldChar w:fldCharType="separate"/>
      </w:r>
      <w:r>
        <w:rPr>
          <w:bCs/>
          <w:sz w:val="24"/>
          <w:szCs w:val="24"/>
        </w:rPr>
        <w:t>4、突发环境事件及其后果分析</w:t>
      </w:r>
      <w:r>
        <w:rPr>
          <w:sz w:val="24"/>
          <w:szCs w:val="24"/>
        </w:rPr>
        <w:tab/>
      </w:r>
      <w:r>
        <w:rPr>
          <w:sz w:val="24"/>
          <w:szCs w:val="24"/>
        </w:rPr>
        <w:fldChar w:fldCharType="begin"/>
      </w:r>
      <w:r>
        <w:rPr>
          <w:sz w:val="24"/>
          <w:szCs w:val="24"/>
        </w:rPr>
        <w:instrText xml:space="preserve"> PAGEREF _Toc23821 </w:instrText>
      </w:r>
      <w:r>
        <w:rPr>
          <w:sz w:val="24"/>
          <w:szCs w:val="24"/>
        </w:rPr>
        <w:fldChar w:fldCharType="separate"/>
      </w:r>
      <w:r>
        <w:rPr>
          <w:sz w:val="24"/>
          <w:szCs w:val="24"/>
        </w:rPr>
        <w:t>17</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_Toc771 </w:instrText>
      </w:r>
      <w:r>
        <w:rPr>
          <w:rFonts w:hint="default"/>
          <w:sz w:val="24"/>
          <w:szCs w:val="24"/>
        </w:rPr>
        <w:fldChar w:fldCharType="separate"/>
      </w:r>
      <w:r>
        <w:rPr>
          <w:bCs/>
          <w:sz w:val="24"/>
          <w:szCs w:val="24"/>
        </w:rPr>
        <w:t>4.1 突发环境事件情景分析</w:t>
      </w:r>
      <w:r>
        <w:rPr>
          <w:sz w:val="24"/>
          <w:szCs w:val="24"/>
        </w:rPr>
        <w:tab/>
      </w:r>
      <w:r>
        <w:rPr>
          <w:sz w:val="24"/>
          <w:szCs w:val="24"/>
        </w:rPr>
        <w:fldChar w:fldCharType="begin"/>
      </w:r>
      <w:r>
        <w:rPr>
          <w:sz w:val="24"/>
          <w:szCs w:val="24"/>
        </w:rPr>
        <w:instrText xml:space="preserve"> PAGEREF _Toc771 </w:instrText>
      </w:r>
      <w:r>
        <w:rPr>
          <w:sz w:val="24"/>
          <w:szCs w:val="24"/>
        </w:rPr>
        <w:fldChar w:fldCharType="separate"/>
      </w:r>
      <w:r>
        <w:rPr>
          <w:sz w:val="24"/>
          <w:szCs w:val="24"/>
        </w:rPr>
        <w:t>17</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_Toc380 </w:instrText>
      </w:r>
      <w:r>
        <w:rPr>
          <w:rFonts w:hint="default"/>
          <w:sz w:val="24"/>
          <w:szCs w:val="24"/>
        </w:rPr>
        <w:fldChar w:fldCharType="separate"/>
      </w:r>
      <w:r>
        <w:rPr>
          <w:bCs/>
          <w:sz w:val="24"/>
          <w:szCs w:val="24"/>
        </w:rPr>
        <w:t>4.2突发环境事件情景源强分析</w:t>
      </w:r>
      <w:r>
        <w:rPr>
          <w:sz w:val="24"/>
          <w:szCs w:val="24"/>
        </w:rPr>
        <w:tab/>
      </w:r>
      <w:r>
        <w:rPr>
          <w:sz w:val="24"/>
          <w:szCs w:val="24"/>
        </w:rPr>
        <w:fldChar w:fldCharType="begin"/>
      </w:r>
      <w:r>
        <w:rPr>
          <w:sz w:val="24"/>
          <w:szCs w:val="24"/>
        </w:rPr>
        <w:instrText xml:space="preserve"> PAGEREF _Toc380 </w:instrText>
      </w:r>
      <w:r>
        <w:rPr>
          <w:sz w:val="24"/>
          <w:szCs w:val="24"/>
        </w:rPr>
        <w:fldChar w:fldCharType="separate"/>
      </w:r>
      <w:r>
        <w:rPr>
          <w:sz w:val="24"/>
          <w:szCs w:val="24"/>
        </w:rPr>
        <w:t>21</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_Toc14128 </w:instrText>
      </w:r>
      <w:r>
        <w:rPr>
          <w:rFonts w:hint="default"/>
          <w:sz w:val="24"/>
          <w:szCs w:val="24"/>
        </w:rPr>
        <w:fldChar w:fldCharType="separate"/>
      </w:r>
      <w:r>
        <w:rPr>
          <w:bCs/>
          <w:sz w:val="24"/>
          <w:szCs w:val="24"/>
        </w:rPr>
        <w:t>4.2.1泄露事故及环境风险概率</w:t>
      </w:r>
      <w:r>
        <w:rPr>
          <w:sz w:val="24"/>
          <w:szCs w:val="24"/>
        </w:rPr>
        <w:tab/>
      </w:r>
      <w:r>
        <w:rPr>
          <w:sz w:val="24"/>
          <w:szCs w:val="24"/>
        </w:rPr>
        <w:fldChar w:fldCharType="begin"/>
      </w:r>
      <w:r>
        <w:rPr>
          <w:sz w:val="24"/>
          <w:szCs w:val="24"/>
        </w:rPr>
        <w:instrText xml:space="preserve"> PAGEREF _Toc14128 </w:instrText>
      </w:r>
      <w:r>
        <w:rPr>
          <w:sz w:val="24"/>
          <w:szCs w:val="24"/>
        </w:rPr>
        <w:fldChar w:fldCharType="separate"/>
      </w:r>
      <w:r>
        <w:rPr>
          <w:sz w:val="24"/>
          <w:szCs w:val="24"/>
        </w:rPr>
        <w:t>21</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_Toc15397 </w:instrText>
      </w:r>
      <w:r>
        <w:rPr>
          <w:rFonts w:hint="default"/>
          <w:sz w:val="24"/>
          <w:szCs w:val="24"/>
        </w:rPr>
        <w:fldChar w:fldCharType="separate"/>
      </w:r>
      <w:r>
        <w:rPr>
          <w:bCs/>
          <w:sz w:val="24"/>
          <w:szCs w:val="24"/>
        </w:rPr>
        <w:t>4.2.2其他突发事件情景分析</w:t>
      </w:r>
      <w:r>
        <w:rPr>
          <w:sz w:val="24"/>
          <w:szCs w:val="24"/>
        </w:rPr>
        <w:tab/>
      </w:r>
      <w:r>
        <w:rPr>
          <w:sz w:val="24"/>
          <w:szCs w:val="24"/>
        </w:rPr>
        <w:fldChar w:fldCharType="begin"/>
      </w:r>
      <w:r>
        <w:rPr>
          <w:sz w:val="24"/>
          <w:szCs w:val="24"/>
        </w:rPr>
        <w:instrText xml:space="preserve"> PAGEREF _Toc15397 </w:instrText>
      </w:r>
      <w:r>
        <w:rPr>
          <w:sz w:val="24"/>
          <w:szCs w:val="24"/>
        </w:rPr>
        <w:fldChar w:fldCharType="separate"/>
      </w:r>
      <w:r>
        <w:rPr>
          <w:sz w:val="24"/>
          <w:szCs w:val="24"/>
        </w:rPr>
        <w:t>24</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_Toc20163 </w:instrText>
      </w:r>
      <w:r>
        <w:rPr>
          <w:rFonts w:hint="default"/>
          <w:sz w:val="24"/>
          <w:szCs w:val="24"/>
        </w:rPr>
        <w:fldChar w:fldCharType="separate"/>
      </w:r>
      <w:r>
        <w:rPr>
          <w:bCs/>
          <w:sz w:val="24"/>
          <w:szCs w:val="24"/>
        </w:rPr>
        <w:t>4.2.3停电、断水等</w:t>
      </w:r>
      <w:r>
        <w:rPr>
          <w:sz w:val="24"/>
          <w:szCs w:val="24"/>
        </w:rPr>
        <w:tab/>
      </w:r>
      <w:r>
        <w:rPr>
          <w:sz w:val="24"/>
          <w:szCs w:val="24"/>
        </w:rPr>
        <w:fldChar w:fldCharType="begin"/>
      </w:r>
      <w:r>
        <w:rPr>
          <w:sz w:val="24"/>
          <w:szCs w:val="24"/>
        </w:rPr>
        <w:instrText xml:space="preserve"> PAGEREF _Toc20163 </w:instrText>
      </w:r>
      <w:r>
        <w:rPr>
          <w:sz w:val="24"/>
          <w:szCs w:val="24"/>
        </w:rPr>
        <w:fldChar w:fldCharType="separate"/>
      </w:r>
      <w:r>
        <w:rPr>
          <w:sz w:val="24"/>
          <w:szCs w:val="24"/>
        </w:rPr>
        <w:t>24</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_Toc14180 </w:instrText>
      </w:r>
      <w:r>
        <w:rPr>
          <w:rFonts w:hint="default"/>
          <w:sz w:val="24"/>
          <w:szCs w:val="24"/>
        </w:rPr>
        <w:fldChar w:fldCharType="separate"/>
      </w:r>
      <w:r>
        <w:rPr>
          <w:bCs/>
          <w:sz w:val="24"/>
          <w:szCs w:val="24"/>
        </w:rPr>
        <w:t>4.2.4各种自然灾害、极端天气</w:t>
      </w:r>
      <w:r>
        <w:rPr>
          <w:sz w:val="24"/>
          <w:szCs w:val="24"/>
        </w:rPr>
        <w:tab/>
      </w:r>
      <w:r>
        <w:rPr>
          <w:sz w:val="24"/>
          <w:szCs w:val="24"/>
        </w:rPr>
        <w:fldChar w:fldCharType="begin"/>
      </w:r>
      <w:r>
        <w:rPr>
          <w:sz w:val="24"/>
          <w:szCs w:val="24"/>
        </w:rPr>
        <w:instrText xml:space="preserve"> PAGEREF _Toc14180 </w:instrText>
      </w:r>
      <w:r>
        <w:rPr>
          <w:sz w:val="24"/>
          <w:szCs w:val="24"/>
        </w:rPr>
        <w:fldChar w:fldCharType="separate"/>
      </w:r>
      <w:r>
        <w:rPr>
          <w:sz w:val="24"/>
          <w:szCs w:val="24"/>
        </w:rPr>
        <w:t>24</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_Toc19778 </w:instrText>
      </w:r>
      <w:r>
        <w:rPr>
          <w:rFonts w:hint="default"/>
          <w:sz w:val="24"/>
          <w:szCs w:val="24"/>
        </w:rPr>
        <w:fldChar w:fldCharType="separate"/>
      </w:r>
      <w:r>
        <w:rPr>
          <w:rFonts w:ascii="Times New Roman" w:hAnsi="Times New Roman" w:cs="Times New Roman"/>
          <w:bCs/>
          <w:sz w:val="24"/>
          <w:szCs w:val="24"/>
        </w:rPr>
        <w:t>4.2.</w:t>
      </w:r>
      <w:r>
        <w:rPr>
          <w:rFonts w:hint="eastAsia" w:ascii="Times New Roman" w:hAnsi="Times New Roman" w:cs="Times New Roman"/>
          <w:bCs/>
          <w:sz w:val="24"/>
          <w:szCs w:val="24"/>
          <w:lang w:val="en-US" w:eastAsia="zh-CN"/>
        </w:rPr>
        <w:t>5</w:t>
      </w:r>
      <w:r>
        <w:rPr>
          <w:rFonts w:hint="eastAsia" w:ascii="Times New Roman" w:hAnsi="Times New Roman" w:cs="Times New Roman"/>
          <w:bCs/>
          <w:sz w:val="24"/>
          <w:szCs w:val="24"/>
        </w:rPr>
        <w:t>爆炸事故</w:t>
      </w:r>
      <w:r>
        <w:rPr>
          <w:rFonts w:hint="default" w:ascii="Times New Roman" w:hAnsi="Times New Roman" w:cs="Times New Roman"/>
          <w:bCs/>
          <w:sz w:val="24"/>
          <w:szCs w:val="24"/>
        </w:rPr>
        <w:t>对周围环境的影响分析</w:t>
      </w:r>
      <w:r>
        <w:rPr>
          <w:sz w:val="24"/>
          <w:szCs w:val="24"/>
        </w:rPr>
        <w:tab/>
      </w:r>
      <w:r>
        <w:rPr>
          <w:sz w:val="24"/>
          <w:szCs w:val="24"/>
        </w:rPr>
        <w:fldChar w:fldCharType="begin"/>
      </w:r>
      <w:r>
        <w:rPr>
          <w:sz w:val="24"/>
          <w:szCs w:val="24"/>
        </w:rPr>
        <w:instrText xml:space="preserve"> PAGEREF _Toc19778 </w:instrText>
      </w:r>
      <w:r>
        <w:rPr>
          <w:sz w:val="24"/>
          <w:szCs w:val="24"/>
        </w:rPr>
        <w:fldChar w:fldCharType="separate"/>
      </w:r>
      <w:r>
        <w:rPr>
          <w:sz w:val="24"/>
          <w:szCs w:val="24"/>
        </w:rPr>
        <w:t>25</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_Toc18647 </w:instrText>
      </w:r>
      <w:r>
        <w:rPr>
          <w:rFonts w:hint="default"/>
          <w:sz w:val="24"/>
          <w:szCs w:val="24"/>
        </w:rPr>
        <w:fldChar w:fldCharType="separate"/>
      </w:r>
      <w:r>
        <w:rPr>
          <w:bCs/>
          <w:sz w:val="24"/>
          <w:szCs w:val="24"/>
        </w:rPr>
        <w:t>4.3突发环境事件危害后果分析</w:t>
      </w:r>
      <w:r>
        <w:rPr>
          <w:sz w:val="24"/>
          <w:szCs w:val="24"/>
        </w:rPr>
        <w:tab/>
      </w:r>
      <w:r>
        <w:rPr>
          <w:sz w:val="24"/>
          <w:szCs w:val="24"/>
        </w:rPr>
        <w:fldChar w:fldCharType="begin"/>
      </w:r>
      <w:r>
        <w:rPr>
          <w:sz w:val="24"/>
          <w:szCs w:val="24"/>
        </w:rPr>
        <w:instrText xml:space="preserve"> PAGEREF _Toc18647 </w:instrText>
      </w:r>
      <w:r>
        <w:rPr>
          <w:sz w:val="24"/>
          <w:szCs w:val="24"/>
        </w:rPr>
        <w:fldChar w:fldCharType="separate"/>
      </w:r>
      <w:r>
        <w:rPr>
          <w:sz w:val="24"/>
          <w:szCs w:val="24"/>
        </w:rPr>
        <w:t>26</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_Toc22842 </w:instrText>
      </w:r>
      <w:r>
        <w:rPr>
          <w:rFonts w:hint="default"/>
          <w:sz w:val="24"/>
          <w:szCs w:val="24"/>
        </w:rPr>
        <w:fldChar w:fldCharType="separate"/>
      </w:r>
      <w:r>
        <w:rPr>
          <w:bCs/>
          <w:sz w:val="24"/>
          <w:szCs w:val="24"/>
        </w:rPr>
        <w:t>5、现有环境风险防控和应急措施差距分析</w:t>
      </w:r>
      <w:r>
        <w:rPr>
          <w:sz w:val="24"/>
          <w:szCs w:val="24"/>
        </w:rPr>
        <w:tab/>
      </w:r>
      <w:r>
        <w:rPr>
          <w:sz w:val="24"/>
          <w:szCs w:val="24"/>
        </w:rPr>
        <w:fldChar w:fldCharType="begin"/>
      </w:r>
      <w:r>
        <w:rPr>
          <w:sz w:val="24"/>
          <w:szCs w:val="24"/>
        </w:rPr>
        <w:instrText xml:space="preserve"> PAGEREF _Toc22842 </w:instrText>
      </w:r>
      <w:r>
        <w:rPr>
          <w:sz w:val="24"/>
          <w:szCs w:val="24"/>
        </w:rPr>
        <w:fldChar w:fldCharType="separate"/>
      </w:r>
      <w:r>
        <w:rPr>
          <w:sz w:val="24"/>
          <w:szCs w:val="24"/>
        </w:rPr>
        <w:t>27</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_Toc11929 </w:instrText>
      </w:r>
      <w:r>
        <w:rPr>
          <w:rFonts w:hint="default"/>
          <w:sz w:val="24"/>
          <w:szCs w:val="24"/>
        </w:rPr>
        <w:fldChar w:fldCharType="separate"/>
      </w:r>
      <w:r>
        <w:rPr>
          <w:bCs/>
          <w:sz w:val="24"/>
          <w:szCs w:val="24"/>
        </w:rPr>
        <w:t>5.1 环境风险管理制度</w:t>
      </w:r>
      <w:r>
        <w:rPr>
          <w:sz w:val="24"/>
          <w:szCs w:val="24"/>
        </w:rPr>
        <w:tab/>
      </w:r>
      <w:r>
        <w:rPr>
          <w:sz w:val="24"/>
          <w:szCs w:val="24"/>
        </w:rPr>
        <w:fldChar w:fldCharType="begin"/>
      </w:r>
      <w:r>
        <w:rPr>
          <w:sz w:val="24"/>
          <w:szCs w:val="24"/>
        </w:rPr>
        <w:instrText xml:space="preserve"> PAGEREF _Toc11929 </w:instrText>
      </w:r>
      <w:r>
        <w:rPr>
          <w:sz w:val="24"/>
          <w:szCs w:val="24"/>
        </w:rPr>
        <w:fldChar w:fldCharType="separate"/>
      </w:r>
      <w:r>
        <w:rPr>
          <w:sz w:val="24"/>
          <w:szCs w:val="24"/>
        </w:rPr>
        <w:t>27</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_Toc11033 </w:instrText>
      </w:r>
      <w:r>
        <w:rPr>
          <w:rFonts w:hint="default"/>
          <w:sz w:val="24"/>
          <w:szCs w:val="24"/>
        </w:rPr>
        <w:fldChar w:fldCharType="separate"/>
      </w:r>
      <w:r>
        <w:rPr>
          <w:bCs/>
          <w:sz w:val="24"/>
          <w:szCs w:val="24"/>
        </w:rPr>
        <w:t>5.2环境风险防控与应急措施</w:t>
      </w:r>
      <w:r>
        <w:rPr>
          <w:sz w:val="24"/>
          <w:szCs w:val="24"/>
        </w:rPr>
        <w:tab/>
      </w:r>
      <w:r>
        <w:rPr>
          <w:sz w:val="24"/>
          <w:szCs w:val="24"/>
        </w:rPr>
        <w:fldChar w:fldCharType="begin"/>
      </w:r>
      <w:r>
        <w:rPr>
          <w:sz w:val="24"/>
          <w:szCs w:val="24"/>
        </w:rPr>
        <w:instrText xml:space="preserve"> PAGEREF _Toc11033 </w:instrText>
      </w:r>
      <w:r>
        <w:rPr>
          <w:sz w:val="24"/>
          <w:szCs w:val="24"/>
        </w:rPr>
        <w:fldChar w:fldCharType="separate"/>
      </w:r>
      <w:r>
        <w:rPr>
          <w:sz w:val="24"/>
          <w:szCs w:val="24"/>
        </w:rPr>
        <w:t>27</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_Toc20273 </w:instrText>
      </w:r>
      <w:r>
        <w:rPr>
          <w:rFonts w:hint="default"/>
          <w:sz w:val="24"/>
          <w:szCs w:val="24"/>
        </w:rPr>
        <w:fldChar w:fldCharType="separate"/>
      </w:r>
      <w:r>
        <w:rPr>
          <w:bCs/>
          <w:sz w:val="24"/>
          <w:szCs w:val="24"/>
        </w:rPr>
        <w:t>5.2.1总图布置和建筑安全防范措施</w:t>
      </w:r>
      <w:r>
        <w:rPr>
          <w:sz w:val="24"/>
          <w:szCs w:val="24"/>
        </w:rPr>
        <w:tab/>
      </w:r>
      <w:r>
        <w:rPr>
          <w:sz w:val="24"/>
          <w:szCs w:val="24"/>
        </w:rPr>
        <w:fldChar w:fldCharType="begin"/>
      </w:r>
      <w:r>
        <w:rPr>
          <w:sz w:val="24"/>
          <w:szCs w:val="24"/>
        </w:rPr>
        <w:instrText xml:space="preserve"> PAGEREF _Toc20273 </w:instrText>
      </w:r>
      <w:r>
        <w:rPr>
          <w:sz w:val="24"/>
          <w:szCs w:val="24"/>
        </w:rPr>
        <w:fldChar w:fldCharType="separate"/>
      </w:r>
      <w:r>
        <w:rPr>
          <w:sz w:val="24"/>
          <w:szCs w:val="24"/>
        </w:rPr>
        <w:t>27</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_Toc10192 </w:instrText>
      </w:r>
      <w:r>
        <w:rPr>
          <w:rFonts w:hint="default"/>
          <w:sz w:val="24"/>
          <w:szCs w:val="24"/>
        </w:rPr>
        <w:fldChar w:fldCharType="separate"/>
      </w:r>
      <w:r>
        <w:rPr>
          <w:bCs/>
          <w:sz w:val="24"/>
          <w:szCs w:val="24"/>
        </w:rPr>
        <w:t>5.2.2安全防范措施</w:t>
      </w:r>
      <w:r>
        <w:rPr>
          <w:sz w:val="24"/>
          <w:szCs w:val="24"/>
        </w:rPr>
        <w:tab/>
      </w:r>
      <w:r>
        <w:rPr>
          <w:sz w:val="24"/>
          <w:szCs w:val="24"/>
        </w:rPr>
        <w:fldChar w:fldCharType="begin"/>
      </w:r>
      <w:r>
        <w:rPr>
          <w:sz w:val="24"/>
          <w:szCs w:val="24"/>
        </w:rPr>
        <w:instrText xml:space="preserve"> PAGEREF _Toc10192 </w:instrText>
      </w:r>
      <w:r>
        <w:rPr>
          <w:sz w:val="24"/>
          <w:szCs w:val="24"/>
        </w:rPr>
        <w:fldChar w:fldCharType="separate"/>
      </w:r>
      <w:r>
        <w:rPr>
          <w:sz w:val="24"/>
          <w:szCs w:val="24"/>
        </w:rPr>
        <w:t>28</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_Toc23089 </w:instrText>
      </w:r>
      <w:r>
        <w:rPr>
          <w:rFonts w:hint="default"/>
          <w:sz w:val="24"/>
          <w:szCs w:val="24"/>
        </w:rPr>
        <w:fldChar w:fldCharType="separate"/>
      </w:r>
      <w:r>
        <w:rPr>
          <w:bCs/>
          <w:sz w:val="24"/>
          <w:szCs w:val="24"/>
        </w:rPr>
        <w:t>5.2.3泄漏、火灾应急措施</w:t>
      </w:r>
      <w:r>
        <w:rPr>
          <w:sz w:val="24"/>
          <w:szCs w:val="24"/>
        </w:rPr>
        <w:tab/>
      </w:r>
      <w:r>
        <w:rPr>
          <w:sz w:val="24"/>
          <w:szCs w:val="24"/>
        </w:rPr>
        <w:fldChar w:fldCharType="begin"/>
      </w:r>
      <w:r>
        <w:rPr>
          <w:sz w:val="24"/>
          <w:szCs w:val="24"/>
        </w:rPr>
        <w:instrText xml:space="preserve"> PAGEREF _Toc23089 </w:instrText>
      </w:r>
      <w:r>
        <w:rPr>
          <w:sz w:val="24"/>
          <w:szCs w:val="24"/>
        </w:rPr>
        <w:fldChar w:fldCharType="separate"/>
      </w:r>
      <w:r>
        <w:rPr>
          <w:sz w:val="24"/>
          <w:szCs w:val="24"/>
        </w:rPr>
        <w:t>29</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_Toc11652 </w:instrText>
      </w:r>
      <w:r>
        <w:rPr>
          <w:rFonts w:hint="default"/>
          <w:sz w:val="24"/>
          <w:szCs w:val="24"/>
        </w:rPr>
        <w:fldChar w:fldCharType="separate"/>
      </w:r>
      <w:r>
        <w:rPr>
          <w:bCs/>
          <w:sz w:val="24"/>
          <w:szCs w:val="24"/>
        </w:rPr>
        <w:t>5.2.4电气、电讯安全防范措施</w:t>
      </w:r>
      <w:r>
        <w:rPr>
          <w:sz w:val="24"/>
          <w:szCs w:val="24"/>
        </w:rPr>
        <w:tab/>
      </w:r>
      <w:r>
        <w:rPr>
          <w:sz w:val="24"/>
          <w:szCs w:val="24"/>
        </w:rPr>
        <w:fldChar w:fldCharType="begin"/>
      </w:r>
      <w:r>
        <w:rPr>
          <w:sz w:val="24"/>
          <w:szCs w:val="24"/>
        </w:rPr>
        <w:instrText xml:space="preserve"> PAGEREF _Toc11652 </w:instrText>
      </w:r>
      <w:r>
        <w:rPr>
          <w:sz w:val="24"/>
          <w:szCs w:val="24"/>
        </w:rPr>
        <w:fldChar w:fldCharType="separate"/>
      </w:r>
      <w:r>
        <w:rPr>
          <w:sz w:val="24"/>
          <w:szCs w:val="24"/>
        </w:rPr>
        <w:t>30</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_Toc22170 </w:instrText>
      </w:r>
      <w:r>
        <w:rPr>
          <w:rFonts w:hint="default"/>
          <w:sz w:val="24"/>
          <w:szCs w:val="24"/>
        </w:rPr>
        <w:fldChar w:fldCharType="separate"/>
      </w:r>
      <w:r>
        <w:rPr>
          <w:bCs/>
          <w:sz w:val="24"/>
          <w:szCs w:val="24"/>
        </w:rPr>
        <w:t>5.2.5消防及火灾报警系统</w:t>
      </w:r>
      <w:r>
        <w:rPr>
          <w:sz w:val="24"/>
          <w:szCs w:val="24"/>
        </w:rPr>
        <w:tab/>
      </w:r>
      <w:r>
        <w:rPr>
          <w:sz w:val="24"/>
          <w:szCs w:val="24"/>
        </w:rPr>
        <w:fldChar w:fldCharType="begin"/>
      </w:r>
      <w:r>
        <w:rPr>
          <w:sz w:val="24"/>
          <w:szCs w:val="24"/>
        </w:rPr>
        <w:instrText xml:space="preserve"> PAGEREF _Toc22170 </w:instrText>
      </w:r>
      <w:r>
        <w:rPr>
          <w:sz w:val="24"/>
          <w:szCs w:val="24"/>
        </w:rPr>
        <w:fldChar w:fldCharType="separate"/>
      </w:r>
      <w:r>
        <w:rPr>
          <w:sz w:val="24"/>
          <w:szCs w:val="24"/>
        </w:rPr>
        <w:t>30</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_Toc2780 </w:instrText>
      </w:r>
      <w:r>
        <w:rPr>
          <w:rFonts w:hint="default"/>
          <w:sz w:val="24"/>
          <w:szCs w:val="24"/>
        </w:rPr>
        <w:fldChar w:fldCharType="separate"/>
      </w:r>
      <w:r>
        <w:rPr>
          <w:bCs/>
          <w:sz w:val="24"/>
          <w:szCs w:val="24"/>
        </w:rPr>
        <w:t>5.2.6运输的环境风险防范措施</w:t>
      </w:r>
      <w:r>
        <w:rPr>
          <w:sz w:val="24"/>
          <w:szCs w:val="24"/>
        </w:rPr>
        <w:tab/>
      </w:r>
      <w:r>
        <w:rPr>
          <w:sz w:val="24"/>
          <w:szCs w:val="24"/>
        </w:rPr>
        <w:fldChar w:fldCharType="begin"/>
      </w:r>
      <w:r>
        <w:rPr>
          <w:sz w:val="24"/>
          <w:szCs w:val="24"/>
        </w:rPr>
        <w:instrText xml:space="preserve"> PAGEREF _Toc2780 </w:instrText>
      </w:r>
      <w:r>
        <w:rPr>
          <w:sz w:val="24"/>
          <w:szCs w:val="24"/>
        </w:rPr>
        <w:fldChar w:fldCharType="separate"/>
      </w:r>
      <w:r>
        <w:rPr>
          <w:sz w:val="24"/>
          <w:szCs w:val="24"/>
        </w:rPr>
        <w:t>30</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_Toc21880 </w:instrText>
      </w:r>
      <w:r>
        <w:rPr>
          <w:rFonts w:hint="default"/>
          <w:sz w:val="24"/>
          <w:szCs w:val="24"/>
        </w:rPr>
        <w:fldChar w:fldCharType="separate"/>
      </w:r>
      <w:r>
        <w:rPr>
          <w:bCs/>
          <w:sz w:val="24"/>
          <w:szCs w:val="24"/>
        </w:rPr>
        <w:t>5.2.7其他环境风险防范措施</w:t>
      </w:r>
      <w:r>
        <w:rPr>
          <w:sz w:val="24"/>
          <w:szCs w:val="24"/>
        </w:rPr>
        <w:tab/>
      </w:r>
      <w:r>
        <w:rPr>
          <w:sz w:val="24"/>
          <w:szCs w:val="24"/>
        </w:rPr>
        <w:fldChar w:fldCharType="begin"/>
      </w:r>
      <w:r>
        <w:rPr>
          <w:sz w:val="24"/>
          <w:szCs w:val="24"/>
        </w:rPr>
        <w:instrText xml:space="preserve"> PAGEREF _Toc21880 </w:instrText>
      </w:r>
      <w:r>
        <w:rPr>
          <w:sz w:val="24"/>
          <w:szCs w:val="24"/>
        </w:rPr>
        <w:fldChar w:fldCharType="separate"/>
      </w:r>
      <w:r>
        <w:rPr>
          <w:sz w:val="24"/>
          <w:szCs w:val="24"/>
        </w:rPr>
        <w:t>30</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_Toc7599 </w:instrText>
      </w:r>
      <w:r>
        <w:rPr>
          <w:rFonts w:hint="default"/>
          <w:sz w:val="24"/>
          <w:szCs w:val="24"/>
        </w:rPr>
        <w:fldChar w:fldCharType="separate"/>
      </w:r>
      <w:r>
        <w:rPr>
          <w:bCs/>
          <w:sz w:val="24"/>
          <w:szCs w:val="24"/>
        </w:rPr>
        <w:t>5.2.8环境应急资源</w:t>
      </w:r>
      <w:r>
        <w:rPr>
          <w:sz w:val="24"/>
          <w:szCs w:val="24"/>
        </w:rPr>
        <w:tab/>
      </w:r>
      <w:r>
        <w:rPr>
          <w:sz w:val="24"/>
          <w:szCs w:val="24"/>
        </w:rPr>
        <w:fldChar w:fldCharType="begin"/>
      </w:r>
      <w:r>
        <w:rPr>
          <w:sz w:val="24"/>
          <w:szCs w:val="24"/>
        </w:rPr>
        <w:instrText xml:space="preserve"> PAGEREF _Toc7599 </w:instrText>
      </w:r>
      <w:r>
        <w:rPr>
          <w:sz w:val="24"/>
          <w:szCs w:val="24"/>
        </w:rPr>
        <w:fldChar w:fldCharType="separate"/>
      </w:r>
      <w:r>
        <w:rPr>
          <w:sz w:val="24"/>
          <w:szCs w:val="24"/>
        </w:rPr>
        <w:t>31</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_Toc29274 </w:instrText>
      </w:r>
      <w:r>
        <w:rPr>
          <w:rFonts w:hint="default"/>
          <w:sz w:val="24"/>
          <w:szCs w:val="24"/>
        </w:rPr>
        <w:fldChar w:fldCharType="separate"/>
      </w:r>
      <w:r>
        <w:rPr>
          <w:bCs/>
          <w:sz w:val="24"/>
          <w:szCs w:val="24"/>
        </w:rPr>
        <w:t>5.3历史经验教训总结</w:t>
      </w:r>
      <w:r>
        <w:rPr>
          <w:sz w:val="24"/>
          <w:szCs w:val="24"/>
        </w:rPr>
        <w:tab/>
      </w:r>
      <w:r>
        <w:rPr>
          <w:sz w:val="24"/>
          <w:szCs w:val="24"/>
        </w:rPr>
        <w:fldChar w:fldCharType="begin"/>
      </w:r>
      <w:r>
        <w:rPr>
          <w:sz w:val="24"/>
          <w:szCs w:val="24"/>
        </w:rPr>
        <w:instrText xml:space="preserve"> PAGEREF _Toc29274 </w:instrText>
      </w:r>
      <w:r>
        <w:rPr>
          <w:sz w:val="24"/>
          <w:szCs w:val="24"/>
        </w:rPr>
        <w:fldChar w:fldCharType="separate"/>
      </w:r>
      <w:r>
        <w:rPr>
          <w:sz w:val="24"/>
          <w:szCs w:val="24"/>
        </w:rPr>
        <w:t>31</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_Toc15383 </w:instrText>
      </w:r>
      <w:r>
        <w:rPr>
          <w:rFonts w:hint="default"/>
          <w:sz w:val="24"/>
          <w:szCs w:val="24"/>
        </w:rPr>
        <w:fldChar w:fldCharType="separate"/>
      </w:r>
      <w:r>
        <w:rPr>
          <w:bCs/>
          <w:sz w:val="24"/>
          <w:szCs w:val="24"/>
        </w:rPr>
        <w:t>5.4需要整改的短期、中期和长期项目内容</w:t>
      </w:r>
      <w:r>
        <w:rPr>
          <w:sz w:val="24"/>
          <w:szCs w:val="24"/>
        </w:rPr>
        <w:tab/>
      </w:r>
      <w:r>
        <w:rPr>
          <w:sz w:val="24"/>
          <w:szCs w:val="24"/>
        </w:rPr>
        <w:fldChar w:fldCharType="begin"/>
      </w:r>
      <w:r>
        <w:rPr>
          <w:sz w:val="24"/>
          <w:szCs w:val="24"/>
        </w:rPr>
        <w:instrText xml:space="preserve"> PAGEREF _Toc15383 </w:instrText>
      </w:r>
      <w:r>
        <w:rPr>
          <w:sz w:val="24"/>
          <w:szCs w:val="24"/>
        </w:rPr>
        <w:fldChar w:fldCharType="separate"/>
      </w:r>
      <w:r>
        <w:rPr>
          <w:sz w:val="24"/>
          <w:szCs w:val="24"/>
        </w:rPr>
        <w:t>31</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_Toc22674 </w:instrText>
      </w:r>
      <w:r>
        <w:rPr>
          <w:rFonts w:hint="default"/>
          <w:sz w:val="24"/>
          <w:szCs w:val="24"/>
        </w:rPr>
        <w:fldChar w:fldCharType="separate"/>
      </w:r>
      <w:r>
        <w:rPr>
          <w:bCs/>
          <w:sz w:val="24"/>
          <w:szCs w:val="24"/>
        </w:rPr>
        <w:t>6、完善环境风险防控和应急措施的实施计划</w:t>
      </w:r>
      <w:r>
        <w:rPr>
          <w:sz w:val="24"/>
          <w:szCs w:val="24"/>
        </w:rPr>
        <w:tab/>
      </w:r>
      <w:r>
        <w:rPr>
          <w:sz w:val="24"/>
          <w:szCs w:val="24"/>
        </w:rPr>
        <w:fldChar w:fldCharType="begin"/>
      </w:r>
      <w:r>
        <w:rPr>
          <w:sz w:val="24"/>
          <w:szCs w:val="24"/>
        </w:rPr>
        <w:instrText xml:space="preserve"> PAGEREF _Toc22674 </w:instrText>
      </w:r>
      <w:r>
        <w:rPr>
          <w:sz w:val="24"/>
          <w:szCs w:val="24"/>
        </w:rPr>
        <w:fldChar w:fldCharType="separate"/>
      </w:r>
      <w:r>
        <w:rPr>
          <w:sz w:val="24"/>
          <w:szCs w:val="24"/>
        </w:rPr>
        <w:t>33</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_Toc25404 </w:instrText>
      </w:r>
      <w:r>
        <w:rPr>
          <w:rFonts w:hint="default"/>
          <w:sz w:val="24"/>
          <w:szCs w:val="24"/>
        </w:rPr>
        <w:fldChar w:fldCharType="separate"/>
      </w:r>
      <w:r>
        <w:rPr>
          <w:bCs/>
          <w:sz w:val="24"/>
          <w:szCs w:val="24"/>
        </w:rPr>
        <w:t>7、加油站突发环境事件风险等级</w:t>
      </w:r>
      <w:r>
        <w:rPr>
          <w:sz w:val="24"/>
          <w:szCs w:val="24"/>
        </w:rPr>
        <w:tab/>
      </w:r>
      <w:r>
        <w:rPr>
          <w:sz w:val="24"/>
          <w:szCs w:val="24"/>
        </w:rPr>
        <w:fldChar w:fldCharType="begin"/>
      </w:r>
      <w:r>
        <w:rPr>
          <w:sz w:val="24"/>
          <w:szCs w:val="24"/>
        </w:rPr>
        <w:instrText xml:space="preserve"> PAGEREF _Toc25404 </w:instrText>
      </w:r>
      <w:r>
        <w:rPr>
          <w:sz w:val="24"/>
          <w:szCs w:val="24"/>
        </w:rPr>
        <w:fldChar w:fldCharType="separate"/>
      </w:r>
      <w:r>
        <w:rPr>
          <w:sz w:val="24"/>
          <w:szCs w:val="24"/>
        </w:rPr>
        <w:t>34</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_Toc31581 </w:instrText>
      </w:r>
      <w:r>
        <w:rPr>
          <w:rFonts w:hint="default"/>
          <w:sz w:val="24"/>
          <w:szCs w:val="24"/>
        </w:rPr>
        <w:fldChar w:fldCharType="separate"/>
      </w:r>
      <w:r>
        <w:rPr>
          <w:bCs/>
          <w:sz w:val="24"/>
          <w:szCs w:val="24"/>
        </w:rPr>
        <w:t>7.1.1计算涉气风险物质数量与临界量比值（Q）</w:t>
      </w:r>
      <w:r>
        <w:rPr>
          <w:sz w:val="24"/>
          <w:szCs w:val="24"/>
        </w:rPr>
        <w:tab/>
      </w:r>
      <w:r>
        <w:rPr>
          <w:sz w:val="24"/>
          <w:szCs w:val="24"/>
        </w:rPr>
        <w:fldChar w:fldCharType="begin"/>
      </w:r>
      <w:r>
        <w:rPr>
          <w:sz w:val="24"/>
          <w:szCs w:val="24"/>
        </w:rPr>
        <w:instrText xml:space="preserve"> PAGEREF _Toc31581 </w:instrText>
      </w:r>
      <w:r>
        <w:rPr>
          <w:sz w:val="24"/>
          <w:szCs w:val="24"/>
        </w:rPr>
        <w:fldChar w:fldCharType="separate"/>
      </w:r>
      <w:r>
        <w:rPr>
          <w:sz w:val="24"/>
          <w:szCs w:val="24"/>
        </w:rPr>
        <w:t>34</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_Toc16721 </w:instrText>
      </w:r>
      <w:r>
        <w:rPr>
          <w:rFonts w:hint="default"/>
          <w:sz w:val="24"/>
          <w:szCs w:val="24"/>
        </w:rPr>
        <w:fldChar w:fldCharType="separate"/>
      </w:r>
      <w:r>
        <w:rPr>
          <w:bCs/>
          <w:sz w:val="24"/>
          <w:szCs w:val="24"/>
        </w:rPr>
        <w:t>7.1.2生产工艺过程与大气环境风险控制水平（M）评估</w:t>
      </w:r>
      <w:r>
        <w:rPr>
          <w:sz w:val="24"/>
          <w:szCs w:val="24"/>
        </w:rPr>
        <w:tab/>
      </w:r>
      <w:r>
        <w:rPr>
          <w:sz w:val="24"/>
          <w:szCs w:val="24"/>
        </w:rPr>
        <w:fldChar w:fldCharType="begin"/>
      </w:r>
      <w:r>
        <w:rPr>
          <w:sz w:val="24"/>
          <w:szCs w:val="24"/>
        </w:rPr>
        <w:instrText xml:space="preserve"> PAGEREF _Toc16721 </w:instrText>
      </w:r>
      <w:r>
        <w:rPr>
          <w:sz w:val="24"/>
          <w:szCs w:val="24"/>
        </w:rPr>
        <w:fldChar w:fldCharType="separate"/>
      </w:r>
      <w:r>
        <w:rPr>
          <w:sz w:val="24"/>
          <w:szCs w:val="24"/>
        </w:rPr>
        <w:t>35</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_Toc24674 </w:instrText>
      </w:r>
      <w:r>
        <w:rPr>
          <w:rFonts w:hint="default"/>
          <w:sz w:val="24"/>
          <w:szCs w:val="24"/>
        </w:rPr>
        <w:fldChar w:fldCharType="separate"/>
      </w:r>
      <w:r>
        <w:rPr>
          <w:bCs/>
          <w:sz w:val="24"/>
          <w:szCs w:val="24"/>
        </w:rPr>
        <w:t>7.1.2.1生产工艺过程含有风险工艺和设备情况</w:t>
      </w:r>
      <w:r>
        <w:rPr>
          <w:sz w:val="24"/>
          <w:szCs w:val="24"/>
        </w:rPr>
        <w:tab/>
      </w:r>
      <w:r>
        <w:rPr>
          <w:sz w:val="24"/>
          <w:szCs w:val="24"/>
        </w:rPr>
        <w:fldChar w:fldCharType="begin"/>
      </w:r>
      <w:r>
        <w:rPr>
          <w:sz w:val="24"/>
          <w:szCs w:val="24"/>
        </w:rPr>
        <w:instrText xml:space="preserve"> PAGEREF _Toc24674 </w:instrText>
      </w:r>
      <w:r>
        <w:rPr>
          <w:sz w:val="24"/>
          <w:szCs w:val="24"/>
        </w:rPr>
        <w:fldChar w:fldCharType="separate"/>
      </w:r>
      <w:r>
        <w:rPr>
          <w:sz w:val="24"/>
          <w:szCs w:val="24"/>
        </w:rPr>
        <w:t>35</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_Toc7317 </w:instrText>
      </w:r>
      <w:r>
        <w:rPr>
          <w:rFonts w:hint="default"/>
          <w:sz w:val="24"/>
          <w:szCs w:val="24"/>
        </w:rPr>
        <w:fldChar w:fldCharType="separate"/>
      </w:r>
      <w:r>
        <w:rPr>
          <w:bCs/>
          <w:sz w:val="24"/>
          <w:szCs w:val="24"/>
        </w:rPr>
        <w:t>7.1.2.2大气环境风险防控措施及突发大气环境事件发生情况</w:t>
      </w:r>
      <w:r>
        <w:rPr>
          <w:sz w:val="24"/>
          <w:szCs w:val="24"/>
        </w:rPr>
        <w:tab/>
      </w:r>
      <w:r>
        <w:rPr>
          <w:sz w:val="24"/>
          <w:szCs w:val="24"/>
        </w:rPr>
        <w:fldChar w:fldCharType="begin"/>
      </w:r>
      <w:r>
        <w:rPr>
          <w:sz w:val="24"/>
          <w:szCs w:val="24"/>
        </w:rPr>
        <w:instrText xml:space="preserve"> PAGEREF _Toc7317 </w:instrText>
      </w:r>
      <w:r>
        <w:rPr>
          <w:sz w:val="24"/>
          <w:szCs w:val="24"/>
        </w:rPr>
        <w:fldChar w:fldCharType="separate"/>
      </w:r>
      <w:r>
        <w:rPr>
          <w:sz w:val="24"/>
          <w:szCs w:val="24"/>
        </w:rPr>
        <w:t>35</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_Toc5939 </w:instrText>
      </w:r>
      <w:r>
        <w:rPr>
          <w:rFonts w:hint="default"/>
          <w:sz w:val="24"/>
          <w:szCs w:val="24"/>
        </w:rPr>
        <w:fldChar w:fldCharType="separate"/>
      </w:r>
      <w:r>
        <w:rPr>
          <w:bCs/>
          <w:sz w:val="24"/>
          <w:szCs w:val="24"/>
        </w:rPr>
        <w:t>7.1.2.3企业生产工艺过程与大气环境风险控制水平</w:t>
      </w:r>
      <w:r>
        <w:rPr>
          <w:sz w:val="24"/>
          <w:szCs w:val="24"/>
        </w:rPr>
        <w:tab/>
      </w:r>
      <w:r>
        <w:rPr>
          <w:sz w:val="24"/>
          <w:szCs w:val="24"/>
        </w:rPr>
        <w:fldChar w:fldCharType="begin"/>
      </w:r>
      <w:r>
        <w:rPr>
          <w:sz w:val="24"/>
          <w:szCs w:val="24"/>
        </w:rPr>
        <w:instrText xml:space="preserve"> PAGEREF _Toc5939 </w:instrText>
      </w:r>
      <w:r>
        <w:rPr>
          <w:sz w:val="24"/>
          <w:szCs w:val="24"/>
        </w:rPr>
        <w:fldChar w:fldCharType="separate"/>
      </w:r>
      <w:r>
        <w:rPr>
          <w:sz w:val="24"/>
          <w:szCs w:val="24"/>
        </w:rPr>
        <w:t>36</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_Toc26466 </w:instrText>
      </w:r>
      <w:r>
        <w:rPr>
          <w:rFonts w:hint="default"/>
          <w:sz w:val="24"/>
          <w:szCs w:val="24"/>
        </w:rPr>
        <w:fldChar w:fldCharType="separate"/>
      </w:r>
      <w:r>
        <w:rPr>
          <w:bCs/>
          <w:sz w:val="24"/>
          <w:szCs w:val="24"/>
        </w:rPr>
        <w:t>7.1.3大气环境风险受体敏感程度（E）评估</w:t>
      </w:r>
      <w:r>
        <w:rPr>
          <w:sz w:val="24"/>
          <w:szCs w:val="24"/>
        </w:rPr>
        <w:tab/>
      </w:r>
      <w:r>
        <w:rPr>
          <w:sz w:val="24"/>
          <w:szCs w:val="24"/>
        </w:rPr>
        <w:fldChar w:fldCharType="begin"/>
      </w:r>
      <w:r>
        <w:rPr>
          <w:sz w:val="24"/>
          <w:szCs w:val="24"/>
        </w:rPr>
        <w:instrText xml:space="preserve"> PAGEREF _Toc26466 </w:instrText>
      </w:r>
      <w:r>
        <w:rPr>
          <w:sz w:val="24"/>
          <w:szCs w:val="24"/>
        </w:rPr>
        <w:fldChar w:fldCharType="separate"/>
      </w:r>
      <w:r>
        <w:rPr>
          <w:sz w:val="24"/>
          <w:szCs w:val="24"/>
        </w:rPr>
        <w:t>36</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_Toc3499 </w:instrText>
      </w:r>
      <w:r>
        <w:rPr>
          <w:rFonts w:hint="default"/>
          <w:sz w:val="24"/>
          <w:szCs w:val="24"/>
        </w:rPr>
        <w:fldChar w:fldCharType="separate"/>
      </w:r>
      <w:r>
        <w:rPr>
          <w:bCs/>
          <w:sz w:val="24"/>
          <w:szCs w:val="24"/>
        </w:rPr>
        <w:t>7.1.4突发大气环境事件风险等级确定</w:t>
      </w:r>
      <w:r>
        <w:rPr>
          <w:sz w:val="24"/>
          <w:szCs w:val="24"/>
        </w:rPr>
        <w:tab/>
      </w:r>
      <w:r>
        <w:rPr>
          <w:sz w:val="24"/>
          <w:szCs w:val="24"/>
        </w:rPr>
        <w:fldChar w:fldCharType="begin"/>
      </w:r>
      <w:r>
        <w:rPr>
          <w:sz w:val="24"/>
          <w:szCs w:val="24"/>
        </w:rPr>
        <w:instrText xml:space="preserve"> PAGEREF _Toc3499 </w:instrText>
      </w:r>
      <w:r>
        <w:rPr>
          <w:sz w:val="24"/>
          <w:szCs w:val="24"/>
        </w:rPr>
        <w:fldChar w:fldCharType="separate"/>
      </w:r>
      <w:r>
        <w:rPr>
          <w:sz w:val="24"/>
          <w:szCs w:val="24"/>
        </w:rPr>
        <w:t>37</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_Toc4481 </w:instrText>
      </w:r>
      <w:r>
        <w:rPr>
          <w:rFonts w:hint="default"/>
          <w:sz w:val="24"/>
          <w:szCs w:val="24"/>
        </w:rPr>
        <w:fldChar w:fldCharType="separate"/>
      </w:r>
      <w:r>
        <w:rPr>
          <w:bCs/>
          <w:sz w:val="24"/>
          <w:szCs w:val="24"/>
        </w:rPr>
        <w:t>7.1.5突发大气环境事件等级表征</w:t>
      </w:r>
      <w:r>
        <w:rPr>
          <w:sz w:val="24"/>
          <w:szCs w:val="24"/>
        </w:rPr>
        <w:tab/>
      </w:r>
      <w:r>
        <w:rPr>
          <w:sz w:val="24"/>
          <w:szCs w:val="24"/>
        </w:rPr>
        <w:fldChar w:fldCharType="begin"/>
      </w:r>
      <w:r>
        <w:rPr>
          <w:sz w:val="24"/>
          <w:szCs w:val="24"/>
        </w:rPr>
        <w:instrText xml:space="preserve"> PAGEREF _Toc4481 </w:instrText>
      </w:r>
      <w:r>
        <w:rPr>
          <w:sz w:val="24"/>
          <w:szCs w:val="24"/>
        </w:rPr>
        <w:fldChar w:fldCharType="separate"/>
      </w:r>
      <w:r>
        <w:rPr>
          <w:sz w:val="24"/>
          <w:szCs w:val="24"/>
        </w:rPr>
        <w:t>37</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_Toc12380 </w:instrText>
      </w:r>
      <w:r>
        <w:rPr>
          <w:rFonts w:hint="default"/>
          <w:sz w:val="24"/>
          <w:szCs w:val="24"/>
        </w:rPr>
        <w:fldChar w:fldCharType="separate"/>
      </w:r>
      <w:r>
        <w:rPr>
          <w:bCs/>
          <w:sz w:val="24"/>
          <w:szCs w:val="24"/>
        </w:rPr>
        <w:t>7.2突发水环境事件风险分级</w:t>
      </w:r>
      <w:r>
        <w:rPr>
          <w:sz w:val="24"/>
          <w:szCs w:val="24"/>
        </w:rPr>
        <w:tab/>
      </w:r>
      <w:r>
        <w:rPr>
          <w:sz w:val="24"/>
          <w:szCs w:val="24"/>
        </w:rPr>
        <w:fldChar w:fldCharType="begin"/>
      </w:r>
      <w:r>
        <w:rPr>
          <w:sz w:val="24"/>
          <w:szCs w:val="24"/>
        </w:rPr>
        <w:instrText xml:space="preserve"> PAGEREF _Toc12380 </w:instrText>
      </w:r>
      <w:r>
        <w:rPr>
          <w:sz w:val="24"/>
          <w:szCs w:val="24"/>
        </w:rPr>
        <w:fldChar w:fldCharType="separate"/>
      </w:r>
      <w:r>
        <w:rPr>
          <w:sz w:val="24"/>
          <w:szCs w:val="24"/>
        </w:rPr>
        <w:t>38</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_Toc26980 </w:instrText>
      </w:r>
      <w:r>
        <w:rPr>
          <w:rFonts w:hint="default"/>
          <w:sz w:val="24"/>
          <w:szCs w:val="24"/>
        </w:rPr>
        <w:fldChar w:fldCharType="separate"/>
      </w:r>
      <w:r>
        <w:rPr>
          <w:bCs/>
          <w:sz w:val="24"/>
          <w:szCs w:val="24"/>
        </w:rPr>
        <w:t>7.2.1计算涉水风险物质数量与临界量比值（Q）</w:t>
      </w:r>
      <w:r>
        <w:rPr>
          <w:sz w:val="24"/>
          <w:szCs w:val="24"/>
        </w:rPr>
        <w:tab/>
      </w:r>
      <w:r>
        <w:rPr>
          <w:sz w:val="24"/>
          <w:szCs w:val="24"/>
        </w:rPr>
        <w:fldChar w:fldCharType="begin"/>
      </w:r>
      <w:r>
        <w:rPr>
          <w:sz w:val="24"/>
          <w:szCs w:val="24"/>
        </w:rPr>
        <w:instrText xml:space="preserve"> PAGEREF _Toc26980 </w:instrText>
      </w:r>
      <w:r>
        <w:rPr>
          <w:sz w:val="24"/>
          <w:szCs w:val="24"/>
        </w:rPr>
        <w:fldChar w:fldCharType="separate"/>
      </w:r>
      <w:r>
        <w:rPr>
          <w:sz w:val="24"/>
          <w:szCs w:val="24"/>
        </w:rPr>
        <w:t>38</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_Toc32629 </w:instrText>
      </w:r>
      <w:r>
        <w:rPr>
          <w:rFonts w:hint="default"/>
          <w:sz w:val="24"/>
          <w:szCs w:val="24"/>
        </w:rPr>
        <w:fldChar w:fldCharType="separate"/>
      </w:r>
      <w:r>
        <w:rPr>
          <w:bCs/>
          <w:sz w:val="24"/>
          <w:szCs w:val="24"/>
        </w:rPr>
        <w:t>7.2.2生产工艺过程与水环境风险控制水平（M）评估</w:t>
      </w:r>
      <w:r>
        <w:rPr>
          <w:sz w:val="24"/>
          <w:szCs w:val="24"/>
        </w:rPr>
        <w:tab/>
      </w:r>
      <w:r>
        <w:rPr>
          <w:sz w:val="24"/>
          <w:szCs w:val="24"/>
        </w:rPr>
        <w:fldChar w:fldCharType="begin"/>
      </w:r>
      <w:r>
        <w:rPr>
          <w:sz w:val="24"/>
          <w:szCs w:val="24"/>
        </w:rPr>
        <w:instrText xml:space="preserve"> PAGEREF _Toc32629 </w:instrText>
      </w:r>
      <w:r>
        <w:rPr>
          <w:sz w:val="24"/>
          <w:szCs w:val="24"/>
        </w:rPr>
        <w:fldChar w:fldCharType="separate"/>
      </w:r>
      <w:r>
        <w:rPr>
          <w:sz w:val="24"/>
          <w:szCs w:val="24"/>
        </w:rPr>
        <w:t>39</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_Toc13302 </w:instrText>
      </w:r>
      <w:r>
        <w:rPr>
          <w:rFonts w:hint="default"/>
          <w:sz w:val="24"/>
          <w:szCs w:val="24"/>
        </w:rPr>
        <w:fldChar w:fldCharType="separate"/>
      </w:r>
      <w:r>
        <w:rPr>
          <w:bCs/>
          <w:sz w:val="24"/>
          <w:szCs w:val="24"/>
        </w:rPr>
        <w:t>7.2.2.1生产工艺过程含有风险工艺和设备情况</w:t>
      </w:r>
      <w:r>
        <w:rPr>
          <w:sz w:val="24"/>
          <w:szCs w:val="24"/>
        </w:rPr>
        <w:tab/>
      </w:r>
      <w:r>
        <w:rPr>
          <w:sz w:val="24"/>
          <w:szCs w:val="24"/>
        </w:rPr>
        <w:fldChar w:fldCharType="begin"/>
      </w:r>
      <w:r>
        <w:rPr>
          <w:sz w:val="24"/>
          <w:szCs w:val="24"/>
        </w:rPr>
        <w:instrText xml:space="preserve"> PAGEREF _Toc13302 </w:instrText>
      </w:r>
      <w:r>
        <w:rPr>
          <w:sz w:val="24"/>
          <w:szCs w:val="24"/>
        </w:rPr>
        <w:fldChar w:fldCharType="separate"/>
      </w:r>
      <w:r>
        <w:rPr>
          <w:sz w:val="24"/>
          <w:szCs w:val="24"/>
        </w:rPr>
        <w:t>39</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_Toc17347 </w:instrText>
      </w:r>
      <w:r>
        <w:rPr>
          <w:rFonts w:hint="default"/>
          <w:sz w:val="24"/>
          <w:szCs w:val="24"/>
        </w:rPr>
        <w:fldChar w:fldCharType="separate"/>
      </w:r>
      <w:r>
        <w:rPr>
          <w:bCs/>
          <w:sz w:val="24"/>
          <w:szCs w:val="24"/>
        </w:rPr>
        <w:t>7.2.2.2水环境风险防控措施及突发水环境事件发生情况</w:t>
      </w:r>
      <w:r>
        <w:rPr>
          <w:sz w:val="24"/>
          <w:szCs w:val="24"/>
        </w:rPr>
        <w:tab/>
      </w:r>
      <w:r>
        <w:rPr>
          <w:sz w:val="24"/>
          <w:szCs w:val="24"/>
        </w:rPr>
        <w:fldChar w:fldCharType="begin"/>
      </w:r>
      <w:r>
        <w:rPr>
          <w:sz w:val="24"/>
          <w:szCs w:val="24"/>
        </w:rPr>
        <w:instrText xml:space="preserve"> PAGEREF _Toc17347 </w:instrText>
      </w:r>
      <w:r>
        <w:rPr>
          <w:sz w:val="24"/>
          <w:szCs w:val="24"/>
        </w:rPr>
        <w:fldChar w:fldCharType="separate"/>
      </w:r>
      <w:r>
        <w:rPr>
          <w:sz w:val="24"/>
          <w:szCs w:val="24"/>
        </w:rPr>
        <w:t>40</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_Toc6175 </w:instrText>
      </w:r>
      <w:r>
        <w:rPr>
          <w:rFonts w:hint="default"/>
          <w:sz w:val="24"/>
          <w:szCs w:val="24"/>
        </w:rPr>
        <w:fldChar w:fldCharType="separate"/>
      </w:r>
      <w:r>
        <w:rPr>
          <w:bCs/>
          <w:sz w:val="24"/>
          <w:szCs w:val="24"/>
        </w:rPr>
        <w:t>7.2.2.3企业生产工艺过程与水环境风险控制水平</w:t>
      </w:r>
      <w:r>
        <w:rPr>
          <w:sz w:val="24"/>
          <w:szCs w:val="24"/>
        </w:rPr>
        <w:tab/>
      </w:r>
      <w:r>
        <w:rPr>
          <w:sz w:val="24"/>
          <w:szCs w:val="24"/>
        </w:rPr>
        <w:fldChar w:fldCharType="begin"/>
      </w:r>
      <w:r>
        <w:rPr>
          <w:sz w:val="24"/>
          <w:szCs w:val="24"/>
        </w:rPr>
        <w:instrText xml:space="preserve"> PAGEREF _Toc6175 </w:instrText>
      </w:r>
      <w:r>
        <w:rPr>
          <w:sz w:val="24"/>
          <w:szCs w:val="24"/>
        </w:rPr>
        <w:fldChar w:fldCharType="separate"/>
      </w:r>
      <w:r>
        <w:rPr>
          <w:sz w:val="24"/>
          <w:szCs w:val="24"/>
        </w:rPr>
        <w:t>42</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_Toc11443 </w:instrText>
      </w:r>
      <w:r>
        <w:rPr>
          <w:rFonts w:hint="default"/>
          <w:sz w:val="24"/>
          <w:szCs w:val="24"/>
        </w:rPr>
        <w:fldChar w:fldCharType="separate"/>
      </w:r>
      <w:r>
        <w:rPr>
          <w:bCs/>
          <w:sz w:val="24"/>
          <w:szCs w:val="24"/>
        </w:rPr>
        <w:t>7.2.3水环境风险受体敏感程度（E）评估</w:t>
      </w:r>
      <w:r>
        <w:rPr>
          <w:sz w:val="24"/>
          <w:szCs w:val="24"/>
        </w:rPr>
        <w:tab/>
      </w:r>
      <w:r>
        <w:rPr>
          <w:sz w:val="24"/>
          <w:szCs w:val="24"/>
        </w:rPr>
        <w:fldChar w:fldCharType="begin"/>
      </w:r>
      <w:r>
        <w:rPr>
          <w:sz w:val="24"/>
          <w:szCs w:val="24"/>
        </w:rPr>
        <w:instrText xml:space="preserve"> PAGEREF _Toc11443 </w:instrText>
      </w:r>
      <w:r>
        <w:rPr>
          <w:sz w:val="24"/>
          <w:szCs w:val="24"/>
        </w:rPr>
        <w:fldChar w:fldCharType="separate"/>
      </w:r>
      <w:r>
        <w:rPr>
          <w:sz w:val="24"/>
          <w:szCs w:val="24"/>
        </w:rPr>
        <w:t>43</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_Toc9007 </w:instrText>
      </w:r>
      <w:r>
        <w:rPr>
          <w:rFonts w:hint="default"/>
          <w:sz w:val="24"/>
          <w:szCs w:val="24"/>
        </w:rPr>
        <w:fldChar w:fldCharType="separate"/>
      </w:r>
      <w:r>
        <w:rPr>
          <w:bCs/>
          <w:sz w:val="24"/>
          <w:szCs w:val="24"/>
        </w:rPr>
        <w:t>7.2.4突发水环境事件风险等级确定</w:t>
      </w:r>
      <w:r>
        <w:rPr>
          <w:sz w:val="24"/>
          <w:szCs w:val="24"/>
        </w:rPr>
        <w:tab/>
      </w:r>
      <w:r>
        <w:rPr>
          <w:sz w:val="24"/>
          <w:szCs w:val="24"/>
        </w:rPr>
        <w:fldChar w:fldCharType="begin"/>
      </w:r>
      <w:r>
        <w:rPr>
          <w:sz w:val="24"/>
          <w:szCs w:val="24"/>
        </w:rPr>
        <w:instrText xml:space="preserve"> PAGEREF _Toc9007 </w:instrText>
      </w:r>
      <w:r>
        <w:rPr>
          <w:sz w:val="24"/>
          <w:szCs w:val="24"/>
        </w:rPr>
        <w:fldChar w:fldCharType="separate"/>
      </w:r>
      <w:r>
        <w:rPr>
          <w:sz w:val="24"/>
          <w:szCs w:val="24"/>
        </w:rPr>
        <w:t>44</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_Toc10120 </w:instrText>
      </w:r>
      <w:r>
        <w:rPr>
          <w:rFonts w:hint="default"/>
          <w:sz w:val="24"/>
          <w:szCs w:val="24"/>
        </w:rPr>
        <w:fldChar w:fldCharType="separate"/>
      </w:r>
      <w:r>
        <w:rPr>
          <w:bCs/>
          <w:sz w:val="24"/>
          <w:szCs w:val="24"/>
        </w:rPr>
        <w:t>7.2.5突发水环境事件风险等级表征</w:t>
      </w:r>
      <w:r>
        <w:rPr>
          <w:sz w:val="24"/>
          <w:szCs w:val="24"/>
        </w:rPr>
        <w:tab/>
      </w:r>
      <w:r>
        <w:rPr>
          <w:sz w:val="24"/>
          <w:szCs w:val="24"/>
        </w:rPr>
        <w:fldChar w:fldCharType="begin"/>
      </w:r>
      <w:r>
        <w:rPr>
          <w:sz w:val="24"/>
          <w:szCs w:val="24"/>
        </w:rPr>
        <w:instrText xml:space="preserve"> PAGEREF _Toc10120 </w:instrText>
      </w:r>
      <w:r>
        <w:rPr>
          <w:sz w:val="24"/>
          <w:szCs w:val="24"/>
        </w:rPr>
        <w:fldChar w:fldCharType="separate"/>
      </w:r>
      <w:r>
        <w:rPr>
          <w:sz w:val="24"/>
          <w:szCs w:val="24"/>
        </w:rPr>
        <w:t>44</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_Toc5573 </w:instrText>
      </w:r>
      <w:r>
        <w:rPr>
          <w:rFonts w:hint="default"/>
          <w:sz w:val="24"/>
          <w:szCs w:val="24"/>
        </w:rPr>
        <w:fldChar w:fldCharType="separate"/>
      </w:r>
      <w:r>
        <w:rPr>
          <w:bCs/>
          <w:sz w:val="24"/>
          <w:szCs w:val="24"/>
        </w:rPr>
        <w:t>7.3企业突发环境事件风险等级确定与调整</w:t>
      </w:r>
      <w:r>
        <w:rPr>
          <w:sz w:val="24"/>
          <w:szCs w:val="24"/>
        </w:rPr>
        <w:tab/>
      </w:r>
      <w:r>
        <w:rPr>
          <w:sz w:val="24"/>
          <w:szCs w:val="24"/>
        </w:rPr>
        <w:fldChar w:fldCharType="begin"/>
      </w:r>
      <w:r>
        <w:rPr>
          <w:sz w:val="24"/>
          <w:szCs w:val="24"/>
        </w:rPr>
        <w:instrText xml:space="preserve"> PAGEREF _Toc5573 </w:instrText>
      </w:r>
      <w:r>
        <w:rPr>
          <w:sz w:val="24"/>
          <w:szCs w:val="24"/>
        </w:rPr>
        <w:fldChar w:fldCharType="separate"/>
      </w:r>
      <w:r>
        <w:rPr>
          <w:sz w:val="24"/>
          <w:szCs w:val="24"/>
        </w:rPr>
        <w:t>44</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_Toc290 </w:instrText>
      </w:r>
      <w:r>
        <w:rPr>
          <w:rFonts w:hint="default"/>
          <w:sz w:val="24"/>
          <w:szCs w:val="24"/>
        </w:rPr>
        <w:fldChar w:fldCharType="separate"/>
      </w:r>
      <w:r>
        <w:rPr>
          <w:bCs/>
          <w:sz w:val="24"/>
          <w:szCs w:val="24"/>
        </w:rPr>
        <w:t>7.3.1风险等级确定</w:t>
      </w:r>
      <w:r>
        <w:rPr>
          <w:sz w:val="24"/>
          <w:szCs w:val="24"/>
        </w:rPr>
        <w:tab/>
      </w:r>
      <w:r>
        <w:rPr>
          <w:sz w:val="24"/>
          <w:szCs w:val="24"/>
        </w:rPr>
        <w:fldChar w:fldCharType="begin"/>
      </w:r>
      <w:r>
        <w:rPr>
          <w:sz w:val="24"/>
          <w:szCs w:val="24"/>
        </w:rPr>
        <w:instrText xml:space="preserve"> PAGEREF _Toc290 </w:instrText>
      </w:r>
      <w:r>
        <w:rPr>
          <w:sz w:val="24"/>
          <w:szCs w:val="24"/>
        </w:rPr>
        <w:fldChar w:fldCharType="separate"/>
      </w:r>
      <w:r>
        <w:rPr>
          <w:sz w:val="24"/>
          <w:szCs w:val="24"/>
        </w:rPr>
        <w:t>44</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_Toc25853 </w:instrText>
      </w:r>
      <w:r>
        <w:rPr>
          <w:rFonts w:hint="default"/>
          <w:sz w:val="24"/>
          <w:szCs w:val="24"/>
        </w:rPr>
        <w:fldChar w:fldCharType="separate"/>
      </w:r>
      <w:r>
        <w:rPr>
          <w:bCs/>
          <w:sz w:val="24"/>
          <w:szCs w:val="24"/>
        </w:rPr>
        <w:t>7.3.2风险等级调整</w:t>
      </w:r>
      <w:r>
        <w:rPr>
          <w:sz w:val="24"/>
          <w:szCs w:val="24"/>
        </w:rPr>
        <w:tab/>
      </w:r>
      <w:r>
        <w:rPr>
          <w:sz w:val="24"/>
          <w:szCs w:val="24"/>
        </w:rPr>
        <w:fldChar w:fldCharType="begin"/>
      </w:r>
      <w:r>
        <w:rPr>
          <w:sz w:val="24"/>
          <w:szCs w:val="24"/>
        </w:rPr>
        <w:instrText xml:space="preserve"> PAGEREF _Toc25853 </w:instrText>
      </w:r>
      <w:r>
        <w:rPr>
          <w:sz w:val="24"/>
          <w:szCs w:val="24"/>
        </w:rPr>
        <w:fldChar w:fldCharType="separate"/>
      </w:r>
      <w:r>
        <w:rPr>
          <w:sz w:val="24"/>
          <w:szCs w:val="24"/>
        </w:rPr>
        <w:t>45</w:t>
      </w:r>
      <w:r>
        <w:rPr>
          <w:sz w:val="24"/>
          <w:szCs w:val="24"/>
        </w:rPr>
        <w:fldChar w:fldCharType="end"/>
      </w:r>
      <w:r>
        <w:rPr>
          <w:rFonts w:hint="default"/>
          <w:color w:val="000000" w:themeColor="text1"/>
          <w:sz w:val="24"/>
          <w:szCs w:val="24"/>
        </w:rPr>
        <w:fldChar w:fldCharType="end"/>
      </w:r>
    </w:p>
    <w:p>
      <w:pPr>
        <w:pStyle w:val="10"/>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_Toc12034 </w:instrText>
      </w:r>
      <w:r>
        <w:rPr>
          <w:rFonts w:hint="default"/>
          <w:sz w:val="24"/>
          <w:szCs w:val="24"/>
        </w:rPr>
        <w:fldChar w:fldCharType="separate"/>
      </w:r>
      <w:r>
        <w:rPr>
          <w:bCs/>
          <w:sz w:val="24"/>
          <w:szCs w:val="24"/>
        </w:rPr>
        <w:t>7.3.3风险等级表征</w:t>
      </w:r>
      <w:r>
        <w:rPr>
          <w:sz w:val="24"/>
          <w:szCs w:val="24"/>
        </w:rPr>
        <w:tab/>
      </w:r>
      <w:r>
        <w:rPr>
          <w:sz w:val="24"/>
          <w:szCs w:val="24"/>
        </w:rPr>
        <w:fldChar w:fldCharType="begin"/>
      </w:r>
      <w:r>
        <w:rPr>
          <w:sz w:val="24"/>
          <w:szCs w:val="24"/>
        </w:rPr>
        <w:instrText xml:space="preserve"> PAGEREF _Toc12034 </w:instrText>
      </w:r>
      <w:r>
        <w:rPr>
          <w:sz w:val="24"/>
          <w:szCs w:val="24"/>
        </w:rPr>
        <w:fldChar w:fldCharType="separate"/>
      </w:r>
      <w:r>
        <w:rPr>
          <w:sz w:val="24"/>
          <w:szCs w:val="24"/>
        </w:rPr>
        <w:t>45</w:t>
      </w:r>
      <w:r>
        <w:rPr>
          <w:sz w:val="24"/>
          <w:szCs w:val="24"/>
        </w:rPr>
        <w:fldChar w:fldCharType="end"/>
      </w:r>
      <w:r>
        <w:rPr>
          <w:rFonts w:hint="default"/>
          <w:color w:val="000000" w:themeColor="text1"/>
          <w:sz w:val="24"/>
          <w:szCs w:val="24"/>
        </w:rPr>
        <w:fldChar w:fldCharType="end"/>
      </w:r>
    </w:p>
    <w:p>
      <w:pPr>
        <w:pStyle w:val="12"/>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_Toc31200 </w:instrText>
      </w:r>
      <w:r>
        <w:rPr>
          <w:rFonts w:hint="default"/>
          <w:sz w:val="24"/>
          <w:szCs w:val="24"/>
        </w:rPr>
        <w:fldChar w:fldCharType="separate"/>
      </w:r>
      <w:r>
        <w:rPr>
          <w:rFonts w:ascii="Times New Roman" w:hAnsi="Times New Roman" w:eastAsia="宋体"/>
          <w:sz w:val="24"/>
          <w:szCs w:val="24"/>
        </w:rPr>
        <w:t>附图1：项目地理位置图</w:t>
      </w:r>
      <w:r>
        <w:rPr>
          <w:sz w:val="24"/>
          <w:szCs w:val="24"/>
        </w:rPr>
        <w:tab/>
      </w:r>
      <w:r>
        <w:rPr>
          <w:sz w:val="24"/>
          <w:szCs w:val="24"/>
        </w:rPr>
        <w:fldChar w:fldCharType="begin"/>
      </w:r>
      <w:r>
        <w:rPr>
          <w:sz w:val="24"/>
          <w:szCs w:val="24"/>
        </w:rPr>
        <w:instrText xml:space="preserve"> PAGEREF _Toc31200 </w:instrText>
      </w:r>
      <w:r>
        <w:rPr>
          <w:sz w:val="24"/>
          <w:szCs w:val="24"/>
        </w:rPr>
        <w:fldChar w:fldCharType="separate"/>
      </w:r>
      <w:r>
        <w:rPr>
          <w:sz w:val="24"/>
          <w:szCs w:val="24"/>
        </w:rPr>
        <w:t>I</w:t>
      </w:r>
      <w:r>
        <w:rPr>
          <w:sz w:val="24"/>
          <w:szCs w:val="24"/>
        </w:rPr>
        <w:fldChar w:fldCharType="end"/>
      </w:r>
      <w:r>
        <w:rPr>
          <w:rFonts w:hint="default"/>
          <w:color w:val="000000" w:themeColor="text1"/>
          <w:sz w:val="24"/>
          <w:szCs w:val="24"/>
        </w:rPr>
        <w:fldChar w:fldCharType="end"/>
      </w:r>
    </w:p>
    <w:p>
      <w:pPr>
        <w:pStyle w:val="12"/>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_Toc16756 </w:instrText>
      </w:r>
      <w:r>
        <w:rPr>
          <w:rFonts w:hint="default"/>
          <w:sz w:val="24"/>
          <w:szCs w:val="24"/>
        </w:rPr>
        <w:fldChar w:fldCharType="separate"/>
      </w:r>
      <w:r>
        <w:rPr>
          <w:rFonts w:ascii="Times New Roman" w:hAnsi="Times New Roman" w:eastAsia="宋体"/>
          <w:sz w:val="24"/>
          <w:szCs w:val="24"/>
        </w:rPr>
        <w:t>附图2：项目周边环境受体分布图</w:t>
      </w:r>
      <w:r>
        <w:rPr>
          <w:sz w:val="24"/>
          <w:szCs w:val="24"/>
        </w:rPr>
        <w:tab/>
      </w:r>
      <w:r>
        <w:rPr>
          <w:sz w:val="24"/>
          <w:szCs w:val="24"/>
        </w:rPr>
        <w:fldChar w:fldCharType="begin"/>
      </w:r>
      <w:r>
        <w:rPr>
          <w:sz w:val="24"/>
          <w:szCs w:val="24"/>
        </w:rPr>
        <w:instrText xml:space="preserve"> PAGEREF _Toc16756 </w:instrText>
      </w:r>
      <w:r>
        <w:rPr>
          <w:sz w:val="24"/>
          <w:szCs w:val="24"/>
        </w:rPr>
        <w:fldChar w:fldCharType="separate"/>
      </w:r>
      <w:r>
        <w:rPr>
          <w:sz w:val="24"/>
          <w:szCs w:val="24"/>
        </w:rPr>
        <w:t>II</w:t>
      </w:r>
      <w:r>
        <w:rPr>
          <w:sz w:val="24"/>
          <w:szCs w:val="24"/>
        </w:rPr>
        <w:fldChar w:fldCharType="end"/>
      </w:r>
      <w:r>
        <w:rPr>
          <w:rFonts w:hint="default"/>
          <w:color w:val="000000" w:themeColor="text1"/>
          <w:sz w:val="24"/>
          <w:szCs w:val="24"/>
        </w:rPr>
        <w:fldChar w:fldCharType="end"/>
      </w:r>
    </w:p>
    <w:p>
      <w:pPr>
        <w:pStyle w:val="12"/>
        <w:tabs>
          <w:tab w:val="right" w:leader="dot" w:pos="8306"/>
        </w:tabs>
        <w:rPr>
          <w:sz w:val="24"/>
          <w:szCs w:val="24"/>
        </w:rPr>
      </w:pPr>
      <w:r>
        <w:rPr>
          <w:rFonts w:hint="default"/>
          <w:color w:val="000000" w:themeColor="text1"/>
          <w:sz w:val="24"/>
          <w:szCs w:val="24"/>
        </w:rPr>
        <w:fldChar w:fldCharType="begin"/>
      </w:r>
      <w:r>
        <w:rPr>
          <w:rFonts w:hint="default"/>
          <w:sz w:val="24"/>
          <w:szCs w:val="24"/>
        </w:rPr>
        <w:instrText xml:space="preserve"> HYPERLINK \l _Toc18786 </w:instrText>
      </w:r>
      <w:r>
        <w:rPr>
          <w:rFonts w:hint="default"/>
          <w:sz w:val="24"/>
          <w:szCs w:val="24"/>
        </w:rPr>
        <w:fldChar w:fldCharType="separate"/>
      </w:r>
      <w:r>
        <w:rPr>
          <w:rFonts w:ascii="Times New Roman" w:hAnsi="Times New Roman" w:eastAsia="宋体"/>
          <w:sz w:val="24"/>
          <w:szCs w:val="24"/>
        </w:rPr>
        <w:t>附件</w:t>
      </w:r>
      <w:r>
        <w:rPr>
          <w:rFonts w:hint="eastAsia" w:ascii="Times New Roman" w:hAnsi="Times New Roman" w:eastAsia="宋体"/>
          <w:sz w:val="24"/>
          <w:szCs w:val="24"/>
        </w:rPr>
        <w:t>一</w:t>
      </w:r>
      <w:r>
        <w:rPr>
          <w:rFonts w:hint="eastAsia"/>
          <w:sz w:val="24"/>
          <w:szCs w:val="24"/>
          <w:lang w:val="en-US" w:eastAsia="zh-CN"/>
        </w:rPr>
        <w:t xml:space="preserve"> </w:t>
      </w:r>
      <w:r>
        <w:rPr>
          <w:rFonts w:ascii="Times New Roman" w:hAnsi="Times New Roman" w:eastAsia="宋体"/>
          <w:sz w:val="24"/>
          <w:szCs w:val="24"/>
        </w:rPr>
        <w:t>加油站应急救援小组联系人及电话</w:t>
      </w:r>
      <w:r>
        <w:rPr>
          <w:sz w:val="24"/>
          <w:szCs w:val="24"/>
        </w:rPr>
        <w:tab/>
      </w:r>
      <w:r>
        <w:rPr>
          <w:sz w:val="24"/>
          <w:szCs w:val="24"/>
        </w:rPr>
        <w:fldChar w:fldCharType="begin"/>
      </w:r>
      <w:r>
        <w:rPr>
          <w:sz w:val="24"/>
          <w:szCs w:val="24"/>
        </w:rPr>
        <w:instrText xml:space="preserve"> PAGEREF _Toc18786 </w:instrText>
      </w:r>
      <w:r>
        <w:rPr>
          <w:sz w:val="24"/>
          <w:szCs w:val="24"/>
        </w:rPr>
        <w:fldChar w:fldCharType="separate"/>
      </w:r>
      <w:r>
        <w:rPr>
          <w:sz w:val="24"/>
          <w:szCs w:val="24"/>
        </w:rPr>
        <w:t>III</w:t>
      </w:r>
      <w:r>
        <w:rPr>
          <w:sz w:val="24"/>
          <w:szCs w:val="24"/>
        </w:rPr>
        <w:fldChar w:fldCharType="end"/>
      </w:r>
      <w:r>
        <w:rPr>
          <w:rFonts w:hint="default"/>
          <w:color w:val="000000" w:themeColor="text1"/>
          <w:sz w:val="24"/>
          <w:szCs w:val="24"/>
        </w:rPr>
        <w:fldChar w:fldCharType="end"/>
      </w:r>
    </w:p>
    <w:p>
      <w:pPr>
        <w:pStyle w:val="12"/>
        <w:tabs>
          <w:tab w:val="right" w:leader="dot" w:pos="8306"/>
        </w:tabs>
      </w:pPr>
      <w:r>
        <w:rPr>
          <w:rFonts w:hint="default"/>
          <w:color w:val="000000" w:themeColor="text1"/>
          <w:sz w:val="24"/>
          <w:szCs w:val="24"/>
        </w:rPr>
        <w:fldChar w:fldCharType="begin"/>
      </w:r>
      <w:r>
        <w:rPr>
          <w:rFonts w:hint="default"/>
          <w:sz w:val="24"/>
          <w:szCs w:val="24"/>
        </w:rPr>
        <w:instrText xml:space="preserve"> HYPERLINK \l _Toc20485 </w:instrText>
      </w:r>
      <w:r>
        <w:rPr>
          <w:rFonts w:hint="default"/>
          <w:sz w:val="24"/>
          <w:szCs w:val="24"/>
        </w:rPr>
        <w:fldChar w:fldCharType="separate"/>
      </w:r>
      <w:r>
        <w:rPr>
          <w:sz w:val="24"/>
          <w:szCs w:val="24"/>
        </w:rPr>
        <w:t>附件</w:t>
      </w:r>
      <w:r>
        <w:rPr>
          <w:rFonts w:hint="eastAsia"/>
          <w:sz w:val="24"/>
          <w:szCs w:val="24"/>
        </w:rPr>
        <w:t>二</w:t>
      </w:r>
      <w:r>
        <w:rPr>
          <w:rFonts w:hint="eastAsia"/>
          <w:sz w:val="24"/>
          <w:szCs w:val="24"/>
          <w:lang w:val="en-US" w:eastAsia="zh-CN"/>
        </w:rPr>
        <w:t xml:space="preserve"> </w:t>
      </w:r>
      <w:r>
        <w:rPr>
          <w:rFonts w:hint="eastAsia"/>
          <w:sz w:val="24"/>
          <w:szCs w:val="24"/>
        </w:rPr>
        <w:t>环评批复</w:t>
      </w:r>
      <w:r>
        <w:rPr>
          <w:sz w:val="24"/>
          <w:szCs w:val="24"/>
        </w:rPr>
        <w:tab/>
      </w:r>
      <w:r>
        <w:rPr>
          <w:sz w:val="24"/>
          <w:szCs w:val="24"/>
        </w:rPr>
        <w:fldChar w:fldCharType="begin"/>
      </w:r>
      <w:r>
        <w:rPr>
          <w:sz w:val="24"/>
          <w:szCs w:val="24"/>
        </w:rPr>
        <w:instrText xml:space="preserve"> PAGEREF _Toc20485 </w:instrText>
      </w:r>
      <w:r>
        <w:rPr>
          <w:sz w:val="24"/>
          <w:szCs w:val="24"/>
        </w:rPr>
        <w:fldChar w:fldCharType="separate"/>
      </w:r>
      <w:r>
        <w:rPr>
          <w:sz w:val="24"/>
          <w:szCs w:val="24"/>
        </w:rPr>
        <w:t>IV</w:t>
      </w:r>
      <w:r>
        <w:rPr>
          <w:sz w:val="24"/>
          <w:szCs w:val="24"/>
        </w:rPr>
        <w:fldChar w:fldCharType="end"/>
      </w:r>
      <w:r>
        <w:rPr>
          <w:rFonts w:hint="default"/>
          <w:color w:val="000000" w:themeColor="text1"/>
          <w:sz w:val="24"/>
          <w:szCs w:val="24"/>
        </w:rPr>
        <w:fldChar w:fldCharType="end"/>
      </w:r>
    </w:p>
    <w:p>
      <w:pPr>
        <w:pStyle w:val="2"/>
        <w:ind w:firstLine="480"/>
        <w:rPr>
          <w:rFonts w:hint="default"/>
          <w:color w:val="000000" w:themeColor="text1"/>
          <w:szCs w:val="21"/>
        </w:rPr>
        <w:sectPr>
          <w:footerReference r:id="rId3" w:type="default"/>
          <w:pgSz w:w="11906" w:h="16838"/>
          <w:pgMar w:top="1440" w:right="1800" w:bottom="1440" w:left="1800" w:header="851" w:footer="992" w:gutter="0"/>
          <w:pgNumType w:start="1"/>
          <w:cols w:space="425" w:num="1"/>
          <w:docGrid w:type="lines" w:linePitch="312" w:charSpace="0"/>
        </w:sectPr>
      </w:pPr>
      <w:r>
        <w:rPr>
          <w:rFonts w:hint="default"/>
          <w:color w:val="000000" w:themeColor="text1"/>
          <w:szCs w:val="21"/>
        </w:rPr>
        <w:fldChar w:fldCharType="end"/>
      </w:r>
      <w:r>
        <w:rPr>
          <w:color w:val="000000" w:themeColor="text1"/>
          <w:szCs w:val="21"/>
        </w:rPr>
        <w:br w:type="page"/>
      </w:r>
    </w:p>
    <w:p>
      <w:pPr>
        <w:autoSpaceDE w:val="0"/>
        <w:autoSpaceDN w:val="0"/>
        <w:adjustRightInd w:val="0"/>
        <w:snapToGrid w:val="0"/>
        <w:spacing w:before="312" w:beforeLines="100" w:after="156" w:afterLines="50" w:line="360" w:lineRule="auto"/>
        <w:jc w:val="center"/>
        <w:outlineLvl w:val="0"/>
        <w:rPr>
          <w:b/>
          <w:bCs/>
          <w:color w:val="000000" w:themeColor="text1"/>
          <w:sz w:val="30"/>
          <w:szCs w:val="30"/>
        </w:rPr>
      </w:pPr>
      <w:bookmarkStart w:id="0" w:name="_Toc25182"/>
      <w:r>
        <w:rPr>
          <w:b/>
          <w:bCs/>
          <w:color w:val="000000" w:themeColor="text1"/>
          <w:sz w:val="30"/>
          <w:szCs w:val="30"/>
        </w:rPr>
        <w:t>1、前言</w:t>
      </w:r>
      <w:bookmarkEnd w:id="0"/>
    </w:p>
    <w:p>
      <w:pPr>
        <w:autoSpaceDN w:val="0"/>
        <w:spacing w:line="500" w:lineRule="exact"/>
        <w:ind w:firstLine="480" w:firstLineChars="200"/>
        <w:jc w:val="left"/>
        <w:rPr>
          <w:color w:val="000000" w:themeColor="text1"/>
          <w:sz w:val="24"/>
        </w:rPr>
      </w:pPr>
      <w:r>
        <w:rPr>
          <w:color w:val="000000" w:themeColor="text1"/>
          <w:sz w:val="24"/>
        </w:rPr>
        <w:t>南昌中油瑶湖石油销售有限公司瑶湖加油站位于江西省南昌市</w:t>
      </w:r>
      <w:r>
        <w:rPr>
          <w:rFonts w:hint="eastAsia"/>
          <w:color w:val="000000" w:themeColor="text1"/>
          <w:sz w:val="24"/>
        </w:rPr>
        <w:t>紫阳东大道18号</w:t>
      </w:r>
      <w:r>
        <w:rPr>
          <w:color w:val="000000" w:themeColor="text1"/>
          <w:sz w:val="24"/>
        </w:rPr>
        <w:t>，目前项目已获得由南昌市市场和质量监督管理局下发的“营业执照”（统一社会信用代码为91360100769779965B），江西省商务厅下发的“成品油零售经营批准证书”（油零售证书第赣</w:t>
      </w:r>
      <w:r>
        <w:rPr>
          <w:rFonts w:hint="eastAsia"/>
          <w:color w:val="000000" w:themeColor="text1"/>
          <w:sz w:val="24"/>
        </w:rPr>
        <w:t>A11-42114</w:t>
      </w:r>
      <w:r>
        <w:rPr>
          <w:color w:val="000000" w:themeColor="text1"/>
          <w:sz w:val="24"/>
        </w:rPr>
        <w:t>号），南昌市安全生产监督管理局下发的“危险化学品经营许可证”（赣洪高新监管经（甲）字[2018]000005号）。加油站总占地面积约为6533.1m</w:t>
      </w:r>
      <w:r>
        <w:rPr>
          <w:color w:val="000000" w:themeColor="text1"/>
          <w:sz w:val="24"/>
          <w:vertAlign w:val="superscript"/>
        </w:rPr>
        <w:t>2</w:t>
      </w:r>
      <w:r>
        <w:rPr>
          <w:color w:val="000000" w:themeColor="text1"/>
          <w:sz w:val="24"/>
        </w:rPr>
        <w:t>，建筑面积约为1431m</w:t>
      </w:r>
      <w:r>
        <w:rPr>
          <w:color w:val="000000" w:themeColor="text1"/>
          <w:sz w:val="24"/>
          <w:vertAlign w:val="superscript"/>
        </w:rPr>
        <w:t>2</w:t>
      </w:r>
      <w:r>
        <w:rPr>
          <w:color w:val="000000" w:themeColor="text1"/>
          <w:sz w:val="24"/>
        </w:rPr>
        <w:t>。项目主要分为三个区，分别为</w:t>
      </w:r>
      <w:r>
        <w:rPr>
          <w:rFonts w:hint="eastAsia" w:ascii="宋体" w:hAnsi="宋体" w:cs="宋体"/>
          <w:color w:val="000000" w:themeColor="text1"/>
          <w:sz w:val="24"/>
        </w:rPr>
        <w:t>①</w:t>
      </w:r>
      <w:r>
        <w:rPr>
          <w:color w:val="000000" w:themeColor="text1"/>
          <w:sz w:val="24"/>
        </w:rPr>
        <w:t>储油罐区</w:t>
      </w:r>
      <w:r>
        <w:rPr>
          <w:rFonts w:hint="eastAsia" w:ascii="宋体" w:hAnsi="宋体" w:cs="宋体"/>
          <w:color w:val="000000" w:themeColor="text1"/>
          <w:sz w:val="24"/>
        </w:rPr>
        <w:t>②</w:t>
      </w:r>
      <w:r>
        <w:rPr>
          <w:color w:val="000000" w:themeColor="text1"/>
          <w:sz w:val="24"/>
        </w:rPr>
        <w:t>营业区</w:t>
      </w:r>
      <w:r>
        <w:rPr>
          <w:rFonts w:hint="eastAsia" w:ascii="宋体" w:hAnsi="宋体" w:cs="宋体"/>
          <w:color w:val="000000" w:themeColor="text1"/>
          <w:sz w:val="24"/>
        </w:rPr>
        <w:t>③</w:t>
      </w:r>
      <w:r>
        <w:rPr>
          <w:color w:val="000000" w:themeColor="text1"/>
          <w:sz w:val="24"/>
        </w:rPr>
        <w:t>加油区。储油罐区包括储罐区、卸油区；营业区包括站房、便利店、卫生间</w:t>
      </w:r>
      <w:r>
        <w:rPr>
          <w:rFonts w:hint="eastAsia"/>
          <w:color w:val="000000" w:themeColor="text1"/>
          <w:sz w:val="24"/>
        </w:rPr>
        <w:t>、</w:t>
      </w:r>
      <w:r>
        <w:rPr>
          <w:color w:val="000000" w:themeColor="text1"/>
          <w:sz w:val="24"/>
        </w:rPr>
        <w:t>洗车区等；加油区即为加油机所在区。</w:t>
      </w:r>
      <w:bookmarkStart w:id="1" w:name="_Hlk11352631"/>
      <w:r>
        <w:rPr>
          <w:color w:val="000000" w:themeColor="text1"/>
          <w:sz w:val="24"/>
        </w:rPr>
        <w:t>项目储罐区建设有5个地埋卧式油罐，包括0#柴油油罐1台、92#汽油油罐2台、97#汽油油罐1台</w:t>
      </w:r>
      <w:r>
        <w:rPr>
          <w:rFonts w:hint="eastAsia"/>
          <w:color w:val="000000" w:themeColor="text1"/>
          <w:sz w:val="24"/>
        </w:rPr>
        <w:t>、</w:t>
      </w:r>
      <w:r>
        <w:rPr>
          <w:color w:val="000000" w:themeColor="text1"/>
          <w:sz w:val="24"/>
        </w:rPr>
        <w:t>97#汽油油罐1台，总容积折合汽油罐容积为135m</w:t>
      </w:r>
      <w:r>
        <w:rPr>
          <w:color w:val="000000" w:themeColor="text1"/>
          <w:sz w:val="24"/>
          <w:vertAlign w:val="superscript"/>
        </w:rPr>
        <w:t>3</w:t>
      </w:r>
      <w:r>
        <w:rPr>
          <w:color w:val="000000" w:themeColor="text1"/>
          <w:sz w:val="24"/>
        </w:rPr>
        <w:t>，为二级加油站。配设</w:t>
      </w:r>
      <w:r>
        <w:rPr>
          <w:rFonts w:hint="eastAsia"/>
          <w:color w:val="000000" w:themeColor="text1"/>
          <w:sz w:val="24"/>
        </w:rPr>
        <w:t>8台</w:t>
      </w:r>
      <w:r>
        <w:rPr>
          <w:color w:val="000000" w:themeColor="text1"/>
          <w:sz w:val="24"/>
        </w:rPr>
        <w:t>税控双枪双泵</w:t>
      </w:r>
      <w:r>
        <w:rPr>
          <w:rFonts w:hint="eastAsia"/>
          <w:color w:val="000000" w:themeColor="text1"/>
          <w:sz w:val="24"/>
        </w:rPr>
        <w:t>加油机</w:t>
      </w:r>
      <w:r>
        <w:rPr>
          <w:color w:val="000000" w:themeColor="text1"/>
          <w:sz w:val="24"/>
        </w:rPr>
        <w:t>，</w:t>
      </w:r>
      <w:r>
        <w:rPr>
          <w:rFonts w:hint="eastAsia"/>
          <w:color w:val="000000" w:themeColor="text1"/>
          <w:sz w:val="24"/>
        </w:rPr>
        <w:t>1台</w:t>
      </w:r>
      <w:r>
        <w:rPr>
          <w:color w:val="000000" w:themeColor="text1"/>
          <w:sz w:val="24"/>
        </w:rPr>
        <w:t>税控四枪双泵</w:t>
      </w:r>
      <w:r>
        <w:rPr>
          <w:rFonts w:hint="eastAsia"/>
          <w:color w:val="000000" w:themeColor="text1"/>
          <w:sz w:val="24"/>
        </w:rPr>
        <w:t>加油机</w:t>
      </w:r>
      <w:r>
        <w:rPr>
          <w:color w:val="000000" w:themeColor="text1"/>
          <w:sz w:val="24"/>
        </w:rPr>
        <w:t>。项目区设加油进出口2个。</w:t>
      </w:r>
      <w:bookmarkEnd w:id="1"/>
      <w:r>
        <w:rPr>
          <w:color w:val="000000" w:themeColor="text1"/>
          <w:sz w:val="24"/>
        </w:rPr>
        <w:t>本项目营业范围包括：柴油、汽油。</w:t>
      </w:r>
    </w:p>
    <w:p>
      <w:pPr>
        <w:autoSpaceDN w:val="0"/>
        <w:spacing w:line="500" w:lineRule="exact"/>
        <w:ind w:firstLine="480" w:firstLineChars="200"/>
        <w:jc w:val="left"/>
        <w:rPr>
          <w:color w:val="000000" w:themeColor="text1"/>
          <w:sz w:val="24"/>
        </w:rPr>
      </w:pPr>
      <w:r>
        <w:rPr>
          <w:color w:val="000000" w:themeColor="text1"/>
          <w:sz w:val="24"/>
        </w:rPr>
        <w:t>加油站有职工13人，站内设卫生间、宿舍，员工餐饮外购或自带；项目经营设置汽修、洗车等内容。加油站年工作365d，每天</w:t>
      </w:r>
      <w:r>
        <w:rPr>
          <w:rFonts w:hint="eastAsia"/>
          <w:color w:val="000000" w:themeColor="text1"/>
          <w:sz w:val="24"/>
        </w:rPr>
        <w:t>三</w:t>
      </w:r>
      <w:r>
        <w:rPr>
          <w:color w:val="000000" w:themeColor="text1"/>
          <w:sz w:val="24"/>
        </w:rPr>
        <w:t>班，每班8小时，每班4人。</w:t>
      </w:r>
    </w:p>
    <w:p>
      <w:pPr>
        <w:snapToGrid w:val="0"/>
        <w:spacing w:line="360" w:lineRule="auto"/>
        <w:ind w:left="562"/>
        <w:jc w:val="left"/>
        <w:rPr>
          <w:color w:val="000000" w:themeColor="text1"/>
          <w:sz w:val="24"/>
        </w:rPr>
      </w:pPr>
      <w:r>
        <w:rPr>
          <w:b/>
          <w:color w:val="000000" w:themeColor="text1"/>
          <w:sz w:val="24"/>
        </w:rPr>
        <w:t>加油站项目环保手续办理情况：</w:t>
      </w:r>
    </w:p>
    <w:p>
      <w:pPr>
        <w:autoSpaceDN w:val="0"/>
        <w:spacing w:line="500" w:lineRule="exact"/>
        <w:ind w:firstLine="720" w:firstLineChars="300"/>
        <w:jc w:val="left"/>
        <w:rPr>
          <w:color w:val="000000" w:themeColor="text1"/>
          <w:kern w:val="0"/>
          <w:sz w:val="24"/>
          <w:szCs w:val="20"/>
        </w:rPr>
      </w:pPr>
      <w:r>
        <w:rPr>
          <w:rFonts w:hint="eastAsia"/>
          <w:color w:val="000000" w:themeColor="text1"/>
          <w:kern w:val="0"/>
          <w:sz w:val="24"/>
          <w:szCs w:val="20"/>
        </w:rPr>
        <w:t>因本项目已经办理环评审批手续，根据国家环保法律法规、《国务院办公厅关于加强环境监管执法的通知》(国办发[2014]56 号)、《江西省环境保护委员会关于印发进一步加强清理整顿违法违规建设项目工作的通知》（赣环委字[2016]14 号）和《关于印发违法违规项目清理进一步推进工作方案的通知》 (洪环发[2016]87 号)，本项目以编制环境现状评价报告以办理“完善备案”手续。备案批复详见附件二。</w:t>
      </w:r>
    </w:p>
    <w:p>
      <w:pPr>
        <w:pStyle w:val="2"/>
        <w:ind w:firstLine="480"/>
        <w:rPr>
          <w:rFonts w:hint="default"/>
          <w:color w:val="000000" w:themeColor="text1"/>
        </w:rPr>
      </w:pPr>
      <w:r>
        <w:rPr>
          <w:color w:val="000000" w:themeColor="text1"/>
        </w:rPr>
        <w:t>根据《国家突发环境事件应急预案》（国办函〔2014〕119号）、《企业事业单位突发环境事件应急预案备案管理办法（试行）》（环发[2015]4号）、2014年4月3日国家环保部办公厅发布《企业突发环境事件风险评估指南（试行）》及2018年国家环境保护部第14号公告“关于发布国家环境保护标准《企业突发环境事件风险分级方法》的公告”等相关要求，加油站编制《南昌中油瑶湖石油销售有限公司瑶湖加油站突发环境事件风险评估报告》。</w:t>
      </w:r>
    </w:p>
    <w:p>
      <w:pPr>
        <w:spacing w:line="360" w:lineRule="auto"/>
        <w:ind w:firstLine="480" w:firstLineChars="200"/>
        <w:rPr>
          <w:color w:val="000000" w:themeColor="text1"/>
          <w:sz w:val="24"/>
        </w:rPr>
      </w:pPr>
      <w:r>
        <w:rPr>
          <w:color w:val="000000" w:themeColor="text1"/>
          <w:sz w:val="24"/>
        </w:rPr>
        <w:t>通过开展突发环境事件风险评估，可以掌握自身环境风险状况，明确环境风险防控措施，为后期的加油站环境风险监管奠定基础，最终达到大幅度降低突发环境事件发生的目标。同时有利于</w:t>
      </w:r>
      <w:r>
        <w:rPr>
          <w:rFonts w:hint="eastAsia"/>
          <w:color w:val="000000" w:themeColor="text1"/>
          <w:sz w:val="24"/>
        </w:rPr>
        <w:t>南昌市</w:t>
      </w:r>
      <w:r>
        <w:rPr>
          <w:color w:val="000000" w:themeColor="text1"/>
          <w:sz w:val="24"/>
        </w:rPr>
        <w:t>、</w:t>
      </w:r>
      <w:r>
        <w:rPr>
          <w:rFonts w:hint="eastAsia"/>
          <w:color w:val="000000" w:themeColor="text1"/>
          <w:sz w:val="24"/>
        </w:rPr>
        <w:t>南昌县</w:t>
      </w:r>
      <w:r>
        <w:rPr>
          <w:color w:val="000000" w:themeColor="text1"/>
          <w:sz w:val="24"/>
        </w:rPr>
        <w:t>环保部门加强对重点环境风险企业的针对性监督管理，提高管理效率，降低管理成本。</w:t>
      </w:r>
    </w:p>
    <w:p>
      <w:pPr>
        <w:autoSpaceDE w:val="0"/>
        <w:autoSpaceDN w:val="0"/>
        <w:adjustRightInd w:val="0"/>
        <w:snapToGrid w:val="0"/>
        <w:spacing w:before="312" w:beforeLines="100" w:after="156" w:afterLines="50" w:line="360" w:lineRule="auto"/>
        <w:outlineLvl w:val="0"/>
        <w:rPr>
          <w:b/>
          <w:bCs/>
          <w:color w:val="000000" w:themeColor="text1"/>
          <w:sz w:val="24"/>
        </w:rPr>
      </w:pPr>
      <w:bookmarkStart w:id="2" w:name="_Toc8517"/>
      <w:r>
        <w:rPr>
          <w:b/>
          <w:bCs/>
          <w:color w:val="000000" w:themeColor="text1"/>
          <w:sz w:val="24"/>
        </w:rPr>
        <w:t>2、评价依据</w:t>
      </w:r>
      <w:bookmarkEnd w:id="2"/>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3" w:name="_Toc13613"/>
      <w:r>
        <w:rPr>
          <w:b/>
          <w:bCs/>
          <w:color w:val="000000" w:themeColor="text1"/>
          <w:sz w:val="24"/>
        </w:rPr>
        <w:t>2.1 编制原则</w:t>
      </w:r>
      <w:bookmarkEnd w:id="3"/>
    </w:p>
    <w:p>
      <w:pPr>
        <w:spacing w:line="360" w:lineRule="auto"/>
        <w:ind w:firstLine="480" w:firstLineChars="200"/>
        <w:rPr>
          <w:color w:val="000000" w:themeColor="text1"/>
          <w:sz w:val="24"/>
        </w:rPr>
      </w:pPr>
      <w:r>
        <w:rPr>
          <w:color w:val="000000" w:themeColor="text1"/>
          <w:sz w:val="24"/>
        </w:rPr>
        <w:t>按照</w:t>
      </w:r>
      <w:r>
        <w:rPr>
          <w:rFonts w:hint="eastAsia"/>
          <w:color w:val="000000" w:themeColor="text1"/>
          <w:sz w:val="24"/>
        </w:rPr>
        <w:t>“</w:t>
      </w:r>
      <w:r>
        <w:rPr>
          <w:color w:val="000000" w:themeColor="text1"/>
          <w:sz w:val="24"/>
        </w:rPr>
        <w:t>以人为本</w:t>
      </w:r>
      <w:r>
        <w:rPr>
          <w:rFonts w:hint="eastAsia"/>
          <w:color w:val="000000" w:themeColor="text1"/>
          <w:sz w:val="24"/>
        </w:rPr>
        <w:t>”</w:t>
      </w:r>
      <w:r>
        <w:rPr>
          <w:color w:val="000000" w:themeColor="text1"/>
          <w:sz w:val="24"/>
        </w:rPr>
        <w:t>的宗旨，合理保障人民群众的身体健康和环境安全，严格规范加油站突发环境事件风险评估行为，提高突发环境事件防控能力，全面落实加油站环境风险防控主体，并遵循以下原则开展环境风险评估工作： </w:t>
      </w:r>
    </w:p>
    <w:p>
      <w:pPr>
        <w:spacing w:line="360" w:lineRule="auto"/>
        <w:ind w:firstLine="480" w:firstLineChars="200"/>
        <w:rPr>
          <w:color w:val="000000" w:themeColor="text1"/>
          <w:sz w:val="24"/>
        </w:rPr>
      </w:pPr>
      <w:r>
        <w:rPr>
          <w:color w:val="000000" w:themeColor="text1"/>
          <w:sz w:val="24"/>
        </w:rPr>
        <w:t>①环境风险评估编制应体现科学性、规范性、客观性和真实性的原则。 </w:t>
      </w:r>
    </w:p>
    <w:p>
      <w:pPr>
        <w:spacing w:line="360" w:lineRule="auto"/>
        <w:ind w:firstLine="480" w:firstLineChars="200"/>
        <w:rPr>
          <w:color w:val="000000" w:themeColor="text1"/>
          <w:sz w:val="24"/>
        </w:rPr>
      </w:pPr>
      <w:r>
        <w:rPr>
          <w:color w:val="000000" w:themeColor="text1"/>
          <w:sz w:val="24"/>
        </w:rPr>
        <w:t>②环境风险评估过程中应贯彻执行我国环保相关的法律法规、标准、政策，分析加油站自身环境风险状况，明确环境风险防控措施。</w:t>
      </w:r>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4" w:name="_Toc25994"/>
      <w:r>
        <w:rPr>
          <w:b/>
          <w:bCs/>
          <w:color w:val="000000" w:themeColor="text1"/>
          <w:sz w:val="24"/>
        </w:rPr>
        <w:t>2.2 编制依据</w:t>
      </w:r>
      <w:bookmarkEnd w:id="4"/>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5" w:name="_Toc13927"/>
      <w:r>
        <w:rPr>
          <w:b/>
          <w:bCs/>
          <w:color w:val="000000" w:themeColor="text1"/>
          <w:sz w:val="24"/>
        </w:rPr>
        <w:t>2.2.1 法律、法规</w:t>
      </w:r>
      <w:bookmarkEnd w:id="5"/>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6" w:name="_Toc27491"/>
      <w:bookmarkStart w:id="7" w:name="_Toc2864"/>
      <w:bookmarkStart w:id="8" w:name="_Toc6441"/>
      <w:r>
        <w:rPr>
          <w:b/>
          <w:bCs/>
          <w:color w:val="000000" w:themeColor="text1"/>
          <w:sz w:val="24"/>
        </w:rPr>
        <w:t>2.1 法律、法规</w:t>
      </w:r>
      <w:bookmarkEnd w:id="6"/>
    </w:p>
    <w:p>
      <w:pPr>
        <w:pStyle w:val="2"/>
        <w:ind w:firstLine="480"/>
        <w:rPr>
          <w:rFonts w:hint="default"/>
          <w:color w:val="000000" w:themeColor="text1"/>
          <w:szCs w:val="24"/>
        </w:rPr>
      </w:pPr>
      <w:bookmarkStart w:id="9" w:name="_Toc22274"/>
      <w:bookmarkStart w:id="10" w:name="_Toc1877"/>
      <w:r>
        <w:rPr>
          <w:rFonts w:hint="default"/>
          <w:color w:val="000000" w:themeColor="text1"/>
          <w:szCs w:val="24"/>
        </w:rPr>
        <w:t>（1）《中华人民共和国环境保护法》（2015年1月1日实施）；</w:t>
      </w:r>
    </w:p>
    <w:p>
      <w:pPr>
        <w:pStyle w:val="2"/>
        <w:ind w:firstLine="480"/>
        <w:rPr>
          <w:rFonts w:hint="default"/>
          <w:color w:val="000000" w:themeColor="text1"/>
          <w:szCs w:val="24"/>
          <w:lang w:val="zh-CN"/>
        </w:rPr>
      </w:pPr>
      <w:r>
        <w:rPr>
          <w:rFonts w:hint="default"/>
          <w:color w:val="000000" w:themeColor="text1"/>
          <w:szCs w:val="24"/>
        </w:rPr>
        <w:t>（2）</w:t>
      </w:r>
      <w:r>
        <w:rPr>
          <w:rFonts w:hint="default"/>
          <w:color w:val="000000" w:themeColor="text1"/>
          <w:szCs w:val="24"/>
          <w:lang w:val="zh-CN"/>
        </w:rPr>
        <w:t>《企业突发环境事件风险评估指南（试行）》（环办[2014]34号）；</w:t>
      </w:r>
    </w:p>
    <w:p>
      <w:pPr>
        <w:pStyle w:val="2"/>
        <w:ind w:firstLine="480"/>
        <w:rPr>
          <w:rFonts w:hint="default"/>
          <w:color w:val="000000" w:themeColor="text1"/>
          <w:szCs w:val="24"/>
          <w:lang w:val="zh-CN"/>
        </w:rPr>
      </w:pPr>
      <w:r>
        <w:rPr>
          <w:rFonts w:hint="default"/>
          <w:color w:val="000000" w:themeColor="text1"/>
          <w:szCs w:val="24"/>
        </w:rPr>
        <w:t>（3）《关于发布国家环境保护标准“企业突发环境事件风险分级方法”的公告》（环境保护部 2018年第14号公告）；</w:t>
      </w:r>
    </w:p>
    <w:p>
      <w:pPr>
        <w:pStyle w:val="2"/>
        <w:ind w:firstLine="480"/>
        <w:rPr>
          <w:rFonts w:hint="default"/>
          <w:color w:val="000000" w:themeColor="text1"/>
          <w:szCs w:val="24"/>
        </w:rPr>
      </w:pPr>
      <w:r>
        <w:rPr>
          <w:rFonts w:hint="default"/>
          <w:color w:val="000000" w:themeColor="text1"/>
          <w:szCs w:val="24"/>
        </w:rPr>
        <w:t>（4）《中华人民共和国安全生产法》（2014年12月1日实施）；</w:t>
      </w:r>
    </w:p>
    <w:p>
      <w:pPr>
        <w:pStyle w:val="2"/>
        <w:ind w:firstLine="480"/>
        <w:rPr>
          <w:rFonts w:hint="default"/>
          <w:color w:val="000000" w:themeColor="text1"/>
          <w:szCs w:val="24"/>
        </w:rPr>
      </w:pPr>
      <w:r>
        <w:rPr>
          <w:rFonts w:hint="default"/>
          <w:color w:val="000000" w:themeColor="text1"/>
          <w:szCs w:val="24"/>
        </w:rPr>
        <w:t>（5）《中华人民共和国消防法》（2009年5月1日起施行）；</w:t>
      </w:r>
    </w:p>
    <w:p>
      <w:pPr>
        <w:pStyle w:val="2"/>
        <w:ind w:firstLine="480"/>
        <w:rPr>
          <w:rFonts w:hint="default"/>
          <w:color w:val="000000" w:themeColor="text1"/>
          <w:szCs w:val="24"/>
        </w:rPr>
      </w:pPr>
      <w:r>
        <w:rPr>
          <w:rFonts w:hint="default"/>
          <w:color w:val="000000" w:themeColor="text1"/>
          <w:szCs w:val="24"/>
        </w:rPr>
        <w:t>（6）《国务院关于加强环境保护重点工作的意见》（国发〔2011〕35号）；</w:t>
      </w:r>
    </w:p>
    <w:p>
      <w:pPr>
        <w:pStyle w:val="2"/>
        <w:ind w:firstLine="480"/>
        <w:rPr>
          <w:rFonts w:hint="default"/>
          <w:color w:val="000000" w:themeColor="text1"/>
          <w:szCs w:val="24"/>
        </w:rPr>
      </w:pPr>
      <w:r>
        <w:rPr>
          <w:rFonts w:hint="default"/>
          <w:color w:val="000000" w:themeColor="text1"/>
          <w:szCs w:val="24"/>
        </w:rPr>
        <w:t>（7）《中华人民共和国突发事件应对法》（2007年11月1日实施）；</w:t>
      </w:r>
    </w:p>
    <w:p>
      <w:pPr>
        <w:pStyle w:val="2"/>
        <w:ind w:firstLine="480"/>
        <w:rPr>
          <w:rFonts w:hint="default"/>
          <w:color w:val="000000" w:themeColor="text1"/>
          <w:szCs w:val="24"/>
        </w:rPr>
      </w:pPr>
      <w:r>
        <w:rPr>
          <w:rFonts w:hint="default"/>
          <w:color w:val="000000" w:themeColor="text1"/>
          <w:szCs w:val="24"/>
        </w:rPr>
        <w:t>（8）《突发环境事件信息报告办法》（环境保护部令第17号）；</w:t>
      </w:r>
    </w:p>
    <w:p>
      <w:pPr>
        <w:pStyle w:val="2"/>
        <w:ind w:firstLine="480"/>
        <w:rPr>
          <w:rFonts w:hint="default"/>
          <w:color w:val="000000" w:themeColor="text1"/>
          <w:szCs w:val="24"/>
        </w:rPr>
      </w:pPr>
      <w:r>
        <w:rPr>
          <w:rFonts w:hint="default"/>
          <w:color w:val="000000" w:themeColor="text1"/>
          <w:szCs w:val="24"/>
        </w:rPr>
        <w:t>（9）《危险化学品重大危险源监督管理暂行规定》（安全监管总局令第40号）；</w:t>
      </w:r>
    </w:p>
    <w:p>
      <w:pPr>
        <w:pStyle w:val="2"/>
        <w:ind w:firstLine="480"/>
        <w:rPr>
          <w:rFonts w:hint="default"/>
          <w:color w:val="000000" w:themeColor="text1"/>
          <w:szCs w:val="24"/>
        </w:rPr>
      </w:pPr>
      <w:r>
        <w:rPr>
          <w:rFonts w:hint="default"/>
          <w:color w:val="000000" w:themeColor="text1"/>
          <w:szCs w:val="24"/>
        </w:rPr>
        <w:t>（10）《危险化学品生产企业安全生产许可证实施办法》（安全监管总局令第41号）；</w:t>
      </w:r>
    </w:p>
    <w:p>
      <w:pPr>
        <w:pStyle w:val="2"/>
        <w:ind w:firstLine="480"/>
        <w:rPr>
          <w:rFonts w:hint="default"/>
          <w:color w:val="000000" w:themeColor="text1"/>
          <w:szCs w:val="24"/>
        </w:rPr>
      </w:pPr>
      <w:r>
        <w:rPr>
          <w:rFonts w:hint="default"/>
          <w:color w:val="000000" w:themeColor="text1"/>
          <w:szCs w:val="24"/>
        </w:rPr>
        <w:t>（11）《危险化学品建设项目安全监督管理办法》（安全监管总局令第45号）；</w:t>
      </w:r>
    </w:p>
    <w:p>
      <w:pPr>
        <w:pStyle w:val="2"/>
        <w:ind w:firstLine="480"/>
        <w:rPr>
          <w:rFonts w:hint="default"/>
          <w:color w:val="000000" w:themeColor="text1"/>
          <w:szCs w:val="24"/>
        </w:rPr>
      </w:pPr>
      <w:r>
        <w:rPr>
          <w:rFonts w:hint="default"/>
          <w:color w:val="000000" w:themeColor="text1"/>
          <w:szCs w:val="24"/>
        </w:rPr>
        <w:t>（12）《突发环境事件应急预案管理暂行办法》（环发〔2010〕113号）；</w:t>
      </w:r>
    </w:p>
    <w:p>
      <w:pPr>
        <w:pStyle w:val="2"/>
        <w:ind w:firstLine="480"/>
        <w:rPr>
          <w:rFonts w:hint="default"/>
          <w:color w:val="000000" w:themeColor="text1"/>
          <w:szCs w:val="24"/>
        </w:rPr>
      </w:pPr>
      <w:r>
        <w:rPr>
          <w:rFonts w:hint="default"/>
          <w:color w:val="000000" w:themeColor="text1"/>
          <w:szCs w:val="24"/>
        </w:rPr>
        <w:t>（13）《化学品环境风险防控“十二五”规划》（环发〔2013〕20号）；</w:t>
      </w:r>
    </w:p>
    <w:p>
      <w:pPr>
        <w:pStyle w:val="2"/>
        <w:ind w:firstLine="480"/>
        <w:rPr>
          <w:rFonts w:hint="default"/>
          <w:color w:val="000000" w:themeColor="text1"/>
          <w:szCs w:val="24"/>
        </w:rPr>
      </w:pPr>
      <w:r>
        <w:rPr>
          <w:rFonts w:hint="default"/>
          <w:color w:val="000000" w:themeColor="text1"/>
          <w:szCs w:val="24"/>
        </w:rPr>
        <w:t>（14）《建设项目环境影响评价分类管理名录（2018年版）》；</w:t>
      </w:r>
    </w:p>
    <w:p>
      <w:pPr>
        <w:pStyle w:val="2"/>
        <w:ind w:firstLine="480"/>
        <w:rPr>
          <w:rFonts w:hint="default"/>
          <w:color w:val="000000" w:themeColor="text1"/>
          <w:szCs w:val="24"/>
        </w:rPr>
      </w:pPr>
      <w:r>
        <w:rPr>
          <w:rFonts w:hint="default"/>
          <w:color w:val="000000" w:themeColor="text1"/>
          <w:szCs w:val="24"/>
        </w:rPr>
        <w:t>（15）《产业结构调整指导目录</w:t>
      </w:r>
      <w:r>
        <w:rPr>
          <w:color w:val="000000" w:themeColor="text1"/>
          <w:szCs w:val="24"/>
        </w:rPr>
        <w:t>（2</w:t>
      </w:r>
      <w:r>
        <w:rPr>
          <w:rFonts w:hint="default"/>
          <w:color w:val="000000" w:themeColor="text1"/>
          <w:szCs w:val="24"/>
        </w:rPr>
        <w:t>011</w:t>
      </w:r>
      <w:r>
        <w:rPr>
          <w:color w:val="000000" w:themeColor="text1"/>
          <w:szCs w:val="24"/>
        </w:rPr>
        <w:t>年本）</w:t>
      </w:r>
      <w:r>
        <w:rPr>
          <w:rFonts w:hint="default"/>
          <w:color w:val="000000" w:themeColor="text1"/>
          <w:szCs w:val="24"/>
        </w:rPr>
        <w:t>》（2013年修改版）；</w:t>
      </w:r>
    </w:p>
    <w:p>
      <w:pPr>
        <w:pStyle w:val="2"/>
        <w:ind w:firstLine="480"/>
        <w:rPr>
          <w:rFonts w:hint="default"/>
          <w:color w:val="000000" w:themeColor="text1"/>
          <w:szCs w:val="24"/>
        </w:rPr>
      </w:pPr>
      <w:r>
        <w:rPr>
          <w:rFonts w:hint="default"/>
          <w:color w:val="000000" w:themeColor="text1"/>
          <w:szCs w:val="24"/>
        </w:rPr>
        <w:t>（16）《重点监管危险化工工艺目录》(2013年完整版)；</w:t>
      </w:r>
    </w:p>
    <w:p>
      <w:pPr>
        <w:pStyle w:val="2"/>
        <w:ind w:firstLine="480"/>
        <w:rPr>
          <w:rFonts w:hint="default"/>
          <w:color w:val="000000" w:themeColor="text1"/>
          <w:szCs w:val="24"/>
        </w:rPr>
      </w:pPr>
      <w:r>
        <w:rPr>
          <w:rFonts w:hint="default"/>
          <w:color w:val="000000" w:themeColor="text1"/>
          <w:szCs w:val="24"/>
        </w:rPr>
        <w:t>（17）《关于督促化工企业切实做好几项安全环保重点工作的紧急通知》（安监总危化〔2006〕10号）。</w:t>
      </w:r>
    </w:p>
    <w:p>
      <w:pPr>
        <w:pStyle w:val="2"/>
        <w:ind w:firstLine="480"/>
        <w:rPr>
          <w:rFonts w:hint="default"/>
          <w:color w:val="000000" w:themeColor="text1"/>
          <w:szCs w:val="24"/>
        </w:rPr>
      </w:pPr>
      <w:r>
        <w:rPr>
          <w:rFonts w:hint="default"/>
          <w:color w:val="000000" w:themeColor="text1"/>
          <w:szCs w:val="24"/>
        </w:rPr>
        <w:t>（18）《中华人民共和国大气污染防治法》（2018</w:t>
      </w:r>
      <w:r>
        <w:rPr>
          <w:color w:val="000000" w:themeColor="text1"/>
          <w:szCs w:val="24"/>
        </w:rPr>
        <w:t>年修订</w:t>
      </w:r>
      <w:r>
        <w:rPr>
          <w:rFonts w:hint="default"/>
          <w:color w:val="000000" w:themeColor="text1"/>
          <w:szCs w:val="24"/>
        </w:rPr>
        <w:t>）；</w:t>
      </w:r>
    </w:p>
    <w:p>
      <w:pPr>
        <w:pStyle w:val="2"/>
        <w:ind w:firstLine="480"/>
        <w:rPr>
          <w:rFonts w:hint="default"/>
          <w:color w:val="000000" w:themeColor="text1"/>
          <w:szCs w:val="24"/>
        </w:rPr>
      </w:pPr>
      <w:r>
        <w:rPr>
          <w:rFonts w:hint="default"/>
          <w:color w:val="000000" w:themeColor="text1"/>
          <w:szCs w:val="24"/>
        </w:rPr>
        <w:t>（19）《中华人民共和国水污染防治法》（2008年6月1日实施）；</w:t>
      </w:r>
    </w:p>
    <w:p>
      <w:pPr>
        <w:pStyle w:val="2"/>
        <w:ind w:firstLine="480"/>
        <w:rPr>
          <w:rFonts w:hint="default"/>
          <w:color w:val="000000" w:themeColor="text1"/>
          <w:szCs w:val="24"/>
        </w:rPr>
      </w:pPr>
      <w:r>
        <w:rPr>
          <w:rFonts w:hint="default"/>
          <w:color w:val="000000" w:themeColor="text1"/>
          <w:szCs w:val="24"/>
        </w:rPr>
        <w:t>（20）《中华人民共和国固体废物污染环境防治法》（2016</w:t>
      </w:r>
      <w:r>
        <w:rPr>
          <w:color w:val="000000" w:themeColor="text1"/>
          <w:szCs w:val="24"/>
        </w:rPr>
        <w:t>年修订</w:t>
      </w:r>
      <w:r>
        <w:rPr>
          <w:rFonts w:hint="default"/>
          <w:color w:val="000000" w:themeColor="text1"/>
          <w:szCs w:val="24"/>
        </w:rPr>
        <w:t>）；</w:t>
      </w:r>
    </w:p>
    <w:p>
      <w:pPr>
        <w:pStyle w:val="2"/>
        <w:ind w:firstLine="480"/>
        <w:rPr>
          <w:rFonts w:hint="default"/>
          <w:color w:val="000000" w:themeColor="text1"/>
          <w:szCs w:val="24"/>
        </w:rPr>
      </w:pPr>
      <w:r>
        <w:rPr>
          <w:rFonts w:hint="default"/>
          <w:color w:val="000000" w:themeColor="text1"/>
          <w:szCs w:val="24"/>
        </w:rPr>
        <w:t>（21）《危险化学品安全管理条例》（2011年12月1日实施）；</w:t>
      </w:r>
    </w:p>
    <w:p>
      <w:pPr>
        <w:pStyle w:val="2"/>
        <w:ind w:firstLine="480"/>
        <w:rPr>
          <w:rFonts w:hint="default"/>
          <w:color w:val="000000" w:themeColor="text1"/>
          <w:szCs w:val="24"/>
        </w:rPr>
      </w:pPr>
      <w:r>
        <w:rPr>
          <w:rFonts w:hint="default"/>
          <w:color w:val="000000" w:themeColor="text1"/>
          <w:szCs w:val="24"/>
        </w:rPr>
        <w:t>（22）《危险化学品名录（2015年版）》（2015年5月1日起实施）。</w:t>
      </w:r>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11" w:name="_Toc12143730"/>
      <w:bookmarkStart w:id="12" w:name="_Toc11623"/>
      <w:r>
        <w:rPr>
          <w:b/>
          <w:bCs/>
          <w:color w:val="000000" w:themeColor="text1"/>
          <w:sz w:val="24"/>
        </w:rPr>
        <w:t>2.2.2 导则、标准</w:t>
      </w:r>
      <w:bookmarkEnd w:id="9"/>
      <w:bookmarkEnd w:id="10"/>
      <w:r>
        <w:rPr>
          <w:b/>
          <w:bCs/>
          <w:color w:val="000000" w:themeColor="text1"/>
          <w:sz w:val="24"/>
        </w:rPr>
        <w:t>、技术规范</w:t>
      </w:r>
      <w:bookmarkEnd w:id="11"/>
      <w:bookmarkEnd w:id="12"/>
    </w:p>
    <w:p>
      <w:pPr>
        <w:pStyle w:val="2"/>
        <w:ind w:firstLine="480"/>
        <w:rPr>
          <w:rFonts w:hint="default"/>
          <w:color w:val="000000" w:themeColor="text1"/>
          <w:szCs w:val="24"/>
        </w:rPr>
      </w:pPr>
      <w:r>
        <w:rPr>
          <w:rFonts w:hint="default"/>
          <w:color w:val="000000" w:themeColor="text1"/>
          <w:szCs w:val="24"/>
        </w:rPr>
        <w:t>（1）《建设项目环境风险评价技术导则》（HJ169-20</w:t>
      </w:r>
      <w:r>
        <w:rPr>
          <w:color w:val="000000" w:themeColor="text1"/>
          <w:szCs w:val="24"/>
        </w:rPr>
        <w:t>18</w:t>
      </w:r>
      <w:r>
        <w:rPr>
          <w:rFonts w:hint="default"/>
          <w:color w:val="000000" w:themeColor="text1"/>
          <w:szCs w:val="24"/>
        </w:rPr>
        <w:t>）；</w:t>
      </w:r>
    </w:p>
    <w:p>
      <w:pPr>
        <w:pStyle w:val="2"/>
        <w:ind w:firstLine="480"/>
        <w:rPr>
          <w:rFonts w:hint="default"/>
          <w:color w:val="000000" w:themeColor="text1"/>
          <w:szCs w:val="24"/>
        </w:rPr>
      </w:pPr>
      <w:r>
        <w:rPr>
          <w:rFonts w:hint="default"/>
          <w:color w:val="000000" w:themeColor="text1"/>
          <w:szCs w:val="24"/>
        </w:rPr>
        <w:t>（2）</w:t>
      </w:r>
      <w:r>
        <w:rPr>
          <w:rFonts w:hint="default"/>
          <w:color w:val="000000" w:themeColor="text1"/>
          <w:szCs w:val="24"/>
          <w:lang w:val="zh-CN"/>
        </w:rPr>
        <w:t>《企业突发环境事件风险分级方法》（HJ 941-2018）；</w:t>
      </w:r>
    </w:p>
    <w:p>
      <w:pPr>
        <w:pStyle w:val="2"/>
        <w:ind w:firstLine="480"/>
        <w:rPr>
          <w:rFonts w:hint="default"/>
          <w:color w:val="000000" w:themeColor="text1"/>
          <w:szCs w:val="24"/>
        </w:rPr>
      </w:pPr>
      <w:r>
        <w:rPr>
          <w:rFonts w:hint="default"/>
          <w:color w:val="000000" w:themeColor="text1"/>
          <w:szCs w:val="24"/>
        </w:rPr>
        <w:t>（3）《危险化学品重大危险源辨识》（GB18218-2018）；</w:t>
      </w:r>
    </w:p>
    <w:p>
      <w:pPr>
        <w:pStyle w:val="2"/>
        <w:ind w:firstLine="480"/>
        <w:rPr>
          <w:rFonts w:hint="default"/>
          <w:color w:val="000000" w:themeColor="text1"/>
          <w:szCs w:val="24"/>
        </w:rPr>
      </w:pPr>
      <w:r>
        <w:rPr>
          <w:rFonts w:hint="default"/>
          <w:color w:val="000000" w:themeColor="text1"/>
          <w:szCs w:val="24"/>
        </w:rPr>
        <w:t>（4）《化工建设项目环境保护设计规范》（GB50483-2009）；</w:t>
      </w:r>
    </w:p>
    <w:p>
      <w:pPr>
        <w:pStyle w:val="2"/>
        <w:ind w:firstLine="480"/>
        <w:rPr>
          <w:rFonts w:hint="default"/>
          <w:color w:val="000000" w:themeColor="text1"/>
          <w:szCs w:val="24"/>
        </w:rPr>
      </w:pPr>
      <w:r>
        <w:rPr>
          <w:rFonts w:hint="default"/>
          <w:color w:val="000000" w:themeColor="text1"/>
          <w:szCs w:val="24"/>
        </w:rPr>
        <w:t>（5）《建筑设计防火规范》（GB50016-2014）；</w:t>
      </w:r>
    </w:p>
    <w:p>
      <w:pPr>
        <w:pStyle w:val="2"/>
        <w:ind w:firstLine="480"/>
        <w:rPr>
          <w:rFonts w:hint="default"/>
          <w:color w:val="000000" w:themeColor="text1"/>
          <w:szCs w:val="24"/>
        </w:rPr>
      </w:pPr>
      <w:r>
        <w:rPr>
          <w:rFonts w:hint="default"/>
          <w:color w:val="000000" w:themeColor="text1"/>
          <w:szCs w:val="24"/>
        </w:rPr>
        <w:t>（6）《化学品分类、警示标签和警示性说明安全规程》（GB20576-GB20602）；</w:t>
      </w:r>
    </w:p>
    <w:p>
      <w:pPr>
        <w:pStyle w:val="2"/>
        <w:ind w:firstLine="480"/>
        <w:rPr>
          <w:rFonts w:hint="default"/>
          <w:color w:val="000000" w:themeColor="text1"/>
          <w:szCs w:val="24"/>
        </w:rPr>
      </w:pPr>
      <w:r>
        <w:rPr>
          <w:rFonts w:hint="default"/>
          <w:color w:val="000000" w:themeColor="text1"/>
          <w:szCs w:val="24"/>
        </w:rPr>
        <w:t>（7）《化学品毒性鉴定技术规范》（卫监督发〔2005〕272号）；</w:t>
      </w:r>
    </w:p>
    <w:p>
      <w:pPr>
        <w:pStyle w:val="2"/>
        <w:ind w:firstLine="480"/>
        <w:rPr>
          <w:rFonts w:hint="default"/>
          <w:color w:val="000000" w:themeColor="text1"/>
          <w:szCs w:val="24"/>
        </w:rPr>
      </w:pPr>
      <w:r>
        <w:rPr>
          <w:rFonts w:hint="default"/>
          <w:color w:val="000000" w:themeColor="text1"/>
          <w:szCs w:val="24"/>
        </w:rPr>
        <w:t>（8）《地表水环境质量标准》（GB3838-2002）；</w:t>
      </w:r>
    </w:p>
    <w:p>
      <w:pPr>
        <w:pStyle w:val="2"/>
        <w:ind w:firstLine="480"/>
        <w:rPr>
          <w:rFonts w:hint="default"/>
          <w:color w:val="000000" w:themeColor="text1"/>
          <w:szCs w:val="24"/>
        </w:rPr>
      </w:pPr>
      <w:r>
        <w:rPr>
          <w:rFonts w:hint="default"/>
          <w:color w:val="000000" w:themeColor="text1"/>
          <w:szCs w:val="24"/>
        </w:rPr>
        <w:t>（9）《地下水质量标准》（GB/T14848-</w:t>
      </w:r>
      <w:r>
        <w:rPr>
          <w:color w:val="000000" w:themeColor="text1"/>
          <w:szCs w:val="24"/>
        </w:rPr>
        <w:t>2017</w:t>
      </w:r>
      <w:r>
        <w:rPr>
          <w:rFonts w:hint="default"/>
          <w:color w:val="000000" w:themeColor="text1"/>
          <w:szCs w:val="24"/>
        </w:rPr>
        <w:t>）；</w:t>
      </w:r>
    </w:p>
    <w:p>
      <w:pPr>
        <w:pStyle w:val="2"/>
        <w:ind w:firstLine="480"/>
        <w:rPr>
          <w:rFonts w:hint="default"/>
          <w:color w:val="000000" w:themeColor="text1"/>
          <w:szCs w:val="24"/>
        </w:rPr>
      </w:pPr>
      <w:r>
        <w:rPr>
          <w:rFonts w:hint="default"/>
          <w:color w:val="000000" w:themeColor="text1"/>
          <w:szCs w:val="24"/>
        </w:rPr>
        <w:t>（10）《环境空气质量标准》（GB3095-2012）；</w:t>
      </w:r>
    </w:p>
    <w:p>
      <w:pPr>
        <w:pStyle w:val="2"/>
        <w:ind w:firstLine="480"/>
        <w:rPr>
          <w:rFonts w:hint="default"/>
          <w:color w:val="000000" w:themeColor="text1"/>
          <w:szCs w:val="24"/>
        </w:rPr>
      </w:pPr>
      <w:r>
        <w:rPr>
          <w:rFonts w:hint="default"/>
          <w:color w:val="000000" w:themeColor="text1"/>
          <w:szCs w:val="24"/>
        </w:rPr>
        <w:t>（11）《大气污染物综合排放标准》（GB16297-1996）；</w:t>
      </w:r>
    </w:p>
    <w:p>
      <w:pPr>
        <w:pStyle w:val="2"/>
        <w:ind w:firstLine="480"/>
        <w:rPr>
          <w:rFonts w:hint="default"/>
          <w:color w:val="000000" w:themeColor="text1"/>
          <w:szCs w:val="24"/>
        </w:rPr>
      </w:pPr>
      <w:r>
        <w:rPr>
          <w:rFonts w:hint="default"/>
          <w:color w:val="000000" w:themeColor="text1"/>
          <w:szCs w:val="24"/>
        </w:rPr>
        <w:t>（12）《污水综合排放标准》（GB8978-1996）；</w:t>
      </w:r>
    </w:p>
    <w:p>
      <w:pPr>
        <w:pStyle w:val="2"/>
        <w:ind w:firstLine="480"/>
        <w:rPr>
          <w:rFonts w:hint="default"/>
          <w:color w:val="000000" w:themeColor="text1"/>
          <w:szCs w:val="24"/>
        </w:rPr>
      </w:pPr>
      <w:r>
        <w:rPr>
          <w:rFonts w:hint="default"/>
          <w:color w:val="000000" w:themeColor="text1"/>
          <w:szCs w:val="24"/>
        </w:rPr>
        <w:t>（13）《危险废物贮存污染控制标准》（GB18597-2001）；</w:t>
      </w:r>
    </w:p>
    <w:p>
      <w:pPr>
        <w:pStyle w:val="2"/>
        <w:ind w:firstLine="480"/>
        <w:rPr>
          <w:rFonts w:hint="default"/>
          <w:color w:val="000000" w:themeColor="text1"/>
          <w:szCs w:val="24"/>
        </w:rPr>
      </w:pPr>
      <w:r>
        <w:rPr>
          <w:rFonts w:hint="default"/>
          <w:color w:val="000000" w:themeColor="text1"/>
          <w:szCs w:val="24"/>
        </w:rPr>
        <w:t>（14）《事故状态下水体污染物的预防与控制技术要求》（Q/SY1190-2005）。</w:t>
      </w:r>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13" w:name="_Toc32095"/>
      <w:r>
        <w:rPr>
          <w:b/>
          <w:bCs/>
          <w:color w:val="000000" w:themeColor="text1"/>
          <w:sz w:val="24"/>
        </w:rPr>
        <w:t>2.2.3</w:t>
      </w:r>
      <w:bookmarkEnd w:id="7"/>
      <w:bookmarkEnd w:id="8"/>
      <w:r>
        <w:rPr>
          <w:b/>
          <w:bCs/>
          <w:color w:val="000000" w:themeColor="text1"/>
          <w:sz w:val="24"/>
        </w:rPr>
        <w:t>相关资料</w:t>
      </w:r>
      <w:bookmarkEnd w:id="13"/>
    </w:p>
    <w:p>
      <w:pPr>
        <w:pStyle w:val="2"/>
        <w:ind w:firstLine="480"/>
        <w:rPr>
          <w:rFonts w:hint="default"/>
          <w:color w:val="000000" w:themeColor="text1"/>
          <w:szCs w:val="24"/>
        </w:rPr>
      </w:pPr>
      <w:r>
        <w:rPr>
          <w:rFonts w:hint="default"/>
          <w:color w:val="000000" w:themeColor="text1"/>
          <w:szCs w:val="24"/>
        </w:rPr>
        <w:t>（</w:t>
      </w:r>
      <w:r>
        <w:rPr>
          <w:color w:val="000000" w:themeColor="text1"/>
          <w:szCs w:val="24"/>
        </w:rPr>
        <w:t>1</w:t>
      </w:r>
      <w:r>
        <w:rPr>
          <w:rFonts w:hint="default"/>
          <w:color w:val="000000" w:themeColor="text1"/>
          <w:szCs w:val="24"/>
        </w:rPr>
        <w:t>）《</w:t>
      </w:r>
      <w:r>
        <w:rPr>
          <w:color w:val="000000" w:themeColor="text1"/>
          <w:szCs w:val="24"/>
        </w:rPr>
        <w:t>南昌</w:t>
      </w:r>
      <w:r>
        <w:rPr>
          <w:rFonts w:hint="default"/>
          <w:color w:val="000000" w:themeColor="text1"/>
          <w:szCs w:val="24"/>
        </w:rPr>
        <w:t>市突发环境事件应急预案》；</w:t>
      </w:r>
    </w:p>
    <w:p>
      <w:pPr>
        <w:pStyle w:val="2"/>
        <w:ind w:firstLine="480"/>
        <w:rPr>
          <w:rFonts w:hint="default"/>
          <w:color w:val="000000" w:themeColor="text1"/>
          <w:szCs w:val="24"/>
        </w:rPr>
      </w:pPr>
      <w:r>
        <w:rPr>
          <w:rFonts w:hint="default"/>
          <w:color w:val="000000" w:themeColor="text1"/>
          <w:szCs w:val="24"/>
        </w:rPr>
        <w:t>（</w:t>
      </w:r>
      <w:r>
        <w:rPr>
          <w:color w:val="000000" w:themeColor="text1"/>
          <w:szCs w:val="24"/>
        </w:rPr>
        <w:t>2</w:t>
      </w:r>
      <w:r>
        <w:rPr>
          <w:rFonts w:hint="default"/>
          <w:color w:val="000000" w:themeColor="text1"/>
          <w:szCs w:val="24"/>
        </w:rPr>
        <w:t>）《</w:t>
      </w:r>
      <w:r>
        <w:rPr>
          <w:color w:val="000000" w:themeColor="text1"/>
          <w:szCs w:val="24"/>
        </w:rPr>
        <w:t>南昌县</w:t>
      </w:r>
      <w:r>
        <w:rPr>
          <w:rFonts w:hint="default"/>
          <w:color w:val="000000" w:themeColor="text1"/>
          <w:szCs w:val="24"/>
        </w:rPr>
        <w:t>突发环境事件应急预案》；</w:t>
      </w:r>
    </w:p>
    <w:p>
      <w:pPr>
        <w:pStyle w:val="2"/>
        <w:ind w:firstLine="480"/>
        <w:rPr>
          <w:rFonts w:hint="default"/>
          <w:color w:val="000000" w:themeColor="text1"/>
          <w:szCs w:val="24"/>
        </w:rPr>
      </w:pPr>
      <w:r>
        <w:rPr>
          <w:rFonts w:hint="default"/>
          <w:color w:val="000000" w:themeColor="text1"/>
          <w:szCs w:val="24"/>
        </w:rPr>
        <w:t>（</w:t>
      </w:r>
      <w:r>
        <w:rPr>
          <w:color w:val="000000" w:themeColor="text1"/>
          <w:szCs w:val="24"/>
        </w:rPr>
        <w:t>3</w:t>
      </w:r>
      <w:r>
        <w:rPr>
          <w:rFonts w:hint="default"/>
          <w:color w:val="000000" w:themeColor="text1"/>
          <w:szCs w:val="24"/>
        </w:rPr>
        <w:t>）其他相关的法律、法规、规章和标准。</w:t>
      </w:r>
    </w:p>
    <w:p>
      <w:pPr>
        <w:pStyle w:val="2"/>
        <w:ind w:firstLine="480"/>
        <w:rPr>
          <w:rFonts w:hint="default"/>
          <w:color w:val="000000" w:themeColor="text1"/>
          <w:szCs w:val="24"/>
        </w:rPr>
      </w:pPr>
      <w:r>
        <w:rPr>
          <w:rFonts w:hint="default"/>
          <w:color w:val="000000" w:themeColor="text1"/>
          <w:szCs w:val="24"/>
        </w:rPr>
        <w:t>其他相关的法律、法规、规章和标准。以上凡不注明日期的引用文件，其有效版本适用于本预案。</w:t>
      </w:r>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14" w:name="_Toc24731"/>
      <w:r>
        <w:rPr>
          <w:b/>
          <w:bCs/>
          <w:color w:val="000000" w:themeColor="text1"/>
          <w:sz w:val="24"/>
        </w:rPr>
        <w:t>2.3 企业突发环境事件风险评估程序</w:t>
      </w:r>
      <w:bookmarkEnd w:id="14"/>
    </w:p>
    <w:p>
      <w:pPr>
        <w:pStyle w:val="2"/>
        <w:ind w:firstLine="480"/>
        <w:rPr>
          <w:rFonts w:hint="default"/>
          <w:color w:val="000000" w:themeColor="text1"/>
          <w:szCs w:val="24"/>
        </w:rPr>
      </w:pPr>
      <w:r>
        <w:rPr>
          <w:rFonts w:hint="default"/>
          <w:color w:val="000000" w:themeColor="text1"/>
          <w:szCs w:val="24"/>
        </w:rPr>
        <w:t>企业突发环境事件风险评估程序如下图2-1所示。</w:t>
      </w:r>
    </w:p>
    <w:p>
      <w:pPr>
        <w:autoSpaceDE w:val="0"/>
        <w:autoSpaceDN w:val="0"/>
        <w:adjustRightInd w:val="0"/>
        <w:spacing w:line="360" w:lineRule="auto"/>
        <w:ind w:firstLine="480" w:firstLineChars="200"/>
        <w:jc w:val="center"/>
        <w:rPr>
          <w:b/>
          <w:bCs/>
          <w:color w:val="000000" w:themeColor="text1"/>
          <w:szCs w:val="21"/>
        </w:rPr>
      </w:pPr>
      <w:r>
        <w:rPr>
          <w:color w:val="000000" w:themeColor="text1"/>
          <w:sz w:val="24"/>
          <w:shd w:val="clear" w:color="auto" w:fill="FFFFFF"/>
        </w:rPr>
        <w:drawing>
          <wp:inline distT="0" distB="0" distL="114300" distR="114300">
            <wp:extent cx="4161790" cy="3599815"/>
            <wp:effectExtent l="1905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7" cstate="print"/>
                    <a:srcRect t="258" r="1880" b="6976"/>
                    <a:stretch>
                      <a:fillRect/>
                    </a:stretch>
                  </pic:blipFill>
                  <pic:spPr>
                    <a:xfrm>
                      <a:off x="0" y="0"/>
                      <a:ext cx="4162090" cy="3600000"/>
                    </a:xfrm>
                    <a:prstGeom prst="rect">
                      <a:avLst/>
                    </a:prstGeom>
                    <a:noFill/>
                    <a:ln>
                      <a:noFill/>
                    </a:ln>
                  </pic:spPr>
                </pic:pic>
              </a:graphicData>
            </a:graphic>
          </wp:inline>
        </w:drawing>
      </w:r>
    </w:p>
    <w:p>
      <w:pPr>
        <w:autoSpaceDE w:val="0"/>
        <w:autoSpaceDN w:val="0"/>
        <w:adjustRightInd w:val="0"/>
        <w:spacing w:line="360" w:lineRule="auto"/>
        <w:ind w:firstLine="422" w:firstLineChars="200"/>
        <w:jc w:val="center"/>
        <w:rPr>
          <w:b/>
          <w:bCs/>
          <w:color w:val="000000" w:themeColor="text1"/>
          <w:szCs w:val="21"/>
        </w:rPr>
      </w:pPr>
      <w:r>
        <w:rPr>
          <w:b/>
          <w:bCs/>
          <w:color w:val="000000" w:themeColor="text1"/>
          <w:szCs w:val="21"/>
        </w:rPr>
        <w:t>图2-1   企业突发环境事件风险等级划分流程示意图</w:t>
      </w:r>
    </w:p>
    <w:p>
      <w:pPr>
        <w:rPr>
          <w:color w:val="000000" w:themeColor="text1"/>
        </w:rPr>
      </w:pPr>
      <w:r>
        <w:rPr>
          <w:color w:val="000000" w:themeColor="text1"/>
        </w:rPr>
        <w:br w:type="page"/>
      </w:r>
    </w:p>
    <w:p>
      <w:pPr>
        <w:autoSpaceDE w:val="0"/>
        <w:autoSpaceDN w:val="0"/>
        <w:adjustRightInd w:val="0"/>
        <w:snapToGrid w:val="0"/>
        <w:spacing w:before="312" w:beforeLines="100" w:after="156" w:afterLines="50" w:line="360" w:lineRule="auto"/>
        <w:jc w:val="center"/>
        <w:outlineLvl w:val="0"/>
        <w:rPr>
          <w:b/>
          <w:bCs/>
          <w:color w:val="000000" w:themeColor="text1"/>
          <w:sz w:val="30"/>
          <w:szCs w:val="30"/>
        </w:rPr>
      </w:pPr>
      <w:bookmarkStart w:id="15" w:name="_Toc15847"/>
      <w:r>
        <w:rPr>
          <w:b/>
          <w:bCs/>
          <w:color w:val="000000" w:themeColor="text1"/>
          <w:sz w:val="30"/>
          <w:szCs w:val="30"/>
        </w:rPr>
        <w:t>3、准备资料与环境风险识别</w:t>
      </w:r>
      <w:bookmarkEnd w:id="15"/>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16" w:name="_Toc20404"/>
      <w:r>
        <w:rPr>
          <w:b/>
          <w:bCs/>
          <w:color w:val="000000" w:themeColor="text1"/>
          <w:sz w:val="24"/>
        </w:rPr>
        <w:t>3.1 企业信息</w:t>
      </w:r>
      <w:bookmarkEnd w:id="16"/>
    </w:p>
    <w:p>
      <w:pPr>
        <w:spacing w:line="360" w:lineRule="auto"/>
        <w:ind w:firstLine="480" w:firstLineChars="200"/>
        <w:rPr>
          <w:color w:val="000000" w:themeColor="text1"/>
          <w:sz w:val="24"/>
        </w:rPr>
      </w:pPr>
      <w:r>
        <w:rPr>
          <w:rFonts w:hint="eastAsia"/>
          <w:color w:val="000000" w:themeColor="text1"/>
          <w:sz w:val="24"/>
        </w:rPr>
        <w:t>南昌中油瑶湖石油销售有限公司瑶湖加油站</w:t>
      </w:r>
      <w:r>
        <w:rPr>
          <w:color w:val="000000" w:themeColor="text1"/>
          <w:sz w:val="24"/>
        </w:rPr>
        <w:t>基本信息详见表3-1。</w:t>
      </w:r>
    </w:p>
    <w:p>
      <w:pPr>
        <w:jc w:val="center"/>
        <w:rPr>
          <w:b/>
          <w:bCs/>
          <w:color w:val="000000" w:themeColor="text1"/>
          <w:szCs w:val="21"/>
        </w:rPr>
      </w:pPr>
      <w:r>
        <w:rPr>
          <w:b/>
          <w:bCs/>
          <w:color w:val="000000" w:themeColor="text1"/>
          <w:szCs w:val="21"/>
        </w:rPr>
        <w:t>表3-1   公司基本信息情况一览表</w:t>
      </w:r>
    </w:p>
    <w:tbl>
      <w:tblPr>
        <w:tblStyle w:val="1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1960"/>
        <w:gridCol w:w="450"/>
        <w:gridCol w:w="1236"/>
        <w:gridCol w:w="748"/>
        <w:gridCol w:w="21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exact"/>
        </w:trPr>
        <w:tc>
          <w:tcPr>
            <w:tcW w:w="1951" w:type="dxa"/>
            <w:vAlign w:val="center"/>
          </w:tcPr>
          <w:p>
            <w:pPr>
              <w:jc w:val="center"/>
              <w:rPr>
                <w:color w:val="000000" w:themeColor="text1"/>
                <w:szCs w:val="21"/>
              </w:rPr>
            </w:pPr>
            <w:r>
              <w:rPr>
                <w:color w:val="000000" w:themeColor="text1"/>
                <w:szCs w:val="21"/>
              </w:rPr>
              <w:t>企业名称</w:t>
            </w:r>
          </w:p>
        </w:tc>
        <w:tc>
          <w:tcPr>
            <w:tcW w:w="6571" w:type="dxa"/>
            <w:gridSpan w:val="5"/>
            <w:vAlign w:val="center"/>
          </w:tcPr>
          <w:p>
            <w:pPr>
              <w:jc w:val="center"/>
              <w:rPr>
                <w:color w:val="000000" w:themeColor="text1"/>
                <w:szCs w:val="21"/>
              </w:rPr>
            </w:pPr>
            <w:r>
              <w:rPr>
                <w:rFonts w:hint="eastAsia"/>
                <w:color w:val="000000" w:themeColor="text1"/>
                <w:szCs w:val="21"/>
              </w:rPr>
              <w:t>南昌中油瑶湖石油销售有限公司瑶湖加油站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trPr>
        <w:tc>
          <w:tcPr>
            <w:tcW w:w="1951" w:type="dxa"/>
            <w:vAlign w:val="center"/>
          </w:tcPr>
          <w:p>
            <w:pPr>
              <w:jc w:val="center"/>
              <w:rPr>
                <w:color w:val="000000" w:themeColor="text1"/>
                <w:szCs w:val="21"/>
              </w:rPr>
            </w:pPr>
            <w:r>
              <w:rPr>
                <w:color w:val="000000" w:themeColor="text1"/>
                <w:szCs w:val="21"/>
              </w:rPr>
              <w:t>法人代表</w:t>
            </w:r>
          </w:p>
        </w:tc>
        <w:tc>
          <w:tcPr>
            <w:tcW w:w="6571" w:type="dxa"/>
            <w:gridSpan w:val="5"/>
            <w:vAlign w:val="center"/>
          </w:tcPr>
          <w:p>
            <w:pPr>
              <w:jc w:val="center"/>
              <w:rPr>
                <w:color w:val="000000" w:themeColor="text1"/>
                <w:szCs w:val="21"/>
              </w:rPr>
            </w:pPr>
            <w:r>
              <w:rPr>
                <w:rFonts w:hint="eastAsia"/>
                <w:color w:val="000000" w:themeColor="text1"/>
                <w:szCs w:val="21"/>
              </w:rPr>
              <w:t>喻晓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trPr>
        <w:tc>
          <w:tcPr>
            <w:tcW w:w="1951" w:type="dxa"/>
            <w:vAlign w:val="center"/>
          </w:tcPr>
          <w:p>
            <w:pPr>
              <w:jc w:val="center"/>
              <w:rPr>
                <w:color w:val="000000" w:themeColor="text1"/>
                <w:szCs w:val="21"/>
              </w:rPr>
            </w:pPr>
            <w:r>
              <w:rPr>
                <w:color w:val="000000" w:themeColor="text1"/>
                <w:szCs w:val="21"/>
              </w:rPr>
              <w:t>组织机构代码</w:t>
            </w:r>
          </w:p>
        </w:tc>
        <w:tc>
          <w:tcPr>
            <w:tcW w:w="6571" w:type="dxa"/>
            <w:gridSpan w:val="5"/>
            <w:vAlign w:val="center"/>
          </w:tcPr>
          <w:p>
            <w:pPr>
              <w:jc w:val="center"/>
              <w:rPr>
                <w:color w:val="000000" w:themeColor="text1"/>
                <w:szCs w:val="21"/>
              </w:rPr>
            </w:pPr>
            <w:r>
              <w:rPr>
                <w:color w:val="000000" w:themeColor="text1"/>
                <w:szCs w:val="21"/>
              </w:rPr>
              <w:t>91360100769779965B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trPr>
        <w:tc>
          <w:tcPr>
            <w:tcW w:w="1951" w:type="dxa"/>
            <w:vAlign w:val="center"/>
          </w:tcPr>
          <w:p>
            <w:pPr>
              <w:jc w:val="center"/>
              <w:rPr>
                <w:color w:val="000000" w:themeColor="text1"/>
                <w:szCs w:val="21"/>
              </w:rPr>
            </w:pPr>
            <w:r>
              <w:rPr>
                <w:color w:val="000000" w:themeColor="text1"/>
                <w:szCs w:val="21"/>
              </w:rPr>
              <w:t>建站时间</w:t>
            </w:r>
          </w:p>
        </w:tc>
        <w:tc>
          <w:tcPr>
            <w:tcW w:w="2410" w:type="dxa"/>
            <w:gridSpan w:val="2"/>
            <w:vAlign w:val="center"/>
          </w:tcPr>
          <w:p>
            <w:pPr>
              <w:jc w:val="center"/>
              <w:rPr>
                <w:color w:val="000000" w:themeColor="text1"/>
                <w:szCs w:val="21"/>
              </w:rPr>
            </w:pPr>
            <w:r>
              <w:rPr>
                <w:bCs/>
                <w:color w:val="000000" w:themeColor="text1"/>
                <w:szCs w:val="21"/>
              </w:rPr>
              <w:t>2005年1月</w:t>
            </w:r>
          </w:p>
        </w:tc>
        <w:tc>
          <w:tcPr>
            <w:tcW w:w="1984" w:type="dxa"/>
            <w:gridSpan w:val="2"/>
            <w:vAlign w:val="center"/>
          </w:tcPr>
          <w:p>
            <w:pPr>
              <w:jc w:val="center"/>
              <w:rPr>
                <w:color w:val="000000" w:themeColor="text1"/>
                <w:szCs w:val="21"/>
              </w:rPr>
            </w:pPr>
            <w:r>
              <w:rPr>
                <w:color w:val="000000" w:themeColor="text1"/>
                <w:szCs w:val="21"/>
              </w:rPr>
              <w:t>加油站成立时间</w:t>
            </w:r>
          </w:p>
        </w:tc>
        <w:tc>
          <w:tcPr>
            <w:tcW w:w="2177" w:type="dxa"/>
            <w:vAlign w:val="center"/>
          </w:tcPr>
          <w:p>
            <w:pPr>
              <w:jc w:val="center"/>
              <w:rPr>
                <w:bCs/>
                <w:color w:val="000000" w:themeColor="text1"/>
                <w:szCs w:val="21"/>
              </w:rPr>
            </w:pPr>
            <w:r>
              <w:rPr>
                <w:bCs/>
                <w:color w:val="000000" w:themeColor="text1"/>
                <w:szCs w:val="21"/>
              </w:rPr>
              <w:t>2005年1月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trPr>
        <w:tc>
          <w:tcPr>
            <w:tcW w:w="1951" w:type="dxa"/>
            <w:vAlign w:val="center"/>
          </w:tcPr>
          <w:p>
            <w:pPr>
              <w:jc w:val="center"/>
              <w:rPr>
                <w:color w:val="000000" w:themeColor="text1"/>
                <w:szCs w:val="21"/>
              </w:rPr>
            </w:pPr>
            <w:r>
              <w:rPr>
                <w:color w:val="000000" w:themeColor="text1"/>
                <w:szCs w:val="21"/>
              </w:rPr>
              <w:t>联系人</w:t>
            </w:r>
          </w:p>
        </w:tc>
        <w:tc>
          <w:tcPr>
            <w:tcW w:w="2410" w:type="dxa"/>
            <w:gridSpan w:val="2"/>
            <w:vAlign w:val="center"/>
          </w:tcPr>
          <w:p>
            <w:pPr>
              <w:jc w:val="center"/>
              <w:rPr>
                <w:color w:val="000000" w:themeColor="text1"/>
                <w:szCs w:val="21"/>
              </w:rPr>
            </w:pPr>
            <w:r>
              <w:rPr>
                <w:rFonts w:hint="eastAsia"/>
                <w:color w:val="000000" w:themeColor="text1"/>
                <w:szCs w:val="21"/>
              </w:rPr>
              <w:t>裘韦</w:t>
            </w:r>
          </w:p>
        </w:tc>
        <w:tc>
          <w:tcPr>
            <w:tcW w:w="1984" w:type="dxa"/>
            <w:gridSpan w:val="2"/>
            <w:vAlign w:val="center"/>
          </w:tcPr>
          <w:p>
            <w:pPr>
              <w:jc w:val="center"/>
              <w:rPr>
                <w:color w:val="000000" w:themeColor="text1"/>
                <w:szCs w:val="21"/>
              </w:rPr>
            </w:pPr>
            <w:r>
              <w:rPr>
                <w:color w:val="000000" w:themeColor="text1"/>
                <w:szCs w:val="21"/>
              </w:rPr>
              <w:t>联系电话</w:t>
            </w:r>
          </w:p>
        </w:tc>
        <w:tc>
          <w:tcPr>
            <w:tcW w:w="2177" w:type="dxa"/>
            <w:vAlign w:val="center"/>
          </w:tcPr>
          <w:p>
            <w:pPr>
              <w:jc w:val="center"/>
              <w:rPr>
                <w:color w:val="000000" w:themeColor="text1"/>
                <w:szCs w:val="21"/>
              </w:rPr>
            </w:pPr>
            <w:r>
              <w:rPr>
                <w:bCs/>
                <w:color w:val="000000" w:themeColor="text1"/>
                <w:szCs w:val="21"/>
              </w:rPr>
              <w:t>13807066080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exact"/>
        </w:trPr>
        <w:tc>
          <w:tcPr>
            <w:tcW w:w="1951" w:type="dxa"/>
            <w:vAlign w:val="center"/>
          </w:tcPr>
          <w:p>
            <w:pPr>
              <w:jc w:val="center"/>
              <w:rPr>
                <w:color w:val="000000" w:themeColor="text1"/>
                <w:szCs w:val="21"/>
              </w:rPr>
            </w:pPr>
            <w:r>
              <w:rPr>
                <w:color w:val="000000" w:themeColor="text1"/>
                <w:szCs w:val="21"/>
              </w:rPr>
              <w:t>传真</w:t>
            </w:r>
          </w:p>
        </w:tc>
        <w:tc>
          <w:tcPr>
            <w:tcW w:w="2410" w:type="dxa"/>
            <w:gridSpan w:val="2"/>
            <w:vAlign w:val="center"/>
          </w:tcPr>
          <w:p>
            <w:pPr>
              <w:jc w:val="center"/>
              <w:rPr>
                <w:bCs/>
                <w:color w:val="000000" w:themeColor="text1"/>
                <w:szCs w:val="21"/>
              </w:rPr>
            </w:pPr>
          </w:p>
        </w:tc>
        <w:tc>
          <w:tcPr>
            <w:tcW w:w="1984" w:type="dxa"/>
            <w:gridSpan w:val="2"/>
            <w:vAlign w:val="center"/>
          </w:tcPr>
          <w:p>
            <w:pPr>
              <w:jc w:val="center"/>
              <w:rPr>
                <w:color w:val="000000" w:themeColor="text1"/>
                <w:szCs w:val="21"/>
              </w:rPr>
            </w:pPr>
            <w:r>
              <w:rPr>
                <w:color w:val="000000" w:themeColor="text1"/>
                <w:szCs w:val="21"/>
              </w:rPr>
              <w:t>邮政编码</w:t>
            </w:r>
          </w:p>
        </w:tc>
        <w:tc>
          <w:tcPr>
            <w:tcW w:w="2177" w:type="dxa"/>
            <w:vAlign w:val="center"/>
          </w:tcPr>
          <w:p>
            <w:pPr>
              <w:jc w:val="center"/>
              <w:rPr>
                <w:color w:val="000000" w:themeColor="text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9" w:hRule="exact"/>
        </w:trPr>
        <w:tc>
          <w:tcPr>
            <w:tcW w:w="1951" w:type="dxa"/>
            <w:vAlign w:val="center"/>
          </w:tcPr>
          <w:p>
            <w:pPr>
              <w:jc w:val="center"/>
              <w:rPr>
                <w:color w:val="000000" w:themeColor="text1"/>
                <w:szCs w:val="21"/>
              </w:rPr>
            </w:pPr>
            <w:r>
              <w:rPr>
                <w:color w:val="000000" w:themeColor="text1"/>
                <w:szCs w:val="21"/>
              </w:rPr>
              <w:t>通讯地址</w:t>
            </w:r>
          </w:p>
        </w:tc>
        <w:tc>
          <w:tcPr>
            <w:tcW w:w="6571" w:type="dxa"/>
            <w:gridSpan w:val="5"/>
            <w:vAlign w:val="center"/>
          </w:tcPr>
          <w:p>
            <w:pPr>
              <w:jc w:val="center"/>
              <w:rPr>
                <w:color w:val="000000" w:themeColor="text1"/>
                <w:szCs w:val="21"/>
              </w:rPr>
            </w:pPr>
            <w:r>
              <w:rPr>
                <w:rFonts w:hint="eastAsia"/>
                <w:color w:val="000000" w:themeColor="text1"/>
                <w:szCs w:val="21"/>
              </w:rPr>
              <w:t>江西省南昌市高新区紫阳大道东18号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exact"/>
        </w:trPr>
        <w:tc>
          <w:tcPr>
            <w:tcW w:w="1951" w:type="dxa"/>
            <w:vAlign w:val="center"/>
          </w:tcPr>
          <w:p>
            <w:pPr>
              <w:jc w:val="center"/>
              <w:rPr>
                <w:color w:val="000000" w:themeColor="text1"/>
                <w:szCs w:val="21"/>
              </w:rPr>
            </w:pPr>
            <w:r>
              <w:rPr>
                <w:color w:val="000000" w:themeColor="text1"/>
                <w:szCs w:val="21"/>
              </w:rPr>
              <w:t>加油站中心经度</w:t>
            </w:r>
          </w:p>
        </w:tc>
        <w:tc>
          <w:tcPr>
            <w:tcW w:w="2410" w:type="dxa"/>
            <w:gridSpan w:val="2"/>
            <w:vAlign w:val="center"/>
          </w:tcPr>
          <w:p>
            <w:pPr>
              <w:jc w:val="center"/>
              <w:rPr>
                <w:color w:val="000000" w:themeColor="text1"/>
                <w:szCs w:val="21"/>
              </w:rPr>
            </w:pPr>
            <w:r>
              <w:rPr>
                <w:rFonts w:hint="eastAsia"/>
                <w:color w:val="000000" w:themeColor="text1"/>
                <w:szCs w:val="21"/>
              </w:rPr>
              <w:t>N</w:t>
            </w:r>
            <w:r>
              <w:rPr>
                <w:color w:val="000000" w:themeColor="text1"/>
                <w:szCs w:val="21"/>
              </w:rPr>
              <w:t>116°007483"</w:t>
            </w:r>
          </w:p>
        </w:tc>
        <w:tc>
          <w:tcPr>
            <w:tcW w:w="1984" w:type="dxa"/>
            <w:gridSpan w:val="2"/>
            <w:vAlign w:val="center"/>
          </w:tcPr>
          <w:p>
            <w:pPr>
              <w:jc w:val="center"/>
              <w:rPr>
                <w:color w:val="000000" w:themeColor="text1"/>
                <w:szCs w:val="21"/>
              </w:rPr>
            </w:pPr>
            <w:r>
              <w:rPr>
                <w:color w:val="000000" w:themeColor="text1"/>
                <w:szCs w:val="21"/>
              </w:rPr>
              <w:t>加油站中心纬度</w:t>
            </w:r>
          </w:p>
        </w:tc>
        <w:tc>
          <w:tcPr>
            <w:tcW w:w="2177" w:type="dxa"/>
            <w:vAlign w:val="center"/>
          </w:tcPr>
          <w:p>
            <w:pPr>
              <w:jc w:val="center"/>
              <w:rPr>
                <w:color w:val="000000" w:themeColor="text1"/>
                <w:szCs w:val="21"/>
              </w:rPr>
            </w:pPr>
            <w:r>
              <w:rPr>
                <w:color w:val="000000" w:themeColor="text1"/>
                <w:szCs w:val="21"/>
              </w:rPr>
              <w:t>E28°698350"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exact"/>
        </w:trPr>
        <w:tc>
          <w:tcPr>
            <w:tcW w:w="1951" w:type="dxa"/>
            <w:vAlign w:val="center"/>
          </w:tcPr>
          <w:p>
            <w:pPr>
              <w:jc w:val="center"/>
              <w:rPr>
                <w:color w:val="000000" w:themeColor="text1"/>
                <w:szCs w:val="21"/>
              </w:rPr>
            </w:pPr>
            <w:r>
              <w:rPr>
                <w:color w:val="000000" w:themeColor="text1"/>
                <w:szCs w:val="21"/>
              </w:rPr>
              <w:t>所属行业类别</w:t>
            </w:r>
          </w:p>
        </w:tc>
        <w:tc>
          <w:tcPr>
            <w:tcW w:w="6571" w:type="dxa"/>
            <w:gridSpan w:val="5"/>
            <w:vAlign w:val="center"/>
          </w:tcPr>
          <w:p>
            <w:pPr>
              <w:jc w:val="center"/>
              <w:rPr>
                <w:color w:val="000000" w:themeColor="text1"/>
                <w:szCs w:val="21"/>
              </w:rPr>
            </w:pPr>
            <w:r>
              <w:rPr>
                <w:rFonts w:hint="eastAsia"/>
                <w:color w:val="000000" w:themeColor="text1"/>
                <w:szCs w:val="21"/>
              </w:rPr>
              <w:t>石化行业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exact"/>
        </w:trPr>
        <w:tc>
          <w:tcPr>
            <w:tcW w:w="1951" w:type="dxa"/>
            <w:vAlign w:val="center"/>
          </w:tcPr>
          <w:p>
            <w:pPr>
              <w:jc w:val="center"/>
              <w:rPr>
                <w:color w:val="000000" w:themeColor="text1"/>
                <w:szCs w:val="21"/>
              </w:rPr>
            </w:pPr>
            <w:r>
              <w:rPr>
                <w:color w:val="000000" w:themeColor="text1"/>
                <w:szCs w:val="21"/>
              </w:rPr>
              <w:t>企业规模</w:t>
            </w:r>
          </w:p>
        </w:tc>
        <w:tc>
          <w:tcPr>
            <w:tcW w:w="6571" w:type="dxa"/>
            <w:gridSpan w:val="5"/>
            <w:vAlign w:val="center"/>
          </w:tcPr>
          <w:p>
            <w:pPr>
              <w:autoSpaceDN w:val="0"/>
              <w:jc w:val="center"/>
              <w:rPr>
                <w:bCs/>
                <w:color w:val="000000" w:themeColor="text1"/>
                <w:szCs w:val="21"/>
              </w:rPr>
            </w:pPr>
            <w:r>
              <w:rPr>
                <w:rFonts w:hint="eastAsia"/>
                <w:color w:val="000000" w:themeColor="text1"/>
                <w:szCs w:val="21"/>
              </w:rPr>
              <w:t>一共有油罐</w:t>
            </w:r>
            <w:r>
              <w:rPr>
                <w:color w:val="000000" w:themeColor="text1"/>
                <w:szCs w:val="21"/>
              </w:rPr>
              <w:t>5</w:t>
            </w:r>
            <w:r>
              <w:rPr>
                <w:rFonts w:hint="eastAsia"/>
                <w:color w:val="000000" w:themeColor="text1"/>
                <w:szCs w:val="21"/>
              </w:rPr>
              <w:t>个，其中有汽油罐</w:t>
            </w:r>
            <w:r>
              <w:rPr>
                <w:color w:val="000000" w:themeColor="text1"/>
                <w:szCs w:val="21"/>
              </w:rPr>
              <w:t>4</w:t>
            </w:r>
            <w:r>
              <w:rPr>
                <w:rFonts w:hint="eastAsia"/>
                <w:color w:val="000000" w:themeColor="text1"/>
                <w:szCs w:val="21"/>
              </w:rPr>
              <w:t>个，柴油罐</w:t>
            </w:r>
            <w:r>
              <w:rPr>
                <w:color w:val="000000" w:themeColor="text1"/>
                <w:szCs w:val="21"/>
              </w:rPr>
              <w:t>1</w:t>
            </w:r>
            <w:r>
              <w:rPr>
                <w:rFonts w:hint="eastAsia"/>
                <w:color w:val="000000" w:themeColor="text1"/>
                <w:szCs w:val="21"/>
              </w:rPr>
              <w:t>个，单罐容积为30m</w:t>
            </w:r>
            <w:r>
              <w:rPr>
                <w:color w:val="000000" w:themeColor="text1"/>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exact"/>
        </w:trPr>
        <w:tc>
          <w:tcPr>
            <w:tcW w:w="1951" w:type="dxa"/>
            <w:vAlign w:val="center"/>
          </w:tcPr>
          <w:p>
            <w:pPr>
              <w:jc w:val="center"/>
              <w:rPr>
                <w:color w:val="000000" w:themeColor="text1"/>
                <w:szCs w:val="21"/>
              </w:rPr>
            </w:pPr>
            <w:r>
              <w:rPr>
                <w:color w:val="000000" w:themeColor="text1"/>
                <w:szCs w:val="21"/>
              </w:rPr>
              <w:t>从业人数</w:t>
            </w:r>
          </w:p>
        </w:tc>
        <w:tc>
          <w:tcPr>
            <w:tcW w:w="1960" w:type="dxa"/>
            <w:vAlign w:val="center"/>
          </w:tcPr>
          <w:p>
            <w:pPr>
              <w:jc w:val="center"/>
              <w:rPr>
                <w:color w:val="000000" w:themeColor="text1"/>
                <w:szCs w:val="21"/>
              </w:rPr>
            </w:pPr>
            <w:r>
              <w:rPr>
                <w:color w:val="000000" w:themeColor="text1"/>
                <w:szCs w:val="21"/>
              </w:rPr>
              <w:t>13人</w:t>
            </w:r>
          </w:p>
        </w:tc>
        <w:tc>
          <w:tcPr>
            <w:tcW w:w="1686" w:type="dxa"/>
            <w:gridSpan w:val="2"/>
            <w:vAlign w:val="center"/>
          </w:tcPr>
          <w:p>
            <w:pPr>
              <w:jc w:val="center"/>
              <w:rPr>
                <w:color w:val="000000" w:themeColor="text1"/>
                <w:szCs w:val="21"/>
              </w:rPr>
            </w:pPr>
            <w:r>
              <w:rPr>
                <w:color w:val="000000" w:themeColor="text1"/>
                <w:szCs w:val="21"/>
              </w:rPr>
              <w:t>加油站面积</w:t>
            </w:r>
          </w:p>
        </w:tc>
        <w:tc>
          <w:tcPr>
            <w:tcW w:w="2925" w:type="dxa"/>
            <w:gridSpan w:val="2"/>
            <w:vAlign w:val="center"/>
          </w:tcPr>
          <w:p>
            <w:pPr>
              <w:jc w:val="center"/>
              <w:rPr>
                <w:color w:val="000000" w:themeColor="text1"/>
                <w:szCs w:val="21"/>
              </w:rPr>
            </w:pPr>
            <w:r>
              <w:rPr>
                <w:color w:val="000000" w:themeColor="text1"/>
                <w:szCs w:val="21"/>
              </w:rPr>
              <w:t>6533.1m</w:t>
            </w:r>
            <w:r>
              <w:rPr>
                <w:color w:val="000000" w:themeColor="text1"/>
                <w:szCs w:val="21"/>
                <w:vertAlign w:val="superscript"/>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exact"/>
        </w:trPr>
        <w:tc>
          <w:tcPr>
            <w:tcW w:w="1951" w:type="dxa"/>
            <w:vAlign w:val="center"/>
          </w:tcPr>
          <w:p>
            <w:pPr>
              <w:jc w:val="center"/>
              <w:rPr>
                <w:color w:val="000000" w:themeColor="text1"/>
                <w:szCs w:val="21"/>
              </w:rPr>
            </w:pPr>
            <w:r>
              <w:rPr>
                <w:color w:val="000000" w:themeColor="text1"/>
                <w:szCs w:val="21"/>
              </w:rPr>
              <w:t>最新改扩建年月</w:t>
            </w:r>
          </w:p>
        </w:tc>
        <w:tc>
          <w:tcPr>
            <w:tcW w:w="6571" w:type="dxa"/>
            <w:gridSpan w:val="5"/>
            <w:vAlign w:val="center"/>
          </w:tcPr>
          <w:p>
            <w:pPr>
              <w:jc w:val="center"/>
              <w:rPr>
                <w:color w:val="000000" w:themeColor="text1"/>
                <w:szCs w:val="21"/>
              </w:rPr>
            </w:pPr>
            <w:r>
              <w:rPr>
                <w:rFonts w:hint="eastAsia"/>
                <w:color w:val="000000" w:themeColor="text1"/>
                <w:szCs w:val="21"/>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exact"/>
        </w:trPr>
        <w:tc>
          <w:tcPr>
            <w:tcW w:w="1951" w:type="dxa"/>
            <w:vAlign w:val="center"/>
          </w:tcPr>
          <w:p>
            <w:pPr>
              <w:jc w:val="center"/>
              <w:rPr>
                <w:color w:val="000000" w:themeColor="text1"/>
                <w:szCs w:val="21"/>
              </w:rPr>
            </w:pPr>
            <w:r>
              <w:rPr>
                <w:color w:val="000000" w:themeColor="text1"/>
                <w:szCs w:val="21"/>
              </w:rPr>
              <w:t>历史突发环境事件</w:t>
            </w:r>
          </w:p>
        </w:tc>
        <w:tc>
          <w:tcPr>
            <w:tcW w:w="6571" w:type="dxa"/>
            <w:gridSpan w:val="5"/>
            <w:vAlign w:val="center"/>
          </w:tcPr>
          <w:p>
            <w:pPr>
              <w:jc w:val="center"/>
              <w:rPr>
                <w:color w:val="000000" w:themeColor="text1"/>
                <w:szCs w:val="21"/>
              </w:rPr>
            </w:pPr>
            <w:r>
              <w:rPr>
                <w:color w:val="000000" w:themeColor="text1"/>
                <w:szCs w:val="21"/>
              </w:rPr>
              <w:t>无</w:t>
            </w:r>
          </w:p>
        </w:tc>
      </w:tr>
    </w:tbl>
    <w:p>
      <w:pPr>
        <w:spacing w:line="360" w:lineRule="auto"/>
        <w:ind w:firstLine="480" w:firstLineChars="200"/>
        <w:rPr>
          <w:color w:val="000000" w:themeColor="text1"/>
          <w:sz w:val="24"/>
        </w:rPr>
      </w:pPr>
      <w:r>
        <w:rPr>
          <w:color w:val="000000" w:themeColor="text1"/>
          <w:sz w:val="24"/>
        </w:rPr>
        <w:t>项目周边的自然环境概况详见表3-2。</w:t>
      </w:r>
    </w:p>
    <w:p>
      <w:pPr>
        <w:jc w:val="center"/>
        <w:rPr>
          <w:b/>
          <w:bCs/>
          <w:color w:val="000000" w:themeColor="text1"/>
          <w:szCs w:val="21"/>
        </w:rPr>
      </w:pPr>
      <w:r>
        <w:rPr>
          <w:b/>
          <w:bCs/>
          <w:color w:val="000000" w:themeColor="text1"/>
          <w:szCs w:val="21"/>
        </w:rPr>
        <w:t>表3-2  项目周边的自然环境概况</w:t>
      </w:r>
    </w:p>
    <w:tbl>
      <w:tblPr>
        <w:tblStyle w:val="15"/>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9"/>
        <w:gridCol w:w="68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9" w:type="dxa"/>
            <w:vAlign w:val="center"/>
          </w:tcPr>
          <w:p>
            <w:pPr>
              <w:jc w:val="center"/>
              <w:rPr>
                <w:color w:val="000000" w:themeColor="text1"/>
                <w:spacing w:val="1"/>
                <w:kern w:val="0"/>
                <w:szCs w:val="21"/>
              </w:rPr>
            </w:pPr>
            <w:r>
              <w:rPr>
                <w:color w:val="000000" w:themeColor="text1"/>
                <w:szCs w:val="21"/>
              </w:rPr>
              <w:t>地形地貌</w:t>
            </w:r>
          </w:p>
        </w:tc>
        <w:tc>
          <w:tcPr>
            <w:tcW w:w="6853" w:type="dxa"/>
            <w:vAlign w:val="center"/>
          </w:tcPr>
          <w:p>
            <w:pPr>
              <w:pStyle w:val="2"/>
              <w:overflowPunct w:val="0"/>
              <w:topLinePunct/>
              <w:adjustRightInd/>
              <w:spacing w:line="240" w:lineRule="auto"/>
              <w:jc w:val="both"/>
              <w:textAlignment w:val="auto"/>
              <w:rPr>
                <w:rFonts w:hint="default"/>
                <w:color w:val="000000" w:themeColor="text1"/>
                <w:sz w:val="21"/>
                <w:szCs w:val="21"/>
              </w:rPr>
            </w:pPr>
            <w:r>
              <w:rPr>
                <w:color w:val="000000" w:themeColor="text1"/>
                <w:sz w:val="21"/>
                <w:szCs w:val="21"/>
              </w:rPr>
              <w:t>项目位于南昌高新区，离市中心约8Km，地理坐标为N116°007483"，E28°698350"。</w:t>
            </w:r>
          </w:p>
          <w:p>
            <w:pPr>
              <w:pStyle w:val="2"/>
              <w:spacing w:line="240" w:lineRule="auto"/>
              <w:rPr>
                <w:rFonts w:hint="default"/>
                <w:color w:val="000000" w:themeColor="text1"/>
                <w:sz w:val="21"/>
                <w:szCs w:val="21"/>
              </w:rPr>
            </w:pPr>
            <w:r>
              <w:rPr>
                <w:color w:val="000000" w:themeColor="text1"/>
                <w:sz w:val="21"/>
                <w:szCs w:val="21"/>
              </w:rPr>
              <w:t>南昌地处江西省中偏北部，长江中下游，赣江、抚河下游，鄱阳湖西南岸，位于东经115°27′-116°35′，北纬28°09′-29°11′之间，东部与上饶市毗邻，南和抚州市相连，西同宜春市交界，北与九江市接壤。高新区位于南昌市城东板块，区域面积231平方公里，下辖昌东、麻丘两个镇和艾溪湖管理处</w:t>
            </w:r>
          </w:p>
          <w:p>
            <w:pPr>
              <w:pStyle w:val="2"/>
              <w:spacing w:line="240" w:lineRule="auto"/>
              <w:rPr>
                <w:rFonts w:hint="default"/>
                <w:color w:val="000000" w:themeColor="text1"/>
                <w:sz w:val="21"/>
                <w:szCs w:val="21"/>
              </w:rPr>
            </w:pPr>
            <w:r>
              <w:rPr>
                <w:color w:val="000000" w:themeColor="text1"/>
                <w:sz w:val="21"/>
                <w:szCs w:val="21"/>
              </w:rPr>
              <w:t>高新区所在范围主要为第四系全新统和中更新统的地层，以及元古界板溪群第三系新余群雪峰晚期再生岩浆岩。</w:t>
            </w:r>
          </w:p>
          <w:p>
            <w:pPr>
              <w:pStyle w:val="2"/>
              <w:spacing w:line="240" w:lineRule="auto"/>
              <w:rPr>
                <w:rFonts w:hint="default"/>
                <w:color w:val="000000" w:themeColor="text1"/>
                <w:sz w:val="21"/>
                <w:szCs w:val="21"/>
              </w:rPr>
            </w:pPr>
            <w:r>
              <w:rPr>
                <w:color w:val="000000" w:themeColor="text1"/>
                <w:sz w:val="21"/>
                <w:szCs w:val="21"/>
              </w:rPr>
              <w:t>第四系全新统冲积层，岩性为灰黄、灰褐色亚粘土，硬塑状，主要分布于沿线河岸地带。第四系中更新统残积层，该层在场区出露两种岩性，一为黄褐色，棕黄色亚粘土，二为网纹红土。黄褐色、棕黄色亚粘土:表部为可一硬塑状，土层结构较紧密，粘结性较强，含少量铁锰质结构，厚度5-14米，该层分布于沿线岗丘及平原大部分地带:网纹红土:红褐色、硬望状、粘性强，野外直感土质坚实致密，透水性较弱，具有网纹结构，厚度5-15米，该层呈条带状分布于网丘中上部。</w:t>
            </w:r>
          </w:p>
          <w:p>
            <w:pPr>
              <w:pStyle w:val="2"/>
              <w:spacing w:line="240" w:lineRule="auto"/>
              <w:rPr>
                <w:rFonts w:hint="default"/>
                <w:color w:val="000000" w:themeColor="text1"/>
                <w:sz w:val="21"/>
                <w:szCs w:val="21"/>
              </w:rPr>
            </w:pPr>
            <w:r>
              <w:rPr>
                <w:color w:val="000000" w:themeColor="text1"/>
                <w:sz w:val="21"/>
                <w:szCs w:val="21"/>
              </w:rPr>
              <w:t>第三系新余群泥质粉砂岩，紫红色，与灰绿色含钙泥岩不等厚互层，厚度100~180米，该层主要分布于场区南部南昌断陷盆地，与下伏地层呈不整合接触。元古界板溪群，主要为浅灰一灰绿，蓝灰紫红色条带绿泥石绢云母板岸岩夹灰一灰绿色凝灰质粉砂岩和少量凝灰质长石石英砂岩，变余凝灰质细砂岩，部分地区为千枚状绢云母板岩、二云千校岩类千枚状砂岩，该层分布于场区大部分地区，隐伏于第四系之下。</w:t>
            </w:r>
          </w:p>
          <w:p>
            <w:pPr>
              <w:pStyle w:val="2"/>
              <w:overflowPunct w:val="0"/>
              <w:topLinePunct/>
              <w:adjustRightInd/>
              <w:spacing w:line="240" w:lineRule="auto"/>
              <w:jc w:val="both"/>
              <w:textAlignment w:val="auto"/>
              <w:rPr>
                <w:rFonts w:hint="default"/>
                <w:color w:val="000000" w:themeColor="text1"/>
                <w:sz w:val="21"/>
                <w:szCs w:val="21"/>
              </w:rPr>
            </w:pPr>
            <w:r>
              <w:rPr>
                <w:color w:val="000000" w:themeColor="text1"/>
                <w:sz w:val="21"/>
                <w:szCs w:val="21"/>
              </w:rPr>
              <w:t>雪峰晚期再生岩浆岩及混合岩，主要由灰绿一深灰色混合岩化片麻岩，蔬斑混合岩化片岩，眼球状混合岩化片麻岩，夹有少量厚度不大的灰色片岩，条痕状混合岩花岗岩变晶或变斑结构。片麻状、眼球状构造，分布于场区西南部乐化-湾里等地，与元古界板溪群呈侵入接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9" w:type="dxa"/>
            <w:vAlign w:val="center"/>
          </w:tcPr>
          <w:p>
            <w:pPr>
              <w:jc w:val="center"/>
              <w:rPr>
                <w:color w:val="000000" w:themeColor="text1"/>
                <w:spacing w:val="1"/>
                <w:kern w:val="0"/>
                <w:szCs w:val="21"/>
              </w:rPr>
            </w:pPr>
            <w:r>
              <w:rPr>
                <w:color w:val="000000" w:themeColor="text1"/>
                <w:szCs w:val="21"/>
              </w:rPr>
              <w:t>气候类型</w:t>
            </w:r>
          </w:p>
        </w:tc>
        <w:tc>
          <w:tcPr>
            <w:tcW w:w="6853" w:type="dxa"/>
          </w:tcPr>
          <w:p>
            <w:pPr>
              <w:pStyle w:val="2"/>
              <w:overflowPunct w:val="0"/>
              <w:topLinePunct/>
              <w:adjustRightInd/>
              <w:spacing w:line="240" w:lineRule="auto"/>
              <w:jc w:val="both"/>
              <w:textAlignment w:val="auto"/>
              <w:rPr>
                <w:rFonts w:hint="default"/>
                <w:color w:val="000000" w:themeColor="text1"/>
                <w:spacing w:val="1"/>
                <w:sz w:val="21"/>
                <w:szCs w:val="21"/>
              </w:rPr>
            </w:pPr>
            <w:r>
              <w:rPr>
                <w:color w:val="000000" w:themeColor="text1"/>
                <w:sz w:val="21"/>
                <w:szCs w:val="21"/>
              </w:rPr>
              <w:t>南昌市属亚热带季风温润气候，冬寒、春暖、夏热、秋凉，四季分明。春季春雨连绵，历史上最长连续降水日数为19天，年降水量为1645mm，雨量集中在4-6月份，多年平均降雨量1587mm，年最大降雨量2356mm。年平均气温17.5℃，最冷月份一月平均气温1.9℃。最热月份七月份，平均气温为34.5℃。全年日照时数为1903.9小时。项目所在地全年主导风为NE-ENE-NNE（东北-东北东-北北东）风，项目所在地年平均风速为2.01m/s。夏季平均风速最大，为2.08m/s，冬季平均风速最小为1.89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9" w:type="dxa"/>
            <w:vAlign w:val="center"/>
          </w:tcPr>
          <w:p>
            <w:pPr>
              <w:jc w:val="center"/>
              <w:rPr>
                <w:color w:val="000000" w:themeColor="text1"/>
                <w:spacing w:val="1"/>
                <w:kern w:val="0"/>
                <w:szCs w:val="21"/>
              </w:rPr>
            </w:pPr>
            <w:r>
              <w:rPr>
                <w:color w:val="000000" w:themeColor="text1"/>
                <w:szCs w:val="21"/>
              </w:rPr>
              <w:t>年风向玫瑰图</w:t>
            </w:r>
          </w:p>
        </w:tc>
        <w:tc>
          <w:tcPr>
            <w:tcW w:w="6853" w:type="dxa"/>
          </w:tcPr>
          <w:p>
            <w:pPr>
              <w:rPr>
                <w:color w:val="000000" w:themeColor="text1"/>
                <w:szCs w:val="21"/>
              </w:rPr>
            </w:pPr>
            <w:r>
              <w:rPr>
                <w:color w:val="000000" w:themeColor="text1"/>
                <w:sz w:val="24"/>
              </w:rPr>
              <w:drawing>
                <wp:anchor distT="0" distB="0" distL="114300" distR="114300" simplePos="0" relativeHeight="251655168" behindDoc="0" locked="0" layoutInCell="1" allowOverlap="1">
                  <wp:simplePos x="0" y="0"/>
                  <wp:positionH relativeFrom="column">
                    <wp:posOffset>9451975</wp:posOffset>
                  </wp:positionH>
                  <wp:positionV relativeFrom="paragraph">
                    <wp:posOffset>1316355</wp:posOffset>
                  </wp:positionV>
                  <wp:extent cx="476250" cy="891540"/>
                  <wp:effectExtent l="9525" t="9525" r="9525" b="13335"/>
                  <wp:wrapNone/>
                  <wp:docPr id="4" name="图片 19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95" descr="IMG_256"/>
                          <pic:cNvPicPr>
                            <a:picLocks noChangeAspect="1"/>
                          </pic:cNvPicPr>
                        </pic:nvPicPr>
                        <pic:blipFill>
                          <a:blip r:embed="rId8" cstate="print"/>
                          <a:stretch>
                            <a:fillRect/>
                          </a:stretch>
                        </pic:blipFill>
                        <pic:spPr>
                          <a:xfrm>
                            <a:off x="0" y="0"/>
                            <a:ext cx="476250" cy="891540"/>
                          </a:xfrm>
                          <a:prstGeom prst="rect">
                            <a:avLst/>
                          </a:prstGeom>
                          <a:noFill/>
                          <a:ln w="9525" cap="flat" cmpd="sng">
                            <a:solidFill>
                              <a:srgbClr val="00B0F0"/>
                            </a:solidFill>
                            <a:prstDash val="solid"/>
                            <a:miter/>
                            <a:headEnd type="none" w="med" len="med"/>
                            <a:tailEnd type="none" w="med" len="med"/>
                          </a:ln>
                        </pic:spPr>
                      </pic:pic>
                    </a:graphicData>
                  </a:graphic>
                </wp:anchor>
              </w:drawing>
            </w:r>
            <w:r>
              <w:rPr>
                <w:color w:val="000000" w:themeColor="text1"/>
                <w:sz w:val="24"/>
              </w:rPr>
              <w:drawing>
                <wp:anchor distT="0" distB="0" distL="114300" distR="114300" simplePos="0" relativeHeight="251653120" behindDoc="0" locked="0" layoutInCell="1" allowOverlap="1">
                  <wp:simplePos x="0" y="0"/>
                  <wp:positionH relativeFrom="column">
                    <wp:posOffset>9299575</wp:posOffset>
                  </wp:positionH>
                  <wp:positionV relativeFrom="paragraph">
                    <wp:posOffset>1163955</wp:posOffset>
                  </wp:positionV>
                  <wp:extent cx="476250" cy="891540"/>
                  <wp:effectExtent l="9525" t="9525" r="9525" b="13335"/>
                  <wp:wrapNone/>
                  <wp:docPr id="3" name="图片 19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95" descr="IMG_256"/>
                          <pic:cNvPicPr>
                            <a:picLocks noChangeAspect="1"/>
                          </pic:cNvPicPr>
                        </pic:nvPicPr>
                        <pic:blipFill>
                          <a:blip r:embed="rId8" cstate="print"/>
                          <a:stretch>
                            <a:fillRect/>
                          </a:stretch>
                        </pic:blipFill>
                        <pic:spPr>
                          <a:xfrm>
                            <a:off x="0" y="0"/>
                            <a:ext cx="476250" cy="891540"/>
                          </a:xfrm>
                          <a:prstGeom prst="rect">
                            <a:avLst/>
                          </a:prstGeom>
                          <a:noFill/>
                          <a:ln w="9525" cap="flat" cmpd="sng">
                            <a:solidFill>
                              <a:srgbClr val="00B0F0"/>
                            </a:solidFill>
                            <a:prstDash val="solid"/>
                            <a:miter/>
                            <a:headEnd type="none" w="med" len="med"/>
                            <a:tailEnd type="none" w="med" len="med"/>
                          </a:ln>
                        </pic:spPr>
                      </pic:pic>
                    </a:graphicData>
                  </a:graphic>
                </wp:anchor>
              </w:drawing>
            </w:r>
            <w:r>
              <w:rPr>
                <w:color w:val="000000" w:themeColor="text1"/>
                <w:szCs w:val="21"/>
              </w:rPr>
              <w:drawing>
                <wp:inline distT="0" distB="0" distL="0" distR="0">
                  <wp:extent cx="1010920" cy="111252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rot="10800000" flipH="1">
                            <a:off x="0" y="0"/>
                            <a:ext cx="1061134" cy="1167523"/>
                          </a:xfrm>
                          <a:prstGeom prst="rect">
                            <a:avLst/>
                          </a:prstGeom>
                          <a:noFill/>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9" w:type="dxa"/>
          </w:tcPr>
          <w:p>
            <w:pPr>
              <w:autoSpaceDE w:val="0"/>
              <w:autoSpaceDN w:val="0"/>
              <w:adjustRightInd w:val="0"/>
              <w:rPr>
                <w:color w:val="000000" w:themeColor="text1"/>
                <w:spacing w:val="1"/>
                <w:kern w:val="0"/>
                <w:szCs w:val="21"/>
              </w:rPr>
            </w:pPr>
            <w:r>
              <w:rPr>
                <w:color w:val="000000" w:themeColor="text1"/>
                <w:szCs w:val="21"/>
              </w:rPr>
              <w:t>地表径流</w:t>
            </w:r>
          </w:p>
        </w:tc>
        <w:tc>
          <w:tcPr>
            <w:tcW w:w="6853" w:type="dxa"/>
          </w:tcPr>
          <w:p>
            <w:pPr>
              <w:pStyle w:val="2"/>
              <w:spacing w:line="240" w:lineRule="auto"/>
              <w:rPr>
                <w:rFonts w:hint="default"/>
                <w:color w:val="000000" w:themeColor="text1"/>
                <w:sz w:val="21"/>
                <w:szCs w:val="21"/>
              </w:rPr>
            </w:pPr>
            <w:r>
              <w:rPr>
                <w:color w:val="000000" w:themeColor="text1"/>
                <w:sz w:val="21"/>
                <w:szCs w:val="21"/>
              </w:rPr>
              <w:t>项目沿线水域为赣江南支。</w:t>
            </w:r>
          </w:p>
          <w:p>
            <w:pPr>
              <w:pStyle w:val="2"/>
              <w:spacing w:line="240" w:lineRule="auto"/>
              <w:rPr>
                <w:rFonts w:hint="default"/>
                <w:color w:val="000000" w:themeColor="text1"/>
                <w:sz w:val="21"/>
                <w:szCs w:val="21"/>
              </w:rPr>
            </w:pPr>
            <w:r>
              <w:rPr>
                <w:color w:val="000000" w:themeColor="text1"/>
                <w:sz w:val="21"/>
                <w:szCs w:val="21"/>
              </w:rPr>
              <w:t>南昌区域内水系发达以，境内分布有多条河流、干渠以及众多的山塘湖泊。本项目主要涉及水体为赣江。赣江是江西省内第一大河流，是由贡江和章江在赣州市城北汇合而成。赣江由南向北纵穿全境，干流全长439km。赣江在八一桥以下进入尾闾地区，河道先被裘家洲、扬子洲分成东西两河。东河在蛟溪又分成南支和中支两叉。南支绕过南昌市区向东北流经45km入鄱阳湖。中支流经30km在朱港入鄱阳湖。西河在芦洲头分为主支和北支两汉。北支经下堡闵家再分成官港河和沙又河两汉，在朱港农场入鄱阳湖。主支流经樵舍、昌邑在吴城镇与修河汇台后出诸溪口入鄱阳湖，是通长江的主航道。赣江流域面积广阔，水量丰沛。南昌市外洲站以上面积达80948km2，据外洲站1950年至1989年的四十年实测水文资料分析结果，年最大径流量1109亿m³（1973年），年最小径流量236.7亿m³（1963年），多年平均径流量66亿m³。赣江最大日均流量为20900m³/s（1962年6月20日），最小日均流量172 m³/s（1963年11月30日），40年平均流量为2110 m³/s。</w:t>
            </w:r>
          </w:p>
        </w:tc>
      </w:tr>
    </w:tbl>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17" w:name="_Toc8493"/>
      <w:r>
        <w:rPr>
          <w:b/>
          <w:bCs/>
          <w:color w:val="000000" w:themeColor="text1"/>
          <w:sz w:val="24"/>
        </w:rPr>
        <w:t>3.2 加油站周边环境风险受体情况</w:t>
      </w:r>
      <w:bookmarkEnd w:id="17"/>
    </w:p>
    <w:p>
      <w:pPr>
        <w:autoSpaceDN w:val="0"/>
        <w:spacing w:line="360" w:lineRule="auto"/>
        <w:ind w:firstLine="480" w:firstLineChars="200"/>
        <w:jc w:val="left"/>
        <w:rPr>
          <w:color w:val="000000" w:themeColor="text1"/>
          <w:sz w:val="24"/>
          <w:lang w:val="zh-CN"/>
        </w:rPr>
      </w:pPr>
      <w:r>
        <w:rPr>
          <w:color w:val="000000" w:themeColor="text1"/>
          <w:sz w:val="24"/>
          <w:lang w:val="zh-CN"/>
        </w:rPr>
        <w:t>加油站周边200m范围内无自然保护区以及属国家级、省级保护的珍稀濒危野生动、植物等生态敏感区。</w:t>
      </w:r>
    </w:p>
    <w:p>
      <w:pPr>
        <w:spacing w:line="360" w:lineRule="auto"/>
        <w:ind w:firstLine="480" w:firstLineChars="200"/>
        <w:rPr>
          <w:color w:val="000000" w:themeColor="text1"/>
          <w:sz w:val="24"/>
          <w:lang w:val="zh-CN"/>
        </w:rPr>
      </w:pPr>
      <w:r>
        <w:rPr>
          <w:color w:val="000000" w:themeColor="text1"/>
          <w:sz w:val="24"/>
          <w:lang w:val="zh-CN"/>
        </w:rPr>
        <w:t>水环境保护目标：</w:t>
      </w:r>
      <w:r>
        <w:rPr>
          <w:rFonts w:hint="eastAsia"/>
          <w:color w:val="000000" w:themeColor="text1"/>
          <w:sz w:val="24"/>
          <w:lang w:val="zh-CN"/>
        </w:rPr>
        <w:t>北</w:t>
      </w:r>
      <w:r>
        <w:rPr>
          <w:color w:val="000000" w:themeColor="text1"/>
          <w:sz w:val="24"/>
        </w:rPr>
        <w:t>面2.7</w:t>
      </w:r>
      <w:r>
        <w:rPr>
          <w:rFonts w:hint="eastAsia"/>
          <w:color w:val="000000" w:themeColor="text1"/>
          <w:sz w:val="24"/>
        </w:rPr>
        <w:t>千</w:t>
      </w:r>
      <w:r>
        <w:rPr>
          <w:color w:val="000000" w:themeColor="text1"/>
          <w:sz w:val="24"/>
        </w:rPr>
        <w:t>米的</w:t>
      </w:r>
      <w:r>
        <w:rPr>
          <w:rFonts w:hint="eastAsia"/>
          <w:color w:val="000000" w:themeColor="text1"/>
          <w:sz w:val="24"/>
        </w:rPr>
        <w:t>赣江南支</w:t>
      </w:r>
      <w:r>
        <w:rPr>
          <w:color w:val="000000" w:themeColor="text1"/>
          <w:sz w:val="24"/>
        </w:rPr>
        <w:t>按GB3838-2002《地表水环境</w:t>
      </w:r>
      <w:r>
        <w:rPr>
          <w:color w:val="000000" w:themeColor="text1"/>
          <w:sz w:val="24"/>
          <w:lang w:val="zh-CN"/>
        </w:rPr>
        <w:t>质量标准》IV类标准水域功能要求。</w:t>
      </w:r>
    </w:p>
    <w:p>
      <w:pPr>
        <w:pStyle w:val="2"/>
        <w:ind w:firstLine="480"/>
        <w:jc w:val="both"/>
        <w:rPr>
          <w:rFonts w:hint="default"/>
          <w:color w:val="000000" w:themeColor="text1"/>
        </w:rPr>
      </w:pPr>
      <w:r>
        <w:rPr>
          <w:color w:val="000000" w:themeColor="text1"/>
        </w:rPr>
        <w:t>地下水环境保护目标：</w:t>
      </w:r>
      <w:r>
        <w:rPr>
          <w:rFonts w:ascii="宋体" w:hAnsi="宋体" w:cs="宋体"/>
          <w:color w:val="000000" w:themeColor="text1"/>
          <w:szCs w:val="24"/>
        </w:rPr>
        <w:t>周边地下水和农田，执行</w:t>
      </w:r>
      <w:r>
        <w:rPr>
          <w:color w:val="000000" w:themeColor="text1"/>
          <w:szCs w:val="24"/>
        </w:rPr>
        <w:t>《地下水质量标准》(GB/T14848-93)标准。</w:t>
      </w:r>
    </w:p>
    <w:p>
      <w:pPr>
        <w:spacing w:line="360" w:lineRule="auto"/>
        <w:ind w:firstLine="480" w:firstLineChars="200"/>
        <w:rPr>
          <w:color w:val="000000" w:themeColor="text1"/>
          <w:sz w:val="24"/>
          <w:lang w:val="zh-CN"/>
        </w:rPr>
      </w:pPr>
      <w:r>
        <w:rPr>
          <w:color w:val="000000" w:themeColor="text1"/>
          <w:sz w:val="24"/>
          <w:lang w:val="zh-CN"/>
        </w:rPr>
        <w:t>环境空气保护目标：项目附近的居民区。环境空气质量达到GB3095-2012《环境空气质量标准》二类区要求。</w:t>
      </w:r>
    </w:p>
    <w:p>
      <w:pPr>
        <w:spacing w:line="360" w:lineRule="auto"/>
        <w:ind w:firstLine="480" w:firstLineChars="200"/>
        <w:rPr>
          <w:color w:val="000000" w:themeColor="text1"/>
          <w:sz w:val="24"/>
          <w:lang w:val="zh-CN"/>
        </w:rPr>
      </w:pPr>
      <w:r>
        <w:rPr>
          <w:color w:val="000000" w:themeColor="text1"/>
          <w:sz w:val="24"/>
          <w:lang w:val="zh-CN"/>
        </w:rPr>
        <w:t>噪声环境保护目标：执行GB3096－2008《声环境质量标准》2类标准要求。</w:t>
      </w:r>
    </w:p>
    <w:p>
      <w:pPr>
        <w:snapToGrid w:val="0"/>
        <w:spacing w:line="360" w:lineRule="auto"/>
        <w:rPr>
          <w:color w:val="000000" w:themeColor="text1"/>
          <w:sz w:val="24"/>
          <w:lang w:val="zh-CN"/>
        </w:rPr>
      </w:pPr>
      <w:r>
        <w:rPr>
          <w:color w:val="000000" w:themeColor="text1"/>
          <w:sz w:val="24"/>
          <w:lang w:val="zh-CN"/>
        </w:rPr>
        <w:t>加油站环境保护目标见表</w:t>
      </w:r>
      <w:r>
        <w:rPr>
          <w:color w:val="000000" w:themeColor="text1"/>
          <w:sz w:val="24"/>
        </w:rPr>
        <w:t>3-3。</w:t>
      </w:r>
      <w:r>
        <w:rPr>
          <w:color w:val="000000" w:themeColor="text1"/>
          <w:sz w:val="24"/>
          <w:lang w:val="zh-CN"/>
        </w:rPr>
        <w:t>建设项目与周围环境关系图见图</w:t>
      </w:r>
      <w:r>
        <w:rPr>
          <w:color w:val="000000" w:themeColor="text1"/>
          <w:sz w:val="24"/>
        </w:rPr>
        <w:t>3-3</w:t>
      </w:r>
      <w:r>
        <w:rPr>
          <w:color w:val="000000" w:themeColor="text1"/>
          <w:sz w:val="24"/>
          <w:lang w:val="zh-CN"/>
        </w:rPr>
        <w:t>。</w:t>
      </w:r>
    </w:p>
    <w:p>
      <w:pPr>
        <w:pStyle w:val="22"/>
        <w:spacing w:beforeLines="0"/>
        <w:rPr>
          <w:rFonts w:hint="default"/>
          <w:color w:val="000000" w:themeColor="text1"/>
          <w:sz w:val="21"/>
          <w:szCs w:val="21"/>
        </w:rPr>
      </w:pPr>
      <w:r>
        <w:rPr>
          <w:rFonts w:hint="default"/>
          <w:color w:val="000000" w:themeColor="text1"/>
          <w:sz w:val="21"/>
          <w:szCs w:val="21"/>
        </w:rPr>
        <w:t>表3-3 环境保护目标一览表</w:t>
      </w:r>
    </w:p>
    <w:tbl>
      <w:tblPr>
        <w:tblStyle w:val="15"/>
        <w:tblW w:w="9230" w:type="dxa"/>
        <w:jc w:val="center"/>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1207"/>
        <w:gridCol w:w="2088"/>
        <w:gridCol w:w="823"/>
        <w:gridCol w:w="889"/>
        <w:gridCol w:w="1522"/>
        <w:gridCol w:w="2701"/>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788" w:hRule="exact"/>
          <w:jc w:val="center"/>
        </w:trPr>
        <w:tc>
          <w:tcPr>
            <w:tcW w:w="1207" w:type="dxa"/>
            <w:tcBorders>
              <w:tl2br w:val="nil"/>
              <w:tr2bl w:val="nil"/>
            </w:tcBorders>
            <w:vAlign w:val="center"/>
          </w:tcPr>
          <w:p>
            <w:pPr>
              <w:jc w:val="center"/>
              <w:rPr>
                <w:rFonts w:ascii="宋体" w:hAnsi="宋体" w:cs="宋体"/>
                <w:color w:val="000000" w:themeColor="text1"/>
                <w:kern w:val="18"/>
                <w:szCs w:val="21"/>
              </w:rPr>
            </w:pPr>
            <w:r>
              <w:rPr>
                <w:rFonts w:hint="eastAsia" w:ascii="宋体" w:hAnsi="宋体" w:cs="宋体"/>
                <w:color w:val="000000" w:themeColor="text1"/>
                <w:kern w:val="18"/>
                <w:szCs w:val="21"/>
              </w:rPr>
              <w:t>环境要素</w:t>
            </w:r>
          </w:p>
        </w:tc>
        <w:tc>
          <w:tcPr>
            <w:tcW w:w="2088" w:type="dxa"/>
            <w:tcBorders>
              <w:tl2br w:val="nil"/>
              <w:tr2bl w:val="nil"/>
            </w:tcBorders>
            <w:vAlign w:val="center"/>
          </w:tcPr>
          <w:p>
            <w:pPr>
              <w:jc w:val="center"/>
              <w:rPr>
                <w:rFonts w:ascii="宋体" w:hAnsi="宋体" w:cs="宋体"/>
                <w:color w:val="000000" w:themeColor="text1"/>
                <w:kern w:val="18"/>
                <w:szCs w:val="21"/>
              </w:rPr>
            </w:pPr>
            <w:r>
              <w:rPr>
                <w:rFonts w:hint="eastAsia" w:ascii="宋体" w:hAnsi="宋体" w:cs="宋体"/>
                <w:color w:val="000000" w:themeColor="text1"/>
                <w:kern w:val="18"/>
                <w:szCs w:val="21"/>
              </w:rPr>
              <w:t>保护目标名称</w:t>
            </w:r>
          </w:p>
        </w:tc>
        <w:tc>
          <w:tcPr>
            <w:tcW w:w="823" w:type="dxa"/>
            <w:tcBorders>
              <w:tl2br w:val="nil"/>
              <w:tr2bl w:val="nil"/>
            </w:tcBorders>
            <w:vAlign w:val="center"/>
          </w:tcPr>
          <w:p>
            <w:pPr>
              <w:jc w:val="center"/>
              <w:rPr>
                <w:rFonts w:ascii="宋体" w:hAnsi="宋体" w:cs="宋体"/>
                <w:color w:val="000000" w:themeColor="text1"/>
                <w:kern w:val="18"/>
                <w:szCs w:val="21"/>
              </w:rPr>
            </w:pPr>
            <w:r>
              <w:rPr>
                <w:rFonts w:hint="eastAsia" w:ascii="宋体" w:hAnsi="宋体" w:cs="宋体"/>
                <w:color w:val="000000" w:themeColor="text1"/>
                <w:kern w:val="18"/>
                <w:szCs w:val="21"/>
              </w:rPr>
              <w:t>距离（m）</w:t>
            </w:r>
          </w:p>
        </w:tc>
        <w:tc>
          <w:tcPr>
            <w:tcW w:w="889" w:type="dxa"/>
            <w:tcBorders>
              <w:tl2br w:val="nil"/>
              <w:tr2bl w:val="nil"/>
            </w:tcBorders>
            <w:vAlign w:val="center"/>
          </w:tcPr>
          <w:p>
            <w:pPr>
              <w:jc w:val="center"/>
              <w:rPr>
                <w:rFonts w:ascii="宋体" w:hAnsi="宋体" w:cs="宋体"/>
                <w:color w:val="000000" w:themeColor="text1"/>
                <w:kern w:val="18"/>
                <w:szCs w:val="21"/>
              </w:rPr>
            </w:pPr>
            <w:r>
              <w:rPr>
                <w:rFonts w:hint="eastAsia" w:ascii="宋体" w:hAnsi="宋体" w:cs="宋体"/>
                <w:color w:val="000000" w:themeColor="text1"/>
                <w:kern w:val="18"/>
                <w:szCs w:val="21"/>
              </w:rPr>
              <w:t>方位</w:t>
            </w:r>
          </w:p>
        </w:tc>
        <w:tc>
          <w:tcPr>
            <w:tcW w:w="1522" w:type="dxa"/>
            <w:tcBorders>
              <w:tl2br w:val="nil"/>
              <w:tr2bl w:val="nil"/>
            </w:tcBorders>
            <w:vAlign w:val="center"/>
          </w:tcPr>
          <w:p>
            <w:pPr>
              <w:jc w:val="center"/>
              <w:rPr>
                <w:rFonts w:ascii="宋体" w:hAnsi="宋体" w:cs="宋体"/>
                <w:color w:val="000000" w:themeColor="text1"/>
                <w:kern w:val="18"/>
                <w:szCs w:val="21"/>
              </w:rPr>
            </w:pPr>
            <w:r>
              <w:rPr>
                <w:rFonts w:hint="eastAsia" w:ascii="宋体" w:hAnsi="宋体" w:cs="宋体"/>
                <w:color w:val="000000" w:themeColor="text1"/>
                <w:kern w:val="18"/>
                <w:szCs w:val="21"/>
              </w:rPr>
              <w:t>保护目标人数（人）</w:t>
            </w:r>
          </w:p>
        </w:tc>
        <w:tc>
          <w:tcPr>
            <w:tcW w:w="2701" w:type="dxa"/>
            <w:tcBorders>
              <w:tl2br w:val="nil"/>
              <w:tr2bl w:val="nil"/>
            </w:tcBorders>
            <w:vAlign w:val="center"/>
          </w:tcPr>
          <w:p>
            <w:pPr>
              <w:jc w:val="center"/>
              <w:rPr>
                <w:rFonts w:ascii="宋体" w:hAnsi="宋体" w:cs="宋体"/>
                <w:color w:val="000000" w:themeColor="text1"/>
                <w:kern w:val="18"/>
                <w:szCs w:val="21"/>
              </w:rPr>
            </w:pPr>
            <w:r>
              <w:rPr>
                <w:rFonts w:hint="eastAsia" w:ascii="宋体" w:hAnsi="宋体" w:cs="宋体"/>
                <w:color w:val="000000" w:themeColor="text1"/>
                <w:kern w:val="18"/>
                <w:szCs w:val="21"/>
              </w:rPr>
              <w:t>环境功能</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58" w:hRule="atLeast"/>
          <w:jc w:val="center"/>
        </w:trPr>
        <w:tc>
          <w:tcPr>
            <w:tcW w:w="1207" w:type="dxa"/>
            <w:vMerge w:val="restart"/>
            <w:tcBorders>
              <w:tl2br w:val="nil"/>
              <w:tr2bl w:val="nil"/>
            </w:tcBorders>
            <w:vAlign w:val="center"/>
          </w:tcPr>
          <w:p>
            <w:pPr>
              <w:widowControl/>
              <w:jc w:val="center"/>
              <w:rPr>
                <w:rFonts w:ascii="宋体" w:hAnsi="宋体" w:cs="宋体"/>
                <w:color w:val="000000" w:themeColor="text1"/>
                <w:szCs w:val="21"/>
              </w:rPr>
            </w:pPr>
            <w:r>
              <w:rPr>
                <w:rFonts w:hint="eastAsia" w:ascii="宋体" w:hAnsi="宋体" w:cs="宋体"/>
                <w:color w:val="000000" w:themeColor="text1"/>
                <w:szCs w:val="21"/>
              </w:rPr>
              <w:t>大气环境/声环境</w:t>
            </w:r>
          </w:p>
        </w:tc>
        <w:tc>
          <w:tcPr>
            <w:tcW w:w="2088" w:type="dxa"/>
            <w:tcBorders>
              <w:tl2br w:val="nil"/>
              <w:tr2bl w:val="nil"/>
            </w:tcBorders>
            <w:vAlign w:val="center"/>
          </w:tcPr>
          <w:p>
            <w:pPr>
              <w:numPr>
                <w:ilvl w:val="0"/>
                <w:numId w:val="1"/>
              </w:numPr>
              <w:jc w:val="center"/>
              <w:rPr>
                <w:rFonts w:ascii="宋体" w:hAnsi="宋体" w:cs="宋体"/>
                <w:color w:val="000000" w:themeColor="text1"/>
                <w:kern w:val="18"/>
                <w:szCs w:val="21"/>
              </w:rPr>
            </w:pPr>
            <w:r>
              <w:rPr>
                <w:rFonts w:hint="eastAsia" w:ascii="宋体" w:hAnsi="宋体" w:cs="宋体"/>
                <w:color w:val="000000" w:themeColor="text1"/>
                <w:kern w:val="18"/>
                <w:szCs w:val="21"/>
              </w:rPr>
              <w:t>江西制造</w:t>
            </w:r>
            <w:r>
              <w:rPr>
                <w:rFonts w:ascii="宋体" w:hAnsi="宋体" w:cs="宋体"/>
                <w:color w:val="000000" w:themeColor="text1"/>
                <w:kern w:val="18"/>
                <w:szCs w:val="21"/>
              </w:rPr>
              <w:t>技术学院</w:t>
            </w:r>
          </w:p>
        </w:tc>
        <w:tc>
          <w:tcPr>
            <w:tcW w:w="823" w:type="dxa"/>
            <w:tcBorders>
              <w:tl2br w:val="nil"/>
              <w:tr2bl w:val="nil"/>
            </w:tcBorders>
            <w:vAlign w:val="center"/>
          </w:tcPr>
          <w:p>
            <w:pPr>
              <w:jc w:val="center"/>
              <w:rPr>
                <w:rFonts w:ascii="宋体" w:hAnsi="宋体" w:cs="宋体"/>
                <w:color w:val="000000" w:themeColor="text1"/>
                <w:kern w:val="18"/>
                <w:szCs w:val="21"/>
              </w:rPr>
            </w:pPr>
            <w:r>
              <w:rPr>
                <w:rFonts w:ascii="宋体" w:hAnsi="宋体" w:cs="宋体"/>
                <w:color w:val="000000" w:themeColor="text1"/>
                <w:kern w:val="18"/>
                <w:szCs w:val="21"/>
              </w:rPr>
              <w:t>110</w:t>
            </w:r>
          </w:p>
        </w:tc>
        <w:tc>
          <w:tcPr>
            <w:tcW w:w="889" w:type="dxa"/>
            <w:tcBorders>
              <w:tl2br w:val="nil"/>
              <w:tr2bl w:val="nil"/>
            </w:tcBorders>
            <w:vAlign w:val="center"/>
          </w:tcPr>
          <w:p>
            <w:pPr>
              <w:jc w:val="center"/>
              <w:rPr>
                <w:rFonts w:ascii="宋体" w:hAnsi="宋体" w:cs="宋体"/>
                <w:color w:val="000000" w:themeColor="text1"/>
                <w:kern w:val="18"/>
                <w:szCs w:val="21"/>
              </w:rPr>
            </w:pPr>
            <w:r>
              <w:rPr>
                <w:rFonts w:hint="eastAsia" w:ascii="宋体" w:hAnsi="宋体" w:cs="宋体"/>
                <w:color w:val="000000" w:themeColor="text1"/>
                <w:kern w:val="18"/>
                <w:szCs w:val="21"/>
              </w:rPr>
              <w:t>西北</w:t>
            </w:r>
          </w:p>
        </w:tc>
        <w:tc>
          <w:tcPr>
            <w:tcW w:w="1522" w:type="dxa"/>
            <w:tcBorders>
              <w:tl2br w:val="nil"/>
              <w:tr2bl w:val="nil"/>
            </w:tcBorders>
            <w:vAlign w:val="center"/>
          </w:tcPr>
          <w:p>
            <w:pPr>
              <w:jc w:val="center"/>
              <w:rPr>
                <w:rFonts w:ascii="宋体" w:hAnsi="宋体" w:cs="宋体"/>
                <w:color w:val="000000" w:themeColor="text1"/>
                <w:kern w:val="18"/>
                <w:szCs w:val="21"/>
              </w:rPr>
            </w:pPr>
            <w:r>
              <w:rPr>
                <w:rFonts w:ascii="宋体" w:hAnsi="宋体" w:cs="宋体"/>
                <w:color w:val="000000" w:themeColor="text1"/>
                <w:kern w:val="18"/>
                <w:szCs w:val="21"/>
              </w:rPr>
              <w:t xml:space="preserve">8000-10000 </w:t>
            </w:r>
          </w:p>
        </w:tc>
        <w:tc>
          <w:tcPr>
            <w:tcW w:w="2701" w:type="dxa"/>
            <w:vMerge w:val="restart"/>
            <w:tcBorders>
              <w:tl2br w:val="nil"/>
              <w:tr2bl w:val="nil"/>
            </w:tcBorders>
            <w:vAlign w:val="center"/>
          </w:tcPr>
          <w:p>
            <w:pPr>
              <w:ind w:left="-2" w:leftChars="-1"/>
              <w:contextualSpacing/>
              <w:rPr>
                <w:rFonts w:ascii="宋体" w:hAnsi="宋体" w:cs="宋体"/>
                <w:color w:val="000000" w:themeColor="text1"/>
                <w:szCs w:val="21"/>
              </w:rPr>
            </w:pPr>
            <w:r>
              <w:rPr>
                <w:rFonts w:ascii="宋体" w:hAnsi="宋体" w:cs="宋体"/>
                <w:color w:val="000000" w:themeColor="text1"/>
                <w:szCs w:val="21"/>
              </w:rPr>
              <w:t>《环境空气质量标准》</w:t>
            </w:r>
            <w:r>
              <w:rPr>
                <w:rFonts w:hint="eastAsia" w:ascii="宋体" w:hAnsi="宋体" w:cs="宋体"/>
                <w:color w:val="000000" w:themeColor="text1"/>
                <w:szCs w:val="21"/>
              </w:rPr>
              <w:t>(GB3095-2012)中二级标准、</w:t>
            </w:r>
            <w:r>
              <w:rPr>
                <w:rFonts w:ascii="宋体" w:hAnsi="宋体" w:cs="宋体"/>
                <w:color w:val="000000" w:themeColor="text1"/>
                <w:szCs w:val="21"/>
              </w:rPr>
              <w:t>《声环境质量标准》</w:t>
            </w:r>
          </w:p>
          <w:p>
            <w:pPr>
              <w:jc w:val="center"/>
              <w:rPr>
                <w:rFonts w:ascii="宋体" w:hAnsi="宋体" w:cs="宋体"/>
                <w:color w:val="000000" w:themeColor="text1"/>
                <w:kern w:val="18"/>
                <w:szCs w:val="21"/>
              </w:rPr>
            </w:pPr>
            <w:r>
              <w:rPr>
                <w:rFonts w:hint="eastAsia" w:ascii="宋体" w:hAnsi="宋体" w:cs="宋体"/>
                <w:color w:val="000000" w:themeColor="text1"/>
                <w:szCs w:val="21"/>
              </w:rPr>
              <w:t>(GB3096-2008)中2类、4a类标准</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02" w:hRule="exact"/>
          <w:jc w:val="center"/>
        </w:trPr>
        <w:tc>
          <w:tcPr>
            <w:tcW w:w="1207" w:type="dxa"/>
            <w:vMerge w:val="continue"/>
            <w:tcBorders>
              <w:tl2br w:val="nil"/>
              <w:tr2bl w:val="nil"/>
            </w:tcBorders>
            <w:vAlign w:val="center"/>
          </w:tcPr>
          <w:p>
            <w:pPr>
              <w:widowControl/>
              <w:jc w:val="left"/>
              <w:rPr>
                <w:rFonts w:ascii="宋体" w:hAnsi="宋体" w:cs="宋体"/>
                <w:color w:val="000000" w:themeColor="text1"/>
                <w:szCs w:val="21"/>
              </w:rPr>
            </w:pPr>
          </w:p>
        </w:tc>
        <w:tc>
          <w:tcPr>
            <w:tcW w:w="2088" w:type="dxa"/>
            <w:tcBorders>
              <w:tl2br w:val="nil"/>
              <w:tr2bl w:val="nil"/>
            </w:tcBorders>
            <w:vAlign w:val="center"/>
          </w:tcPr>
          <w:p>
            <w:pPr>
              <w:numPr>
                <w:ilvl w:val="0"/>
                <w:numId w:val="1"/>
              </w:numPr>
              <w:jc w:val="center"/>
              <w:rPr>
                <w:rFonts w:ascii="宋体" w:hAnsi="宋体" w:cs="宋体"/>
                <w:color w:val="000000" w:themeColor="text1"/>
                <w:kern w:val="18"/>
                <w:szCs w:val="21"/>
              </w:rPr>
            </w:pPr>
            <w:r>
              <w:rPr>
                <w:rFonts w:hint="eastAsia" w:ascii="宋体" w:hAnsi="宋体" w:cs="宋体"/>
                <w:color w:val="000000" w:themeColor="text1"/>
                <w:kern w:val="18"/>
                <w:szCs w:val="21"/>
              </w:rPr>
              <w:t>江西</w:t>
            </w:r>
            <w:r>
              <w:rPr>
                <w:rFonts w:ascii="宋体" w:hAnsi="宋体" w:cs="宋体"/>
                <w:color w:val="000000" w:themeColor="text1"/>
                <w:kern w:val="18"/>
                <w:szCs w:val="21"/>
              </w:rPr>
              <w:t>现代学院</w:t>
            </w:r>
          </w:p>
        </w:tc>
        <w:tc>
          <w:tcPr>
            <w:tcW w:w="823" w:type="dxa"/>
            <w:tcBorders>
              <w:tl2br w:val="nil"/>
              <w:tr2bl w:val="nil"/>
            </w:tcBorders>
            <w:vAlign w:val="center"/>
          </w:tcPr>
          <w:p>
            <w:pPr>
              <w:jc w:val="center"/>
              <w:rPr>
                <w:rFonts w:ascii="宋体" w:hAnsi="宋体" w:cs="宋体"/>
                <w:color w:val="000000" w:themeColor="text1"/>
                <w:kern w:val="18"/>
                <w:szCs w:val="21"/>
              </w:rPr>
            </w:pPr>
            <w:r>
              <w:rPr>
                <w:rFonts w:ascii="宋体" w:hAnsi="宋体" w:cs="宋体"/>
                <w:color w:val="000000" w:themeColor="text1"/>
                <w:kern w:val="18"/>
                <w:szCs w:val="21"/>
              </w:rPr>
              <w:t>310</w:t>
            </w:r>
          </w:p>
        </w:tc>
        <w:tc>
          <w:tcPr>
            <w:tcW w:w="889" w:type="dxa"/>
            <w:tcBorders>
              <w:tl2br w:val="nil"/>
              <w:tr2bl w:val="nil"/>
            </w:tcBorders>
            <w:vAlign w:val="center"/>
          </w:tcPr>
          <w:p>
            <w:pPr>
              <w:jc w:val="center"/>
              <w:rPr>
                <w:rFonts w:ascii="宋体" w:hAnsi="宋体" w:cs="宋体"/>
                <w:color w:val="000000" w:themeColor="text1"/>
                <w:kern w:val="18"/>
                <w:szCs w:val="21"/>
              </w:rPr>
            </w:pPr>
            <w:r>
              <w:rPr>
                <w:rFonts w:hint="eastAsia" w:ascii="宋体" w:hAnsi="宋体" w:cs="宋体"/>
                <w:color w:val="000000" w:themeColor="text1"/>
                <w:kern w:val="18"/>
                <w:szCs w:val="21"/>
              </w:rPr>
              <w:t>西南</w:t>
            </w:r>
          </w:p>
        </w:tc>
        <w:tc>
          <w:tcPr>
            <w:tcW w:w="1522" w:type="dxa"/>
            <w:tcBorders>
              <w:tl2br w:val="nil"/>
              <w:tr2bl w:val="nil"/>
            </w:tcBorders>
            <w:vAlign w:val="center"/>
          </w:tcPr>
          <w:p>
            <w:pPr>
              <w:jc w:val="center"/>
              <w:rPr>
                <w:rFonts w:ascii="宋体" w:hAnsi="宋体" w:cs="宋体"/>
                <w:color w:val="000000" w:themeColor="text1"/>
                <w:kern w:val="18"/>
                <w:szCs w:val="21"/>
              </w:rPr>
            </w:pPr>
            <w:r>
              <w:rPr>
                <w:rFonts w:ascii="宋体" w:hAnsi="宋体" w:cs="宋体"/>
                <w:color w:val="000000" w:themeColor="text1"/>
                <w:kern w:val="18"/>
                <w:szCs w:val="21"/>
              </w:rPr>
              <w:t>8000-10000</w:t>
            </w:r>
          </w:p>
        </w:tc>
        <w:tc>
          <w:tcPr>
            <w:tcW w:w="2701" w:type="dxa"/>
            <w:vMerge w:val="continue"/>
            <w:tcBorders>
              <w:tl2br w:val="nil"/>
              <w:tr2bl w:val="nil"/>
            </w:tcBorders>
            <w:vAlign w:val="center"/>
          </w:tcPr>
          <w:p>
            <w:pPr>
              <w:widowControl/>
              <w:jc w:val="left"/>
              <w:rPr>
                <w:rFonts w:ascii="宋体" w:hAnsi="宋体" w:cs="宋体"/>
                <w:color w:val="000000" w:themeColor="text1"/>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73" w:hRule="exact"/>
          <w:jc w:val="center"/>
        </w:trPr>
        <w:tc>
          <w:tcPr>
            <w:tcW w:w="1207" w:type="dxa"/>
            <w:vMerge w:val="continue"/>
            <w:tcBorders>
              <w:tl2br w:val="nil"/>
              <w:tr2bl w:val="nil"/>
            </w:tcBorders>
            <w:vAlign w:val="center"/>
          </w:tcPr>
          <w:p>
            <w:pPr>
              <w:widowControl/>
              <w:jc w:val="left"/>
              <w:rPr>
                <w:rFonts w:ascii="宋体" w:hAnsi="宋体" w:cs="宋体"/>
                <w:color w:val="000000" w:themeColor="text1"/>
                <w:szCs w:val="21"/>
              </w:rPr>
            </w:pPr>
          </w:p>
        </w:tc>
        <w:tc>
          <w:tcPr>
            <w:tcW w:w="2088" w:type="dxa"/>
            <w:tcBorders>
              <w:tl2br w:val="nil"/>
              <w:tr2bl w:val="nil"/>
            </w:tcBorders>
            <w:vAlign w:val="center"/>
          </w:tcPr>
          <w:p>
            <w:pPr>
              <w:numPr>
                <w:ilvl w:val="0"/>
                <w:numId w:val="1"/>
              </w:numPr>
              <w:jc w:val="center"/>
              <w:rPr>
                <w:rFonts w:ascii="宋体" w:hAnsi="宋体" w:cs="宋体"/>
                <w:color w:val="000000" w:themeColor="text1"/>
                <w:kern w:val="18"/>
                <w:szCs w:val="21"/>
              </w:rPr>
            </w:pPr>
            <w:r>
              <w:rPr>
                <w:rFonts w:hint="eastAsia" w:ascii="宋体" w:hAnsi="宋体" w:cs="宋体"/>
                <w:color w:val="000000" w:themeColor="text1"/>
                <w:kern w:val="18"/>
                <w:szCs w:val="21"/>
              </w:rPr>
              <w:t>长胜村</w:t>
            </w:r>
          </w:p>
        </w:tc>
        <w:tc>
          <w:tcPr>
            <w:tcW w:w="823" w:type="dxa"/>
            <w:tcBorders>
              <w:tl2br w:val="nil"/>
              <w:tr2bl w:val="nil"/>
            </w:tcBorders>
            <w:vAlign w:val="center"/>
          </w:tcPr>
          <w:p>
            <w:pPr>
              <w:jc w:val="center"/>
              <w:rPr>
                <w:rFonts w:ascii="宋体" w:hAnsi="宋体" w:cs="宋体"/>
                <w:color w:val="000000" w:themeColor="text1"/>
                <w:kern w:val="18"/>
                <w:szCs w:val="21"/>
              </w:rPr>
            </w:pPr>
            <w:r>
              <w:rPr>
                <w:rFonts w:ascii="宋体" w:hAnsi="宋体" w:cs="宋体"/>
                <w:color w:val="000000" w:themeColor="text1"/>
                <w:kern w:val="18"/>
                <w:szCs w:val="21"/>
              </w:rPr>
              <w:t>210</w:t>
            </w:r>
          </w:p>
        </w:tc>
        <w:tc>
          <w:tcPr>
            <w:tcW w:w="889" w:type="dxa"/>
            <w:tcBorders>
              <w:tl2br w:val="nil"/>
              <w:tr2bl w:val="nil"/>
            </w:tcBorders>
            <w:vAlign w:val="center"/>
          </w:tcPr>
          <w:p>
            <w:pPr>
              <w:jc w:val="center"/>
              <w:rPr>
                <w:rFonts w:ascii="宋体" w:hAnsi="宋体" w:cs="宋体"/>
                <w:color w:val="000000" w:themeColor="text1"/>
                <w:kern w:val="18"/>
                <w:szCs w:val="21"/>
              </w:rPr>
            </w:pPr>
            <w:r>
              <w:rPr>
                <w:rFonts w:hint="eastAsia" w:ascii="宋体" w:hAnsi="宋体" w:cs="宋体"/>
                <w:color w:val="000000" w:themeColor="text1"/>
                <w:kern w:val="18"/>
                <w:szCs w:val="21"/>
              </w:rPr>
              <w:t>西北</w:t>
            </w:r>
          </w:p>
        </w:tc>
        <w:tc>
          <w:tcPr>
            <w:tcW w:w="1522" w:type="dxa"/>
            <w:tcBorders>
              <w:tl2br w:val="nil"/>
              <w:tr2bl w:val="nil"/>
            </w:tcBorders>
            <w:vAlign w:val="center"/>
          </w:tcPr>
          <w:p>
            <w:pPr>
              <w:jc w:val="center"/>
              <w:rPr>
                <w:rFonts w:ascii="宋体" w:hAnsi="宋体" w:cs="宋体"/>
                <w:color w:val="000000" w:themeColor="text1"/>
                <w:kern w:val="18"/>
                <w:szCs w:val="21"/>
              </w:rPr>
            </w:pPr>
            <w:r>
              <w:rPr>
                <w:rFonts w:ascii="宋体" w:hAnsi="宋体" w:cs="宋体"/>
                <w:color w:val="000000" w:themeColor="text1"/>
                <w:kern w:val="18"/>
                <w:szCs w:val="21"/>
              </w:rPr>
              <w:t>3000-4000</w:t>
            </w:r>
          </w:p>
        </w:tc>
        <w:tc>
          <w:tcPr>
            <w:tcW w:w="2701" w:type="dxa"/>
            <w:vMerge w:val="continue"/>
            <w:tcBorders>
              <w:tl2br w:val="nil"/>
              <w:tr2bl w:val="nil"/>
            </w:tcBorders>
            <w:vAlign w:val="center"/>
          </w:tcPr>
          <w:p>
            <w:pPr>
              <w:widowControl/>
              <w:jc w:val="left"/>
              <w:rPr>
                <w:rFonts w:ascii="宋体" w:hAnsi="宋体" w:cs="宋体"/>
                <w:color w:val="000000" w:themeColor="text1"/>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706" w:hRule="exact"/>
          <w:jc w:val="center"/>
        </w:trPr>
        <w:tc>
          <w:tcPr>
            <w:tcW w:w="1207" w:type="dxa"/>
            <w:vMerge w:val="continue"/>
            <w:tcBorders>
              <w:tl2br w:val="nil"/>
              <w:tr2bl w:val="nil"/>
            </w:tcBorders>
            <w:vAlign w:val="center"/>
          </w:tcPr>
          <w:p>
            <w:pPr>
              <w:widowControl/>
              <w:jc w:val="left"/>
              <w:rPr>
                <w:rFonts w:ascii="宋体" w:hAnsi="宋体" w:cs="宋体"/>
                <w:color w:val="000000" w:themeColor="text1"/>
                <w:szCs w:val="21"/>
              </w:rPr>
            </w:pPr>
          </w:p>
        </w:tc>
        <w:tc>
          <w:tcPr>
            <w:tcW w:w="2088" w:type="dxa"/>
            <w:tcBorders>
              <w:tl2br w:val="nil"/>
              <w:tr2bl w:val="nil"/>
            </w:tcBorders>
            <w:vAlign w:val="center"/>
          </w:tcPr>
          <w:p>
            <w:pPr>
              <w:numPr>
                <w:ilvl w:val="0"/>
                <w:numId w:val="1"/>
              </w:numPr>
              <w:jc w:val="center"/>
              <w:rPr>
                <w:rFonts w:ascii="宋体" w:hAnsi="宋体" w:cs="宋体"/>
                <w:color w:val="000000" w:themeColor="text1"/>
                <w:kern w:val="18"/>
                <w:szCs w:val="21"/>
              </w:rPr>
            </w:pPr>
            <w:r>
              <w:rPr>
                <w:rFonts w:hint="eastAsia" w:ascii="宋体" w:hAnsi="宋体" w:cs="宋体"/>
                <w:color w:val="000000" w:themeColor="text1"/>
                <w:kern w:val="18"/>
                <w:szCs w:val="21"/>
              </w:rPr>
              <w:t>南昌</w:t>
            </w:r>
            <w:r>
              <w:rPr>
                <w:rFonts w:ascii="宋体" w:hAnsi="宋体" w:cs="宋体"/>
                <w:color w:val="000000" w:themeColor="text1"/>
                <w:kern w:val="18"/>
                <w:szCs w:val="21"/>
              </w:rPr>
              <w:t>二中高新</w:t>
            </w:r>
            <w:r>
              <w:rPr>
                <w:rFonts w:hint="eastAsia" w:ascii="宋体" w:hAnsi="宋体" w:cs="宋体"/>
                <w:color w:val="000000" w:themeColor="text1"/>
                <w:kern w:val="18"/>
                <w:szCs w:val="21"/>
              </w:rPr>
              <w:t xml:space="preserve"> 校</w:t>
            </w:r>
            <w:r>
              <w:rPr>
                <w:rFonts w:ascii="宋体" w:hAnsi="宋体" w:cs="宋体"/>
                <w:color w:val="000000" w:themeColor="text1"/>
                <w:kern w:val="18"/>
                <w:szCs w:val="21"/>
              </w:rPr>
              <w:t>区</w:t>
            </w:r>
          </w:p>
        </w:tc>
        <w:tc>
          <w:tcPr>
            <w:tcW w:w="823" w:type="dxa"/>
            <w:tcBorders>
              <w:tl2br w:val="nil"/>
              <w:tr2bl w:val="nil"/>
            </w:tcBorders>
            <w:vAlign w:val="center"/>
          </w:tcPr>
          <w:p>
            <w:pPr>
              <w:jc w:val="center"/>
              <w:rPr>
                <w:rFonts w:ascii="宋体" w:hAnsi="宋体" w:cs="宋体"/>
                <w:color w:val="000000" w:themeColor="text1"/>
                <w:kern w:val="18"/>
                <w:szCs w:val="21"/>
              </w:rPr>
            </w:pPr>
            <w:r>
              <w:rPr>
                <w:rFonts w:ascii="宋体" w:hAnsi="宋体" w:cs="宋体"/>
                <w:color w:val="000000" w:themeColor="text1"/>
                <w:kern w:val="18"/>
                <w:szCs w:val="21"/>
              </w:rPr>
              <w:t>110</w:t>
            </w:r>
          </w:p>
        </w:tc>
        <w:tc>
          <w:tcPr>
            <w:tcW w:w="889" w:type="dxa"/>
            <w:tcBorders>
              <w:tl2br w:val="nil"/>
              <w:tr2bl w:val="nil"/>
            </w:tcBorders>
            <w:vAlign w:val="center"/>
          </w:tcPr>
          <w:p>
            <w:pPr>
              <w:jc w:val="center"/>
              <w:rPr>
                <w:rFonts w:ascii="宋体" w:hAnsi="宋体" w:cs="宋体"/>
                <w:color w:val="000000" w:themeColor="text1"/>
                <w:kern w:val="18"/>
                <w:szCs w:val="21"/>
              </w:rPr>
            </w:pPr>
            <w:r>
              <w:rPr>
                <w:rFonts w:hint="eastAsia" w:ascii="宋体" w:hAnsi="宋体" w:cs="宋体"/>
                <w:color w:val="000000" w:themeColor="text1"/>
                <w:kern w:val="18"/>
                <w:szCs w:val="21"/>
              </w:rPr>
              <w:t>西北</w:t>
            </w:r>
          </w:p>
        </w:tc>
        <w:tc>
          <w:tcPr>
            <w:tcW w:w="1522" w:type="dxa"/>
            <w:tcBorders>
              <w:tl2br w:val="nil"/>
              <w:tr2bl w:val="nil"/>
            </w:tcBorders>
            <w:vAlign w:val="center"/>
          </w:tcPr>
          <w:p>
            <w:pPr>
              <w:jc w:val="center"/>
              <w:rPr>
                <w:rFonts w:ascii="宋体" w:hAnsi="宋体" w:cs="宋体"/>
                <w:color w:val="000000" w:themeColor="text1"/>
                <w:kern w:val="18"/>
                <w:szCs w:val="21"/>
              </w:rPr>
            </w:pPr>
            <w:r>
              <w:rPr>
                <w:rFonts w:ascii="宋体" w:hAnsi="宋体" w:cs="宋体"/>
                <w:color w:val="000000" w:themeColor="text1"/>
                <w:kern w:val="18"/>
                <w:szCs w:val="21"/>
              </w:rPr>
              <w:t>5000-7000</w:t>
            </w:r>
          </w:p>
        </w:tc>
        <w:tc>
          <w:tcPr>
            <w:tcW w:w="2701" w:type="dxa"/>
            <w:vMerge w:val="continue"/>
            <w:tcBorders>
              <w:tl2br w:val="nil"/>
              <w:tr2bl w:val="nil"/>
            </w:tcBorders>
            <w:vAlign w:val="center"/>
          </w:tcPr>
          <w:p>
            <w:pPr>
              <w:widowControl/>
              <w:jc w:val="left"/>
              <w:rPr>
                <w:rFonts w:ascii="宋体" w:hAnsi="宋体" w:cs="宋体"/>
                <w:color w:val="000000" w:themeColor="text1"/>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82" w:hRule="exact"/>
          <w:jc w:val="center"/>
        </w:trPr>
        <w:tc>
          <w:tcPr>
            <w:tcW w:w="1207" w:type="dxa"/>
            <w:vMerge w:val="continue"/>
            <w:tcBorders>
              <w:tl2br w:val="nil"/>
              <w:tr2bl w:val="nil"/>
            </w:tcBorders>
            <w:vAlign w:val="center"/>
          </w:tcPr>
          <w:p>
            <w:pPr>
              <w:widowControl/>
              <w:jc w:val="left"/>
              <w:rPr>
                <w:rFonts w:ascii="宋体" w:hAnsi="宋体" w:cs="宋体"/>
                <w:color w:val="000000" w:themeColor="text1"/>
                <w:szCs w:val="21"/>
              </w:rPr>
            </w:pPr>
          </w:p>
        </w:tc>
        <w:tc>
          <w:tcPr>
            <w:tcW w:w="2088" w:type="dxa"/>
            <w:tcBorders>
              <w:tl2br w:val="nil"/>
              <w:tr2bl w:val="nil"/>
            </w:tcBorders>
            <w:vAlign w:val="center"/>
          </w:tcPr>
          <w:p>
            <w:pPr>
              <w:numPr>
                <w:ilvl w:val="0"/>
                <w:numId w:val="1"/>
              </w:numPr>
              <w:jc w:val="center"/>
              <w:rPr>
                <w:rFonts w:ascii="宋体" w:hAnsi="宋体" w:cs="宋体"/>
                <w:color w:val="000000" w:themeColor="text1"/>
                <w:kern w:val="18"/>
                <w:szCs w:val="21"/>
              </w:rPr>
            </w:pPr>
            <w:r>
              <w:rPr>
                <w:rFonts w:hint="eastAsia" w:ascii="宋体" w:hAnsi="宋体" w:cs="宋体"/>
                <w:color w:val="000000" w:themeColor="text1"/>
                <w:kern w:val="18"/>
                <w:szCs w:val="21"/>
              </w:rPr>
              <w:t>昌东</w:t>
            </w:r>
            <w:r>
              <w:rPr>
                <w:rFonts w:ascii="宋体" w:hAnsi="宋体" w:cs="宋体"/>
                <w:color w:val="000000" w:themeColor="text1"/>
                <w:kern w:val="18"/>
                <w:szCs w:val="21"/>
              </w:rPr>
              <w:t>镇政府</w:t>
            </w:r>
          </w:p>
        </w:tc>
        <w:tc>
          <w:tcPr>
            <w:tcW w:w="823" w:type="dxa"/>
            <w:tcBorders>
              <w:tl2br w:val="nil"/>
              <w:tr2bl w:val="nil"/>
            </w:tcBorders>
            <w:vAlign w:val="center"/>
          </w:tcPr>
          <w:p>
            <w:pPr>
              <w:jc w:val="center"/>
              <w:rPr>
                <w:rFonts w:ascii="宋体" w:hAnsi="宋体" w:cs="宋体"/>
                <w:color w:val="000000" w:themeColor="text1"/>
                <w:kern w:val="18"/>
                <w:szCs w:val="21"/>
              </w:rPr>
            </w:pPr>
            <w:r>
              <w:rPr>
                <w:rFonts w:ascii="宋体" w:hAnsi="宋体" w:cs="宋体"/>
                <w:color w:val="000000" w:themeColor="text1"/>
                <w:kern w:val="18"/>
                <w:szCs w:val="21"/>
              </w:rPr>
              <w:t>300</w:t>
            </w:r>
          </w:p>
        </w:tc>
        <w:tc>
          <w:tcPr>
            <w:tcW w:w="889" w:type="dxa"/>
            <w:tcBorders>
              <w:tl2br w:val="nil"/>
              <w:tr2bl w:val="nil"/>
            </w:tcBorders>
            <w:vAlign w:val="center"/>
          </w:tcPr>
          <w:p>
            <w:pPr>
              <w:jc w:val="center"/>
              <w:rPr>
                <w:rFonts w:ascii="宋体" w:hAnsi="宋体" w:cs="宋体"/>
                <w:color w:val="000000" w:themeColor="text1"/>
                <w:kern w:val="18"/>
                <w:szCs w:val="21"/>
              </w:rPr>
            </w:pPr>
            <w:r>
              <w:rPr>
                <w:rFonts w:hint="eastAsia" w:ascii="宋体" w:hAnsi="宋体" w:cs="宋体"/>
                <w:color w:val="000000" w:themeColor="text1"/>
                <w:kern w:val="18"/>
                <w:szCs w:val="21"/>
              </w:rPr>
              <w:t>东南</w:t>
            </w:r>
          </w:p>
        </w:tc>
        <w:tc>
          <w:tcPr>
            <w:tcW w:w="1522" w:type="dxa"/>
            <w:tcBorders>
              <w:tl2br w:val="nil"/>
              <w:tr2bl w:val="nil"/>
            </w:tcBorders>
            <w:vAlign w:val="center"/>
          </w:tcPr>
          <w:p>
            <w:pPr>
              <w:jc w:val="center"/>
              <w:rPr>
                <w:rFonts w:ascii="宋体" w:hAnsi="宋体" w:cs="宋体"/>
                <w:color w:val="000000" w:themeColor="text1"/>
                <w:kern w:val="18"/>
                <w:szCs w:val="21"/>
              </w:rPr>
            </w:pPr>
            <w:r>
              <w:rPr>
                <w:rFonts w:ascii="宋体" w:hAnsi="宋体" w:cs="宋体"/>
                <w:color w:val="000000" w:themeColor="text1"/>
                <w:kern w:val="18"/>
                <w:szCs w:val="21"/>
              </w:rPr>
              <w:t>2</w:t>
            </w:r>
            <w:r>
              <w:rPr>
                <w:rFonts w:hint="eastAsia" w:ascii="宋体" w:hAnsi="宋体" w:cs="宋体"/>
                <w:color w:val="000000" w:themeColor="text1"/>
                <w:kern w:val="18"/>
                <w:szCs w:val="21"/>
              </w:rPr>
              <w:t>0</w:t>
            </w:r>
            <w:r>
              <w:rPr>
                <w:rFonts w:ascii="宋体" w:hAnsi="宋体" w:cs="宋体"/>
                <w:color w:val="000000" w:themeColor="text1"/>
                <w:kern w:val="18"/>
                <w:szCs w:val="21"/>
              </w:rPr>
              <w:t>0-300</w:t>
            </w:r>
          </w:p>
          <w:p>
            <w:pPr>
              <w:spacing w:after="120"/>
              <w:ind w:left="420" w:leftChars="200" w:firstLine="420" w:firstLineChars="200"/>
              <w:rPr>
                <w:rFonts w:ascii="Calibri" w:hAnsi="Calibri"/>
                <w:color w:val="000000" w:themeColor="text1"/>
                <w:szCs w:val="22"/>
              </w:rPr>
            </w:pPr>
          </w:p>
        </w:tc>
        <w:tc>
          <w:tcPr>
            <w:tcW w:w="2701" w:type="dxa"/>
            <w:vMerge w:val="continue"/>
            <w:tcBorders>
              <w:tl2br w:val="nil"/>
              <w:tr2bl w:val="nil"/>
            </w:tcBorders>
            <w:vAlign w:val="center"/>
          </w:tcPr>
          <w:p>
            <w:pPr>
              <w:widowControl/>
              <w:jc w:val="left"/>
              <w:rPr>
                <w:rFonts w:ascii="宋体" w:hAnsi="宋体" w:cs="宋体"/>
                <w:color w:val="000000" w:themeColor="text1"/>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82" w:hRule="exact"/>
          <w:jc w:val="center"/>
        </w:trPr>
        <w:tc>
          <w:tcPr>
            <w:tcW w:w="1207" w:type="dxa"/>
            <w:vMerge w:val="continue"/>
            <w:tcBorders>
              <w:tl2br w:val="nil"/>
              <w:tr2bl w:val="nil"/>
            </w:tcBorders>
            <w:vAlign w:val="center"/>
          </w:tcPr>
          <w:p>
            <w:pPr>
              <w:widowControl/>
              <w:jc w:val="left"/>
              <w:rPr>
                <w:rFonts w:ascii="宋体" w:hAnsi="宋体" w:cs="宋体"/>
                <w:color w:val="000000" w:themeColor="text1"/>
                <w:szCs w:val="21"/>
              </w:rPr>
            </w:pPr>
          </w:p>
        </w:tc>
        <w:tc>
          <w:tcPr>
            <w:tcW w:w="2088" w:type="dxa"/>
            <w:tcBorders>
              <w:tl2br w:val="nil"/>
              <w:tr2bl w:val="nil"/>
            </w:tcBorders>
            <w:vAlign w:val="center"/>
          </w:tcPr>
          <w:p>
            <w:pPr>
              <w:numPr>
                <w:ilvl w:val="0"/>
                <w:numId w:val="1"/>
              </w:numPr>
              <w:jc w:val="center"/>
              <w:rPr>
                <w:rFonts w:ascii="宋体" w:hAnsi="宋体" w:cs="宋体"/>
                <w:color w:val="000000" w:themeColor="text1"/>
                <w:kern w:val="18"/>
                <w:szCs w:val="21"/>
              </w:rPr>
            </w:pPr>
            <w:r>
              <w:rPr>
                <w:rFonts w:hint="eastAsia" w:ascii="宋体" w:hAnsi="宋体" w:cs="宋体"/>
                <w:color w:val="000000" w:themeColor="text1"/>
                <w:kern w:val="18"/>
                <w:szCs w:val="21"/>
              </w:rPr>
              <w:t>绿地</w:t>
            </w:r>
            <w:r>
              <w:rPr>
                <w:rFonts w:ascii="宋体" w:hAnsi="宋体" w:cs="宋体"/>
                <w:color w:val="000000" w:themeColor="text1"/>
                <w:kern w:val="18"/>
                <w:szCs w:val="21"/>
              </w:rPr>
              <w:t>新都会</w:t>
            </w:r>
          </w:p>
        </w:tc>
        <w:tc>
          <w:tcPr>
            <w:tcW w:w="823" w:type="dxa"/>
            <w:tcBorders>
              <w:tl2br w:val="nil"/>
              <w:tr2bl w:val="nil"/>
            </w:tcBorders>
            <w:vAlign w:val="center"/>
          </w:tcPr>
          <w:p>
            <w:pPr>
              <w:jc w:val="center"/>
              <w:rPr>
                <w:rFonts w:ascii="宋体" w:hAnsi="宋体" w:cs="宋体"/>
                <w:color w:val="000000" w:themeColor="text1"/>
                <w:kern w:val="18"/>
                <w:szCs w:val="21"/>
              </w:rPr>
            </w:pPr>
            <w:r>
              <w:rPr>
                <w:rFonts w:hint="eastAsia" w:ascii="宋体" w:hAnsi="宋体" w:cs="宋体"/>
                <w:color w:val="000000" w:themeColor="text1"/>
                <w:kern w:val="18"/>
                <w:szCs w:val="21"/>
              </w:rPr>
              <w:t>3</w:t>
            </w:r>
            <w:r>
              <w:rPr>
                <w:rFonts w:ascii="宋体" w:hAnsi="宋体" w:cs="宋体"/>
                <w:color w:val="000000" w:themeColor="text1"/>
                <w:kern w:val="18"/>
                <w:szCs w:val="21"/>
              </w:rPr>
              <w:t>80</w:t>
            </w:r>
          </w:p>
        </w:tc>
        <w:tc>
          <w:tcPr>
            <w:tcW w:w="889" w:type="dxa"/>
            <w:tcBorders>
              <w:tl2br w:val="nil"/>
              <w:tr2bl w:val="nil"/>
            </w:tcBorders>
            <w:vAlign w:val="center"/>
          </w:tcPr>
          <w:p>
            <w:pPr>
              <w:jc w:val="center"/>
              <w:rPr>
                <w:rFonts w:ascii="宋体" w:hAnsi="宋体" w:cs="宋体"/>
                <w:color w:val="000000" w:themeColor="text1"/>
                <w:kern w:val="18"/>
                <w:szCs w:val="21"/>
              </w:rPr>
            </w:pPr>
            <w:r>
              <w:rPr>
                <w:rFonts w:hint="eastAsia" w:ascii="宋体" w:hAnsi="宋体" w:cs="宋体"/>
                <w:color w:val="000000" w:themeColor="text1"/>
                <w:kern w:val="18"/>
                <w:szCs w:val="21"/>
              </w:rPr>
              <w:t>东北</w:t>
            </w:r>
          </w:p>
        </w:tc>
        <w:tc>
          <w:tcPr>
            <w:tcW w:w="1522" w:type="dxa"/>
            <w:tcBorders>
              <w:tl2br w:val="nil"/>
              <w:tr2bl w:val="nil"/>
            </w:tcBorders>
            <w:vAlign w:val="center"/>
          </w:tcPr>
          <w:p>
            <w:pPr>
              <w:jc w:val="center"/>
              <w:rPr>
                <w:rFonts w:ascii="宋体" w:hAnsi="宋体" w:cs="宋体"/>
                <w:color w:val="000000" w:themeColor="text1"/>
                <w:kern w:val="18"/>
                <w:szCs w:val="21"/>
              </w:rPr>
            </w:pPr>
            <w:r>
              <w:rPr>
                <w:rFonts w:ascii="宋体" w:hAnsi="宋体" w:cs="宋体"/>
                <w:color w:val="000000" w:themeColor="text1"/>
                <w:kern w:val="18"/>
                <w:szCs w:val="21"/>
              </w:rPr>
              <w:t>4000-5000</w:t>
            </w:r>
          </w:p>
        </w:tc>
        <w:tc>
          <w:tcPr>
            <w:tcW w:w="2701" w:type="dxa"/>
            <w:vMerge w:val="continue"/>
            <w:tcBorders>
              <w:tl2br w:val="nil"/>
              <w:tr2bl w:val="nil"/>
            </w:tcBorders>
            <w:vAlign w:val="center"/>
          </w:tcPr>
          <w:p>
            <w:pPr>
              <w:widowControl/>
              <w:jc w:val="left"/>
              <w:rPr>
                <w:rFonts w:ascii="宋体" w:hAnsi="宋体" w:cs="宋体"/>
                <w:color w:val="000000" w:themeColor="text1"/>
                <w:kern w:val="18"/>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996" w:hRule="exact"/>
          <w:jc w:val="center"/>
        </w:trPr>
        <w:tc>
          <w:tcPr>
            <w:tcW w:w="1207" w:type="dxa"/>
            <w:tcBorders>
              <w:tl2br w:val="nil"/>
              <w:tr2bl w:val="nil"/>
            </w:tcBorders>
            <w:vAlign w:val="center"/>
          </w:tcPr>
          <w:p>
            <w:pPr>
              <w:widowControl/>
              <w:jc w:val="center"/>
              <w:rPr>
                <w:rFonts w:ascii="宋体" w:hAnsi="宋体" w:cs="宋体"/>
                <w:color w:val="000000" w:themeColor="text1"/>
                <w:szCs w:val="21"/>
              </w:rPr>
            </w:pPr>
            <w:r>
              <w:rPr>
                <w:rFonts w:hint="eastAsia" w:ascii="宋体" w:hAnsi="宋体" w:cs="宋体"/>
                <w:color w:val="000000" w:themeColor="text1"/>
                <w:szCs w:val="21"/>
              </w:rPr>
              <w:t>水环境</w:t>
            </w:r>
          </w:p>
        </w:tc>
        <w:tc>
          <w:tcPr>
            <w:tcW w:w="2088" w:type="dxa"/>
            <w:tcBorders>
              <w:tl2br w:val="nil"/>
              <w:tr2bl w:val="nil"/>
            </w:tcBorders>
            <w:vAlign w:val="center"/>
          </w:tcPr>
          <w:p>
            <w:pPr>
              <w:jc w:val="center"/>
              <w:rPr>
                <w:rFonts w:ascii="宋体" w:hAnsi="宋体" w:cs="宋体"/>
                <w:color w:val="000000" w:themeColor="text1"/>
                <w:kern w:val="18"/>
                <w:szCs w:val="21"/>
              </w:rPr>
            </w:pPr>
            <w:r>
              <w:rPr>
                <w:rFonts w:ascii="宋体" w:hAnsi="宋体" w:cs="宋体"/>
                <w:color w:val="000000" w:themeColor="text1"/>
                <w:kern w:val="18"/>
                <w:szCs w:val="21"/>
              </w:rPr>
              <w:t>赣江南支</w:t>
            </w:r>
          </w:p>
        </w:tc>
        <w:tc>
          <w:tcPr>
            <w:tcW w:w="823" w:type="dxa"/>
            <w:tcBorders>
              <w:tl2br w:val="nil"/>
              <w:tr2bl w:val="nil"/>
            </w:tcBorders>
            <w:vAlign w:val="center"/>
          </w:tcPr>
          <w:p>
            <w:pPr>
              <w:jc w:val="center"/>
              <w:rPr>
                <w:rFonts w:ascii="宋体" w:hAnsi="宋体" w:cs="宋体"/>
                <w:color w:val="000000" w:themeColor="text1"/>
                <w:kern w:val="18"/>
                <w:szCs w:val="21"/>
              </w:rPr>
            </w:pPr>
            <w:r>
              <w:rPr>
                <w:rFonts w:hint="eastAsia" w:ascii="宋体" w:hAnsi="宋体" w:cs="宋体"/>
                <w:color w:val="000000" w:themeColor="text1"/>
                <w:kern w:val="18"/>
                <w:szCs w:val="21"/>
              </w:rPr>
              <w:t>2.7km</w:t>
            </w:r>
          </w:p>
        </w:tc>
        <w:tc>
          <w:tcPr>
            <w:tcW w:w="889" w:type="dxa"/>
            <w:tcBorders>
              <w:tl2br w:val="nil"/>
              <w:tr2bl w:val="nil"/>
            </w:tcBorders>
            <w:vAlign w:val="center"/>
          </w:tcPr>
          <w:p>
            <w:pPr>
              <w:jc w:val="center"/>
              <w:rPr>
                <w:rFonts w:ascii="宋体" w:hAnsi="宋体" w:cs="宋体"/>
                <w:color w:val="000000" w:themeColor="text1"/>
                <w:kern w:val="18"/>
                <w:szCs w:val="21"/>
              </w:rPr>
            </w:pPr>
            <w:r>
              <w:rPr>
                <w:rFonts w:hint="eastAsia" w:ascii="宋体" w:hAnsi="宋体" w:cs="宋体"/>
                <w:color w:val="000000" w:themeColor="text1"/>
                <w:kern w:val="18"/>
                <w:szCs w:val="21"/>
              </w:rPr>
              <w:t>东面</w:t>
            </w:r>
          </w:p>
        </w:tc>
        <w:tc>
          <w:tcPr>
            <w:tcW w:w="1522" w:type="dxa"/>
            <w:tcBorders>
              <w:tl2br w:val="nil"/>
              <w:tr2bl w:val="nil"/>
            </w:tcBorders>
            <w:vAlign w:val="center"/>
          </w:tcPr>
          <w:p>
            <w:pPr>
              <w:jc w:val="center"/>
              <w:rPr>
                <w:rFonts w:ascii="宋体" w:hAnsi="宋体" w:cs="宋体"/>
                <w:color w:val="000000" w:themeColor="text1"/>
                <w:kern w:val="18"/>
                <w:szCs w:val="21"/>
              </w:rPr>
            </w:pPr>
            <w:r>
              <w:rPr>
                <w:rFonts w:hint="eastAsia" w:ascii="宋体" w:hAnsi="宋体" w:cs="宋体"/>
                <w:color w:val="000000" w:themeColor="text1"/>
                <w:kern w:val="18"/>
                <w:szCs w:val="21"/>
              </w:rPr>
              <w:t>大河</w:t>
            </w:r>
          </w:p>
        </w:tc>
        <w:tc>
          <w:tcPr>
            <w:tcW w:w="2701" w:type="dxa"/>
            <w:tcBorders>
              <w:tl2br w:val="nil"/>
              <w:tr2bl w:val="nil"/>
            </w:tcBorders>
            <w:vAlign w:val="center"/>
          </w:tcPr>
          <w:p>
            <w:pPr>
              <w:jc w:val="center"/>
              <w:rPr>
                <w:rFonts w:ascii="宋体" w:hAnsi="宋体" w:cs="宋体"/>
                <w:color w:val="000000" w:themeColor="text1"/>
                <w:szCs w:val="21"/>
              </w:rPr>
            </w:pPr>
            <w:r>
              <w:rPr>
                <w:rFonts w:hint="eastAsia" w:ascii="宋体" w:hAnsi="宋体" w:cs="宋体"/>
                <w:color w:val="000000" w:themeColor="text1"/>
                <w:szCs w:val="20"/>
              </w:rPr>
              <w:t>《地表水环境质量标准》(</w:t>
            </w:r>
            <w:r>
              <w:rPr>
                <w:rFonts w:hint="eastAsia" w:ascii="宋体" w:hAnsi="宋体" w:cs="宋体"/>
                <w:color w:val="000000" w:themeColor="text1"/>
                <w:szCs w:val="21"/>
              </w:rPr>
              <w:t>GB3838-2002</w:t>
            </w:r>
            <w:r>
              <w:rPr>
                <w:rFonts w:hint="eastAsia" w:ascii="宋体" w:hAnsi="宋体" w:cs="宋体"/>
                <w:color w:val="000000" w:themeColor="text1"/>
                <w:szCs w:val="20"/>
              </w:rPr>
              <w:t>)</w:t>
            </w:r>
            <w:r>
              <w:rPr>
                <w:rFonts w:hint="eastAsia" w:ascii="宋体" w:hAnsi="宋体" w:cs="宋体"/>
                <w:color w:val="000000" w:themeColor="text1"/>
                <w:szCs w:val="21"/>
              </w:rPr>
              <w:t>中</w:t>
            </w:r>
            <w:r>
              <w:rPr>
                <w:rFonts w:ascii="宋体" w:hAnsi="宋体" w:cs="宋体"/>
                <w:color w:val="000000" w:themeColor="text1"/>
                <w:szCs w:val="21"/>
              </w:rPr>
              <w:fldChar w:fldCharType="begin"/>
            </w:r>
            <w:r>
              <w:rPr>
                <w:rFonts w:hint="eastAsia" w:ascii="宋体" w:hAnsi="宋体" w:cs="宋体"/>
                <w:color w:val="000000" w:themeColor="text1"/>
                <w:szCs w:val="21"/>
              </w:rPr>
              <w:instrText xml:space="preserve">= 4 \* ROMAN</w:instrText>
            </w:r>
            <w:r>
              <w:rPr>
                <w:rFonts w:ascii="宋体" w:hAnsi="宋体" w:cs="宋体"/>
                <w:color w:val="000000" w:themeColor="text1"/>
                <w:szCs w:val="21"/>
              </w:rPr>
              <w:fldChar w:fldCharType="separate"/>
            </w:r>
            <w:r>
              <w:rPr>
                <w:rFonts w:ascii="宋体" w:hAnsi="宋体" w:cs="宋体"/>
                <w:color w:val="000000" w:themeColor="text1"/>
                <w:szCs w:val="21"/>
              </w:rPr>
              <w:t>IV</w:t>
            </w:r>
            <w:r>
              <w:rPr>
                <w:rFonts w:ascii="宋体" w:hAnsi="宋体" w:cs="宋体"/>
                <w:color w:val="000000" w:themeColor="text1"/>
                <w:szCs w:val="21"/>
              </w:rPr>
              <w:fldChar w:fldCharType="end"/>
            </w:r>
            <w:r>
              <w:rPr>
                <w:rFonts w:hint="eastAsia" w:ascii="宋体" w:hAnsi="宋体" w:cs="宋体"/>
                <w:color w:val="000000" w:themeColor="text1"/>
                <w:szCs w:val="21"/>
              </w:rPr>
              <w:t>类水体</w:t>
            </w:r>
          </w:p>
          <w:p>
            <w:pPr>
              <w:jc w:val="center"/>
              <w:rPr>
                <w:rFonts w:ascii="宋体" w:hAnsi="宋体" w:cs="宋体"/>
                <w:color w:val="000000" w:themeColor="text1"/>
                <w:kern w:val="18"/>
                <w:szCs w:val="21"/>
              </w:rPr>
            </w:pPr>
            <w:r>
              <w:rPr>
                <w:rFonts w:hint="eastAsia" w:ascii="宋体" w:hAnsi="宋体" w:cs="宋体"/>
                <w:color w:val="000000" w:themeColor="text1"/>
                <w:szCs w:val="21"/>
              </w:rPr>
              <w:t>标准</w:t>
            </w:r>
          </w:p>
        </w:tc>
      </w:tr>
    </w:tbl>
    <w:p>
      <w:pPr>
        <w:rPr>
          <w:lang w:val="zh-CN"/>
        </w:rPr>
      </w:pPr>
      <w:r>
        <w:rPr>
          <w:b/>
          <w:snapToGrid w:val="0"/>
          <w:color w:val="000000" w:themeColor="text1"/>
          <w:kern w:val="0"/>
          <w:szCs w:val="21"/>
          <w:lang w:val="zh-CN"/>
        </w:rPr>
        <w:br w:type="page"/>
      </w:r>
    </w:p>
    <w:p>
      <w:pPr>
        <w:pStyle w:val="22"/>
        <w:spacing w:beforeLines="0"/>
        <w:rPr>
          <w:rFonts w:hint="default"/>
          <w:color w:val="000000" w:themeColor="text1"/>
          <w:sz w:val="21"/>
          <w:szCs w:val="21"/>
          <w:lang w:val="zh-CN"/>
        </w:rPr>
      </w:pPr>
      <w:r>
        <w:rPr>
          <w:rFonts w:hint="default"/>
          <w:color w:val="000000" w:themeColor="text1"/>
          <w:sz w:val="21"/>
          <w:szCs w:val="21"/>
          <w:lang w:val="zh-CN"/>
        </w:rPr>
        <w:t>图</w:t>
      </w:r>
      <w:r>
        <w:rPr>
          <w:rFonts w:hint="default"/>
          <w:color w:val="000000" w:themeColor="text1"/>
          <w:sz w:val="21"/>
          <w:szCs w:val="21"/>
        </w:rPr>
        <w:t xml:space="preserve">3-1 </w:t>
      </w:r>
      <w:r>
        <w:rPr>
          <w:rFonts w:hint="default"/>
          <w:color w:val="000000" w:themeColor="text1"/>
          <w:sz w:val="21"/>
          <w:szCs w:val="21"/>
          <w:lang w:val="zh-CN"/>
        </w:rPr>
        <w:t>建设项目与周围环境关系图</w:t>
      </w:r>
    </w:p>
    <w:p>
      <w:pPr>
        <w:pStyle w:val="2"/>
        <w:ind w:firstLine="0" w:firstLineChars="0"/>
        <w:rPr>
          <w:rFonts w:hint="default"/>
          <w:color w:val="000000" w:themeColor="text1"/>
          <w:lang w:val="zh-CN"/>
        </w:rPr>
      </w:pPr>
      <w:r>
        <w:rPr>
          <w:b/>
          <w:color w:val="000000" w:themeColor="text1"/>
        </w:rPr>
        <w:drawing>
          <wp:anchor distT="0" distB="0" distL="114300" distR="114300" simplePos="0" relativeHeight="251658240" behindDoc="0" locked="0" layoutInCell="1" allowOverlap="1">
            <wp:simplePos x="0" y="0"/>
            <wp:positionH relativeFrom="column">
              <wp:posOffset>5158740</wp:posOffset>
            </wp:positionH>
            <wp:positionV relativeFrom="paragraph">
              <wp:posOffset>18415</wp:posOffset>
            </wp:positionV>
            <wp:extent cx="506095" cy="920750"/>
            <wp:effectExtent l="0" t="0" r="0"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06095" cy="920750"/>
                    </a:xfrm>
                    <a:prstGeom prst="rect">
                      <a:avLst/>
                    </a:prstGeom>
                    <a:noFill/>
                  </pic:spPr>
                </pic:pic>
              </a:graphicData>
            </a:graphic>
          </wp:anchor>
        </w:drawing>
      </w:r>
      <w:r>
        <w:rPr>
          <w:color w:val="000000" w:themeColor="text1"/>
        </w:rPr>
        <w:drawing>
          <wp:inline distT="0" distB="0" distL="0" distR="0">
            <wp:extent cx="5664200" cy="4521835"/>
            <wp:effectExtent l="0" t="0" r="508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stretch>
                      <a:fillRect/>
                    </a:stretch>
                  </pic:blipFill>
                  <pic:spPr>
                    <a:xfrm>
                      <a:off x="0" y="0"/>
                      <a:ext cx="5664200" cy="4521835"/>
                    </a:xfrm>
                    <a:prstGeom prst="rect">
                      <a:avLst/>
                    </a:prstGeom>
                  </pic:spPr>
                </pic:pic>
              </a:graphicData>
            </a:graphic>
          </wp:inline>
        </w:drawing>
      </w:r>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18" w:name="_Toc19540"/>
      <w:r>
        <w:rPr>
          <w:b/>
          <w:bCs/>
          <w:color w:val="000000" w:themeColor="text1"/>
          <w:sz w:val="24"/>
        </w:rPr>
        <w:t>3.3 涉及环境风险物质情况</w:t>
      </w:r>
      <w:bookmarkEnd w:id="18"/>
    </w:p>
    <w:p>
      <w:pPr>
        <w:snapToGrid w:val="0"/>
        <w:spacing w:line="360" w:lineRule="auto"/>
        <w:ind w:firstLine="480" w:firstLineChars="200"/>
        <w:jc w:val="left"/>
        <w:rPr>
          <w:color w:val="000000" w:themeColor="text1"/>
          <w:sz w:val="24"/>
        </w:rPr>
      </w:pPr>
      <w:r>
        <w:rPr>
          <w:color w:val="000000" w:themeColor="text1"/>
          <w:sz w:val="24"/>
        </w:rPr>
        <w:t>加油站涉及的主要风险物质为汽油，各类物质的数量详见表3-4所示。</w:t>
      </w:r>
    </w:p>
    <w:p>
      <w:pPr>
        <w:pStyle w:val="22"/>
        <w:spacing w:beforeLines="0"/>
        <w:rPr>
          <w:rFonts w:hint="default"/>
          <w:color w:val="000000" w:themeColor="text1"/>
          <w:sz w:val="21"/>
          <w:szCs w:val="21"/>
          <w:lang w:val="zh-CN"/>
        </w:rPr>
      </w:pPr>
      <w:r>
        <w:rPr>
          <w:rFonts w:hint="default"/>
          <w:color w:val="000000" w:themeColor="text1"/>
          <w:sz w:val="21"/>
          <w:szCs w:val="21"/>
          <w:lang w:val="zh-CN"/>
        </w:rPr>
        <w:t>表3-4   环境风险物质的种类及数量</w:t>
      </w:r>
    </w:p>
    <w:tbl>
      <w:tblPr>
        <w:tblStyle w:val="15"/>
        <w:tblpPr w:leftFromText="180" w:rightFromText="180" w:vertAnchor="text" w:horzAnchor="margin" w:tblpXSpec="center" w:tblpY="193"/>
        <w:tblOverlap w:val="never"/>
        <w:tblW w:w="8522" w:type="dxa"/>
        <w:tblInd w:w="0" w:type="dxa"/>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1136"/>
        <w:gridCol w:w="1196"/>
        <w:gridCol w:w="1202"/>
        <w:gridCol w:w="1271"/>
        <w:gridCol w:w="1154"/>
        <w:gridCol w:w="1520"/>
        <w:gridCol w:w="1043"/>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386" w:hRule="atLeast"/>
        </w:trPr>
        <w:tc>
          <w:tcPr>
            <w:tcW w:w="1136" w:type="dxa"/>
            <w:vMerge w:val="restart"/>
            <w:tcBorders>
              <w:tl2br w:val="nil"/>
              <w:tr2bl w:val="nil"/>
            </w:tcBorders>
            <w:vAlign w:val="center"/>
          </w:tcPr>
          <w:p>
            <w:pPr>
              <w:jc w:val="center"/>
              <w:rPr>
                <w:b/>
                <w:bCs/>
                <w:color w:val="000000" w:themeColor="text1"/>
                <w:szCs w:val="21"/>
              </w:rPr>
            </w:pPr>
            <w:r>
              <w:rPr>
                <w:b/>
                <w:bCs/>
                <w:color w:val="000000" w:themeColor="text1"/>
                <w:szCs w:val="21"/>
              </w:rPr>
              <w:t>物质名称</w:t>
            </w:r>
          </w:p>
        </w:tc>
        <w:tc>
          <w:tcPr>
            <w:tcW w:w="2398" w:type="dxa"/>
            <w:gridSpan w:val="2"/>
            <w:tcBorders>
              <w:tl2br w:val="nil"/>
              <w:tr2bl w:val="nil"/>
            </w:tcBorders>
            <w:vAlign w:val="center"/>
          </w:tcPr>
          <w:p>
            <w:pPr>
              <w:jc w:val="center"/>
              <w:rPr>
                <w:b/>
                <w:bCs/>
                <w:color w:val="000000" w:themeColor="text1"/>
                <w:szCs w:val="21"/>
              </w:rPr>
            </w:pPr>
            <w:r>
              <w:rPr>
                <w:b/>
                <w:bCs/>
                <w:color w:val="000000" w:themeColor="text1"/>
                <w:szCs w:val="21"/>
              </w:rPr>
              <w:t>临界量（t）</w:t>
            </w:r>
          </w:p>
        </w:tc>
        <w:tc>
          <w:tcPr>
            <w:tcW w:w="2425" w:type="dxa"/>
            <w:gridSpan w:val="2"/>
            <w:tcBorders>
              <w:tl2br w:val="nil"/>
              <w:tr2bl w:val="nil"/>
            </w:tcBorders>
            <w:vAlign w:val="center"/>
          </w:tcPr>
          <w:p>
            <w:pPr>
              <w:jc w:val="center"/>
              <w:rPr>
                <w:b/>
                <w:bCs/>
                <w:color w:val="000000" w:themeColor="text1"/>
                <w:szCs w:val="21"/>
              </w:rPr>
            </w:pPr>
            <w:r>
              <w:rPr>
                <w:b/>
                <w:bCs/>
                <w:color w:val="000000" w:themeColor="text1"/>
                <w:szCs w:val="21"/>
              </w:rPr>
              <w:t>实际量（t）</w:t>
            </w:r>
          </w:p>
        </w:tc>
        <w:tc>
          <w:tcPr>
            <w:tcW w:w="1520" w:type="dxa"/>
            <w:vMerge w:val="restart"/>
            <w:tcBorders>
              <w:tl2br w:val="nil"/>
              <w:tr2bl w:val="nil"/>
            </w:tcBorders>
            <w:vAlign w:val="center"/>
          </w:tcPr>
          <w:p>
            <w:pPr>
              <w:jc w:val="center"/>
              <w:rPr>
                <w:b/>
                <w:bCs/>
                <w:color w:val="000000" w:themeColor="text1"/>
                <w:szCs w:val="21"/>
              </w:rPr>
            </w:pPr>
            <w:r>
              <w:rPr>
                <w:b/>
                <w:bCs/>
                <w:color w:val="000000" w:themeColor="text1"/>
                <w:szCs w:val="21"/>
              </w:rPr>
              <w:t>重大危险源</w:t>
            </w:r>
          </w:p>
        </w:tc>
        <w:tc>
          <w:tcPr>
            <w:tcW w:w="1043" w:type="dxa"/>
            <w:vMerge w:val="restart"/>
            <w:tcBorders>
              <w:tl2br w:val="nil"/>
              <w:tr2bl w:val="nil"/>
            </w:tcBorders>
            <w:vAlign w:val="center"/>
          </w:tcPr>
          <w:p>
            <w:pPr>
              <w:jc w:val="center"/>
              <w:rPr>
                <w:b/>
                <w:bCs/>
                <w:color w:val="000000" w:themeColor="text1"/>
                <w:szCs w:val="21"/>
              </w:rPr>
            </w:pPr>
            <w:r>
              <w:rPr>
                <w:b/>
                <w:bCs/>
                <w:color w:val="000000" w:themeColor="text1"/>
                <w:szCs w:val="21"/>
              </w:rPr>
              <w:t>位置</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329" w:hRule="atLeast"/>
        </w:trPr>
        <w:tc>
          <w:tcPr>
            <w:tcW w:w="1136" w:type="dxa"/>
            <w:vMerge w:val="continue"/>
            <w:tcBorders>
              <w:tl2br w:val="nil"/>
              <w:tr2bl w:val="nil"/>
            </w:tcBorders>
            <w:vAlign w:val="center"/>
          </w:tcPr>
          <w:p>
            <w:pPr>
              <w:jc w:val="center"/>
              <w:rPr>
                <w:color w:val="000000" w:themeColor="text1"/>
                <w:szCs w:val="21"/>
              </w:rPr>
            </w:pPr>
          </w:p>
        </w:tc>
        <w:tc>
          <w:tcPr>
            <w:tcW w:w="1196" w:type="dxa"/>
            <w:tcBorders>
              <w:tl2br w:val="nil"/>
              <w:tr2bl w:val="nil"/>
            </w:tcBorders>
            <w:vAlign w:val="center"/>
          </w:tcPr>
          <w:p>
            <w:pPr>
              <w:jc w:val="center"/>
              <w:rPr>
                <w:b/>
                <w:color w:val="000000" w:themeColor="text1"/>
                <w:szCs w:val="21"/>
              </w:rPr>
            </w:pPr>
            <w:r>
              <w:rPr>
                <w:b/>
                <w:color w:val="000000" w:themeColor="text1"/>
                <w:szCs w:val="21"/>
              </w:rPr>
              <w:t>生产场所</w:t>
            </w:r>
          </w:p>
        </w:tc>
        <w:tc>
          <w:tcPr>
            <w:tcW w:w="1202" w:type="dxa"/>
            <w:tcBorders>
              <w:tl2br w:val="nil"/>
              <w:tr2bl w:val="nil"/>
            </w:tcBorders>
            <w:vAlign w:val="center"/>
          </w:tcPr>
          <w:p>
            <w:pPr>
              <w:jc w:val="center"/>
              <w:rPr>
                <w:b/>
                <w:color w:val="000000" w:themeColor="text1"/>
                <w:szCs w:val="21"/>
              </w:rPr>
            </w:pPr>
            <w:r>
              <w:rPr>
                <w:b/>
                <w:color w:val="000000" w:themeColor="text1"/>
                <w:szCs w:val="21"/>
              </w:rPr>
              <w:t>贮存区</w:t>
            </w:r>
          </w:p>
        </w:tc>
        <w:tc>
          <w:tcPr>
            <w:tcW w:w="1271" w:type="dxa"/>
            <w:tcBorders>
              <w:tl2br w:val="nil"/>
              <w:tr2bl w:val="nil"/>
            </w:tcBorders>
            <w:vAlign w:val="center"/>
          </w:tcPr>
          <w:p>
            <w:pPr>
              <w:jc w:val="center"/>
              <w:rPr>
                <w:b/>
                <w:color w:val="000000" w:themeColor="text1"/>
                <w:szCs w:val="21"/>
              </w:rPr>
            </w:pPr>
            <w:r>
              <w:rPr>
                <w:b/>
                <w:color w:val="000000" w:themeColor="text1"/>
                <w:szCs w:val="21"/>
              </w:rPr>
              <w:t>生产场所</w:t>
            </w:r>
          </w:p>
        </w:tc>
        <w:tc>
          <w:tcPr>
            <w:tcW w:w="1154" w:type="dxa"/>
            <w:tcBorders>
              <w:tl2br w:val="nil"/>
              <w:tr2bl w:val="nil"/>
            </w:tcBorders>
            <w:vAlign w:val="center"/>
          </w:tcPr>
          <w:p>
            <w:pPr>
              <w:jc w:val="center"/>
              <w:rPr>
                <w:b/>
                <w:color w:val="000000" w:themeColor="text1"/>
                <w:szCs w:val="21"/>
              </w:rPr>
            </w:pPr>
            <w:r>
              <w:rPr>
                <w:b/>
                <w:color w:val="000000" w:themeColor="text1"/>
                <w:szCs w:val="21"/>
              </w:rPr>
              <w:t>贮存区</w:t>
            </w:r>
          </w:p>
        </w:tc>
        <w:tc>
          <w:tcPr>
            <w:tcW w:w="1520" w:type="dxa"/>
            <w:vMerge w:val="continue"/>
            <w:tcBorders>
              <w:tl2br w:val="nil"/>
              <w:tr2bl w:val="nil"/>
            </w:tcBorders>
            <w:vAlign w:val="center"/>
          </w:tcPr>
          <w:p>
            <w:pPr>
              <w:jc w:val="center"/>
              <w:rPr>
                <w:color w:val="000000" w:themeColor="text1"/>
                <w:szCs w:val="21"/>
              </w:rPr>
            </w:pPr>
          </w:p>
        </w:tc>
        <w:tc>
          <w:tcPr>
            <w:tcW w:w="1043" w:type="dxa"/>
            <w:vMerge w:val="continue"/>
            <w:tcBorders>
              <w:tl2br w:val="nil"/>
              <w:tr2bl w:val="nil"/>
            </w:tcBorders>
            <w:vAlign w:val="center"/>
          </w:tcPr>
          <w:p>
            <w:pPr>
              <w:jc w:val="center"/>
              <w:rPr>
                <w:color w:val="000000" w:themeColor="text1"/>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20" w:hRule="atLeast"/>
        </w:trPr>
        <w:tc>
          <w:tcPr>
            <w:tcW w:w="1136" w:type="dxa"/>
            <w:tcBorders>
              <w:tl2br w:val="nil"/>
              <w:tr2bl w:val="nil"/>
            </w:tcBorders>
            <w:vAlign w:val="center"/>
          </w:tcPr>
          <w:p>
            <w:pPr>
              <w:jc w:val="center"/>
              <w:rPr>
                <w:color w:val="000000" w:themeColor="text1"/>
                <w:szCs w:val="21"/>
              </w:rPr>
            </w:pPr>
            <w:r>
              <w:rPr>
                <w:color w:val="000000" w:themeColor="text1"/>
                <w:szCs w:val="21"/>
              </w:rPr>
              <w:t>汽油</w:t>
            </w:r>
          </w:p>
        </w:tc>
        <w:tc>
          <w:tcPr>
            <w:tcW w:w="1196" w:type="dxa"/>
            <w:tcBorders>
              <w:tl2br w:val="nil"/>
              <w:tr2bl w:val="nil"/>
            </w:tcBorders>
            <w:vAlign w:val="center"/>
          </w:tcPr>
          <w:p>
            <w:pPr>
              <w:jc w:val="center"/>
              <w:rPr>
                <w:color w:val="000000" w:themeColor="text1"/>
                <w:szCs w:val="21"/>
              </w:rPr>
            </w:pPr>
            <w:r>
              <w:rPr>
                <w:color w:val="000000" w:themeColor="text1"/>
                <w:szCs w:val="21"/>
              </w:rPr>
              <w:t>/</w:t>
            </w:r>
          </w:p>
        </w:tc>
        <w:tc>
          <w:tcPr>
            <w:tcW w:w="1202" w:type="dxa"/>
            <w:tcBorders>
              <w:tl2br w:val="nil"/>
              <w:tr2bl w:val="nil"/>
            </w:tcBorders>
            <w:vAlign w:val="center"/>
          </w:tcPr>
          <w:p>
            <w:pPr>
              <w:jc w:val="center"/>
              <w:rPr>
                <w:color w:val="000000" w:themeColor="text1"/>
                <w:szCs w:val="21"/>
              </w:rPr>
            </w:pPr>
            <w:r>
              <w:rPr>
                <w:color w:val="000000" w:themeColor="text1"/>
                <w:szCs w:val="21"/>
              </w:rPr>
              <w:t>200t</w:t>
            </w:r>
          </w:p>
        </w:tc>
        <w:tc>
          <w:tcPr>
            <w:tcW w:w="1271" w:type="dxa"/>
            <w:tcBorders>
              <w:tl2br w:val="nil"/>
              <w:tr2bl w:val="nil"/>
            </w:tcBorders>
            <w:vAlign w:val="center"/>
          </w:tcPr>
          <w:p>
            <w:pPr>
              <w:jc w:val="center"/>
              <w:rPr>
                <w:color w:val="000000" w:themeColor="text1"/>
                <w:szCs w:val="21"/>
              </w:rPr>
            </w:pPr>
            <w:r>
              <w:rPr>
                <w:color w:val="000000" w:themeColor="text1"/>
                <w:szCs w:val="21"/>
              </w:rPr>
              <w:t>/</w:t>
            </w:r>
          </w:p>
        </w:tc>
        <w:tc>
          <w:tcPr>
            <w:tcW w:w="1154" w:type="dxa"/>
            <w:tcBorders>
              <w:tl2br w:val="nil"/>
              <w:tr2bl w:val="nil"/>
            </w:tcBorders>
            <w:vAlign w:val="center"/>
          </w:tcPr>
          <w:p>
            <w:pPr>
              <w:jc w:val="center"/>
              <w:rPr>
                <w:color w:val="000000" w:themeColor="text1"/>
                <w:szCs w:val="21"/>
              </w:rPr>
            </w:pPr>
            <w:r>
              <w:rPr>
                <w:color w:val="000000" w:themeColor="text1"/>
                <w:szCs w:val="21"/>
              </w:rPr>
              <w:t>93.6</w:t>
            </w:r>
          </w:p>
        </w:tc>
        <w:tc>
          <w:tcPr>
            <w:tcW w:w="1520" w:type="dxa"/>
            <w:tcBorders>
              <w:tl2br w:val="nil"/>
              <w:tr2bl w:val="nil"/>
            </w:tcBorders>
            <w:vAlign w:val="center"/>
          </w:tcPr>
          <w:p>
            <w:pPr>
              <w:jc w:val="center"/>
              <w:rPr>
                <w:color w:val="000000" w:themeColor="text1"/>
                <w:szCs w:val="21"/>
              </w:rPr>
            </w:pPr>
            <w:r>
              <w:rPr>
                <w:rFonts w:hint="eastAsia"/>
                <w:color w:val="000000" w:themeColor="text1"/>
                <w:szCs w:val="21"/>
              </w:rPr>
              <w:t>易燃易爆</w:t>
            </w:r>
          </w:p>
        </w:tc>
        <w:tc>
          <w:tcPr>
            <w:tcW w:w="1043" w:type="dxa"/>
            <w:tcBorders>
              <w:tl2br w:val="nil"/>
              <w:tr2bl w:val="nil"/>
            </w:tcBorders>
            <w:vAlign w:val="center"/>
          </w:tcPr>
          <w:p>
            <w:pPr>
              <w:jc w:val="center"/>
              <w:rPr>
                <w:color w:val="000000" w:themeColor="text1"/>
                <w:szCs w:val="21"/>
              </w:rPr>
            </w:pPr>
            <w:r>
              <w:rPr>
                <w:color w:val="000000" w:themeColor="text1"/>
                <w:szCs w:val="21"/>
              </w:rPr>
              <w:t>油罐区</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420" w:hRule="atLeast"/>
        </w:trPr>
        <w:tc>
          <w:tcPr>
            <w:tcW w:w="1136" w:type="dxa"/>
            <w:tcBorders>
              <w:tl2br w:val="nil"/>
              <w:tr2bl w:val="nil"/>
            </w:tcBorders>
            <w:vAlign w:val="center"/>
          </w:tcPr>
          <w:p>
            <w:pPr>
              <w:jc w:val="center"/>
              <w:rPr>
                <w:color w:val="000000" w:themeColor="text1"/>
                <w:szCs w:val="21"/>
              </w:rPr>
            </w:pPr>
          </w:p>
        </w:tc>
        <w:tc>
          <w:tcPr>
            <w:tcW w:w="4823" w:type="dxa"/>
            <w:gridSpan w:val="4"/>
            <w:tcBorders>
              <w:tl2br w:val="nil"/>
              <w:tr2bl w:val="nil"/>
            </w:tcBorders>
            <w:vAlign w:val="center"/>
          </w:tcPr>
          <w:p>
            <w:pPr>
              <w:jc w:val="center"/>
              <w:rPr>
                <w:color w:val="000000" w:themeColor="text1"/>
                <w:szCs w:val="21"/>
              </w:rPr>
            </w:pPr>
            <w:r>
              <w:rPr>
                <w:color w:val="000000" w:themeColor="text1"/>
                <w:szCs w:val="21"/>
              </w:rPr>
              <w:t>93.6/200=0.468＜1</w:t>
            </w:r>
          </w:p>
        </w:tc>
        <w:tc>
          <w:tcPr>
            <w:tcW w:w="1520" w:type="dxa"/>
            <w:tcBorders>
              <w:tl2br w:val="nil"/>
              <w:tr2bl w:val="nil"/>
            </w:tcBorders>
            <w:vAlign w:val="center"/>
          </w:tcPr>
          <w:p>
            <w:pPr>
              <w:jc w:val="center"/>
              <w:rPr>
                <w:color w:val="000000" w:themeColor="text1"/>
                <w:szCs w:val="21"/>
              </w:rPr>
            </w:pPr>
            <w:r>
              <w:rPr>
                <w:color w:val="000000" w:themeColor="text1"/>
                <w:szCs w:val="21"/>
              </w:rPr>
              <w:t>否</w:t>
            </w:r>
          </w:p>
        </w:tc>
        <w:tc>
          <w:tcPr>
            <w:tcW w:w="1043" w:type="dxa"/>
            <w:tcBorders>
              <w:tl2br w:val="nil"/>
              <w:tr2bl w:val="nil"/>
            </w:tcBorders>
            <w:vAlign w:val="center"/>
          </w:tcPr>
          <w:p>
            <w:pPr>
              <w:jc w:val="center"/>
              <w:rPr>
                <w:color w:val="000000" w:themeColor="text1"/>
                <w:szCs w:val="21"/>
              </w:rPr>
            </w:pPr>
          </w:p>
        </w:tc>
      </w:tr>
    </w:tbl>
    <w:p>
      <w:pPr>
        <w:autoSpaceDE w:val="0"/>
        <w:autoSpaceDN w:val="0"/>
        <w:adjustRightInd w:val="0"/>
        <w:spacing w:line="360" w:lineRule="auto"/>
        <w:ind w:firstLine="484" w:firstLineChars="200"/>
        <w:rPr>
          <w:color w:val="000000" w:themeColor="text1"/>
          <w:sz w:val="24"/>
        </w:rPr>
      </w:pPr>
      <w:r>
        <w:rPr>
          <w:color w:val="000000" w:themeColor="text1"/>
          <w:spacing w:val="1"/>
          <w:kern w:val="0"/>
          <w:sz w:val="24"/>
        </w:rPr>
        <w:t>加油站运营</w:t>
      </w:r>
      <w:r>
        <w:rPr>
          <w:color w:val="000000" w:themeColor="text1"/>
          <w:sz w:val="24"/>
        </w:rPr>
        <w:t>过程产生的污染物环境风险物质主要有污油、油泥、油渣、生活污水等，各类物质的数量详见表3-5所示。</w:t>
      </w:r>
    </w:p>
    <w:p>
      <w:pPr>
        <w:pStyle w:val="22"/>
        <w:spacing w:beforeLines="0"/>
        <w:rPr>
          <w:rFonts w:hint="default"/>
          <w:color w:val="000000" w:themeColor="text1"/>
          <w:sz w:val="21"/>
          <w:szCs w:val="21"/>
          <w:lang w:val="zh-CN"/>
        </w:rPr>
      </w:pPr>
      <w:r>
        <w:rPr>
          <w:rFonts w:hint="default"/>
          <w:color w:val="000000" w:themeColor="text1"/>
          <w:sz w:val="21"/>
          <w:szCs w:val="21"/>
          <w:lang w:val="zh-CN"/>
        </w:rPr>
        <w:t>表3-5    环境风险物质的种类及数量（污染物）及处置情况</w:t>
      </w:r>
    </w:p>
    <w:tbl>
      <w:tblPr>
        <w:tblStyle w:val="15"/>
        <w:tblW w:w="89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2"/>
        <w:gridCol w:w="1267"/>
        <w:gridCol w:w="2015"/>
        <w:gridCol w:w="3140"/>
        <w:gridCol w:w="17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762" w:type="dxa"/>
          </w:tcPr>
          <w:p>
            <w:pPr>
              <w:adjustRightInd w:val="0"/>
              <w:snapToGrid w:val="0"/>
              <w:spacing w:line="360" w:lineRule="exact"/>
              <w:jc w:val="center"/>
              <w:rPr>
                <w:b/>
                <w:color w:val="000000" w:themeColor="text1"/>
                <w:kern w:val="0"/>
                <w:szCs w:val="21"/>
              </w:rPr>
            </w:pPr>
            <w:r>
              <w:rPr>
                <w:rFonts w:hAnsi="宋体"/>
                <w:b/>
                <w:color w:val="000000" w:themeColor="text1"/>
                <w:kern w:val="0"/>
                <w:szCs w:val="21"/>
              </w:rPr>
              <w:t>时段</w:t>
            </w:r>
          </w:p>
        </w:tc>
        <w:tc>
          <w:tcPr>
            <w:tcW w:w="1267" w:type="dxa"/>
            <w:vAlign w:val="center"/>
          </w:tcPr>
          <w:p>
            <w:pPr>
              <w:adjustRightInd w:val="0"/>
              <w:snapToGrid w:val="0"/>
              <w:spacing w:line="360" w:lineRule="exact"/>
              <w:jc w:val="center"/>
              <w:rPr>
                <w:b/>
                <w:color w:val="000000" w:themeColor="text1"/>
                <w:kern w:val="0"/>
                <w:szCs w:val="21"/>
              </w:rPr>
            </w:pPr>
            <w:r>
              <w:rPr>
                <w:rFonts w:hAnsi="宋体"/>
                <w:b/>
                <w:color w:val="000000" w:themeColor="text1"/>
                <w:kern w:val="0"/>
                <w:szCs w:val="21"/>
              </w:rPr>
              <w:t>污染因子</w:t>
            </w:r>
          </w:p>
        </w:tc>
        <w:tc>
          <w:tcPr>
            <w:tcW w:w="2015" w:type="dxa"/>
            <w:vAlign w:val="center"/>
          </w:tcPr>
          <w:p>
            <w:pPr>
              <w:adjustRightInd w:val="0"/>
              <w:snapToGrid w:val="0"/>
              <w:spacing w:line="360" w:lineRule="exact"/>
              <w:jc w:val="center"/>
              <w:rPr>
                <w:b/>
                <w:color w:val="000000" w:themeColor="text1"/>
                <w:kern w:val="0"/>
                <w:szCs w:val="21"/>
              </w:rPr>
            </w:pPr>
            <w:r>
              <w:rPr>
                <w:rFonts w:hAnsi="宋体"/>
                <w:b/>
                <w:color w:val="000000" w:themeColor="text1"/>
                <w:kern w:val="0"/>
                <w:szCs w:val="21"/>
              </w:rPr>
              <w:t>来源</w:t>
            </w:r>
          </w:p>
        </w:tc>
        <w:tc>
          <w:tcPr>
            <w:tcW w:w="3140" w:type="dxa"/>
            <w:vAlign w:val="center"/>
          </w:tcPr>
          <w:p>
            <w:pPr>
              <w:adjustRightInd w:val="0"/>
              <w:snapToGrid w:val="0"/>
              <w:spacing w:line="360" w:lineRule="exact"/>
              <w:jc w:val="center"/>
              <w:rPr>
                <w:b/>
                <w:color w:val="000000" w:themeColor="text1"/>
                <w:kern w:val="0"/>
                <w:szCs w:val="21"/>
              </w:rPr>
            </w:pPr>
            <w:r>
              <w:rPr>
                <w:rFonts w:hAnsi="宋体"/>
                <w:b/>
                <w:color w:val="000000" w:themeColor="text1"/>
                <w:kern w:val="0"/>
                <w:szCs w:val="21"/>
              </w:rPr>
              <w:t>污染物种类</w:t>
            </w:r>
          </w:p>
        </w:tc>
        <w:tc>
          <w:tcPr>
            <w:tcW w:w="1762" w:type="dxa"/>
            <w:vAlign w:val="center"/>
          </w:tcPr>
          <w:p>
            <w:pPr>
              <w:adjustRightInd w:val="0"/>
              <w:snapToGrid w:val="0"/>
              <w:spacing w:line="360" w:lineRule="exact"/>
              <w:jc w:val="center"/>
              <w:rPr>
                <w:b/>
                <w:color w:val="000000" w:themeColor="text1"/>
                <w:kern w:val="0"/>
                <w:szCs w:val="21"/>
              </w:rPr>
            </w:pPr>
            <w:r>
              <w:rPr>
                <w:rFonts w:hAnsi="宋体"/>
                <w:b/>
                <w:color w:val="000000" w:themeColor="text1"/>
                <w:kern w:val="0"/>
                <w:szCs w:val="21"/>
              </w:rPr>
              <w:t>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762" w:type="dxa"/>
            <w:vMerge w:val="restart"/>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营</w:t>
            </w:r>
          </w:p>
          <w:p>
            <w:pPr>
              <w:adjustRightInd w:val="0"/>
              <w:snapToGrid w:val="0"/>
              <w:spacing w:line="360" w:lineRule="exact"/>
              <w:jc w:val="center"/>
              <w:rPr>
                <w:color w:val="000000" w:themeColor="text1"/>
                <w:kern w:val="0"/>
                <w:szCs w:val="21"/>
              </w:rPr>
            </w:pPr>
            <w:r>
              <w:rPr>
                <w:rFonts w:hAnsi="宋体"/>
                <w:color w:val="000000" w:themeColor="text1"/>
                <w:kern w:val="0"/>
                <w:szCs w:val="21"/>
              </w:rPr>
              <w:t>运</w:t>
            </w:r>
          </w:p>
          <w:p>
            <w:pPr>
              <w:adjustRightInd w:val="0"/>
              <w:snapToGrid w:val="0"/>
              <w:spacing w:line="360" w:lineRule="exact"/>
              <w:jc w:val="center"/>
              <w:rPr>
                <w:color w:val="000000" w:themeColor="text1"/>
                <w:kern w:val="0"/>
                <w:szCs w:val="21"/>
              </w:rPr>
            </w:pPr>
            <w:r>
              <w:rPr>
                <w:rFonts w:hAnsi="宋体"/>
                <w:color w:val="000000" w:themeColor="text1"/>
                <w:kern w:val="0"/>
                <w:szCs w:val="21"/>
              </w:rPr>
              <w:t>期</w:t>
            </w:r>
          </w:p>
        </w:tc>
        <w:tc>
          <w:tcPr>
            <w:tcW w:w="1267" w:type="dxa"/>
            <w:vMerge w:val="restart"/>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废气</w:t>
            </w:r>
          </w:p>
        </w:tc>
        <w:tc>
          <w:tcPr>
            <w:tcW w:w="2015"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加油机、油罐</w:t>
            </w:r>
          </w:p>
        </w:tc>
        <w:tc>
          <w:tcPr>
            <w:tcW w:w="3140"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非甲烷总烃</w:t>
            </w:r>
          </w:p>
        </w:tc>
        <w:tc>
          <w:tcPr>
            <w:tcW w:w="1762"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间断、无组织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762" w:type="dxa"/>
            <w:vMerge w:val="continue"/>
            <w:vAlign w:val="center"/>
          </w:tcPr>
          <w:p>
            <w:pPr>
              <w:adjustRightInd w:val="0"/>
              <w:snapToGrid w:val="0"/>
              <w:spacing w:line="360" w:lineRule="exact"/>
              <w:jc w:val="center"/>
              <w:rPr>
                <w:color w:val="000000" w:themeColor="text1"/>
                <w:kern w:val="0"/>
                <w:szCs w:val="21"/>
              </w:rPr>
            </w:pPr>
          </w:p>
        </w:tc>
        <w:tc>
          <w:tcPr>
            <w:tcW w:w="1267" w:type="dxa"/>
            <w:vMerge w:val="continue"/>
            <w:vAlign w:val="center"/>
          </w:tcPr>
          <w:p>
            <w:pPr>
              <w:adjustRightInd w:val="0"/>
              <w:snapToGrid w:val="0"/>
              <w:spacing w:line="360" w:lineRule="exact"/>
              <w:jc w:val="center"/>
              <w:rPr>
                <w:color w:val="000000" w:themeColor="text1"/>
                <w:kern w:val="0"/>
                <w:szCs w:val="21"/>
              </w:rPr>
            </w:pPr>
          </w:p>
        </w:tc>
        <w:tc>
          <w:tcPr>
            <w:tcW w:w="2015"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备用发电机</w:t>
            </w:r>
          </w:p>
        </w:tc>
        <w:tc>
          <w:tcPr>
            <w:tcW w:w="3140" w:type="dxa"/>
            <w:vAlign w:val="center"/>
          </w:tcPr>
          <w:p>
            <w:pPr>
              <w:adjustRightInd w:val="0"/>
              <w:snapToGrid w:val="0"/>
              <w:spacing w:line="360" w:lineRule="exact"/>
              <w:jc w:val="center"/>
              <w:rPr>
                <w:color w:val="000000" w:themeColor="text1"/>
                <w:kern w:val="0"/>
                <w:szCs w:val="21"/>
              </w:rPr>
            </w:pPr>
            <w:r>
              <w:rPr>
                <w:color w:val="000000" w:themeColor="text1"/>
                <w:spacing w:val="3"/>
                <w:szCs w:val="21"/>
              </w:rPr>
              <w:t>PM</w:t>
            </w:r>
            <w:r>
              <w:rPr>
                <w:rFonts w:hAnsi="宋体"/>
                <w:color w:val="000000" w:themeColor="text1"/>
                <w:spacing w:val="3"/>
                <w:szCs w:val="21"/>
              </w:rPr>
              <w:t>、</w:t>
            </w:r>
            <w:r>
              <w:rPr>
                <w:color w:val="000000" w:themeColor="text1"/>
                <w:spacing w:val="3"/>
                <w:szCs w:val="21"/>
              </w:rPr>
              <w:t>HC</w:t>
            </w:r>
            <w:r>
              <w:rPr>
                <w:rFonts w:hAnsi="宋体"/>
                <w:color w:val="000000" w:themeColor="text1"/>
                <w:spacing w:val="3"/>
                <w:szCs w:val="21"/>
              </w:rPr>
              <w:t>、</w:t>
            </w:r>
            <w:r>
              <w:rPr>
                <w:color w:val="000000" w:themeColor="text1"/>
                <w:spacing w:val="3"/>
                <w:szCs w:val="21"/>
              </w:rPr>
              <w:t>NOx</w:t>
            </w:r>
          </w:p>
        </w:tc>
        <w:tc>
          <w:tcPr>
            <w:tcW w:w="1762"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间断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762" w:type="dxa"/>
            <w:vMerge w:val="continue"/>
            <w:vAlign w:val="center"/>
          </w:tcPr>
          <w:p>
            <w:pPr>
              <w:adjustRightInd w:val="0"/>
              <w:snapToGrid w:val="0"/>
              <w:spacing w:line="360" w:lineRule="exact"/>
              <w:jc w:val="center"/>
              <w:rPr>
                <w:color w:val="000000" w:themeColor="text1"/>
                <w:kern w:val="0"/>
                <w:szCs w:val="21"/>
              </w:rPr>
            </w:pPr>
          </w:p>
        </w:tc>
        <w:tc>
          <w:tcPr>
            <w:tcW w:w="1267" w:type="dxa"/>
            <w:vMerge w:val="restart"/>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废水</w:t>
            </w:r>
          </w:p>
        </w:tc>
        <w:tc>
          <w:tcPr>
            <w:tcW w:w="2015"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办公</w:t>
            </w:r>
          </w:p>
        </w:tc>
        <w:tc>
          <w:tcPr>
            <w:tcW w:w="3140" w:type="dxa"/>
            <w:vAlign w:val="center"/>
          </w:tcPr>
          <w:p>
            <w:pPr>
              <w:adjustRightInd w:val="0"/>
              <w:snapToGrid w:val="0"/>
              <w:spacing w:line="360" w:lineRule="exact"/>
              <w:jc w:val="center"/>
              <w:rPr>
                <w:color w:val="000000" w:themeColor="text1"/>
                <w:spacing w:val="3"/>
                <w:szCs w:val="21"/>
              </w:rPr>
            </w:pPr>
            <w:r>
              <w:rPr>
                <w:color w:val="000000" w:themeColor="text1"/>
                <w:spacing w:val="3"/>
                <w:szCs w:val="21"/>
              </w:rPr>
              <w:t>COD</w:t>
            </w:r>
            <w:r>
              <w:rPr>
                <w:color w:val="000000" w:themeColor="text1"/>
                <w:spacing w:val="3"/>
                <w:szCs w:val="21"/>
                <w:vertAlign w:val="subscript"/>
              </w:rPr>
              <w:t>cr</w:t>
            </w:r>
            <w:r>
              <w:rPr>
                <w:rFonts w:hAnsi="宋体"/>
                <w:color w:val="000000" w:themeColor="text1"/>
                <w:spacing w:val="3"/>
                <w:szCs w:val="21"/>
              </w:rPr>
              <w:t>、</w:t>
            </w:r>
            <w:r>
              <w:rPr>
                <w:color w:val="000000" w:themeColor="text1"/>
                <w:spacing w:val="3"/>
                <w:szCs w:val="21"/>
              </w:rPr>
              <w:t>BOD</w:t>
            </w:r>
            <w:r>
              <w:rPr>
                <w:color w:val="000000" w:themeColor="text1"/>
                <w:spacing w:val="3"/>
                <w:szCs w:val="21"/>
                <w:vertAlign w:val="subscript"/>
              </w:rPr>
              <w:t>5</w:t>
            </w:r>
            <w:r>
              <w:rPr>
                <w:rFonts w:hAnsi="宋体"/>
                <w:color w:val="000000" w:themeColor="text1"/>
                <w:spacing w:val="3"/>
                <w:szCs w:val="21"/>
              </w:rPr>
              <w:t>、</w:t>
            </w:r>
            <w:r>
              <w:rPr>
                <w:color w:val="000000" w:themeColor="text1"/>
                <w:spacing w:val="3"/>
                <w:szCs w:val="21"/>
              </w:rPr>
              <w:t>SS</w:t>
            </w:r>
            <w:r>
              <w:rPr>
                <w:rFonts w:hAnsi="宋体"/>
                <w:color w:val="000000" w:themeColor="text1"/>
                <w:spacing w:val="3"/>
                <w:szCs w:val="21"/>
              </w:rPr>
              <w:t>、氨氮</w:t>
            </w:r>
            <w:r>
              <w:rPr>
                <w:rFonts w:hint="eastAsia" w:hAnsi="宋体"/>
                <w:color w:val="000000" w:themeColor="text1"/>
                <w:spacing w:val="3"/>
                <w:szCs w:val="21"/>
              </w:rPr>
              <w:t>、石油类</w:t>
            </w:r>
          </w:p>
        </w:tc>
        <w:tc>
          <w:tcPr>
            <w:tcW w:w="1762"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间断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762" w:type="dxa"/>
            <w:vMerge w:val="continue"/>
            <w:vAlign w:val="center"/>
          </w:tcPr>
          <w:p>
            <w:pPr>
              <w:adjustRightInd w:val="0"/>
              <w:snapToGrid w:val="0"/>
              <w:spacing w:line="360" w:lineRule="exact"/>
              <w:jc w:val="center"/>
              <w:rPr>
                <w:color w:val="000000" w:themeColor="text1"/>
                <w:kern w:val="0"/>
                <w:szCs w:val="21"/>
              </w:rPr>
            </w:pPr>
          </w:p>
        </w:tc>
        <w:tc>
          <w:tcPr>
            <w:tcW w:w="1267" w:type="dxa"/>
            <w:vMerge w:val="continue"/>
            <w:vAlign w:val="center"/>
          </w:tcPr>
          <w:p>
            <w:pPr>
              <w:adjustRightInd w:val="0"/>
              <w:snapToGrid w:val="0"/>
              <w:spacing w:line="360" w:lineRule="exact"/>
              <w:jc w:val="center"/>
              <w:rPr>
                <w:color w:val="000000" w:themeColor="text1"/>
                <w:kern w:val="0"/>
                <w:szCs w:val="21"/>
              </w:rPr>
            </w:pPr>
          </w:p>
        </w:tc>
        <w:tc>
          <w:tcPr>
            <w:tcW w:w="2015"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地面冲洗</w:t>
            </w:r>
          </w:p>
        </w:tc>
        <w:tc>
          <w:tcPr>
            <w:tcW w:w="3140" w:type="dxa"/>
            <w:vAlign w:val="center"/>
          </w:tcPr>
          <w:p>
            <w:pPr>
              <w:adjustRightInd w:val="0"/>
              <w:snapToGrid w:val="0"/>
              <w:spacing w:line="360" w:lineRule="exact"/>
              <w:jc w:val="center"/>
              <w:rPr>
                <w:color w:val="000000" w:themeColor="text1"/>
                <w:spacing w:val="3"/>
                <w:szCs w:val="21"/>
              </w:rPr>
            </w:pPr>
            <w:r>
              <w:rPr>
                <w:color w:val="000000" w:themeColor="text1"/>
                <w:spacing w:val="3"/>
                <w:szCs w:val="21"/>
              </w:rPr>
              <w:t>COD</w:t>
            </w:r>
            <w:r>
              <w:rPr>
                <w:color w:val="000000" w:themeColor="text1"/>
                <w:spacing w:val="3"/>
                <w:szCs w:val="21"/>
                <w:vertAlign w:val="subscript"/>
              </w:rPr>
              <w:t>cr</w:t>
            </w:r>
            <w:r>
              <w:rPr>
                <w:rFonts w:hAnsi="宋体"/>
                <w:color w:val="000000" w:themeColor="text1"/>
                <w:spacing w:val="3"/>
                <w:szCs w:val="21"/>
              </w:rPr>
              <w:t>、</w:t>
            </w:r>
            <w:r>
              <w:rPr>
                <w:color w:val="000000" w:themeColor="text1"/>
                <w:spacing w:val="3"/>
                <w:szCs w:val="21"/>
              </w:rPr>
              <w:t>SS</w:t>
            </w:r>
            <w:r>
              <w:rPr>
                <w:rFonts w:hAnsi="宋体"/>
                <w:color w:val="000000" w:themeColor="text1"/>
                <w:spacing w:val="3"/>
                <w:szCs w:val="21"/>
              </w:rPr>
              <w:t>、石油类</w:t>
            </w:r>
          </w:p>
        </w:tc>
        <w:tc>
          <w:tcPr>
            <w:tcW w:w="1762"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间断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762" w:type="dxa"/>
            <w:vMerge w:val="continue"/>
          </w:tcPr>
          <w:p>
            <w:pPr>
              <w:adjustRightInd w:val="0"/>
              <w:snapToGrid w:val="0"/>
              <w:spacing w:line="360" w:lineRule="exact"/>
              <w:jc w:val="center"/>
              <w:rPr>
                <w:color w:val="000000" w:themeColor="text1"/>
                <w:kern w:val="0"/>
                <w:szCs w:val="21"/>
              </w:rPr>
            </w:pPr>
          </w:p>
        </w:tc>
        <w:tc>
          <w:tcPr>
            <w:tcW w:w="1267" w:type="dxa"/>
            <w:vMerge w:val="restart"/>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噪声</w:t>
            </w:r>
          </w:p>
        </w:tc>
        <w:tc>
          <w:tcPr>
            <w:tcW w:w="2015"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加油机、发电机</w:t>
            </w:r>
          </w:p>
        </w:tc>
        <w:tc>
          <w:tcPr>
            <w:tcW w:w="3140"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设备噪声</w:t>
            </w:r>
          </w:p>
        </w:tc>
        <w:tc>
          <w:tcPr>
            <w:tcW w:w="1762"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间断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762" w:type="dxa"/>
            <w:vMerge w:val="continue"/>
          </w:tcPr>
          <w:p>
            <w:pPr>
              <w:adjustRightInd w:val="0"/>
              <w:snapToGrid w:val="0"/>
              <w:spacing w:line="360" w:lineRule="exact"/>
              <w:jc w:val="center"/>
              <w:rPr>
                <w:color w:val="000000" w:themeColor="text1"/>
                <w:kern w:val="0"/>
                <w:szCs w:val="21"/>
              </w:rPr>
            </w:pPr>
          </w:p>
        </w:tc>
        <w:tc>
          <w:tcPr>
            <w:tcW w:w="1267" w:type="dxa"/>
            <w:vMerge w:val="continue"/>
            <w:vAlign w:val="center"/>
          </w:tcPr>
          <w:p>
            <w:pPr>
              <w:adjustRightInd w:val="0"/>
              <w:snapToGrid w:val="0"/>
              <w:spacing w:line="360" w:lineRule="exact"/>
              <w:jc w:val="center"/>
              <w:rPr>
                <w:color w:val="000000" w:themeColor="text1"/>
                <w:kern w:val="0"/>
                <w:szCs w:val="21"/>
              </w:rPr>
            </w:pPr>
          </w:p>
        </w:tc>
        <w:tc>
          <w:tcPr>
            <w:tcW w:w="2015"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来往车辆</w:t>
            </w:r>
          </w:p>
        </w:tc>
        <w:tc>
          <w:tcPr>
            <w:tcW w:w="3140"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交通噪声</w:t>
            </w:r>
          </w:p>
        </w:tc>
        <w:tc>
          <w:tcPr>
            <w:tcW w:w="1762"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间断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762" w:type="dxa"/>
            <w:vMerge w:val="continue"/>
          </w:tcPr>
          <w:p>
            <w:pPr>
              <w:adjustRightInd w:val="0"/>
              <w:snapToGrid w:val="0"/>
              <w:spacing w:line="360" w:lineRule="exact"/>
              <w:jc w:val="center"/>
              <w:rPr>
                <w:color w:val="000000" w:themeColor="text1"/>
                <w:kern w:val="0"/>
                <w:szCs w:val="21"/>
              </w:rPr>
            </w:pPr>
          </w:p>
        </w:tc>
        <w:tc>
          <w:tcPr>
            <w:tcW w:w="1267" w:type="dxa"/>
            <w:vMerge w:val="restart"/>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固体废物</w:t>
            </w:r>
          </w:p>
        </w:tc>
        <w:tc>
          <w:tcPr>
            <w:tcW w:w="2015"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来往车辆</w:t>
            </w:r>
          </w:p>
        </w:tc>
        <w:tc>
          <w:tcPr>
            <w:tcW w:w="3140"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生活垃圾</w:t>
            </w:r>
          </w:p>
        </w:tc>
        <w:tc>
          <w:tcPr>
            <w:tcW w:w="1762" w:type="dxa"/>
            <w:vAlign w:val="center"/>
          </w:tcPr>
          <w:p>
            <w:pPr>
              <w:adjustRightInd w:val="0"/>
              <w:snapToGrid w:val="0"/>
              <w:spacing w:line="360" w:lineRule="exact"/>
              <w:jc w:val="center"/>
              <w:rPr>
                <w:i/>
                <w:color w:val="000000" w:themeColor="text1"/>
                <w:kern w:val="0"/>
                <w:szCs w:val="21"/>
              </w:rPr>
            </w:pPr>
            <w:r>
              <w:rPr>
                <w:rFonts w:hAnsi="宋体"/>
                <w:color w:val="000000" w:themeColor="text1"/>
                <w:kern w:val="0"/>
                <w:szCs w:val="21"/>
              </w:rPr>
              <w:t>间断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762" w:type="dxa"/>
            <w:vMerge w:val="continue"/>
          </w:tcPr>
          <w:p>
            <w:pPr>
              <w:adjustRightInd w:val="0"/>
              <w:snapToGrid w:val="0"/>
              <w:spacing w:line="360" w:lineRule="exact"/>
              <w:jc w:val="center"/>
              <w:rPr>
                <w:color w:val="000000" w:themeColor="text1"/>
                <w:kern w:val="0"/>
                <w:szCs w:val="21"/>
              </w:rPr>
            </w:pPr>
          </w:p>
        </w:tc>
        <w:tc>
          <w:tcPr>
            <w:tcW w:w="1267" w:type="dxa"/>
            <w:vMerge w:val="continue"/>
            <w:vAlign w:val="center"/>
          </w:tcPr>
          <w:p>
            <w:pPr>
              <w:adjustRightInd w:val="0"/>
              <w:snapToGrid w:val="0"/>
              <w:spacing w:line="360" w:lineRule="exact"/>
              <w:jc w:val="center"/>
              <w:rPr>
                <w:color w:val="000000" w:themeColor="text1"/>
                <w:kern w:val="0"/>
                <w:szCs w:val="21"/>
              </w:rPr>
            </w:pPr>
          </w:p>
        </w:tc>
        <w:tc>
          <w:tcPr>
            <w:tcW w:w="2015"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油灌清理</w:t>
            </w:r>
          </w:p>
        </w:tc>
        <w:tc>
          <w:tcPr>
            <w:tcW w:w="3140"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含油抹布</w:t>
            </w:r>
          </w:p>
        </w:tc>
        <w:tc>
          <w:tcPr>
            <w:tcW w:w="1762"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间断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762" w:type="dxa"/>
            <w:vMerge w:val="continue"/>
          </w:tcPr>
          <w:p>
            <w:pPr>
              <w:adjustRightInd w:val="0"/>
              <w:snapToGrid w:val="0"/>
              <w:spacing w:line="360" w:lineRule="exact"/>
              <w:jc w:val="center"/>
              <w:rPr>
                <w:color w:val="000000" w:themeColor="text1"/>
                <w:kern w:val="0"/>
                <w:szCs w:val="21"/>
              </w:rPr>
            </w:pPr>
          </w:p>
        </w:tc>
        <w:tc>
          <w:tcPr>
            <w:tcW w:w="1267" w:type="dxa"/>
            <w:vMerge w:val="continue"/>
            <w:vAlign w:val="center"/>
          </w:tcPr>
          <w:p>
            <w:pPr>
              <w:adjustRightInd w:val="0"/>
              <w:snapToGrid w:val="0"/>
              <w:spacing w:line="360" w:lineRule="exact"/>
              <w:jc w:val="center"/>
              <w:rPr>
                <w:color w:val="000000" w:themeColor="text1"/>
                <w:kern w:val="0"/>
                <w:szCs w:val="21"/>
              </w:rPr>
            </w:pPr>
          </w:p>
        </w:tc>
        <w:tc>
          <w:tcPr>
            <w:tcW w:w="2015"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隔油沉淀池</w:t>
            </w:r>
          </w:p>
        </w:tc>
        <w:tc>
          <w:tcPr>
            <w:tcW w:w="3140"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废油泥</w:t>
            </w:r>
          </w:p>
        </w:tc>
        <w:tc>
          <w:tcPr>
            <w:tcW w:w="1762" w:type="dxa"/>
            <w:vAlign w:val="center"/>
          </w:tcPr>
          <w:p>
            <w:pPr>
              <w:adjustRightInd w:val="0"/>
              <w:snapToGrid w:val="0"/>
              <w:spacing w:line="360" w:lineRule="exact"/>
              <w:jc w:val="center"/>
              <w:rPr>
                <w:i/>
                <w:color w:val="000000" w:themeColor="text1"/>
                <w:kern w:val="0"/>
                <w:szCs w:val="21"/>
              </w:rPr>
            </w:pPr>
            <w:r>
              <w:rPr>
                <w:rFonts w:hAnsi="宋体"/>
                <w:color w:val="000000" w:themeColor="text1"/>
                <w:kern w:val="0"/>
                <w:szCs w:val="21"/>
              </w:rPr>
              <w:t>间断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trPr>
        <w:tc>
          <w:tcPr>
            <w:tcW w:w="762" w:type="dxa"/>
            <w:vMerge w:val="continue"/>
          </w:tcPr>
          <w:p>
            <w:pPr>
              <w:adjustRightInd w:val="0"/>
              <w:snapToGrid w:val="0"/>
              <w:spacing w:line="360" w:lineRule="exact"/>
              <w:jc w:val="center"/>
              <w:rPr>
                <w:color w:val="000000" w:themeColor="text1"/>
                <w:kern w:val="0"/>
                <w:szCs w:val="21"/>
              </w:rPr>
            </w:pPr>
          </w:p>
        </w:tc>
        <w:tc>
          <w:tcPr>
            <w:tcW w:w="1267" w:type="dxa"/>
            <w:vMerge w:val="continue"/>
            <w:vAlign w:val="center"/>
          </w:tcPr>
          <w:p>
            <w:pPr>
              <w:adjustRightInd w:val="0"/>
              <w:snapToGrid w:val="0"/>
              <w:spacing w:line="360" w:lineRule="exact"/>
              <w:jc w:val="center"/>
              <w:rPr>
                <w:color w:val="000000" w:themeColor="text1"/>
                <w:kern w:val="0"/>
                <w:szCs w:val="21"/>
              </w:rPr>
            </w:pPr>
          </w:p>
        </w:tc>
        <w:tc>
          <w:tcPr>
            <w:tcW w:w="2015"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油罐</w:t>
            </w:r>
          </w:p>
        </w:tc>
        <w:tc>
          <w:tcPr>
            <w:tcW w:w="3140" w:type="dxa"/>
            <w:vAlign w:val="center"/>
          </w:tcPr>
          <w:p>
            <w:pPr>
              <w:adjustRightInd w:val="0"/>
              <w:snapToGrid w:val="0"/>
              <w:spacing w:line="360" w:lineRule="exact"/>
              <w:jc w:val="center"/>
              <w:rPr>
                <w:color w:val="000000" w:themeColor="text1"/>
                <w:kern w:val="0"/>
                <w:szCs w:val="21"/>
              </w:rPr>
            </w:pPr>
            <w:r>
              <w:rPr>
                <w:rFonts w:hAnsi="宋体"/>
                <w:color w:val="000000" w:themeColor="text1"/>
                <w:kern w:val="0"/>
                <w:szCs w:val="21"/>
              </w:rPr>
              <w:t>废油泥、含油拖布</w:t>
            </w:r>
          </w:p>
        </w:tc>
        <w:tc>
          <w:tcPr>
            <w:tcW w:w="1762" w:type="dxa"/>
            <w:vAlign w:val="center"/>
          </w:tcPr>
          <w:p>
            <w:pPr>
              <w:adjustRightInd w:val="0"/>
              <w:snapToGrid w:val="0"/>
              <w:spacing w:line="360" w:lineRule="exact"/>
              <w:jc w:val="center"/>
              <w:rPr>
                <w:color w:val="000000" w:themeColor="text1"/>
                <w:kern w:val="0"/>
                <w:szCs w:val="21"/>
              </w:rPr>
            </w:pPr>
          </w:p>
        </w:tc>
      </w:tr>
    </w:tbl>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19" w:name="_Toc3994"/>
      <w:r>
        <w:rPr>
          <w:b/>
          <w:bCs/>
          <w:color w:val="000000" w:themeColor="text1"/>
          <w:sz w:val="24"/>
        </w:rPr>
        <w:t>3.4 加油站运营流程及水平衡</w:t>
      </w:r>
      <w:bookmarkEnd w:id="19"/>
    </w:p>
    <w:p>
      <w:pPr>
        <w:pStyle w:val="4"/>
        <w:spacing w:line="360" w:lineRule="auto"/>
        <w:ind w:leftChars="-1" w:hanging="2" w:hangingChars="1"/>
        <w:contextualSpacing/>
        <w:rPr>
          <w:color w:val="000000" w:themeColor="text1"/>
          <w:sz w:val="24"/>
        </w:rPr>
      </w:pPr>
      <w:r>
        <w:rPr>
          <w:color w:val="000000" w:themeColor="text1"/>
          <w:sz w:val="24"/>
        </w:rPr>
        <w:t>项目加油工艺流程主要有卸油和加油两个环节，具体为：</w:t>
      </w:r>
    </w:p>
    <w:p>
      <w:pPr>
        <w:spacing w:line="520" w:lineRule="exact"/>
        <w:ind w:firstLine="480" w:firstLineChars="200"/>
        <w:contextualSpacing/>
        <w:rPr>
          <w:color w:val="000000" w:themeColor="text1"/>
          <w:sz w:val="24"/>
        </w:rPr>
      </w:pPr>
      <w:r>
        <w:rPr>
          <w:rFonts w:ascii="宋体"/>
          <w:color w:val="000000" w:themeColor="text1"/>
          <w:sz w:val="24"/>
        </w:rPr>
        <w:t>①</w:t>
      </w:r>
      <w:r>
        <w:rPr>
          <w:color w:val="000000" w:themeColor="text1"/>
          <w:sz w:val="24"/>
        </w:rPr>
        <w:t>卸油：加油站油品来自汽车罐车，罐车进站后熄火，进行静电接地，待罐车静置15min后打开油罐车口盖，接好卸油管，使接头接合紧密，卸油管自然弯曲，油品经密闭卸油口卸入对应的油罐内储存。卸油完毕，关闭罐车卸油阀门，拆除卸油管，锁好卸油口，收回静电接地线。油罐设有液位仪检测油罐液位，液位超过设定值后，发出报警信号。</w:t>
      </w:r>
    </w:p>
    <w:p>
      <w:pPr>
        <w:spacing w:line="520" w:lineRule="exact"/>
        <w:ind w:firstLine="480" w:firstLineChars="200"/>
        <w:contextualSpacing/>
        <w:rPr>
          <w:color w:val="000000" w:themeColor="text1"/>
          <w:sz w:val="24"/>
        </w:rPr>
      </w:pPr>
      <w:r>
        <w:rPr>
          <w:rFonts w:ascii="宋体"/>
          <w:color w:val="000000" w:themeColor="text1"/>
          <w:sz w:val="24"/>
        </w:rPr>
        <w:t>②</w:t>
      </w:r>
      <w:r>
        <w:rPr>
          <w:color w:val="000000" w:themeColor="text1"/>
          <w:sz w:val="24"/>
        </w:rPr>
        <w:t>加油：加油车辆到达加油位置后，停车熄火，开启油箱，加油员在加油机上预置加油数量，经确认油品无误后，提枪加油，油品经泵进入加油枪然后注入汽车油箱内。</w:t>
      </w:r>
    </w:p>
    <w:p>
      <w:pPr>
        <w:pStyle w:val="4"/>
        <w:spacing w:line="520" w:lineRule="exact"/>
        <w:ind w:firstLine="480"/>
        <w:contextualSpacing/>
        <w:rPr>
          <w:color w:val="000000" w:themeColor="text1"/>
          <w:sz w:val="24"/>
        </w:rPr>
      </w:pPr>
      <w:r>
        <w:rPr>
          <w:rFonts w:ascii="宋体"/>
          <w:color w:val="000000" w:themeColor="text1"/>
          <w:sz w:val="24"/>
        </w:rPr>
        <w:t>③</w:t>
      </w:r>
      <w:r>
        <w:rPr>
          <w:color w:val="000000" w:themeColor="text1"/>
          <w:sz w:val="24"/>
        </w:rPr>
        <w:t>油气回收：项目</w:t>
      </w:r>
      <w:r>
        <w:rPr>
          <w:rFonts w:hint="eastAsia"/>
          <w:color w:val="000000" w:themeColor="text1"/>
          <w:sz w:val="24"/>
        </w:rPr>
        <w:t>目前</w:t>
      </w:r>
      <w:r>
        <w:rPr>
          <w:color w:val="000000" w:themeColor="text1"/>
          <w:sz w:val="24"/>
        </w:rPr>
        <w:t>采用一次油气回收设施、二次油气回收设施</w:t>
      </w:r>
      <w:r>
        <w:rPr>
          <w:rFonts w:hint="eastAsia"/>
          <w:color w:val="000000" w:themeColor="text1"/>
          <w:sz w:val="24"/>
        </w:rPr>
        <w:t>，将加装三次油气回收设施，故本次评价按三级油气进行</w:t>
      </w:r>
      <w:r>
        <w:rPr>
          <w:color w:val="000000" w:themeColor="text1"/>
          <w:sz w:val="24"/>
        </w:rPr>
        <w:t>。</w:t>
      </w:r>
    </w:p>
    <w:p>
      <w:pPr>
        <w:pStyle w:val="4"/>
        <w:spacing w:line="520" w:lineRule="exact"/>
        <w:ind w:firstLine="480"/>
        <w:contextualSpacing/>
        <w:rPr>
          <w:color w:val="000000" w:themeColor="text1"/>
          <w:sz w:val="24"/>
        </w:rPr>
      </w:pPr>
      <w:r>
        <w:rPr>
          <w:color w:val="000000" w:themeColor="text1"/>
          <w:sz w:val="24"/>
        </w:rPr>
        <w:t>一次油气回收指专用油罐车卸油到加油站的储油罐中，将加油站储油罐中的油蒸汽通过密闭方式收集到油罐车内，运送到加油站外的储油库集中回收变成汽油，限制油气向大气中排放。具体步骤为：</w:t>
      </w:r>
    </w:p>
    <w:p>
      <w:pPr>
        <w:widowControl/>
        <w:spacing w:line="520" w:lineRule="exact"/>
        <w:ind w:firstLine="480" w:firstLineChars="200"/>
        <w:contextualSpacing/>
        <w:jc w:val="left"/>
        <w:rPr>
          <w:color w:val="000000" w:themeColor="text1"/>
          <w:kern w:val="0"/>
          <w:sz w:val="24"/>
        </w:rPr>
      </w:pPr>
      <w:r>
        <w:rPr>
          <w:color w:val="000000" w:themeColor="text1"/>
          <w:kern w:val="0"/>
          <w:sz w:val="24"/>
        </w:rPr>
        <w:t>卸油时，卸油软管连接罐车出油口和罐区卸油口，油气回收软管连接罐车油气回收口和卸油口的油气回收管道接口。当罐车内汽油流入加油站汽油罐时，汽油罐内油气通过通气管连通管进入到低标号汽油罐内，再通过油气回收管道流入到罐车内，整个过程中无油气排放。卸油时由于通气管上安装有压力真空阀，在设定工作压力内不会开启，不会造成油气通过通气管的排放。</w:t>
      </w:r>
    </w:p>
    <w:p>
      <w:pPr>
        <w:widowControl/>
        <w:spacing w:line="360" w:lineRule="auto"/>
        <w:ind w:firstLine="11" w:firstLineChars="5"/>
        <w:contextualSpacing/>
        <w:jc w:val="center"/>
        <w:rPr>
          <w:color w:val="000000" w:themeColor="text1"/>
          <w:kern w:val="0"/>
          <w:sz w:val="24"/>
        </w:rPr>
      </w:pPr>
      <w:r>
        <w:rPr>
          <w:color w:val="000000" w:themeColor="text1"/>
          <w:kern w:val="0"/>
          <w:sz w:val="22"/>
          <w:szCs w:val="22"/>
        </w:rPr>
        <w:drawing>
          <wp:inline distT="0" distB="0" distL="0" distR="0">
            <wp:extent cx="4846320" cy="2590800"/>
            <wp:effectExtent l="19050" t="0" r="0" b="0"/>
            <wp:docPr id="19" name="图片 134" descr="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4" descr="１"/>
                    <pic:cNvPicPr>
                      <a:picLocks noChangeAspect="1" noChangeArrowheads="1"/>
                    </pic:cNvPicPr>
                  </pic:nvPicPr>
                  <pic:blipFill>
                    <a:blip r:embed="rId12"/>
                    <a:srcRect/>
                    <a:stretch>
                      <a:fillRect/>
                    </a:stretch>
                  </pic:blipFill>
                  <pic:spPr>
                    <a:xfrm>
                      <a:off x="0" y="0"/>
                      <a:ext cx="4846320" cy="2590800"/>
                    </a:xfrm>
                    <a:prstGeom prst="rect">
                      <a:avLst/>
                    </a:prstGeom>
                    <a:noFill/>
                    <a:ln w="9525">
                      <a:noFill/>
                      <a:miter lim="800000"/>
                      <a:headEnd/>
                      <a:tailEnd/>
                    </a:ln>
                  </pic:spPr>
                </pic:pic>
              </a:graphicData>
            </a:graphic>
          </wp:inline>
        </w:drawing>
      </w:r>
    </w:p>
    <w:p>
      <w:pPr>
        <w:pStyle w:val="4"/>
        <w:spacing w:line="520" w:lineRule="exact"/>
        <w:ind w:firstLine="480"/>
        <w:contextualSpacing/>
        <w:rPr>
          <w:color w:val="000000" w:themeColor="text1"/>
          <w:sz w:val="24"/>
        </w:rPr>
      </w:pPr>
      <w:r>
        <w:rPr>
          <w:color w:val="000000" w:themeColor="text1"/>
          <w:sz w:val="24"/>
        </w:rPr>
        <w:t>二次油气回收指在给汽车油箱加油时，利用加油枪特殊装置，将原本由汽车油箱逸散于空气中的油气经加油枪、抽气泵回收入地下油罐内。</w:t>
      </w:r>
    </w:p>
    <w:p>
      <w:pPr>
        <w:pStyle w:val="4"/>
        <w:spacing w:line="520" w:lineRule="exact"/>
        <w:ind w:firstLine="480"/>
        <w:contextualSpacing/>
        <w:rPr>
          <w:color w:val="000000" w:themeColor="text1"/>
          <w:sz w:val="24"/>
        </w:rPr>
      </w:pPr>
      <w:r>
        <w:rPr>
          <w:color w:val="000000" w:themeColor="text1"/>
          <w:sz w:val="24"/>
        </w:rPr>
        <w:t>项目采用油气回收专用油枪，加油满至枪头回气孔时，可自动跳脱，另在回气孔之后有八个油气回收孔，真空泵将油气通过密闭方式收集进入埋地油罐，可有效将加油时所造成的油气逸散降到最低。加油过程中加油与吸气比例接近1:1，保证每发1L油可回收相当于1L体积的油气，确保加油过程中油气回收顺利完成。</w:t>
      </w:r>
      <w:r>
        <w:rPr>
          <w:color w:val="000000" w:themeColor="text1"/>
          <w:kern w:val="24"/>
          <w:sz w:val="24"/>
        </w:rPr>
        <w:t>油气回收管线应坡向油罐，坡度不应小于1%；加油软管应配备拉断截止阀，加油时应防止溢油和滴油。</w:t>
      </w:r>
    </w:p>
    <w:p>
      <w:pPr>
        <w:pStyle w:val="4"/>
        <w:spacing w:line="360" w:lineRule="auto"/>
        <w:ind w:firstLine="11" w:firstLineChars="5"/>
        <w:contextualSpacing/>
        <w:jc w:val="center"/>
        <w:rPr>
          <w:color w:val="000000" w:themeColor="text1"/>
          <w:kern w:val="0"/>
          <w:sz w:val="22"/>
          <w:szCs w:val="22"/>
        </w:rPr>
      </w:pPr>
      <w:r>
        <w:rPr>
          <w:color w:val="000000" w:themeColor="text1"/>
          <w:kern w:val="0"/>
          <w:sz w:val="22"/>
          <w:szCs w:val="22"/>
        </w:rPr>
        <w:drawing>
          <wp:inline distT="0" distB="0" distL="0" distR="0">
            <wp:extent cx="4305300" cy="2468880"/>
            <wp:effectExtent l="19050" t="0" r="0" b="0"/>
            <wp:docPr id="21" name="图片 135" descr="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5" descr="２"/>
                    <pic:cNvPicPr>
                      <a:picLocks noChangeAspect="1" noChangeArrowheads="1"/>
                    </pic:cNvPicPr>
                  </pic:nvPicPr>
                  <pic:blipFill>
                    <a:blip r:embed="rId13"/>
                    <a:srcRect/>
                    <a:stretch>
                      <a:fillRect/>
                    </a:stretch>
                  </pic:blipFill>
                  <pic:spPr>
                    <a:xfrm>
                      <a:off x="0" y="0"/>
                      <a:ext cx="4305300" cy="2468880"/>
                    </a:xfrm>
                    <a:prstGeom prst="rect">
                      <a:avLst/>
                    </a:prstGeom>
                    <a:noFill/>
                    <a:ln w="9525">
                      <a:noFill/>
                      <a:miter lim="800000"/>
                      <a:headEnd/>
                      <a:tailEnd/>
                    </a:ln>
                  </pic:spPr>
                </pic:pic>
              </a:graphicData>
            </a:graphic>
          </wp:inline>
        </w:drawing>
      </w:r>
    </w:p>
    <w:p>
      <w:pPr>
        <w:pStyle w:val="4"/>
        <w:spacing w:line="360" w:lineRule="auto"/>
        <w:ind w:firstLine="491" w:firstLineChars="205"/>
        <w:contextualSpacing/>
        <w:rPr>
          <w:color w:val="000000" w:themeColor="text1"/>
          <w:sz w:val="24"/>
        </w:rPr>
      </w:pPr>
      <w:r>
        <w:rPr>
          <w:rFonts w:hint="eastAsia"/>
          <w:color w:val="000000" w:themeColor="text1"/>
          <w:sz w:val="24"/>
        </w:rPr>
        <w:t>三次油气回收是指油气排放处理装置。油气排放处理装置一般是指对加油油气回收系统收集的油气进行回收处理的装置。处理的是带有回收油气功能的加油枪在气液比大于1时多收集并从排气管路排放的油气以及埋地油罐随大气压和气温变化产生正压时排放的油气。该系统可以使汽油罐的油气排放基本为零，显著提高加油站的本质安全水平。</w:t>
      </w:r>
    </w:p>
    <w:p>
      <w:pPr>
        <w:spacing w:line="360" w:lineRule="auto"/>
        <w:ind w:firstLine="480" w:firstLineChars="200"/>
        <w:rPr>
          <w:color w:val="000000" w:themeColor="text1"/>
          <w:sz w:val="24"/>
          <w:lang w:val="zh-CN"/>
        </w:rPr>
      </w:pPr>
      <w:r>
        <w:rPr>
          <w:color w:val="000000" w:themeColor="text1"/>
          <w:sz w:val="24"/>
        </w:rPr>
        <w:t>加油站经营工艺流程</w:t>
      </w:r>
      <w:r>
        <w:rPr>
          <w:color w:val="000000" w:themeColor="text1"/>
          <w:sz w:val="24"/>
          <w:lang w:val="zh-CN"/>
        </w:rPr>
        <w:t>及产污环节见图</w:t>
      </w:r>
      <w:r>
        <w:rPr>
          <w:color w:val="000000" w:themeColor="text1"/>
          <w:sz w:val="24"/>
        </w:rPr>
        <w:t>3</w:t>
      </w:r>
      <w:r>
        <w:rPr>
          <w:color w:val="000000" w:themeColor="text1"/>
          <w:sz w:val="24"/>
          <w:lang w:val="zh-CN"/>
        </w:rPr>
        <w:t>-</w:t>
      </w:r>
      <w:r>
        <w:rPr>
          <w:color w:val="000000" w:themeColor="text1"/>
          <w:sz w:val="24"/>
        </w:rPr>
        <w:t>2</w:t>
      </w:r>
      <w:r>
        <w:rPr>
          <w:color w:val="000000" w:themeColor="text1"/>
          <w:sz w:val="24"/>
          <w:lang w:val="zh-CN"/>
        </w:rPr>
        <w:t>。</w:t>
      </w:r>
    </w:p>
    <w:p>
      <w:pPr>
        <w:pStyle w:val="4"/>
        <w:spacing w:line="520" w:lineRule="exact"/>
        <w:ind w:firstLine="480"/>
        <w:contextualSpacing/>
        <w:rPr>
          <w:color w:val="000000" w:themeColor="text1"/>
          <w:sz w:val="24"/>
        </w:rPr>
      </w:pPr>
      <w:r>
        <w:rPr>
          <w:color w:val="000000" w:themeColor="text1"/>
          <w:sz w:val="24"/>
        </w:rPr>
        <w:pict>
          <v:shape id="_x0000_s1067" o:spid="_x0000_s1067" o:spt="202" type="#_x0000_t202" style="position:absolute;left:0pt;margin-left:262.95pt;margin-top:15.85pt;height:22.5pt;width:47.2pt;z-index:251668480;mso-width-relative:page;mso-height-relative:page;" filled="f" stroked="f" coordsize="21600,21600">
            <v:path/>
            <v:fill on="f" opacity="0f" focussize="0,0"/>
            <v:stroke on="f" color="#FFFFFF" joinstyle="miter"/>
            <v:imagedata o:title=""/>
            <o:lock v:ext="edit"/>
            <v:textbox>
              <w:txbxContent>
                <w:p>
                  <w:pPr>
                    <w:rPr>
                      <w:b/>
                      <w:sz w:val="24"/>
                    </w:rPr>
                  </w:pPr>
                  <w:r>
                    <w:rPr>
                      <w:rFonts w:hint="eastAsia"/>
                      <w:b/>
                      <w:sz w:val="24"/>
                    </w:rPr>
                    <w:t>废气</w:t>
                  </w:r>
                </w:p>
              </w:txbxContent>
            </v:textbox>
          </v:shape>
        </w:pict>
      </w:r>
      <w:r>
        <w:rPr>
          <w:color w:val="000000" w:themeColor="text1"/>
          <w:sz w:val="24"/>
        </w:rPr>
        <w:pict>
          <v:shape id="_x0000_s1066" o:spid="_x0000_s1066" o:spt="202" type="#_x0000_t202" style="position:absolute;left:0pt;margin-left:132.35pt;margin-top:12.2pt;height:22.5pt;width:47.2pt;z-index:251667456;mso-width-relative:page;mso-height-relative:page;" filled="f" stroked="f" coordsize="21600,21600">
            <v:path/>
            <v:fill on="f" opacity="0f" focussize="0,0"/>
            <v:stroke on="f" joinstyle="miter"/>
            <v:imagedata o:title=""/>
            <o:lock v:ext="edit"/>
            <v:textbox>
              <w:txbxContent>
                <w:p>
                  <w:pPr>
                    <w:rPr>
                      <w:b/>
                      <w:sz w:val="24"/>
                    </w:rPr>
                  </w:pPr>
                  <w:r>
                    <w:rPr>
                      <w:rFonts w:hint="eastAsia"/>
                      <w:b/>
                      <w:sz w:val="24"/>
                    </w:rPr>
                    <w:t>废气</w:t>
                  </w:r>
                </w:p>
              </w:txbxContent>
            </v:textbox>
          </v:shape>
        </w:pict>
      </w:r>
    </w:p>
    <w:p>
      <w:pPr>
        <w:pStyle w:val="4"/>
        <w:spacing w:line="360" w:lineRule="auto"/>
        <w:ind w:firstLine="562"/>
        <w:contextualSpacing/>
        <w:rPr>
          <w:color w:val="000000" w:themeColor="text1"/>
          <w:sz w:val="24"/>
        </w:rPr>
      </w:pPr>
      <w:r>
        <w:rPr>
          <w:b/>
          <w:color w:val="000000" w:themeColor="text1"/>
          <w:sz w:val="28"/>
        </w:rPr>
        <w:pict>
          <v:line id="_x0000_s1065" o:spid="_x0000_s1065" o:spt="20" style="position:absolute;left:0pt;flip:y;margin-left:286.9pt;margin-top:16.5pt;height:16.5pt;width:0pt;z-index:251666432;mso-width-relative:page;mso-height-relative:page;" coordsize="21600,21600">
            <v:path arrowok="t"/>
            <v:fill focussize="0,0"/>
            <v:stroke dashstyle="dash" endarrow="block"/>
            <v:imagedata o:title=""/>
            <o:lock v:ext="edit"/>
          </v:line>
        </w:pict>
      </w:r>
      <w:r>
        <w:rPr>
          <w:color w:val="000000" w:themeColor="text1"/>
          <w:sz w:val="24"/>
        </w:rPr>
        <w:pict>
          <v:line id="_x0000_s1064" o:spid="_x0000_s1064" o:spt="20" style="position:absolute;left:0pt;flip:y;margin-left:157pt;margin-top:14.25pt;height:16.5pt;width:0pt;z-index:251665408;mso-width-relative:page;mso-height-relative:page;" coordsize="21600,21600">
            <v:path arrowok="t"/>
            <v:fill focussize="0,0"/>
            <v:stroke dashstyle="dash" endarrow="block"/>
            <v:imagedata o:title=""/>
            <o:lock v:ext="edit"/>
          </v:line>
        </w:pict>
      </w:r>
    </w:p>
    <w:p>
      <w:pPr>
        <w:spacing w:line="360" w:lineRule="auto"/>
        <w:ind w:firstLine="420" w:firstLineChars="200"/>
        <w:jc w:val="center"/>
        <w:rPr>
          <w:b/>
          <w:bCs/>
          <w:color w:val="000000" w:themeColor="text1"/>
          <w:szCs w:val="21"/>
        </w:rPr>
      </w:pPr>
      <w:r>
        <w:rPr>
          <w:color w:val="000000" w:themeColor="text1"/>
        </w:rPr>
        <w:pict>
          <v:shape id="_x0000_i1025" o:spt="75" type="#_x0000_t75" style="height:74.75pt;width:394.6pt;" filled="f" o:preferrelative="t" stroked="f" coordsize="21600,21600">
            <v:path/>
            <v:fill on="f" focussize="0,0"/>
            <v:stroke on="f" joinstyle="miter"/>
            <v:imagedata r:id="rId14" o:title=""/>
            <o:lock v:ext="edit" aspectratio="t"/>
            <w10:wrap type="none"/>
            <w10:anchorlock/>
          </v:shape>
        </w:pict>
      </w:r>
      <w:r>
        <w:rPr>
          <w:b/>
          <w:bCs/>
          <w:color w:val="000000" w:themeColor="text1"/>
          <w:szCs w:val="21"/>
          <w:lang w:val="zh-CN"/>
        </w:rPr>
        <w:t>图</w:t>
      </w:r>
      <w:r>
        <w:rPr>
          <w:b/>
          <w:bCs/>
          <w:color w:val="000000" w:themeColor="text1"/>
          <w:szCs w:val="21"/>
        </w:rPr>
        <w:t>3</w:t>
      </w:r>
      <w:r>
        <w:rPr>
          <w:b/>
          <w:bCs/>
          <w:color w:val="000000" w:themeColor="text1"/>
          <w:szCs w:val="21"/>
          <w:lang w:val="zh-CN"/>
        </w:rPr>
        <w:t>-</w:t>
      </w:r>
      <w:r>
        <w:rPr>
          <w:b/>
          <w:bCs/>
          <w:color w:val="000000" w:themeColor="text1"/>
          <w:szCs w:val="21"/>
        </w:rPr>
        <w:t>2 工艺流程及产污节点示意图</w:t>
      </w:r>
    </w:p>
    <w:p>
      <w:pPr>
        <w:spacing w:line="360" w:lineRule="auto"/>
        <w:ind w:firstLine="482" w:firstLineChars="200"/>
        <w:jc w:val="left"/>
        <w:rPr>
          <w:b/>
          <w:bCs/>
          <w:color w:val="000000" w:themeColor="text1"/>
          <w:sz w:val="24"/>
        </w:rPr>
      </w:pPr>
      <w:r>
        <w:rPr>
          <w:b/>
          <w:bCs/>
          <w:color w:val="000000" w:themeColor="text1"/>
          <w:sz w:val="24"/>
        </w:rPr>
        <w:t>加油站水平衡如图3-3：</w:t>
      </w:r>
    </w:p>
    <w:p>
      <w:pPr>
        <w:spacing w:line="360" w:lineRule="auto"/>
        <w:jc w:val="center"/>
        <w:rPr>
          <w:color w:val="000000" w:themeColor="text1"/>
        </w:rPr>
      </w:pPr>
      <w:r>
        <w:rPr>
          <w:color w:val="000000" w:themeColor="text1"/>
        </w:rPr>
        <w:drawing>
          <wp:inline distT="0" distB="0" distL="0" distR="0">
            <wp:extent cx="4805680" cy="2386965"/>
            <wp:effectExtent l="0" t="0" r="1016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805680" cy="2386965"/>
                    </a:xfrm>
                    <a:prstGeom prst="rect">
                      <a:avLst/>
                    </a:prstGeom>
                    <a:noFill/>
                  </pic:spPr>
                </pic:pic>
              </a:graphicData>
            </a:graphic>
          </wp:inline>
        </w:drawing>
      </w:r>
    </w:p>
    <w:p>
      <w:pPr>
        <w:spacing w:line="360" w:lineRule="auto"/>
        <w:ind w:firstLine="422" w:firstLineChars="200"/>
        <w:jc w:val="center"/>
        <w:rPr>
          <w:b/>
          <w:bCs/>
          <w:color w:val="000000" w:themeColor="text1"/>
          <w:szCs w:val="21"/>
          <w:lang w:val="zh-CN"/>
        </w:rPr>
      </w:pPr>
      <w:r>
        <w:rPr>
          <w:rFonts w:hint="eastAsia"/>
          <w:b/>
          <w:bCs/>
          <w:color w:val="000000" w:themeColor="text1"/>
          <w:szCs w:val="21"/>
          <w:lang w:val="zh-CN"/>
        </w:rPr>
        <w:t>图3-3  加油站营运水量平衡图   单位：t/a</w:t>
      </w:r>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20" w:name="_Toc19787"/>
      <w:r>
        <w:rPr>
          <w:b/>
          <w:bCs/>
          <w:color w:val="000000" w:themeColor="text1"/>
          <w:sz w:val="24"/>
        </w:rPr>
        <w:t>3.5 安全生产管理</w:t>
      </w:r>
      <w:bookmarkEnd w:id="20"/>
    </w:p>
    <w:p>
      <w:pPr>
        <w:spacing w:line="360" w:lineRule="auto"/>
        <w:ind w:firstLine="480" w:firstLineChars="200"/>
        <w:rPr>
          <w:color w:val="000000" w:themeColor="text1"/>
          <w:sz w:val="24"/>
          <w:lang w:val="zh-CN"/>
        </w:rPr>
      </w:pPr>
      <w:r>
        <w:rPr>
          <w:color w:val="000000" w:themeColor="text1"/>
          <w:sz w:val="24"/>
          <w:lang w:val="zh-CN"/>
        </w:rPr>
        <w:t>加油站建立相关安全生产管理制度，加油站不涉及危险化学品重大危险源。</w:t>
      </w:r>
      <w:r>
        <w:rPr>
          <w:color w:val="000000" w:themeColor="text1"/>
          <w:sz w:val="24"/>
        </w:rPr>
        <w:t>加油站已通过消防验收。</w:t>
      </w:r>
    </w:p>
    <w:p>
      <w:pPr>
        <w:autoSpaceDE w:val="0"/>
        <w:autoSpaceDN w:val="0"/>
        <w:adjustRightInd w:val="0"/>
        <w:snapToGrid w:val="0"/>
        <w:spacing w:beforeLines="100" w:afterLines="50" w:line="360" w:lineRule="auto"/>
        <w:jc w:val="left"/>
        <w:outlineLvl w:val="0"/>
        <w:rPr>
          <w:b/>
          <w:bCs/>
          <w:sz w:val="24"/>
        </w:rPr>
      </w:pPr>
      <w:bookmarkStart w:id="21" w:name="_Toc9422"/>
      <w:bookmarkStart w:id="22" w:name="_Toc30884"/>
      <w:r>
        <w:rPr>
          <w:b/>
          <w:bCs/>
          <w:sz w:val="24"/>
        </w:rPr>
        <w:t>3.6 现有环境风险防控与应急措施情况</w:t>
      </w:r>
      <w:r>
        <w:rPr>
          <w:rFonts w:hint="eastAsia"/>
          <w:b/>
          <w:bCs/>
          <w:sz w:val="24"/>
        </w:rPr>
        <w:t>及建议</w:t>
      </w:r>
      <w:bookmarkEnd w:id="21"/>
    </w:p>
    <w:p>
      <w:pPr>
        <w:spacing w:line="360" w:lineRule="auto"/>
        <w:ind w:firstLine="482" w:firstLineChars="200"/>
        <w:rPr>
          <w:b/>
          <w:bCs/>
          <w:sz w:val="24"/>
          <w:lang w:val="zh-CN"/>
        </w:rPr>
      </w:pPr>
      <w:bookmarkStart w:id="23" w:name="_Toc437328364"/>
      <w:bookmarkStart w:id="24" w:name="_Toc31076"/>
      <w:bookmarkStart w:id="25" w:name="_Toc31475"/>
      <w:bookmarkStart w:id="26" w:name="_Toc24663"/>
      <w:r>
        <w:rPr>
          <w:b/>
          <w:bCs/>
          <w:sz w:val="24"/>
          <w:lang w:val="zh-CN"/>
        </w:rPr>
        <w:t>大气环境影响分析结论</w:t>
      </w:r>
      <w:bookmarkEnd w:id="23"/>
      <w:bookmarkEnd w:id="24"/>
      <w:bookmarkEnd w:id="25"/>
      <w:bookmarkEnd w:id="26"/>
    </w:p>
    <w:p>
      <w:pPr>
        <w:spacing w:line="360" w:lineRule="auto"/>
        <w:ind w:firstLine="480" w:firstLineChars="200"/>
        <w:rPr>
          <w:sz w:val="24"/>
          <w:lang w:val="zh-CN"/>
        </w:rPr>
      </w:pPr>
      <w:r>
        <w:rPr>
          <w:sz w:val="24"/>
          <w:lang w:val="zh-CN"/>
        </w:rPr>
        <w:t>大气污染源主要来源于油品的损耗(加油、卸料、油罐大小呼吸等产生)而扩散到大气环境中的油气，污染物为非甲烷总烃。</w:t>
      </w:r>
    </w:p>
    <w:p>
      <w:pPr>
        <w:spacing w:line="360" w:lineRule="auto"/>
        <w:ind w:firstLine="480" w:firstLineChars="200"/>
        <w:rPr>
          <w:sz w:val="24"/>
          <w:lang w:val="zh-CN"/>
        </w:rPr>
      </w:pPr>
      <w:r>
        <w:rPr>
          <w:sz w:val="24"/>
          <w:lang w:val="zh-CN"/>
        </w:rPr>
        <w:t>项目产生的油气，由于采取有效措施，污染物排放量较少。项目废气经</w:t>
      </w:r>
      <w:r>
        <w:rPr>
          <w:rFonts w:hint="eastAsia"/>
          <w:sz w:val="24"/>
          <w:lang w:val="zh-CN"/>
        </w:rPr>
        <w:t>三级</w:t>
      </w:r>
      <w:r>
        <w:rPr>
          <w:sz w:val="24"/>
          <w:lang w:val="zh-CN"/>
        </w:rPr>
        <w:t>油气回收系统处理后，项目通气排放管排放非甲烷总烃浓度能达到《加油站大气污染物排放标准》（GB 20952－2007）中的排放限值（处理装置油气排放口非甲烷总烃≤25g/m3）；项目厂界非甲烷总烃浓度符合《大气污染物综合排放标准》（GB16297-1996）表2中无组织排放监控周界外浓度限值（非甲烷总烃≤4.0mg/m3），对周围大气环境影响不大。</w:t>
      </w:r>
    </w:p>
    <w:p>
      <w:pPr>
        <w:spacing w:line="360" w:lineRule="auto"/>
        <w:ind w:firstLine="482" w:firstLineChars="200"/>
        <w:rPr>
          <w:b/>
          <w:bCs/>
          <w:sz w:val="24"/>
          <w:lang w:val="zh-CN"/>
        </w:rPr>
      </w:pPr>
      <w:bookmarkStart w:id="27" w:name="_Toc28818"/>
      <w:bookmarkStart w:id="28" w:name="_Toc12214"/>
      <w:bookmarkStart w:id="29" w:name="_Toc11148"/>
      <w:bookmarkStart w:id="30" w:name="_Toc437328365"/>
      <w:r>
        <w:rPr>
          <w:b/>
          <w:bCs/>
          <w:sz w:val="24"/>
          <w:lang w:val="zh-CN"/>
        </w:rPr>
        <w:t>地表水环境影响分析结论</w:t>
      </w:r>
      <w:bookmarkEnd w:id="27"/>
      <w:bookmarkEnd w:id="28"/>
      <w:bookmarkEnd w:id="29"/>
      <w:bookmarkEnd w:id="30"/>
    </w:p>
    <w:p>
      <w:pPr>
        <w:pStyle w:val="31"/>
        <w:numPr>
          <w:ilvl w:val="0"/>
          <w:numId w:val="0"/>
        </w:numPr>
        <w:spacing w:line="500" w:lineRule="exact"/>
        <w:ind w:firstLine="420" w:firstLineChars="0"/>
        <w:rPr>
          <w:rFonts w:hint="default" w:ascii="Times New Roman" w:hAnsi="Times New Roman" w:cs="Times New Roman"/>
          <w:b w:val="0"/>
          <w:bCs w:val="0"/>
          <w:color w:val="000000" w:themeColor="text1"/>
          <w:sz w:val="24"/>
          <w:szCs w:val="24"/>
          <w:lang w:val="en-US" w:eastAsia="zh-CN"/>
        </w:rPr>
      </w:pPr>
      <w:r>
        <w:rPr>
          <w:rFonts w:hint="eastAsia" w:ascii="Times New Roman" w:hAnsi="Times New Roman" w:cs="Times New Roman"/>
          <w:b w:val="0"/>
          <w:bCs w:val="0"/>
          <w:color w:val="000000" w:themeColor="text1"/>
          <w:sz w:val="24"/>
          <w:szCs w:val="24"/>
          <w:lang w:val="en-US" w:eastAsia="zh-CN"/>
        </w:rPr>
        <w:t>废水经隔离油池+化粪池+地埋式一体化设备后，废水总排口的排放浓度</w:t>
      </w:r>
    </w:p>
    <w:p>
      <w:pPr>
        <w:pStyle w:val="31"/>
        <w:numPr>
          <w:ilvl w:val="0"/>
          <w:numId w:val="0"/>
        </w:numPr>
        <w:spacing w:line="500" w:lineRule="exact"/>
        <w:rPr>
          <w:sz w:val="24"/>
          <w:lang w:val="zh-CN"/>
        </w:rPr>
      </w:pPr>
      <w:r>
        <w:rPr>
          <w:rFonts w:hint="eastAsia" w:ascii="Times New Roman" w:hAnsi="Times New Roman" w:cs="Times New Roman"/>
          <w:b w:val="0"/>
          <w:bCs w:val="0"/>
          <w:color w:val="000000" w:themeColor="text1"/>
          <w:sz w:val="24"/>
          <w:szCs w:val="24"/>
          <w:lang w:val="en-US" w:eastAsia="zh-CN"/>
        </w:rPr>
        <w:t>满足《城镇污水处理厂污染物排放标准》（GB18918-2002）中一级B标准，</w:t>
      </w:r>
      <w:r>
        <w:rPr>
          <w:rFonts w:hint="eastAsia"/>
          <w:sz w:val="24"/>
          <w:lang w:val="zh-CN"/>
        </w:rPr>
        <w:t>满足</w:t>
      </w:r>
      <w:r>
        <w:rPr>
          <w:sz w:val="24"/>
          <w:lang w:val="zh-CN"/>
        </w:rPr>
        <w:t>《</w:t>
      </w:r>
      <w:r>
        <w:rPr>
          <w:rFonts w:hint="eastAsia"/>
          <w:sz w:val="24"/>
          <w:lang w:val="zh-CN"/>
        </w:rPr>
        <w:t>农田灌溉水质标准</w:t>
      </w:r>
      <w:r>
        <w:rPr>
          <w:sz w:val="24"/>
          <w:lang w:val="zh-CN"/>
        </w:rPr>
        <w:t>》（GB</w:t>
      </w:r>
      <w:r>
        <w:rPr>
          <w:rFonts w:hint="eastAsia"/>
          <w:sz w:val="24"/>
          <w:lang w:val="zh-CN"/>
        </w:rPr>
        <w:t>5084</w:t>
      </w:r>
      <w:r>
        <w:rPr>
          <w:sz w:val="24"/>
          <w:lang w:val="zh-CN"/>
        </w:rPr>
        <w:t>-200</w:t>
      </w:r>
      <w:r>
        <w:rPr>
          <w:rFonts w:hint="eastAsia"/>
          <w:sz w:val="24"/>
          <w:lang w:val="zh-CN"/>
        </w:rPr>
        <w:t>5</w:t>
      </w:r>
      <w:r>
        <w:rPr>
          <w:sz w:val="24"/>
          <w:lang w:val="zh-CN"/>
        </w:rPr>
        <w:t>）中</w:t>
      </w:r>
      <w:r>
        <w:rPr>
          <w:rFonts w:hint="eastAsia"/>
          <w:sz w:val="24"/>
          <w:lang w:val="zh-CN"/>
        </w:rPr>
        <w:t>水作</w:t>
      </w:r>
      <w:r>
        <w:rPr>
          <w:sz w:val="24"/>
          <w:lang w:val="zh-CN"/>
        </w:rPr>
        <w:t>标准</w:t>
      </w:r>
      <w:r>
        <w:rPr>
          <w:rFonts w:hint="eastAsia"/>
          <w:sz w:val="24"/>
          <w:lang w:val="zh-CN"/>
        </w:rPr>
        <w:t>，</w:t>
      </w:r>
      <w:r>
        <w:rPr>
          <w:rFonts w:hint="eastAsia" w:ascii="Times New Roman" w:hAnsi="Times New Roman" w:cs="Times New Roman"/>
          <w:b w:val="0"/>
          <w:bCs w:val="0"/>
          <w:color w:val="000000" w:themeColor="text1"/>
          <w:sz w:val="24"/>
          <w:szCs w:val="24"/>
          <w:lang w:val="en-US" w:eastAsia="zh-CN"/>
        </w:rPr>
        <w:t>后排入项目东面的小渠，</w:t>
      </w:r>
      <w:r>
        <w:rPr>
          <w:sz w:val="24"/>
          <w:lang w:val="zh-CN"/>
        </w:rPr>
        <w:t>对周围水环境影响较小。</w:t>
      </w:r>
    </w:p>
    <w:p>
      <w:pPr>
        <w:spacing w:line="360" w:lineRule="auto"/>
        <w:ind w:firstLine="482" w:firstLineChars="200"/>
        <w:rPr>
          <w:b/>
          <w:bCs/>
          <w:sz w:val="24"/>
          <w:lang w:val="zh-CN"/>
        </w:rPr>
      </w:pPr>
      <w:bookmarkStart w:id="31" w:name="_Toc31502"/>
      <w:bookmarkStart w:id="32" w:name="_Toc15520"/>
      <w:bookmarkStart w:id="33" w:name="_Toc13312"/>
      <w:bookmarkStart w:id="34" w:name="_Toc437328366"/>
      <w:r>
        <w:rPr>
          <w:b/>
          <w:bCs/>
          <w:sz w:val="24"/>
          <w:lang w:val="zh-CN"/>
        </w:rPr>
        <w:t>地下水环境影响分析结论</w:t>
      </w:r>
      <w:bookmarkEnd w:id="31"/>
      <w:bookmarkEnd w:id="32"/>
      <w:bookmarkEnd w:id="33"/>
      <w:bookmarkEnd w:id="34"/>
    </w:p>
    <w:p>
      <w:pPr>
        <w:spacing w:line="360" w:lineRule="auto"/>
        <w:ind w:firstLine="480" w:firstLineChars="200"/>
        <w:rPr>
          <w:sz w:val="24"/>
          <w:lang w:val="zh-CN"/>
        </w:rPr>
      </w:pPr>
      <w:r>
        <w:rPr>
          <w:sz w:val="24"/>
          <w:lang w:val="zh-CN"/>
        </w:rPr>
        <w:t>项目做好生活污水的有组织收集工作，并对油罐和罐区等采取严格的防渗措施，对地下水影响较小。</w:t>
      </w:r>
    </w:p>
    <w:p>
      <w:pPr>
        <w:spacing w:line="360" w:lineRule="auto"/>
        <w:ind w:firstLine="482" w:firstLineChars="200"/>
        <w:rPr>
          <w:b/>
          <w:bCs/>
          <w:sz w:val="24"/>
          <w:lang w:val="zh-CN"/>
        </w:rPr>
      </w:pPr>
      <w:bookmarkStart w:id="35" w:name="_Toc24433"/>
      <w:bookmarkStart w:id="36" w:name="_Toc437328367"/>
      <w:bookmarkStart w:id="37" w:name="_Toc24918"/>
      <w:bookmarkStart w:id="38" w:name="_Toc31552"/>
      <w:r>
        <w:rPr>
          <w:b/>
          <w:bCs/>
          <w:sz w:val="24"/>
          <w:lang w:val="zh-CN"/>
        </w:rPr>
        <w:t>声环境影响分析结论</w:t>
      </w:r>
      <w:bookmarkEnd w:id="35"/>
      <w:bookmarkEnd w:id="36"/>
      <w:bookmarkEnd w:id="37"/>
      <w:bookmarkEnd w:id="38"/>
    </w:p>
    <w:p>
      <w:pPr>
        <w:spacing w:line="360" w:lineRule="auto"/>
        <w:ind w:firstLine="480" w:firstLineChars="200"/>
        <w:rPr>
          <w:sz w:val="24"/>
          <w:lang w:val="zh-CN"/>
        </w:rPr>
      </w:pPr>
      <w:r>
        <w:rPr>
          <w:sz w:val="24"/>
          <w:lang w:val="zh-CN"/>
        </w:rPr>
        <w:t>项目运行期噪声主要来源于油泵、加油机等设备运行时产生的机械噪声和进出车辆产生的交通噪声，通过选用低噪声设备、基础减振、合理布置、绿化吸声、禁止鸣笛等降噪措施降低噪声值，采取上述措施后，各厂界噪声均</w:t>
      </w:r>
      <w:r>
        <w:rPr>
          <w:rFonts w:hint="eastAsia"/>
          <w:sz w:val="24"/>
          <w:lang w:val="zh-CN"/>
        </w:rPr>
        <w:t>不</w:t>
      </w:r>
      <w:r>
        <w:rPr>
          <w:sz w:val="24"/>
          <w:lang w:val="zh-CN"/>
        </w:rPr>
        <w:t>符合《工业企业厂界环境噪声排放标准》(GB12348-2008)中2类</w:t>
      </w:r>
      <w:r>
        <w:rPr>
          <w:rFonts w:hint="eastAsia"/>
          <w:sz w:val="24"/>
          <w:lang w:val="zh-CN"/>
        </w:rPr>
        <w:t>、4</w:t>
      </w:r>
      <w:r>
        <w:rPr>
          <w:rFonts w:hint="eastAsia"/>
          <w:sz w:val="24"/>
          <w:lang w:val="en-US" w:eastAsia="zh-CN"/>
        </w:rPr>
        <w:t>a</w:t>
      </w:r>
      <w:r>
        <w:rPr>
          <w:rFonts w:hint="eastAsia"/>
          <w:sz w:val="24"/>
          <w:lang w:val="zh-CN"/>
        </w:rPr>
        <w:t>类</w:t>
      </w:r>
      <w:r>
        <w:rPr>
          <w:sz w:val="24"/>
          <w:lang w:val="zh-CN"/>
        </w:rPr>
        <w:t>标准，</w:t>
      </w:r>
      <w:r>
        <w:rPr>
          <w:rFonts w:hint="eastAsia"/>
          <w:sz w:val="24"/>
          <w:lang w:val="zh-CN"/>
        </w:rPr>
        <w:t>项目</w:t>
      </w:r>
      <w:r>
        <w:rPr>
          <w:sz w:val="24"/>
          <w:lang w:val="zh-CN"/>
        </w:rPr>
        <w:t>对周围环境影响较小。</w:t>
      </w:r>
    </w:p>
    <w:p>
      <w:pPr>
        <w:tabs>
          <w:tab w:val="left" w:pos="1050"/>
        </w:tabs>
        <w:spacing w:line="360" w:lineRule="auto"/>
        <w:ind w:firstLine="480"/>
        <w:rPr>
          <w:b/>
          <w:bCs/>
          <w:color w:val="auto"/>
          <w:sz w:val="24"/>
        </w:rPr>
      </w:pPr>
      <w:bookmarkStart w:id="39" w:name="_Toc466360757"/>
      <w:r>
        <w:rPr>
          <w:rFonts w:hint="eastAsia"/>
          <w:b/>
          <w:bCs/>
          <w:color w:val="auto"/>
          <w:sz w:val="24"/>
        </w:rPr>
        <w:t>废水污染防治措施</w:t>
      </w:r>
      <w:bookmarkEnd w:id="39"/>
    </w:p>
    <w:p>
      <w:pPr>
        <w:tabs>
          <w:tab w:val="left" w:pos="1050"/>
        </w:tabs>
        <w:spacing w:line="360" w:lineRule="auto"/>
        <w:ind w:firstLine="480"/>
        <w:rPr>
          <w:color w:val="FF0000"/>
          <w:lang w:val="zh-CN"/>
        </w:rPr>
      </w:pPr>
      <w:r>
        <w:rPr>
          <w:color w:val="FF0000"/>
          <w:sz w:val="24"/>
        </w:rPr>
        <w:t>本项目无生产废水产生。</w:t>
      </w:r>
      <w:r>
        <w:rPr>
          <w:rFonts w:hint="eastAsia"/>
          <w:color w:val="FF0000"/>
          <w:sz w:val="24"/>
        </w:rPr>
        <w:t>地面冲洗水经隔油沉淀处理后与生活污水混合纳入市政污水管网</w:t>
      </w:r>
      <w:r>
        <w:rPr>
          <w:color w:val="FF0000"/>
          <w:sz w:val="24"/>
        </w:rPr>
        <w:t>。生活污水经</w:t>
      </w:r>
      <w:r>
        <w:rPr>
          <w:rFonts w:hint="eastAsia"/>
          <w:color w:val="FF0000"/>
          <w:sz w:val="24"/>
        </w:rPr>
        <w:t>化粪池处理后，排入市政污水管网。</w:t>
      </w:r>
      <w:r>
        <w:rPr>
          <w:color w:val="FF0000"/>
          <w:sz w:val="24"/>
        </w:rPr>
        <w:t>对地表水的水质影响较小。</w:t>
      </w:r>
    </w:p>
    <w:p>
      <w:pPr>
        <w:spacing w:line="360" w:lineRule="auto"/>
        <w:ind w:firstLine="482" w:firstLineChars="200"/>
        <w:rPr>
          <w:b/>
          <w:bCs/>
          <w:sz w:val="24"/>
          <w:lang w:val="zh-CN"/>
        </w:rPr>
      </w:pPr>
      <w:bookmarkStart w:id="40" w:name="_Toc14208"/>
      <w:bookmarkStart w:id="41" w:name="_Toc20165"/>
      <w:bookmarkStart w:id="42" w:name="_Toc13718"/>
      <w:bookmarkStart w:id="43" w:name="_Toc437328368"/>
      <w:r>
        <w:rPr>
          <w:b/>
          <w:bCs/>
          <w:sz w:val="24"/>
          <w:lang w:val="zh-CN"/>
        </w:rPr>
        <w:t>固体废物环境影响分析结论</w:t>
      </w:r>
      <w:bookmarkEnd w:id="40"/>
      <w:bookmarkEnd w:id="41"/>
      <w:bookmarkEnd w:id="42"/>
      <w:bookmarkEnd w:id="43"/>
    </w:p>
    <w:p>
      <w:pPr>
        <w:spacing w:line="360" w:lineRule="auto"/>
        <w:ind w:firstLine="480" w:firstLineChars="200"/>
        <w:rPr>
          <w:sz w:val="24"/>
          <w:lang w:val="zh-CN"/>
        </w:rPr>
      </w:pPr>
      <w:r>
        <w:rPr>
          <w:sz w:val="24"/>
          <w:lang w:val="zh-CN"/>
        </w:rPr>
        <w:t>项目产生的生活垃圾，定点放置、集中收集，由环卫部门及时清运至生活垃圾填埋场处理；每年清理两次油罐产生的废油及油渣属于危险废物，委托有危险废物处置资质单位处置。项目产生的固废经上述处理后，做到零排放，对周围环境影响较小。</w:t>
      </w:r>
    </w:p>
    <w:p>
      <w:pPr>
        <w:spacing w:line="360" w:lineRule="auto"/>
        <w:ind w:firstLine="482" w:firstLineChars="200"/>
        <w:rPr>
          <w:b/>
          <w:bCs/>
          <w:sz w:val="24"/>
          <w:lang w:val="zh-CN"/>
        </w:rPr>
      </w:pPr>
      <w:bookmarkStart w:id="44" w:name="_Toc11171"/>
      <w:bookmarkStart w:id="45" w:name="_Toc437328369"/>
      <w:bookmarkStart w:id="46" w:name="_Toc13361"/>
      <w:bookmarkStart w:id="47" w:name="_Toc18503"/>
      <w:r>
        <w:rPr>
          <w:b/>
          <w:bCs/>
          <w:sz w:val="24"/>
          <w:lang w:val="zh-CN"/>
        </w:rPr>
        <w:t>环境风险影响分析结论</w:t>
      </w:r>
      <w:bookmarkEnd w:id="44"/>
      <w:bookmarkEnd w:id="45"/>
      <w:bookmarkEnd w:id="46"/>
      <w:bookmarkEnd w:id="47"/>
    </w:p>
    <w:p>
      <w:pPr>
        <w:tabs>
          <w:tab w:val="left" w:pos="1050"/>
        </w:tabs>
        <w:spacing w:line="360" w:lineRule="auto"/>
        <w:ind w:firstLine="480"/>
        <w:rPr>
          <w:color w:val="FF0000"/>
          <w:sz w:val="24"/>
        </w:rPr>
      </w:pPr>
      <w:bookmarkStart w:id="48" w:name="_Toc23471"/>
      <w:bookmarkStart w:id="49" w:name="_Toc13032"/>
      <w:bookmarkStart w:id="50" w:name="_Toc20990"/>
      <w:bookmarkStart w:id="51" w:name="_Toc9147"/>
      <w:r>
        <w:rPr>
          <w:rFonts w:hint="eastAsia"/>
          <w:color w:val="FF0000"/>
          <w:sz w:val="24"/>
        </w:rPr>
        <w:t xml:space="preserve">根据环境现状和污染源监测： </w:t>
      </w:r>
    </w:p>
    <w:p>
      <w:pPr>
        <w:tabs>
          <w:tab w:val="left" w:pos="1050"/>
        </w:tabs>
        <w:spacing w:line="360" w:lineRule="auto"/>
        <w:ind w:firstLine="480"/>
        <w:rPr>
          <w:color w:val="FF0000"/>
          <w:sz w:val="24"/>
        </w:rPr>
      </w:pPr>
      <w:r>
        <w:rPr>
          <w:rFonts w:hint="eastAsia"/>
          <w:color w:val="FF0000"/>
          <w:sz w:val="24"/>
        </w:rPr>
        <w:t>1、经</w:t>
      </w:r>
      <w:r>
        <w:rPr>
          <w:color w:val="FF0000"/>
          <w:sz w:val="24"/>
        </w:rPr>
        <w:t>卸油油气回收系统</w:t>
      </w:r>
      <w:r>
        <w:rPr>
          <w:rFonts w:hint="eastAsia"/>
          <w:color w:val="FF0000"/>
          <w:sz w:val="24"/>
        </w:rPr>
        <w:t>及加油枪油气回收系统后，各排放口排放浓度小于《加油站大气污染物排放标准》（GB20952-2007）中处理装置的油气排放浓度要求。</w:t>
      </w:r>
    </w:p>
    <w:p>
      <w:pPr>
        <w:tabs>
          <w:tab w:val="left" w:pos="1050"/>
        </w:tabs>
        <w:spacing w:line="360" w:lineRule="auto"/>
        <w:ind w:firstLine="480"/>
        <w:rPr>
          <w:color w:val="FF0000"/>
          <w:sz w:val="24"/>
        </w:rPr>
      </w:pPr>
      <w:r>
        <w:rPr>
          <w:rFonts w:hint="eastAsia"/>
          <w:color w:val="FF0000"/>
          <w:sz w:val="24"/>
        </w:rPr>
        <w:t>备用发电机产生的废气排放速率均</w:t>
      </w:r>
      <w:r>
        <w:rPr>
          <w:color w:val="FF0000"/>
          <w:sz w:val="24"/>
        </w:rPr>
        <w:t>可满足《非道路移动机械用柴油机排气污染物排放限值及测量方法（中国三、四阶段）》</w:t>
      </w:r>
      <w:r>
        <w:rPr>
          <w:rFonts w:hint="eastAsia"/>
          <w:color w:val="FF0000"/>
          <w:sz w:val="24"/>
        </w:rPr>
        <w:t>（</w:t>
      </w:r>
      <w:r>
        <w:rPr>
          <w:color w:val="FF0000"/>
          <w:sz w:val="24"/>
        </w:rPr>
        <w:t>GB20891-2014</w:t>
      </w:r>
      <w:r>
        <w:rPr>
          <w:rFonts w:hint="eastAsia"/>
          <w:color w:val="FF0000"/>
          <w:sz w:val="24"/>
        </w:rPr>
        <w:t>）</w:t>
      </w:r>
      <w:r>
        <w:rPr>
          <w:color w:val="FF0000"/>
          <w:sz w:val="24"/>
        </w:rPr>
        <w:t>中第三阶段排放标准</w:t>
      </w:r>
      <w:r>
        <w:rPr>
          <w:rFonts w:hint="eastAsia"/>
          <w:color w:val="FF0000"/>
          <w:sz w:val="24"/>
        </w:rPr>
        <w:t xml:space="preserve">。 </w:t>
      </w:r>
    </w:p>
    <w:p>
      <w:pPr>
        <w:tabs>
          <w:tab w:val="left" w:pos="1050"/>
        </w:tabs>
        <w:spacing w:line="360" w:lineRule="auto"/>
        <w:ind w:firstLine="480"/>
        <w:rPr>
          <w:color w:val="FF0000"/>
          <w:sz w:val="24"/>
        </w:rPr>
      </w:pPr>
      <w:r>
        <w:rPr>
          <w:rFonts w:hint="eastAsia"/>
          <w:color w:val="FF0000"/>
          <w:sz w:val="24"/>
        </w:rPr>
        <w:t>厂界四周非甲烷总烃浓度能够满足《大气污染物综合排放标准》（GB16297-1996）表2中无组织排放监控浓度限值要求。</w:t>
      </w:r>
    </w:p>
    <w:p>
      <w:pPr>
        <w:tabs>
          <w:tab w:val="left" w:pos="1050"/>
        </w:tabs>
        <w:spacing w:line="360" w:lineRule="auto"/>
        <w:ind w:firstLine="480"/>
        <w:rPr>
          <w:color w:val="FF0000"/>
          <w:sz w:val="24"/>
        </w:rPr>
      </w:pPr>
      <w:r>
        <w:rPr>
          <w:rFonts w:hint="eastAsia"/>
          <w:color w:val="FF0000"/>
          <w:sz w:val="24"/>
        </w:rPr>
        <w:t>2、本项目无生产废水产生，地面冲洗水经隔油沉淀后与生活污水混合纳入市政污水管网</w:t>
      </w:r>
      <w:r>
        <w:rPr>
          <w:color w:val="FF0000"/>
          <w:sz w:val="24"/>
        </w:rPr>
        <w:t>。生活污水经</w:t>
      </w:r>
      <w:r>
        <w:rPr>
          <w:rFonts w:hint="eastAsia"/>
          <w:color w:val="FF0000"/>
          <w:sz w:val="24"/>
        </w:rPr>
        <w:t>化粪池处理后，排入市政污水管网。</w:t>
      </w:r>
    </w:p>
    <w:p>
      <w:pPr>
        <w:tabs>
          <w:tab w:val="left" w:pos="1050"/>
        </w:tabs>
        <w:spacing w:line="360" w:lineRule="auto"/>
        <w:ind w:firstLine="480"/>
        <w:rPr>
          <w:color w:val="FF0000"/>
          <w:sz w:val="24"/>
        </w:rPr>
      </w:pPr>
      <w:r>
        <w:rPr>
          <w:rFonts w:hint="eastAsia"/>
          <w:color w:val="FF0000"/>
          <w:sz w:val="24"/>
        </w:rPr>
        <w:t xml:space="preserve">3、厂界噪声排放满足《工业企业厂界环境噪声排放标准》(GB12348-2008)中 3类标准； </w:t>
      </w:r>
    </w:p>
    <w:p>
      <w:pPr>
        <w:tabs>
          <w:tab w:val="left" w:pos="1050"/>
        </w:tabs>
        <w:spacing w:line="360" w:lineRule="auto"/>
        <w:ind w:firstLine="480"/>
        <w:rPr>
          <w:color w:val="FF0000"/>
          <w:sz w:val="24"/>
        </w:rPr>
      </w:pPr>
      <w:r>
        <w:rPr>
          <w:rFonts w:hint="eastAsia"/>
          <w:color w:val="FF0000"/>
          <w:sz w:val="24"/>
        </w:rPr>
        <w:t xml:space="preserve">4、各类固废均可资源化处理，对环境影响较小。 </w:t>
      </w:r>
    </w:p>
    <w:p>
      <w:pPr>
        <w:tabs>
          <w:tab w:val="left" w:pos="1050"/>
        </w:tabs>
        <w:spacing w:line="360" w:lineRule="auto"/>
        <w:ind w:firstLine="480"/>
        <w:rPr>
          <w:color w:val="FF0000"/>
          <w:sz w:val="24"/>
        </w:rPr>
      </w:pPr>
      <w:r>
        <w:rPr>
          <w:rFonts w:hint="eastAsia"/>
          <w:color w:val="FF0000"/>
          <w:sz w:val="24"/>
        </w:rPr>
        <w:t>综上所述，通过现场核查和实际监测结果，项目生产过程中废气、噪声、固废全部采取完善可行的污染防治措施和废物综合利用措施，并治理后可以达标排放、固体废物可以合理处理处置。</w:t>
      </w:r>
    </w:p>
    <w:p>
      <w:pPr>
        <w:tabs>
          <w:tab w:val="left" w:pos="1050"/>
        </w:tabs>
        <w:spacing w:line="360" w:lineRule="auto"/>
        <w:ind w:firstLine="480"/>
        <w:rPr>
          <w:color w:val="FF0000"/>
          <w:sz w:val="24"/>
        </w:rPr>
      </w:pPr>
      <w:bookmarkStart w:id="52" w:name="_Toc466360761"/>
      <w:r>
        <w:rPr>
          <w:rFonts w:hint="eastAsia"/>
          <w:color w:val="FF0000"/>
          <w:sz w:val="24"/>
        </w:rPr>
        <w:t>污染防治</w:t>
      </w:r>
      <w:r>
        <w:rPr>
          <w:color w:val="FF0000"/>
          <w:sz w:val="24"/>
        </w:rPr>
        <w:t>措施</w:t>
      </w:r>
      <w:r>
        <w:rPr>
          <w:rFonts w:hint="eastAsia"/>
          <w:color w:val="FF0000"/>
          <w:sz w:val="24"/>
        </w:rPr>
        <w:t>评价结论及改进措施</w:t>
      </w:r>
      <w:bookmarkEnd w:id="52"/>
    </w:p>
    <w:p>
      <w:pPr>
        <w:tabs>
          <w:tab w:val="left" w:pos="1050"/>
        </w:tabs>
        <w:spacing w:line="360" w:lineRule="auto"/>
        <w:ind w:firstLine="480"/>
        <w:rPr>
          <w:color w:val="FF0000"/>
          <w:sz w:val="24"/>
        </w:rPr>
      </w:pPr>
      <w:r>
        <w:rPr>
          <w:rFonts w:hint="eastAsia"/>
          <w:color w:val="FF0000"/>
          <w:sz w:val="24"/>
        </w:rPr>
        <w:t xml:space="preserve">通过以上分析，营运期的废气、噪声、固体废物的处理措施在经济、技术上可行，措施有效。但为了更好的满足相应的环境质量标准要求，现提出部分进一步减轻环境影响的意见： </w:t>
      </w:r>
    </w:p>
    <w:p>
      <w:pPr>
        <w:tabs>
          <w:tab w:val="left" w:pos="1050"/>
        </w:tabs>
        <w:spacing w:line="360" w:lineRule="auto"/>
        <w:ind w:firstLine="480"/>
        <w:rPr>
          <w:color w:val="FF0000"/>
          <w:sz w:val="24"/>
        </w:rPr>
      </w:pPr>
      <w:r>
        <w:rPr>
          <w:rFonts w:hint="eastAsia"/>
          <w:color w:val="FF0000"/>
          <w:sz w:val="24"/>
        </w:rPr>
        <w:t xml:space="preserve">废气：定期对油气回收系统进行维护，禁止事故排放。 </w:t>
      </w:r>
    </w:p>
    <w:p>
      <w:pPr>
        <w:tabs>
          <w:tab w:val="left" w:pos="1050"/>
        </w:tabs>
        <w:spacing w:line="360" w:lineRule="auto"/>
        <w:ind w:firstLine="480"/>
        <w:rPr>
          <w:color w:val="FF0000"/>
          <w:sz w:val="24"/>
        </w:rPr>
      </w:pPr>
      <w:r>
        <w:rPr>
          <w:rFonts w:hint="eastAsia"/>
          <w:color w:val="FF0000"/>
          <w:sz w:val="24"/>
        </w:rPr>
        <w:t xml:space="preserve">废水：定期对化粪池进行清理。 </w:t>
      </w:r>
    </w:p>
    <w:p>
      <w:pPr>
        <w:tabs>
          <w:tab w:val="left" w:pos="1050"/>
        </w:tabs>
        <w:spacing w:line="360" w:lineRule="auto"/>
        <w:ind w:firstLine="480"/>
        <w:rPr>
          <w:color w:val="FF0000"/>
          <w:sz w:val="24"/>
        </w:rPr>
      </w:pPr>
      <w:r>
        <w:rPr>
          <w:rFonts w:hint="eastAsia"/>
          <w:color w:val="FF0000"/>
          <w:sz w:val="24"/>
        </w:rPr>
        <w:t xml:space="preserve">噪声：保证生产设备在正常工况下运作。 </w:t>
      </w:r>
    </w:p>
    <w:p>
      <w:pPr>
        <w:spacing w:line="360" w:lineRule="auto"/>
        <w:ind w:firstLine="480" w:firstLineChars="200"/>
        <w:rPr>
          <w:rFonts w:hint="eastAsia"/>
          <w:color w:val="FF0000"/>
          <w:sz w:val="24"/>
        </w:rPr>
      </w:pPr>
      <w:r>
        <w:rPr>
          <w:rFonts w:hint="eastAsia"/>
          <w:color w:val="FF0000"/>
          <w:sz w:val="24"/>
        </w:rPr>
        <w:t>固废：加强危险固废管理，建立生活垃圾分类收集制度，禁止随意丢弃。</w:t>
      </w:r>
    </w:p>
    <w:p>
      <w:pPr>
        <w:spacing w:line="360" w:lineRule="auto"/>
        <w:ind w:firstLine="482" w:firstLineChars="200"/>
        <w:rPr>
          <w:b/>
          <w:bCs/>
          <w:color w:val="FF0000"/>
          <w:sz w:val="24"/>
          <w:lang w:val="zh-CN"/>
        </w:rPr>
      </w:pPr>
      <w:r>
        <w:rPr>
          <w:b/>
          <w:bCs/>
          <w:color w:val="FF0000"/>
          <w:sz w:val="24"/>
          <w:lang w:val="zh-CN"/>
        </w:rPr>
        <w:t>措施</w:t>
      </w:r>
      <w:bookmarkEnd w:id="48"/>
      <w:bookmarkEnd w:id="49"/>
      <w:bookmarkEnd w:id="50"/>
      <w:bookmarkEnd w:id="51"/>
    </w:p>
    <w:p>
      <w:pPr>
        <w:spacing w:line="360" w:lineRule="auto"/>
        <w:ind w:firstLine="480" w:firstLineChars="200"/>
        <w:rPr>
          <w:color w:val="FF0000"/>
          <w:sz w:val="24"/>
          <w:lang w:val="zh-CN"/>
        </w:rPr>
      </w:pPr>
      <w:r>
        <w:rPr>
          <w:color w:val="FF0000"/>
          <w:sz w:val="24"/>
          <w:lang w:val="zh-CN"/>
        </w:rPr>
        <w:t>项目的环保措施要与项目主体工程同时设计、同时施工、同时投产，确保各项防治措施落实到位，实现经济效益、社会效益与环境效益的统一与协调发展。</w:t>
      </w:r>
    </w:p>
    <w:p>
      <w:pPr>
        <w:spacing w:line="360" w:lineRule="auto"/>
        <w:ind w:firstLine="480" w:firstLineChars="200"/>
        <w:rPr>
          <w:color w:val="FF0000"/>
          <w:sz w:val="24"/>
          <w:lang w:val="zh-CN"/>
        </w:rPr>
      </w:pPr>
      <w:r>
        <w:rPr>
          <w:color w:val="FF0000"/>
          <w:sz w:val="24"/>
          <w:lang w:val="zh-CN"/>
        </w:rPr>
        <w:t>确保油气</w:t>
      </w:r>
      <w:r>
        <w:rPr>
          <w:rFonts w:hint="eastAsia"/>
          <w:color w:val="FF0000"/>
          <w:sz w:val="24"/>
          <w:lang w:val="zh-CN"/>
        </w:rPr>
        <w:t>三级</w:t>
      </w:r>
      <w:r>
        <w:rPr>
          <w:color w:val="FF0000"/>
          <w:sz w:val="24"/>
          <w:lang w:val="zh-CN"/>
        </w:rPr>
        <w:t>回收系统的稳定正常运行，保证厂界无组织废气达标排放。</w:t>
      </w:r>
    </w:p>
    <w:p>
      <w:pPr>
        <w:spacing w:line="360" w:lineRule="auto"/>
        <w:ind w:firstLine="480" w:firstLineChars="200"/>
        <w:rPr>
          <w:color w:val="FF0000"/>
          <w:sz w:val="24"/>
          <w:lang w:val="zh-CN"/>
        </w:rPr>
      </w:pPr>
      <w:r>
        <w:rPr>
          <w:color w:val="FF0000"/>
          <w:sz w:val="24"/>
          <w:lang w:val="zh-CN"/>
        </w:rPr>
        <w:t>⑵确保生活污水排入市政污水管网，不外排，对周围地表水环境影响较小。</w:t>
      </w:r>
    </w:p>
    <w:p>
      <w:pPr>
        <w:spacing w:line="360" w:lineRule="auto"/>
        <w:ind w:firstLine="480" w:firstLineChars="200"/>
        <w:rPr>
          <w:color w:val="FF0000"/>
          <w:sz w:val="24"/>
          <w:lang w:val="zh-CN"/>
        </w:rPr>
      </w:pPr>
      <w:r>
        <w:rPr>
          <w:color w:val="FF0000"/>
          <w:sz w:val="24"/>
          <w:lang w:val="zh-CN"/>
        </w:rPr>
        <w:t>⑶做好加油机械设备的基础减振处理，做好厂区绿化。</w:t>
      </w:r>
    </w:p>
    <w:p>
      <w:pPr>
        <w:spacing w:line="360" w:lineRule="auto"/>
        <w:ind w:firstLine="480" w:firstLineChars="200"/>
        <w:rPr>
          <w:color w:val="FF0000"/>
          <w:sz w:val="24"/>
          <w:lang w:val="zh-CN"/>
        </w:rPr>
      </w:pPr>
      <w:r>
        <w:rPr>
          <w:color w:val="FF0000"/>
          <w:sz w:val="24"/>
          <w:lang w:val="zh-CN"/>
        </w:rPr>
        <w:t>⑷保持生活垃圾堆放点定期消毒、清理，防止病菌滋生、疾病的传播；保证废油及油渣由有危险废物处置资质的单位处理。</w:t>
      </w:r>
    </w:p>
    <w:p>
      <w:pPr>
        <w:spacing w:line="360" w:lineRule="auto"/>
        <w:ind w:firstLine="482" w:firstLineChars="200"/>
        <w:rPr>
          <w:b/>
          <w:bCs/>
          <w:sz w:val="24"/>
          <w:lang w:val="zh-CN"/>
        </w:rPr>
      </w:pPr>
      <w:bookmarkStart w:id="53" w:name="_Toc14359"/>
      <w:bookmarkStart w:id="54" w:name="_Toc6088"/>
      <w:bookmarkStart w:id="55" w:name="_Toc7957"/>
      <w:bookmarkStart w:id="56" w:name="_Toc4675"/>
      <w:r>
        <w:rPr>
          <w:b/>
          <w:bCs/>
          <w:sz w:val="24"/>
          <w:lang w:val="zh-CN"/>
        </w:rPr>
        <w:t>建议</w:t>
      </w:r>
      <w:bookmarkEnd w:id="53"/>
      <w:bookmarkEnd w:id="54"/>
      <w:bookmarkEnd w:id="55"/>
      <w:bookmarkEnd w:id="56"/>
    </w:p>
    <w:p>
      <w:pPr>
        <w:spacing w:line="360" w:lineRule="auto"/>
        <w:ind w:firstLine="480" w:firstLineChars="200"/>
        <w:rPr>
          <w:sz w:val="24"/>
          <w:lang w:val="zh-CN"/>
        </w:rPr>
      </w:pPr>
      <w:r>
        <w:rPr>
          <w:sz w:val="24"/>
          <w:lang w:val="zh-CN"/>
        </w:rPr>
        <w:t>1、企业应严格落实此次评价中提到各项环保措施，确保环保设施稳定运行。</w:t>
      </w:r>
    </w:p>
    <w:p>
      <w:pPr>
        <w:spacing w:line="360" w:lineRule="auto"/>
        <w:ind w:firstLine="480" w:firstLineChars="200"/>
        <w:rPr>
          <w:sz w:val="24"/>
          <w:lang w:val="zh-CN"/>
        </w:rPr>
      </w:pPr>
      <w:r>
        <w:rPr>
          <w:rFonts w:hint="eastAsia"/>
          <w:sz w:val="24"/>
          <w:lang w:val="zh-CN"/>
        </w:rPr>
        <w:t>2</w:t>
      </w:r>
      <w:r>
        <w:rPr>
          <w:sz w:val="24"/>
          <w:lang w:val="zh-CN"/>
        </w:rPr>
        <w:t>、企业在进行罐体修理等动火作业时，应确保罐体内油料清理完毕，防止因动火引燃罐内油气产生爆炸事故。</w:t>
      </w:r>
    </w:p>
    <w:p>
      <w:pPr>
        <w:autoSpaceDE w:val="0"/>
        <w:autoSpaceDN w:val="0"/>
        <w:adjustRightInd w:val="0"/>
        <w:snapToGrid w:val="0"/>
        <w:spacing w:before="312" w:beforeLines="100" w:after="156" w:afterLines="50" w:line="360" w:lineRule="auto"/>
        <w:jc w:val="left"/>
        <w:outlineLvl w:val="0"/>
        <w:rPr>
          <w:sz w:val="24"/>
          <w:lang w:val="zh-CN"/>
        </w:rPr>
      </w:pPr>
      <w:r>
        <w:rPr>
          <w:rFonts w:hint="eastAsia"/>
          <w:sz w:val="24"/>
          <w:lang w:val="zh-CN"/>
        </w:rPr>
        <w:t>3</w:t>
      </w:r>
      <w:r>
        <w:rPr>
          <w:sz w:val="24"/>
          <w:lang w:val="zh-CN"/>
        </w:rPr>
        <w:t>、建设单位应制定完善的《环境风险应急预案》，并组织专家审查后，报送环保部门备案。</w:t>
      </w:r>
    </w:p>
    <w:p>
      <w:pPr>
        <w:autoSpaceDE w:val="0"/>
        <w:autoSpaceDN w:val="0"/>
        <w:adjustRightInd w:val="0"/>
        <w:snapToGrid w:val="0"/>
        <w:spacing w:before="312" w:beforeLines="100" w:after="156" w:afterLines="50" w:line="360" w:lineRule="auto"/>
        <w:jc w:val="left"/>
        <w:outlineLvl w:val="0"/>
        <w:rPr>
          <w:b/>
          <w:bCs/>
          <w:color w:val="000000" w:themeColor="text1"/>
          <w:sz w:val="24"/>
        </w:rPr>
      </w:pPr>
      <w:r>
        <w:rPr>
          <w:b/>
          <w:bCs/>
          <w:color w:val="000000" w:themeColor="text1"/>
          <w:sz w:val="24"/>
        </w:rPr>
        <w:t>3.7 现有应急物资与装备、救援队伍情况</w:t>
      </w:r>
      <w:bookmarkEnd w:id="22"/>
    </w:p>
    <w:p>
      <w:pPr>
        <w:pStyle w:val="13"/>
        <w:spacing w:line="360" w:lineRule="auto"/>
        <w:jc w:val="both"/>
        <w:rPr>
          <w:rFonts w:ascii="Times New Roman" w:hAnsi="Times New Roman"/>
          <w:b/>
          <w:bCs/>
          <w:color w:val="000000" w:themeColor="text1"/>
        </w:rPr>
      </w:pPr>
      <w:r>
        <w:rPr>
          <w:rFonts w:ascii="Times New Roman" w:hAnsi="Times New Roman"/>
          <w:b/>
          <w:bCs/>
          <w:color w:val="000000" w:themeColor="text1"/>
        </w:rPr>
        <w:t>1、主要消防器材</w:t>
      </w:r>
    </w:p>
    <w:p>
      <w:pPr>
        <w:spacing w:line="360" w:lineRule="auto"/>
        <w:ind w:firstLine="422" w:firstLineChars="200"/>
        <w:jc w:val="center"/>
        <w:rPr>
          <w:b/>
          <w:bCs/>
          <w:color w:val="000000" w:themeColor="text1"/>
          <w:szCs w:val="21"/>
        </w:rPr>
      </w:pPr>
      <w:r>
        <w:rPr>
          <w:rFonts w:hint="eastAsia"/>
          <w:b/>
          <w:bCs/>
          <w:color w:val="000000" w:themeColor="text1"/>
          <w:szCs w:val="21"/>
          <w:lang w:val="zh-CN"/>
        </w:rPr>
        <w:t>表</w:t>
      </w:r>
      <w:r>
        <w:rPr>
          <w:rFonts w:hint="eastAsia"/>
          <w:b/>
          <w:bCs/>
          <w:color w:val="000000" w:themeColor="text1"/>
          <w:szCs w:val="21"/>
        </w:rPr>
        <w:t xml:space="preserve">3-6 </w:t>
      </w:r>
      <w:r>
        <w:rPr>
          <w:rFonts w:hint="eastAsia"/>
          <w:b/>
          <w:bCs/>
          <w:color w:val="000000" w:themeColor="text1"/>
          <w:szCs w:val="21"/>
          <w:lang w:val="zh-CN"/>
        </w:rPr>
        <w:t>消防器材</w:t>
      </w:r>
    </w:p>
    <w:tbl>
      <w:tblPr>
        <w:tblStyle w:val="15"/>
        <w:tblW w:w="8946" w:type="dxa"/>
        <w:jc w:val="center"/>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Layout w:type="fixed"/>
        <w:tblCellMar>
          <w:top w:w="0" w:type="dxa"/>
          <w:left w:w="108" w:type="dxa"/>
          <w:bottom w:w="0" w:type="dxa"/>
          <w:right w:w="108" w:type="dxa"/>
        </w:tblCellMar>
      </w:tblPr>
      <w:tblGrid>
        <w:gridCol w:w="761"/>
        <w:gridCol w:w="1686"/>
        <w:gridCol w:w="3543"/>
        <w:gridCol w:w="811"/>
        <w:gridCol w:w="749"/>
        <w:gridCol w:w="1396"/>
      </w:tblGrid>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jc w:val="center"/>
        </w:trPr>
        <w:tc>
          <w:tcPr>
            <w:tcW w:w="761" w:type="dxa"/>
            <w:tcBorders>
              <w:tl2br w:val="nil"/>
              <w:tr2bl w:val="nil"/>
            </w:tcBorders>
          </w:tcPr>
          <w:p>
            <w:pPr>
              <w:spacing w:line="360" w:lineRule="auto"/>
              <w:rPr>
                <w:color w:val="000000" w:themeColor="text1"/>
                <w:kern w:val="0"/>
                <w:szCs w:val="21"/>
              </w:rPr>
            </w:pPr>
            <w:r>
              <w:rPr>
                <w:rFonts w:hint="eastAsia"/>
                <w:color w:val="000000" w:themeColor="text1"/>
                <w:kern w:val="0"/>
                <w:szCs w:val="21"/>
              </w:rPr>
              <w:t>序号</w:t>
            </w:r>
          </w:p>
        </w:tc>
        <w:tc>
          <w:tcPr>
            <w:tcW w:w="1686" w:type="dxa"/>
            <w:tcBorders>
              <w:tl2br w:val="nil"/>
              <w:tr2bl w:val="nil"/>
            </w:tcBorders>
          </w:tcPr>
          <w:p>
            <w:pPr>
              <w:spacing w:line="360" w:lineRule="auto"/>
              <w:ind w:firstLine="415"/>
              <w:jc w:val="center"/>
              <w:rPr>
                <w:color w:val="000000" w:themeColor="text1"/>
                <w:kern w:val="0"/>
                <w:szCs w:val="21"/>
              </w:rPr>
            </w:pPr>
            <w:r>
              <w:rPr>
                <w:rFonts w:hint="eastAsia"/>
                <w:color w:val="000000" w:themeColor="text1"/>
                <w:kern w:val="0"/>
                <w:szCs w:val="21"/>
              </w:rPr>
              <w:t>名称</w:t>
            </w:r>
          </w:p>
        </w:tc>
        <w:tc>
          <w:tcPr>
            <w:tcW w:w="3543" w:type="dxa"/>
            <w:tcBorders>
              <w:tl2br w:val="nil"/>
              <w:tr2bl w:val="nil"/>
            </w:tcBorders>
          </w:tcPr>
          <w:p>
            <w:pPr>
              <w:spacing w:line="360" w:lineRule="auto"/>
              <w:ind w:firstLine="415"/>
              <w:jc w:val="center"/>
              <w:rPr>
                <w:color w:val="000000" w:themeColor="text1"/>
                <w:kern w:val="0"/>
                <w:szCs w:val="21"/>
              </w:rPr>
            </w:pPr>
            <w:r>
              <w:rPr>
                <w:rFonts w:hint="eastAsia"/>
                <w:color w:val="000000" w:themeColor="text1"/>
                <w:kern w:val="0"/>
                <w:szCs w:val="21"/>
              </w:rPr>
              <w:t>规格</w:t>
            </w:r>
          </w:p>
        </w:tc>
        <w:tc>
          <w:tcPr>
            <w:tcW w:w="811" w:type="dxa"/>
            <w:tcBorders>
              <w:tl2br w:val="nil"/>
              <w:tr2bl w:val="nil"/>
            </w:tcBorders>
          </w:tcPr>
          <w:p>
            <w:pPr>
              <w:spacing w:line="360" w:lineRule="auto"/>
              <w:rPr>
                <w:color w:val="000000" w:themeColor="text1"/>
                <w:kern w:val="0"/>
                <w:szCs w:val="21"/>
              </w:rPr>
            </w:pPr>
            <w:r>
              <w:rPr>
                <w:rFonts w:hint="eastAsia"/>
                <w:color w:val="000000" w:themeColor="text1"/>
                <w:kern w:val="0"/>
                <w:szCs w:val="21"/>
              </w:rPr>
              <w:t>单位</w:t>
            </w:r>
          </w:p>
        </w:tc>
        <w:tc>
          <w:tcPr>
            <w:tcW w:w="749" w:type="dxa"/>
            <w:tcBorders>
              <w:tl2br w:val="nil"/>
              <w:tr2bl w:val="nil"/>
            </w:tcBorders>
          </w:tcPr>
          <w:p>
            <w:pPr>
              <w:spacing w:line="360" w:lineRule="auto"/>
              <w:rPr>
                <w:color w:val="000000" w:themeColor="text1"/>
                <w:kern w:val="0"/>
                <w:szCs w:val="21"/>
              </w:rPr>
            </w:pPr>
            <w:r>
              <w:rPr>
                <w:rFonts w:hint="eastAsia"/>
                <w:color w:val="000000" w:themeColor="text1"/>
                <w:kern w:val="0"/>
                <w:szCs w:val="21"/>
              </w:rPr>
              <w:t>数量</w:t>
            </w:r>
          </w:p>
        </w:tc>
        <w:tc>
          <w:tcPr>
            <w:tcW w:w="1396" w:type="dxa"/>
            <w:tcBorders>
              <w:tl2br w:val="nil"/>
              <w:tr2bl w:val="nil"/>
            </w:tcBorders>
            <w:vAlign w:val="center"/>
          </w:tcPr>
          <w:p>
            <w:pPr>
              <w:spacing w:line="360" w:lineRule="auto"/>
              <w:rPr>
                <w:color w:val="000000" w:themeColor="text1"/>
                <w:kern w:val="0"/>
                <w:szCs w:val="21"/>
              </w:rPr>
            </w:pPr>
            <w:r>
              <w:rPr>
                <w:rFonts w:hint="eastAsia"/>
                <w:color w:val="000000" w:themeColor="text1"/>
                <w:kern w:val="0"/>
                <w:szCs w:val="21"/>
              </w:rPr>
              <w:t>是否有效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468" w:hRule="atLeast"/>
          <w:jc w:val="center"/>
        </w:trPr>
        <w:tc>
          <w:tcPr>
            <w:tcW w:w="761" w:type="dxa"/>
            <w:tcBorders>
              <w:tl2br w:val="nil"/>
              <w:tr2bl w:val="nil"/>
            </w:tcBorders>
          </w:tcPr>
          <w:p>
            <w:pPr>
              <w:spacing w:line="360" w:lineRule="auto"/>
              <w:ind w:firstLine="415"/>
              <w:jc w:val="center"/>
              <w:rPr>
                <w:color w:val="000000" w:themeColor="text1"/>
                <w:kern w:val="0"/>
                <w:szCs w:val="21"/>
              </w:rPr>
            </w:pPr>
            <w:r>
              <w:rPr>
                <w:color w:val="000000" w:themeColor="text1"/>
                <w:kern w:val="0"/>
                <w:szCs w:val="21"/>
              </w:rPr>
              <w:t>1</w:t>
            </w:r>
          </w:p>
        </w:tc>
        <w:tc>
          <w:tcPr>
            <w:tcW w:w="1686" w:type="dxa"/>
            <w:tcBorders>
              <w:tl2br w:val="nil"/>
              <w:tr2bl w:val="nil"/>
            </w:tcBorders>
          </w:tcPr>
          <w:p>
            <w:pPr>
              <w:spacing w:line="360" w:lineRule="auto"/>
              <w:rPr>
                <w:color w:val="000000" w:themeColor="text1"/>
                <w:kern w:val="0"/>
                <w:szCs w:val="21"/>
              </w:rPr>
            </w:pPr>
            <w:r>
              <w:rPr>
                <w:rFonts w:hint="eastAsia"/>
                <w:color w:val="000000" w:themeColor="text1"/>
                <w:kern w:val="0"/>
                <w:szCs w:val="21"/>
              </w:rPr>
              <w:t>手提式灭火器</w:t>
            </w:r>
          </w:p>
        </w:tc>
        <w:tc>
          <w:tcPr>
            <w:tcW w:w="3543" w:type="dxa"/>
            <w:tcBorders>
              <w:tl2br w:val="nil"/>
              <w:tr2bl w:val="nil"/>
            </w:tcBorders>
          </w:tcPr>
          <w:p>
            <w:pPr>
              <w:spacing w:line="360" w:lineRule="auto"/>
              <w:rPr>
                <w:color w:val="000000" w:themeColor="text1"/>
                <w:kern w:val="0"/>
                <w:szCs w:val="21"/>
              </w:rPr>
            </w:pPr>
            <w:r>
              <w:rPr>
                <w:color w:val="000000" w:themeColor="text1"/>
                <w:kern w:val="0"/>
                <w:szCs w:val="21"/>
              </w:rPr>
              <w:t>MJPZ6</w:t>
            </w:r>
            <w:r>
              <w:rPr>
                <w:rFonts w:hint="eastAsia"/>
                <w:color w:val="000000" w:themeColor="text1"/>
                <w:kern w:val="0"/>
                <w:szCs w:val="21"/>
              </w:rPr>
              <w:t>、</w:t>
            </w:r>
            <w:r>
              <w:rPr>
                <w:color w:val="000000" w:themeColor="text1"/>
                <w:kern w:val="0"/>
                <w:szCs w:val="21"/>
              </w:rPr>
              <w:t>MFTABC/50</w:t>
            </w:r>
            <w:r>
              <w:rPr>
                <w:rFonts w:hint="eastAsia"/>
                <w:color w:val="000000" w:themeColor="text1"/>
                <w:kern w:val="0"/>
                <w:szCs w:val="21"/>
              </w:rPr>
              <w:t>、</w:t>
            </w:r>
            <w:r>
              <w:rPr>
                <w:color w:val="000000" w:themeColor="text1"/>
                <w:kern w:val="0"/>
                <w:szCs w:val="21"/>
              </w:rPr>
              <w:t>MF/ABC4</w:t>
            </w:r>
          </w:p>
        </w:tc>
        <w:tc>
          <w:tcPr>
            <w:tcW w:w="811" w:type="dxa"/>
            <w:tcBorders>
              <w:tl2br w:val="nil"/>
              <w:tr2bl w:val="nil"/>
            </w:tcBorders>
          </w:tcPr>
          <w:p>
            <w:pPr>
              <w:spacing w:line="360" w:lineRule="auto"/>
              <w:jc w:val="center"/>
              <w:rPr>
                <w:color w:val="000000" w:themeColor="text1"/>
                <w:kern w:val="0"/>
                <w:szCs w:val="21"/>
              </w:rPr>
            </w:pPr>
            <w:r>
              <w:rPr>
                <w:rFonts w:hint="eastAsia"/>
                <w:color w:val="000000" w:themeColor="text1"/>
                <w:kern w:val="0"/>
                <w:szCs w:val="21"/>
              </w:rPr>
              <w:t>具</w:t>
            </w:r>
          </w:p>
        </w:tc>
        <w:tc>
          <w:tcPr>
            <w:tcW w:w="749" w:type="dxa"/>
            <w:tcBorders>
              <w:tl2br w:val="nil"/>
              <w:tr2bl w:val="nil"/>
            </w:tcBorders>
          </w:tcPr>
          <w:p>
            <w:pPr>
              <w:spacing w:line="360" w:lineRule="auto"/>
              <w:jc w:val="center"/>
              <w:rPr>
                <w:color w:val="000000" w:themeColor="text1"/>
                <w:kern w:val="0"/>
                <w:szCs w:val="21"/>
              </w:rPr>
            </w:pPr>
            <w:r>
              <w:rPr>
                <w:color w:val="000000" w:themeColor="text1"/>
                <w:kern w:val="0"/>
                <w:szCs w:val="21"/>
              </w:rPr>
              <w:t>17</w:t>
            </w:r>
          </w:p>
        </w:tc>
        <w:tc>
          <w:tcPr>
            <w:tcW w:w="1396" w:type="dxa"/>
            <w:tcBorders>
              <w:tl2br w:val="nil"/>
              <w:tr2bl w:val="nil"/>
            </w:tcBorders>
            <w:vAlign w:val="center"/>
          </w:tcPr>
          <w:p>
            <w:pPr>
              <w:spacing w:line="360" w:lineRule="auto"/>
              <w:ind w:firstLine="415"/>
              <w:jc w:val="center"/>
              <w:rPr>
                <w:color w:val="000000" w:themeColor="text1"/>
                <w:kern w:val="0"/>
                <w:szCs w:val="21"/>
              </w:rPr>
            </w:pPr>
            <w:r>
              <w:rPr>
                <w:rFonts w:hint="eastAsia"/>
                <w:color w:val="000000" w:themeColor="text1"/>
                <w:kern w:val="0"/>
                <w:szCs w:val="21"/>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134" w:hRule="atLeast"/>
          <w:jc w:val="center"/>
        </w:trPr>
        <w:tc>
          <w:tcPr>
            <w:tcW w:w="761" w:type="dxa"/>
            <w:tcBorders>
              <w:tl2br w:val="nil"/>
              <w:tr2bl w:val="nil"/>
            </w:tcBorders>
          </w:tcPr>
          <w:p>
            <w:pPr>
              <w:spacing w:line="360" w:lineRule="auto"/>
              <w:ind w:firstLine="415"/>
              <w:jc w:val="center"/>
              <w:rPr>
                <w:color w:val="000000" w:themeColor="text1"/>
                <w:kern w:val="0"/>
                <w:szCs w:val="21"/>
              </w:rPr>
            </w:pPr>
            <w:r>
              <w:rPr>
                <w:color w:val="000000" w:themeColor="text1"/>
                <w:kern w:val="0"/>
                <w:szCs w:val="21"/>
              </w:rPr>
              <w:t>2</w:t>
            </w:r>
          </w:p>
        </w:tc>
        <w:tc>
          <w:tcPr>
            <w:tcW w:w="1686" w:type="dxa"/>
            <w:tcBorders>
              <w:tl2br w:val="nil"/>
              <w:tr2bl w:val="nil"/>
            </w:tcBorders>
          </w:tcPr>
          <w:p>
            <w:pPr>
              <w:spacing w:line="360" w:lineRule="auto"/>
              <w:ind w:firstLine="415"/>
              <w:jc w:val="center"/>
              <w:rPr>
                <w:color w:val="000000" w:themeColor="text1"/>
                <w:kern w:val="0"/>
                <w:szCs w:val="21"/>
              </w:rPr>
            </w:pPr>
            <w:r>
              <w:rPr>
                <w:rFonts w:hint="eastAsia"/>
                <w:color w:val="000000" w:themeColor="text1"/>
                <w:kern w:val="0"/>
                <w:szCs w:val="21"/>
              </w:rPr>
              <w:t>消防沙</w:t>
            </w:r>
          </w:p>
        </w:tc>
        <w:tc>
          <w:tcPr>
            <w:tcW w:w="3543" w:type="dxa"/>
            <w:tcBorders>
              <w:tl2br w:val="nil"/>
              <w:tr2bl w:val="nil"/>
            </w:tcBorders>
          </w:tcPr>
          <w:p>
            <w:pPr>
              <w:spacing w:line="360" w:lineRule="auto"/>
              <w:ind w:firstLine="415"/>
              <w:jc w:val="center"/>
              <w:rPr>
                <w:color w:val="000000" w:themeColor="text1"/>
                <w:kern w:val="0"/>
                <w:szCs w:val="21"/>
              </w:rPr>
            </w:pPr>
            <w:r>
              <w:rPr>
                <w:color w:val="000000" w:themeColor="text1"/>
                <w:kern w:val="0"/>
                <w:szCs w:val="21"/>
              </w:rPr>
              <w:t>2.5</w:t>
            </w:r>
            <w:r>
              <w:rPr>
                <w:rFonts w:hint="eastAsia"/>
                <w:color w:val="000000" w:themeColor="text1"/>
                <w:kern w:val="0"/>
                <w:szCs w:val="21"/>
              </w:rPr>
              <w:t>m3</w:t>
            </w:r>
          </w:p>
        </w:tc>
        <w:tc>
          <w:tcPr>
            <w:tcW w:w="811" w:type="dxa"/>
            <w:tcBorders>
              <w:tl2br w:val="nil"/>
              <w:tr2bl w:val="nil"/>
            </w:tcBorders>
          </w:tcPr>
          <w:p>
            <w:pPr>
              <w:spacing w:line="360" w:lineRule="auto"/>
              <w:jc w:val="center"/>
              <w:rPr>
                <w:color w:val="000000" w:themeColor="text1"/>
                <w:kern w:val="0"/>
                <w:szCs w:val="21"/>
              </w:rPr>
            </w:pPr>
            <w:r>
              <w:rPr>
                <w:rFonts w:hint="eastAsia"/>
                <w:color w:val="000000" w:themeColor="text1"/>
                <w:kern w:val="0"/>
                <w:szCs w:val="21"/>
              </w:rPr>
              <w:t>/</w:t>
            </w:r>
          </w:p>
        </w:tc>
        <w:tc>
          <w:tcPr>
            <w:tcW w:w="749" w:type="dxa"/>
            <w:tcBorders>
              <w:tl2br w:val="nil"/>
              <w:tr2bl w:val="nil"/>
            </w:tcBorders>
          </w:tcPr>
          <w:p>
            <w:pPr>
              <w:spacing w:line="360" w:lineRule="auto"/>
              <w:jc w:val="center"/>
              <w:rPr>
                <w:color w:val="000000" w:themeColor="text1"/>
                <w:kern w:val="0"/>
                <w:szCs w:val="21"/>
              </w:rPr>
            </w:pPr>
            <w:r>
              <w:rPr>
                <w:rFonts w:hint="eastAsia"/>
                <w:color w:val="000000" w:themeColor="text1"/>
                <w:kern w:val="0"/>
                <w:szCs w:val="21"/>
              </w:rPr>
              <w:t>/</w:t>
            </w:r>
          </w:p>
        </w:tc>
        <w:tc>
          <w:tcPr>
            <w:tcW w:w="1396" w:type="dxa"/>
            <w:tcBorders>
              <w:tl2br w:val="nil"/>
              <w:tr2bl w:val="nil"/>
            </w:tcBorders>
            <w:vAlign w:val="center"/>
          </w:tcPr>
          <w:p>
            <w:pPr>
              <w:spacing w:line="360" w:lineRule="auto"/>
              <w:ind w:firstLine="415"/>
              <w:jc w:val="center"/>
              <w:rPr>
                <w:color w:val="000000" w:themeColor="text1"/>
                <w:kern w:val="0"/>
                <w:szCs w:val="21"/>
              </w:rPr>
            </w:pPr>
            <w:r>
              <w:rPr>
                <w:rFonts w:hint="eastAsia"/>
                <w:color w:val="000000" w:themeColor="text1"/>
                <w:kern w:val="0"/>
                <w:szCs w:val="21"/>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264" w:hRule="atLeast"/>
          <w:jc w:val="center"/>
        </w:trPr>
        <w:tc>
          <w:tcPr>
            <w:tcW w:w="761" w:type="dxa"/>
            <w:tcBorders>
              <w:tl2br w:val="nil"/>
              <w:tr2bl w:val="nil"/>
            </w:tcBorders>
          </w:tcPr>
          <w:p>
            <w:pPr>
              <w:spacing w:line="360" w:lineRule="auto"/>
              <w:ind w:firstLine="415"/>
              <w:jc w:val="center"/>
              <w:rPr>
                <w:color w:val="000000" w:themeColor="text1"/>
                <w:kern w:val="0"/>
                <w:szCs w:val="21"/>
              </w:rPr>
            </w:pPr>
            <w:r>
              <w:rPr>
                <w:color w:val="000000" w:themeColor="text1"/>
                <w:kern w:val="0"/>
                <w:szCs w:val="21"/>
              </w:rPr>
              <w:t>3</w:t>
            </w:r>
          </w:p>
        </w:tc>
        <w:tc>
          <w:tcPr>
            <w:tcW w:w="1686" w:type="dxa"/>
            <w:tcBorders>
              <w:tl2br w:val="nil"/>
              <w:tr2bl w:val="nil"/>
            </w:tcBorders>
          </w:tcPr>
          <w:p>
            <w:pPr>
              <w:spacing w:line="360" w:lineRule="auto"/>
              <w:ind w:firstLine="415"/>
              <w:jc w:val="center"/>
              <w:rPr>
                <w:color w:val="000000" w:themeColor="text1"/>
                <w:kern w:val="0"/>
                <w:szCs w:val="21"/>
              </w:rPr>
            </w:pPr>
            <w:r>
              <w:rPr>
                <w:rFonts w:hint="eastAsia"/>
                <w:color w:val="000000" w:themeColor="text1"/>
                <w:kern w:val="0"/>
                <w:szCs w:val="21"/>
              </w:rPr>
              <w:t>灭火毯</w:t>
            </w:r>
          </w:p>
        </w:tc>
        <w:tc>
          <w:tcPr>
            <w:tcW w:w="3543" w:type="dxa"/>
            <w:tcBorders>
              <w:tl2br w:val="nil"/>
              <w:tr2bl w:val="nil"/>
            </w:tcBorders>
          </w:tcPr>
          <w:p>
            <w:pPr>
              <w:spacing w:line="360" w:lineRule="auto"/>
              <w:ind w:firstLine="415"/>
              <w:jc w:val="center"/>
              <w:rPr>
                <w:color w:val="000000" w:themeColor="text1"/>
                <w:kern w:val="0"/>
                <w:szCs w:val="21"/>
              </w:rPr>
            </w:pPr>
            <w:r>
              <w:rPr>
                <w:rFonts w:hint="eastAsia"/>
                <w:color w:val="000000" w:themeColor="text1"/>
                <w:kern w:val="0"/>
                <w:szCs w:val="21"/>
              </w:rPr>
              <w:t>/</w:t>
            </w:r>
          </w:p>
        </w:tc>
        <w:tc>
          <w:tcPr>
            <w:tcW w:w="811" w:type="dxa"/>
            <w:tcBorders>
              <w:tl2br w:val="nil"/>
              <w:tr2bl w:val="nil"/>
            </w:tcBorders>
          </w:tcPr>
          <w:p>
            <w:pPr>
              <w:spacing w:line="360" w:lineRule="auto"/>
              <w:jc w:val="center"/>
              <w:rPr>
                <w:color w:val="000000" w:themeColor="text1"/>
                <w:kern w:val="0"/>
                <w:szCs w:val="21"/>
              </w:rPr>
            </w:pPr>
            <w:r>
              <w:rPr>
                <w:rFonts w:hint="eastAsia"/>
                <w:color w:val="000000" w:themeColor="text1"/>
                <w:kern w:val="0"/>
                <w:szCs w:val="21"/>
              </w:rPr>
              <w:t>块</w:t>
            </w:r>
          </w:p>
        </w:tc>
        <w:tc>
          <w:tcPr>
            <w:tcW w:w="749" w:type="dxa"/>
            <w:tcBorders>
              <w:tl2br w:val="nil"/>
              <w:tr2bl w:val="nil"/>
            </w:tcBorders>
          </w:tcPr>
          <w:p>
            <w:pPr>
              <w:spacing w:line="360" w:lineRule="auto"/>
              <w:jc w:val="center"/>
              <w:rPr>
                <w:color w:val="000000" w:themeColor="text1"/>
                <w:kern w:val="0"/>
                <w:szCs w:val="21"/>
              </w:rPr>
            </w:pPr>
            <w:r>
              <w:rPr>
                <w:color w:val="000000" w:themeColor="text1"/>
                <w:kern w:val="0"/>
                <w:szCs w:val="21"/>
              </w:rPr>
              <w:t>5</w:t>
            </w:r>
          </w:p>
        </w:tc>
        <w:tc>
          <w:tcPr>
            <w:tcW w:w="1396" w:type="dxa"/>
            <w:tcBorders>
              <w:tl2br w:val="nil"/>
              <w:tr2bl w:val="nil"/>
            </w:tcBorders>
            <w:vAlign w:val="center"/>
          </w:tcPr>
          <w:p>
            <w:pPr>
              <w:spacing w:line="360" w:lineRule="auto"/>
              <w:ind w:firstLine="415"/>
              <w:jc w:val="center"/>
              <w:rPr>
                <w:color w:val="000000" w:themeColor="text1"/>
                <w:kern w:val="0"/>
                <w:szCs w:val="21"/>
              </w:rPr>
            </w:pPr>
            <w:r>
              <w:rPr>
                <w:rFonts w:hint="eastAsia"/>
                <w:color w:val="000000" w:themeColor="text1"/>
                <w:kern w:val="0"/>
                <w:szCs w:val="21"/>
              </w:rPr>
              <w:t>有效</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108" w:type="dxa"/>
            <w:bottom w:w="0" w:type="dxa"/>
            <w:right w:w="108" w:type="dxa"/>
          </w:tblCellMar>
        </w:tblPrEx>
        <w:trPr>
          <w:trHeight w:val="424" w:hRule="atLeast"/>
          <w:jc w:val="center"/>
        </w:trPr>
        <w:tc>
          <w:tcPr>
            <w:tcW w:w="761" w:type="dxa"/>
            <w:tcBorders>
              <w:tl2br w:val="nil"/>
              <w:tr2bl w:val="nil"/>
            </w:tcBorders>
          </w:tcPr>
          <w:p>
            <w:pPr>
              <w:spacing w:line="360" w:lineRule="auto"/>
              <w:ind w:firstLine="415"/>
              <w:jc w:val="center"/>
              <w:rPr>
                <w:color w:val="000000" w:themeColor="text1"/>
                <w:kern w:val="0"/>
                <w:szCs w:val="21"/>
              </w:rPr>
            </w:pPr>
            <w:r>
              <w:rPr>
                <w:color w:val="000000" w:themeColor="text1"/>
                <w:kern w:val="0"/>
                <w:szCs w:val="21"/>
              </w:rPr>
              <w:t>4</w:t>
            </w:r>
          </w:p>
        </w:tc>
        <w:tc>
          <w:tcPr>
            <w:tcW w:w="1686" w:type="dxa"/>
            <w:tcBorders>
              <w:tl2br w:val="nil"/>
              <w:tr2bl w:val="nil"/>
            </w:tcBorders>
          </w:tcPr>
          <w:p>
            <w:pPr>
              <w:spacing w:line="360" w:lineRule="auto"/>
              <w:ind w:firstLine="415"/>
              <w:jc w:val="center"/>
              <w:rPr>
                <w:color w:val="000000" w:themeColor="text1"/>
                <w:kern w:val="0"/>
                <w:szCs w:val="21"/>
              </w:rPr>
            </w:pPr>
            <w:r>
              <w:rPr>
                <w:rFonts w:hint="eastAsia"/>
                <w:color w:val="000000" w:themeColor="text1"/>
                <w:kern w:val="0"/>
                <w:szCs w:val="21"/>
              </w:rPr>
              <w:t>消防锹</w:t>
            </w:r>
          </w:p>
        </w:tc>
        <w:tc>
          <w:tcPr>
            <w:tcW w:w="3543" w:type="dxa"/>
            <w:tcBorders>
              <w:tl2br w:val="nil"/>
              <w:tr2bl w:val="nil"/>
            </w:tcBorders>
          </w:tcPr>
          <w:p>
            <w:pPr>
              <w:spacing w:line="360" w:lineRule="auto"/>
              <w:ind w:firstLine="415"/>
              <w:jc w:val="center"/>
              <w:rPr>
                <w:color w:val="000000" w:themeColor="text1"/>
                <w:kern w:val="0"/>
                <w:szCs w:val="21"/>
              </w:rPr>
            </w:pPr>
            <w:r>
              <w:rPr>
                <w:rFonts w:hint="eastAsia"/>
                <w:color w:val="000000" w:themeColor="text1"/>
                <w:kern w:val="0"/>
                <w:szCs w:val="21"/>
              </w:rPr>
              <w:t>/</w:t>
            </w:r>
          </w:p>
        </w:tc>
        <w:tc>
          <w:tcPr>
            <w:tcW w:w="811" w:type="dxa"/>
            <w:tcBorders>
              <w:tl2br w:val="nil"/>
              <w:tr2bl w:val="nil"/>
            </w:tcBorders>
          </w:tcPr>
          <w:p>
            <w:pPr>
              <w:spacing w:line="360" w:lineRule="auto"/>
              <w:jc w:val="center"/>
              <w:rPr>
                <w:color w:val="000000" w:themeColor="text1"/>
                <w:kern w:val="0"/>
                <w:szCs w:val="21"/>
              </w:rPr>
            </w:pPr>
            <w:r>
              <w:rPr>
                <w:rFonts w:hint="eastAsia"/>
                <w:color w:val="000000" w:themeColor="text1"/>
                <w:kern w:val="0"/>
                <w:szCs w:val="21"/>
              </w:rPr>
              <w:t>把</w:t>
            </w:r>
          </w:p>
        </w:tc>
        <w:tc>
          <w:tcPr>
            <w:tcW w:w="749" w:type="dxa"/>
            <w:tcBorders>
              <w:tl2br w:val="nil"/>
              <w:tr2bl w:val="nil"/>
            </w:tcBorders>
          </w:tcPr>
          <w:p>
            <w:pPr>
              <w:spacing w:line="360" w:lineRule="auto"/>
              <w:jc w:val="center"/>
              <w:rPr>
                <w:color w:val="000000" w:themeColor="text1"/>
                <w:kern w:val="0"/>
                <w:szCs w:val="21"/>
              </w:rPr>
            </w:pPr>
            <w:r>
              <w:rPr>
                <w:color w:val="000000" w:themeColor="text1"/>
                <w:kern w:val="0"/>
                <w:szCs w:val="21"/>
              </w:rPr>
              <w:t>2</w:t>
            </w:r>
          </w:p>
        </w:tc>
        <w:tc>
          <w:tcPr>
            <w:tcW w:w="1396" w:type="dxa"/>
            <w:tcBorders>
              <w:tl2br w:val="nil"/>
              <w:tr2bl w:val="nil"/>
            </w:tcBorders>
            <w:vAlign w:val="center"/>
          </w:tcPr>
          <w:p>
            <w:pPr>
              <w:spacing w:line="360" w:lineRule="auto"/>
              <w:ind w:firstLine="415"/>
              <w:jc w:val="center"/>
              <w:rPr>
                <w:color w:val="000000" w:themeColor="text1"/>
                <w:kern w:val="0"/>
                <w:szCs w:val="21"/>
              </w:rPr>
            </w:pPr>
            <w:r>
              <w:rPr>
                <w:rFonts w:hint="eastAsia"/>
                <w:color w:val="000000" w:themeColor="text1"/>
                <w:kern w:val="0"/>
                <w:szCs w:val="21"/>
              </w:rPr>
              <w:t>有效</w:t>
            </w:r>
          </w:p>
        </w:tc>
      </w:tr>
    </w:tbl>
    <w:p>
      <w:pPr>
        <w:pStyle w:val="13"/>
        <w:spacing w:line="360" w:lineRule="auto"/>
        <w:jc w:val="both"/>
        <w:rPr>
          <w:rFonts w:ascii="Times New Roman" w:hAnsi="Times New Roman"/>
          <w:b/>
          <w:bCs/>
          <w:color w:val="000000" w:themeColor="text1"/>
        </w:rPr>
      </w:pPr>
    </w:p>
    <w:p>
      <w:pPr>
        <w:pStyle w:val="13"/>
        <w:spacing w:line="360" w:lineRule="auto"/>
        <w:jc w:val="both"/>
        <w:rPr>
          <w:rFonts w:ascii="Times New Roman" w:hAnsi="Times New Roman"/>
          <w:b/>
          <w:bCs/>
          <w:color w:val="000000" w:themeColor="text1"/>
        </w:rPr>
      </w:pPr>
    </w:p>
    <w:p>
      <w:pPr>
        <w:pStyle w:val="13"/>
        <w:spacing w:line="360" w:lineRule="auto"/>
        <w:jc w:val="both"/>
        <w:rPr>
          <w:rFonts w:ascii="Times New Roman" w:hAnsi="Times New Roman"/>
          <w:b/>
          <w:bCs/>
          <w:color w:val="000000" w:themeColor="text1"/>
        </w:rPr>
      </w:pPr>
    </w:p>
    <w:p>
      <w:pPr>
        <w:pStyle w:val="13"/>
        <w:spacing w:line="360" w:lineRule="auto"/>
        <w:jc w:val="both"/>
        <w:rPr>
          <w:rFonts w:ascii="Times New Roman" w:hAnsi="Times New Roman"/>
          <w:b/>
          <w:bCs/>
          <w:color w:val="000000" w:themeColor="text1"/>
          <w:sz w:val="21"/>
          <w:szCs w:val="21"/>
        </w:rPr>
      </w:pPr>
      <w:r>
        <w:rPr>
          <w:rFonts w:ascii="Times New Roman" w:hAnsi="Times New Roman"/>
          <w:b/>
          <w:bCs/>
          <w:color w:val="000000" w:themeColor="text1"/>
        </w:rPr>
        <w:t>2、应急物资装备</w:t>
      </w:r>
    </w:p>
    <w:p>
      <w:pPr>
        <w:pStyle w:val="13"/>
        <w:spacing w:beforeAutospacing="0" w:afterAutospacing="0"/>
        <w:jc w:val="center"/>
        <w:rPr>
          <w:rFonts w:ascii="Times New Roman" w:hAnsi="Times New Roman"/>
          <w:b/>
          <w:bCs/>
          <w:color w:val="000000" w:themeColor="text1"/>
          <w:sz w:val="21"/>
          <w:szCs w:val="21"/>
        </w:rPr>
      </w:pPr>
      <w:r>
        <w:rPr>
          <w:rFonts w:ascii="Times New Roman" w:hAnsi="Times New Roman"/>
          <w:b/>
          <w:bCs/>
          <w:color w:val="000000" w:themeColor="text1"/>
          <w:sz w:val="21"/>
          <w:szCs w:val="21"/>
        </w:rPr>
        <w:t>表3-7 应急物资</w:t>
      </w:r>
    </w:p>
    <w:tbl>
      <w:tblPr>
        <w:tblStyle w:val="15"/>
        <w:tblpPr w:leftFromText="180" w:rightFromText="180" w:vertAnchor="text" w:tblpXSpec="center" w:tblpY="238"/>
        <w:tblOverlap w:val="never"/>
        <w:tblW w:w="8262" w:type="dxa"/>
        <w:tblInd w:w="0" w:type="dxa"/>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744"/>
        <w:gridCol w:w="1712"/>
        <w:gridCol w:w="1529"/>
        <w:gridCol w:w="709"/>
        <w:gridCol w:w="1543"/>
        <w:gridCol w:w="2025"/>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624" w:hRule="atLeast"/>
        </w:trPr>
        <w:tc>
          <w:tcPr>
            <w:tcW w:w="744" w:type="dxa"/>
            <w:tcBorders>
              <w:tl2br w:val="nil"/>
              <w:tr2bl w:val="nil"/>
            </w:tcBorders>
            <w:vAlign w:val="center"/>
          </w:tcPr>
          <w:p>
            <w:pPr>
              <w:jc w:val="center"/>
              <w:rPr>
                <w:color w:val="000000" w:themeColor="text1"/>
                <w:szCs w:val="21"/>
              </w:rPr>
            </w:pPr>
            <w:r>
              <w:rPr>
                <w:color w:val="000000" w:themeColor="text1"/>
                <w:szCs w:val="21"/>
              </w:rPr>
              <w:t>序号</w:t>
            </w:r>
          </w:p>
        </w:tc>
        <w:tc>
          <w:tcPr>
            <w:tcW w:w="1712" w:type="dxa"/>
            <w:tcBorders>
              <w:tl2br w:val="nil"/>
              <w:tr2bl w:val="nil"/>
            </w:tcBorders>
            <w:vAlign w:val="center"/>
          </w:tcPr>
          <w:p>
            <w:pPr>
              <w:jc w:val="center"/>
              <w:rPr>
                <w:color w:val="000000" w:themeColor="text1"/>
                <w:szCs w:val="21"/>
              </w:rPr>
            </w:pPr>
            <w:r>
              <w:rPr>
                <w:color w:val="000000" w:themeColor="text1"/>
                <w:szCs w:val="21"/>
              </w:rPr>
              <w:t>装备名称</w:t>
            </w:r>
          </w:p>
        </w:tc>
        <w:tc>
          <w:tcPr>
            <w:tcW w:w="1529" w:type="dxa"/>
            <w:tcBorders>
              <w:tl2br w:val="nil"/>
              <w:tr2bl w:val="nil"/>
            </w:tcBorders>
            <w:vAlign w:val="center"/>
          </w:tcPr>
          <w:p>
            <w:pPr>
              <w:jc w:val="center"/>
              <w:rPr>
                <w:color w:val="000000" w:themeColor="text1"/>
                <w:szCs w:val="21"/>
              </w:rPr>
            </w:pPr>
            <w:r>
              <w:rPr>
                <w:color w:val="000000" w:themeColor="text1"/>
                <w:szCs w:val="21"/>
              </w:rPr>
              <w:t>技术要求或功能要求</w:t>
            </w:r>
          </w:p>
        </w:tc>
        <w:tc>
          <w:tcPr>
            <w:tcW w:w="709" w:type="dxa"/>
            <w:tcBorders>
              <w:tl2br w:val="nil"/>
              <w:tr2bl w:val="nil"/>
            </w:tcBorders>
            <w:vAlign w:val="center"/>
          </w:tcPr>
          <w:p>
            <w:pPr>
              <w:jc w:val="center"/>
              <w:rPr>
                <w:color w:val="000000" w:themeColor="text1"/>
                <w:szCs w:val="21"/>
              </w:rPr>
            </w:pPr>
            <w:r>
              <w:rPr>
                <w:color w:val="000000" w:themeColor="text1"/>
                <w:szCs w:val="21"/>
              </w:rPr>
              <w:t>数量</w:t>
            </w:r>
          </w:p>
        </w:tc>
        <w:tc>
          <w:tcPr>
            <w:tcW w:w="1543" w:type="dxa"/>
            <w:tcBorders>
              <w:tl2br w:val="nil"/>
              <w:tr2bl w:val="nil"/>
            </w:tcBorders>
            <w:vAlign w:val="center"/>
          </w:tcPr>
          <w:p>
            <w:pPr>
              <w:jc w:val="center"/>
              <w:rPr>
                <w:color w:val="000000" w:themeColor="text1"/>
                <w:szCs w:val="21"/>
              </w:rPr>
            </w:pPr>
            <w:r>
              <w:rPr>
                <w:color w:val="000000" w:themeColor="text1"/>
                <w:szCs w:val="21"/>
              </w:rPr>
              <w:t>存放位置</w:t>
            </w:r>
          </w:p>
        </w:tc>
        <w:tc>
          <w:tcPr>
            <w:tcW w:w="2025" w:type="dxa"/>
            <w:tcBorders>
              <w:tl2br w:val="nil"/>
              <w:tr2bl w:val="nil"/>
            </w:tcBorders>
            <w:vAlign w:val="center"/>
          </w:tcPr>
          <w:p>
            <w:pPr>
              <w:jc w:val="center"/>
              <w:rPr>
                <w:color w:val="000000" w:themeColor="text1"/>
                <w:szCs w:val="21"/>
              </w:rPr>
            </w:pPr>
            <w:r>
              <w:rPr>
                <w:color w:val="000000" w:themeColor="text1"/>
                <w:szCs w:val="21"/>
              </w:rPr>
              <w:t>管理人及联系电话</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624" w:hRule="atLeast"/>
        </w:trPr>
        <w:tc>
          <w:tcPr>
            <w:tcW w:w="744" w:type="dxa"/>
            <w:tcBorders>
              <w:tl2br w:val="nil"/>
              <w:tr2bl w:val="nil"/>
            </w:tcBorders>
            <w:vAlign w:val="center"/>
          </w:tcPr>
          <w:p>
            <w:pPr>
              <w:jc w:val="center"/>
              <w:rPr>
                <w:color w:val="000000" w:themeColor="text1"/>
                <w:szCs w:val="21"/>
              </w:rPr>
            </w:pPr>
            <w:r>
              <w:rPr>
                <w:color w:val="000000" w:themeColor="text1"/>
                <w:szCs w:val="21"/>
              </w:rPr>
              <w:t>1</w:t>
            </w:r>
          </w:p>
        </w:tc>
        <w:tc>
          <w:tcPr>
            <w:tcW w:w="1712" w:type="dxa"/>
            <w:tcBorders>
              <w:tl2br w:val="nil"/>
              <w:tr2bl w:val="nil"/>
            </w:tcBorders>
            <w:vAlign w:val="center"/>
          </w:tcPr>
          <w:p>
            <w:pPr>
              <w:jc w:val="center"/>
              <w:rPr>
                <w:color w:val="000000" w:themeColor="text1"/>
                <w:szCs w:val="21"/>
              </w:rPr>
            </w:pPr>
            <w:r>
              <w:rPr>
                <w:rFonts w:hint="eastAsia"/>
                <w:color w:val="000000" w:themeColor="text1"/>
                <w:szCs w:val="21"/>
              </w:rPr>
              <w:t>消防服</w:t>
            </w:r>
          </w:p>
        </w:tc>
        <w:tc>
          <w:tcPr>
            <w:tcW w:w="1529" w:type="dxa"/>
            <w:tcBorders>
              <w:tl2br w:val="nil"/>
              <w:tr2bl w:val="nil"/>
            </w:tcBorders>
            <w:vAlign w:val="center"/>
          </w:tcPr>
          <w:p>
            <w:pPr>
              <w:jc w:val="center"/>
              <w:rPr>
                <w:color w:val="000000" w:themeColor="text1"/>
                <w:szCs w:val="21"/>
              </w:rPr>
            </w:pPr>
            <w:r>
              <w:rPr>
                <w:rFonts w:hint="eastAsia"/>
                <w:color w:val="000000" w:themeColor="text1"/>
                <w:szCs w:val="21"/>
              </w:rPr>
              <w:t>消防灭火，耐火</w:t>
            </w:r>
          </w:p>
        </w:tc>
        <w:tc>
          <w:tcPr>
            <w:tcW w:w="709" w:type="dxa"/>
            <w:tcBorders>
              <w:tl2br w:val="nil"/>
              <w:tr2bl w:val="nil"/>
            </w:tcBorders>
            <w:vAlign w:val="center"/>
          </w:tcPr>
          <w:p>
            <w:pPr>
              <w:jc w:val="center"/>
              <w:rPr>
                <w:color w:val="000000" w:themeColor="text1"/>
                <w:szCs w:val="21"/>
              </w:rPr>
            </w:pPr>
            <w:r>
              <w:rPr>
                <w:color w:val="000000" w:themeColor="text1"/>
                <w:szCs w:val="21"/>
              </w:rPr>
              <w:t>2</w:t>
            </w:r>
          </w:p>
        </w:tc>
        <w:tc>
          <w:tcPr>
            <w:tcW w:w="1543" w:type="dxa"/>
            <w:tcBorders>
              <w:tl2br w:val="nil"/>
              <w:tr2bl w:val="nil"/>
            </w:tcBorders>
            <w:vAlign w:val="center"/>
          </w:tcPr>
          <w:p>
            <w:pPr>
              <w:jc w:val="center"/>
              <w:rPr>
                <w:color w:val="000000" w:themeColor="text1"/>
                <w:szCs w:val="21"/>
              </w:rPr>
            </w:pPr>
            <w:r>
              <w:rPr>
                <w:rFonts w:hint="eastAsia"/>
                <w:color w:val="000000" w:themeColor="text1"/>
                <w:szCs w:val="21"/>
              </w:rPr>
              <w:t>微型消防站</w:t>
            </w:r>
          </w:p>
        </w:tc>
        <w:tc>
          <w:tcPr>
            <w:tcW w:w="2025" w:type="dxa"/>
            <w:tcBorders>
              <w:tl2br w:val="nil"/>
              <w:tr2bl w:val="nil"/>
            </w:tcBorders>
            <w:vAlign w:val="center"/>
          </w:tcPr>
          <w:p>
            <w:pPr>
              <w:jc w:val="center"/>
              <w:rPr>
                <w:color w:val="000000" w:themeColor="text1"/>
                <w:szCs w:val="21"/>
              </w:rPr>
            </w:pPr>
            <w:r>
              <w:rPr>
                <w:rFonts w:hint="eastAsia"/>
                <w:color w:val="000000" w:themeColor="text1"/>
                <w:szCs w:val="21"/>
              </w:rPr>
              <w:t>裘韦13807066080</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624" w:hRule="atLeast"/>
        </w:trPr>
        <w:tc>
          <w:tcPr>
            <w:tcW w:w="744" w:type="dxa"/>
            <w:tcBorders>
              <w:tl2br w:val="nil"/>
              <w:tr2bl w:val="nil"/>
            </w:tcBorders>
            <w:vAlign w:val="center"/>
          </w:tcPr>
          <w:p>
            <w:pPr>
              <w:jc w:val="center"/>
              <w:rPr>
                <w:color w:val="000000" w:themeColor="text1"/>
                <w:szCs w:val="21"/>
              </w:rPr>
            </w:pPr>
            <w:r>
              <w:rPr>
                <w:color w:val="000000" w:themeColor="text1"/>
                <w:szCs w:val="21"/>
              </w:rPr>
              <w:t>2</w:t>
            </w:r>
          </w:p>
        </w:tc>
        <w:tc>
          <w:tcPr>
            <w:tcW w:w="1712" w:type="dxa"/>
            <w:tcBorders>
              <w:tl2br w:val="nil"/>
              <w:tr2bl w:val="nil"/>
            </w:tcBorders>
            <w:vAlign w:val="center"/>
          </w:tcPr>
          <w:p>
            <w:pPr>
              <w:jc w:val="center"/>
              <w:rPr>
                <w:color w:val="000000" w:themeColor="text1"/>
                <w:szCs w:val="21"/>
              </w:rPr>
            </w:pPr>
            <w:r>
              <w:rPr>
                <w:rFonts w:hint="eastAsia"/>
                <w:color w:val="000000" w:themeColor="text1"/>
                <w:szCs w:val="21"/>
              </w:rPr>
              <w:t>消防靴</w:t>
            </w:r>
          </w:p>
        </w:tc>
        <w:tc>
          <w:tcPr>
            <w:tcW w:w="1529" w:type="dxa"/>
            <w:tcBorders>
              <w:tl2br w:val="nil"/>
              <w:tr2bl w:val="nil"/>
            </w:tcBorders>
            <w:vAlign w:val="center"/>
          </w:tcPr>
          <w:p>
            <w:pPr>
              <w:jc w:val="center"/>
              <w:rPr>
                <w:color w:val="000000" w:themeColor="text1"/>
                <w:szCs w:val="21"/>
              </w:rPr>
            </w:pPr>
            <w:r>
              <w:rPr>
                <w:rFonts w:hint="eastAsia"/>
                <w:color w:val="000000" w:themeColor="text1"/>
                <w:szCs w:val="21"/>
              </w:rPr>
              <w:t>消防灭火，耐火</w:t>
            </w:r>
          </w:p>
        </w:tc>
        <w:tc>
          <w:tcPr>
            <w:tcW w:w="709" w:type="dxa"/>
            <w:tcBorders>
              <w:tl2br w:val="nil"/>
              <w:tr2bl w:val="nil"/>
            </w:tcBorders>
            <w:vAlign w:val="center"/>
          </w:tcPr>
          <w:p>
            <w:pPr>
              <w:jc w:val="center"/>
              <w:rPr>
                <w:color w:val="000000" w:themeColor="text1"/>
                <w:szCs w:val="21"/>
              </w:rPr>
            </w:pPr>
            <w:r>
              <w:rPr>
                <w:color w:val="000000" w:themeColor="text1"/>
                <w:szCs w:val="21"/>
              </w:rPr>
              <w:t>2</w:t>
            </w:r>
          </w:p>
        </w:tc>
        <w:tc>
          <w:tcPr>
            <w:tcW w:w="1543" w:type="dxa"/>
            <w:tcBorders>
              <w:tl2br w:val="nil"/>
              <w:tr2bl w:val="nil"/>
            </w:tcBorders>
            <w:vAlign w:val="center"/>
          </w:tcPr>
          <w:p>
            <w:pPr>
              <w:jc w:val="center"/>
              <w:rPr>
                <w:color w:val="000000" w:themeColor="text1"/>
                <w:szCs w:val="21"/>
              </w:rPr>
            </w:pPr>
            <w:r>
              <w:rPr>
                <w:rFonts w:hint="eastAsia"/>
                <w:color w:val="000000" w:themeColor="text1"/>
                <w:szCs w:val="21"/>
              </w:rPr>
              <w:t>微型消防站</w:t>
            </w:r>
          </w:p>
        </w:tc>
        <w:tc>
          <w:tcPr>
            <w:tcW w:w="2025" w:type="dxa"/>
            <w:tcBorders>
              <w:tl2br w:val="nil"/>
              <w:tr2bl w:val="nil"/>
            </w:tcBorders>
            <w:vAlign w:val="center"/>
          </w:tcPr>
          <w:p>
            <w:pPr>
              <w:jc w:val="center"/>
              <w:rPr>
                <w:color w:val="000000" w:themeColor="text1"/>
                <w:szCs w:val="21"/>
              </w:rPr>
            </w:pPr>
            <w:r>
              <w:rPr>
                <w:rFonts w:hint="eastAsia"/>
                <w:color w:val="000000" w:themeColor="text1"/>
                <w:szCs w:val="21"/>
              </w:rPr>
              <w:t>裘韦13807066080</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624" w:hRule="atLeast"/>
        </w:trPr>
        <w:tc>
          <w:tcPr>
            <w:tcW w:w="744" w:type="dxa"/>
            <w:tcBorders>
              <w:tl2br w:val="nil"/>
              <w:tr2bl w:val="nil"/>
            </w:tcBorders>
            <w:vAlign w:val="center"/>
          </w:tcPr>
          <w:p>
            <w:pPr>
              <w:jc w:val="center"/>
              <w:rPr>
                <w:color w:val="000000" w:themeColor="text1"/>
                <w:szCs w:val="21"/>
              </w:rPr>
            </w:pPr>
            <w:r>
              <w:rPr>
                <w:color w:val="000000" w:themeColor="text1"/>
                <w:szCs w:val="21"/>
              </w:rPr>
              <w:t>3</w:t>
            </w:r>
          </w:p>
        </w:tc>
        <w:tc>
          <w:tcPr>
            <w:tcW w:w="1712" w:type="dxa"/>
            <w:tcBorders>
              <w:tl2br w:val="nil"/>
              <w:tr2bl w:val="nil"/>
            </w:tcBorders>
            <w:vAlign w:val="center"/>
          </w:tcPr>
          <w:p>
            <w:pPr>
              <w:jc w:val="center"/>
              <w:rPr>
                <w:color w:val="000000" w:themeColor="text1"/>
                <w:szCs w:val="21"/>
              </w:rPr>
            </w:pPr>
            <w:r>
              <w:rPr>
                <w:rFonts w:hint="eastAsia"/>
                <w:color w:val="000000" w:themeColor="text1"/>
                <w:szCs w:val="21"/>
              </w:rPr>
              <w:t>消防手套</w:t>
            </w:r>
          </w:p>
        </w:tc>
        <w:tc>
          <w:tcPr>
            <w:tcW w:w="1529" w:type="dxa"/>
            <w:tcBorders>
              <w:tl2br w:val="nil"/>
              <w:tr2bl w:val="nil"/>
            </w:tcBorders>
            <w:vAlign w:val="center"/>
          </w:tcPr>
          <w:p>
            <w:pPr>
              <w:jc w:val="center"/>
              <w:rPr>
                <w:color w:val="000000" w:themeColor="text1"/>
                <w:szCs w:val="21"/>
              </w:rPr>
            </w:pPr>
            <w:r>
              <w:rPr>
                <w:rFonts w:hint="eastAsia"/>
                <w:color w:val="000000" w:themeColor="text1"/>
                <w:szCs w:val="21"/>
              </w:rPr>
              <w:t>消防灭火，耐火</w:t>
            </w:r>
          </w:p>
        </w:tc>
        <w:tc>
          <w:tcPr>
            <w:tcW w:w="709" w:type="dxa"/>
            <w:tcBorders>
              <w:tl2br w:val="nil"/>
              <w:tr2bl w:val="nil"/>
            </w:tcBorders>
            <w:vAlign w:val="center"/>
          </w:tcPr>
          <w:p>
            <w:pPr>
              <w:jc w:val="center"/>
              <w:rPr>
                <w:color w:val="000000" w:themeColor="text1"/>
                <w:szCs w:val="21"/>
              </w:rPr>
            </w:pPr>
            <w:r>
              <w:rPr>
                <w:color w:val="000000" w:themeColor="text1"/>
                <w:szCs w:val="21"/>
              </w:rPr>
              <w:t>2</w:t>
            </w:r>
          </w:p>
        </w:tc>
        <w:tc>
          <w:tcPr>
            <w:tcW w:w="1543" w:type="dxa"/>
            <w:tcBorders>
              <w:tl2br w:val="nil"/>
              <w:tr2bl w:val="nil"/>
            </w:tcBorders>
            <w:vAlign w:val="center"/>
          </w:tcPr>
          <w:p>
            <w:pPr>
              <w:jc w:val="center"/>
              <w:rPr>
                <w:color w:val="000000" w:themeColor="text1"/>
                <w:szCs w:val="21"/>
              </w:rPr>
            </w:pPr>
            <w:r>
              <w:rPr>
                <w:rFonts w:hint="eastAsia"/>
                <w:color w:val="000000" w:themeColor="text1"/>
                <w:szCs w:val="21"/>
              </w:rPr>
              <w:t>微型消防站</w:t>
            </w:r>
          </w:p>
        </w:tc>
        <w:tc>
          <w:tcPr>
            <w:tcW w:w="2025" w:type="dxa"/>
            <w:tcBorders>
              <w:tl2br w:val="nil"/>
              <w:tr2bl w:val="nil"/>
            </w:tcBorders>
            <w:vAlign w:val="center"/>
          </w:tcPr>
          <w:p>
            <w:pPr>
              <w:jc w:val="center"/>
              <w:rPr>
                <w:color w:val="000000" w:themeColor="text1"/>
                <w:szCs w:val="21"/>
              </w:rPr>
            </w:pPr>
            <w:r>
              <w:rPr>
                <w:rFonts w:hint="eastAsia"/>
                <w:color w:val="000000" w:themeColor="text1"/>
                <w:szCs w:val="21"/>
              </w:rPr>
              <w:t>裘韦13807066080</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624" w:hRule="atLeast"/>
        </w:trPr>
        <w:tc>
          <w:tcPr>
            <w:tcW w:w="744" w:type="dxa"/>
            <w:tcBorders>
              <w:tl2br w:val="nil"/>
              <w:tr2bl w:val="nil"/>
            </w:tcBorders>
            <w:vAlign w:val="center"/>
          </w:tcPr>
          <w:p>
            <w:pPr>
              <w:jc w:val="center"/>
              <w:rPr>
                <w:color w:val="000000" w:themeColor="text1"/>
                <w:szCs w:val="21"/>
              </w:rPr>
            </w:pPr>
            <w:r>
              <w:rPr>
                <w:color w:val="000000" w:themeColor="text1"/>
                <w:szCs w:val="21"/>
              </w:rPr>
              <w:t>4</w:t>
            </w:r>
          </w:p>
        </w:tc>
        <w:tc>
          <w:tcPr>
            <w:tcW w:w="1712" w:type="dxa"/>
            <w:tcBorders>
              <w:tl2br w:val="nil"/>
              <w:tr2bl w:val="nil"/>
            </w:tcBorders>
            <w:vAlign w:val="center"/>
          </w:tcPr>
          <w:p>
            <w:pPr>
              <w:jc w:val="center"/>
              <w:rPr>
                <w:color w:val="000000" w:themeColor="text1"/>
                <w:szCs w:val="21"/>
              </w:rPr>
            </w:pPr>
            <w:r>
              <w:rPr>
                <w:rFonts w:hint="eastAsia"/>
                <w:color w:val="000000" w:themeColor="text1"/>
                <w:szCs w:val="21"/>
              </w:rPr>
              <w:t>安全带</w:t>
            </w:r>
          </w:p>
        </w:tc>
        <w:tc>
          <w:tcPr>
            <w:tcW w:w="1529" w:type="dxa"/>
            <w:tcBorders>
              <w:tl2br w:val="nil"/>
              <w:tr2bl w:val="nil"/>
            </w:tcBorders>
            <w:vAlign w:val="center"/>
          </w:tcPr>
          <w:p>
            <w:pPr>
              <w:jc w:val="center"/>
              <w:rPr>
                <w:color w:val="000000" w:themeColor="text1"/>
                <w:szCs w:val="21"/>
              </w:rPr>
            </w:pPr>
            <w:r>
              <w:rPr>
                <w:rFonts w:hint="eastAsia"/>
                <w:color w:val="000000" w:themeColor="text1"/>
                <w:szCs w:val="21"/>
              </w:rPr>
              <w:t>高空作业防护保护</w:t>
            </w:r>
          </w:p>
        </w:tc>
        <w:tc>
          <w:tcPr>
            <w:tcW w:w="709" w:type="dxa"/>
            <w:tcBorders>
              <w:tl2br w:val="nil"/>
              <w:tr2bl w:val="nil"/>
            </w:tcBorders>
            <w:vAlign w:val="center"/>
          </w:tcPr>
          <w:p>
            <w:pPr>
              <w:jc w:val="center"/>
              <w:rPr>
                <w:color w:val="000000" w:themeColor="text1"/>
                <w:szCs w:val="21"/>
              </w:rPr>
            </w:pPr>
            <w:r>
              <w:rPr>
                <w:color w:val="000000" w:themeColor="text1"/>
                <w:szCs w:val="21"/>
              </w:rPr>
              <w:t>2</w:t>
            </w:r>
          </w:p>
        </w:tc>
        <w:tc>
          <w:tcPr>
            <w:tcW w:w="1543" w:type="dxa"/>
            <w:tcBorders>
              <w:tl2br w:val="nil"/>
              <w:tr2bl w:val="nil"/>
            </w:tcBorders>
            <w:vAlign w:val="center"/>
          </w:tcPr>
          <w:p>
            <w:pPr>
              <w:jc w:val="center"/>
              <w:rPr>
                <w:color w:val="000000" w:themeColor="text1"/>
                <w:szCs w:val="21"/>
              </w:rPr>
            </w:pPr>
            <w:r>
              <w:rPr>
                <w:rFonts w:hint="eastAsia"/>
                <w:color w:val="000000" w:themeColor="text1"/>
                <w:szCs w:val="21"/>
              </w:rPr>
              <w:t>微型消防站</w:t>
            </w:r>
          </w:p>
        </w:tc>
        <w:tc>
          <w:tcPr>
            <w:tcW w:w="2025" w:type="dxa"/>
            <w:tcBorders>
              <w:tl2br w:val="nil"/>
              <w:tr2bl w:val="nil"/>
            </w:tcBorders>
            <w:vAlign w:val="center"/>
          </w:tcPr>
          <w:p>
            <w:pPr>
              <w:jc w:val="center"/>
              <w:rPr>
                <w:color w:val="000000" w:themeColor="text1"/>
                <w:szCs w:val="21"/>
              </w:rPr>
            </w:pPr>
            <w:r>
              <w:rPr>
                <w:rFonts w:hint="eastAsia"/>
                <w:color w:val="000000" w:themeColor="text1"/>
                <w:szCs w:val="21"/>
              </w:rPr>
              <w:t>裘韦13807066080</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624" w:hRule="atLeast"/>
        </w:trPr>
        <w:tc>
          <w:tcPr>
            <w:tcW w:w="744" w:type="dxa"/>
            <w:tcBorders>
              <w:tl2br w:val="nil"/>
              <w:tr2bl w:val="nil"/>
            </w:tcBorders>
            <w:vAlign w:val="center"/>
          </w:tcPr>
          <w:p>
            <w:pPr>
              <w:jc w:val="center"/>
              <w:rPr>
                <w:color w:val="000000" w:themeColor="text1"/>
                <w:szCs w:val="21"/>
              </w:rPr>
            </w:pPr>
            <w:r>
              <w:rPr>
                <w:color w:val="000000" w:themeColor="text1"/>
                <w:szCs w:val="21"/>
              </w:rPr>
              <w:t>5</w:t>
            </w:r>
          </w:p>
        </w:tc>
        <w:tc>
          <w:tcPr>
            <w:tcW w:w="1712" w:type="dxa"/>
            <w:tcBorders>
              <w:tl2br w:val="nil"/>
              <w:tr2bl w:val="nil"/>
            </w:tcBorders>
            <w:vAlign w:val="center"/>
          </w:tcPr>
          <w:p>
            <w:pPr>
              <w:jc w:val="center"/>
              <w:rPr>
                <w:color w:val="000000" w:themeColor="text1"/>
                <w:szCs w:val="21"/>
              </w:rPr>
            </w:pPr>
            <w:r>
              <w:rPr>
                <w:rFonts w:hint="eastAsia"/>
                <w:color w:val="000000" w:themeColor="text1"/>
                <w:szCs w:val="21"/>
              </w:rPr>
              <w:t>安全帽</w:t>
            </w:r>
          </w:p>
        </w:tc>
        <w:tc>
          <w:tcPr>
            <w:tcW w:w="1529" w:type="dxa"/>
            <w:tcBorders>
              <w:tl2br w:val="nil"/>
              <w:tr2bl w:val="nil"/>
            </w:tcBorders>
            <w:vAlign w:val="center"/>
          </w:tcPr>
          <w:p>
            <w:pPr>
              <w:jc w:val="center"/>
              <w:rPr>
                <w:color w:val="000000" w:themeColor="text1"/>
                <w:szCs w:val="21"/>
              </w:rPr>
            </w:pPr>
            <w:r>
              <w:rPr>
                <w:rFonts w:hint="eastAsia"/>
                <w:color w:val="000000" w:themeColor="text1"/>
                <w:szCs w:val="21"/>
              </w:rPr>
              <w:t>头部防砸防撞</w:t>
            </w:r>
          </w:p>
        </w:tc>
        <w:tc>
          <w:tcPr>
            <w:tcW w:w="709" w:type="dxa"/>
            <w:tcBorders>
              <w:tl2br w:val="nil"/>
              <w:tr2bl w:val="nil"/>
            </w:tcBorders>
            <w:vAlign w:val="center"/>
          </w:tcPr>
          <w:p>
            <w:pPr>
              <w:jc w:val="center"/>
              <w:rPr>
                <w:color w:val="000000" w:themeColor="text1"/>
                <w:szCs w:val="21"/>
              </w:rPr>
            </w:pPr>
            <w:r>
              <w:rPr>
                <w:rFonts w:hint="eastAsia"/>
                <w:color w:val="000000" w:themeColor="text1"/>
                <w:szCs w:val="21"/>
              </w:rPr>
              <w:t>2</w:t>
            </w:r>
          </w:p>
        </w:tc>
        <w:tc>
          <w:tcPr>
            <w:tcW w:w="1543" w:type="dxa"/>
            <w:tcBorders>
              <w:tl2br w:val="nil"/>
              <w:tr2bl w:val="nil"/>
            </w:tcBorders>
            <w:vAlign w:val="center"/>
          </w:tcPr>
          <w:p>
            <w:pPr>
              <w:jc w:val="center"/>
              <w:rPr>
                <w:color w:val="000000" w:themeColor="text1"/>
                <w:szCs w:val="21"/>
              </w:rPr>
            </w:pPr>
            <w:r>
              <w:rPr>
                <w:rFonts w:hint="eastAsia"/>
                <w:color w:val="000000" w:themeColor="text1"/>
                <w:szCs w:val="21"/>
              </w:rPr>
              <w:t>微型消防站</w:t>
            </w:r>
          </w:p>
        </w:tc>
        <w:tc>
          <w:tcPr>
            <w:tcW w:w="2025" w:type="dxa"/>
            <w:tcBorders>
              <w:tl2br w:val="nil"/>
              <w:tr2bl w:val="nil"/>
            </w:tcBorders>
            <w:vAlign w:val="center"/>
          </w:tcPr>
          <w:p>
            <w:pPr>
              <w:jc w:val="center"/>
              <w:rPr>
                <w:color w:val="000000" w:themeColor="text1"/>
                <w:szCs w:val="21"/>
              </w:rPr>
            </w:pPr>
            <w:r>
              <w:rPr>
                <w:rFonts w:hint="eastAsia"/>
                <w:color w:val="000000" w:themeColor="text1"/>
                <w:szCs w:val="21"/>
              </w:rPr>
              <w:t>裘韦13807066080</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624" w:hRule="atLeast"/>
        </w:trPr>
        <w:tc>
          <w:tcPr>
            <w:tcW w:w="744" w:type="dxa"/>
            <w:tcBorders>
              <w:tl2br w:val="nil"/>
              <w:tr2bl w:val="nil"/>
            </w:tcBorders>
            <w:vAlign w:val="center"/>
          </w:tcPr>
          <w:p>
            <w:pPr>
              <w:jc w:val="center"/>
              <w:rPr>
                <w:color w:val="000000" w:themeColor="text1"/>
                <w:szCs w:val="21"/>
              </w:rPr>
            </w:pPr>
            <w:r>
              <w:rPr>
                <w:color w:val="000000" w:themeColor="text1"/>
                <w:szCs w:val="21"/>
              </w:rPr>
              <w:t>6</w:t>
            </w:r>
          </w:p>
        </w:tc>
        <w:tc>
          <w:tcPr>
            <w:tcW w:w="1712" w:type="dxa"/>
            <w:tcBorders>
              <w:tl2br w:val="nil"/>
              <w:tr2bl w:val="nil"/>
            </w:tcBorders>
            <w:vAlign w:val="center"/>
          </w:tcPr>
          <w:p>
            <w:pPr>
              <w:jc w:val="center"/>
              <w:rPr>
                <w:color w:val="000000" w:themeColor="text1"/>
                <w:szCs w:val="21"/>
              </w:rPr>
            </w:pPr>
            <w:r>
              <w:rPr>
                <w:rFonts w:hint="eastAsia"/>
                <w:color w:val="000000" w:themeColor="text1"/>
                <w:szCs w:val="21"/>
              </w:rPr>
              <w:t>消防沙</w:t>
            </w:r>
          </w:p>
        </w:tc>
        <w:tc>
          <w:tcPr>
            <w:tcW w:w="1529" w:type="dxa"/>
            <w:tcBorders>
              <w:tl2br w:val="nil"/>
              <w:tr2bl w:val="nil"/>
            </w:tcBorders>
            <w:vAlign w:val="center"/>
          </w:tcPr>
          <w:p>
            <w:pPr>
              <w:jc w:val="center"/>
              <w:rPr>
                <w:color w:val="000000" w:themeColor="text1"/>
                <w:szCs w:val="21"/>
              </w:rPr>
            </w:pPr>
          </w:p>
        </w:tc>
        <w:tc>
          <w:tcPr>
            <w:tcW w:w="709" w:type="dxa"/>
            <w:tcBorders>
              <w:tl2br w:val="nil"/>
              <w:tr2bl w:val="nil"/>
            </w:tcBorders>
            <w:vAlign w:val="center"/>
          </w:tcPr>
          <w:p>
            <w:pPr>
              <w:jc w:val="center"/>
              <w:rPr>
                <w:color w:val="000000" w:themeColor="text1"/>
                <w:szCs w:val="21"/>
              </w:rPr>
            </w:pPr>
            <w:r>
              <w:rPr>
                <w:rFonts w:hint="eastAsia"/>
                <w:color w:val="000000" w:themeColor="text1"/>
                <w:szCs w:val="21"/>
              </w:rPr>
              <w:t>2</w:t>
            </w:r>
            <w:r>
              <w:rPr>
                <w:color w:val="000000" w:themeColor="text1"/>
                <w:szCs w:val="21"/>
              </w:rPr>
              <w:t>.5</w:t>
            </w:r>
          </w:p>
        </w:tc>
        <w:tc>
          <w:tcPr>
            <w:tcW w:w="1543" w:type="dxa"/>
            <w:tcBorders>
              <w:tl2br w:val="nil"/>
              <w:tr2bl w:val="nil"/>
            </w:tcBorders>
            <w:vAlign w:val="center"/>
          </w:tcPr>
          <w:p>
            <w:pPr>
              <w:jc w:val="center"/>
              <w:rPr>
                <w:color w:val="000000" w:themeColor="text1"/>
                <w:szCs w:val="21"/>
              </w:rPr>
            </w:pPr>
            <w:r>
              <w:rPr>
                <w:rFonts w:hint="eastAsia"/>
                <w:color w:val="000000" w:themeColor="text1"/>
                <w:szCs w:val="21"/>
              </w:rPr>
              <w:t>卸油口旁</w:t>
            </w:r>
          </w:p>
        </w:tc>
        <w:tc>
          <w:tcPr>
            <w:tcW w:w="2025" w:type="dxa"/>
            <w:tcBorders>
              <w:tl2br w:val="nil"/>
              <w:tr2bl w:val="nil"/>
            </w:tcBorders>
            <w:vAlign w:val="center"/>
          </w:tcPr>
          <w:p>
            <w:pPr>
              <w:jc w:val="center"/>
              <w:rPr>
                <w:color w:val="000000" w:themeColor="text1"/>
                <w:szCs w:val="21"/>
              </w:rPr>
            </w:pPr>
            <w:r>
              <w:rPr>
                <w:rFonts w:hint="eastAsia"/>
                <w:color w:val="000000" w:themeColor="text1"/>
                <w:szCs w:val="21"/>
              </w:rPr>
              <w:t>裘韦13807066080</w:t>
            </w:r>
          </w:p>
        </w:tc>
      </w:tr>
    </w:tbl>
    <w:p>
      <w:pPr>
        <w:pStyle w:val="13"/>
        <w:spacing w:beforeAutospacing="0" w:afterAutospacing="0"/>
        <w:jc w:val="center"/>
        <w:rPr>
          <w:rFonts w:ascii="Times New Roman" w:hAnsi="Times New Roman"/>
          <w:b/>
          <w:bCs/>
          <w:color w:val="000000" w:themeColor="text1"/>
          <w:sz w:val="21"/>
          <w:szCs w:val="21"/>
        </w:rPr>
      </w:pPr>
    </w:p>
    <w:p>
      <w:pPr>
        <w:spacing w:line="360" w:lineRule="auto"/>
        <w:ind w:firstLine="480" w:firstLineChars="200"/>
        <w:rPr>
          <w:color w:val="000000" w:themeColor="text1"/>
          <w:sz w:val="24"/>
        </w:rPr>
      </w:pPr>
      <w:r>
        <w:rPr>
          <w:color w:val="000000" w:themeColor="text1"/>
          <w:sz w:val="24"/>
        </w:rPr>
        <w:t>根据加油站现有应急物质情况：应适当增加补充覆盖泡沫、担架、移动式潜污泵及塑料软水管</w:t>
      </w:r>
      <w:r>
        <w:rPr>
          <w:rFonts w:hint="eastAsia"/>
          <w:color w:val="000000" w:themeColor="text1"/>
          <w:sz w:val="24"/>
        </w:rPr>
        <w:t>、应急药箱等</w:t>
      </w:r>
      <w:r>
        <w:rPr>
          <w:color w:val="000000" w:themeColor="text1"/>
          <w:sz w:val="24"/>
        </w:rPr>
        <w:t>。</w:t>
      </w:r>
    </w:p>
    <w:p>
      <w:pPr>
        <w:pStyle w:val="13"/>
        <w:spacing w:line="360" w:lineRule="auto"/>
        <w:jc w:val="both"/>
        <w:rPr>
          <w:rFonts w:ascii="Times New Roman" w:hAnsi="Times New Roman"/>
          <w:b/>
          <w:bCs/>
          <w:color w:val="000000" w:themeColor="text1"/>
        </w:rPr>
      </w:pPr>
      <w:r>
        <w:rPr>
          <w:rFonts w:ascii="Times New Roman" w:hAnsi="Times New Roman"/>
          <w:b/>
          <w:bCs/>
          <w:color w:val="000000" w:themeColor="text1"/>
        </w:rPr>
        <w:t>3、应急池设置情况</w:t>
      </w:r>
    </w:p>
    <w:p>
      <w:pPr>
        <w:pStyle w:val="13"/>
        <w:widowControl w:val="0"/>
        <w:spacing w:beforeAutospacing="0" w:afterAutospacing="0" w:line="360" w:lineRule="auto"/>
        <w:ind w:firstLine="480" w:firstLineChars="200"/>
        <w:rPr>
          <w:rFonts w:ascii="Times New Roman" w:hAnsi="Times New Roman"/>
          <w:color w:val="000000" w:themeColor="text1"/>
        </w:rPr>
      </w:pPr>
      <w:r>
        <w:rPr>
          <w:rFonts w:ascii="Times New Roman" w:hAnsi="Times New Roman"/>
          <w:color w:val="000000" w:themeColor="text1"/>
        </w:rPr>
        <w:t>加油站目前未设置事故应急池，存在事故消防废水外排风险，建议今后按相关规范要求设置事故应急池。</w:t>
      </w:r>
    </w:p>
    <w:p>
      <w:pPr>
        <w:spacing w:line="360" w:lineRule="auto"/>
        <w:ind w:firstLine="480" w:firstLineChars="200"/>
        <w:rPr>
          <w:color w:val="000000" w:themeColor="text1"/>
          <w:sz w:val="24"/>
        </w:rPr>
      </w:pPr>
      <w:r>
        <w:rPr>
          <w:color w:val="000000" w:themeColor="text1"/>
          <w:sz w:val="24"/>
        </w:rPr>
        <w:t>事故应急池作用：收集污水处理站事故状态下加油站污水、消防废水。</w:t>
      </w:r>
    </w:p>
    <w:p>
      <w:pPr>
        <w:pStyle w:val="13"/>
        <w:spacing w:line="360" w:lineRule="auto"/>
        <w:jc w:val="both"/>
        <w:rPr>
          <w:rFonts w:ascii="Times New Roman" w:hAnsi="Times New Roman"/>
          <w:b/>
          <w:bCs/>
          <w:color w:val="000000" w:themeColor="text1"/>
        </w:rPr>
      </w:pPr>
      <w:r>
        <w:rPr>
          <w:rFonts w:ascii="Times New Roman" w:hAnsi="Times New Roman"/>
          <w:b/>
          <w:bCs/>
          <w:color w:val="000000" w:themeColor="text1"/>
        </w:rPr>
        <w:t>4、公司应急救援队伍设置</w:t>
      </w:r>
    </w:p>
    <w:p>
      <w:pPr>
        <w:pStyle w:val="24"/>
        <w:widowControl w:val="0"/>
        <w:spacing w:beforeAutospacing="0" w:afterAutospacing="0" w:line="500" w:lineRule="exact"/>
        <w:rPr>
          <w:rFonts w:hint="default" w:ascii="Times New Roman" w:hAnsi="Times New Roman"/>
          <w:color w:val="000000" w:themeColor="text1"/>
        </w:rPr>
      </w:pPr>
      <w:r>
        <w:rPr>
          <w:rFonts w:ascii="Times New Roman" w:hAnsi="Times New Roman"/>
          <w:color w:val="000000" w:themeColor="text1"/>
        </w:rPr>
        <w:t>南昌中油瑶湖石油销售有限公司瑶湖加油站</w:t>
      </w:r>
      <w:r>
        <w:rPr>
          <w:rFonts w:hint="default" w:ascii="Times New Roman" w:hAnsi="Times New Roman"/>
          <w:color w:val="000000" w:themeColor="text1"/>
        </w:rPr>
        <w:t>成立突发性环境事件应急救援“指挥领导小组”，由公司经理、</w:t>
      </w:r>
      <w:r>
        <w:rPr>
          <w:rFonts w:ascii="Times New Roman" w:hAnsi="Times New Roman"/>
          <w:color w:val="000000" w:themeColor="text1"/>
        </w:rPr>
        <w:t>副经理、</w:t>
      </w:r>
      <w:r>
        <w:rPr>
          <w:rFonts w:hint="default" w:ascii="Times New Roman" w:hAnsi="Times New Roman"/>
          <w:color w:val="000000" w:themeColor="text1"/>
        </w:rPr>
        <w:t>加油站站长、安全员等组成，下设应急救援办公室(设在加油站办公室)，日常工作由</w:t>
      </w:r>
      <w:r>
        <w:rPr>
          <w:rFonts w:ascii="Times New Roman" w:hAnsi="Times New Roman"/>
          <w:color w:val="000000" w:themeColor="text1"/>
        </w:rPr>
        <w:t>副经理</w:t>
      </w:r>
      <w:r>
        <w:rPr>
          <w:rFonts w:hint="default" w:ascii="Times New Roman" w:hAnsi="Times New Roman"/>
          <w:color w:val="000000" w:themeColor="text1"/>
        </w:rPr>
        <w:t>兼管，并由营业室协助事故报警及事故处理工作。发生突发性环境污染事故时，以指挥领导小组为基础，公司总经理任总指挥，</w:t>
      </w:r>
      <w:r>
        <w:rPr>
          <w:rFonts w:ascii="Times New Roman" w:hAnsi="Times New Roman"/>
          <w:color w:val="000000" w:themeColor="text1"/>
        </w:rPr>
        <w:t>副经理</w:t>
      </w:r>
      <w:r>
        <w:rPr>
          <w:rFonts w:hint="default" w:ascii="Times New Roman" w:hAnsi="Times New Roman"/>
          <w:color w:val="000000" w:themeColor="text1"/>
        </w:rPr>
        <w:t>任副总指挥，负责加油站应急救援工作的组织和指挥，指挥部设在加油站办公室。</w:t>
      </w:r>
    </w:p>
    <w:p>
      <w:pPr>
        <w:pStyle w:val="24"/>
        <w:widowControl w:val="0"/>
        <w:spacing w:beforeAutospacing="0" w:afterAutospacing="0" w:line="500" w:lineRule="exact"/>
        <w:rPr>
          <w:rFonts w:hint="default" w:ascii="Times New Roman" w:hAnsi="Times New Roman"/>
          <w:color w:val="000000" w:themeColor="text1"/>
        </w:rPr>
      </w:pPr>
      <w:r>
        <w:rPr>
          <w:color w:val="000000" w:themeColor="text1"/>
        </w:rPr>
        <w:drawing>
          <wp:anchor distT="0" distB="0" distL="114300" distR="114300" simplePos="0" relativeHeight="251663360" behindDoc="0" locked="0" layoutInCell="1" allowOverlap="1">
            <wp:simplePos x="0" y="0"/>
            <wp:positionH relativeFrom="column">
              <wp:posOffset>236220</wp:posOffset>
            </wp:positionH>
            <wp:positionV relativeFrom="paragraph">
              <wp:posOffset>731520</wp:posOffset>
            </wp:positionV>
            <wp:extent cx="4732655" cy="3551555"/>
            <wp:effectExtent l="0" t="0" r="6985" b="14605"/>
            <wp:wrapSquare wrapText="bothSides"/>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732655" cy="3551555"/>
                    </a:xfrm>
                    <a:prstGeom prst="rect">
                      <a:avLst/>
                    </a:prstGeom>
                    <a:noFill/>
                    <a:ln>
                      <a:noFill/>
                    </a:ln>
                  </pic:spPr>
                </pic:pic>
              </a:graphicData>
            </a:graphic>
          </wp:anchor>
        </w:drawing>
      </w:r>
      <w:r>
        <w:rPr>
          <w:rFonts w:hint="default" w:ascii="Times New Roman" w:hAnsi="Times New Roman"/>
          <w:color w:val="000000" w:themeColor="text1"/>
        </w:rPr>
        <w:t>突发环境事件应急指挥部根据加油站环境污染源实际情况，分别设立应急救援办公室、物资后勤保障组。突发环境事件应急救援组织机构见下图：</w:t>
      </w:r>
    </w:p>
    <w:p>
      <w:pPr>
        <w:rPr>
          <w:color w:val="000000" w:themeColor="text1"/>
        </w:rPr>
      </w:pPr>
    </w:p>
    <w:p>
      <w:pPr>
        <w:snapToGrid w:val="0"/>
        <w:spacing w:line="360" w:lineRule="auto"/>
        <w:ind w:firstLine="482" w:firstLineChars="200"/>
        <w:rPr>
          <w:b/>
          <w:color w:val="000000" w:themeColor="text1"/>
          <w:sz w:val="24"/>
        </w:rPr>
      </w:pPr>
      <w:r>
        <w:rPr>
          <w:b/>
          <w:color w:val="000000" w:themeColor="text1"/>
          <w:sz w:val="24"/>
        </w:rPr>
        <w:t>应急救援领导小组职责：</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1）应急救援领导小组负责加油站“应急救援预案”的评审、修改；组建应急救援专业队伍，组织实施和演练；检查监督好重大事故的预防措施和应急救援的各项准备工作（包括应急物资装备、灭火设备、救援人员个人防护用品等）；</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（2）分析判断事故、事件或灾情的受影响区域、危害程度，确定响应级别；</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（3）决定启动应急救援预案，组织、指挥、协调各相关部门进行应急救援行动；</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（4）批准启动现场抢救方案；</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（5）报告上级机关，与地方政府应急反应组织或机构进行联系，通报事故、事件或灾害情况；</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（6）评估事态发展程度，决定升高或降低应急救援级别；</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（7）根据事态发展，决定请求外部援助；</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（8）监察应急操作人员的行动，保证现场抢救和现场外其他人员的安全；</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（9）决定救援人员、员工、家属从事故区域撤离，决定请求地方政府组织周边群众从事故受影响区域撤离；</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（10）协调物资、设备、医疗、通讯、后勤等方面全力支持救援工作；</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（11）宣布应急恢复、应急结束；</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（12）决定并监督公司各类事故应急救援演练。</w:t>
      </w:r>
    </w:p>
    <w:p>
      <w:pPr>
        <w:snapToGrid w:val="0"/>
        <w:spacing w:line="360" w:lineRule="auto"/>
        <w:ind w:firstLine="482" w:firstLineChars="200"/>
        <w:rPr>
          <w:b/>
          <w:color w:val="000000" w:themeColor="text1"/>
          <w:sz w:val="24"/>
        </w:rPr>
      </w:pPr>
      <w:r>
        <w:rPr>
          <w:b/>
          <w:color w:val="000000" w:themeColor="text1"/>
          <w:sz w:val="24"/>
        </w:rPr>
        <w:t>总指挥职责：</w:t>
      </w:r>
    </w:p>
    <w:p>
      <w:pPr>
        <w:spacing w:line="360" w:lineRule="auto"/>
        <w:ind w:firstLine="480" w:firstLineChars="200"/>
        <w:rPr>
          <w:color w:val="000000" w:themeColor="text1"/>
          <w:sz w:val="24"/>
        </w:rPr>
      </w:pPr>
      <w:r>
        <w:rPr>
          <w:color w:val="000000" w:themeColor="text1"/>
          <w:sz w:val="24"/>
        </w:rPr>
        <w:t>①组织制定突发环境事件应急预案；</w:t>
      </w:r>
    </w:p>
    <w:p>
      <w:pPr>
        <w:spacing w:line="360" w:lineRule="auto"/>
        <w:ind w:firstLine="480" w:firstLineChars="200"/>
        <w:rPr>
          <w:color w:val="000000" w:themeColor="text1"/>
          <w:sz w:val="24"/>
        </w:rPr>
      </w:pPr>
      <w:r>
        <w:rPr>
          <w:color w:val="000000" w:themeColor="text1"/>
          <w:sz w:val="24"/>
        </w:rPr>
        <w:t>②组建突发环境事件应急救援队伍；</w:t>
      </w:r>
    </w:p>
    <w:p>
      <w:pPr>
        <w:spacing w:line="360" w:lineRule="auto"/>
        <w:ind w:firstLine="480" w:firstLineChars="200"/>
        <w:rPr>
          <w:color w:val="000000" w:themeColor="text1"/>
          <w:sz w:val="24"/>
        </w:rPr>
      </w:pPr>
      <w:r>
        <w:rPr>
          <w:color w:val="000000" w:themeColor="text1"/>
          <w:sz w:val="24"/>
        </w:rPr>
        <w:t>③负责启动与终止应急工作；</w:t>
      </w:r>
    </w:p>
    <w:p>
      <w:pPr>
        <w:spacing w:line="360" w:lineRule="auto"/>
        <w:ind w:firstLine="480" w:firstLineChars="200"/>
        <w:rPr>
          <w:color w:val="000000" w:themeColor="text1"/>
          <w:sz w:val="24"/>
        </w:rPr>
      </w:pPr>
      <w:r>
        <w:rPr>
          <w:color w:val="000000" w:themeColor="text1"/>
          <w:sz w:val="24"/>
        </w:rPr>
        <w:t>④负责掌握突发环境事件状况，根据突发环境事件的发展，确定现场指挥人员，推动应急组织工作的发挥；</w:t>
      </w:r>
    </w:p>
    <w:p>
      <w:pPr>
        <w:spacing w:line="360" w:lineRule="auto"/>
        <w:ind w:firstLine="480" w:firstLineChars="200"/>
        <w:rPr>
          <w:color w:val="000000" w:themeColor="text1"/>
          <w:sz w:val="24"/>
        </w:rPr>
      </w:pPr>
      <w:r>
        <w:rPr>
          <w:color w:val="000000" w:themeColor="text1"/>
          <w:sz w:val="24"/>
        </w:rPr>
        <w:t>⑤视突发环境事件状况和可能演化的趋势，判定是否需要外部救援或外借应急物资，接受上级应急救援指挥机构的指令和调动，协助事件的处理；</w:t>
      </w:r>
    </w:p>
    <w:p>
      <w:pPr>
        <w:spacing w:line="360" w:lineRule="auto"/>
        <w:ind w:firstLine="480" w:firstLineChars="200"/>
        <w:rPr>
          <w:color w:val="000000" w:themeColor="text1"/>
          <w:sz w:val="24"/>
        </w:rPr>
      </w:pPr>
      <w:r>
        <w:rPr>
          <w:color w:val="000000" w:themeColor="text1"/>
          <w:sz w:val="24"/>
        </w:rPr>
        <w:t>⑥组织内部和对政府的报告，配合有关部门对环境进行监测、修复、事件调查、经验教训总结；</w:t>
      </w:r>
    </w:p>
    <w:p>
      <w:pPr>
        <w:spacing w:line="360" w:lineRule="auto"/>
        <w:ind w:firstLine="480" w:firstLineChars="200"/>
        <w:rPr>
          <w:color w:val="000000" w:themeColor="text1"/>
          <w:sz w:val="24"/>
        </w:rPr>
      </w:pPr>
      <w:r>
        <w:rPr>
          <w:color w:val="000000" w:themeColor="text1"/>
          <w:sz w:val="24"/>
        </w:rPr>
        <w:fldChar w:fldCharType="begin"/>
      </w:r>
      <w:r>
        <w:rPr>
          <w:color w:val="000000" w:themeColor="text1"/>
          <w:sz w:val="24"/>
        </w:rPr>
        <w:instrText xml:space="preserve"> = 7 \* GB3 \* MERGEFORMAT </w:instrText>
      </w:r>
      <w:r>
        <w:rPr>
          <w:color w:val="000000" w:themeColor="text1"/>
          <w:sz w:val="24"/>
        </w:rPr>
        <w:fldChar w:fldCharType="separate"/>
      </w:r>
      <w:r>
        <w:rPr>
          <w:color w:val="000000" w:themeColor="text1"/>
          <w:sz w:val="24"/>
        </w:rPr>
        <w:t>⑦</w:t>
      </w:r>
      <w:r>
        <w:rPr>
          <w:color w:val="000000" w:themeColor="text1"/>
          <w:sz w:val="24"/>
        </w:rPr>
        <w:fldChar w:fldCharType="end"/>
      </w:r>
      <w:r>
        <w:rPr>
          <w:color w:val="000000" w:themeColor="text1"/>
          <w:sz w:val="24"/>
        </w:rPr>
        <w:t>每三年组织更新备案，每年组织演练，签署预案发布令等。</w:t>
      </w:r>
    </w:p>
    <w:p>
      <w:pPr>
        <w:spacing w:line="360" w:lineRule="auto"/>
        <w:ind w:firstLine="480" w:firstLineChars="200"/>
        <w:rPr>
          <w:color w:val="000000" w:themeColor="text1"/>
          <w:sz w:val="24"/>
        </w:rPr>
      </w:pPr>
      <w:r>
        <w:rPr>
          <w:color w:val="000000" w:themeColor="text1"/>
          <w:sz w:val="24"/>
        </w:rPr>
        <w:t>⑧政府介入后，负责将指挥权移交政府。</w:t>
      </w:r>
    </w:p>
    <w:p>
      <w:pPr>
        <w:spacing w:line="360" w:lineRule="auto"/>
        <w:ind w:firstLine="482" w:firstLineChars="200"/>
        <w:rPr>
          <w:b/>
          <w:bCs/>
          <w:color w:val="000000" w:themeColor="text1"/>
          <w:sz w:val="24"/>
        </w:rPr>
      </w:pPr>
      <w:r>
        <w:rPr>
          <w:b/>
          <w:bCs/>
          <w:color w:val="000000" w:themeColor="text1"/>
          <w:sz w:val="24"/>
        </w:rPr>
        <w:t>副总指挥职责：</w:t>
      </w:r>
    </w:p>
    <w:p>
      <w:pPr>
        <w:spacing w:line="360" w:lineRule="auto"/>
        <w:ind w:firstLine="480" w:firstLineChars="200"/>
        <w:rPr>
          <w:color w:val="000000" w:themeColor="text1"/>
          <w:sz w:val="24"/>
        </w:rPr>
      </w:pPr>
      <w:r>
        <w:rPr>
          <w:color w:val="000000" w:themeColor="text1"/>
          <w:sz w:val="24"/>
        </w:rPr>
        <w:t>① 协助总指挥负责应急救援的具体操作和实施步骤的协调工作。</w:t>
      </w:r>
    </w:p>
    <w:p>
      <w:pPr>
        <w:spacing w:line="360" w:lineRule="auto"/>
        <w:ind w:firstLine="480" w:firstLineChars="200"/>
        <w:rPr>
          <w:color w:val="000000" w:themeColor="text1"/>
          <w:sz w:val="24"/>
        </w:rPr>
      </w:pPr>
      <w:r>
        <w:rPr>
          <w:color w:val="000000" w:themeColor="text1"/>
          <w:sz w:val="24"/>
        </w:rPr>
        <w:t>② 总指挥不能到任时接替总指挥工作。</w:t>
      </w:r>
    </w:p>
    <w:p>
      <w:pPr>
        <w:snapToGrid w:val="0"/>
        <w:spacing w:line="360" w:lineRule="auto"/>
        <w:ind w:firstLine="482" w:firstLineChars="200"/>
        <w:rPr>
          <w:b/>
          <w:color w:val="000000" w:themeColor="text1"/>
          <w:sz w:val="24"/>
        </w:rPr>
      </w:pPr>
      <w:r>
        <w:rPr>
          <w:b/>
          <w:color w:val="000000" w:themeColor="text1"/>
          <w:sz w:val="24"/>
        </w:rPr>
        <w:t>应急救援办公室职责：</w:t>
      </w:r>
    </w:p>
    <w:p>
      <w:pPr>
        <w:spacing w:line="360" w:lineRule="auto"/>
        <w:ind w:firstLine="480" w:firstLineChars="200"/>
        <w:rPr>
          <w:color w:val="000000" w:themeColor="text1"/>
          <w:sz w:val="24"/>
        </w:rPr>
      </w:pPr>
      <w:r>
        <w:rPr>
          <w:color w:val="000000" w:themeColor="text1"/>
          <w:sz w:val="24"/>
        </w:rPr>
        <w:t>负责应急救援的日常工作。 </w:t>
      </w:r>
    </w:p>
    <w:p>
      <w:pPr>
        <w:spacing w:line="360" w:lineRule="auto"/>
        <w:ind w:firstLine="480" w:firstLineChars="200"/>
        <w:rPr>
          <w:color w:val="000000" w:themeColor="text1"/>
          <w:sz w:val="24"/>
        </w:rPr>
      </w:pPr>
      <w:r>
        <w:rPr>
          <w:color w:val="000000" w:themeColor="text1"/>
          <w:sz w:val="24"/>
        </w:rPr>
        <w:t>①负责人员、应急资源配置、应急队伍的调动；</w:t>
      </w:r>
    </w:p>
    <w:p>
      <w:pPr>
        <w:spacing w:line="360" w:lineRule="auto"/>
        <w:ind w:firstLine="480" w:firstLineChars="200"/>
        <w:rPr>
          <w:color w:val="000000" w:themeColor="text1"/>
          <w:sz w:val="24"/>
        </w:rPr>
      </w:pPr>
      <w:r>
        <w:rPr>
          <w:color w:val="000000" w:themeColor="text1"/>
          <w:sz w:val="24"/>
        </w:rPr>
        <w:t>②协调和指挥事故现场处置救援工作；</w:t>
      </w:r>
    </w:p>
    <w:p>
      <w:pPr>
        <w:spacing w:line="360" w:lineRule="auto"/>
        <w:ind w:firstLine="480" w:firstLineChars="200"/>
        <w:rPr>
          <w:color w:val="000000" w:themeColor="text1"/>
          <w:sz w:val="24"/>
        </w:rPr>
      </w:pPr>
      <w:r>
        <w:rPr>
          <w:color w:val="000000" w:themeColor="text1"/>
          <w:sz w:val="24"/>
        </w:rPr>
        <w:t>③对事故现场情况进行侦察、评估，协同现场指挥制定抢救方案；</w:t>
      </w:r>
    </w:p>
    <w:p>
      <w:pPr>
        <w:spacing w:line="360" w:lineRule="auto"/>
        <w:ind w:firstLine="480" w:firstLineChars="200"/>
        <w:rPr>
          <w:color w:val="000000" w:themeColor="text1"/>
          <w:sz w:val="24"/>
        </w:rPr>
      </w:pPr>
      <w:r>
        <w:rPr>
          <w:color w:val="000000" w:themeColor="text1"/>
          <w:sz w:val="24"/>
        </w:rPr>
        <w:t>④组织本小组所有的力量严格按抢救方案实施现场抢救；</w:t>
      </w:r>
    </w:p>
    <w:p>
      <w:pPr>
        <w:spacing w:line="360" w:lineRule="auto"/>
        <w:ind w:firstLine="480" w:firstLineChars="200"/>
        <w:rPr>
          <w:color w:val="000000" w:themeColor="text1"/>
          <w:sz w:val="24"/>
        </w:rPr>
      </w:pPr>
      <w:r>
        <w:rPr>
          <w:color w:val="000000" w:themeColor="text1"/>
          <w:sz w:val="24"/>
        </w:rPr>
        <w:t>⑤监督本小组参与事故处置的应急人员执行有效的应急措施，保证小组内的应急人员的安全；</w:t>
      </w:r>
    </w:p>
    <w:p>
      <w:pPr>
        <w:spacing w:line="360" w:lineRule="auto"/>
        <w:ind w:firstLine="480" w:firstLineChars="200"/>
        <w:rPr>
          <w:color w:val="000000" w:themeColor="text1"/>
          <w:sz w:val="24"/>
        </w:rPr>
      </w:pPr>
      <w:r>
        <w:rPr>
          <w:color w:val="000000" w:themeColor="text1"/>
          <w:sz w:val="24"/>
        </w:rPr>
        <w:fldChar w:fldCharType="begin"/>
      </w:r>
      <w:r>
        <w:rPr>
          <w:color w:val="000000" w:themeColor="text1"/>
          <w:sz w:val="24"/>
        </w:rPr>
        <w:instrText xml:space="preserve"> = 6 \* GB3 \* MERGEFORMAT </w:instrText>
      </w:r>
      <w:r>
        <w:rPr>
          <w:color w:val="000000" w:themeColor="text1"/>
          <w:sz w:val="24"/>
        </w:rPr>
        <w:fldChar w:fldCharType="separate"/>
      </w:r>
      <w:r>
        <w:rPr>
          <w:color w:val="000000" w:themeColor="text1"/>
          <w:sz w:val="24"/>
        </w:rPr>
        <w:t>⑥</w:t>
      </w:r>
      <w:r>
        <w:rPr>
          <w:color w:val="000000" w:themeColor="text1"/>
          <w:sz w:val="24"/>
        </w:rPr>
        <w:fldChar w:fldCharType="end"/>
      </w:r>
      <w:r>
        <w:rPr>
          <w:color w:val="000000" w:themeColor="text1"/>
          <w:sz w:val="24"/>
        </w:rPr>
        <w:t>协助政府环保部门展开环境监测工作，</w:t>
      </w:r>
      <w:r>
        <w:rPr>
          <w:color w:val="000000" w:themeColor="text1"/>
          <w:sz w:val="24"/>
          <w:lang w:val="zh-CN"/>
        </w:rPr>
        <w:t>处理事故发生后的环境遗留问题。</w:t>
      </w:r>
    </w:p>
    <w:p>
      <w:pPr>
        <w:snapToGrid w:val="0"/>
        <w:spacing w:line="360" w:lineRule="auto"/>
        <w:ind w:firstLine="482" w:firstLineChars="200"/>
        <w:rPr>
          <w:b/>
          <w:color w:val="000000" w:themeColor="text1"/>
          <w:sz w:val="24"/>
        </w:rPr>
      </w:pPr>
      <w:r>
        <w:rPr>
          <w:b/>
          <w:color w:val="000000" w:themeColor="text1"/>
          <w:sz w:val="24"/>
        </w:rPr>
        <w:t>物资后勤保障组职责：</w:t>
      </w:r>
    </w:p>
    <w:p>
      <w:pPr>
        <w:spacing w:line="360" w:lineRule="auto"/>
        <w:ind w:firstLine="480" w:firstLineChars="200"/>
        <w:rPr>
          <w:color w:val="000000" w:themeColor="text1"/>
          <w:sz w:val="24"/>
        </w:rPr>
      </w:pPr>
      <w:r>
        <w:rPr>
          <w:color w:val="000000" w:themeColor="text1"/>
          <w:sz w:val="24"/>
        </w:rPr>
        <w:t>①负责站区内外应急救援物资的调配与发放；</w:t>
      </w:r>
    </w:p>
    <w:p>
      <w:pPr>
        <w:spacing w:line="360" w:lineRule="auto"/>
        <w:ind w:firstLine="480" w:firstLineChars="200"/>
        <w:rPr>
          <w:color w:val="000000" w:themeColor="text1"/>
          <w:sz w:val="24"/>
        </w:rPr>
      </w:pPr>
      <w:r>
        <w:rPr>
          <w:color w:val="000000" w:themeColor="text1"/>
          <w:sz w:val="24"/>
        </w:rPr>
        <w:t>②负责做好应急资金的保障工作；</w:t>
      </w:r>
    </w:p>
    <w:p>
      <w:pPr>
        <w:spacing w:line="360" w:lineRule="auto"/>
        <w:ind w:firstLine="480" w:firstLineChars="200"/>
        <w:rPr>
          <w:color w:val="000000" w:themeColor="text1"/>
          <w:sz w:val="24"/>
        </w:rPr>
      </w:pPr>
      <w:r>
        <w:rPr>
          <w:color w:val="000000" w:themeColor="text1"/>
          <w:sz w:val="24"/>
        </w:rPr>
        <w:t>③保证加油站内所有通讯处于畅通状态；</w:t>
      </w:r>
    </w:p>
    <w:p>
      <w:pPr>
        <w:spacing w:line="360" w:lineRule="auto"/>
        <w:ind w:firstLine="480" w:firstLineChars="200"/>
        <w:rPr>
          <w:color w:val="000000" w:themeColor="text1"/>
          <w:sz w:val="24"/>
        </w:rPr>
      </w:pPr>
      <w:r>
        <w:rPr>
          <w:color w:val="000000" w:themeColor="text1"/>
          <w:sz w:val="24"/>
        </w:rPr>
        <w:t>④负责布置安全警戒，禁止无关人员和车辆进入危险区域；</w:t>
      </w:r>
    </w:p>
    <w:p>
      <w:pPr>
        <w:spacing w:line="360" w:lineRule="auto"/>
        <w:ind w:firstLine="480" w:firstLineChars="200"/>
        <w:rPr>
          <w:color w:val="000000" w:themeColor="text1"/>
          <w:sz w:val="24"/>
        </w:rPr>
      </w:pPr>
      <w:r>
        <w:rPr>
          <w:color w:val="000000" w:themeColor="text1"/>
          <w:sz w:val="24"/>
        </w:rPr>
        <w:t>⑤交通疏导、交通管制，确保运送应急物资及人员的畅通；</w:t>
      </w:r>
    </w:p>
    <w:p>
      <w:pPr>
        <w:spacing w:line="360" w:lineRule="auto"/>
        <w:ind w:firstLine="480" w:firstLineChars="200"/>
        <w:rPr>
          <w:color w:val="000000" w:themeColor="text1"/>
          <w:sz w:val="24"/>
        </w:rPr>
      </w:pPr>
      <w:r>
        <w:rPr>
          <w:color w:val="000000" w:themeColor="text1"/>
          <w:sz w:val="24"/>
        </w:rPr>
        <w:fldChar w:fldCharType="begin"/>
      </w:r>
      <w:r>
        <w:rPr>
          <w:color w:val="000000" w:themeColor="text1"/>
          <w:sz w:val="24"/>
        </w:rPr>
        <w:instrText xml:space="preserve"> = 6 \* GB3 \* MERGEFORMAT </w:instrText>
      </w:r>
      <w:r>
        <w:rPr>
          <w:color w:val="000000" w:themeColor="text1"/>
          <w:sz w:val="24"/>
        </w:rPr>
        <w:fldChar w:fldCharType="separate"/>
      </w:r>
      <w:r>
        <w:rPr>
          <w:color w:val="000000" w:themeColor="text1"/>
          <w:sz w:val="24"/>
        </w:rPr>
        <w:t>⑥</w:t>
      </w:r>
      <w:r>
        <w:rPr>
          <w:color w:val="000000" w:themeColor="text1"/>
          <w:sz w:val="24"/>
        </w:rPr>
        <w:fldChar w:fldCharType="end"/>
      </w:r>
      <w:r>
        <w:rPr>
          <w:color w:val="000000" w:themeColor="text1"/>
          <w:sz w:val="24"/>
        </w:rPr>
        <w:t>协助总指挥做好事故报警、情况通报及事故处置工作；</w:t>
      </w:r>
    </w:p>
    <w:p>
      <w:pPr>
        <w:spacing w:line="360" w:lineRule="auto"/>
        <w:ind w:firstLine="480" w:firstLineChars="200"/>
        <w:rPr>
          <w:color w:val="000000" w:themeColor="text1"/>
          <w:sz w:val="24"/>
        </w:rPr>
      </w:pPr>
      <w:r>
        <w:rPr>
          <w:color w:val="000000" w:themeColor="text1"/>
          <w:sz w:val="24"/>
        </w:rPr>
        <w:fldChar w:fldCharType="begin"/>
      </w:r>
      <w:r>
        <w:rPr>
          <w:color w:val="000000" w:themeColor="text1"/>
          <w:sz w:val="24"/>
        </w:rPr>
        <w:instrText xml:space="preserve"> = 7 \* GB3 \* MERGEFORMAT </w:instrText>
      </w:r>
      <w:r>
        <w:rPr>
          <w:color w:val="000000" w:themeColor="text1"/>
          <w:sz w:val="24"/>
        </w:rPr>
        <w:fldChar w:fldCharType="separate"/>
      </w:r>
      <w:r>
        <w:rPr>
          <w:color w:val="000000" w:themeColor="text1"/>
          <w:sz w:val="24"/>
        </w:rPr>
        <w:t>⑦</w:t>
      </w:r>
      <w:r>
        <w:rPr>
          <w:color w:val="000000" w:themeColor="text1"/>
          <w:sz w:val="24"/>
        </w:rPr>
        <w:fldChar w:fldCharType="end"/>
      </w:r>
      <w:r>
        <w:rPr>
          <w:color w:val="000000" w:themeColor="text1"/>
          <w:sz w:val="24"/>
        </w:rPr>
        <w:t>负责现场中毒、受伤人员分类抢救和护送工作；</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加油站全体员工都负有事故应急救援的责任，为事故应急救援骨干力量，承担各类事故救援及处置。</w:t>
      </w:r>
    </w:p>
    <w:p>
      <w:pPr>
        <w:rPr>
          <w:color w:val="000000" w:themeColor="text1"/>
        </w:rPr>
      </w:pPr>
      <w:r>
        <w:rPr>
          <w:color w:val="000000" w:themeColor="text1"/>
        </w:rPr>
        <w:br w:type="page"/>
      </w:r>
    </w:p>
    <w:p>
      <w:pPr>
        <w:autoSpaceDE w:val="0"/>
        <w:autoSpaceDN w:val="0"/>
        <w:adjustRightInd w:val="0"/>
        <w:snapToGrid w:val="0"/>
        <w:spacing w:before="312" w:beforeLines="100" w:after="156" w:afterLines="50" w:line="360" w:lineRule="auto"/>
        <w:jc w:val="center"/>
        <w:outlineLvl w:val="0"/>
        <w:rPr>
          <w:b/>
          <w:bCs/>
          <w:color w:val="000000" w:themeColor="text1"/>
          <w:sz w:val="30"/>
          <w:szCs w:val="30"/>
        </w:rPr>
      </w:pPr>
      <w:bookmarkStart w:id="57" w:name="_Toc23821"/>
      <w:r>
        <w:rPr>
          <w:b/>
          <w:bCs/>
          <w:color w:val="000000" w:themeColor="text1"/>
          <w:sz w:val="30"/>
          <w:szCs w:val="30"/>
        </w:rPr>
        <w:t>4、突发环境事件及其后果分析</w:t>
      </w:r>
      <w:bookmarkEnd w:id="57"/>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58" w:name="_Toc771"/>
      <w:r>
        <w:rPr>
          <w:b/>
          <w:bCs/>
          <w:color w:val="000000" w:themeColor="text1"/>
          <w:sz w:val="24"/>
        </w:rPr>
        <w:t>4.1 突发环境事件情景分析</w:t>
      </w:r>
      <w:bookmarkEnd w:id="58"/>
    </w:p>
    <w:p>
      <w:pPr>
        <w:autoSpaceDE w:val="0"/>
        <w:autoSpaceDN w:val="0"/>
        <w:adjustRightInd w:val="0"/>
        <w:snapToGrid w:val="0"/>
        <w:spacing w:before="312" w:beforeLines="100" w:after="156" w:afterLines="50" w:line="360" w:lineRule="auto"/>
        <w:jc w:val="left"/>
        <w:rPr>
          <w:b/>
          <w:bCs/>
          <w:color w:val="000000" w:themeColor="text1"/>
          <w:sz w:val="24"/>
        </w:rPr>
      </w:pPr>
      <w:r>
        <w:rPr>
          <w:b/>
          <w:bCs/>
          <w:color w:val="000000" w:themeColor="text1"/>
          <w:sz w:val="24"/>
        </w:rPr>
        <w:t>案例</w:t>
      </w:r>
      <w:r>
        <w:rPr>
          <w:rFonts w:hint="eastAsia"/>
          <w:b/>
          <w:bCs/>
          <w:color w:val="000000" w:themeColor="text1"/>
          <w:sz w:val="24"/>
        </w:rPr>
        <w:t>一</w:t>
      </w:r>
      <w:r>
        <w:rPr>
          <w:b/>
          <w:bCs/>
          <w:color w:val="000000" w:themeColor="text1"/>
          <w:sz w:val="24"/>
        </w:rPr>
        <w:t>：</w:t>
      </w:r>
      <w:r>
        <w:rPr>
          <w:rFonts w:hint="eastAsia"/>
          <w:b/>
          <w:bCs/>
          <w:color w:val="000000" w:themeColor="text1"/>
          <w:sz w:val="24"/>
        </w:rPr>
        <w:t>上海市</w:t>
      </w:r>
      <w:r>
        <w:rPr>
          <w:b/>
          <w:bCs/>
          <w:color w:val="000000" w:themeColor="text1"/>
          <w:sz w:val="24"/>
        </w:rPr>
        <w:t>杨高南路浦三路口加油站</w:t>
      </w:r>
      <w:r>
        <w:rPr>
          <w:rFonts w:hint="eastAsia"/>
          <w:b/>
          <w:bCs/>
          <w:color w:val="000000" w:themeColor="text1"/>
          <w:sz w:val="24"/>
        </w:rPr>
        <w:t>发生</w:t>
      </w:r>
      <w:r>
        <w:rPr>
          <w:b/>
          <w:bCs/>
          <w:color w:val="000000" w:themeColor="text1"/>
          <w:sz w:val="24"/>
        </w:rPr>
        <w:t>火灾爆炸事故</w:t>
      </w:r>
    </w:p>
    <w:p>
      <w:pPr>
        <w:pStyle w:val="24"/>
        <w:widowControl w:val="0"/>
        <w:spacing w:beforeAutospacing="0" w:afterAutospacing="0"/>
        <w:ind w:firstLine="482"/>
        <w:rPr>
          <w:rFonts w:hint="default" w:ascii="Times New Roman" w:hAnsi="Times New Roman"/>
          <w:b/>
          <w:bCs/>
          <w:color w:val="000000" w:themeColor="text1"/>
        </w:rPr>
      </w:pPr>
      <w:r>
        <w:rPr>
          <w:rFonts w:ascii="Times New Roman" w:hAnsi="Times New Roman"/>
          <w:b/>
          <w:bCs/>
          <w:color w:val="000000" w:themeColor="text1"/>
        </w:rPr>
        <w:t>事故概况：</w:t>
      </w:r>
    </w:p>
    <w:p>
      <w:pPr>
        <w:pStyle w:val="24"/>
        <w:widowControl w:val="0"/>
        <w:spacing w:beforeAutospacing="0" w:afterAutospacing="0"/>
        <w:ind w:firstLine="420"/>
        <w:rPr>
          <w:rFonts w:hint="default" w:ascii="Times New Roman" w:hAnsi="Times New Roman"/>
          <w:color w:val="000000" w:themeColor="text1"/>
        </w:rPr>
      </w:pPr>
      <w:r>
        <w:rPr>
          <w:rFonts w:hint="default" w:ascii="Calibri" w:hAnsi="Calibri" w:eastAsia="Tahoma" w:cs="Calibri"/>
          <w:color w:val="000000" w:themeColor="text1"/>
          <w:sz w:val="21"/>
          <w:szCs w:val="21"/>
          <w:shd w:val="clear" w:color="auto" w:fill="FFFFFF"/>
        </w:rPr>
        <w:t> </w:t>
      </w:r>
      <w:r>
        <w:rPr>
          <w:rFonts w:ascii="Times New Roman" w:hAnsi="Times New Roman"/>
          <w:color w:val="000000" w:themeColor="text1"/>
        </w:rPr>
        <w:t>2007</w:t>
      </w:r>
      <w:r>
        <w:rPr>
          <w:rFonts w:ascii="Calibri" w:hAnsi="Calibri" w:eastAsia="Tahoma" w:cs="Calibri"/>
          <w:color w:val="000000" w:themeColor="text1"/>
          <w:sz w:val="21"/>
          <w:szCs w:val="21"/>
          <w:shd w:val="clear" w:color="auto" w:fill="FFFFFF"/>
        </w:rPr>
        <w:t>年</w:t>
      </w:r>
      <w:r>
        <w:rPr>
          <w:rFonts w:hint="default" w:ascii="Times New Roman" w:hAnsi="Times New Roman"/>
          <w:color w:val="000000" w:themeColor="text1"/>
        </w:rPr>
        <w:t>11</w:t>
      </w:r>
      <w:r>
        <w:rPr>
          <w:rFonts w:ascii="Times New Roman" w:hAnsi="Times New Roman"/>
          <w:color w:val="000000" w:themeColor="text1"/>
        </w:rPr>
        <w:t>月</w:t>
      </w:r>
      <w:r>
        <w:rPr>
          <w:rFonts w:hint="default" w:ascii="Times New Roman" w:hAnsi="Times New Roman"/>
          <w:color w:val="000000" w:themeColor="text1"/>
        </w:rPr>
        <w:t>24</w:t>
      </w:r>
      <w:r>
        <w:rPr>
          <w:rFonts w:ascii="Times New Roman" w:hAnsi="Times New Roman"/>
          <w:color w:val="000000" w:themeColor="text1"/>
        </w:rPr>
        <w:t>日上午</w:t>
      </w:r>
      <w:r>
        <w:rPr>
          <w:rFonts w:hint="default" w:ascii="Times New Roman" w:hAnsi="Times New Roman"/>
          <w:color w:val="000000" w:themeColor="text1"/>
        </w:rPr>
        <w:t>7</w:t>
      </w:r>
      <w:r>
        <w:rPr>
          <w:rFonts w:ascii="Times New Roman" w:hAnsi="Times New Roman"/>
          <w:color w:val="000000" w:themeColor="text1"/>
        </w:rPr>
        <w:t>时</w:t>
      </w:r>
      <w:r>
        <w:rPr>
          <w:rFonts w:hint="default" w:ascii="Times New Roman" w:hAnsi="Times New Roman"/>
          <w:color w:val="000000" w:themeColor="text1"/>
        </w:rPr>
        <w:t>50</w:t>
      </w:r>
      <w:r>
        <w:rPr>
          <w:rFonts w:ascii="Times New Roman" w:hAnsi="Times New Roman"/>
          <w:color w:val="000000" w:themeColor="text1"/>
        </w:rPr>
        <w:t>分，上海市公安局</w:t>
      </w:r>
      <w:r>
        <w:rPr>
          <w:rFonts w:hint="default" w:ascii="Times New Roman" w:hAnsi="Times New Roman"/>
          <w:color w:val="000000" w:themeColor="text1"/>
        </w:rPr>
        <w:t>110</w:t>
      </w:r>
      <w:r>
        <w:rPr>
          <w:rFonts w:ascii="Times New Roman" w:hAnsi="Times New Roman"/>
          <w:color w:val="000000" w:themeColor="text1"/>
        </w:rPr>
        <w:t>指挥中心接报警：位于浦东杨高南路、浦三路口的一家正在维修施工的油气加注站发生爆炸。</w:t>
      </w:r>
      <w:r>
        <w:rPr>
          <w:rFonts w:hint="default" w:ascii="Times New Roman" w:hAnsi="Times New Roman"/>
          <w:color w:val="000000" w:themeColor="text1"/>
        </w:rPr>
        <w:t> </w:t>
      </w:r>
      <w:r>
        <w:rPr>
          <w:rFonts w:ascii="Times New Roman" w:hAnsi="Times New Roman"/>
          <w:color w:val="000000" w:themeColor="text1"/>
        </w:rPr>
        <w:t>据市公安局初步了解，发生事故的是位于浦三路</w:t>
      </w:r>
      <w:r>
        <w:rPr>
          <w:rFonts w:hint="default" w:ascii="Times New Roman" w:hAnsi="Times New Roman"/>
          <w:color w:val="000000" w:themeColor="text1"/>
        </w:rPr>
        <w:t>909</w:t>
      </w:r>
      <w:r>
        <w:rPr>
          <w:rFonts w:ascii="Times New Roman" w:hAnsi="Times New Roman"/>
          <w:color w:val="000000" w:themeColor="text1"/>
        </w:rPr>
        <w:t>号的一家汽油加注站，站内储气罐正在进行停业检修作业。施工中因操作不当发生爆炸事故，</w:t>
      </w:r>
      <w:r>
        <w:rPr>
          <w:rFonts w:hint="default" w:ascii="Times New Roman" w:hAnsi="Times New Roman"/>
          <w:color w:val="000000" w:themeColor="text1"/>
        </w:rPr>
        <w:t>2</w:t>
      </w:r>
      <w:r>
        <w:rPr>
          <w:rFonts w:ascii="Times New Roman" w:hAnsi="Times New Roman"/>
          <w:color w:val="000000" w:themeColor="text1"/>
        </w:rPr>
        <w:t>名正在施工的工人当场身亡，另有</w:t>
      </w:r>
      <w:r>
        <w:rPr>
          <w:rFonts w:hint="default" w:ascii="Times New Roman" w:hAnsi="Times New Roman"/>
          <w:color w:val="000000" w:themeColor="text1"/>
        </w:rPr>
        <w:t>4</w:t>
      </w:r>
      <w:r>
        <w:rPr>
          <w:rFonts w:ascii="Times New Roman" w:hAnsi="Times New Roman"/>
          <w:color w:val="000000" w:themeColor="text1"/>
        </w:rPr>
        <w:t>人重伤，在送往医院抢救后其中</w:t>
      </w:r>
      <w:r>
        <w:rPr>
          <w:rFonts w:hint="default" w:ascii="Times New Roman" w:hAnsi="Times New Roman"/>
          <w:color w:val="000000" w:themeColor="text1"/>
        </w:rPr>
        <w:t>2</w:t>
      </w:r>
      <w:r>
        <w:rPr>
          <w:rFonts w:ascii="Times New Roman" w:hAnsi="Times New Roman"/>
          <w:color w:val="000000" w:themeColor="text1"/>
        </w:rPr>
        <w:t>人死亡，事故造成多人受伤。</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爆炸发生时共有</w:t>
      </w:r>
      <w:r>
        <w:rPr>
          <w:rFonts w:hint="default" w:ascii="Times New Roman" w:hAnsi="Times New Roman"/>
          <w:color w:val="000000" w:themeColor="text1"/>
        </w:rPr>
        <w:t>3</w:t>
      </w:r>
      <w:r>
        <w:rPr>
          <w:rFonts w:ascii="Times New Roman" w:hAnsi="Times New Roman"/>
          <w:color w:val="000000" w:themeColor="text1"/>
        </w:rPr>
        <w:t>名男性工人参与储气罐检修作业。操作中施工人员需要对位于地面下的储气罐进行加压，但储罐罐内残留部分油气，加上施工人员加压过度储气罐遂发生爆炸。爆炸造成</w:t>
      </w:r>
      <w:r>
        <w:rPr>
          <w:rFonts w:hint="default" w:ascii="Times New Roman" w:hAnsi="Times New Roman"/>
          <w:color w:val="000000" w:themeColor="text1"/>
        </w:rPr>
        <w:t>30</w:t>
      </w:r>
      <w:r>
        <w:rPr>
          <w:rFonts w:ascii="Times New Roman" w:hAnsi="Times New Roman"/>
          <w:color w:val="000000" w:themeColor="text1"/>
        </w:rPr>
        <w:t>岁的甘某和</w:t>
      </w:r>
      <w:r>
        <w:rPr>
          <w:rFonts w:hint="default" w:ascii="Times New Roman" w:hAnsi="Times New Roman"/>
          <w:color w:val="000000" w:themeColor="text1"/>
        </w:rPr>
        <w:t>46</w:t>
      </w:r>
      <w:r>
        <w:rPr>
          <w:rFonts w:ascii="Times New Roman" w:hAnsi="Times New Roman"/>
          <w:color w:val="000000" w:themeColor="text1"/>
        </w:rPr>
        <w:t>岁的朱某不幸身亡，另一名工人在爆炸中幸运身还。</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组织施工方是上海申能集团所属上海燃气（集团）有限公司旗下的太平洋燃气有限公司。从</w:t>
      </w:r>
      <w:r>
        <w:rPr>
          <w:rFonts w:hint="default" w:ascii="Times New Roman" w:hAnsi="Times New Roman"/>
          <w:color w:val="000000" w:themeColor="text1"/>
        </w:rPr>
        <w:t>11</w:t>
      </w:r>
      <w:r>
        <w:rPr>
          <w:rFonts w:ascii="Times New Roman" w:hAnsi="Times New Roman"/>
          <w:color w:val="000000" w:themeColor="text1"/>
        </w:rPr>
        <w:t>月</w:t>
      </w:r>
      <w:r>
        <w:rPr>
          <w:rFonts w:hint="default" w:ascii="Times New Roman" w:hAnsi="Times New Roman"/>
          <w:color w:val="000000" w:themeColor="text1"/>
        </w:rPr>
        <w:t>11</w:t>
      </w:r>
      <w:r>
        <w:rPr>
          <w:rFonts w:ascii="Times New Roman" w:hAnsi="Times New Roman"/>
          <w:color w:val="000000" w:themeColor="text1"/>
        </w:rPr>
        <w:t>日起，太平洋燃气有限公司负责对这个加油站进行停业检修。事发现场附近还有</w:t>
      </w:r>
      <w:r>
        <w:rPr>
          <w:rFonts w:hint="default" w:ascii="Times New Roman" w:hAnsi="Times New Roman"/>
          <w:color w:val="000000" w:themeColor="text1"/>
        </w:rPr>
        <w:t>2</w:t>
      </w:r>
      <w:r>
        <w:rPr>
          <w:rFonts w:ascii="Times New Roman" w:hAnsi="Times New Roman"/>
          <w:color w:val="000000" w:themeColor="text1"/>
        </w:rPr>
        <w:t>人因爆炸受重伤，在送往医院抢救后不治身亡，他们分别是</w:t>
      </w:r>
      <w:r>
        <w:rPr>
          <w:rFonts w:hint="default" w:ascii="Times New Roman" w:hAnsi="Times New Roman"/>
          <w:color w:val="000000" w:themeColor="text1"/>
        </w:rPr>
        <w:t>29</w:t>
      </w:r>
      <w:r>
        <w:rPr>
          <w:rFonts w:ascii="Times New Roman" w:hAnsi="Times New Roman"/>
          <w:color w:val="000000" w:themeColor="text1"/>
        </w:rPr>
        <w:t>岁的男性王某和</w:t>
      </w:r>
      <w:r>
        <w:rPr>
          <w:rFonts w:hint="default" w:ascii="Times New Roman" w:hAnsi="Times New Roman"/>
          <w:color w:val="000000" w:themeColor="text1"/>
        </w:rPr>
        <w:t>42</w:t>
      </w:r>
      <w:r>
        <w:rPr>
          <w:rFonts w:ascii="Times New Roman" w:hAnsi="Times New Roman"/>
          <w:color w:val="000000" w:themeColor="text1"/>
        </w:rPr>
        <w:t>岁的女性陕某，当时，王某驾驶摩托车停在附近，陕某则在</w:t>
      </w:r>
      <w:r>
        <w:rPr>
          <w:rFonts w:hint="default" w:ascii="Times New Roman" w:hAnsi="Times New Roman"/>
          <w:color w:val="000000" w:themeColor="text1"/>
        </w:rPr>
        <w:t>500m</w:t>
      </w:r>
      <w:r>
        <w:rPr>
          <w:rFonts w:ascii="Times New Roman" w:hAnsi="Times New Roman"/>
          <w:color w:val="000000" w:themeColor="text1"/>
        </w:rPr>
        <w:t>外的昌里东路上骑自行车。</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另据核实，事故发生后，共有</w:t>
      </w:r>
      <w:r>
        <w:rPr>
          <w:rFonts w:hint="default" w:ascii="Times New Roman" w:hAnsi="Times New Roman"/>
          <w:color w:val="000000" w:themeColor="text1"/>
        </w:rPr>
        <w:t>32</w:t>
      </w:r>
      <w:r>
        <w:rPr>
          <w:rFonts w:ascii="Times New Roman" w:hAnsi="Times New Roman"/>
          <w:color w:val="000000" w:themeColor="text1"/>
        </w:rPr>
        <w:t>名居民、行人被送往上海浦南医院、仁济医院浦东分院治疗，除</w:t>
      </w:r>
      <w:r>
        <w:rPr>
          <w:rFonts w:hint="default" w:ascii="Times New Roman" w:hAnsi="Times New Roman"/>
          <w:color w:val="000000" w:themeColor="text1"/>
        </w:rPr>
        <w:t>2</w:t>
      </w:r>
      <w:r>
        <w:rPr>
          <w:rFonts w:ascii="Times New Roman" w:hAnsi="Times New Roman"/>
          <w:color w:val="000000" w:themeColor="text1"/>
        </w:rPr>
        <w:t>名送到医院后死亡的重伤者外，其余</w:t>
      </w:r>
      <w:r>
        <w:rPr>
          <w:rFonts w:hint="default" w:ascii="Times New Roman" w:hAnsi="Times New Roman"/>
          <w:color w:val="000000" w:themeColor="text1"/>
        </w:rPr>
        <w:t>30</w:t>
      </w:r>
      <w:r>
        <w:rPr>
          <w:rFonts w:ascii="Times New Roman" w:hAnsi="Times New Roman"/>
          <w:color w:val="000000" w:themeColor="text1"/>
        </w:rPr>
        <w:t>人中，</w:t>
      </w:r>
      <w:r>
        <w:rPr>
          <w:rFonts w:hint="default" w:ascii="Times New Roman" w:hAnsi="Times New Roman"/>
          <w:color w:val="000000" w:themeColor="text1"/>
        </w:rPr>
        <w:t>10</w:t>
      </w:r>
      <w:r>
        <w:rPr>
          <w:rFonts w:ascii="Times New Roman" w:hAnsi="Times New Roman"/>
          <w:color w:val="000000" w:themeColor="text1"/>
        </w:rPr>
        <w:t>多人经简单处理当即出院，还有</w:t>
      </w:r>
      <w:r>
        <w:rPr>
          <w:rFonts w:hint="default" w:ascii="Times New Roman" w:hAnsi="Times New Roman"/>
          <w:color w:val="000000" w:themeColor="text1"/>
        </w:rPr>
        <w:t>10</w:t>
      </w:r>
      <w:r>
        <w:rPr>
          <w:rFonts w:ascii="Times New Roman" w:hAnsi="Times New Roman"/>
          <w:color w:val="000000" w:themeColor="text1"/>
        </w:rPr>
        <w:t>多人留在医院接受治疗后，于当天下午出院。至</w:t>
      </w:r>
      <w:r>
        <w:rPr>
          <w:rFonts w:hint="default" w:ascii="Times New Roman" w:hAnsi="Times New Roman"/>
          <w:color w:val="000000" w:themeColor="text1"/>
        </w:rPr>
        <w:t>25</w:t>
      </w:r>
      <w:r>
        <w:rPr>
          <w:rFonts w:ascii="Times New Roman" w:hAnsi="Times New Roman"/>
          <w:color w:val="000000" w:themeColor="text1"/>
        </w:rPr>
        <w:t>日中午，尚有</w:t>
      </w:r>
      <w:r>
        <w:rPr>
          <w:rFonts w:hint="default" w:ascii="Times New Roman" w:hAnsi="Times New Roman"/>
          <w:color w:val="000000" w:themeColor="text1"/>
        </w:rPr>
        <w:t>2</w:t>
      </w:r>
      <w:r>
        <w:rPr>
          <w:rFonts w:ascii="Times New Roman" w:hAnsi="Times New Roman"/>
          <w:color w:val="000000" w:themeColor="text1"/>
        </w:rPr>
        <w:t>名伤势较重者仍留院观察治疗，但无生命危险。</w:t>
      </w:r>
    </w:p>
    <w:p>
      <w:pPr>
        <w:pStyle w:val="24"/>
        <w:widowControl w:val="0"/>
        <w:spacing w:beforeAutospacing="0" w:afterAutospacing="0"/>
        <w:ind w:firstLine="482"/>
        <w:rPr>
          <w:rFonts w:hint="default" w:ascii="Times New Roman" w:hAnsi="Times New Roman"/>
          <w:b/>
          <w:bCs/>
          <w:color w:val="000000" w:themeColor="text1"/>
        </w:rPr>
      </w:pPr>
      <w:r>
        <w:rPr>
          <w:rFonts w:ascii="Times New Roman" w:hAnsi="Times New Roman"/>
          <w:b/>
          <w:bCs/>
          <w:color w:val="000000" w:themeColor="text1"/>
        </w:rPr>
        <w:t>事故原因分析：</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1、直接原因</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施工人员违规操作是本次事故的直接原因。</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根据事故调查组的认定，事故是由于施工人员违章作业造成的。爆炸时，由于储气罐上方是混凝土地面，爆炸导致碎裂的石块飞出，夹着钢筋的石块飞到数百米开外，“石雨”直接造成伤亡。</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2、管理原因</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 </w:t>
      </w:r>
      <w:r>
        <w:rPr>
          <w:rFonts w:ascii="Times New Roman" w:hAnsi="Times New Roman"/>
          <w:color w:val="000000" w:themeColor="text1"/>
        </w:rPr>
        <w:t>加油站进行维修、装潢等作业，都有严格的规范和操作规程，不应该在维修期间储存任何油气。加油站要进行维修、装修，最关键的就是在这段时间内，确保地下及地面储油和储气的罐内，不能有一点点的残留油气，同时应该向油罐内注水并通过仪器测量达到安全值才行。此外，加油站毕竟属于危险品经营场所，就算没有油气，使用电焊、敲打钢筋等都应该格外小心，并有专人监督把关。</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尽管上海绝大部分运营中的加油站安全防范措施到位，但一些司机的不良习惯却成了隐患。在上海的多家加油站都可以看到，虽然加油站有明显标示，进站前须关闭手机，但半小时内看到至少有</w:t>
      </w:r>
      <w:r>
        <w:rPr>
          <w:rFonts w:hint="default" w:ascii="Times New Roman" w:hAnsi="Times New Roman"/>
          <w:color w:val="000000" w:themeColor="text1"/>
        </w:rPr>
        <w:t>5</w:t>
      </w:r>
      <w:r>
        <w:rPr>
          <w:rFonts w:ascii="Times New Roman" w:hAnsi="Times New Roman"/>
          <w:color w:val="000000" w:themeColor="text1"/>
        </w:rPr>
        <w:t>人在加油站内打手机。平时难得看到有人在加油站里抽烟，上前制止也多听劝，但劝导他们别打手机却多次遭到责骂。手机正常待机时内部电流只有</w:t>
      </w:r>
      <w:r>
        <w:rPr>
          <w:rFonts w:hint="default" w:ascii="Times New Roman" w:hAnsi="Times New Roman"/>
          <w:color w:val="000000" w:themeColor="text1"/>
        </w:rPr>
        <w:t>10mA</w:t>
      </w:r>
      <w:r>
        <w:rPr>
          <w:rFonts w:ascii="Times New Roman" w:hAnsi="Times New Roman"/>
          <w:color w:val="000000" w:themeColor="text1"/>
        </w:rPr>
        <w:t>左右，但当天线搜索到来电信号后，射频、背景灯、听筒等电路立即启动，即使不接听，手机内部电流也会瞬间加大到</w:t>
      </w:r>
      <w:r>
        <w:rPr>
          <w:rFonts w:hint="default" w:ascii="Times New Roman" w:hAnsi="Times New Roman"/>
          <w:color w:val="000000" w:themeColor="text1"/>
        </w:rPr>
        <w:t>2.5~3A</w:t>
      </w:r>
      <w:r>
        <w:rPr>
          <w:rFonts w:ascii="Times New Roman" w:hAnsi="Times New Roman"/>
          <w:color w:val="000000" w:themeColor="text1"/>
        </w:rPr>
        <w:t>，并可能产生火花。</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与此同时，那些进站加气、加油的摩托车和燃气助燃助动车的不规范操作，也给加油站带来了很大的隐患。人们经常看到，前来加油的车辆排队时，部分车辆根本不熄火。同时，也没有发现有工作人员出来劝阻。此外，为了出入方便，大多数加油站都建在十字路口，于是就有一些车辆贪图方便，“抄近道”从加油站通行，疾驰而过的闲杂车辆，也给加油站带来了安全隐患。据了解，发生爆炸的那家加油站也经常有过往车辆借道。而在事故发生前一天当地媒体点名批评过。</w:t>
      </w:r>
    </w:p>
    <w:p>
      <w:pPr>
        <w:pStyle w:val="24"/>
        <w:widowControl w:val="0"/>
        <w:spacing w:beforeAutospacing="0" w:afterAutospacing="0"/>
        <w:ind w:firstLine="482"/>
        <w:rPr>
          <w:rFonts w:hint="default" w:ascii="Times New Roman" w:hAnsi="Times New Roman"/>
          <w:b/>
          <w:bCs/>
          <w:color w:val="000000" w:themeColor="text1"/>
        </w:rPr>
      </w:pPr>
      <w:r>
        <w:rPr>
          <w:rFonts w:ascii="Times New Roman" w:hAnsi="Times New Roman"/>
          <w:b/>
          <w:bCs/>
          <w:color w:val="000000" w:themeColor="text1"/>
        </w:rPr>
        <w:t>事故教训：</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1、强化监督管理，规范管理</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加油站常年收发储存危险化学品，且为开放式频繁作业，动态的危险因素多，特别是昼夜服务的用户（人）、车辆（物）的安全可靠性变化较大。加油站的安全管理，应当建立和坚持有效的监督检查机制，保持经营过程中设施、设备、人员、车辆、环境的正常状态，及时消除不安全因素，加油站站长是本站安全管理的第一责任人，应当认真坚持“安全第一，预防为主，综合治理”的方针，坚持贯彻执行各项规章制度，规范加油站经营的各项活动。加油站员工，应当坚持执行各项规定，认真履行岗位职责，严格按章办事，规范操作。杜绝违章作业、违章指挥、违反纪律，确保经营安全。</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2、规范从业人员上岗资格的培训管理</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从业人员接受安全培训，是取得上岗资格的前提。员工培训资料的系统和完整，是确认员工的专业素质、上岗任职资格的重要证明。加油站按现行人力管理模式，站间人员交流较为频繁。应当规范做好培训资料的传递、交接，以保持培训资料的连贯、系统、完整，为考核、聘任员工提供专业技能的依据。</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3、完善岗位操作规程</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岗位操作规程未达到按岗配齐，往往导致油站作业的某些操作无章可循，容易发生违章操作，是安全管理工作中的一个薄弱环节。</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设备进行例保例检，修理故障设备，是加油站一项经常性的工作。设备检修，往往涉及排除余油、临时用电、使用明火、装拆防爆器件等等。检修过程必须严格按章办事。确保管理到位，特别是在站内爆炸危险区域和火灾危险区域，需要使用明火时，必须事先按使用类型、级别报批，取得动火作业票，并按作业票的规定执行，严禁违章动火。设立临时电源，应当由专业电工按规定装拆，防止发生以外，确保检修安全。</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4、严防火灾爆炸事故</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石油成品油是易挥发、易燃、易产生静电的危险化学物品，具有显著的火灾危险特性。石油蒸汽和空气的混合气，在一定的浓度范围内能产生爆炸。加油站常年收发成品油，并保持一定储存量，而且是开放式频繁作业，操作方式、操作过程、经营设施中存在着较多的危险有害因素。特别是静电、油蒸汽等都是与作业过程始终相伴发生，极易触发火灾爆炸事故。因此，应强化安全检查，强化员工安全意识，不断提高员工的安全操作技能；及时整改各类事故隐患、管理缺陷；规范职工的操作行为；完善防范设施。</w:t>
      </w:r>
    </w:p>
    <w:p>
      <w:pPr>
        <w:autoSpaceDE w:val="0"/>
        <w:autoSpaceDN w:val="0"/>
        <w:adjustRightInd w:val="0"/>
        <w:snapToGrid w:val="0"/>
        <w:spacing w:before="312" w:beforeLines="100" w:after="156" w:afterLines="50" w:line="360" w:lineRule="auto"/>
        <w:jc w:val="left"/>
        <w:rPr>
          <w:b/>
          <w:bCs/>
          <w:color w:val="000000" w:themeColor="text1"/>
          <w:sz w:val="24"/>
        </w:rPr>
      </w:pPr>
      <w:r>
        <w:rPr>
          <w:b/>
          <w:bCs/>
          <w:color w:val="000000" w:themeColor="text1"/>
          <w:sz w:val="24"/>
        </w:rPr>
        <w:t>案例</w:t>
      </w:r>
      <w:r>
        <w:rPr>
          <w:rFonts w:hint="eastAsia"/>
          <w:b/>
          <w:bCs/>
          <w:color w:val="000000" w:themeColor="text1"/>
          <w:sz w:val="24"/>
        </w:rPr>
        <w:t>二</w:t>
      </w:r>
      <w:r>
        <w:rPr>
          <w:b/>
          <w:bCs/>
          <w:color w:val="000000" w:themeColor="text1"/>
          <w:sz w:val="24"/>
        </w:rPr>
        <w:t>：延吉市兴安加油站发生火灾爆炸事故</w:t>
      </w:r>
    </w:p>
    <w:p>
      <w:pPr>
        <w:pStyle w:val="24"/>
        <w:widowControl w:val="0"/>
        <w:spacing w:beforeAutospacing="0" w:afterAutospacing="0"/>
        <w:ind w:firstLine="482"/>
        <w:rPr>
          <w:rFonts w:hint="default" w:ascii="Times New Roman" w:hAnsi="Times New Roman"/>
          <w:b/>
          <w:bCs/>
          <w:color w:val="000000" w:themeColor="text1"/>
        </w:rPr>
      </w:pPr>
      <w:r>
        <w:rPr>
          <w:rFonts w:hint="default" w:ascii="Times New Roman" w:hAnsi="Times New Roman"/>
          <w:b/>
          <w:bCs/>
          <w:color w:val="000000" w:themeColor="text1"/>
        </w:rPr>
        <w:t>事故经过：</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2010年7月16日，位于辽宁省大连市保税区的大连中石油国际储运有限公司原油库输油管道发生爆炸，引起大火并造成大量原油泄漏，导致部分原油、管道和设备烧损，另有部分泄漏原油流入附件海域造成污染、事故造成一名施工人员死亡</w:t>
      </w:r>
    </w:p>
    <w:p>
      <w:pPr>
        <w:pStyle w:val="24"/>
        <w:widowControl w:val="0"/>
        <w:spacing w:beforeAutospacing="0" w:afterAutospacing="0"/>
        <w:ind w:firstLine="482"/>
        <w:rPr>
          <w:rFonts w:hint="default" w:ascii="Times New Roman" w:hAnsi="Times New Roman"/>
          <w:b/>
          <w:bCs/>
          <w:color w:val="000000" w:themeColor="text1"/>
        </w:rPr>
      </w:pPr>
      <w:r>
        <w:rPr>
          <w:rFonts w:hint="default" w:ascii="Times New Roman" w:hAnsi="Times New Roman"/>
          <w:b/>
          <w:bCs/>
          <w:color w:val="000000" w:themeColor="text1"/>
        </w:rPr>
        <w:t>事故原因：</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违规在原油库输油管道上进行加注“脱硫化氢剂”作业，并在油轮停止卸油的情况下继续加注，造成“脱硫化氢剂”在输油管道内局部富集，发生强氧化反应，导致输油管道发生爆炸，引起火灾和原油泄漏。</w:t>
      </w:r>
    </w:p>
    <w:p>
      <w:pPr>
        <w:pStyle w:val="24"/>
        <w:widowControl w:val="0"/>
        <w:spacing w:beforeAutospacing="0" w:afterAutospacing="0"/>
        <w:ind w:firstLine="482"/>
        <w:rPr>
          <w:rFonts w:hint="default" w:ascii="Times New Roman" w:hAnsi="Times New Roman"/>
          <w:b/>
          <w:bCs/>
          <w:color w:val="000000" w:themeColor="text1"/>
        </w:rPr>
      </w:pPr>
      <w:r>
        <w:rPr>
          <w:rFonts w:hint="default" w:ascii="Times New Roman" w:hAnsi="Times New Roman"/>
          <w:b/>
          <w:bCs/>
          <w:color w:val="000000" w:themeColor="text1"/>
        </w:rPr>
        <w:t>事故教训：</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1、加油站应制定严格的管理制度、操作规程、岗位责任制，加油员应严格按照操作规程进行作业。</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2</w:t>
      </w:r>
      <w:r>
        <w:rPr>
          <w:rFonts w:hint="default" w:ascii="Times New Roman" w:hAnsi="Times New Roman"/>
          <w:color w:val="000000" w:themeColor="text1"/>
        </w:rPr>
        <w:t>、加强安全学习，强化职工的安全意识，落实安全生产责任制和安全操作规程。</w:t>
      </w:r>
    </w:p>
    <w:p>
      <w:pPr>
        <w:pStyle w:val="24"/>
        <w:widowControl w:val="0"/>
        <w:spacing w:beforeAutospacing="0" w:afterAutospacing="0"/>
        <w:ind w:firstLine="0" w:firstLineChars="0"/>
        <w:rPr>
          <w:rFonts w:hint="default" w:ascii="Times New Roman" w:hAnsi="Times New Roman"/>
          <w:b/>
          <w:bCs/>
          <w:color w:val="000000" w:themeColor="text1"/>
          <w:kern w:val="2"/>
        </w:rPr>
      </w:pPr>
      <w:r>
        <w:rPr>
          <w:b/>
          <w:bCs/>
          <w:color w:val="000000" w:themeColor="text1"/>
        </w:rPr>
        <w:t>案例三：</w:t>
      </w:r>
      <w:r>
        <w:rPr>
          <w:rFonts w:ascii="Times New Roman" w:hAnsi="Times New Roman"/>
          <w:b/>
          <w:bCs/>
          <w:color w:val="000000" w:themeColor="text1"/>
          <w:kern w:val="2"/>
        </w:rPr>
        <w:t>1·12河北廊坊加油站爆炸事故</w:t>
      </w:r>
    </w:p>
    <w:p>
      <w:pPr>
        <w:pStyle w:val="24"/>
        <w:widowControl w:val="0"/>
        <w:spacing w:beforeAutospacing="0" w:afterAutospacing="0"/>
        <w:ind w:firstLine="482"/>
        <w:rPr>
          <w:rFonts w:hint="default" w:ascii="Times New Roman" w:hAnsi="Times New Roman"/>
          <w:color w:val="000000" w:themeColor="text1"/>
        </w:rPr>
      </w:pPr>
      <w:r>
        <w:rPr>
          <w:rFonts w:hint="default" w:ascii="Times New Roman" w:hAnsi="Times New Roman"/>
          <w:b/>
          <w:bCs/>
          <w:color w:val="000000" w:themeColor="text1"/>
        </w:rPr>
        <w:t>事故经过：</w:t>
      </w:r>
      <w:r>
        <w:rPr>
          <w:rFonts w:ascii="Times New Roman" w:hAnsi="Times New Roman"/>
          <w:color w:val="000000" w:themeColor="text1"/>
        </w:rPr>
        <w:t>2011年1月12日16时45分许，河北省廊坊市和平路一中石化加油站发生起火爆炸事故。廊坊市官方称，事故未造成人员伤亡，起火原因为油罐车卸油后，静电火花引发起火爆炸。</w:t>
      </w:r>
    </w:p>
    <w:p>
      <w:pPr>
        <w:pStyle w:val="24"/>
        <w:widowControl w:val="0"/>
        <w:spacing w:beforeAutospacing="0" w:afterAutospacing="0"/>
        <w:ind w:firstLine="482"/>
        <w:rPr>
          <w:rFonts w:hint="default" w:ascii="Times New Roman" w:hAnsi="Times New Roman"/>
          <w:b/>
          <w:bCs/>
          <w:color w:val="000000" w:themeColor="text1"/>
        </w:rPr>
      </w:pPr>
      <w:r>
        <w:rPr>
          <w:rFonts w:hint="default" w:ascii="Times New Roman" w:hAnsi="Times New Roman"/>
          <w:b/>
          <w:bCs/>
          <w:color w:val="000000" w:themeColor="text1"/>
        </w:rPr>
        <w:t>事故原因：</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起火原因为油罐车卸油后，静电火花引发。</w:t>
      </w:r>
    </w:p>
    <w:p>
      <w:pPr>
        <w:pStyle w:val="24"/>
        <w:widowControl w:val="0"/>
        <w:spacing w:beforeAutospacing="0" w:afterAutospacing="0"/>
        <w:ind w:firstLine="482"/>
        <w:rPr>
          <w:rFonts w:hint="default" w:ascii="Times New Roman" w:hAnsi="Times New Roman"/>
          <w:b/>
          <w:bCs/>
          <w:color w:val="000000" w:themeColor="text1"/>
        </w:rPr>
      </w:pPr>
      <w:r>
        <w:rPr>
          <w:rFonts w:hint="default" w:ascii="Times New Roman" w:hAnsi="Times New Roman"/>
          <w:b/>
          <w:bCs/>
          <w:color w:val="000000" w:themeColor="text1"/>
        </w:rPr>
        <w:t>事故教训：</w:t>
      </w:r>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卸油操作时一定要防止油气外泄，并防止有明火，同时防止静电的积聚，卸油作业时要做好以下几点：一是操作人员必须穿戴好防静电护具。油罐车卸油前要按装好防静电夹钳。二是通过液位或人工计量检测确认所卸油品的空容量；防止跑、冒油事故发生。三是采用密封卸油，按工艺要求连接接卸油管；同时暂停加油作业。四是司机缓慢开启罐车卸油阀，卸油员集中精力监视卸油全过程，随时处理突发的问题；卸车司机不得远离现场。五是卸油完毕，卸油员登上罐车检查确认油品卸净，关好油罐阀门，使油罐处于密闭状态。罐车司机应关好罐车所有阀们及帽口，使罐车出于密封状态。六是引导油灌车离站。七是罐内油品静止10分钟后，方可通知加油员开机加油。</w:t>
      </w:r>
    </w:p>
    <w:p>
      <w:pPr>
        <w:pStyle w:val="24"/>
        <w:widowControl w:val="0"/>
        <w:spacing w:beforeAutospacing="0" w:afterAutospacing="0"/>
        <w:rPr>
          <w:rFonts w:hint="default" w:ascii="Times New Roman" w:hAnsi="Times New Roman"/>
          <w:color w:val="000000" w:themeColor="text1"/>
        </w:rPr>
      </w:pPr>
    </w:p>
    <w:p>
      <w:pPr>
        <w:pStyle w:val="24"/>
        <w:widowControl w:val="0"/>
        <w:spacing w:beforeAutospacing="0" w:afterAutospacing="0"/>
        <w:ind w:firstLine="0" w:firstLineChars="0"/>
        <w:rPr>
          <w:rFonts w:hint="default" w:ascii="Times New Roman" w:hAnsi="Times New Roman"/>
          <w:b/>
          <w:bCs/>
          <w:color w:val="000000" w:themeColor="text1"/>
          <w:kern w:val="2"/>
        </w:rPr>
      </w:pPr>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59" w:name="_Toc380"/>
      <w:r>
        <w:rPr>
          <w:b/>
          <w:bCs/>
          <w:color w:val="000000" w:themeColor="text1"/>
          <w:sz w:val="24"/>
        </w:rPr>
        <w:t>4.2突发环境事件情景源强分析</w:t>
      </w:r>
      <w:bookmarkEnd w:id="59"/>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60" w:name="_Toc14128"/>
      <w:r>
        <w:rPr>
          <w:b/>
          <w:bCs/>
          <w:color w:val="000000" w:themeColor="text1"/>
          <w:sz w:val="24"/>
        </w:rPr>
        <w:t>4.2.1泄露事故及环境风险概率</w:t>
      </w:r>
      <w:bookmarkEnd w:id="60"/>
    </w:p>
    <w:p>
      <w:pPr>
        <w:pStyle w:val="24"/>
        <w:widowControl w:val="0"/>
        <w:spacing w:beforeAutospacing="0" w:afterAutospacing="0"/>
        <w:rPr>
          <w:rFonts w:hint="default" w:ascii="Times New Roman" w:hAnsi="Times New Roman"/>
          <w:b/>
          <w:color w:val="000000" w:themeColor="text1"/>
        </w:rPr>
      </w:pPr>
      <w:r>
        <w:rPr>
          <w:rFonts w:hint="default" w:ascii="Times New Roman" w:hAnsi="Times New Roman"/>
          <w:color w:val="000000" w:themeColor="text1"/>
        </w:rPr>
        <w:t>项目环境风险源：</w:t>
      </w:r>
      <w:r>
        <w:rPr>
          <w:rFonts w:ascii="Times New Roman" w:hAnsi="Times New Roman"/>
          <w:color w:val="000000" w:themeColor="text1"/>
        </w:rPr>
        <w:t>成品油</w:t>
      </w:r>
      <w:r>
        <w:rPr>
          <w:rFonts w:hint="default" w:ascii="Times New Roman" w:hAnsi="Times New Roman"/>
          <w:color w:val="000000" w:themeColor="text1"/>
        </w:rPr>
        <w:t>、危险废物（油泥、油渣、沾油消防沙）、含油废水等。</w:t>
      </w:r>
    </w:p>
    <w:p>
      <w:pPr>
        <w:pStyle w:val="6"/>
        <w:spacing w:line="240" w:lineRule="auto"/>
        <w:jc w:val="center"/>
        <w:rPr>
          <w:rFonts w:ascii="Times New Roman"/>
          <w:b/>
          <w:color w:val="000000" w:themeColor="text1"/>
          <w:sz w:val="21"/>
          <w:szCs w:val="21"/>
        </w:rPr>
      </w:pPr>
      <w:r>
        <w:rPr>
          <w:rFonts w:ascii="Times New Roman"/>
          <w:b/>
          <w:color w:val="000000" w:themeColor="text1"/>
          <w:sz w:val="21"/>
          <w:szCs w:val="21"/>
        </w:rPr>
        <w:t>表4-1 项目环境风险源项识别</w:t>
      </w:r>
    </w:p>
    <w:tbl>
      <w:tblPr>
        <w:tblStyle w:val="15"/>
        <w:tblW w:w="85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1"/>
        <w:gridCol w:w="1646"/>
        <w:gridCol w:w="2459"/>
        <w:gridCol w:w="1518"/>
        <w:gridCol w:w="21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jc w:val="center"/>
        </w:trPr>
        <w:tc>
          <w:tcPr>
            <w:tcW w:w="791" w:type="dxa"/>
            <w:vAlign w:val="center"/>
          </w:tcPr>
          <w:p>
            <w:pPr>
              <w:jc w:val="center"/>
              <w:rPr>
                <w:b/>
                <w:color w:val="000000" w:themeColor="text1"/>
                <w:szCs w:val="21"/>
              </w:rPr>
            </w:pPr>
            <w:r>
              <w:rPr>
                <w:b/>
                <w:color w:val="000000" w:themeColor="text1"/>
                <w:szCs w:val="21"/>
              </w:rPr>
              <w:t>序号</w:t>
            </w:r>
          </w:p>
        </w:tc>
        <w:tc>
          <w:tcPr>
            <w:tcW w:w="1646" w:type="dxa"/>
            <w:vAlign w:val="center"/>
          </w:tcPr>
          <w:p>
            <w:pPr>
              <w:jc w:val="center"/>
              <w:rPr>
                <w:b/>
                <w:color w:val="000000" w:themeColor="text1"/>
                <w:szCs w:val="21"/>
              </w:rPr>
            </w:pPr>
            <w:r>
              <w:rPr>
                <w:b/>
                <w:color w:val="000000" w:themeColor="text1"/>
                <w:szCs w:val="21"/>
              </w:rPr>
              <w:t>发生风险对象</w:t>
            </w:r>
          </w:p>
        </w:tc>
        <w:tc>
          <w:tcPr>
            <w:tcW w:w="2459" w:type="dxa"/>
            <w:vAlign w:val="center"/>
          </w:tcPr>
          <w:p>
            <w:pPr>
              <w:jc w:val="center"/>
              <w:rPr>
                <w:b/>
                <w:color w:val="000000" w:themeColor="text1"/>
                <w:szCs w:val="21"/>
              </w:rPr>
            </w:pPr>
            <w:r>
              <w:rPr>
                <w:b/>
                <w:color w:val="000000" w:themeColor="text1"/>
                <w:szCs w:val="21"/>
              </w:rPr>
              <w:t>风险类别</w:t>
            </w:r>
          </w:p>
        </w:tc>
        <w:tc>
          <w:tcPr>
            <w:tcW w:w="1518" w:type="dxa"/>
            <w:vAlign w:val="center"/>
          </w:tcPr>
          <w:p>
            <w:pPr>
              <w:jc w:val="center"/>
              <w:rPr>
                <w:b/>
                <w:color w:val="000000" w:themeColor="text1"/>
                <w:szCs w:val="21"/>
              </w:rPr>
            </w:pPr>
            <w:r>
              <w:rPr>
                <w:b/>
                <w:color w:val="000000" w:themeColor="text1"/>
                <w:szCs w:val="21"/>
              </w:rPr>
              <w:t>风险原因</w:t>
            </w:r>
          </w:p>
        </w:tc>
        <w:tc>
          <w:tcPr>
            <w:tcW w:w="2102" w:type="dxa"/>
            <w:vAlign w:val="center"/>
          </w:tcPr>
          <w:p>
            <w:pPr>
              <w:jc w:val="center"/>
              <w:rPr>
                <w:b/>
                <w:color w:val="000000" w:themeColor="text1"/>
                <w:szCs w:val="21"/>
              </w:rPr>
            </w:pPr>
            <w:r>
              <w:rPr>
                <w:b/>
                <w:color w:val="000000" w:themeColor="text1"/>
                <w:szCs w:val="21"/>
              </w:rPr>
              <w:t>影响对象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9" w:hRule="atLeast"/>
          <w:jc w:val="center"/>
        </w:trPr>
        <w:tc>
          <w:tcPr>
            <w:tcW w:w="791" w:type="dxa"/>
            <w:vAlign w:val="center"/>
          </w:tcPr>
          <w:p>
            <w:pPr>
              <w:jc w:val="center"/>
              <w:rPr>
                <w:color w:val="000000" w:themeColor="text1"/>
                <w:szCs w:val="21"/>
              </w:rPr>
            </w:pPr>
            <w:r>
              <w:rPr>
                <w:color w:val="000000" w:themeColor="text1"/>
                <w:szCs w:val="21"/>
              </w:rPr>
              <w:t>1</w:t>
            </w:r>
          </w:p>
        </w:tc>
        <w:tc>
          <w:tcPr>
            <w:tcW w:w="1646" w:type="dxa"/>
            <w:vAlign w:val="center"/>
          </w:tcPr>
          <w:p>
            <w:pPr>
              <w:jc w:val="center"/>
              <w:rPr>
                <w:color w:val="000000" w:themeColor="text1"/>
                <w:szCs w:val="21"/>
              </w:rPr>
            </w:pPr>
            <w:r>
              <w:rPr>
                <w:color w:val="000000" w:themeColor="text1"/>
                <w:szCs w:val="21"/>
              </w:rPr>
              <w:t>汽油</w:t>
            </w:r>
            <w:r>
              <w:rPr>
                <w:rFonts w:hint="eastAsia"/>
                <w:color w:val="000000" w:themeColor="text1"/>
                <w:szCs w:val="21"/>
              </w:rPr>
              <w:t>、柴油等</w:t>
            </w:r>
          </w:p>
        </w:tc>
        <w:tc>
          <w:tcPr>
            <w:tcW w:w="2459" w:type="dxa"/>
            <w:vAlign w:val="center"/>
          </w:tcPr>
          <w:p>
            <w:pPr>
              <w:jc w:val="center"/>
              <w:rPr>
                <w:color w:val="000000" w:themeColor="text1"/>
                <w:szCs w:val="21"/>
              </w:rPr>
            </w:pPr>
            <w:r>
              <w:rPr>
                <w:color w:val="000000" w:themeColor="text1"/>
                <w:szCs w:val="21"/>
              </w:rPr>
              <w:t>加油、卸油或贮存不当、泄漏</w:t>
            </w:r>
          </w:p>
        </w:tc>
        <w:tc>
          <w:tcPr>
            <w:tcW w:w="1518" w:type="dxa"/>
            <w:vAlign w:val="center"/>
          </w:tcPr>
          <w:p>
            <w:pPr>
              <w:jc w:val="center"/>
              <w:rPr>
                <w:color w:val="000000" w:themeColor="text1"/>
                <w:szCs w:val="21"/>
              </w:rPr>
            </w:pPr>
            <w:r>
              <w:rPr>
                <w:color w:val="000000" w:themeColor="text1"/>
                <w:szCs w:val="21"/>
              </w:rPr>
              <w:t>管理疏忽，操作不当。</w:t>
            </w:r>
          </w:p>
        </w:tc>
        <w:tc>
          <w:tcPr>
            <w:tcW w:w="2102" w:type="dxa"/>
            <w:vAlign w:val="center"/>
          </w:tcPr>
          <w:p>
            <w:pPr>
              <w:jc w:val="center"/>
              <w:rPr>
                <w:color w:val="000000" w:themeColor="text1"/>
                <w:szCs w:val="21"/>
              </w:rPr>
            </w:pPr>
            <w:r>
              <w:rPr>
                <w:color w:val="000000" w:themeColor="text1"/>
                <w:szCs w:val="21"/>
              </w:rPr>
              <w:t>附近居民，加油站人群。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791" w:type="dxa"/>
            <w:vAlign w:val="center"/>
          </w:tcPr>
          <w:p>
            <w:pPr>
              <w:jc w:val="center"/>
              <w:rPr>
                <w:color w:val="000000" w:themeColor="text1"/>
                <w:szCs w:val="21"/>
              </w:rPr>
            </w:pPr>
            <w:r>
              <w:rPr>
                <w:color w:val="000000" w:themeColor="text1"/>
                <w:szCs w:val="21"/>
              </w:rPr>
              <w:t>2</w:t>
            </w:r>
          </w:p>
        </w:tc>
        <w:tc>
          <w:tcPr>
            <w:tcW w:w="1646" w:type="dxa"/>
            <w:vAlign w:val="center"/>
          </w:tcPr>
          <w:p>
            <w:pPr>
              <w:jc w:val="center"/>
              <w:rPr>
                <w:color w:val="000000" w:themeColor="text1"/>
                <w:szCs w:val="21"/>
              </w:rPr>
            </w:pPr>
            <w:r>
              <w:rPr>
                <w:color w:val="000000" w:themeColor="text1"/>
                <w:szCs w:val="21"/>
              </w:rPr>
              <w:t>危险废物</w:t>
            </w:r>
          </w:p>
        </w:tc>
        <w:tc>
          <w:tcPr>
            <w:tcW w:w="2459" w:type="dxa"/>
          </w:tcPr>
          <w:p>
            <w:pPr>
              <w:jc w:val="center"/>
              <w:rPr>
                <w:color w:val="000000" w:themeColor="text1"/>
                <w:szCs w:val="21"/>
              </w:rPr>
            </w:pPr>
            <w:r>
              <w:rPr>
                <w:color w:val="000000" w:themeColor="text1"/>
                <w:szCs w:val="21"/>
              </w:rPr>
              <w:t>贮存不当、随意处置。</w:t>
            </w:r>
          </w:p>
        </w:tc>
        <w:tc>
          <w:tcPr>
            <w:tcW w:w="1518" w:type="dxa"/>
          </w:tcPr>
          <w:p>
            <w:pPr>
              <w:jc w:val="center"/>
              <w:rPr>
                <w:color w:val="000000" w:themeColor="text1"/>
                <w:szCs w:val="21"/>
              </w:rPr>
            </w:pPr>
            <w:r>
              <w:rPr>
                <w:color w:val="000000" w:themeColor="text1"/>
                <w:szCs w:val="21"/>
              </w:rPr>
              <w:t>管理疏忽，操作不当</w:t>
            </w:r>
          </w:p>
        </w:tc>
        <w:tc>
          <w:tcPr>
            <w:tcW w:w="2102" w:type="dxa"/>
          </w:tcPr>
          <w:p>
            <w:pPr>
              <w:jc w:val="center"/>
              <w:rPr>
                <w:color w:val="000000" w:themeColor="text1"/>
                <w:szCs w:val="21"/>
              </w:rPr>
            </w:pPr>
            <w:r>
              <w:rPr>
                <w:color w:val="000000" w:themeColor="text1"/>
                <w:szCs w:val="21"/>
              </w:rPr>
              <w:t>加油站人群、附近土壤、周边水体。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791" w:type="dxa"/>
            <w:vAlign w:val="center"/>
          </w:tcPr>
          <w:p>
            <w:pPr>
              <w:jc w:val="center"/>
              <w:rPr>
                <w:color w:val="000000" w:themeColor="text1"/>
                <w:szCs w:val="21"/>
              </w:rPr>
            </w:pPr>
            <w:r>
              <w:rPr>
                <w:color w:val="000000" w:themeColor="text1"/>
                <w:szCs w:val="21"/>
              </w:rPr>
              <w:t>3</w:t>
            </w:r>
          </w:p>
        </w:tc>
        <w:tc>
          <w:tcPr>
            <w:tcW w:w="1646" w:type="dxa"/>
            <w:vAlign w:val="center"/>
          </w:tcPr>
          <w:p>
            <w:pPr>
              <w:jc w:val="center"/>
              <w:rPr>
                <w:color w:val="000000" w:themeColor="text1"/>
                <w:szCs w:val="21"/>
              </w:rPr>
            </w:pPr>
            <w:r>
              <w:rPr>
                <w:color w:val="000000" w:themeColor="text1"/>
                <w:szCs w:val="21"/>
              </w:rPr>
              <w:t>含油废水</w:t>
            </w:r>
          </w:p>
        </w:tc>
        <w:tc>
          <w:tcPr>
            <w:tcW w:w="2459" w:type="dxa"/>
          </w:tcPr>
          <w:p>
            <w:pPr>
              <w:jc w:val="center"/>
              <w:rPr>
                <w:color w:val="000000" w:themeColor="text1"/>
                <w:szCs w:val="21"/>
              </w:rPr>
            </w:pPr>
            <w:r>
              <w:rPr>
                <w:color w:val="000000" w:themeColor="text1"/>
                <w:szCs w:val="21"/>
              </w:rPr>
              <w:t>收集沟道泄露、处理设施故障、外排。</w:t>
            </w:r>
          </w:p>
        </w:tc>
        <w:tc>
          <w:tcPr>
            <w:tcW w:w="1518" w:type="dxa"/>
          </w:tcPr>
          <w:p>
            <w:pPr>
              <w:jc w:val="center"/>
              <w:rPr>
                <w:color w:val="000000" w:themeColor="text1"/>
                <w:szCs w:val="21"/>
              </w:rPr>
            </w:pPr>
            <w:r>
              <w:rPr>
                <w:color w:val="000000" w:themeColor="text1"/>
                <w:szCs w:val="21"/>
              </w:rPr>
              <w:t>管理疏忽，操作不当。</w:t>
            </w:r>
          </w:p>
        </w:tc>
        <w:tc>
          <w:tcPr>
            <w:tcW w:w="2102" w:type="dxa"/>
          </w:tcPr>
          <w:p>
            <w:pPr>
              <w:jc w:val="center"/>
              <w:rPr>
                <w:color w:val="000000" w:themeColor="text1"/>
                <w:szCs w:val="21"/>
              </w:rPr>
            </w:pPr>
            <w:r>
              <w:rPr>
                <w:color w:val="000000" w:themeColor="text1"/>
                <w:szCs w:val="21"/>
              </w:rPr>
              <w:t>加油站环境、地下水污染、土壤污染。</w:t>
            </w:r>
          </w:p>
        </w:tc>
      </w:tr>
    </w:tbl>
    <w:p>
      <w:pPr>
        <w:pStyle w:val="24"/>
        <w:widowControl w:val="0"/>
        <w:spacing w:beforeAutospacing="0" w:afterAutospacing="0"/>
        <w:ind w:firstLine="0" w:firstLineChars="0"/>
        <w:rPr>
          <w:rFonts w:hint="default" w:ascii="Times New Roman" w:hAnsi="Times New Roman"/>
          <w:b/>
          <w:bCs/>
          <w:color w:val="000000" w:themeColor="text1"/>
        </w:rPr>
      </w:pPr>
      <w:r>
        <w:rPr>
          <w:rFonts w:hint="default" w:ascii="Times New Roman" w:hAnsi="Times New Roman"/>
          <w:b/>
          <w:bCs/>
          <w:color w:val="000000" w:themeColor="text1"/>
        </w:rPr>
        <w:t>（1）汽油</w:t>
      </w:r>
    </w:p>
    <w:p>
      <w:pPr>
        <w:snapToGrid w:val="0"/>
        <w:jc w:val="center"/>
        <w:rPr>
          <w:b/>
          <w:color w:val="000000" w:themeColor="text1"/>
          <w:szCs w:val="21"/>
        </w:rPr>
      </w:pPr>
      <w:r>
        <w:rPr>
          <w:b/>
          <w:color w:val="000000" w:themeColor="text1"/>
          <w:szCs w:val="21"/>
        </w:rPr>
        <w:t>表4-2 汽油的理化性质及危险特性表</w:t>
      </w:r>
    </w:p>
    <w:tbl>
      <w:tblPr>
        <w:tblStyle w:val="15"/>
        <w:tblW w:w="8316"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467"/>
        <w:gridCol w:w="2325"/>
        <w:gridCol w:w="1342"/>
        <w:gridCol w:w="3182"/>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2" w:hRule="atLeast"/>
          <w:jc w:val="center"/>
        </w:trPr>
        <w:tc>
          <w:tcPr>
            <w:tcW w:w="1467" w:type="dxa"/>
            <w:vAlign w:val="center"/>
          </w:tcPr>
          <w:p>
            <w:pPr>
              <w:snapToGrid w:val="0"/>
              <w:jc w:val="center"/>
              <w:rPr>
                <w:color w:val="000000" w:themeColor="text1"/>
                <w:szCs w:val="21"/>
              </w:rPr>
            </w:pPr>
            <w:r>
              <w:rPr>
                <w:color w:val="000000" w:themeColor="text1"/>
                <w:szCs w:val="21"/>
              </w:rPr>
              <w:t>名称</w:t>
            </w:r>
          </w:p>
        </w:tc>
        <w:tc>
          <w:tcPr>
            <w:tcW w:w="2325" w:type="dxa"/>
            <w:vAlign w:val="center"/>
          </w:tcPr>
          <w:p>
            <w:pPr>
              <w:snapToGrid w:val="0"/>
              <w:jc w:val="center"/>
              <w:rPr>
                <w:color w:val="000000" w:themeColor="text1"/>
                <w:szCs w:val="21"/>
              </w:rPr>
            </w:pPr>
            <w:r>
              <w:rPr>
                <w:color w:val="000000" w:themeColor="text1"/>
                <w:szCs w:val="21"/>
              </w:rPr>
              <w:t>汽油</w:t>
            </w:r>
          </w:p>
        </w:tc>
        <w:tc>
          <w:tcPr>
            <w:tcW w:w="1342" w:type="dxa"/>
            <w:vAlign w:val="center"/>
          </w:tcPr>
          <w:p>
            <w:pPr>
              <w:snapToGrid w:val="0"/>
              <w:jc w:val="center"/>
              <w:rPr>
                <w:color w:val="000000" w:themeColor="text1"/>
                <w:szCs w:val="21"/>
              </w:rPr>
            </w:pPr>
            <w:r>
              <w:rPr>
                <w:color w:val="000000" w:themeColor="text1"/>
                <w:szCs w:val="21"/>
              </w:rPr>
              <w:t>英文名称</w:t>
            </w:r>
          </w:p>
        </w:tc>
        <w:tc>
          <w:tcPr>
            <w:tcW w:w="3182" w:type="dxa"/>
            <w:vAlign w:val="center"/>
          </w:tcPr>
          <w:p>
            <w:pPr>
              <w:snapToGrid w:val="0"/>
              <w:jc w:val="center"/>
              <w:rPr>
                <w:color w:val="000000" w:themeColor="text1"/>
                <w:szCs w:val="21"/>
              </w:rPr>
            </w:pPr>
            <w:r>
              <w:rPr>
                <w:color w:val="000000" w:themeColor="text1"/>
                <w:szCs w:val="21"/>
              </w:rPr>
              <w:t>Gasline（flash less than -18℃）</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3" w:hRule="atLeast"/>
          <w:jc w:val="center"/>
        </w:trPr>
        <w:tc>
          <w:tcPr>
            <w:tcW w:w="1467" w:type="dxa"/>
            <w:vAlign w:val="center"/>
          </w:tcPr>
          <w:p>
            <w:pPr>
              <w:snapToGrid w:val="0"/>
              <w:jc w:val="center"/>
              <w:rPr>
                <w:color w:val="000000" w:themeColor="text1"/>
                <w:szCs w:val="21"/>
              </w:rPr>
            </w:pPr>
            <w:r>
              <w:rPr>
                <w:color w:val="000000" w:themeColor="text1"/>
                <w:szCs w:val="21"/>
              </w:rPr>
              <w:t>别名</w:t>
            </w:r>
          </w:p>
        </w:tc>
        <w:tc>
          <w:tcPr>
            <w:tcW w:w="2325" w:type="dxa"/>
            <w:vAlign w:val="center"/>
          </w:tcPr>
          <w:p>
            <w:pPr>
              <w:snapToGrid w:val="0"/>
              <w:jc w:val="center"/>
              <w:rPr>
                <w:color w:val="000000" w:themeColor="text1"/>
                <w:szCs w:val="21"/>
              </w:rPr>
            </w:pPr>
            <w:r>
              <w:rPr>
                <w:color w:val="000000" w:themeColor="text1"/>
                <w:szCs w:val="21"/>
              </w:rPr>
              <w:t>/</w:t>
            </w:r>
          </w:p>
        </w:tc>
        <w:tc>
          <w:tcPr>
            <w:tcW w:w="1342" w:type="dxa"/>
            <w:vAlign w:val="center"/>
          </w:tcPr>
          <w:p>
            <w:pPr>
              <w:snapToGrid w:val="0"/>
              <w:jc w:val="center"/>
              <w:rPr>
                <w:color w:val="000000" w:themeColor="text1"/>
                <w:szCs w:val="21"/>
              </w:rPr>
            </w:pPr>
            <w:r>
              <w:rPr>
                <w:color w:val="000000" w:themeColor="text1"/>
                <w:szCs w:val="21"/>
              </w:rPr>
              <w:t>分子式</w:t>
            </w:r>
          </w:p>
        </w:tc>
        <w:tc>
          <w:tcPr>
            <w:tcW w:w="3182" w:type="dxa"/>
            <w:vAlign w:val="center"/>
          </w:tcPr>
          <w:p>
            <w:pPr>
              <w:snapToGrid w:val="0"/>
              <w:jc w:val="center"/>
              <w:rPr>
                <w:color w:val="000000" w:themeColor="text1"/>
                <w:szCs w:val="21"/>
              </w:rPr>
            </w:pPr>
            <w:r>
              <w:rPr>
                <w:color w:val="000000" w:themeColor="text1"/>
                <w:szCs w:val="21"/>
              </w:rPr>
              <w:t>混合物</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43" w:hRule="atLeast"/>
          <w:jc w:val="center"/>
        </w:trPr>
        <w:tc>
          <w:tcPr>
            <w:tcW w:w="1467" w:type="dxa"/>
            <w:vAlign w:val="center"/>
          </w:tcPr>
          <w:p>
            <w:pPr>
              <w:snapToGrid w:val="0"/>
              <w:jc w:val="center"/>
              <w:rPr>
                <w:color w:val="000000" w:themeColor="text1"/>
                <w:szCs w:val="21"/>
              </w:rPr>
            </w:pPr>
            <w:r>
              <w:rPr>
                <w:color w:val="000000" w:themeColor="text1"/>
                <w:szCs w:val="21"/>
              </w:rPr>
              <w:t>理化性质</w:t>
            </w:r>
          </w:p>
        </w:tc>
        <w:tc>
          <w:tcPr>
            <w:tcW w:w="6849" w:type="dxa"/>
            <w:gridSpan w:val="3"/>
            <w:vAlign w:val="center"/>
          </w:tcPr>
          <w:p>
            <w:pPr>
              <w:snapToGrid w:val="0"/>
              <w:jc w:val="left"/>
              <w:rPr>
                <w:color w:val="000000" w:themeColor="text1"/>
                <w:szCs w:val="21"/>
              </w:rPr>
            </w:pPr>
            <w:r>
              <w:rPr>
                <w:color w:val="000000" w:themeColor="text1"/>
                <w:szCs w:val="21"/>
              </w:rPr>
              <w:t>1、无色到浅黄色透明液体</w:t>
            </w:r>
          </w:p>
          <w:p>
            <w:pPr>
              <w:snapToGrid w:val="0"/>
              <w:jc w:val="left"/>
              <w:rPr>
                <w:color w:val="000000" w:themeColor="text1"/>
                <w:szCs w:val="21"/>
              </w:rPr>
            </w:pPr>
            <w:r>
              <w:rPr>
                <w:color w:val="000000" w:themeColor="text1"/>
                <w:szCs w:val="21"/>
              </w:rPr>
              <w:t>2、相对密度：0.70～0.80</w:t>
            </w:r>
          </w:p>
          <w:p>
            <w:pPr>
              <w:snapToGrid w:val="0"/>
              <w:jc w:val="left"/>
              <w:rPr>
                <w:color w:val="000000" w:themeColor="text1"/>
                <w:szCs w:val="21"/>
              </w:rPr>
            </w:pPr>
            <w:r>
              <w:rPr>
                <w:color w:val="000000" w:themeColor="text1"/>
                <w:szCs w:val="21"/>
              </w:rPr>
              <w:t>3、闪点：-50℃</w:t>
            </w:r>
          </w:p>
          <w:p>
            <w:pPr>
              <w:snapToGrid w:val="0"/>
              <w:jc w:val="left"/>
              <w:rPr>
                <w:color w:val="000000" w:themeColor="text1"/>
                <w:szCs w:val="21"/>
              </w:rPr>
            </w:pPr>
            <w:r>
              <w:rPr>
                <w:color w:val="000000" w:themeColor="text1"/>
                <w:szCs w:val="21"/>
              </w:rPr>
              <w:t>4、爆炸极限：1.4%～7.6%</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316" w:hRule="atLeast"/>
          <w:jc w:val="center"/>
        </w:trPr>
        <w:tc>
          <w:tcPr>
            <w:tcW w:w="1467" w:type="dxa"/>
            <w:vAlign w:val="center"/>
          </w:tcPr>
          <w:p>
            <w:pPr>
              <w:snapToGrid w:val="0"/>
              <w:jc w:val="center"/>
              <w:rPr>
                <w:color w:val="000000" w:themeColor="text1"/>
                <w:szCs w:val="21"/>
              </w:rPr>
            </w:pPr>
            <w:r>
              <w:rPr>
                <w:color w:val="000000" w:themeColor="text1"/>
                <w:szCs w:val="21"/>
              </w:rPr>
              <w:t>危险特性</w:t>
            </w:r>
          </w:p>
        </w:tc>
        <w:tc>
          <w:tcPr>
            <w:tcW w:w="6849" w:type="dxa"/>
            <w:gridSpan w:val="3"/>
            <w:vAlign w:val="center"/>
          </w:tcPr>
          <w:p>
            <w:pPr>
              <w:snapToGrid w:val="0"/>
              <w:jc w:val="left"/>
              <w:rPr>
                <w:color w:val="000000" w:themeColor="text1"/>
                <w:szCs w:val="21"/>
              </w:rPr>
            </w:pPr>
            <w:r>
              <w:rPr>
                <w:color w:val="000000" w:themeColor="text1"/>
                <w:szCs w:val="21"/>
              </w:rPr>
              <w:t>1、高度易燃，蒸气与空气可形成爆炸性混合物，遇明火、高热易燃烧爆炸；</w:t>
            </w:r>
          </w:p>
          <w:p>
            <w:pPr>
              <w:snapToGrid w:val="0"/>
              <w:jc w:val="left"/>
              <w:rPr>
                <w:color w:val="000000" w:themeColor="text1"/>
                <w:szCs w:val="21"/>
              </w:rPr>
            </w:pPr>
            <w:r>
              <w:rPr>
                <w:color w:val="000000" w:themeColor="text1"/>
                <w:szCs w:val="21"/>
              </w:rPr>
              <w:t>2、蒸气比空气重，能在较低处扩散到相当远的地方，遇火源会着火回燃；</w:t>
            </w:r>
          </w:p>
          <w:p>
            <w:pPr>
              <w:snapToGrid w:val="0"/>
              <w:jc w:val="left"/>
              <w:rPr>
                <w:color w:val="000000" w:themeColor="text1"/>
                <w:szCs w:val="21"/>
              </w:rPr>
            </w:pPr>
            <w:r>
              <w:rPr>
                <w:color w:val="000000" w:themeColor="text1"/>
                <w:szCs w:val="21"/>
              </w:rPr>
              <w:t>3、流速过快，容易产生和积聚静电；</w:t>
            </w:r>
          </w:p>
          <w:p>
            <w:pPr>
              <w:snapToGrid w:val="0"/>
              <w:jc w:val="left"/>
              <w:rPr>
                <w:color w:val="000000" w:themeColor="text1"/>
                <w:szCs w:val="21"/>
              </w:rPr>
            </w:pPr>
            <w:r>
              <w:rPr>
                <w:color w:val="000000" w:themeColor="text1"/>
                <w:szCs w:val="21"/>
              </w:rPr>
              <w:t>4、在火场中，受热的容器有爆炸危险</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09" w:hRule="atLeast"/>
          <w:jc w:val="center"/>
        </w:trPr>
        <w:tc>
          <w:tcPr>
            <w:tcW w:w="1467" w:type="dxa"/>
            <w:vAlign w:val="center"/>
          </w:tcPr>
          <w:p>
            <w:pPr>
              <w:snapToGrid w:val="0"/>
              <w:jc w:val="center"/>
              <w:rPr>
                <w:color w:val="000000" w:themeColor="text1"/>
                <w:szCs w:val="21"/>
              </w:rPr>
            </w:pPr>
            <w:r>
              <w:rPr>
                <w:color w:val="000000" w:themeColor="text1"/>
                <w:szCs w:val="21"/>
              </w:rPr>
              <w:t>环境影响</w:t>
            </w:r>
          </w:p>
        </w:tc>
        <w:tc>
          <w:tcPr>
            <w:tcW w:w="6849" w:type="dxa"/>
            <w:gridSpan w:val="3"/>
            <w:vAlign w:val="center"/>
          </w:tcPr>
          <w:p>
            <w:pPr>
              <w:snapToGrid w:val="0"/>
              <w:jc w:val="left"/>
              <w:rPr>
                <w:color w:val="000000" w:themeColor="text1"/>
                <w:szCs w:val="21"/>
              </w:rPr>
            </w:pPr>
            <w:r>
              <w:rPr>
                <w:color w:val="000000" w:themeColor="text1"/>
                <w:szCs w:val="21"/>
              </w:rPr>
              <w:t>1、在很低的浓度下对水生生物造成危害在土壤中具有极强的迁移性有一定的生物富集性；</w:t>
            </w:r>
          </w:p>
          <w:p>
            <w:pPr>
              <w:snapToGrid w:val="0"/>
              <w:jc w:val="left"/>
              <w:rPr>
                <w:color w:val="000000" w:themeColor="text1"/>
                <w:szCs w:val="21"/>
              </w:rPr>
            </w:pPr>
            <w:r>
              <w:rPr>
                <w:color w:val="000000" w:themeColor="text1"/>
                <w:szCs w:val="21"/>
              </w:rPr>
              <w:t>2、在低的浓度时能生物降解；</w:t>
            </w:r>
          </w:p>
          <w:p>
            <w:pPr>
              <w:snapToGrid w:val="0"/>
              <w:jc w:val="left"/>
              <w:rPr>
                <w:color w:val="000000" w:themeColor="text1"/>
                <w:szCs w:val="21"/>
              </w:rPr>
            </w:pPr>
            <w:r>
              <w:rPr>
                <w:color w:val="000000" w:themeColor="text1"/>
                <w:szCs w:val="21"/>
              </w:rPr>
              <w:t>3、在高浓度时，可使微生物中毒，不易生物降解。</w:t>
            </w:r>
          </w:p>
        </w:tc>
      </w:tr>
    </w:tbl>
    <w:p>
      <w:pPr>
        <w:pStyle w:val="24"/>
        <w:widowControl w:val="0"/>
        <w:spacing w:beforeAutospacing="0" w:afterAutospacing="0"/>
        <w:ind w:firstLine="0" w:firstLineChars="0"/>
        <w:rPr>
          <w:rFonts w:hint="default"/>
          <w:b/>
          <w:color w:val="000000" w:themeColor="text1"/>
          <w:szCs w:val="21"/>
        </w:rPr>
      </w:pPr>
      <w:r>
        <w:rPr>
          <w:rFonts w:hint="default" w:ascii="Times New Roman" w:hAnsi="Times New Roman"/>
          <w:b/>
          <w:bCs/>
          <w:color w:val="000000" w:themeColor="text1"/>
        </w:rPr>
        <w:t>（2）</w:t>
      </w:r>
      <w:r>
        <w:rPr>
          <w:rFonts w:ascii="Times New Roman" w:hAnsi="Times New Roman"/>
          <w:b/>
          <w:bCs/>
          <w:color w:val="000000" w:themeColor="text1"/>
        </w:rPr>
        <w:t>柴</w:t>
      </w:r>
      <w:r>
        <w:rPr>
          <w:rFonts w:hint="default" w:ascii="Times New Roman" w:hAnsi="Times New Roman"/>
          <w:b/>
          <w:bCs/>
          <w:color w:val="000000" w:themeColor="text1"/>
        </w:rPr>
        <w:t>油</w:t>
      </w:r>
    </w:p>
    <w:p>
      <w:pPr>
        <w:snapToGrid w:val="0"/>
        <w:jc w:val="center"/>
        <w:rPr>
          <w:b/>
          <w:color w:val="000000" w:themeColor="text1"/>
          <w:szCs w:val="21"/>
        </w:rPr>
      </w:pPr>
      <w:r>
        <w:rPr>
          <w:b/>
          <w:color w:val="000000" w:themeColor="text1"/>
          <w:szCs w:val="21"/>
        </w:rPr>
        <w:t xml:space="preserve">表4-2 </w:t>
      </w:r>
      <w:r>
        <w:rPr>
          <w:rFonts w:hint="eastAsia"/>
          <w:b/>
          <w:color w:val="000000" w:themeColor="text1"/>
          <w:szCs w:val="21"/>
        </w:rPr>
        <w:t>柴</w:t>
      </w:r>
      <w:r>
        <w:rPr>
          <w:b/>
          <w:color w:val="000000" w:themeColor="text1"/>
          <w:szCs w:val="21"/>
        </w:rPr>
        <w:t>油的理化性质及危险特性表</w:t>
      </w:r>
    </w:p>
    <w:tbl>
      <w:tblPr>
        <w:tblStyle w:val="15"/>
        <w:tblW w:w="8316"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1467"/>
        <w:gridCol w:w="2325"/>
        <w:gridCol w:w="1342"/>
        <w:gridCol w:w="3182"/>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402" w:hRule="atLeast"/>
          <w:jc w:val="center"/>
        </w:trPr>
        <w:tc>
          <w:tcPr>
            <w:tcW w:w="1467" w:type="dxa"/>
            <w:vAlign w:val="center"/>
          </w:tcPr>
          <w:p>
            <w:pPr>
              <w:snapToGrid w:val="0"/>
              <w:jc w:val="center"/>
              <w:rPr>
                <w:color w:val="000000" w:themeColor="text1"/>
                <w:szCs w:val="21"/>
              </w:rPr>
            </w:pPr>
            <w:r>
              <w:rPr>
                <w:color w:val="000000" w:themeColor="text1"/>
                <w:szCs w:val="21"/>
              </w:rPr>
              <w:t>名称</w:t>
            </w:r>
          </w:p>
        </w:tc>
        <w:tc>
          <w:tcPr>
            <w:tcW w:w="2325" w:type="dxa"/>
            <w:vAlign w:val="center"/>
          </w:tcPr>
          <w:p>
            <w:pPr>
              <w:snapToGrid w:val="0"/>
              <w:jc w:val="center"/>
              <w:rPr>
                <w:color w:val="000000" w:themeColor="text1"/>
                <w:szCs w:val="21"/>
              </w:rPr>
            </w:pPr>
            <w:r>
              <w:rPr>
                <w:rFonts w:hint="eastAsia"/>
                <w:color w:val="000000" w:themeColor="text1"/>
                <w:szCs w:val="21"/>
              </w:rPr>
              <w:t>柴</w:t>
            </w:r>
            <w:r>
              <w:rPr>
                <w:color w:val="000000" w:themeColor="text1"/>
                <w:szCs w:val="21"/>
              </w:rPr>
              <w:t>油</w:t>
            </w:r>
          </w:p>
        </w:tc>
        <w:tc>
          <w:tcPr>
            <w:tcW w:w="1342" w:type="dxa"/>
            <w:vAlign w:val="center"/>
          </w:tcPr>
          <w:p>
            <w:pPr>
              <w:snapToGrid w:val="0"/>
              <w:jc w:val="center"/>
              <w:rPr>
                <w:color w:val="000000" w:themeColor="text1"/>
                <w:szCs w:val="21"/>
              </w:rPr>
            </w:pPr>
            <w:r>
              <w:rPr>
                <w:color w:val="000000" w:themeColor="text1"/>
                <w:szCs w:val="21"/>
              </w:rPr>
              <w:t>英文名称</w:t>
            </w:r>
          </w:p>
        </w:tc>
        <w:tc>
          <w:tcPr>
            <w:tcW w:w="3182" w:type="dxa"/>
            <w:vAlign w:val="center"/>
          </w:tcPr>
          <w:p>
            <w:pPr>
              <w:snapToGrid w:val="0"/>
              <w:jc w:val="center"/>
              <w:rPr>
                <w:color w:val="000000" w:themeColor="text1"/>
                <w:szCs w:val="21"/>
              </w:rPr>
            </w:pPr>
            <w:r>
              <w:rPr>
                <w:rFonts w:hint="eastAsia"/>
                <w:color w:val="000000" w:themeColor="text1"/>
                <w:szCs w:val="21"/>
              </w:rPr>
              <w:t>diesel oil</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373" w:hRule="atLeast"/>
          <w:jc w:val="center"/>
        </w:trPr>
        <w:tc>
          <w:tcPr>
            <w:tcW w:w="1467" w:type="dxa"/>
            <w:vAlign w:val="center"/>
          </w:tcPr>
          <w:p>
            <w:pPr>
              <w:snapToGrid w:val="0"/>
              <w:jc w:val="center"/>
              <w:rPr>
                <w:color w:val="000000" w:themeColor="text1"/>
                <w:szCs w:val="21"/>
              </w:rPr>
            </w:pPr>
            <w:r>
              <w:rPr>
                <w:color w:val="000000" w:themeColor="text1"/>
                <w:szCs w:val="21"/>
              </w:rPr>
              <w:t>别名</w:t>
            </w:r>
          </w:p>
        </w:tc>
        <w:tc>
          <w:tcPr>
            <w:tcW w:w="2325" w:type="dxa"/>
            <w:vAlign w:val="center"/>
          </w:tcPr>
          <w:p>
            <w:pPr>
              <w:snapToGrid w:val="0"/>
              <w:jc w:val="center"/>
              <w:rPr>
                <w:color w:val="000000" w:themeColor="text1"/>
                <w:szCs w:val="21"/>
              </w:rPr>
            </w:pPr>
            <w:r>
              <w:rPr>
                <w:color w:val="000000" w:themeColor="text1"/>
                <w:szCs w:val="21"/>
              </w:rPr>
              <w:t>/</w:t>
            </w:r>
          </w:p>
        </w:tc>
        <w:tc>
          <w:tcPr>
            <w:tcW w:w="1342" w:type="dxa"/>
            <w:vAlign w:val="center"/>
          </w:tcPr>
          <w:p>
            <w:pPr>
              <w:snapToGrid w:val="0"/>
              <w:jc w:val="center"/>
              <w:rPr>
                <w:color w:val="000000" w:themeColor="text1"/>
                <w:szCs w:val="21"/>
              </w:rPr>
            </w:pPr>
            <w:r>
              <w:rPr>
                <w:color w:val="000000" w:themeColor="text1"/>
                <w:szCs w:val="21"/>
              </w:rPr>
              <w:t>分子式</w:t>
            </w:r>
          </w:p>
        </w:tc>
        <w:tc>
          <w:tcPr>
            <w:tcW w:w="3182" w:type="dxa"/>
            <w:vAlign w:val="center"/>
          </w:tcPr>
          <w:p>
            <w:pPr>
              <w:snapToGrid w:val="0"/>
              <w:jc w:val="center"/>
              <w:rPr>
                <w:color w:val="000000" w:themeColor="text1"/>
                <w:szCs w:val="21"/>
              </w:rPr>
            </w:pPr>
            <w:r>
              <w:rPr>
                <w:color w:val="000000" w:themeColor="text1"/>
                <w:szCs w:val="21"/>
              </w:rPr>
              <w:t>混合物</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43" w:hRule="atLeast"/>
          <w:jc w:val="center"/>
        </w:trPr>
        <w:tc>
          <w:tcPr>
            <w:tcW w:w="1467" w:type="dxa"/>
            <w:vAlign w:val="center"/>
          </w:tcPr>
          <w:p>
            <w:pPr>
              <w:snapToGrid w:val="0"/>
              <w:jc w:val="center"/>
              <w:rPr>
                <w:color w:val="000000" w:themeColor="text1"/>
                <w:szCs w:val="21"/>
              </w:rPr>
            </w:pPr>
            <w:r>
              <w:rPr>
                <w:color w:val="000000" w:themeColor="text1"/>
                <w:szCs w:val="21"/>
              </w:rPr>
              <w:t>理化性质</w:t>
            </w:r>
          </w:p>
        </w:tc>
        <w:tc>
          <w:tcPr>
            <w:tcW w:w="6849" w:type="dxa"/>
            <w:gridSpan w:val="3"/>
            <w:vAlign w:val="center"/>
          </w:tcPr>
          <w:p>
            <w:pPr>
              <w:snapToGrid w:val="0"/>
              <w:jc w:val="left"/>
              <w:rPr>
                <w:color w:val="000000" w:themeColor="text1"/>
                <w:szCs w:val="21"/>
              </w:rPr>
            </w:pPr>
            <w:r>
              <w:rPr>
                <w:color w:val="000000" w:themeColor="text1"/>
                <w:szCs w:val="21"/>
              </w:rPr>
              <w:t>1、稍有粘性的棕色液</w:t>
            </w:r>
          </w:p>
          <w:p>
            <w:pPr>
              <w:snapToGrid w:val="0"/>
              <w:jc w:val="left"/>
              <w:rPr>
                <w:color w:val="000000" w:themeColor="text1"/>
                <w:szCs w:val="21"/>
              </w:rPr>
            </w:pPr>
            <w:r>
              <w:rPr>
                <w:color w:val="000000" w:themeColor="text1"/>
                <w:szCs w:val="21"/>
              </w:rPr>
              <w:t>2、相对密度：0.87～0.9</w:t>
            </w:r>
          </w:p>
          <w:p>
            <w:pPr>
              <w:snapToGrid w:val="0"/>
              <w:jc w:val="left"/>
              <w:rPr>
                <w:color w:val="000000" w:themeColor="text1"/>
                <w:szCs w:val="21"/>
              </w:rPr>
            </w:pPr>
            <w:r>
              <w:rPr>
                <w:color w:val="000000" w:themeColor="text1"/>
                <w:szCs w:val="21"/>
              </w:rPr>
              <w:t>3、闪点：45～55</w:t>
            </w:r>
          </w:p>
          <w:p>
            <w:pPr>
              <w:snapToGrid w:val="0"/>
              <w:jc w:val="left"/>
              <w:rPr>
                <w:color w:val="000000" w:themeColor="text1"/>
                <w:szCs w:val="21"/>
              </w:rPr>
            </w:pPr>
            <w:r>
              <w:rPr>
                <w:color w:val="000000" w:themeColor="text1"/>
                <w:szCs w:val="21"/>
              </w:rPr>
              <w:t>4、爆炸极限：1.4%～7.6%</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316" w:hRule="atLeast"/>
          <w:jc w:val="center"/>
        </w:trPr>
        <w:tc>
          <w:tcPr>
            <w:tcW w:w="1467" w:type="dxa"/>
            <w:vAlign w:val="center"/>
          </w:tcPr>
          <w:p>
            <w:pPr>
              <w:snapToGrid w:val="0"/>
              <w:jc w:val="center"/>
              <w:rPr>
                <w:color w:val="000000" w:themeColor="text1"/>
                <w:szCs w:val="21"/>
              </w:rPr>
            </w:pPr>
            <w:r>
              <w:rPr>
                <w:color w:val="000000" w:themeColor="text1"/>
                <w:szCs w:val="21"/>
              </w:rPr>
              <w:t>危险特性</w:t>
            </w:r>
          </w:p>
        </w:tc>
        <w:tc>
          <w:tcPr>
            <w:tcW w:w="6849" w:type="dxa"/>
            <w:gridSpan w:val="3"/>
            <w:vAlign w:val="center"/>
          </w:tcPr>
          <w:p>
            <w:pPr>
              <w:snapToGrid w:val="0"/>
              <w:jc w:val="left"/>
              <w:rPr>
                <w:color w:val="000000" w:themeColor="text1"/>
                <w:szCs w:val="21"/>
              </w:rPr>
            </w:pPr>
            <w:r>
              <w:rPr>
                <w:rFonts w:hint="eastAsia"/>
                <w:color w:val="000000" w:themeColor="text1"/>
                <w:szCs w:val="21"/>
              </w:rPr>
              <w:t>遇明火、高热或与氧化剂接触，有引起燃烧爆炸的危险。若遇高热，容器内压增大，有开裂和爆炸的危险。</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0" w:type="dxa"/>
            <w:bottom w:w="0" w:type="dxa"/>
            <w:right w:w="0" w:type="dxa"/>
          </w:tblCellMar>
        </w:tblPrEx>
        <w:trPr>
          <w:trHeight w:val="1109" w:hRule="atLeast"/>
          <w:jc w:val="center"/>
        </w:trPr>
        <w:tc>
          <w:tcPr>
            <w:tcW w:w="1467" w:type="dxa"/>
            <w:vAlign w:val="center"/>
          </w:tcPr>
          <w:p>
            <w:pPr>
              <w:snapToGrid w:val="0"/>
              <w:jc w:val="center"/>
              <w:rPr>
                <w:color w:val="000000" w:themeColor="text1"/>
                <w:szCs w:val="21"/>
              </w:rPr>
            </w:pPr>
            <w:r>
              <w:rPr>
                <w:color w:val="000000" w:themeColor="text1"/>
                <w:szCs w:val="21"/>
              </w:rPr>
              <w:t>环境影响</w:t>
            </w:r>
          </w:p>
        </w:tc>
        <w:tc>
          <w:tcPr>
            <w:tcW w:w="6849" w:type="dxa"/>
            <w:gridSpan w:val="3"/>
            <w:vAlign w:val="center"/>
          </w:tcPr>
          <w:p>
            <w:pPr>
              <w:snapToGrid w:val="0"/>
              <w:jc w:val="left"/>
              <w:rPr>
                <w:color w:val="000000" w:themeColor="text1"/>
                <w:szCs w:val="21"/>
              </w:rPr>
            </w:pPr>
            <w:r>
              <w:rPr>
                <w:rFonts w:hint="eastAsia"/>
                <w:color w:val="000000" w:themeColor="text1"/>
                <w:szCs w:val="21"/>
              </w:rPr>
              <w:t>该物质对环境有危害，建议不要让其进入环境。对水体和大气可造成污染，破坏水生生物呼吸系统。对海藻应给予特别注意。</w:t>
            </w:r>
          </w:p>
        </w:tc>
      </w:tr>
    </w:tbl>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汽油</w:t>
      </w:r>
      <w:r>
        <w:rPr>
          <w:rFonts w:ascii="Times New Roman" w:hAnsi="Times New Roman"/>
          <w:color w:val="000000" w:themeColor="text1"/>
        </w:rPr>
        <w:t>、柴油</w:t>
      </w:r>
      <w:r>
        <w:rPr>
          <w:rFonts w:hint="default" w:ascii="Times New Roman" w:hAnsi="Times New Roman"/>
          <w:color w:val="000000" w:themeColor="text1"/>
        </w:rPr>
        <w:t>存在有毒或易燃、易爆因素，密闭储存，有专人管理，一般情况发生泄露的可能性不大，发生环境风险危害性较小，对人员和环境的危害不大；但发生泄漏：在很低的浓度下对水生生物造成危害，在土壤中具有极强的迁移性有一定的生物富集性；在高浓度时，可使微生物中毒，不易生物降解；同时会引起火灾爆炸事故，造成人员伤亡、环境、水体、土壤污染事故发生。</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危险废物主要环境风险为管理不当导致未按规范存贮、运输过程发生事故对地表水体、土壤等造成污染。</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含油污水、生活污水不能及时收集、泄漏、外排等，可能导致周围水体、土壤污染。但只要加强日常管理，定期巡回检查，及时将污水收集，委托当地污水处理厂处理，发生污水污染概率不大。</w:t>
      </w:r>
    </w:p>
    <w:p>
      <w:pPr>
        <w:pStyle w:val="24"/>
        <w:widowControl w:val="0"/>
        <w:spacing w:beforeAutospacing="0" w:afterAutospacing="0"/>
        <w:ind w:left="420" w:leftChars="200" w:firstLine="0" w:firstLineChars="0"/>
        <w:rPr>
          <w:rFonts w:hint="default" w:ascii="Times New Roman" w:hAnsi="Times New Roman"/>
          <w:b/>
          <w:bCs/>
          <w:color w:val="000000" w:themeColor="text1"/>
        </w:rPr>
      </w:pPr>
      <w:bookmarkStart w:id="61" w:name="_Toc154457354"/>
      <w:r>
        <w:rPr>
          <w:rFonts w:hint="default" w:ascii="Times New Roman" w:hAnsi="Times New Roman"/>
          <w:b/>
          <w:bCs/>
          <w:color w:val="000000" w:themeColor="text1"/>
        </w:rPr>
        <w:t>（3）油品泄漏对周围环境的影响</w:t>
      </w:r>
      <w:bookmarkEnd w:id="61"/>
      <w:r>
        <w:rPr>
          <w:rFonts w:hint="default" w:ascii="Times New Roman" w:hAnsi="Times New Roman"/>
          <w:b/>
          <w:bCs/>
          <w:color w:val="000000" w:themeColor="text1"/>
        </w:rPr>
        <w:t>分析</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本加油站风险评价选取汽油作为风险物质进行定量分析并进行风险预测，定量分析发生风险泄漏时对环境的影响。</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泄漏量的计算主要包括确定泄漏口尺寸、泄漏速率的计算和泄漏量的计算等。一般储罐的接头、阀门以及加油枪等辅助设备易发生泄漏，裂口尺寸取其连接管道直径的20～100%，本次评价以100％计。</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泄漏速度采用柏努利方程计算：</w:t>
      </w: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80" w:firstLineChars="200"/>
        <w:rPr>
          <w:color w:val="000000" w:themeColor="text1"/>
          <w:sz w:val="24"/>
        </w:rPr>
      </w:pPr>
      <w:r>
        <w:rPr>
          <w:color w:val="000000" w:themeColor="text1"/>
          <w:position w:val="-32"/>
          <w:sz w:val="24"/>
        </w:rPr>
        <w:object>
          <v:shape id="_x0000_i1026" o:spt="75" type="#_x0000_t75" style="height:36pt;width:144pt;" o:ole="t" filled="f" o:preferrelative="t" stroked="f" coordsize="21600,21600">
            <v:path/>
            <v:fill on="f" focussize="0,0"/>
            <v:stroke on="f" joinstyle="miter"/>
            <v:imagedata r:id="rId18" o:title=""/>
            <o:lock v:ext="edit" aspectratio="t"/>
            <w10:wrap type="none"/>
            <w10:anchorlock/>
          </v:shape>
          <o:OLEObject Type="Embed" ProgID="Equation.3" ShapeID="_x0000_i1026" DrawAspect="Content" ObjectID="_1468075725" r:id="rId17">
            <o:LockedField>false</o:LockedField>
          </o:OLEObject>
        </w:objec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式中参数含义及计算取值见表4-4。取泄漏时间为3分钟，则汽油得泄漏量为2.27吨。</w:t>
      </w:r>
    </w:p>
    <w:p>
      <w:pPr>
        <w:pStyle w:val="24"/>
        <w:widowControl w:val="0"/>
        <w:spacing w:beforeAutospacing="0" w:afterAutospacing="0" w:line="240" w:lineRule="auto"/>
        <w:ind w:firstLine="0" w:firstLineChars="0"/>
        <w:jc w:val="center"/>
        <w:rPr>
          <w:rFonts w:hint="default" w:ascii="Times New Roman" w:hAnsi="Times New Roman"/>
          <w:b/>
          <w:bCs/>
          <w:color w:val="000000" w:themeColor="text1"/>
          <w:sz w:val="21"/>
          <w:szCs w:val="21"/>
        </w:rPr>
      </w:pPr>
      <w:r>
        <w:rPr>
          <w:rFonts w:hint="default" w:ascii="Times New Roman" w:hAnsi="Times New Roman"/>
          <w:b/>
          <w:bCs/>
          <w:color w:val="000000" w:themeColor="text1"/>
          <w:sz w:val="21"/>
          <w:szCs w:val="21"/>
        </w:rPr>
        <w:t>表4-4 泄漏量计算参数</w:t>
      </w:r>
    </w:p>
    <w:tbl>
      <w:tblPr>
        <w:tblStyle w:val="15"/>
        <w:tblW w:w="8516"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780"/>
        <w:gridCol w:w="1931"/>
        <w:gridCol w:w="1022"/>
        <w:gridCol w:w="4783"/>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65" w:hRule="atLeast"/>
        </w:trPr>
        <w:tc>
          <w:tcPr>
            <w:tcW w:w="780" w:type="dxa"/>
            <w:vMerge w:val="restart"/>
            <w:tcBorders>
              <w:top w:val="single" w:color="auto" w:sz="4" w:space="0"/>
              <w:left w:val="single" w:color="auto" w:sz="4" w:space="0"/>
              <w:bottom w:val="single" w:color="auto" w:sz="4" w:space="0"/>
              <w:right w:val="single" w:color="auto" w:sz="4" w:space="0"/>
            </w:tcBorders>
            <w:vAlign w:val="center"/>
          </w:tcPr>
          <w:p>
            <w:pPr>
              <w:jc w:val="center"/>
              <w:rPr>
                <w:color w:val="000000" w:themeColor="text1"/>
                <w:szCs w:val="21"/>
              </w:rPr>
            </w:pPr>
            <w:r>
              <w:rPr>
                <w:color w:val="000000" w:themeColor="text1"/>
                <w:szCs w:val="21"/>
              </w:rPr>
              <w:t>符号</w:t>
            </w:r>
          </w:p>
        </w:tc>
        <w:tc>
          <w:tcPr>
            <w:tcW w:w="1931" w:type="dxa"/>
            <w:vMerge w:val="restart"/>
            <w:tcBorders>
              <w:top w:val="single" w:color="auto" w:sz="4" w:space="0"/>
              <w:left w:val="single" w:color="auto" w:sz="4" w:space="0"/>
              <w:bottom w:val="single" w:color="auto" w:sz="4" w:space="0"/>
              <w:right w:val="single" w:color="auto" w:sz="4" w:space="0"/>
            </w:tcBorders>
            <w:vAlign w:val="center"/>
          </w:tcPr>
          <w:p>
            <w:pPr>
              <w:jc w:val="center"/>
              <w:rPr>
                <w:color w:val="000000" w:themeColor="text1"/>
                <w:szCs w:val="21"/>
              </w:rPr>
            </w:pPr>
            <w:r>
              <w:rPr>
                <w:color w:val="000000" w:themeColor="text1"/>
                <w:szCs w:val="21"/>
              </w:rPr>
              <w:t>含义</w:t>
            </w:r>
          </w:p>
        </w:tc>
        <w:tc>
          <w:tcPr>
            <w:tcW w:w="1022" w:type="dxa"/>
            <w:vMerge w:val="restart"/>
            <w:tcBorders>
              <w:top w:val="single" w:color="auto" w:sz="4" w:space="0"/>
              <w:left w:val="single" w:color="auto" w:sz="4" w:space="0"/>
              <w:bottom w:val="single" w:color="auto" w:sz="4" w:space="0"/>
              <w:right w:val="single" w:color="auto" w:sz="4" w:space="0"/>
            </w:tcBorders>
            <w:vAlign w:val="center"/>
          </w:tcPr>
          <w:p>
            <w:pPr>
              <w:jc w:val="center"/>
              <w:rPr>
                <w:color w:val="000000" w:themeColor="text1"/>
                <w:szCs w:val="21"/>
              </w:rPr>
            </w:pPr>
            <w:r>
              <w:rPr>
                <w:color w:val="000000" w:themeColor="text1"/>
                <w:szCs w:val="21"/>
              </w:rPr>
              <w:t>单位</w:t>
            </w:r>
          </w:p>
        </w:tc>
        <w:tc>
          <w:tcPr>
            <w:tcW w:w="4783"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数值</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300" w:hRule="atLeast"/>
        </w:trPr>
        <w:tc>
          <w:tcPr>
            <w:tcW w:w="780"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000000" w:themeColor="text1"/>
                <w:szCs w:val="21"/>
              </w:rPr>
            </w:pPr>
          </w:p>
        </w:tc>
        <w:tc>
          <w:tcPr>
            <w:tcW w:w="1931"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000000" w:themeColor="text1"/>
                <w:szCs w:val="21"/>
              </w:rPr>
            </w:pPr>
          </w:p>
        </w:tc>
        <w:tc>
          <w:tcPr>
            <w:tcW w:w="1022"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color w:val="000000" w:themeColor="text1"/>
                <w:szCs w:val="21"/>
              </w:rPr>
            </w:pPr>
          </w:p>
        </w:tc>
        <w:tc>
          <w:tcPr>
            <w:tcW w:w="4783"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汽油</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Pr>
        <w:tc>
          <w:tcPr>
            <w:tcW w:w="780"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Cd</w:t>
            </w:r>
          </w:p>
        </w:tc>
        <w:tc>
          <w:tcPr>
            <w:tcW w:w="1931"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液体泄漏系数</w:t>
            </w:r>
          </w:p>
        </w:tc>
        <w:tc>
          <w:tcPr>
            <w:tcW w:w="1022"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无量纲</w:t>
            </w:r>
          </w:p>
        </w:tc>
        <w:tc>
          <w:tcPr>
            <w:tcW w:w="4783"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0.65</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Pr>
        <w:tc>
          <w:tcPr>
            <w:tcW w:w="780"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A</w:t>
            </w:r>
          </w:p>
        </w:tc>
        <w:tc>
          <w:tcPr>
            <w:tcW w:w="1931"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裂口面积</w:t>
            </w:r>
          </w:p>
        </w:tc>
        <w:tc>
          <w:tcPr>
            <w:tcW w:w="1022"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m</w:t>
            </w:r>
            <w:r>
              <w:rPr>
                <w:color w:val="000000" w:themeColor="text1"/>
                <w:szCs w:val="21"/>
                <w:vertAlign w:val="superscript"/>
              </w:rPr>
              <w:t>2</w:t>
            </w:r>
          </w:p>
        </w:tc>
        <w:tc>
          <w:tcPr>
            <w:tcW w:w="4783"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0.00785</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Pr>
        <w:tc>
          <w:tcPr>
            <w:tcW w:w="780"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ρ</w:t>
            </w:r>
          </w:p>
        </w:tc>
        <w:tc>
          <w:tcPr>
            <w:tcW w:w="1931"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泄漏液体密度</w:t>
            </w:r>
          </w:p>
        </w:tc>
        <w:tc>
          <w:tcPr>
            <w:tcW w:w="1022"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kg/m</w:t>
            </w:r>
            <w:r>
              <w:rPr>
                <w:color w:val="000000" w:themeColor="text1"/>
                <w:szCs w:val="21"/>
                <w:vertAlign w:val="superscript"/>
              </w:rPr>
              <w:t>3</w:t>
            </w:r>
          </w:p>
        </w:tc>
        <w:tc>
          <w:tcPr>
            <w:tcW w:w="4783" w:type="dxa"/>
            <w:tcBorders>
              <w:top w:val="single" w:color="auto" w:sz="4" w:space="0"/>
              <w:left w:val="single" w:color="auto" w:sz="4" w:space="0"/>
              <w:bottom w:val="single" w:color="auto" w:sz="4" w:space="0"/>
              <w:right w:val="single" w:color="auto" w:sz="4" w:space="0"/>
            </w:tcBorders>
          </w:tcPr>
          <w:p>
            <w:pPr>
              <w:pStyle w:val="25"/>
              <w:spacing w:line="240" w:lineRule="auto"/>
              <w:rPr>
                <w:rFonts w:eastAsia="宋体"/>
                <w:color w:val="000000" w:themeColor="text1"/>
                <w:spacing w:val="0"/>
                <w:kern w:val="2"/>
              </w:rPr>
            </w:pPr>
            <w:r>
              <w:rPr>
                <w:rFonts w:eastAsia="宋体"/>
                <w:color w:val="000000" w:themeColor="text1"/>
                <w:spacing w:val="0"/>
                <w:kern w:val="2"/>
              </w:rPr>
              <w:t>790</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Pr>
        <w:tc>
          <w:tcPr>
            <w:tcW w:w="780"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P</w:t>
            </w:r>
          </w:p>
        </w:tc>
        <w:tc>
          <w:tcPr>
            <w:tcW w:w="1931"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容器内介质压力</w:t>
            </w:r>
          </w:p>
        </w:tc>
        <w:tc>
          <w:tcPr>
            <w:tcW w:w="1022"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Pa</w:t>
            </w:r>
          </w:p>
        </w:tc>
        <w:tc>
          <w:tcPr>
            <w:tcW w:w="4783"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常压</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Pr>
        <w:tc>
          <w:tcPr>
            <w:tcW w:w="780"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P</w:t>
            </w:r>
            <w:r>
              <w:rPr>
                <w:color w:val="000000" w:themeColor="text1"/>
                <w:szCs w:val="21"/>
                <w:vertAlign w:val="subscript"/>
              </w:rPr>
              <w:t>0</w:t>
            </w:r>
          </w:p>
        </w:tc>
        <w:tc>
          <w:tcPr>
            <w:tcW w:w="1931"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环境压力</w:t>
            </w:r>
          </w:p>
        </w:tc>
        <w:tc>
          <w:tcPr>
            <w:tcW w:w="1022"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Pa</w:t>
            </w:r>
          </w:p>
        </w:tc>
        <w:tc>
          <w:tcPr>
            <w:tcW w:w="4783"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常压</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Pr>
        <w:tc>
          <w:tcPr>
            <w:tcW w:w="780"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G</w:t>
            </w:r>
          </w:p>
        </w:tc>
        <w:tc>
          <w:tcPr>
            <w:tcW w:w="1931"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重力加速度</w:t>
            </w:r>
          </w:p>
        </w:tc>
        <w:tc>
          <w:tcPr>
            <w:tcW w:w="1022"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m/s</w:t>
            </w:r>
            <w:r>
              <w:rPr>
                <w:color w:val="000000" w:themeColor="text1"/>
                <w:szCs w:val="21"/>
                <w:vertAlign w:val="superscript"/>
              </w:rPr>
              <w:t>2</w:t>
            </w:r>
          </w:p>
        </w:tc>
        <w:tc>
          <w:tcPr>
            <w:tcW w:w="4783"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9.8</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Pr>
        <w:tc>
          <w:tcPr>
            <w:tcW w:w="780"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Q</w:t>
            </w:r>
          </w:p>
        </w:tc>
        <w:tc>
          <w:tcPr>
            <w:tcW w:w="1931"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液体泄漏速度</w:t>
            </w:r>
          </w:p>
        </w:tc>
        <w:tc>
          <w:tcPr>
            <w:tcW w:w="1022"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kg/s</w:t>
            </w:r>
          </w:p>
        </w:tc>
        <w:tc>
          <w:tcPr>
            <w:tcW w:w="4783"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12.6</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Pr>
        <w:tc>
          <w:tcPr>
            <w:tcW w:w="780"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p>
        </w:tc>
        <w:tc>
          <w:tcPr>
            <w:tcW w:w="1931"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泄漏时间</w:t>
            </w:r>
          </w:p>
        </w:tc>
        <w:tc>
          <w:tcPr>
            <w:tcW w:w="1022"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s</w:t>
            </w:r>
          </w:p>
        </w:tc>
        <w:tc>
          <w:tcPr>
            <w:tcW w:w="4783"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180</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Pr>
        <w:tc>
          <w:tcPr>
            <w:tcW w:w="780"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p>
        </w:tc>
        <w:tc>
          <w:tcPr>
            <w:tcW w:w="1931"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泄漏量</w:t>
            </w:r>
          </w:p>
        </w:tc>
        <w:tc>
          <w:tcPr>
            <w:tcW w:w="1022"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kg</w:t>
            </w:r>
          </w:p>
        </w:tc>
        <w:tc>
          <w:tcPr>
            <w:tcW w:w="4783" w:type="dxa"/>
            <w:tcBorders>
              <w:top w:val="single" w:color="auto" w:sz="4" w:space="0"/>
              <w:left w:val="single" w:color="auto" w:sz="4" w:space="0"/>
              <w:bottom w:val="single" w:color="auto" w:sz="4" w:space="0"/>
              <w:right w:val="single" w:color="auto" w:sz="4" w:space="0"/>
            </w:tcBorders>
          </w:tcPr>
          <w:p>
            <w:pPr>
              <w:jc w:val="center"/>
              <w:rPr>
                <w:color w:val="000000" w:themeColor="text1"/>
                <w:szCs w:val="21"/>
              </w:rPr>
            </w:pPr>
            <w:r>
              <w:rPr>
                <w:color w:val="000000" w:themeColor="text1"/>
                <w:szCs w:val="21"/>
              </w:rPr>
              <w:t>2.27</w:t>
            </w:r>
          </w:p>
        </w:tc>
      </w:tr>
    </w:tbl>
    <w:p>
      <w:pPr>
        <w:pStyle w:val="24"/>
        <w:widowControl w:val="0"/>
        <w:spacing w:beforeAutospacing="0" w:afterAutospacing="0"/>
        <w:ind w:left="420" w:leftChars="200" w:firstLine="0" w:firstLineChars="0"/>
        <w:rPr>
          <w:rFonts w:hint="default" w:ascii="Times New Roman" w:hAnsi="Times New Roman"/>
          <w:b/>
          <w:bCs/>
          <w:color w:val="000000" w:themeColor="text1"/>
        </w:rPr>
      </w:pPr>
      <w:bookmarkStart w:id="62" w:name="_Toc134148633"/>
      <w:bookmarkStart w:id="63" w:name="_Toc154457355"/>
      <w:r>
        <w:rPr>
          <w:rFonts w:hint="default" w:ascii="Times New Roman" w:hAnsi="Times New Roman"/>
          <w:b/>
          <w:bCs/>
          <w:color w:val="000000" w:themeColor="text1"/>
        </w:rPr>
        <w:t>泄漏液体蒸发量</w:t>
      </w:r>
      <w:bookmarkEnd w:id="62"/>
      <w:bookmarkEnd w:id="63"/>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本评价使用《环境统计手册》（四川科学技术出版社，1985）中推荐的计算公式：</w:t>
      </w:r>
    </w:p>
    <w:p>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480" w:firstLineChars="200"/>
        <w:rPr>
          <w:color w:val="000000" w:themeColor="text1"/>
          <w:sz w:val="24"/>
        </w:rPr>
      </w:pPr>
      <w:r>
        <w:rPr>
          <w:color w:val="000000" w:themeColor="text1"/>
          <w:position w:val="-12"/>
          <w:sz w:val="24"/>
        </w:rPr>
        <w:object>
          <v:shape id="_x0000_i1027" o:spt="75" type="#_x0000_t75" style="height:21.45pt;width:158.55pt;" o:ole="t" filled="f" o:preferrelative="t" stroked="f" coordsize="21600,21600">
            <v:path/>
            <v:fill on="f" focussize="0,0"/>
            <v:stroke on="f" joinstyle="miter"/>
            <v:imagedata r:id="rId20" o:title=""/>
            <o:lock v:ext="edit" aspectratio="t"/>
            <w10:wrap type="none"/>
            <w10:anchorlock/>
          </v:shape>
          <o:OLEObject Type="Embed" ProgID="Equation.3" ShapeID="_x0000_i1027" DrawAspect="Content" ObjectID="_1468075726" r:id="rId19">
            <o:LockedField>false</o:LockedField>
          </o:OLEObject>
        </w:objec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式中</w:t>
      </w:r>
      <w:r>
        <w:rPr>
          <w:rFonts w:hint="default" w:ascii="Times New Roman" w:hAnsi="Times New Roman"/>
          <w:color w:val="000000" w:themeColor="text1"/>
        </w:rPr>
        <w:object>
          <v:shape id="_x0000_i1028" o:spt="75" type="#_x0000_t75" style="height:21.45pt;width:14.55pt;" o:ole="t" filled="f" o:preferrelative="t" stroked="f" coordsize="21600,21600">
            <v:path/>
            <v:fill on="f" focussize="0,0"/>
            <v:stroke on="f" joinstyle="miter"/>
            <v:imagedata r:id="rId22" o:title=""/>
            <o:lock v:ext="edit" aspectratio="t"/>
            <w10:wrap type="none"/>
            <w10:anchorlock/>
          </v:shape>
          <o:OLEObject Type="Embed" ProgID="Equation.3" ShapeID="_x0000_i1028" DrawAspect="Content" ObjectID="_1468075727" r:id="rId21">
            <o:LockedField>false</o:LockedField>
          </o:OLEObject>
        </w:object>
      </w:r>
      <w:r>
        <w:rPr>
          <w:rFonts w:hint="default" w:ascii="Times New Roman" w:hAnsi="Times New Roman"/>
          <w:color w:val="000000" w:themeColor="text1"/>
        </w:rPr>
        <w:t>－挥发速度，g/s；</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object>
          <v:shape id="_x0000_i1029" o:spt="75" type="#_x0000_t75" style="height:14.55pt;width:7.6pt;" o:ole="t" filled="f" o:preferrelative="t" stroked="f" coordsize="21600,21600">
            <v:path/>
            <v:fill on="f" focussize="0,0"/>
            <v:stroke on="f" joinstyle="miter"/>
            <v:imagedata r:id="rId24" o:title=""/>
            <o:lock v:ext="edit" aspectratio="t"/>
            <w10:wrap type="none"/>
            <w10:anchorlock/>
          </v:shape>
          <o:OLEObject Type="Embed" ProgID="Equation.3" ShapeID="_x0000_i1029" DrawAspect="Content" ObjectID="_1468075728" r:id="rId23">
            <o:LockedField>false</o:LockedField>
          </o:OLEObject>
        </w:object>
      </w:r>
      <w:r>
        <w:rPr>
          <w:rFonts w:hint="default" w:ascii="Times New Roman" w:hAnsi="Times New Roman"/>
          <w:color w:val="000000" w:themeColor="text1"/>
        </w:rPr>
        <w:t>－风速，m/s；</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object>
          <v:shape id="_x0000_i1030" o:spt="75" type="#_x0000_t75" style="height:14.55pt;width:14.55pt;" o:ole="t" filled="f" o:preferrelative="t" stroked="f" coordsize="21600,21600">
            <v:path/>
            <v:fill on="f" focussize="0,0"/>
            <v:stroke on="f" joinstyle="miter"/>
            <v:imagedata r:id="rId26" o:title=""/>
            <o:lock v:ext="edit" aspectratio="t"/>
            <w10:wrap type="none"/>
            <w10:anchorlock/>
          </v:shape>
          <o:OLEObject Type="Embed" ProgID="Equation.3" ShapeID="_x0000_i1030" DrawAspect="Content" ObjectID="_1468075729" r:id="rId25">
            <o:LockedField>false</o:LockedField>
          </o:OLEObject>
        </w:object>
      </w:r>
      <w:r>
        <w:rPr>
          <w:rFonts w:hint="default" w:ascii="Times New Roman" w:hAnsi="Times New Roman"/>
          <w:color w:val="000000" w:themeColor="text1"/>
        </w:rPr>
        <w:t>－物品蒸汽压；</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object>
          <v:shape id="_x0000_i1031" o:spt="75" type="#_x0000_t75" style="height:14.55pt;width:14.55pt;" o:ole="t" filled="f" o:preferrelative="t" stroked="f" coordsize="21600,21600">
            <v:path/>
            <v:fill on="f" focussize="0,0"/>
            <v:stroke on="f" joinstyle="miter"/>
            <v:imagedata r:id="rId28" o:title=""/>
            <o:lock v:ext="edit" aspectratio="t"/>
            <w10:wrap type="none"/>
            <w10:anchorlock/>
          </v:shape>
          <o:OLEObject Type="Embed" ProgID="Equation.3" ShapeID="_x0000_i1031" DrawAspect="Content" ObjectID="_1468075730" r:id="rId27">
            <o:LockedField>false</o:LockedField>
          </o:OLEObject>
        </w:object>
      </w:r>
      <w:r>
        <w:rPr>
          <w:rFonts w:hint="default" w:ascii="Times New Roman" w:hAnsi="Times New Roman"/>
          <w:color w:val="000000" w:themeColor="text1"/>
        </w:rPr>
        <w:t>－泄漏面积；</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object>
          <v:shape id="_x0000_i1032" o:spt="75" type="#_x0000_t75" style="height:14.55pt;width:14.55pt;" o:ole="t" filled="f" o:preferrelative="t" stroked="f" coordsize="21600,21600">
            <v:path/>
            <v:fill on="f" focussize="0,0"/>
            <v:stroke on="f" joinstyle="miter"/>
            <v:imagedata r:id="rId30" o:title=""/>
            <o:lock v:ext="edit" aspectratio="t"/>
            <w10:wrap type="none"/>
            <w10:anchorlock/>
          </v:shape>
          <o:OLEObject Type="Embed" ProgID="Equation.3" ShapeID="_x0000_i1032" DrawAspect="Content" ObjectID="_1468075731" r:id="rId29">
            <o:LockedField>false</o:LockedField>
          </o:OLEObject>
        </w:object>
      </w:r>
      <w:r>
        <w:rPr>
          <w:rFonts w:hint="default" w:ascii="Times New Roman" w:hAnsi="Times New Roman"/>
          <w:color w:val="000000" w:themeColor="text1"/>
        </w:rPr>
        <w:t>－分子量。</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此处考虑发生泄漏事故时，汽油的挥发速率为2.97g/s。</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使用非正常排放模式，计算得出某时刻一次浓度值。</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非正常排放模式：</w:t>
      </w:r>
    </w:p>
    <w:p>
      <w:pPr>
        <w:snapToGrid w:val="0"/>
        <w:spacing w:after="240" w:line="360" w:lineRule="auto"/>
        <w:ind w:firstLine="1200"/>
        <w:rPr>
          <w:color w:val="000000" w:themeColor="text1"/>
          <w:sz w:val="24"/>
          <w:vertAlign w:val="subscript"/>
        </w:rPr>
      </w:pPr>
      <w:r>
        <w:rPr>
          <w:color w:val="000000" w:themeColor="text1"/>
          <w:position w:val="-30"/>
          <w:sz w:val="24"/>
        </w:rPr>
        <w:object>
          <v:shape id="_x0000_i1033" o:spt="75" type="#_x0000_t75" style="height:36pt;width:216pt;" o:ole="t" fillcolor="#000011" filled="f" o:preferrelative="t" stroked="f" coordsize="21600,21600">
            <v:path/>
            <v:fill on="f" focussize="0,0"/>
            <v:stroke on="f" joinstyle="miter"/>
            <v:imagedata r:id="rId32" o:title=""/>
            <o:lock v:ext="edit" aspectratio="t"/>
            <w10:wrap type="none"/>
            <w10:anchorlock/>
          </v:shape>
          <o:OLEObject Type="Embed" ProgID="Equation.2" ShapeID="_x0000_i1033" DrawAspect="Content" ObjectID="_1468075732" r:id="rId31">
            <o:LockedField>false</o:LockedField>
          </o:OLEObject>
        </w:object>
      </w:r>
      <w:r>
        <w:rPr>
          <w:color w:val="000000" w:themeColor="text1"/>
          <w:sz w:val="24"/>
        </w:rPr>
        <w:t>G</w:t>
      </w:r>
      <w:r>
        <w:rPr>
          <w:color w:val="000000" w:themeColor="text1"/>
          <w:sz w:val="24"/>
          <w:vertAlign w:val="subscript"/>
        </w:rPr>
        <w:t>1</w:t>
      </w:r>
    </w:p>
    <w:p>
      <w:pPr>
        <w:snapToGrid w:val="0"/>
        <w:spacing w:line="360" w:lineRule="auto"/>
        <w:ind w:firstLine="540"/>
        <w:rPr>
          <w:color w:val="000000" w:themeColor="text1"/>
          <w:sz w:val="24"/>
        </w:rPr>
      </w:pPr>
      <w:r>
        <w:rPr>
          <w:color w:val="000000" w:themeColor="text1"/>
          <w:position w:val="-36"/>
          <w:sz w:val="24"/>
        </w:rPr>
        <w:object>
          <v:shape id="_x0000_i1034" o:spt="75" type="#_x0000_t75" style="height:57.45pt;width:281.1pt;" o:ole="t" fillcolor="#000011" filled="f" o:preferrelative="t" stroked="f" coordsize="21600,21600">
            <v:path/>
            <v:fill on="f" focussize="0,0"/>
            <v:stroke on="f" joinstyle="miter"/>
            <v:imagedata r:id="rId34" o:title=""/>
            <o:lock v:ext="edit" aspectratio="t"/>
            <w10:wrap type="none"/>
            <w10:anchorlock/>
          </v:shape>
          <o:OLEObject Type="Embed" ProgID="Equation.3" ShapeID="_x0000_i1034" DrawAspect="Content" ObjectID="_1468075733" r:id="rId33">
            <o:LockedField>false</o:LockedField>
          </o:OLEObject>
        </w:objec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式中： t为扩散时间；T为非正常排放时间。</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计算结果：发生油品泄漏事故时，可使下风向130m范围内的非甲烷总烃浓度超标，对周围环境影响相对较大。</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环境风险原因分析：本项目为加油站，其环境风险本身具有不确定性，主要是加油站可能发生的泄漏、爆炸、火灾等风险，主要起因是管线及储油罐缺陷、焊缝开裂、基础工程不合格、管道腐蚀、违规操作、自然灾害等。如上述事故发生，则会产生破坏建筑物、危及人身安全、污染周围空气等影响。</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环境风险概率分析：本项目属石化行业，石化储运系统存在较大潜在火灾爆炸事故风险，据“世界石油化工企业近30年的100起特大事故”统计分析，属于罐区事故为16次，占16%，属油船的为6次，占6%，属天然气为8次，占事故总数的8%。</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根据对同类石化企业调查，表明在最近十年内发生的各类污染事故中，以设备、管道泄漏为多，占事故总数的52%；因操作不当等人为因素造成的事故占21%；污染处理系统故障造成的事故占15%，其他占12%。</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此外，据贮罐事故分析报道，贮存系统发生火灾爆炸等重大事故概率小于万分之一，并随着近年来防灾技术水平的提高，呈下降趋势。</w:t>
      </w:r>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64" w:name="_Toc15397"/>
      <w:r>
        <w:rPr>
          <w:b/>
          <w:bCs/>
          <w:color w:val="000000" w:themeColor="text1"/>
          <w:sz w:val="24"/>
        </w:rPr>
        <w:t>4.2.2其他突发事件情景分析</w:t>
      </w:r>
      <w:bookmarkEnd w:id="64"/>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加油站目前未建污水处理站，项目产生污水收集后委托当地污水处理厂处理，需加强管理，杜绝未处理直接外排。</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废水违法处置排污：项目废水未经污水处理厂处理，直接排入外环境。</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固体废物违法处置排放：包装运输过程中散落、泄漏的环境影响，危险化学品储存、运输过程中散落、泄漏时，若接触土壤或进入水体，则会对泄漏处的水环境和土壤造成污染。</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堆放、贮存场所的环境影响：加油站危险废物（油泥、油渣含油消防沙等），若暂存间未按照要求严格做到防雨、防渗漏或暂存间的危险废物未得到及时清运，可能会造成泄漏等环境事故，从而造成对地下水及地表水环境及土壤的污染。</w:t>
      </w:r>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65" w:name="_Toc20163"/>
      <w:r>
        <w:rPr>
          <w:b/>
          <w:bCs/>
          <w:color w:val="000000" w:themeColor="text1"/>
          <w:sz w:val="24"/>
        </w:rPr>
        <w:t>4.2.3停电、断水等</w:t>
      </w:r>
      <w:bookmarkEnd w:id="65"/>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断水的危险性：断水可能造成消防用水供水不可靠情况下，一旦发生火灾，无法及时用水灭火，会造成火灾的蔓延、扩大。当危险化学品喷溅于人体上，如人体部位受到腐蚀品、毒物玷污，不能用水立即冲洗，将延误现场急救时间，造成人员受伤。</w:t>
      </w:r>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66" w:name="_Toc14180"/>
      <w:r>
        <w:rPr>
          <w:b/>
          <w:bCs/>
          <w:color w:val="000000" w:themeColor="text1"/>
          <w:sz w:val="24"/>
        </w:rPr>
        <w:t>4.2.4各种自然灾害、极端天气</w:t>
      </w:r>
      <w:bookmarkEnd w:id="66"/>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在暴雨天气、雷电、地震、大风、气温等各种自然灾害、极端天气，会对生产造成不利影响。加油站应做好防雷、抗震等措施，及时了解天气状况，做好突发环境应急措施。</w:t>
      </w:r>
    </w:p>
    <w:p>
      <w:pPr>
        <w:autoSpaceDE w:val="0"/>
        <w:autoSpaceDN w:val="0"/>
        <w:adjustRightInd w:val="0"/>
        <w:snapToGrid w:val="0"/>
        <w:spacing w:beforeLines="100" w:afterLines="50" w:line="360" w:lineRule="auto"/>
        <w:jc w:val="left"/>
        <w:outlineLvl w:val="0"/>
        <w:rPr>
          <w:rFonts w:hint="default" w:ascii="Times New Roman" w:hAnsi="Times New Roman" w:cs="Times New Roman"/>
          <w:b/>
          <w:bCs/>
          <w:sz w:val="24"/>
        </w:rPr>
      </w:pPr>
      <w:bookmarkStart w:id="67" w:name="_Toc1316"/>
      <w:bookmarkStart w:id="68" w:name="_Toc19778"/>
      <w:r>
        <w:rPr>
          <w:rFonts w:ascii="Times New Roman" w:hAnsi="Times New Roman" w:cs="Times New Roman"/>
          <w:b/>
          <w:bCs/>
          <w:sz w:val="24"/>
        </w:rPr>
        <w:t>4.2.</w:t>
      </w:r>
      <w:r>
        <w:rPr>
          <w:rFonts w:hint="eastAsia" w:ascii="Times New Roman" w:hAnsi="Times New Roman" w:cs="Times New Roman"/>
          <w:b/>
          <w:bCs/>
          <w:sz w:val="24"/>
          <w:lang w:val="en-US" w:eastAsia="zh-CN"/>
        </w:rPr>
        <w:t>5</w:t>
      </w:r>
      <w:r>
        <w:rPr>
          <w:rFonts w:hint="eastAsia" w:ascii="Times New Roman" w:hAnsi="Times New Roman" w:cs="Times New Roman"/>
          <w:b/>
          <w:bCs/>
          <w:sz w:val="24"/>
        </w:rPr>
        <w:t>爆炸事故</w:t>
      </w:r>
      <w:r>
        <w:rPr>
          <w:rFonts w:hint="default" w:ascii="Times New Roman" w:hAnsi="Times New Roman" w:cs="Times New Roman"/>
          <w:b/>
          <w:bCs/>
          <w:sz w:val="24"/>
        </w:rPr>
        <w:t>对周围环境的影响分析</w:t>
      </w:r>
      <w:bookmarkEnd w:id="67"/>
      <w:bookmarkEnd w:id="68"/>
    </w:p>
    <w:p>
      <w:pPr>
        <w:pStyle w:val="24"/>
        <w:widowControl w:val="0"/>
        <w:numPr>
          <w:ilvl w:val="0"/>
          <w:numId w:val="0"/>
        </w:numPr>
        <w:spacing w:beforeAutospacing="0" w:afterAutospacing="0"/>
        <w:ind w:firstLine="480"/>
        <w:rPr>
          <w:rFonts w:hint="eastAsia" w:ascii="Times New Roman" w:hAnsi="Times New Roman"/>
          <w:color w:val="FF0000"/>
          <w:lang w:val="en-US" w:eastAsia="zh-CN"/>
        </w:rPr>
      </w:pPr>
      <w:r>
        <w:rPr>
          <w:rFonts w:hint="eastAsia" w:ascii="Times New Roman" w:hAnsi="Times New Roman"/>
          <w:color w:val="FF0000"/>
          <w:lang w:val="en-US" w:eastAsia="zh-CN"/>
        </w:rPr>
        <w:t>汽油、柴油物质具有易燃性、易爆炸性、易挥发性、易扩散流淌性、静电荷积聚性、有毒性等危险、危害特性，由于加油站经营过程中大量贮存和销售汽油和柴油物质，决定了加油站具有一定的爆炸危险。</w:t>
      </w:r>
    </w:p>
    <w:p>
      <w:pPr>
        <w:pStyle w:val="24"/>
        <w:widowControl w:val="0"/>
        <w:numPr>
          <w:ilvl w:val="0"/>
          <w:numId w:val="0"/>
        </w:numPr>
        <w:spacing w:beforeAutospacing="0" w:afterAutospacing="0"/>
        <w:ind w:firstLine="480"/>
        <w:rPr>
          <w:rFonts w:hint="eastAsia" w:ascii="Times New Roman" w:hAnsi="Times New Roman"/>
          <w:color w:val="FF0000"/>
          <w:lang w:val="en-US" w:eastAsia="zh-CN"/>
        </w:rPr>
      </w:pPr>
      <w:r>
        <w:rPr>
          <w:rFonts w:hint="default" w:ascii="Times New Roman" w:hAnsi="Times New Roman"/>
          <w:color w:val="FF0000"/>
        </w:rPr>
        <w:t>本加油站风险评价选取汽</w:t>
      </w:r>
      <w:r>
        <w:rPr>
          <w:rFonts w:hint="eastAsia" w:ascii="Times New Roman" w:hAnsi="Times New Roman"/>
          <w:color w:val="FF0000"/>
          <w:lang w:val="en-US" w:eastAsia="zh-CN"/>
        </w:rPr>
        <w:t>温厚加油站油库、加油区域内及运输油品的车辆发生的重特大火灾爆炸事件等，对其进行事故发生原因、产生危害、对周围环境的影响三个方面进行分析。</w:t>
      </w:r>
    </w:p>
    <w:p>
      <w:pPr>
        <w:pStyle w:val="24"/>
        <w:widowControl w:val="0"/>
        <w:numPr>
          <w:ilvl w:val="0"/>
          <w:numId w:val="0"/>
        </w:numPr>
        <w:spacing w:beforeAutospacing="0" w:afterAutospacing="0"/>
        <w:ind w:firstLine="480"/>
        <w:rPr>
          <w:rFonts w:hint="eastAsia" w:ascii="Times New Roman" w:hAnsi="Times New Roman" w:cs="Times New Roman"/>
          <w:color w:val="FF0000"/>
          <w:lang w:val="en-US" w:eastAsia="zh-CN"/>
        </w:rPr>
      </w:pPr>
      <w:r>
        <w:rPr>
          <w:rFonts w:hint="eastAsia" w:ascii="Times New Roman" w:hAnsi="Times New Roman"/>
          <w:color w:val="FF0000"/>
          <w:lang w:val="en-US" w:eastAsia="zh-CN"/>
        </w:rPr>
        <w:t>加油站爆炸发生的主要原因：加油、卸油、量油过程中违章作业；设备或者管道</w:t>
      </w:r>
      <w:r>
        <w:rPr>
          <w:rFonts w:hint="eastAsia" w:ascii="Times New Roman" w:hAnsi="Times New Roman" w:cs="Times New Roman"/>
          <w:color w:val="FF0000"/>
          <w:lang w:val="en-US" w:eastAsia="zh-CN"/>
        </w:rPr>
        <w:t>严重腐蚀破裂、安全保障设施不完善等因素造成的汽油等易燃物质泄漏蔓延；点火源引起燃烧爆炸；油蒸汽比空气重，在泄漏后积聚在油罐观测口周围、地下管道沟、低洼地，遇到空气混合达到爆炸极限，形成爆炸性气体，一旦存在货源，即可发生爆炸事故。</w:t>
      </w:r>
    </w:p>
    <w:p>
      <w:pPr>
        <w:pStyle w:val="24"/>
        <w:widowControl w:val="0"/>
        <w:numPr>
          <w:ilvl w:val="0"/>
          <w:numId w:val="0"/>
        </w:numPr>
        <w:spacing w:beforeAutospacing="0" w:afterAutospacing="0"/>
        <w:ind w:firstLine="480"/>
        <w:rPr>
          <w:rFonts w:hint="eastAsia" w:ascii="Times New Roman" w:hAnsi="Times New Roman" w:cs="Times New Roman"/>
          <w:color w:val="FF0000"/>
          <w:lang w:val="en-US" w:eastAsia="zh-CN"/>
        </w:rPr>
      </w:pPr>
      <w:r>
        <w:rPr>
          <w:rFonts w:hint="eastAsia" w:ascii="Times New Roman" w:hAnsi="Times New Roman" w:cs="Times New Roman"/>
          <w:color w:val="FF0000"/>
          <w:lang w:val="en-US" w:eastAsia="zh-CN"/>
        </w:rPr>
        <w:t>加油站发生爆炸事故发生后会产生极其严重的危害性：站内工作人员及顾客生命财产安全得不到保障。</w:t>
      </w:r>
    </w:p>
    <w:p>
      <w:pPr>
        <w:pStyle w:val="24"/>
        <w:widowControl w:val="0"/>
        <w:spacing w:beforeAutospacing="0" w:afterAutospacing="0"/>
        <w:rPr>
          <w:rFonts w:hint="eastAsia" w:ascii="Times New Roman" w:hAnsi="Times New Roman" w:cs="Times New Roman"/>
          <w:color w:val="FF0000"/>
          <w:lang w:val="en-US" w:eastAsia="zh-CN"/>
        </w:rPr>
      </w:pPr>
      <w:r>
        <w:rPr>
          <w:rFonts w:hint="eastAsia" w:ascii="Times New Roman" w:hAnsi="Times New Roman" w:cs="Times New Roman"/>
          <w:color w:val="FF0000"/>
          <w:lang w:val="en-US" w:eastAsia="zh-CN"/>
        </w:rPr>
        <w:t>加油站爆炸事故一旦发生，不仅站内人员伤亡和设备设施的损坏，而且会严重威胁到加油站周围居民和环境，带来大量的人员伤亡、财产损失和社会影响。爆炸后它的主要威力会冲向两端的土壤，然后地面会隆起，抛出大量碎片。其爆炸火花半径可达35—60米，有效杀伤冲击波半径为100—150米，如果一个人在加油站爆炸时处于10米内可能会被炸碎，而35米远可能出现内脏破裂等现象。</w:t>
      </w:r>
      <w:r>
        <w:rPr>
          <w:rFonts w:hint="eastAsia" w:ascii="Times New Roman" w:hAnsi="Times New Roman" w:cs="Times New Roman"/>
          <w:color w:val="FF0000"/>
          <w:lang w:val="en-US" w:eastAsia="zh-CN"/>
        </w:rPr>
        <w:br w:type="textWrapping"/>
      </w:r>
      <w:r>
        <w:rPr>
          <w:rFonts w:hint="eastAsia" w:ascii="Times New Roman" w:hAnsi="Times New Roman" w:cs="Times New Roman"/>
          <w:color w:val="FF0000"/>
          <w:lang w:val="en-US" w:eastAsia="zh-CN"/>
        </w:rPr>
        <w:t>距离加油站200m左右不会产生碎片袭击和杂伤的可能。爆炸伴随浓烟和有毒易燃气体的挥发，也伴随着燃烧，不仅会</w:t>
      </w:r>
      <w:r>
        <w:rPr>
          <w:rFonts w:hint="default" w:ascii="Times New Roman" w:hAnsi="Times New Roman" w:cs="Times New Roman"/>
          <w:color w:val="FF0000"/>
          <w:lang w:val="en-US" w:eastAsia="zh-CN"/>
        </w:rPr>
        <w:t>造成对地下水及地表水环境及土壤的污染</w:t>
      </w:r>
      <w:r>
        <w:rPr>
          <w:rFonts w:hint="eastAsia" w:ascii="Times New Roman" w:hAnsi="Times New Roman" w:cs="Times New Roman"/>
          <w:color w:val="FF0000"/>
          <w:lang w:val="en-US" w:eastAsia="zh-CN"/>
        </w:rPr>
        <w:t>还会造成空气污染并且危害加油站周围200-500米之间的居民人身财产安全。</w:t>
      </w:r>
    </w:p>
    <w:p>
      <w:pPr>
        <w:pStyle w:val="24"/>
        <w:widowControl w:val="0"/>
        <w:spacing w:beforeAutospacing="0" w:afterAutospacing="0"/>
        <w:rPr>
          <w:rFonts w:hint="eastAsia" w:ascii="Times New Roman" w:hAnsi="Times New Roman" w:cs="Times New Roman"/>
          <w:color w:val="FF0000"/>
          <w:lang w:val="en-US" w:eastAsia="zh-CN"/>
        </w:rPr>
      </w:pPr>
    </w:p>
    <w:p>
      <w:pPr>
        <w:pStyle w:val="24"/>
        <w:widowControl w:val="0"/>
        <w:spacing w:beforeAutospacing="0" w:afterAutospacing="0"/>
        <w:rPr>
          <w:rFonts w:hint="eastAsia" w:ascii="Times New Roman" w:hAnsi="Times New Roman" w:cs="Times New Roman"/>
          <w:color w:val="FF0000"/>
          <w:lang w:val="en-US" w:eastAsia="zh-CN"/>
        </w:rPr>
      </w:pPr>
    </w:p>
    <w:p>
      <w:pPr>
        <w:pStyle w:val="24"/>
        <w:widowControl w:val="0"/>
        <w:spacing w:beforeAutospacing="0" w:afterAutospacing="0"/>
        <w:rPr>
          <w:rFonts w:hint="default" w:ascii="Times New Roman" w:hAnsi="Times New Roman" w:cs="Times New Roman"/>
          <w:color w:val="FF0000"/>
          <w:lang w:val="en-US" w:eastAsia="zh-CN"/>
        </w:rPr>
      </w:pPr>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69" w:name="_Toc18647"/>
      <w:r>
        <w:rPr>
          <w:b/>
          <w:bCs/>
          <w:color w:val="000000" w:themeColor="text1"/>
          <w:sz w:val="24"/>
        </w:rPr>
        <w:t>4.3突发环境事件危害后果分析</w:t>
      </w:r>
      <w:bookmarkEnd w:id="69"/>
    </w:p>
    <w:p>
      <w:pPr>
        <w:pStyle w:val="24"/>
        <w:widowControl w:val="0"/>
        <w:spacing w:beforeAutospacing="0" w:afterAutospacing="0"/>
        <w:rPr>
          <w:rFonts w:hint="default" w:ascii="Times New Roman" w:hAnsi="Times New Roman"/>
          <w:color w:val="000000" w:themeColor="text1"/>
        </w:rPr>
      </w:pPr>
      <w:r>
        <w:rPr>
          <w:rFonts w:ascii="Times New Roman" w:hAnsi="Times New Roman"/>
          <w:color w:val="000000" w:themeColor="text1"/>
        </w:rPr>
        <w:t>1、</w:t>
      </w:r>
      <w:r>
        <w:rPr>
          <w:rFonts w:hint="default" w:ascii="Times New Roman" w:hAnsi="Times New Roman"/>
          <w:color w:val="000000" w:themeColor="text1"/>
        </w:rPr>
        <w:t>汽油泄露：</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汽油存在有毒或易燃易爆危险因素，如果发生泄露可能造成人员中毒窒息、火灾爆炸事故，对周围环境、水体、土壤造成污染。</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2、危险废物泄露、不安全处置：</w:t>
      </w:r>
    </w:p>
    <w:p>
      <w:pPr>
        <w:pStyle w:val="24"/>
        <w:widowControl w:val="0"/>
        <w:spacing w:beforeAutospacing="0" w:afterAutospacing="0"/>
        <w:rPr>
          <w:rFonts w:hint="default" w:ascii="Times New Roman" w:hAnsi="Times New Roman"/>
          <w:color w:val="000000" w:themeColor="text1"/>
        </w:rPr>
      </w:pPr>
      <w:r>
        <w:rPr>
          <w:rFonts w:hint="default" w:ascii="Times New Roman" w:hAnsi="Times New Roman"/>
          <w:color w:val="000000" w:themeColor="text1"/>
        </w:rPr>
        <w:t>危险废物主要环境风险为管理不当导致未按规范存贮、运输过程发生事故对地表水体、土壤造成污染。</w:t>
      </w:r>
    </w:p>
    <w:p>
      <w:pPr>
        <w:widowControl/>
        <w:jc w:val="left"/>
        <w:rPr>
          <w:color w:val="000000" w:themeColor="text1"/>
          <w:kern w:val="0"/>
          <w:sz w:val="24"/>
        </w:rPr>
      </w:pPr>
      <w:r>
        <w:rPr>
          <w:color w:val="000000" w:themeColor="text1"/>
        </w:rPr>
        <w:br w:type="page"/>
      </w:r>
    </w:p>
    <w:p>
      <w:pPr>
        <w:autoSpaceDE w:val="0"/>
        <w:autoSpaceDN w:val="0"/>
        <w:adjustRightInd w:val="0"/>
        <w:snapToGrid w:val="0"/>
        <w:spacing w:before="312" w:beforeLines="100" w:after="156" w:afterLines="50" w:line="360" w:lineRule="auto"/>
        <w:jc w:val="center"/>
        <w:outlineLvl w:val="0"/>
        <w:rPr>
          <w:b/>
          <w:bCs/>
          <w:color w:val="000000" w:themeColor="text1"/>
          <w:sz w:val="30"/>
          <w:szCs w:val="30"/>
        </w:rPr>
      </w:pPr>
      <w:bookmarkStart w:id="70" w:name="_Toc22842"/>
      <w:r>
        <w:rPr>
          <w:b/>
          <w:bCs/>
          <w:color w:val="000000" w:themeColor="text1"/>
          <w:sz w:val="30"/>
          <w:szCs w:val="30"/>
        </w:rPr>
        <w:t>5、现有环境风险防控和应急措施差距分析</w:t>
      </w:r>
      <w:bookmarkEnd w:id="70"/>
    </w:p>
    <w:p>
      <w:pPr>
        <w:autoSpaceDE w:val="0"/>
        <w:autoSpaceDN w:val="0"/>
        <w:adjustRightInd w:val="0"/>
        <w:snapToGrid w:val="0"/>
        <w:spacing w:line="360" w:lineRule="auto"/>
        <w:jc w:val="left"/>
        <w:outlineLvl w:val="0"/>
        <w:rPr>
          <w:b/>
          <w:bCs/>
          <w:color w:val="000000" w:themeColor="text1"/>
          <w:sz w:val="24"/>
        </w:rPr>
      </w:pPr>
      <w:bookmarkStart w:id="71" w:name="_Toc11929"/>
      <w:r>
        <w:rPr>
          <w:b/>
          <w:bCs/>
          <w:color w:val="000000" w:themeColor="text1"/>
          <w:sz w:val="24"/>
        </w:rPr>
        <w:t>5.1 环境风险管理制度</w:t>
      </w:r>
      <w:bookmarkEnd w:id="71"/>
    </w:p>
    <w:p>
      <w:pPr>
        <w:spacing w:line="360" w:lineRule="auto"/>
        <w:ind w:firstLine="484" w:firstLineChars="200"/>
        <w:rPr>
          <w:color w:val="000000" w:themeColor="text1"/>
          <w:spacing w:val="1"/>
          <w:kern w:val="0"/>
          <w:sz w:val="24"/>
        </w:rPr>
      </w:pPr>
      <w:r>
        <w:rPr>
          <w:color w:val="000000" w:themeColor="text1"/>
          <w:spacing w:val="1"/>
          <w:kern w:val="0"/>
          <w:sz w:val="24"/>
        </w:rPr>
        <w:t>1、加油站针对站内环境风险单元，建立了环境风险防控和应急措施制度，明确了环境风险防控重点岗位的责任机构，成立公司应急领导小组。</w:t>
      </w:r>
    </w:p>
    <w:p>
      <w:pPr>
        <w:spacing w:line="360" w:lineRule="auto"/>
        <w:ind w:firstLine="484" w:firstLineChars="200"/>
        <w:rPr>
          <w:color w:val="000000" w:themeColor="text1"/>
          <w:spacing w:val="1"/>
          <w:kern w:val="0"/>
          <w:sz w:val="24"/>
        </w:rPr>
      </w:pPr>
      <w:r>
        <w:rPr>
          <w:color w:val="000000" w:themeColor="text1"/>
          <w:spacing w:val="1"/>
          <w:kern w:val="0"/>
          <w:sz w:val="24"/>
        </w:rPr>
        <w:t>2、针对重点风险源实行风险排查制度，对油罐区油罐、加油区加油机、油品输送管网、污水收集池、危险废物暂存设施定期检修、维护，责任到人。</w:t>
      </w:r>
    </w:p>
    <w:p>
      <w:pPr>
        <w:spacing w:line="360" w:lineRule="auto"/>
        <w:ind w:firstLine="484" w:firstLineChars="200"/>
        <w:rPr>
          <w:color w:val="000000" w:themeColor="text1"/>
          <w:spacing w:val="1"/>
          <w:kern w:val="0"/>
          <w:sz w:val="24"/>
        </w:rPr>
      </w:pPr>
      <w:r>
        <w:rPr>
          <w:color w:val="000000" w:themeColor="text1"/>
          <w:spacing w:val="1"/>
          <w:kern w:val="0"/>
          <w:sz w:val="24"/>
        </w:rPr>
        <w:t>3、</w:t>
      </w:r>
      <w:r>
        <w:rPr>
          <w:rFonts w:hint="eastAsia"/>
          <w:color w:val="000000" w:themeColor="text1"/>
          <w:spacing w:val="1"/>
          <w:kern w:val="0"/>
          <w:sz w:val="24"/>
        </w:rPr>
        <w:t>南昌中油瑶湖石油销售有限公司瑶湖加油站</w:t>
      </w:r>
      <w:r>
        <w:rPr>
          <w:color w:val="000000" w:themeColor="text1"/>
          <w:spacing w:val="1"/>
          <w:kern w:val="0"/>
          <w:sz w:val="24"/>
        </w:rPr>
        <w:t>按照环保要求进行风险防控。</w:t>
      </w:r>
    </w:p>
    <w:p>
      <w:pPr>
        <w:spacing w:line="360" w:lineRule="auto"/>
        <w:ind w:firstLine="484" w:firstLineChars="200"/>
        <w:rPr>
          <w:color w:val="000000" w:themeColor="text1"/>
          <w:spacing w:val="1"/>
          <w:kern w:val="0"/>
          <w:sz w:val="24"/>
        </w:rPr>
      </w:pPr>
      <w:r>
        <w:rPr>
          <w:color w:val="000000" w:themeColor="text1"/>
          <w:spacing w:val="1"/>
          <w:kern w:val="0"/>
          <w:sz w:val="24"/>
        </w:rPr>
        <w:t>4、公司加油站应急预案体系中，明确规定应急救援组织机构相关职责，根据现场情况判断是否需要人员紧急疏散和抢救物资，如需紧急疏散须及时规定疏散路线和疏散路口；并及时协助站内员工和周围人员及居民的紧急疏散工作。同时向周边企业、村落提供本单位有关危险物质特性、应急措施、救援知识等。</w:t>
      </w:r>
    </w:p>
    <w:p>
      <w:pPr>
        <w:spacing w:line="360" w:lineRule="auto"/>
        <w:ind w:firstLine="484" w:firstLineChars="200"/>
        <w:rPr>
          <w:color w:val="000000" w:themeColor="text1"/>
          <w:spacing w:val="1"/>
          <w:kern w:val="0"/>
          <w:sz w:val="24"/>
        </w:rPr>
      </w:pPr>
      <w:r>
        <w:rPr>
          <w:color w:val="000000" w:themeColor="text1"/>
          <w:spacing w:val="1"/>
          <w:kern w:val="0"/>
          <w:sz w:val="24"/>
        </w:rPr>
        <w:t>5、定期对加油站职工开展环境风险和环境应急管理宣传和培训。在站区内张贴应急救援机构和人员、风险物质危险特性、急救措施、风险事故内部疏散路线等标识牌，定期组织员工进行专题培训。</w:t>
      </w:r>
    </w:p>
    <w:p>
      <w:pPr>
        <w:autoSpaceDE w:val="0"/>
        <w:autoSpaceDN w:val="0"/>
        <w:adjustRightInd w:val="0"/>
        <w:snapToGrid w:val="0"/>
        <w:spacing w:before="156" w:beforeLines="50" w:line="360" w:lineRule="auto"/>
        <w:jc w:val="left"/>
        <w:outlineLvl w:val="0"/>
        <w:rPr>
          <w:b/>
          <w:bCs/>
          <w:color w:val="000000" w:themeColor="text1"/>
          <w:sz w:val="24"/>
        </w:rPr>
      </w:pPr>
      <w:bookmarkStart w:id="72" w:name="_Toc11033"/>
      <w:r>
        <w:rPr>
          <w:b/>
          <w:bCs/>
          <w:color w:val="000000" w:themeColor="text1"/>
          <w:sz w:val="24"/>
        </w:rPr>
        <w:t>5.2环境风险防控与应急措施</w:t>
      </w:r>
      <w:bookmarkEnd w:id="72"/>
    </w:p>
    <w:p>
      <w:pPr>
        <w:autoSpaceDE w:val="0"/>
        <w:autoSpaceDN w:val="0"/>
        <w:adjustRightInd w:val="0"/>
        <w:snapToGrid w:val="0"/>
        <w:spacing w:before="156" w:beforeLines="50" w:line="360" w:lineRule="auto"/>
        <w:jc w:val="left"/>
        <w:outlineLvl w:val="0"/>
        <w:rPr>
          <w:b/>
          <w:bCs/>
          <w:color w:val="000000" w:themeColor="text1"/>
          <w:sz w:val="24"/>
        </w:rPr>
      </w:pPr>
      <w:bookmarkStart w:id="73" w:name="_Toc20273"/>
      <w:r>
        <w:rPr>
          <w:b/>
          <w:bCs/>
          <w:color w:val="000000" w:themeColor="text1"/>
          <w:sz w:val="24"/>
        </w:rPr>
        <w:t>5.2.1总图布置和建筑安全防范措施</w:t>
      </w:r>
      <w:bookmarkEnd w:id="73"/>
    </w:p>
    <w:p>
      <w:pPr>
        <w:spacing w:line="360" w:lineRule="auto"/>
        <w:ind w:firstLine="484" w:firstLineChars="200"/>
        <w:rPr>
          <w:color w:val="000000" w:themeColor="text1"/>
          <w:spacing w:val="1"/>
          <w:kern w:val="0"/>
          <w:sz w:val="24"/>
        </w:rPr>
      </w:pPr>
      <w:r>
        <w:rPr>
          <w:color w:val="000000" w:themeColor="text1"/>
          <w:spacing w:val="1"/>
          <w:kern w:val="0"/>
          <w:sz w:val="24"/>
        </w:rPr>
        <w:t>（1）总图布置</w:t>
      </w:r>
    </w:p>
    <w:p>
      <w:pPr>
        <w:spacing w:line="360" w:lineRule="auto"/>
        <w:ind w:firstLine="484" w:firstLineChars="200"/>
        <w:rPr>
          <w:color w:val="000000" w:themeColor="text1"/>
          <w:spacing w:val="1"/>
          <w:kern w:val="0"/>
          <w:sz w:val="24"/>
        </w:rPr>
      </w:pPr>
      <w:r>
        <w:rPr>
          <w:color w:val="000000" w:themeColor="text1"/>
          <w:spacing w:val="1"/>
          <w:kern w:val="0"/>
          <w:sz w:val="24"/>
        </w:rPr>
        <w:t>项目其地面建筑建设、地上营业室、储罐区、加油区建设以及所配套的安全、消防设施的平面布局等严格按《建筑设计防火规范》（GB50016-2014）设计。建设项目进行合理的功能分区，分区内部和相互之间保持一定的通道和安全间距。</w:t>
      </w:r>
    </w:p>
    <w:p>
      <w:pPr>
        <w:spacing w:line="360" w:lineRule="auto"/>
        <w:ind w:firstLine="484" w:firstLineChars="200"/>
        <w:rPr>
          <w:color w:val="000000" w:themeColor="text1"/>
          <w:spacing w:val="1"/>
          <w:kern w:val="0"/>
          <w:sz w:val="24"/>
        </w:rPr>
      </w:pPr>
      <w:r>
        <w:rPr>
          <w:color w:val="000000" w:themeColor="text1"/>
          <w:spacing w:val="1"/>
          <w:kern w:val="0"/>
          <w:sz w:val="24"/>
        </w:rPr>
        <w:t>（2）建筑安全防范</w:t>
      </w:r>
    </w:p>
    <w:p>
      <w:pPr>
        <w:spacing w:line="360" w:lineRule="auto"/>
        <w:ind w:firstLine="484" w:firstLineChars="200"/>
        <w:rPr>
          <w:color w:val="000000" w:themeColor="text1"/>
          <w:spacing w:val="1"/>
          <w:kern w:val="0"/>
          <w:sz w:val="24"/>
        </w:rPr>
      </w:pPr>
      <w:r>
        <w:rPr>
          <w:color w:val="000000" w:themeColor="text1"/>
          <w:spacing w:val="1"/>
          <w:kern w:val="0"/>
          <w:sz w:val="24"/>
        </w:rPr>
        <w:t>根据火灾危险性等级和防火、防爆要求，建筑物的防火等级均采用国家现行规范要求的耐火等级设计，满足建筑防火要求。凡禁火区均设置明显标志牌，化学品仓库不允许非工作人员随便入内，安全出口及安全疏散距离应符合《建筑设计防火规范》（GB50016-2014）的要求。在装置区设置救护箱，工作人员配备必要的个人防护用品。并定期对消防设施完整性就行检测，记录。</w:t>
      </w:r>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74" w:name="_Toc10192"/>
      <w:r>
        <w:rPr>
          <w:b/>
          <w:bCs/>
          <w:color w:val="000000" w:themeColor="text1"/>
          <w:sz w:val="24"/>
        </w:rPr>
        <w:t>5.2.2安全防范措施</w:t>
      </w:r>
      <w:bookmarkEnd w:id="74"/>
    </w:p>
    <w:p>
      <w:pPr>
        <w:spacing w:line="360" w:lineRule="auto"/>
        <w:ind w:firstLine="484" w:firstLineChars="200"/>
        <w:rPr>
          <w:color w:val="000000" w:themeColor="text1"/>
          <w:spacing w:val="1"/>
          <w:kern w:val="0"/>
          <w:sz w:val="24"/>
        </w:rPr>
      </w:pPr>
      <w:r>
        <w:rPr>
          <w:color w:val="000000" w:themeColor="text1"/>
          <w:spacing w:val="1"/>
          <w:kern w:val="0"/>
          <w:sz w:val="24"/>
        </w:rPr>
        <w:t>（1）废水和收集池污泥泄露防范措施</w:t>
      </w:r>
    </w:p>
    <w:p>
      <w:pPr>
        <w:spacing w:line="360" w:lineRule="auto"/>
        <w:ind w:firstLine="484" w:firstLineChars="200"/>
        <w:rPr>
          <w:color w:val="000000" w:themeColor="text1"/>
          <w:spacing w:val="1"/>
          <w:kern w:val="0"/>
          <w:sz w:val="24"/>
        </w:rPr>
      </w:pPr>
      <w:r>
        <w:rPr>
          <w:color w:val="000000" w:themeColor="text1"/>
          <w:spacing w:val="1"/>
          <w:kern w:val="0"/>
          <w:sz w:val="24"/>
        </w:rPr>
        <w:t>站区实行雨污分流，防止雨季站区雨水形成的径流进入污水收集池和事故应急池。设专人定期排查，确保雨水排入雨水沟。</w:t>
      </w:r>
    </w:p>
    <w:p>
      <w:pPr>
        <w:spacing w:line="360" w:lineRule="auto"/>
        <w:ind w:firstLine="484" w:firstLineChars="200"/>
        <w:rPr>
          <w:color w:val="000000" w:themeColor="text1"/>
          <w:spacing w:val="1"/>
          <w:kern w:val="0"/>
          <w:sz w:val="24"/>
        </w:rPr>
      </w:pPr>
      <w:r>
        <w:rPr>
          <w:color w:val="000000" w:themeColor="text1"/>
          <w:spacing w:val="1"/>
          <w:kern w:val="0"/>
          <w:sz w:val="24"/>
        </w:rPr>
        <w:t>定期对污水收集系统设备进行维修，对废水收集管道和回用水管道进行排查，保证各阀门和管道的通畅。</w:t>
      </w:r>
    </w:p>
    <w:p>
      <w:pPr>
        <w:spacing w:line="360" w:lineRule="auto"/>
        <w:ind w:firstLine="484" w:firstLineChars="200"/>
        <w:rPr>
          <w:color w:val="000000" w:themeColor="text1"/>
          <w:spacing w:val="1"/>
          <w:kern w:val="0"/>
          <w:sz w:val="24"/>
        </w:rPr>
      </w:pPr>
      <w:r>
        <w:rPr>
          <w:color w:val="000000" w:themeColor="text1"/>
          <w:spacing w:val="1"/>
          <w:kern w:val="0"/>
          <w:sz w:val="24"/>
        </w:rPr>
        <w:t>在日常运营期间，保持事故池处于控制状态，保证在突发环境事故发生时，应急池有足够的容积来容纳事故废水。</w:t>
      </w:r>
    </w:p>
    <w:p>
      <w:pPr>
        <w:spacing w:line="360" w:lineRule="auto"/>
        <w:ind w:firstLine="484" w:firstLineChars="200"/>
        <w:rPr>
          <w:color w:val="000000" w:themeColor="text1"/>
          <w:spacing w:val="1"/>
          <w:kern w:val="0"/>
          <w:sz w:val="24"/>
        </w:rPr>
      </w:pPr>
      <w:r>
        <w:rPr>
          <w:color w:val="000000" w:themeColor="text1"/>
          <w:spacing w:val="1"/>
          <w:kern w:val="0"/>
          <w:sz w:val="24"/>
        </w:rPr>
        <w:t>（2）危险废物防范措施</w:t>
      </w:r>
    </w:p>
    <w:p>
      <w:pPr>
        <w:spacing w:line="360" w:lineRule="auto"/>
        <w:ind w:firstLine="484" w:firstLineChars="200"/>
        <w:rPr>
          <w:color w:val="000000" w:themeColor="text1"/>
          <w:spacing w:val="1"/>
          <w:kern w:val="0"/>
          <w:sz w:val="24"/>
        </w:rPr>
      </w:pPr>
      <w:r>
        <w:rPr>
          <w:color w:val="000000" w:themeColor="text1"/>
          <w:spacing w:val="1"/>
          <w:kern w:val="0"/>
          <w:sz w:val="24"/>
        </w:rPr>
        <w:t>加油站按“三防”要求设置危险废物暂存间，同时按危险废物暂存、处置相关规定制定管理制度，定负责人，定期巡回检查，以确保加油站危险废物安全收集、暂存和处置。</w:t>
      </w:r>
    </w:p>
    <w:p>
      <w:pPr>
        <w:spacing w:line="360" w:lineRule="auto"/>
        <w:ind w:firstLine="484" w:firstLineChars="200"/>
        <w:rPr>
          <w:color w:val="000000" w:themeColor="text1"/>
          <w:spacing w:val="1"/>
          <w:kern w:val="0"/>
          <w:sz w:val="24"/>
        </w:rPr>
      </w:pPr>
      <w:r>
        <w:rPr>
          <w:color w:val="000000" w:themeColor="text1"/>
          <w:spacing w:val="1"/>
          <w:kern w:val="0"/>
          <w:sz w:val="24"/>
        </w:rPr>
        <w:t>危险废物主要环境风险为管理不当导致未按规范存贮、运输过程发生事故对地表水体、土壤造成污染。为避免危险废物管理、运输等活动处置不当导致的环境风险，本次评价提出如下措施：</w:t>
      </w:r>
    </w:p>
    <w:p>
      <w:pPr>
        <w:spacing w:line="360" w:lineRule="auto"/>
        <w:ind w:firstLine="484" w:firstLineChars="200"/>
        <w:rPr>
          <w:color w:val="000000" w:themeColor="text1"/>
          <w:spacing w:val="1"/>
          <w:kern w:val="0"/>
          <w:sz w:val="24"/>
        </w:rPr>
      </w:pPr>
      <w:r>
        <w:rPr>
          <w:color w:val="000000" w:themeColor="text1"/>
          <w:spacing w:val="1"/>
          <w:kern w:val="0"/>
          <w:sz w:val="24"/>
        </w:rPr>
        <w:t>1）危险废物暂存间必须做到防雨、防渗、防流失；</w:t>
      </w:r>
    </w:p>
    <w:p>
      <w:pPr>
        <w:spacing w:line="360" w:lineRule="auto"/>
        <w:ind w:firstLine="484" w:firstLineChars="200"/>
        <w:rPr>
          <w:color w:val="000000" w:themeColor="text1"/>
          <w:spacing w:val="1"/>
          <w:kern w:val="0"/>
          <w:sz w:val="24"/>
        </w:rPr>
      </w:pPr>
      <w:r>
        <w:rPr>
          <w:color w:val="000000" w:themeColor="text1"/>
          <w:spacing w:val="1"/>
          <w:kern w:val="0"/>
          <w:sz w:val="24"/>
        </w:rPr>
        <w:t>2）危险废物暂存间须设置明显的警示标识，加强管理，防止不安全处置；</w:t>
      </w:r>
    </w:p>
    <w:p>
      <w:pPr>
        <w:spacing w:line="360" w:lineRule="auto"/>
        <w:ind w:firstLine="484" w:firstLineChars="200"/>
        <w:rPr>
          <w:color w:val="000000" w:themeColor="text1"/>
          <w:spacing w:val="1"/>
          <w:kern w:val="0"/>
          <w:sz w:val="24"/>
        </w:rPr>
      </w:pPr>
      <w:r>
        <w:rPr>
          <w:color w:val="000000" w:themeColor="text1"/>
          <w:spacing w:val="1"/>
          <w:kern w:val="0"/>
          <w:sz w:val="24"/>
        </w:rPr>
        <w:t>3）危险废物应当进行分类收集，交</w:t>
      </w:r>
      <w:r>
        <w:rPr>
          <w:color w:val="000000" w:themeColor="text1"/>
          <w:sz w:val="24"/>
        </w:rPr>
        <w:t>由有资质单位</w:t>
      </w:r>
      <w:r>
        <w:rPr>
          <w:color w:val="000000" w:themeColor="text1"/>
          <w:spacing w:val="1"/>
          <w:kern w:val="0"/>
          <w:sz w:val="24"/>
        </w:rPr>
        <w:t>清运、处理。</w:t>
      </w:r>
    </w:p>
    <w:p>
      <w:pPr>
        <w:spacing w:line="360" w:lineRule="auto"/>
        <w:ind w:firstLine="484" w:firstLineChars="200"/>
        <w:rPr>
          <w:color w:val="000000" w:themeColor="text1"/>
          <w:spacing w:val="1"/>
          <w:kern w:val="0"/>
          <w:sz w:val="24"/>
        </w:rPr>
      </w:pPr>
      <w:r>
        <w:rPr>
          <w:color w:val="000000" w:themeColor="text1"/>
          <w:spacing w:val="1"/>
          <w:kern w:val="0"/>
          <w:sz w:val="24"/>
        </w:rPr>
        <w:t>4）禁止将危险废物混入其它废物或生活垃圾；</w:t>
      </w:r>
    </w:p>
    <w:p>
      <w:pPr>
        <w:spacing w:line="360" w:lineRule="auto"/>
        <w:ind w:firstLine="484" w:firstLineChars="200"/>
        <w:rPr>
          <w:color w:val="000000" w:themeColor="text1"/>
          <w:spacing w:val="1"/>
          <w:kern w:val="0"/>
          <w:sz w:val="24"/>
        </w:rPr>
      </w:pPr>
      <w:r>
        <w:rPr>
          <w:color w:val="000000" w:themeColor="text1"/>
          <w:spacing w:val="1"/>
          <w:kern w:val="0"/>
          <w:sz w:val="24"/>
        </w:rPr>
        <w:t>5）依照危险废物转移联单制度填写和保存转移联单。</w:t>
      </w:r>
    </w:p>
    <w:p>
      <w:pPr>
        <w:spacing w:line="360" w:lineRule="auto"/>
        <w:ind w:firstLine="484" w:firstLineChars="200"/>
        <w:rPr>
          <w:color w:val="000000" w:themeColor="text1"/>
          <w:spacing w:val="1"/>
          <w:kern w:val="0"/>
          <w:sz w:val="24"/>
        </w:rPr>
      </w:pPr>
      <w:r>
        <w:rPr>
          <w:color w:val="000000" w:themeColor="text1"/>
          <w:spacing w:val="1"/>
          <w:kern w:val="0"/>
          <w:sz w:val="24"/>
        </w:rPr>
        <w:t>6）危险废物运输车辆应符合相关规范、驾驶人员必须持证作业；</w:t>
      </w:r>
    </w:p>
    <w:p>
      <w:pPr>
        <w:spacing w:line="360" w:lineRule="auto"/>
        <w:ind w:firstLine="484" w:firstLineChars="200"/>
        <w:rPr>
          <w:color w:val="000000" w:themeColor="text1"/>
          <w:spacing w:val="1"/>
          <w:kern w:val="0"/>
          <w:sz w:val="24"/>
        </w:rPr>
      </w:pPr>
      <w:r>
        <w:rPr>
          <w:color w:val="000000" w:themeColor="text1"/>
          <w:spacing w:val="1"/>
          <w:kern w:val="0"/>
          <w:sz w:val="24"/>
        </w:rPr>
        <w:t>7）制定科学的运输路线，运输路线须避开水沟等地表水体；</w:t>
      </w:r>
    </w:p>
    <w:p>
      <w:pPr>
        <w:spacing w:line="360" w:lineRule="auto"/>
        <w:ind w:firstLine="484" w:firstLineChars="200"/>
        <w:rPr>
          <w:color w:val="000000" w:themeColor="text1"/>
          <w:sz w:val="24"/>
        </w:rPr>
      </w:pPr>
      <w:r>
        <w:rPr>
          <w:color w:val="000000" w:themeColor="text1"/>
          <w:spacing w:val="1"/>
          <w:kern w:val="0"/>
          <w:sz w:val="24"/>
        </w:rPr>
        <w:t>8）制定突发环境事件应急预案，将危险废物运输事故列入应急预案风险源中，并制定应急措施。</w:t>
      </w:r>
    </w:p>
    <w:p>
      <w:pPr>
        <w:spacing w:line="360" w:lineRule="auto"/>
        <w:ind w:firstLine="484" w:firstLineChars="200"/>
        <w:rPr>
          <w:color w:val="000000" w:themeColor="text1"/>
          <w:spacing w:val="1"/>
          <w:kern w:val="0"/>
          <w:sz w:val="24"/>
        </w:rPr>
      </w:pPr>
      <w:r>
        <w:rPr>
          <w:color w:val="000000" w:themeColor="text1"/>
          <w:spacing w:val="1"/>
          <w:kern w:val="0"/>
          <w:sz w:val="24"/>
        </w:rPr>
        <w:t>（3）风险管理措施</w:t>
      </w:r>
    </w:p>
    <w:p>
      <w:pPr>
        <w:spacing w:line="360" w:lineRule="auto"/>
        <w:ind w:firstLine="484" w:firstLineChars="200"/>
        <w:rPr>
          <w:color w:val="000000" w:themeColor="text1"/>
          <w:spacing w:val="1"/>
          <w:kern w:val="0"/>
          <w:sz w:val="24"/>
        </w:rPr>
      </w:pPr>
      <w:r>
        <w:rPr>
          <w:color w:val="000000" w:themeColor="text1"/>
          <w:spacing w:val="1"/>
          <w:kern w:val="0"/>
          <w:sz w:val="24"/>
        </w:rPr>
        <w:t>公司编制了应急预案，建立了事故应急救援队伍，明确各应急小组职责，详见应急预案。</w:t>
      </w:r>
    </w:p>
    <w:p>
      <w:pPr>
        <w:spacing w:line="360" w:lineRule="auto"/>
        <w:ind w:firstLine="484" w:firstLineChars="200"/>
        <w:rPr>
          <w:color w:val="000000" w:themeColor="text1"/>
          <w:spacing w:val="1"/>
          <w:kern w:val="0"/>
          <w:sz w:val="24"/>
        </w:rPr>
      </w:pPr>
      <w:r>
        <w:rPr>
          <w:color w:val="000000" w:themeColor="text1"/>
          <w:spacing w:val="1"/>
          <w:kern w:val="0"/>
          <w:sz w:val="24"/>
        </w:rPr>
        <w:t>加油站定期对加油人员进行安全生产与安全知识培训和进行事故处理培训，并制定严格的考核员工安全操作规程，保证劳动安全，防止意外事故的发生。实行奖惩机制，责任到人。加强对员工的突发事故应急培训，以减轻发生环境突发事故的危害。</w:t>
      </w:r>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75" w:name="_Toc23089"/>
      <w:r>
        <w:rPr>
          <w:b/>
          <w:bCs/>
          <w:color w:val="000000" w:themeColor="text1"/>
          <w:sz w:val="24"/>
        </w:rPr>
        <w:t>5.2.3泄漏、火灾应急措施</w:t>
      </w:r>
      <w:bookmarkEnd w:id="75"/>
    </w:p>
    <w:p>
      <w:pPr>
        <w:spacing w:line="360" w:lineRule="auto"/>
        <w:ind w:firstLine="484" w:firstLineChars="200"/>
        <w:rPr>
          <w:color w:val="000000" w:themeColor="text1"/>
          <w:spacing w:val="1"/>
          <w:kern w:val="0"/>
          <w:sz w:val="24"/>
        </w:rPr>
      </w:pPr>
      <w:r>
        <w:rPr>
          <w:color w:val="000000" w:themeColor="text1"/>
          <w:spacing w:val="1"/>
          <w:kern w:val="0"/>
          <w:sz w:val="24"/>
        </w:rPr>
        <w:t>1、加油站污水泄露措施</w:t>
      </w:r>
    </w:p>
    <w:p>
      <w:pPr>
        <w:spacing w:line="360" w:lineRule="auto"/>
        <w:ind w:firstLine="484" w:firstLineChars="200"/>
        <w:rPr>
          <w:color w:val="000000" w:themeColor="text1"/>
          <w:spacing w:val="1"/>
          <w:kern w:val="0"/>
          <w:sz w:val="24"/>
        </w:rPr>
      </w:pPr>
      <w:r>
        <w:rPr>
          <w:color w:val="000000" w:themeColor="text1"/>
          <w:spacing w:val="1"/>
          <w:kern w:val="0"/>
          <w:sz w:val="24"/>
        </w:rPr>
        <w:t>项目内污水发生泄露，要及时收集到事故池，处置泄漏点。收集后经污水处理厂处理达标后外排。</w:t>
      </w:r>
    </w:p>
    <w:p>
      <w:pPr>
        <w:spacing w:line="360" w:lineRule="auto"/>
        <w:ind w:firstLine="484" w:firstLineChars="200"/>
        <w:rPr>
          <w:color w:val="000000" w:themeColor="text1"/>
          <w:spacing w:val="1"/>
          <w:kern w:val="0"/>
          <w:sz w:val="24"/>
        </w:rPr>
      </w:pPr>
      <w:r>
        <w:rPr>
          <w:color w:val="000000" w:themeColor="text1"/>
          <w:spacing w:val="1"/>
          <w:kern w:val="0"/>
          <w:sz w:val="24"/>
        </w:rPr>
        <w:t>2、危险化学品泄露应急措施</w:t>
      </w:r>
    </w:p>
    <w:p>
      <w:pPr>
        <w:spacing w:line="360" w:lineRule="auto"/>
        <w:ind w:firstLine="484" w:firstLineChars="200"/>
        <w:rPr>
          <w:color w:val="000000" w:themeColor="text1"/>
          <w:spacing w:val="1"/>
          <w:kern w:val="0"/>
          <w:sz w:val="24"/>
        </w:rPr>
      </w:pPr>
      <w:r>
        <w:rPr>
          <w:color w:val="000000" w:themeColor="text1"/>
          <w:spacing w:val="1"/>
          <w:kern w:val="0"/>
          <w:sz w:val="24"/>
        </w:rPr>
        <w:t>加油站危险化学品主要是汽油，发生泄露后应及时收集，对现场进行洗消处理；</w:t>
      </w:r>
    </w:p>
    <w:p>
      <w:pPr>
        <w:spacing w:line="360" w:lineRule="auto"/>
        <w:ind w:firstLine="484" w:firstLineChars="200"/>
        <w:rPr>
          <w:color w:val="000000" w:themeColor="text1"/>
          <w:spacing w:val="1"/>
          <w:kern w:val="0"/>
          <w:sz w:val="24"/>
        </w:rPr>
      </w:pPr>
      <w:r>
        <w:rPr>
          <w:color w:val="000000" w:themeColor="text1"/>
          <w:spacing w:val="1"/>
          <w:kern w:val="0"/>
          <w:sz w:val="24"/>
        </w:rPr>
        <w:t>防护措施</w:t>
      </w:r>
    </w:p>
    <w:p>
      <w:pPr>
        <w:spacing w:line="360" w:lineRule="auto"/>
        <w:ind w:firstLine="484" w:firstLineChars="200"/>
        <w:rPr>
          <w:color w:val="000000" w:themeColor="text1"/>
          <w:spacing w:val="1"/>
          <w:kern w:val="0"/>
          <w:sz w:val="24"/>
        </w:rPr>
      </w:pPr>
      <w:r>
        <w:rPr>
          <w:color w:val="000000" w:themeColor="text1"/>
          <w:spacing w:val="1"/>
          <w:kern w:val="0"/>
          <w:sz w:val="24"/>
        </w:rPr>
        <w:t>①呼吸系统防护：应急处理人员戴好防毒面具，建议佩带自给式呼吸器。</w:t>
      </w:r>
    </w:p>
    <w:p>
      <w:pPr>
        <w:spacing w:line="360" w:lineRule="auto"/>
        <w:ind w:firstLine="484" w:firstLineChars="200"/>
        <w:rPr>
          <w:color w:val="000000" w:themeColor="text1"/>
          <w:spacing w:val="1"/>
          <w:kern w:val="0"/>
          <w:sz w:val="24"/>
        </w:rPr>
      </w:pPr>
      <w:r>
        <w:rPr>
          <w:color w:val="000000" w:themeColor="text1"/>
          <w:spacing w:val="1"/>
          <w:kern w:val="0"/>
          <w:sz w:val="24"/>
        </w:rPr>
        <w:t>②眼睛防护：戴化学安全防护眼镜。</w:t>
      </w:r>
    </w:p>
    <w:p>
      <w:pPr>
        <w:spacing w:line="360" w:lineRule="auto"/>
        <w:ind w:firstLine="484" w:firstLineChars="200"/>
        <w:rPr>
          <w:color w:val="000000" w:themeColor="text1"/>
          <w:spacing w:val="1"/>
          <w:kern w:val="0"/>
          <w:sz w:val="24"/>
        </w:rPr>
      </w:pPr>
      <w:r>
        <w:rPr>
          <w:color w:val="000000" w:themeColor="text1"/>
          <w:spacing w:val="1"/>
          <w:kern w:val="0"/>
          <w:sz w:val="24"/>
        </w:rPr>
        <w:t>③身体防护：穿工作服(防静电)。</w:t>
      </w:r>
    </w:p>
    <w:p>
      <w:pPr>
        <w:spacing w:line="360" w:lineRule="auto"/>
        <w:ind w:firstLine="484" w:firstLineChars="200"/>
        <w:rPr>
          <w:color w:val="000000" w:themeColor="text1"/>
          <w:spacing w:val="1"/>
          <w:kern w:val="0"/>
          <w:sz w:val="24"/>
        </w:rPr>
      </w:pPr>
      <w:r>
        <w:rPr>
          <w:color w:val="000000" w:themeColor="text1"/>
          <w:spacing w:val="1"/>
          <w:kern w:val="0"/>
          <w:sz w:val="24"/>
        </w:rPr>
        <w:t>④手防护：戴橡胶防护手套。</w:t>
      </w:r>
    </w:p>
    <w:p>
      <w:pPr>
        <w:spacing w:line="360" w:lineRule="auto"/>
        <w:ind w:firstLine="484" w:firstLineChars="200"/>
        <w:rPr>
          <w:color w:val="000000" w:themeColor="text1"/>
          <w:spacing w:val="1"/>
          <w:kern w:val="0"/>
          <w:sz w:val="24"/>
        </w:rPr>
      </w:pPr>
      <w:r>
        <w:rPr>
          <w:color w:val="000000" w:themeColor="text1"/>
          <w:spacing w:val="1"/>
          <w:kern w:val="0"/>
          <w:sz w:val="24"/>
        </w:rPr>
        <w:t>⑤其它：严禁烟火、工作后，淋浴更衣。</w:t>
      </w:r>
    </w:p>
    <w:p>
      <w:pPr>
        <w:spacing w:line="360" w:lineRule="auto"/>
        <w:ind w:firstLine="484" w:firstLineChars="200"/>
        <w:rPr>
          <w:color w:val="000000" w:themeColor="text1"/>
          <w:spacing w:val="1"/>
          <w:kern w:val="0"/>
          <w:sz w:val="24"/>
        </w:rPr>
      </w:pPr>
      <w:r>
        <w:rPr>
          <w:color w:val="000000" w:themeColor="text1"/>
          <w:spacing w:val="1"/>
          <w:kern w:val="0"/>
          <w:sz w:val="24"/>
        </w:rPr>
        <w:t>3、火灾事故管理程序</w:t>
      </w:r>
    </w:p>
    <w:p>
      <w:pPr>
        <w:spacing w:line="360" w:lineRule="auto"/>
        <w:ind w:firstLine="484" w:firstLineChars="200"/>
        <w:rPr>
          <w:color w:val="000000" w:themeColor="text1"/>
          <w:spacing w:val="1"/>
          <w:kern w:val="0"/>
          <w:sz w:val="24"/>
        </w:rPr>
      </w:pPr>
      <w:r>
        <w:rPr>
          <w:color w:val="000000" w:themeColor="text1"/>
          <w:spacing w:val="1"/>
          <w:kern w:val="0"/>
          <w:sz w:val="24"/>
        </w:rPr>
        <w:t>针对加油站工作场所所发生的火灾事故的应急和预防，项目详细地规定了当火灾事故发生时各级领导及各部门的职责，并制定了事故发生时采取的应急准备和应急计划。</w:t>
      </w:r>
    </w:p>
    <w:p>
      <w:pPr>
        <w:spacing w:line="360" w:lineRule="auto"/>
        <w:ind w:firstLine="484" w:firstLineChars="200"/>
        <w:rPr>
          <w:color w:val="000000" w:themeColor="text1"/>
          <w:spacing w:val="1"/>
          <w:kern w:val="0"/>
          <w:sz w:val="24"/>
        </w:rPr>
      </w:pPr>
      <w:r>
        <w:rPr>
          <w:color w:val="000000" w:themeColor="text1"/>
          <w:spacing w:val="1"/>
          <w:kern w:val="0"/>
          <w:sz w:val="24"/>
        </w:rPr>
        <w:t>当发生火灾事故时立即启动程序，即事故发生岗位或所在部门应立即报消防队。值班负责人应根据事故灾情具体情况、环境污染情况组织应急救援。消防队接警后出动消防车，及时控制火势、抢救伤员、扑灭火灾，防止环境污染的发生和扩大。事故后组织有关人员进行事故调查，并向主管单位报告火灾事故，由消防抢险队按“消防联防要求”报 “110”指挥中心。安全、环保等部门负责人在现场确认应急措施的效果，并随时准备提供新的应急措施。在污染可能对外部环境发生影响时，向地方公安机关通报，并向地方政府通报，由环保人员向地方环保部门通报。火灾事故处理完毕后，组织有关人员进行“事故报告”的审定和事故“四不放过”措施。</w:t>
      </w:r>
    </w:p>
    <w:p>
      <w:pPr>
        <w:spacing w:line="360" w:lineRule="auto"/>
        <w:ind w:firstLine="484" w:firstLineChars="200"/>
        <w:rPr>
          <w:color w:val="000000" w:themeColor="text1"/>
          <w:spacing w:val="1"/>
          <w:kern w:val="0"/>
          <w:sz w:val="24"/>
        </w:rPr>
      </w:pPr>
      <w:r>
        <w:rPr>
          <w:color w:val="000000" w:themeColor="text1"/>
          <w:spacing w:val="1"/>
          <w:kern w:val="0"/>
          <w:sz w:val="24"/>
        </w:rPr>
        <w:t>启用该程序，可以有效地对火灾事故进行救援和处理，减少事故造成的损失。</w:t>
      </w:r>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76" w:name="_Toc11652"/>
      <w:r>
        <w:rPr>
          <w:b/>
          <w:bCs/>
          <w:color w:val="000000" w:themeColor="text1"/>
          <w:sz w:val="24"/>
        </w:rPr>
        <w:t>5.2.4电气、电讯安全防范措施</w:t>
      </w:r>
      <w:bookmarkEnd w:id="76"/>
    </w:p>
    <w:p>
      <w:pPr>
        <w:spacing w:line="360" w:lineRule="auto"/>
        <w:ind w:firstLine="484" w:firstLineChars="200"/>
        <w:rPr>
          <w:color w:val="000000" w:themeColor="text1"/>
          <w:spacing w:val="1"/>
          <w:kern w:val="0"/>
          <w:sz w:val="24"/>
        </w:rPr>
      </w:pPr>
      <w:r>
        <w:rPr>
          <w:color w:val="000000" w:themeColor="text1"/>
          <w:spacing w:val="1"/>
          <w:kern w:val="0"/>
          <w:sz w:val="24"/>
        </w:rPr>
        <w:t>各单元均设静电接地、电器短路保护等，作业场所均设防静电接电装置，防静电接地电阻每年检测两次，且电阻值合格。总配电间，发电房设有应急灯。</w:t>
      </w:r>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77" w:name="_Toc22170"/>
      <w:r>
        <w:rPr>
          <w:b/>
          <w:bCs/>
          <w:color w:val="000000" w:themeColor="text1"/>
          <w:sz w:val="24"/>
        </w:rPr>
        <w:t>5.2.5消防及火灾报警系统</w:t>
      </w:r>
      <w:bookmarkEnd w:id="77"/>
    </w:p>
    <w:p>
      <w:pPr>
        <w:spacing w:line="360" w:lineRule="auto"/>
        <w:ind w:firstLine="484" w:firstLineChars="200"/>
        <w:rPr>
          <w:color w:val="000000" w:themeColor="text1"/>
          <w:spacing w:val="1"/>
          <w:kern w:val="0"/>
          <w:sz w:val="24"/>
        </w:rPr>
      </w:pPr>
      <w:r>
        <w:rPr>
          <w:color w:val="000000" w:themeColor="text1"/>
          <w:spacing w:val="1"/>
          <w:kern w:val="0"/>
          <w:sz w:val="24"/>
        </w:rPr>
        <w:t>项目火灾报警和通讯联络设施需完好、畅通、有效。消防设施应每半年进行一次保养，确保安全使用、有效。此外，还应采取的相关对策措施：</w:t>
      </w:r>
    </w:p>
    <w:p>
      <w:pPr>
        <w:spacing w:line="360" w:lineRule="auto"/>
        <w:ind w:firstLine="484" w:firstLineChars="200"/>
        <w:rPr>
          <w:color w:val="000000" w:themeColor="text1"/>
          <w:spacing w:val="1"/>
          <w:kern w:val="0"/>
          <w:sz w:val="24"/>
        </w:rPr>
      </w:pPr>
      <w:r>
        <w:rPr>
          <w:color w:val="000000" w:themeColor="text1"/>
          <w:spacing w:val="1"/>
          <w:kern w:val="0"/>
          <w:sz w:val="24"/>
        </w:rPr>
        <w:t>（1）消防器材应由专业人员管理，并定期组织检验、维修，确保消防设施和器材的完好、有效并能随时取用，防雨防晒；</w:t>
      </w:r>
    </w:p>
    <w:p>
      <w:pPr>
        <w:spacing w:line="360" w:lineRule="auto"/>
        <w:ind w:firstLine="484" w:firstLineChars="200"/>
        <w:rPr>
          <w:color w:val="000000" w:themeColor="text1"/>
          <w:spacing w:val="1"/>
          <w:kern w:val="0"/>
          <w:sz w:val="24"/>
        </w:rPr>
      </w:pPr>
      <w:r>
        <w:rPr>
          <w:color w:val="000000" w:themeColor="text1"/>
          <w:spacing w:val="1"/>
          <w:kern w:val="0"/>
          <w:sz w:val="24"/>
        </w:rPr>
        <w:t>（2）应制订消防安全管理制度、消防安全操作规程；</w:t>
      </w:r>
    </w:p>
    <w:p>
      <w:pPr>
        <w:spacing w:line="360" w:lineRule="auto"/>
        <w:ind w:firstLine="484" w:firstLineChars="200"/>
        <w:rPr>
          <w:color w:val="000000" w:themeColor="text1"/>
          <w:spacing w:val="1"/>
          <w:kern w:val="0"/>
          <w:sz w:val="24"/>
        </w:rPr>
      </w:pPr>
      <w:r>
        <w:rPr>
          <w:color w:val="000000" w:themeColor="text1"/>
          <w:spacing w:val="1"/>
          <w:kern w:val="0"/>
          <w:sz w:val="24"/>
        </w:rPr>
        <w:t>（3）确定单位和所属各部门、岗位的消防安全责任人；</w:t>
      </w:r>
    </w:p>
    <w:p>
      <w:pPr>
        <w:spacing w:line="360" w:lineRule="auto"/>
        <w:ind w:firstLine="484" w:firstLineChars="200"/>
        <w:rPr>
          <w:color w:val="000000" w:themeColor="text1"/>
          <w:spacing w:val="1"/>
          <w:kern w:val="0"/>
          <w:sz w:val="24"/>
        </w:rPr>
      </w:pPr>
      <w:r>
        <w:rPr>
          <w:color w:val="000000" w:themeColor="text1"/>
          <w:spacing w:val="1"/>
          <w:kern w:val="0"/>
          <w:sz w:val="24"/>
        </w:rPr>
        <w:t>（4）定期组织防火检查，及时消除火灾隐患；</w:t>
      </w:r>
    </w:p>
    <w:p>
      <w:pPr>
        <w:spacing w:line="360" w:lineRule="auto"/>
        <w:ind w:firstLine="484" w:firstLineChars="200"/>
        <w:rPr>
          <w:color w:val="000000" w:themeColor="text1"/>
          <w:spacing w:val="1"/>
          <w:kern w:val="0"/>
          <w:sz w:val="24"/>
        </w:rPr>
      </w:pPr>
      <w:r>
        <w:rPr>
          <w:color w:val="000000" w:themeColor="text1"/>
          <w:spacing w:val="1"/>
          <w:kern w:val="0"/>
          <w:sz w:val="24"/>
        </w:rPr>
        <w:t>（5）建立防火档案，确定消防安全重点部位，设置防火标志，实行严格管理；</w:t>
      </w:r>
    </w:p>
    <w:p>
      <w:pPr>
        <w:spacing w:line="360" w:lineRule="auto"/>
        <w:ind w:firstLine="484" w:firstLineChars="200"/>
        <w:rPr>
          <w:color w:val="000000" w:themeColor="text1"/>
          <w:spacing w:val="1"/>
          <w:kern w:val="0"/>
          <w:sz w:val="24"/>
        </w:rPr>
      </w:pPr>
      <w:r>
        <w:rPr>
          <w:color w:val="000000" w:themeColor="text1"/>
          <w:spacing w:val="1"/>
          <w:kern w:val="0"/>
          <w:sz w:val="24"/>
        </w:rPr>
        <w:t>（6）对职工进行消防安全培训，制定灭火和应急疏散预案，定期组织、消防演练。</w:t>
      </w:r>
    </w:p>
    <w:p>
      <w:pPr>
        <w:spacing w:line="360" w:lineRule="auto"/>
        <w:ind w:firstLine="484" w:firstLineChars="200"/>
        <w:rPr>
          <w:color w:val="000000" w:themeColor="text1"/>
          <w:spacing w:val="1"/>
          <w:kern w:val="0"/>
          <w:sz w:val="24"/>
        </w:rPr>
      </w:pPr>
      <w:r>
        <w:rPr>
          <w:color w:val="000000" w:themeColor="text1"/>
          <w:spacing w:val="1"/>
          <w:kern w:val="0"/>
          <w:sz w:val="24"/>
        </w:rPr>
        <w:t>（7）设置应急池，完善废水收集系统，保证各单元发生事故时，泄漏物料或消防、冲洗废水能迅速、安全地集中到应急池，进行必要的处理。</w:t>
      </w:r>
    </w:p>
    <w:p>
      <w:pPr>
        <w:spacing w:line="360" w:lineRule="auto"/>
        <w:ind w:firstLine="484" w:firstLineChars="200"/>
        <w:rPr>
          <w:color w:val="000000" w:themeColor="text1"/>
          <w:spacing w:val="1"/>
          <w:kern w:val="0"/>
          <w:sz w:val="24"/>
        </w:rPr>
      </w:pPr>
      <w:r>
        <w:rPr>
          <w:color w:val="000000" w:themeColor="text1"/>
          <w:spacing w:val="1"/>
          <w:kern w:val="0"/>
          <w:sz w:val="24"/>
        </w:rPr>
        <w:t>（8）火灾报警系统：根据需要设置报警装置，火灾报警信号报至中心控制。</w:t>
      </w:r>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78" w:name="_Toc2780"/>
      <w:r>
        <w:rPr>
          <w:b/>
          <w:bCs/>
          <w:color w:val="000000" w:themeColor="text1"/>
          <w:sz w:val="24"/>
        </w:rPr>
        <w:t>5.2.6运输的环境风险防范措施</w:t>
      </w:r>
      <w:bookmarkEnd w:id="78"/>
    </w:p>
    <w:p>
      <w:pPr>
        <w:spacing w:line="360" w:lineRule="auto"/>
        <w:ind w:firstLine="484" w:firstLineChars="200"/>
        <w:rPr>
          <w:color w:val="000000" w:themeColor="text1"/>
          <w:spacing w:val="1"/>
          <w:kern w:val="0"/>
          <w:sz w:val="24"/>
        </w:rPr>
      </w:pPr>
      <w:r>
        <w:rPr>
          <w:color w:val="000000" w:themeColor="text1"/>
          <w:spacing w:val="1"/>
          <w:kern w:val="0"/>
          <w:sz w:val="24"/>
        </w:rPr>
        <w:t>严格查验，凡是进入加油站的危险化学品、危险废物运输车辆、驾驶员、押运员必须具备危货运输的相关资质，手续齐全，车辆安装紧急切断装置，由车辆管理单位进行监控，提前告知运输车辆交通堵塞路段以利于可绕道行驶；建立完善的运输管理流程，严格的登记管理制度，严防在运输过程中遗失。</w:t>
      </w:r>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79" w:name="_Toc21880"/>
      <w:r>
        <w:rPr>
          <w:b/>
          <w:bCs/>
          <w:color w:val="000000" w:themeColor="text1"/>
          <w:sz w:val="24"/>
        </w:rPr>
        <w:t>5.2.7其他环境风险防范措施</w:t>
      </w:r>
      <w:bookmarkEnd w:id="79"/>
    </w:p>
    <w:p>
      <w:pPr>
        <w:spacing w:line="360" w:lineRule="auto"/>
        <w:ind w:firstLine="484" w:firstLineChars="200"/>
        <w:rPr>
          <w:color w:val="000000" w:themeColor="text1"/>
          <w:spacing w:val="1"/>
          <w:kern w:val="0"/>
          <w:sz w:val="24"/>
        </w:rPr>
      </w:pPr>
      <w:r>
        <w:rPr>
          <w:color w:val="000000" w:themeColor="text1"/>
          <w:spacing w:val="1"/>
          <w:kern w:val="0"/>
          <w:sz w:val="24"/>
        </w:rPr>
        <w:t>（1）运营中确保各项应急设施及器材的完好，定期检查，对已损坏的设施或器材及时更换维修。</w:t>
      </w:r>
    </w:p>
    <w:p>
      <w:pPr>
        <w:spacing w:line="360" w:lineRule="auto"/>
        <w:ind w:firstLine="484" w:firstLineChars="200"/>
        <w:rPr>
          <w:color w:val="000000" w:themeColor="text1"/>
          <w:spacing w:val="1"/>
          <w:kern w:val="0"/>
          <w:sz w:val="24"/>
        </w:rPr>
      </w:pPr>
      <w:r>
        <w:rPr>
          <w:color w:val="000000" w:themeColor="text1"/>
          <w:spacing w:val="1"/>
          <w:kern w:val="0"/>
          <w:sz w:val="24"/>
        </w:rPr>
        <w:t>（2）定期组织应急培训及演练，并根据方案多方位分类培训。</w:t>
      </w:r>
    </w:p>
    <w:p>
      <w:pPr>
        <w:spacing w:line="360" w:lineRule="auto"/>
        <w:ind w:firstLine="484" w:firstLineChars="200"/>
        <w:rPr>
          <w:color w:val="000000" w:themeColor="text1"/>
          <w:spacing w:val="1"/>
          <w:kern w:val="0"/>
          <w:sz w:val="24"/>
        </w:rPr>
      </w:pPr>
      <w:r>
        <w:rPr>
          <w:color w:val="000000" w:themeColor="text1"/>
          <w:spacing w:val="1"/>
          <w:kern w:val="0"/>
          <w:sz w:val="24"/>
        </w:rPr>
        <w:t>（3）发生事故时，及时启动相应的应急预案，采取救援措施，实施应急监测。</w:t>
      </w:r>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80" w:name="_Toc7599"/>
      <w:r>
        <w:rPr>
          <w:b/>
          <w:bCs/>
          <w:color w:val="000000" w:themeColor="text1"/>
          <w:sz w:val="24"/>
        </w:rPr>
        <w:t>5.2.8环境应急资源</w:t>
      </w:r>
      <w:bookmarkEnd w:id="80"/>
    </w:p>
    <w:p>
      <w:pPr>
        <w:spacing w:line="360" w:lineRule="auto"/>
        <w:ind w:firstLine="484" w:firstLineChars="200"/>
        <w:rPr>
          <w:color w:val="000000" w:themeColor="text1"/>
          <w:spacing w:val="1"/>
          <w:kern w:val="0"/>
          <w:sz w:val="24"/>
        </w:rPr>
      </w:pPr>
      <w:r>
        <w:rPr>
          <w:color w:val="000000" w:themeColor="text1"/>
          <w:spacing w:val="1"/>
          <w:kern w:val="0"/>
          <w:sz w:val="24"/>
        </w:rPr>
        <w:t>已经配备了必要的应急物资、应急设备和应急队伍，外部救援机构均为政府职能部门或服务性机构，加油站虽未与有关部门签订应急救援协议或互救协议，一旦发生突发环境事件，通过信息传递需要实施外部救援时，相关部门本着“以人为本，快速响应”的原则，有责任和义务对加油站进行应急救援。</w:t>
      </w:r>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81" w:name="_Toc29274"/>
      <w:r>
        <w:rPr>
          <w:b/>
          <w:bCs/>
          <w:color w:val="000000" w:themeColor="text1"/>
          <w:sz w:val="24"/>
        </w:rPr>
        <w:t>5.3历史经验教训总结</w:t>
      </w:r>
      <w:bookmarkEnd w:id="81"/>
    </w:p>
    <w:p>
      <w:pPr>
        <w:spacing w:line="360" w:lineRule="auto"/>
        <w:ind w:firstLine="484" w:firstLineChars="200"/>
        <w:rPr>
          <w:color w:val="000000" w:themeColor="text1"/>
          <w:spacing w:val="1"/>
          <w:kern w:val="0"/>
          <w:sz w:val="24"/>
        </w:rPr>
      </w:pPr>
      <w:r>
        <w:rPr>
          <w:color w:val="000000" w:themeColor="text1"/>
          <w:spacing w:val="1"/>
          <w:kern w:val="0"/>
          <w:sz w:val="24"/>
        </w:rPr>
        <w:t>对前文收集的国内同类企业突发环境事件案例进行分析、总结，案例中加油站发生火灾爆炸及危险化学品泄露事故发生的主要原因有：巡回检查监控措施不到位；员工违规违章操作；未按照《危险化学品运输证》要求配备运输人员，缺乏员工（包括操作工、驾驶员）进行危险化学品知识培训以及管理措施不到位等。</w:t>
      </w:r>
    </w:p>
    <w:p>
      <w:pPr>
        <w:spacing w:line="360" w:lineRule="auto"/>
        <w:ind w:firstLine="484" w:firstLineChars="200"/>
        <w:rPr>
          <w:color w:val="000000" w:themeColor="text1"/>
          <w:spacing w:val="1"/>
          <w:kern w:val="0"/>
          <w:sz w:val="24"/>
        </w:rPr>
      </w:pPr>
      <w:r>
        <w:rPr>
          <w:color w:val="000000" w:themeColor="text1"/>
          <w:spacing w:val="1"/>
          <w:kern w:val="0"/>
          <w:sz w:val="24"/>
        </w:rPr>
        <w:t>加油站引以为戒、吸取历史经验教训，针对上述酿成事故的原因，采取了如下相应对策：（1）对现有危险源点加强巡回检查，实施责任制；（2）定期开展污水收集池、事故池、医疗废物暂存间检查、维护保养，发现问题及时修补，保证设施安全使用。（3）加强管理，定期开展员工培训，提高员工素质、增强操作技能；内部、外部培训后进行考试，对员工考核结果应记录备案；为加强加油站员工按章规范操作的主动性、自觉性，制定并落实内部奖惩措施.</w:t>
      </w:r>
    </w:p>
    <w:p>
      <w:pPr>
        <w:autoSpaceDE w:val="0"/>
        <w:autoSpaceDN w:val="0"/>
        <w:adjustRightInd w:val="0"/>
        <w:snapToGrid w:val="0"/>
        <w:spacing w:before="312" w:beforeLines="100" w:after="156" w:afterLines="50" w:line="360" w:lineRule="auto"/>
        <w:jc w:val="left"/>
        <w:outlineLvl w:val="0"/>
        <w:rPr>
          <w:b/>
          <w:bCs/>
          <w:color w:val="000000" w:themeColor="text1"/>
          <w:sz w:val="24"/>
        </w:rPr>
      </w:pPr>
      <w:bookmarkStart w:id="82" w:name="_Toc15383"/>
      <w:r>
        <w:rPr>
          <w:b/>
          <w:bCs/>
          <w:color w:val="000000" w:themeColor="text1"/>
          <w:sz w:val="24"/>
        </w:rPr>
        <w:t>5.4需要整改的短期、中期和长期项目内容</w:t>
      </w:r>
      <w:bookmarkEnd w:id="82"/>
    </w:p>
    <w:p>
      <w:pPr>
        <w:spacing w:line="360" w:lineRule="auto"/>
        <w:ind w:firstLine="484" w:firstLineChars="200"/>
        <w:rPr>
          <w:color w:val="000000" w:themeColor="text1"/>
          <w:spacing w:val="1"/>
          <w:kern w:val="0"/>
          <w:sz w:val="24"/>
        </w:rPr>
      </w:pPr>
      <w:r>
        <w:rPr>
          <w:color w:val="000000" w:themeColor="text1"/>
          <w:spacing w:val="1"/>
          <w:kern w:val="0"/>
          <w:sz w:val="24"/>
        </w:rPr>
        <w:t>针对上述排查的每一项差距和隐患，根据其危害性、紧迫性和治理时间的长短，提出需要完成整改的期限，分别按短期（3个月以内）、中期（3-6个月）和长期（6个月以上）给出。</w:t>
      </w:r>
    </w:p>
    <w:p>
      <w:pPr>
        <w:spacing w:line="360" w:lineRule="auto"/>
        <w:ind w:firstLine="484" w:firstLineChars="200"/>
        <w:rPr>
          <w:color w:val="000000" w:themeColor="text1"/>
          <w:spacing w:val="1"/>
          <w:kern w:val="0"/>
          <w:sz w:val="24"/>
        </w:rPr>
      </w:pPr>
      <w:r>
        <w:rPr>
          <w:color w:val="000000" w:themeColor="text1"/>
          <w:spacing w:val="1"/>
          <w:kern w:val="0"/>
          <w:sz w:val="24"/>
        </w:rPr>
        <w:t>长期（6个月以上）：定期开展安全生产动员大会和定期组织员工进行专题培训，形式有内部专家培训讲座及外部培训班等。</w:t>
      </w:r>
    </w:p>
    <w:p>
      <w:pPr>
        <w:spacing w:line="360" w:lineRule="auto"/>
        <w:ind w:firstLine="484" w:firstLineChars="200"/>
        <w:rPr>
          <w:color w:val="000000" w:themeColor="text1"/>
          <w:spacing w:val="1"/>
          <w:kern w:val="0"/>
          <w:sz w:val="24"/>
        </w:rPr>
      </w:pPr>
      <w:r>
        <w:rPr>
          <w:color w:val="000000" w:themeColor="text1"/>
          <w:spacing w:val="1"/>
          <w:kern w:val="0"/>
          <w:sz w:val="24"/>
        </w:rPr>
        <w:t>中期（3-6个月）：对污水处理设备设施、危险废物收集、暂存设施进行检修、维护，针对重点风险源（汽油、危险废物、含油污水）、事故池、油罐区、加油区等进行检查。</w:t>
      </w:r>
    </w:p>
    <w:p>
      <w:pPr>
        <w:spacing w:line="360" w:lineRule="auto"/>
        <w:ind w:firstLine="484" w:firstLineChars="200"/>
        <w:rPr>
          <w:color w:val="000000" w:themeColor="text1"/>
          <w:spacing w:val="1"/>
          <w:kern w:val="0"/>
          <w:sz w:val="24"/>
        </w:rPr>
      </w:pPr>
      <w:r>
        <w:rPr>
          <w:color w:val="000000" w:themeColor="text1"/>
          <w:spacing w:val="1"/>
          <w:kern w:val="0"/>
          <w:sz w:val="24"/>
        </w:rPr>
        <w:t>短期（3个月以内）：明确环境风险防控重点岗位的责任机构，落实到人，开展定期巡检和维护工作；对危险废物油泥、油渣、污油等做好防随意处置和防渗漏措施。</w:t>
      </w:r>
    </w:p>
    <w:p>
      <w:pPr>
        <w:widowControl/>
        <w:jc w:val="left"/>
        <w:rPr>
          <w:color w:val="000000" w:themeColor="text1"/>
          <w:kern w:val="0"/>
          <w:sz w:val="24"/>
        </w:rPr>
      </w:pPr>
      <w:r>
        <w:rPr>
          <w:color w:val="000000" w:themeColor="text1"/>
        </w:rPr>
        <w:br w:type="page"/>
      </w:r>
    </w:p>
    <w:p>
      <w:pPr>
        <w:autoSpaceDE w:val="0"/>
        <w:autoSpaceDN w:val="0"/>
        <w:adjustRightInd w:val="0"/>
        <w:snapToGrid w:val="0"/>
        <w:spacing w:before="312" w:beforeLines="100" w:after="156" w:afterLines="50" w:line="360" w:lineRule="auto"/>
        <w:jc w:val="center"/>
        <w:outlineLvl w:val="0"/>
        <w:rPr>
          <w:b/>
          <w:bCs/>
          <w:color w:val="000000" w:themeColor="text1"/>
          <w:sz w:val="30"/>
          <w:szCs w:val="30"/>
        </w:rPr>
      </w:pPr>
      <w:bookmarkStart w:id="83" w:name="_Toc22674"/>
      <w:r>
        <w:rPr>
          <w:b/>
          <w:bCs/>
          <w:color w:val="000000" w:themeColor="text1"/>
          <w:sz w:val="30"/>
          <w:szCs w:val="30"/>
        </w:rPr>
        <w:t>6、完善环境风险防控和应急措施的实施计划</w:t>
      </w:r>
      <w:bookmarkEnd w:id="83"/>
    </w:p>
    <w:p>
      <w:pPr>
        <w:spacing w:line="360" w:lineRule="auto"/>
        <w:ind w:firstLine="484" w:firstLineChars="200"/>
        <w:rPr>
          <w:color w:val="000000" w:themeColor="text1"/>
          <w:spacing w:val="1"/>
          <w:kern w:val="0"/>
          <w:sz w:val="24"/>
        </w:rPr>
      </w:pPr>
      <w:r>
        <w:rPr>
          <w:color w:val="000000" w:themeColor="text1"/>
          <w:spacing w:val="1"/>
          <w:kern w:val="0"/>
          <w:sz w:val="24"/>
        </w:rPr>
        <w:t>针对加油站需要整改的短期、中期和长期项目，分别制定完善环境风险防控和应急措施的实施计划如下。</w:t>
      </w:r>
    </w:p>
    <w:p>
      <w:pPr>
        <w:spacing w:line="360" w:lineRule="auto"/>
        <w:ind w:firstLine="484" w:firstLineChars="200"/>
        <w:rPr>
          <w:color w:val="000000" w:themeColor="text1"/>
          <w:spacing w:val="1"/>
          <w:kern w:val="0"/>
          <w:sz w:val="24"/>
        </w:rPr>
      </w:pPr>
      <w:r>
        <w:rPr>
          <w:color w:val="000000" w:themeColor="text1"/>
          <w:spacing w:val="1"/>
          <w:kern w:val="0"/>
          <w:sz w:val="24"/>
        </w:rPr>
        <w:t>长期（负责人：</w:t>
      </w:r>
      <w:r>
        <w:rPr>
          <w:rFonts w:hint="eastAsia"/>
          <w:color w:val="000000" w:themeColor="text1"/>
          <w:spacing w:val="1"/>
          <w:kern w:val="0"/>
          <w:sz w:val="24"/>
        </w:rPr>
        <w:t>裘韦</w:t>
      </w:r>
      <w:r>
        <w:rPr>
          <w:color w:val="000000" w:themeColor="text1"/>
          <w:spacing w:val="1"/>
          <w:kern w:val="0"/>
          <w:sz w:val="24"/>
        </w:rPr>
        <w:t>）：定期开展安全生产动员大会和定期组织员工进行专题培训，形式有内部专家培训讲座及外部培训班等。</w:t>
      </w:r>
    </w:p>
    <w:p>
      <w:pPr>
        <w:spacing w:line="360" w:lineRule="auto"/>
        <w:ind w:firstLine="484" w:firstLineChars="200"/>
        <w:rPr>
          <w:color w:val="000000" w:themeColor="text1"/>
          <w:spacing w:val="1"/>
          <w:kern w:val="0"/>
          <w:sz w:val="24"/>
        </w:rPr>
      </w:pPr>
      <w:r>
        <w:rPr>
          <w:color w:val="000000" w:themeColor="text1"/>
          <w:spacing w:val="1"/>
          <w:kern w:val="0"/>
          <w:sz w:val="24"/>
        </w:rPr>
        <w:t>中期（负责人：</w:t>
      </w:r>
      <w:r>
        <w:rPr>
          <w:rFonts w:hint="eastAsia"/>
          <w:color w:val="000000" w:themeColor="text1"/>
          <w:sz w:val="24"/>
        </w:rPr>
        <w:t>许英英</w:t>
      </w:r>
      <w:r>
        <w:rPr>
          <w:color w:val="000000" w:themeColor="text1"/>
          <w:spacing w:val="1"/>
          <w:kern w:val="0"/>
          <w:sz w:val="24"/>
        </w:rPr>
        <w:t>）：对污水收集池、隔油池进行检查、维护，针对重点风险源（危险废物暂存间、隔油池）、事故池等进行检查。</w:t>
      </w:r>
    </w:p>
    <w:p>
      <w:pPr>
        <w:spacing w:line="360" w:lineRule="auto"/>
        <w:ind w:firstLine="484" w:firstLineChars="200"/>
        <w:rPr>
          <w:color w:val="000000" w:themeColor="text1"/>
          <w:spacing w:val="1"/>
          <w:kern w:val="0"/>
          <w:sz w:val="24"/>
        </w:rPr>
      </w:pPr>
      <w:r>
        <w:rPr>
          <w:color w:val="000000" w:themeColor="text1"/>
          <w:spacing w:val="1"/>
          <w:kern w:val="0"/>
          <w:sz w:val="24"/>
        </w:rPr>
        <w:t>短期（负责人：</w:t>
      </w:r>
      <w:r>
        <w:rPr>
          <w:rFonts w:hint="eastAsia"/>
          <w:color w:val="000000" w:themeColor="text1"/>
          <w:spacing w:val="1"/>
          <w:kern w:val="0"/>
          <w:sz w:val="24"/>
        </w:rPr>
        <w:t>王辉</w:t>
      </w:r>
      <w:r>
        <w:rPr>
          <w:color w:val="000000" w:themeColor="text1"/>
          <w:spacing w:val="1"/>
          <w:kern w:val="0"/>
          <w:sz w:val="24"/>
        </w:rPr>
        <w:t>）：明确环境风险防控重点岗位的责任机构，落实到人，开展定期巡检和维护工作。</w:t>
      </w:r>
    </w:p>
    <w:p>
      <w:pPr>
        <w:autoSpaceDE w:val="0"/>
        <w:autoSpaceDN w:val="0"/>
        <w:adjustRightInd w:val="0"/>
        <w:snapToGrid w:val="0"/>
        <w:spacing w:before="312" w:beforeLines="100" w:after="156" w:afterLines="50" w:line="360" w:lineRule="auto"/>
        <w:jc w:val="center"/>
        <w:outlineLvl w:val="0"/>
        <w:rPr>
          <w:color w:val="000000"/>
          <w:sz w:val="30"/>
          <w:szCs w:val="30"/>
        </w:rPr>
      </w:pPr>
      <w:r>
        <w:rPr>
          <w:color w:val="000000" w:themeColor="text1"/>
        </w:rPr>
        <w:br w:type="page"/>
      </w:r>
      <w:bookmarkStart w:id="84" w:name="_Toc29321"/>
      <w:bookmarkStart w:id="85" w:name="_Toc11700479"/>
      <w:bookmarkStart w:id="86" w:name="_Toc25404"/>
      <w:r>
        <w:rPr>
          <w:b/>
          <w:bCs/>
          <w:color w:val="000000"/>
          <w:sz w:val="30"/>
          <w:szCs w:val="30"/>
        </w:rPr>
        <w:t>7、加油站突发环境事件风险等级</w:t>
      </w:r>
      <w:bookmarkEnd w:id="84"/>
      <w:bookmarkEnd w:id="85"/>
      <w:bookmarkEnd w:id="86"/>
    </w:p>
    <w:p>
      <w:pPr>
        <w:autoSpaceDE w:val="0"/>
        <w:autoSpaceDN w:val="0"/>
        <w:adjustRightInd w:val="0"/>
        <w:snapToGrid w:val="0"/>
        <w:spacing w:before="312" w:beforeLines="100" w:after="156" w:afterLines="50" w:line="360" w:lineRule="auto"/>
        <w:outlineLvl w:val="0"/>
        <w:rPr>
          <w:b/>
          <w:bCs/>
          <w:color w:val="000000"/>
          <w:sz w:val="24"/>
        </w:rPr>
      </w:pPr>
      <w:bookmarkStart w:id="87" w:name="_Toc10923"/>
      <w:bookmarkStart w:id="88" w:name="_Toc7637"/>
      <w:bookmarkStart w:id="89" w:name="_Toc11700480"/>
      <w:bookmarkStart w:id="90" w:name="_Toc31581"/>
      <w:r>
        <w:rPr>
          <w:b/>
          <w:bCs/>
          <w:color w:val="000000"/>
          <w:sz w:val="24"/>
        </w:rPr>
        <w:t>7.1.1计算涉气风险物质数量与临界量比值（Q）</w:t>
      </w:r>
      <w:bookmarkEnd w:id="87"/>
      <w:bookmarkEnd w:id="88"/>
      <w:bookmarkEnd w:id="89"/>
      <w:bookmarkEnd w:id="90"/>
    </w:p>
    <w:p>
      <w:pPr>
        <w:pStyle w:val="13"/>
        <w:shd w:val="clear" w:color="auto" w:fill="FFFFFF"/>
        <w:spacing w:beforeAutospacing="0" w:afterAutospacing="0" w:line="360" w:lineRule="auto"/>
        <w:ind w:firstLine="480" w:firstLineChars="200"/>
        <w:rPr>
          <w:rFonts w:ascii="Times New Roman" w:hAnsi="Times New Roman"/>
          <w:color w:val="000000"/>
        </w:rPr>
      </w:pPr>
      <w:r>
        <w:rPr>
          <w:rFonts w:ascii="Times New Roman" w:hAnsi="Times New Roman"/>
          <w:color w:val="000000"/>
        </w:rPr>
        <w:t>涉气风险物质包括附录 A 中的第一、第二、第三、第四、第六部分全部风险物质以及第八部分中除 NH</w:t>
      </w:r>
      <w:r>
        <w:rPr>
          <w:rFonts w:ascii="Times New Roman" w:hAnsi="Times New Roman"/>
          <w:color w:val="000000"/>
          <w:vertAlign w:val="subscript"/>
        </w:rPr>
        <w:t>3</w:t>
      </w:r>
      <w:r>
        <w:rPr>
          <w:rFonts w:ascii="Times New Roman" w:hAnsi="Times New Roman"/>
          <w:color w:val="000000"/>
        </w:rPr>
        <w:t>-N 浓度≥2000mg/L 的废液、COD</w:t>
      </w:r>
      <w:r>
        <w:rPr>
          <w:rFonts w:ascii="Times New Roman" w:hAnsi="Times New Roman"/>
          <w:color w:val="000000"/>
          <w:vertAlign w:val="subscript"/>
        </w:rPr>
        <w:t>Cr</w:t>
      </w:r>
      <w:r>
        <w:rPr>
          <w:rFonts w:ascii="Times New Roman" w:hAnsi="Times New Roman"/>
          <w:color w:val="000000"/>
        </w:rPr>
        <w:t>浓度≥10000mg/L 的有机废液之外的气态和可挥发造成突发大气环境事件的固态、液态风险物质。</w:t>
      </w:r>
    </w:p>
    <w:p>
      <w:pPr>
        <w:pStyle w:val="13"/>
        <w:shd w:val="clear" w:color="auto" w:fill="FFFFFF"/>
        <w:spacing w:beforeAutospacing="0" w:afterAutospacing="0" w:line="360" w:lineRule="auto"/>
        <w:ind w:firstLine="480" w:firstLineChars="200"/>
        <w:rPr>
          <w:rFonts w:ascii="Times New Roman" w:hAnsi="Times New Roman"/>
          <w:color w:val="000000"/>
        </w:rPr>
      </w:pPr>
      <w:r>
        <w:rPr>
          <w:rFonts w:ascii="Times New Roman" w:hAnsi="Times New Roman"/>
          <w:color w:val="000000"/>
        </w:rPr>
        <w:t>判断企业生产原料、产品、中间产品、副产品、催化剂、辅助生产物料、燃料、</w:t>
      </w:r>
      <w:r>
        <w:rPr>
          <w:rFonts w:hint="eastAsia" w:ascii="Times New Roman" w:hAnsi="Times New Roman"/>
          <w:color w:val="000000"/>
        </w:rPr>
        <w:t>“</w:t>
      </w:r>
      <w:r>
        <w:rPr>
          <w:rFonts w:ascii="Times New Roman" w:hAnsi="Times New Roman"/>
          <w:color w:val="000000"/>
        </w:rPr>
        <w:t>三废</w:t>
      </w:r>
      <w:r>
        <w:rPr>
          <w:rFonts w:hint="eastAsia" w:ascii="Times New Roman" w:hAnsi="Times New Roman"/>
          <w:color w:val="000000"/>
        </w:rPr>
        <w:t>”</w:t>
      </w:r>
      <w:r>
        <w:rPr>
          <w:rFonts w:ascii="Times New Roman" w:hAnsi="Times New Roman"/>
          <w:color w:val="000000"/>
        </w:rPr>
        <w:t>污染物等是否涉及大气环境风险物质（混合或稀释的风险物质按其组分比例折算成纯物质），计算涉气风险物质在厂界内的存在量（如存在量呈动态变化，则按年度内最大存在量计算）与其在附录 A 中临界量的比值 Q：</w:t>
      </w:r>
      <w:r>
        <w:rPr>
          <w:rFonts w:ascii="Times New Roman" w:hAnsi="Times New Roman"/>
          <w:color w:val="000000"/>
        </w:rPr>
        <w:br w:type="textWrapping"/>
      </w:r>
      <w:r>
        <w:rPr>
          <w:rFonts w:ascii="Times New Roman" w:hAnsi="Times New Roman"/>
          <w:color w:val="3E3E3E"/>
          <w:shd w:val="clear" w:color="auto" w:fill="FFFFFF"/>
        </w:rPr>
        <w:t>　　</w:t>
      </w:r>
      <w:r>
        <w:rPr>
          <w:rFonts w:ascii="Times New Roman" w:hAnsi="Times New Roman"/>
          <w:color w:val="000000"/>
        </w:rPr>
        <w:t>（1）当企业只涉及一种风险物质时，该物质的数量与其临界量比值，即为 Q。</w:t>
      </w:r>
      <w:r>
        <w:rPr>
          <w:rFonts w:ascii="Times New Roman" w:hAnsi="Times New Roman"/>
          <w:color w:val="000000"/>
        </w:rPr>
        <w:br w:type="textWrapping"/>
      </w:r>
      <w:r>
        <w:rPr>
          <w:rFonts w:ascii="Times New Roman" w:hAnsi="Times New Roman"/>
          <w:color w:val="000000"/>
        </w:rPr>
        <w:t>（2）当企业存在多种风险物质时，则按如下公式计算：</w:t>
      </w:r>
    </w:p>
    <w:p>
      <w:pPr>
        <w:pStyle w:val="13"/>
        <w:shd w:val="clear" w:color="auto" w:fill="FFFFFF"/>
        <w:spacing w:beforeAutospacing="0" w:afterAutospacing="0" w:line="360" w:lineRule="auto"/>
        <w:rPr>
          <w:rFonts w:ascii="Times New Roman" w:hAnsi="Times New Roman"/>
          <w:color w:val="000000"/>
        </w:rPr>
      </w:pPr>
      <w:r>
        <w:rPr>
          <w:rFonts w:ascii="Times New Roman" w:hAnsi="Times New Roman"/>
          <w:color w:val="444444"/>
          <w:shd w:val="clear" w:color="auto" w:fill="FFFFFF"/>
        </w:rPr>
        <w:drawing>
          <wp:inline distT="0" distB="0" distL="0" distR="0">
            <wp:extent cx="5255260" cy="476885"/>
            <wp:effectExtent l="0" t="0" r="2540" b="10795"/>
            <wp:docPr id="12" name="图片 23"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3" descr="IMG_257"/>
                    <pic:cNvPicPr>
                      <a:picLocks noChangeAspect="1" noChangeArrowheads="1"/>
                    </pic:cNvPicPr>
                  </pic:nvPicPr>
                  <pic:blipFill>
                    <a:blip r:embed="rId35" cstate="print"/>
                    <a:srcRect t="8519" r="12273"/>
                    <a:stretch>
                      <a:fillRect/>
                    </a:stretch>
                  </pic:blipFill>
                  <pic:spPr>
                    <a:xfrm>
                      <a:off x="0" y="0"/>
                      <a:ext cx="5255260" cy="476885"/>
                    </a:xfrm>
                    <a:prstGeom prst="rect">
                      <a:avLst/>
                    </a:prstGeom>
                    <a:noFill/>
                    <a:ln w="9525">
                      <a:noFill/>
                      <a:miter lim="800000"/>
                      <a:headEnd/>
                      <a:tailEnd/>
                    </a:ln>
                  </pic:spPr>
                </pic:pic>
              </a:graphicData>
            </a:graphic>
          </wp:inline>
        </w:drawing>
      </w:r>
      <w:r>
        <w:rPr>
          <w:rFonts w:ascii="Times New Roman" w:hAnsi="Times New Roman"/>
          <w:color w:val="444444"/>
          <w:shd w:val="clear" w:color="auto" w:fill="FFFFFF"/>
        </w:rPr>
        <w:br w:type="textWrapping"/>
      </w:r>
      <w:r>
        <w:rPr>
          <w:rFonts w:ascii="Times New Roman" w:hAnsi="Times New Roman"/>
          <w:color w:val="444444"/>
          <w:shd w:val="clear" w:color="auto" w:fill="FFFFFF"/>
        </w:rPr>
        <w:t>　</w:t>
      </w:r>
      <w:r>
        <w:rPr>
          <w:rFonts w:ascii="Times New Roman" w:hAnsi="Times New Roman"/>
          <w:color w:val="000000"/>
        </w:rPr>
        <w:t>　式中：w</w:t>
      </w:r>
      <w:r>
        <w:rPr>
          <w:rFonts w:ascii="Times New Roman" w:hAnsi="Times New Roman"/>
          <w:color w:val="000000"/>
          <w:vertAlign w:val="subscript"/>
        </w:rPr>
        <w:t xml:space="preserve"> 1 </w:t>
      </w:r>
      <w:r>
        <w:rPr>
          <w:rFonts w:ascii="Times New Roman" w:hAnsi="Times New Roman"/>
          <w:color w:val="000000"/>
        </w:rPr>
        <w:t>， w</w:t>
      </w:r>
      <w:r>
        <w:rPr>
          <w:rFonts w:ascii="Times New Roman" w:hAnsi="Times New Roman"/>
          <w:color w:val="000000"/>
          <w:vertAlign w:val="subscript"/>
        </w:rPr>
        <w:t xml:space="preserve"> 2 </w:t>
      </w:r>
      <w:r>
        <w:rPr>
          <w:rFonts w:ascii="Times New Roman" w:hAnsi="Times New Roman"/>
          <w:color w:val="000000"/>
        </w:rPr>
        <w:t>， ...， w</w:t>
      </w:r>
      <w:r>
        <w:rPr>
          <w:rFonts w:ascii="Times New Roman" w:hAnsi="Times New Roman"/>
          <w:color w:val="000000"/>
          <w:vertAlign w:val="subscript"/>
        </w:rPr>
        <w:t xml:space="preserve"> n</w:t>
      </w:r>
      <w:r>
        <w:rPr>
          <w:rFonts w:ascii="Times New Roman" w:hAnsi="Times New Roman"/>
          <w:color w:val="000000"/>
        </w:rPr>
        <w:t xml:space="preserve"> ——每种风险物质的存在量，t；</w:t>
      </w:r>
      <w:r>
        <w:rPr>
          <w:rFonts w:ascii="Times New Roman" w:hAnsi="Times New Roman"/>
          <w:color w:val="000000"/>
        </w:rPr>
        <w:br w:type="textWrapping"/>
      </w:r>
      <w:r>
        <w:rPr>
          <w:rFonts w:ascii="Times New Roman" w:hAnsi="Times New Roman"/>
          <w:color w:val="000000"/>
        </w:rPr>
        <w:t>　　      W</w:t>
      </w:r>
      <w:r>
        <w:rPr>
          <w:rFonts w:ascii="Times New Roman" w:hAnsi="Times New Roman"/>
          <w:color w:val="000000"/>
          <w:vertAlign w:val="subscript"/>
        </w:rPr>
        <w:t xml:space="preserve"> 1 </w:t>
      </w:r>
      <w:r>
        <w:rPr>
          <w:rFonts w:ascii="Times New Roman" w:hAnsi="Times New Roman"/>
          <w:color w:val="000000"/>
        </w:rPr>
        <w:t>， W</w:t>
      </w:r>
      <w:r>
        <w:rPr>
          <w:rFonts w:ascii="Times New Roman" w:hAnsi="Times New Roman"/>
          <w:color w:val="000000"/>
          <w:vertAlign w:val="subscript"/>
        </w:rPr>
        <w:t xml:space="preserve"> 2 </w:t>
      </w:r>
      <w:r>
        <w:rPr>
          <w:rFonts w:ascii="Times New Roman" w:hAnsi="Times New Roman"/>
          <w:color w:val="000000"/>
        </w:rPr>
        <w:t>， ...， W</w:t>
      </w:r>
      <w:r>
        <w:rPr>
          <w:rFonts w:ascii="Times New Roman" w:hAnsi="Times New Roman"/>
          <w:color w:val="000000"/>
          <w:vertAlign w:val="subscript"/>
        </w:rPr>
        <w:t xml:space="preserve"> n </w:t>
      </w:r>
      <w:r>
        <w:rPr>
          <w:rFonts w:ascii="Times New Roman" w:hAnsi="Times New Roman"/>
          <w:color w:val="000000"/>
        </w:rPr>
        <w:t>——每种风险物质的临界量，t。</w:t>
      </w:r>
      <w:r>
        <w:rPr>
          <w:rFonts w:ascii="Times New Roman" w:hAnsi="Times New Roman"/>
          <w:color w:val="000000"/>
        </w:rPr>
        <w:br w:type="textWrapping"/>
      </w:r>
      <w:r>
        <w:rPr>
          <w:rFonts w:ascii="Times New Roman" w:hAnsi="Times New Roman"/>
          <w:color w:val="000000"/>
        </w:rPr>
        <w:t>　　按照数值大小，将 Q 划分为 4 个水平：</w:t>
      </w:r>
      <w:r>
        <w:rPr>
          <w:rFonts w:ascii="Times New Roman" w:hAnsi="Times New Roman"/>
          <w:color w:val="000000"/>
        </w:rPr>
        <w:br w:type="textWrapping"/>
      </w:r>
      <w:r>
        <w:rPr>
          <w:rFonts w:ascii="Times New Roman" w:hAnsi="Times New Roman"/>
          <w:color w:val="000000"/>
        </w:rPr>
        <w:t>　　（1）Q＜1，以 Q0 表示，企业直接评为一般环境风险等级；</w:t>
      </w:r>
      <w:r>
        <w:rPr>
          <w:rFonts w:ascii="Times New Roman" w:hAnsi="Times New Roman"/>
          <w:color w:val="000000"/>
        </w:rPr>
        <w:br w:type="textWrapping"/>
      </w:r>
      <w:r>
        <w:rPr>
          <w:rFonts w:ascii="Times New Roman" w:hAnsi="Times New Roman"/>
          <w:color w:val="000000"/>
        </w:rPr>
        <w:t>　　（2）1≤Q＜10，以 Q1 表示；</w:t>
      </w:r>
      <w:r>
        <w:rPr>
          <w:rFonts w:ascii="Times New Roman" w:hAnsi="Times New Roman"/>
          <w:color w:val="000000"/>
        </w:rPr>
        <w:br w:type="textWrapping"/>
      </w:r>
      <w:r>
        <w:rPr>
          <w:rFonts w:ascii="Times New Roman" w:hAnsi="Times New Roman"/>
          <w:color w:val="000000"/>
        </w:rPr>
        <w:t>　　（3）10≤Q＜100，以 Q2 表示；</w:t>
      </w:r>
      <w:r>
        <w:rPr>
          <w:rFonts w:ascii="Times New Roman" w:hAnsi="Times New Roman"/>
          <w:color w:val="000000"/>
        </w:rPr>
        <w:br w:type="textWrapping"/>
      </w:r>
      <w:r>
        <w:rPr>
          <w:rFonts w:ascii="Times New Roman" w:hAnsi="Times New Roman"/>
          <w:color w:val="000000"/>
        </w:rPr>
        <w:t>　　（4）Q≥100，以 Q3 表示。</w:t>
      </w:r>
    </w:p>
    <w:p>
      <w:pPr>
        <w:autoSpaceDE w:val="0"/>
        <w:autoSpaceDN w:val="0"/>
        <w:adjustRightInd w:val="0"/>
        <w:spacing w:line="360" w:lineRule="auto"/>
        <w:ind w:firstLine="480" w:firstLineChars="200"/>
        <w:rPr>
          <w:color w:val="000000"/>
          <w:sz w:val="24"/>
        </w:rPr>
      </w:pPr>
      <w:r>
        <w:rPr>
          <w:color w:val="000000"/>
          <w:sz w:val="24"/>
        </w:rPr>
        <w:t>根据企业生产原料、产品、中间产品、副产品、催化剂、辅助生产物料、燃料、“三废”污染物使用和产生情况，参照附录A风险物质临界量，</w:t>
      </w:r>
      <w:r>
        <w:rPr>
          <w:color w:val="000000"/>
          <w:spacing w:val="1"/>
          <w:kern w:val="0"/>
          <w:sz w:val="24"/>
          <w:lang w:val="zh-CN"/>
        </w:rPr>
        <w:t>项目涉及的</w:t>
      </w:r>
      <w:r>
        <w:rPr>
          <w:color w:val="000000"/>
          <w:spacing w:val="1"/>
          <w:kern w:val="0"/>
          <w:sz w:val="24"/>
        </w:rPr>
        <w:t>汽油</w:t>
      </w:r>
      <w:r>
        <w:rPr>
          <w:rFonts w:hint="eastAsia"/>
          <w:color w:val="000000"/>
          <w:spacing w:val="1"/>
          <w:kern w:val="0"/>
          <w:sz w:val="24"/>
        </w:rPr>
        <w:t>、柴油</w:t>
      </w:r>
      <w:r>
        <w:rPr>
          <w:color w:val="000000"/>
          <w:spacing w:val="1"/>
          <w:kern w:val="0"/>
          <w:sz w:val="24"/>
        </w:rPr>
        <w:t>的临界量与项目暂存量如下表所示。</w:t>
      </w:r>
    </w:p>
    <w:p>
      <w:pPr>
        <w:autoSpaceDE w:val="0"/>
        <w:autoSpaceDN w:val="0"/>
        <w:adjustRightInd w:val="0"/>
        <w:spacing w:line="360" w:lineRule="auto"/>
        <w:ind w:firstLine="480"/>
        <w:jc w:val="center"/>
        <w:rPr>
          <w:b/>
          <w:bCs/>
          <w:color w:val="000000"/>
          <w:spacing w:val="1"/>
          <w:kern w:val="0"/>
          <w:szCs w:val="21"/>
        </w:rPr>
      </w:pPr>
    </w:p>
    <w:p>
      <w:pPr>
        <w:autoSpaceDE w:val="0"/>
        <w:autoSpaceDN w:val="0"/>
        <w:adjustRightInd w:val="0"/>
        <w:spacing w:line="360" w:lineRule="auto"/>
        <w:ind w:firstLine="480"/>
        <w:jc w:val="center"/>
        <w:rPr>
          <w:b/>
          <w:bCs/>
          <w:color w:val="000000"/>
          <w:spacing w:val="1"/>
          <w:kern w:val="0"/>
          <w:szCs w:val="21"/>
        </w:rPr>
      </w:pPr>
    </w:p>
    <w:p>
      <w:pPr>
        <w:autoSpaceDE w:val="0"/>
        <w:autoSpaceDN w:val="0"/>
        <w:adjustRightInd w:val="0"/>
        <w:spacing w:line="360" w:lineRule="auto"/>
        <w:ind w:firstLine="480"/>
        <w:jc w:val="center"/>
        <w:rPr>
          <w:b/>
          <w:bCs/>
          <w:color w:val="000000"/>
          <w:spacing w:val="1"/>
          <w:kern w:val="0"/>
          <w:szCs w:val="21"/>
        </w:rPr>
      </w:pPr>
    </w:p>
    <w:p>
      <w:r>
        <w:rPr>
          <w:b/>
          <w:bCs/>
          <w:color w:val="000000"/>
          <w:spacing w:val="1"/>
          <w:kern w:val="0"/>
          <w:szCs w:val="21"/>
        </w:rPr>
        <w:br w:type="page"/>
      </w:r>
    </w:p>
    <w:p>
      <w:pPr>
        <w:autoSpaceDE w:val="0"/>
        <w:autoSpaceDN w:val="0"/>
        <w:adjustRightInd w:val="0"/>
        <w:spacing w:line="360" w:lineRule="auto"/>
        <w:ind w:firstLine="480"/>
        <w:jc w:val="center"/>
        <w:rPr>
          <w:b/>
          <w:bCs/>
          <w:color w:val="000000"/>
          <w:szCs w:val="21"/>
        </w:rPr>
      </w:pPr>
      <w:r>
        <w:rPr>
          <w:b/>
          <w:bCs/>
          <w:color w:val="000000"/>
          <w:spacing w:val="1"/>
          <w:kern w:val="0"/>
          <w:szCs w:val="21"/>
        </w:rPr>
        <w:t xml:space="preserve">表7-1 </w:t>
      </w:r>
      <w:r>
        <w:rPr>
          <w:b/>
          <w:bCs/>
          <w:color w:val="000000"/>
          <w:szCs w:val="21"/>
        </w:rPr>
        <w:t>物质的临界量与本项目暂存量一览表</w:t>
      </w:r>
    </w:p>
    <w:tbl>
      <w:tblPr>
        <w:tblStyle w:val="15"/>
        <w:tblpPr w:leftFromText="180" w:rightFromText="180" w:vertAnchor="text" w:horzAnchor="page" w:tblpX="2659" w:tblpY="54"/>
        <w:tblOverlap w:val="never"/>
        <w:tblW w:w="6836" w:type="dxa"/>
        <w:tblInd w:w="0" w:type="dxa"/>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Layout w:type="fixed"/>
        <w:tblCellMar>
          <w:top w:w="0" w:type="dxa"/>
          <w:left w:w="108" w:type="dxa"/>
          <w:bottom w:w="0" w:type="dxa"/>
          <w:right w:w="108" w:type="dxa"/>
        </w:tblCellMar>
      </w:tblPr>
      <w:tblGrid>
        <w:gridCol w:w="911"/>
        <w:gridCol w:w="959"/>
        <w:gridCol w:w="965"/>
        <w:gridCol w:w="1020"/>
        <w:gridCol w:w="926"/>
        <w:gridCol w:w="1219"/>
        <w:gridCol w:w="836"/>
      </w:tblGrid>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310" w:hRule="atLeast"/>
        </w:trPr>
        <w:tc>
          <w:tcPr>
            <w:tcW w:w="911" w:type="dxa"/>
            <w:vMerge w:val="restart"/>
            <w:tcBorders>
              <w:tl2br w:val="nil"/>
              <w:tr2bl w:val="nil"/>
            </w:tcBorders>
            <w:vAlign w:val="center"/>
          </w:tcPr>
          <w:p>
            <w:pPr>
              <w:jc w:val="center"/>
              <w:rPr>
                <w:b/>
                <w:bCs/>
                <w:szCs w:val="21"/>
              </w:rPr>
            </w:pPr>
            <w:r>
              <w:rPr>
                <w:b/>
                <w:bCs/>
                <w:szCs w:val="21"/>
              </w:rPr>
              <w:t>物质名称</w:t>
            </w:r>
          </w:p>
        </w:tc>
        <w:tc>
          <w:tcPr>
            <w:tcW w:w="1924" w:type="dxa"/>
            <w:gridSpan w:val="2"/>
            <w:tcBorders>
              <w:tl2br w:val="nil"/>
              <w:tr2bl w:val="nil"/>
            </w:tcBorders>
            <w:vAlign w:val="center"/>
          </w:tcPr>
          <w:p>
            <w:pPr>
              <w:jc w:val="center"/>
              <w:rPr>
                <w:b/>
                <w:bCs/>
                <w:szCs w:val="21"/>
              </w:rPr>
            </w:pPr>
            <w:r>
              <w:rPr>
                <w:b/>
                <w:bCs/>
                <w:szCs w:val="21"/>
              </w:rPr>
              <w:t>临界量（t）</w:t>
            </w:r>
          </w:p>
        </w:tc>
        <w:tc>
          <w:tcPr>
            <w:tcW w:w="1946" w:type="dxa"/>
            <w:gridSpan w:val="2"/>
            <w:tcBorders>
              <w:tl2br w:val="nil"/>
              <w:tr2bl w:val="nil"/>
            </w:tcBorders>
            <w:vAlign w:val="center"/>
          </w:tcPr>
          <w:p>
            <w:pPr>
              <w:jc w:val="center"/>
              <w:rPr>
                <w:b/>
                <w:bCs/>
                <w:szCs w:val="21"/>
              </w:rPr>
            </w:pPr>
            <w:r>
              <w:rPr>
                <w:b/>
                <w:bCs/>
                <w:szCs w:val="21"/>
              </w:rPr>
              <w:t>实际量（t）</w:t>
            </w:r>
          </w:p>
        </w:tc>
        <w:tc>
          <w:tcPr>
            <w:tcW w:w="1219" w:type="dxa"/>
            <w:vMerge w:val="restart"/>
            <w:tcBorders>
              <w:tl2br w:val="nil"/>
              <w:tr2bl w:val="nil"/>
            </w:tcBorders>
            <w:vAlign w:val="center"/>
          </w:tcPr>
          <w:p>
            <w:pPr>
              <w:jc w:val="center"/>
              <w:rPr>
                <w:b/>
                <w:bCs/>
                <w:szCs w:val="21"/>
              </w:rPr>
            </w:pPr>
            <w:r>
              <w:rPr>
                <w:b/>
                <w:bCs/>
                <w:szCs w:val="21"/>
              </w:rPr>
              <w:t>重大危险源</w:t>
            </w:r>
          </w:p>
        </w:tc>
        <w:tc>
          <w:tcPr>
            <w:tcW w:w="836" w:type="dxa"/>
            <w:vMerge w:val="restart"/>
            <w:tcBorders>
              <w:tl2br w:val="nil"/>
              <w:tr2bl w:val="nil"/>
            </w:tcBorders>
            <w:vAlign w:val="center"/>
          </w:tcPr>
          <w:p>
            <w:pPr>
              <w:jc w:val="center"/>
              <w:rPr>
                <w:b/>
                <w:bCs/>
                <w:szCs w:val="21"/>
              </w:rPr>
            </w:pPr>
            <w:r>
              <w:rPr>
                <w:b/>
                <w:bCs/>
                <w:szCs w:val="21"/>
              </w:rPr>
              <w:t>位置</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cantSplit/>
          <w:trHeight w:val="577" w:hRule="atLeast"/>
        </w:trPr>
        <w:tc>
          <w:tcPr>
            <w:tcW w:w="911" w:type="dxa"/>
            <w:vMerge w:val="continue"/>
            <w:tcBorders>
              <w:tl2br w:val="nil"/>
              <w:tr2bl w:val="nil"/>
            </w:tcBorders>
            <w:vAlign w:val="center"/>
          </w:tcPr>
          <w:p>
            <w:pPr>
              <w:jc w:val="center"/>
              <w:rPr>
                <w:szCs w:val="21"/>
              </w:rPr>
            </w:pPr>
          </w:p>
        </w:tc>
        <w:tc>
          <w:tcPr>
            <w:tcW w:w="959" w:type="dxa"/>
            <w:tcBorders>
              <w:tl2br w:val="nil"/>
              <w:tr2bl w:val="nil"/>
            </w:tcBorders>
            <w:vAlign w:val="center"/>
          </w:tcPr>
          <w:p>
            <w:pPr>
              <w:jc w:val="center"/>
              <w:rPr>
                <w:b/>
                <w:szCs w:val="21"/>
              </w:rPr>
            </w:pPr>
            <w:r>
              <w:rPr>
                <w:b/>
                <w:szCs w:val="21"/>
              </w:rPr>
              <w:t>生产场所</w:t>
            </w:r>
          </w:p>
        </w:tc>
        <w:tc>
          <w:tcPr>
            <w:tcW w:w="965" w:type="dxa"/>
            <w:tcBorders>
              <w:tl2br w:val="nil"/>
              <w:tr2bl w:val="nil"/>
            </w:tcBorders>
            <w:vAlign w:val="center"/>
          </w:tcPr>
          <w:p>
            <w:pPr>
              <w:jc w:val="center"/>
              <w:rPr>
                <w:b/>
                <w:szCs w:val="21"/>
              </w:rPr>
            </w:pPr>
            <w:r>
              <w:rPr>
                <w:b/>
                <w:szCs w:val="21"/>
              </w:rPr>
              <w:t>贮存区</w:t>
            </w:r>
          </w:p>
        </w:tc>
        <w:tc>
          <w:tcPr>
            <w:tcW w:w="1020" w:type="dxa"/>
            <w:tcBorders>
              <w:tl2br w:val="nil"/>
              <w:tr2bl w:val="nil"/>
            </w:tcBorders>
            <w:vAlign w:val="center"/>
          </w:tcPr>
          <w:p>
            <w:pPr>
              <w:jc w:val="center"/>
              <w:rPr>
                <w:b/>
                <w:szCs w:val="21"/>
              </w:rPr>
            </w:pPr>
            <w:r>
              <w:rPr>
                <w:b/>
                <w:szCs w:val="21"/>
              </w:rPr>
              <w:t>生产场所</w:t>
            </w:r>
          </w:p>
        </w:tc>
        <w:tc>
          <w:tcPr>
            <w:tcW w:w="926" w:type="dxa"/>
            <w:tcBorders>
              <w:tl2br w:val="nil"/>
              <w:tr2bl w:val="nil"/>
            </w:tcBorders>
            <w:vAlign w:val="center"/>
          </w:tcPr>
          <w:p>
            <w:pPr>
              <w:jc w:val="center"/>
              <w:rPr>
                <w:b/>
                <w:szCs w:val="21"/>
              </w:rPr>
            </w:pPr>
            <w:r>
              <w:rPr>
                <w:b/>
                <w:szCs w:val="21"/>
              </w:rPr>
              <w:t>贮存区</w:t>
            </w:r>
          </w:p>
        </w:tc>
        <w:tc>
          <w:tcPr>
            <w:tcW w:w="1219" w:type="dxa"/>
            <w:vMerge w:val="continue"/>
            <w:tcBorders>
              <w:tl2br w:val="nil"/>
              <w:tr2bl w:val="nil"/>
            </w:tcBorders>
            <w:vAlign w:val="center"/>
          </w:tcPr>
          <w:p>
            <w:pPr>
              <w:jc w:val="center"/>
              <w:rPr>
                <w:szCs w:val="21"/>
              </w:rPr>
            </w:pPr>
          </w:p>
        </w:tc>
        <w:tc>
          <w:tcPr>
            <w:tcW w:w="836" w:type="dxa"/>
            <w:vMerge w:val="continue"/>
            <w:tcBorders>
              <w:tl2br w:val="nil"/>
              <w:tr2bl w:val="nil"/>
            </w:tcBorders>
            <w:vAlign w:val="center"/>
          </w:tcPr>
          <w:p>
            <w:pPr>
              <w:jc w:val="center"/>
              <w:rPr>
                <w:szCs w:val="21"/>
              </w:rPr>
            </w:pP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577" w:hRule="atLeast"/>
        </w:trPr>
        <w:tc>
          <w:tcPr>
            <w:tcW w:w="911" w:type="dxa"/>
            <w:tcBorders>
              <w:tl2br w:val="nil"/>
              <w:tr2bl w:val="nil"/>
            </w:tcBorders>
            <w:vAlign w:val="center"/>
          </w:tcPr>
          <w:p>
            <w:pPr>
              <w:jc w:val="center"/>
              <w:rPr>
                <w:szCs w:val="21"/>
              </w:rPr>
            </w:pPr>
            <w:r>
              <w:rPr>
                <w:szCs w:val="21"/>
              </w:rPr>
              <w:t>汽油</w:t>
            </w:r>
          </w:p>
        </w:tc>
        <w:tc>
          <w:tcPr>
            <w:tcW w:w="959" w:type="dxa"/>
            <w:tcBorders>
              <w:tl2br w:val="nil"/>
              <w:tr2bl w:val="nil"/>
            </w:tcBorders>
            <w:vAlign w:val="center"/>
          </w:tcPr>
          <w:p>
            <w:pPr>
              <w:jc w:val="center"/>
              <w:rPr>
                <w:szCs w:val="21"/>
              </w:rPr>
            </w:pPr>
            <w:r>
              <w:rPr>
                <w:szCs w:val="21"/>
              </w:rPr>
              <w:t>/</w:t>
            </w:r>
          </w:p>
        </w:tc>
        <w:tc>
          <w:tcPr>
            <w:tcW w:w="965" w:type="dxa"/>
            <w:tcBorders>
              <w:tl2br w:val="nil"/>
              <w:tr2bl w:val="nil"/>
            </w:tcBorders>
            <w:vAlign w:val="center"/>
          </w:tcPr>
          <w:p>
            <w:pPr>
              <w:jc w:val="center"/>
              <w:rPr>
                <w:szCs w:val="21"/>
              </w:rPr>
            </w:pPr>
            <w:r>
              <w:rPr>
                <w:szCs w:val="21"/>
              </w:rPr>
              <w:t>200t</w:t>
            </w:r>
          </w:p>
        </w:tc>
        <w:tc>
          <w:tcPr>
            <w:tcW w:w="1020" w:type="dxa"/>
            <w:tcBorders>
              <w:tl2br w:val="nil"/>
              <w:tr2bl w:val="nil"/>
            </w:tcBorders>
            <w:vAlign w:val="center"/>
          </w:tcPr>
          <w:p>
            <w:pPr>
              <w:jc w:val="center"/>
              <w:rPr>
                <w:szCs w:val="21"/>
              </w:rPr>
            </w:pPr>
            <w:r>
              <w:rPr>
                <w:szCs w:val="21"/>
              </w:rPr>
              <w:t>/</w:t>
            </w:r>
          </w:p>
        </w:tc>
        <w:tc>
          <w:tcPr>
            <w:tcW w:w="926" w:type="dxa"/>
            <w:tcBorders>
              <w:tl2br w:val="nil"/>
              <w:tr2bl w:val="nil"/>
            </w:tcBorders>
            <w:vAlign w:val="center"/>
          </w:tcPr>
          <w:p>
            <w:pPr>
              <w:jc w:val="center"/>
              <w:rPr>
                <w:szCs w:val="21"/>
              </w:rPr>
            </w:pPr>
            <w:r>
              <w:rPr>
                <w:color w:val="000000" w:themeColor="text1"/>
                <w:szCs w:val="21"/>
              </w:rPr>
              <w:t>93.6</w:t>
            </w:r>
          </w:p>
        </w:tc>
        <w:tc>
          <w:tcPr>
            <w:tcW w:w="1219" w:type="dxa"/>
            <w:tcBorders>
              <w:tl2br w:val="nil"/>
              <w:tr2bl w:val="nil"/>
            </w:tcBorders>
            <w:vAlign w:val="center"/>
          </w:tcPr>
          <w:p>
            <w:pPr>
              <w:jc w:val="center"/>
              <w:rPr>
                <w:szCs w:val="21"/>
              </w:rPr>
            </w:pPr>
            <w:r>
              <w:rPr>
                <w:rFonts w:hint="eastAsia"/>
                <w:szCs w:val="21"/>
              </w:rPr>
              <w:t>易燃易爆</w:t>
            </w:r>
          </w:p>
        </w:tc>
        <w:tc>
          <w:tcPr>
            <w:tcW w:w="836" w:type="dxa"/>
            <w:tcBorders>
              <w:tl2br w:val="nil"/>
              <w:tr2bl w:val="nil"/>
            </w:tcBorders>
            <w:vAlign w:val="center"/>
          </w:tcPr>
          <w:p>
            <w:pPr>
              <w:jc w:val="center"/>
              <w:rPr>
                <w:szCs w:val="21"/>
              </w:rPr>
            </w:pPr>
            <w:r>
              <w:rPr>
                <w:szCs w:val="21"/>
              </w:rPr>
              <w:t>油罐区</w:t>
            </w:r>
          </w:p>
        </w:tc>
      </w:tr>
      <w:tr>
        <w:tblPrEx>
          <w:tblBorders>
            <w:top w:val="single" w:color="auto" w:sz="12" w:space="0"/>
            <w:left w:val="none" w:color="auto" w:sz="0" w:space="0"/>
            <w:bottom w:val="single" w:color="auto" w:sz="12" w:space="0"/>
            <w:right w:val="none" w:color="auto" w:sz="0" w:space="0"/>
            <w:insideH w:val="single" w:color="auto" w:sz="8" w:space="0"/>
            <w:insideV w:val="single" w:color="auto" w:sz="8" w:space="0"/>
          </w:tblBorders>
          <w:tblCellMar>
            <w:top w:w="0" w:type="dxa"/>
            <w:left w:w="108" w:type="dxa"/>
            <w:bottom w:w="0" w:type="dxa"/>
            <w:right w:w="108" w:type="dxa"/>
          </w:tblCellMar>
        </w:tblPrEx>
        <w:trPr>
          <w:trHeight w:val="353" w:hRule="atLeast"/>
        </w:trPr>
        <w:tc>
          <w:tcPr>
            <w:tcW w:w="911" w:type="dxa"/>
            <w:tcBorders>
              <w:tl2br w:val="nil"/>
              <w:tr2bl w:val="nil"/>
            </w:tcBorders>
            <w:vAlign w:val="center"/>
          </w:tcPr>
          <w:p>
            <w:pPr>
              <w:jc w:val="center"/>
              <w:rPr>
                <w:szCs w:val="21"/>
              </w:rPr>
            </w:pPr>
          </w:p>
        </w:tc>
        <w:tc>
          <w:tcPr>
            <w:tcW w:w="3870" w:type="dxa"/>
            <w:gridSpan w:val="4"/>
            <w:tcBorders>
              <w:tl2br w:val="nil"/>
              <w:tr2bl w:val="nil"/>
            </w:tcBorders>
            <w:vAlign w:val="center"/>
          </w:tcPr>
          <w:p>
            <w:pPr>
              <w:jc w:val="center"/>
              <w:rPr>
                <w:szCs w:val="21"/>
              </w:rPr>
            </w:pPr>
            <w:r>
              <w:rPr>
                <w:color w:val="000000" w:themeColor="text1"/>
                <w:szCs w:val="21"/>
              </w:rPr>
              <w:t>93.6/200=0.468＜1</w:t>
            </w:r>
          </w:p>
        </w:tc>
        <w:tc>
          <w:tcPr>
            <w:tcW w:w="1219" w:type="dxa"/>
            <w:tcBorders>
              <w:tl2br w:val="nil"/>
              <w:tr2bl w:val="nil"/>
            </w:tcBorders>
            <w:vAlign w:val="center"/>
          </w:tcPr>
          <w:p>
            <w:pPr>
              <w:jc w:val="center"/>
              <w:rPr>
                <w:szCs w:val="21"/>
              </w:rPr>
            </w:pPr>
            <w:r>
              <w:rPr>
                <w:szCs w:val="21"/>
              </w:rPr>
              <w:t>否</w:t>
            </w:r>
          </w:p>
        </w:tc>
        <w:tc>
          <w:tcPr>
            <w:tcW w:w="836" w:type="dxa"/>
            <w:tcBorders>
              <w:tl2br w:val="nil"/>
              <w:tr2bl w:val="nil"/>
            </w:tcBorders>
            <w:vAlign w:val="center"/>
          </w:tcPr>
          <w:p>
            <w:pPr>
              <w:jc w:val="center"/>
              <w:rPr>
                <w:szCs w:val="21"/>
              </w:rPr>
            </w:pPr>
          </w:p>
        </w:tc>
      </w:tr>
    </w:tbl>
    <w:p>
      <w:pPr>
        <w:autoSpaceDE w:val="0"/>
        <w:autoSpaceDN w:val="0"/>
        <w:adjustRightInd w:val="0"/>
        <w:spacing w:line="360" w:lineRule="auto"/>
        <w:ind w:firstLine="480" w:firstLineChars="200"/>
        <w:rPr>
          <w:color w:val="000000"/>
          <w:sz w:val="24"/>
        </w:rPr>
      </w:pPr>
    </w:p>
    <w:p>
      <w:pPr>
        <w:autoSpaceDE w:val="0"/>
        <w:autoSpaceDN w:val="0"/>
        <w:adjustRightInd w:val="0"/>
        <w:spacing w:line="360" w:lineRule="auto"/>
        <w:ind w:firstLine="480" w:firstLineChars="200"/>
        <w:rPr>
          <w:color w:val="000000"/>
          <w:sz w:val="24"/>
        </w:rPr>
      </w:pPr>
    </w:p>
    <w:p>
      <w:pPr>
        <w:autoSpaceDE w:val="0"/>
        <w:autoSpaceDN w:val="0"/>
        <w:adjustRightInd w:val="0"/>
        <w:spacing w:line="360" w:lineRule="auto"/>
        <w:ind w:firstLine="480" w:firstLineChars="200"/>
        <w:rPr>
          <w:color w:val="000000"/>
          <w:sz w:val="24"/>
        </w:rPr>
      </w:pPr>
    </w:p>
    <w:p>
      <w:pPr>
        <w:autoSpaceDE w:val="0"/>
        <w:autoSpaceDN w:val="0"/>
        <w:adjustRightInd w:val="0"/>
        <w:spacing w:line="360" w:lineRule="auto"/>
        <w:ind w:firstLine="480" w:firstLineChars="200"/>
        <w:rPr>
          <w:color w:val="000000"/>
          <w:sz w:val="24"/>
        </w:rPr>
      </w:pPr>
    </w:p>
    <w:p>
      <w:pPr>
        <w:autoSpaceDE w:val="0"/>
        <w:autoSpaceDN w:val="0"/>
        <w:adjustRightInd w:val="0"/>
        <w:spacing w:line="360" w:lineRule="auto"/>
        <w:ind w:firstLine="480" w:firstLineChars="200"/>
        <w:rPr>
          <w:color w:val="000000"/>
          <w:sz w:val="24"/>
        </w:rPr>
      </w:pPr>
    </w:p>
    <w:p>
      <w:pPr>
        <w:autoSpaceDE w:val="0"/>
        <w:autoSpaceDN w:val="0"/>
        <w:adjustRightInd w:val="0"/>
        <w:spacing w:line="360" w:lineRule="auto"/>
        <w:ind w:firstLine="480" w:firstLineChars="200"/>
        <w:rPr>
          <w:color w:val="000000"/>
          <w:sz w:val="24"/>
        </w:rPr>
      </w:pPr>
      <w:r>
        <w:rPr>
          <w:color w:val="000000"/>
          <w:sz w:val="24"/>
        </w:rPr>
        <w:t>经计算，Q=</w:t>
      </w:r>
      <w:r>
        <w:rPr>
          <w:color w:val="000000" w:themeColor="text1"/>
          <w:sz w:val="24"/>
        </w:rPr>
        <w:t>0.468</w:t>
      </w:r>
      <w:r>
        <w:rPr>
          <w:rFonts w:hint="eastAsia"/>
          <w:color w:val="000000"/>
          <w:sz w:val="24"/>
        </w:rPr>
        <w:t>＜1</w:t>
      </w:r>
      <w:bookmarkStart w:id="91" w:name="_Toc58"/>
      <w:bookmarkStart w:id="92" w:name="_Toc11700481"/>
      <w:bookmarkStart w:id="93" w:name="_Toc9911"/>
    </w:p>
    <w:p>
      <w:pPr>
        <w:autoSpaceDE w:val="0"/>
        <w:autoSpaceDN w:val="0"/>
        <w:adjustRightInd w:val="0"/>
        <w:spacing w:line="360" w:lineRule="auto"/>
        <w:ind w:firstLine="480" w:firstLineChars="200"/>
        <w:rPr>
          <w:color w:val="000000"/>
          <w:sz w:val="24"/>
        </w:rPr>
      </w:pP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312" w:beforeLines="100" w:after="156" w:afterLines="50" w:line="360" w:lineRule="auto"/>
        <w:outlineLvl w:val="0"/>
        <w:rPr>
          <w:b/>
          <w:bCs/>
          <w:color w:val="000000"/>
          <w:sz w:val="24"/>
        </w:rPr>
      </w:pPr>
      <w:bookmarkStart w:id="94" w:name="_Toc16721"/>
      <w:r>
        <w:rPr>
          <w:b/>
          <w:bCs/>
          <w:color w:val="000000"/>
          <w:sz w:val="24"/>
        </w:rPr>
        <w:t>7.1.2生产工艺过程与大气环境风险控制水平（M）评估</w:t>
      </w:r>
      <w:bookmarkEnd w:id="91"/>
      <w:bookmarkEnd w:id="92"/>
      <w:bookmarkEnd w:id="93"/>
      <w:bookmarkEnd w:id="94"/>
    </w:p>
    <w:p>
      <w:pPr>
        <w:pStyle w:val="13"/>
        <w:shd w:val="clear" w:color="auto" w:fill="FFFFFF"/>
        <w:spacing w:beforeAutospacing="0" w:afterAutospacing="0" w:line="360" w:lineRule="auto"/>
        <w:ind w:firstLine="480" w:firstLineChars="200"/>
        <w:rPr>
          <w:rFonts w:ascii="Times New Roman" w:hAnsi="Times New Roman"/>
          <w:color w:val="000000"/>
          <w:kern w:val="2"/>
        </w:rPr>
      </w:pPr>
      <w:r>
        <w:rPr>
          <w:rFonts w:ascii="Times New Roman" w:hAnsi="Times New Roman"/>
          <w:color w:val="000000"/>
          <w:kern w:val="2"/>
        </w:rPr>
        <w:t>采用评分法对企业生产工艺过程、大气环境风险防控措施及突发大气环境事件发生情况进行评估，将各项指标分值累加，确定企业生产工艺过程与大气环境风险控制水平（M）。</w:t>
      </w:r>
    </w:p>
    <w:p>
      <w:pPr>
        <w:autoSpaceDE w:val="0"/>
        <w:autoSpaceDN w:val="0"/>
        <w:adjustRightInd w:val="0"/>
        <w:snapToGrid w:val="0"/>
        <w:spacing w:before="312" w:beforeLines="100" w:after="156" w:afterLines="50" w:line="360" w:lineRule="auto"/>
        <w:outlineLvl w:val="0"/>
        <w:rPr>
          <w:color w:val="000000"/>
          <w:sz w:val="24"/>
        </w:rPr>
      </w:pPr>
      <w:bookmarkStart w:id="95" w:name="_Toc11700482"/>
      <w:bookmarkStart w:id="96" w:name="_Toc10844"/>
      <w:bookmarkStart w:id="97" w:name="_Toc24674"/>
      <w:r>
        <w:rPr>
          <w:b/>
          <w:bCs/>
          <w:color w:val="000000"/>
          <w:sz w:val="24"/>
        </w:rPr>
        <w:t>7.1.2.1生产工艺过程含有风险工艺和设备情况</w:t>
      </w:r>
      <w:bookmarkEnd w:id="95"/>
      <w:bookmarkEnd w:id="96"/>
      <w:bookmarkEnd w:id="97"/>
    </w:p>
    <w:p>
      <w:pPr>
        <w:pStyle w:val="13"/>
        <w:shd w:val="clear" w:color="auto" w:fill="FFFFFF"/>
        <w:spacing w:beforeAutospacing="0" w:afterAutospacing="0" w:line="360" w:lineRule="auto"/>
        <w:ind w:firstLine="480" w:firstLineChars="200"/>
        <w:rPr>
          <w:rFonts w:ascii="Times New Roman" w:hAnsi="Times New Roman"/>
          <w:color w:val="000000"/>
          <w:spacing w:val="1"/>
        </w:rPr>
      </w:pPr>
      <w:r>
        <w:rPr>
          <w:rFonts w:ascii="Times New Roman" w:hAnsi="Times New Roman"/>
          <w:color w:val="000000"/>
          <w:kern w:val="2"/>
        </w:rPr>
        <w:t>对企业生产工艺过程含有风险工艺和设备情况的评估按照工艺单元进行，具有多套工艺单元的企业，对每套工艺单元分别评分并求和，该指标分值最高为30分。生产工艺风险及设备情况按照表7-2进行判断。</w:t>
      </w:r>
    </w:p>
    <w:p>
      <w:pPr>
        <w:autoSpaceDE w:val="0"/>
        <w:autoSpaceDN w:val="0"/>
        <w:adjustRightInd w:val="0"/>
        <w:spacing w:line="360" w:lineRule="auto"/>
        <w:ind w:firstLine="480"/>
        <w:jc w:val="center"/>
        <w:rPr>
          <w:b/>
          <w:bCs/>
          <w:color w:val="000000"/>
          <w:spacing w:val="1"/>
          <w:kern w:val="0"/>
          <w:szCs w:val="21"/>
        </w:rPr>
      </w:pPr>
      <w:r>
        <w:rPr>
          <w:b/>
          <w:bCs/>
          <w:color w:val="000000"/>
          <w:spacing w:val="1"/>
          <w:kern w:val="0"/>
          <w:szCs w:val="21"/>
        </w:rPr>
        <w:t>表7-2  企业生产工艺风险就设备</w:t>
      </w:r>
    </w:p>
    <w:p>
      <w:pPr>
        <w:autoSpaceDE w:val="0"/>
        <w:autoSpaceDN w:val="0"/>
        <w:adjustRightInd w:val="0"/>
        <w:spacing w:line="360" w:lineRule="auto"/>
        <w:rPr>
          <w:color w:val="000000"/>
          <w:sz w:val="24"/>
        </w:rPr>
      </w:pPr>
      <w:r>
        <w:rPr>
          <w:color w:val="444444"/>
          <w:sz w:val="24"/>
          <w:shd w:val="clear" w:color="auto" w:fill="FFFFFF"/>
        </w:rPr>
        <w:drawing>
          <wp:inline distT="0" distB="0" distL="0" distR="0">
            <wp:extent cx="5343525" cy="2305050"/>
            <wp:effectExtent l="0" t="0" r="5715" b="11430"/>
            <wp:docPr id="14" name="图片 24"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4" descr="IMG_258"/>
                    <pic:cNvPicPr>
                      <a:picLocks noChangeAspect="1" noChangeArrowheads="1"/>
                    </pic:cNvPicPr>
                  </pic:nvPicPr>
                  <pic:blipFill>
                    <a:blip r:embed="rId36" cstate="print"/>
                    <a:srcRect t="8424" r="941"/>
                    <a:stretch>
                      <a:fillRect/>
                    </a:stretch>
                  </pic:blipFill>
                  <pic:spPr>
                    <a:xfrm>
                      <a:off x="0" y="0"/>
                      <a:ext cx="5343525" cy="2305050"/>
                    </a:xfrm>
                    <a:prstGeom prst="rect">
                      <a:avLst/>
                    </a:prstGeom>
                    <a:noFill/>
                    <a:ln w="9525">
                      <a:noFill/>
                      <a:miter lim="800000"/>
                      <a:headEnd/>
                      <a:tailEnd/>
                    </a:ln>
                  </pic:spPr>
                </pic:pic>
              </a:graphicData>
            </a:graphic>
          </wp:inline>
        </w:drawing>
      </w: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312" w:beforeLines="100" w:after="156" w:afterLines="50" w:line="360" w:lineRule="auto"/>
        <w:outlineLvl w:val="0"/>
        <w:rPr>
          <w:sz w:val="24"/>
        </w:rPr>
      </w:pPr>
      <w:bookmarkStart w:id="98" w:name="_Toc11700483"/>
      <w:bookmarkStart w:id="99" w:name="_Toc7317"/>
      <w:r>
        <w:rPr>
          <w:b/>
          <w:bCs/>
          <w:color w:val="000000"/>
          <w:sz w:val="24"/>
        </w:rPr>
        <w:t>7.1.2.2大气环境风险防控措施及突发大气环境事件发生情况</w:t>
      </w:r>
      <w:bookmarkEnd w:id="98"/>
      <w:bookmarkEnd w:id="99"/>
    </w:p>
    <w:p>
      <w:pPr>
        <w:autoSpaceDE w:val="0"/>
        <w:autoSpaceDN w:val="0"/>
        <w:adjustRightInd w:val="0"/>
        <w:spacing w:line="360" w:lineRule="auto"/>
        <w:ind w:firstLine="480"/>
        <w:rPr>
          <w:color w:val="3E3E3E"/>
          <w:sz w:val="24"/>
          <w:shd w:val="clear" w:color="auto" w:fill="FFFFFF"/>
        </w:rPr>
      </w:pPr>
      <w:r>
        <w:rPr>
          <w:color w:val="000000"/>
          <w:spacing w:val="1"/>
          <w:kern w:val="0"/>
          <w:sz w:val="24"/>
        </w:rPr>
        <w:t>企业大气环境风险防控措施及突发大气环境事件发生情况评估指标见表7-3。</w:t>
      </w:r>
    </w:p>
    <w:p>
      <w:pPr>
        <w:autoSpaceDE w:val="0"/>
        <w:autoSpaceDN w:val="0"/>
        <w:adjustRightInd w:val="0"/>
        <w:spacing w:line="360" w:lineRule="auto"/>
        <w:ind w:firstLine="422" w:firstLineChars="200"/>
        <w:jc w:val="center"/>
        <w:rPr>
          <w:color w:val="000000"/>
          <w:sz w:val="24"/>
        </w:rPr>
      </w:pPr>
      <w:r>
        <w:rPr>
          <w:b/>
          <w:bCs/>
          <w:color w:val="3E3E3E"/>
          <w:szCs w:val="21"/>
          <w:shd w:val="clear" w:color="auto" w:fill="FFFFFF"/>
        </w:rPr>
        <w:t>表7-3 企业大气环境风险防控措施及突发大气环境事件发生情况评估</w:t>
      </w:r>
      <w:r>
        <w:rPr>
          <w:color w:val="444444"/>
          <w:shd w:val="clear" w:color="auto" w:fill="FFFFFF"/>
        </w:rPr>
        <w:drawing>
          <wp:inline distT="0" distB="0" distL="0" distR="0">
            <wp:extent cx="5124450" cy="2457450"/>
            <wp:effectExtent l="0" t="0" r="11430" b="11430"/>
            <wp:docPr id="16" name="图片 25"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5" descr="IMG_259"/>
                    <pic:cNvPicPr>
                      <a:picLocks noChangeAspect="1" noChangeArrowheads="1"/>
                    </pic:cNvPicPr>
                  </pic:nvPicPr>
                  <pic:blipFill>
                    <a:blip r:embed="rId37" cstate="print"/>
                    <a:srcRect t="6042" r="-23"/>
                    <a:stretch>
                      <a:fillRect/>
                    </a:stretch>
                  </pic:blipFill>
                  <pic:spPr>
                    <a:xfrm>
                      <a:off x="0" y="0"/>
                      <a:ext cx="5124450" cy="2457450"/>
                    </a:xfrm>
                    <a:prstGeom prst="rect">
                      <a:avLst/>
                    </a:prstGeom>
                    <a:noFill/>
                    <a:ln w="9525">
                      <a:noFill/>
                      <a:miter lim="800000"/>
                      <a:headEnd/>
                      <a:tailEnd/>
                    </a:ln>
                  </pic:spPr>
                </pic:pic>
              </a:graphicData>
            </a:graphic>
          </wp:inline>
        </w:drawing>
      </w: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312" w:beforeLines="100" w:after="156" w:afterLines="50" w:line="360" w:lineRule="auto"/>
        <w:outlineLvl w:val="0"/>
        <w:rPr>
          <w:color w:val="3E3E3E"/>
          <w:sz w:val="24"/>
          <w:shd w:val="clear" w:color="auto" w:fill="FFFFFF"/>
        </w:rPr>
      </w:pPr>
      <w:bookmarkStart w:id="100" w:name="_Toc32638"/>
      <w:bookmarkStart w:id="101" w:name="_Toc28600"/>
      <w:bookmarkStart w:id="102" w:name="_Toc11700484"/>
      <w:bookmarkStart w:id="103" w:name="_Toc5939"/>
      <w:r>
        <w:rPr>
          <w:b/>
          <w:bCs/>
          <w:color w:val="000000"/>
          <w:sz w:val="24"/>
        </w:rPr>
        <w:t>7.1.2.3企业生产工艺过程与大气环境风险控制水平</w:t>
      </w:r>
      <w:bookmarkEnd w:id="100"/>
      <w:bookmarkEnd w:id="101"/>
      <w:bookmarkEnd w:id="102"/>
      <w:bookmarkEnd w:id="103"/>
    </w:p>
    <w:p>
      <w:pPr>
        <w:pStyle w:val="13"/>
        <w:shd w:val="clear" w:color="auto" w:fill="FFFFFF"/>
        <w:spacing w:beforeAutospacing="0" w:afterAutospacing="0" w:line="360" w:lineRule="auto"/>
        <w:ind w:firstLine="484" w:firstLineChars="200"/>
        <w:rPr>
          <w:rFonts w:ascii="Times New Roman" w:hAnsi="Times New Roman"/>
          <w:color w:val="000000"/>
          <w:spacing w:val="1"/>
        </w:rPr>
      </w:pPr>
      <w:r>
        <w:rPr>
          <w:rFonts w:ascii="Times New Roman" w:hAnsi="Times New Roman"/>
          <w:color w:val="000000"/>
          <w:spacing w:val="1"/>
        </w:rPr>
        <w:t>将企业生产工艺过程、大气环境风险防控措施及突发大气环境事件发生情况各项指标评估分值累加，得出生产工艺过程与大气环境风险控制水平值，按照表7-4划分为4个类型。</w:t>
      </w:r>
    </w:p>
    <w:p>
      <w:pPr>
        <w:pStyle w:val="2"/>
        <w:ind w:firstLine="426"/>
        <w:jc w:val="center"/>
        <w:rPr>
          <w:rFonts w:hint="default"/>
          <w:b/>
          <w:bCs/>
          <w:sz w:val="21"/>
          <w:szCs w:val="21"/>
        </w:rPr>
      </w:pPr>
      <w:r>
        <w:rPr>
          <w:rFonts w:hint="default"/>
          <w:b/>
          <w:bCs/>
          <w:color w:val="000000"/>
          <w:spacing w:val="1"/>
          <w:sz w:val="21"/>
          <w:szCs w:val="21"/>
        </w:rPr>
        <w:t>表7-4  企业生产工艺过程与环境风险控制水平类型划分</w:t>
      </w:r>
    </w:p>
    <w:p>
      <w:pPr>
        <w:pStyle w:val="13"/>
        <w:shd w:val="clear" w:color="auto" w:fill="FFFFFF"/>
        <w:spacing w:beforeAutospacing="0" w:afterAutospacing="0" w:line="360" w:lineRule="auto"/>
        <w:rPr>
          <w:rFonts w:ascii="Times New Roman" w:hAnsi="Times New Roman"/>
          <w:color w:val="444444"/>
          <w:shd w:val="clear" w:color="auto" w:fill="FFFFFF"/>
        </w:rPr>
      </w:pPr>
      <w:r>
        <w:rPr>
          <w:rFonts w:ascii="Times New Roman" w:hAnsi="Times New Roman"/>
          <w:color w:val="444444"/>
          <w:shd w:val="clear" w:color="auto" w:fill="FFFFFF"/>
        </w:rPr>
        <w:drawing>
          <wp:inline distT="0" distB="0" distL="0" distR="0">
            <wp:extent cx="5003165" cy="1167765"/>
            <wp:effectExtent l="0" t="0" r="10795" b="5715"/>
            <wp:docPr id="17" name="图片 26"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6" descr="IMG_260"/>
                    <pic:cNvPicPr>
                      <a:picLocks noChangeAspect="1" noChangeArrowheads="1"/>
                    </pic:cNvPicPr>
                  </pic:nvPicPr>
                  <pic:blipFill>
                    <a:blip r:embed="rId38" cstate="print"/>
                    <a:srcRect t="11890" r="162"/>
                    <a:stretch>
                      <a:fillRect/>
                    </a:stretch>
                  </pic:blipFill>
                  <pic:spPr>
                    <a:xfrm>
                      <a:off x="0" y="0"/>
                      <a:ext cx="5003165" cy="1167765"/>
                    </a:xfrm>
                    <a:prstGeom prst="rect">
                      <a:avLst/>
                    </a:prstGeom>
                    <a:noFill/>
                    <a:ln w="9525">
                      <a:noFill/>
                      <a:miter lim="800000"/>
                      <a:headEnd/>
                      <a:tailEnd/>
                    </a:ln>
                  </pic:spPr>
                </pic:pic>
              </a:graphicData>
            </a:graphic>
          </wp:inline>
        </w:drawing>
      </w:r>
    </w:p>
    <w:p>
      <w:pPr>
        <w:autoSpaceDE w:val="0"/>
        <w:autoSpaceDN w:val="0"/>
        <w:adjustRightInd w:val="0"/>
        <w:spacing w:line="360" w:lineRule="auto"/>
        <w:ind w:firstLine="480" w:firstLineChars="200"/>
      </w:pPr>
      <w:bookmarkStart w:id="104" w:name="_Toc11700485"/>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312" w:beforeLines="100" w:after="156" w:afterLines="50" w:line="360" w:lineRule="auto"/>
        <w:outlineLvl w:val="0"/>
        <w:rPr>
          <w:b/>
          <w:bCs/>
          <w:color w:val="000000"/>
          <w:sz w:val="24"/>
        </w:rPr>
      </w:pPr>
      <w:bookmarkStart w:id="105" w:name="_Toc26466"/>
      <w:r>
        <w:rPr>
          <w:b/>
          <w:bCs/>
          <w:color w:val="000000"/>
          <w:sz w:val="24"/>
        </w:rPr>
        <w:t>7.1.3大气环境风险受体敏感程度（E）评估</w:t>
      </w:r>
      <w:bookmarkEnd w:id="104"/>
      <w:bookmarkEnd w:id="105"/>
    </w:p>
    <w:p>
      <w:pPr>
        <w:pStyle w:val="13"/>
        <w:shd w:val="clear" w:color="auto" w:fill="FFFFFF"/>
        <w:spacing w:beforeAutospacing="0" w:afterAutospacing="0" w:line="360" w:lineRule="auto"/>
        <w:ind w:firstLine="484" w:firstLineChars="200"/>
        <w:rPr>
          <w:rFonts w:ascii="Times New Roman" w:hAnsi="Times New Roman"/>
          <w:color w:val="000000"/>
          <w:spacing w:val="1"/>
        </w:rPr>
      </w:pPr>
      <w:r>
        <w:rPr>
          <w:rFonts w:ascii="Times New Roman" w:hAnsi="Times New Roman"/>
          <w:color w:val="000000"/>
          <w:spacing w:val="1"/>
        </w:rPr>
        <w:t>大气环境风险受体敏感程度类型按照企业周边人口数进行划分。按照企业周边5公里或500米范围内人口数将大气环境风险受体敏感程度划分为类型 1、类型 2 和类型 3 三种类型，分别以 E1、E2 和 E3 表示，见表7-5。</w:t>
      </w:r>
    </w:p>
    <w:p>
      <w:pPr>
        <w:pStyle w:val="13"/>
        <w:shd w:val="clear" w:color="auto" w:fill="FFFFFF"/>
        <w:spacing w:beforeAutospacing="0" w:afterAutospacing="0" w:line="360" w:lineRule="auto"/>
        <w:ind w:firstLine="484" w:firstLineChars="200"/>
        <w:rPr>
          <w:rFonts w:ascii="Times New Roman" w:hAnsi="Times New Roman"/>
          <w:color w:val="000000"/>
          <w:spacing w:val="1"/>
        </w:rPr>
      </w:pPr>
      <w:r>
        <w:rPr>
          <w:rFonts w:ascii="Times New Roman" w:hAnsi="Times New Roman"/>
          <w:color w:val="000000"/>
          <w:spacing w:val="1"/>
        </w:rPr>
        <w:t>大气环境风险受体敏感程度按类型 1、类型 2 和类型 3 顺序依次降低。若企业周边存在多种敏感程度类型的大气环境风险受体，则按敏感程度高者确定企业大气环境风险受体敏感程度类型。</w:t>
      </w:r>
    </w:p>
    <w:p>
      <w:pPr>
        <w:pStyle w:val="2"/>
        <w:spacing w:line="240" w:lineRule="auto"/>
        <w:ind w:firstLine="426"/>
        <w:jc w:val="center"/>
        <w:rPr>
          <w:rFonts w:hint="default"/>
          <w:b/>
          <w:bCs/>
          <w:color w:val="000000"/>
          <w:spacing w:val="1"/>
          <w:sz w:val="21"/>
          <w:szCs w:val="21"/>
        </w:rPr>
      </w:pPr>
      <w:r>
        <w:rPr>
          <w:rFonts w:hint="default"/>
          <w:b/>
          <w:bCs/>
          <w:color w:val="000000"/>
          <w:spacing w:val="1"/>
          <w:sz w:val="21"/>
          <w:szCs w:val="21"/>
        </w:rPr>
        <w:t>表7-5  大气环境风险受体敏感程度类型划分</w:t>
      </w:r>
    </w:p>
    <w:tbl>
      <w:tblPr>
        <w:tblStyle w:val="15"/>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0"/>
        <w:gridCol w:w="68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 w:hRule="atLeast"/>
          <w:jc w:val="center"/>
        </w:trPr>
        <w:tc>
          <w:tcPr>
            <w:tcW w:w="1710" w:type="dxa"/>
            <w:shd w:val="clear" w:color="auto" w:fill="auto"/>
            <w:vAlign w:val="center"/>
          </w:tcPr>
          <w:p>
            <w:pPr>
              <w:pStyle w:val="2"/>
              <w:spacing w:line="240" w:lineRule="auto"/>
              <w:ind w:firstLine="0" w:firstLineChars="0"/>
              <w:jc w:val="both"/>
              <w:rPr>
                <w:rFonts w:hint="default"/>
                <w:b/>
                <w:color w:val="000000"/>
                <w:spacing w:val="1"/>
                <w:sz w:val="21"/>
                <w:szCs w:val="21"/>
              </w:rPr>
            </w:pPr>
            <w:r>
              <w:rPr>
                <w:rFonts w:hint="default"/>
                <w:b/>
                <w:color w:val="000000"/>
                <w:spacing w:val="1"/>
                <w:sz w:val="21"/>
                <w:szCs w:val="21"/>
              </w:rPr>
              <w:t>敏感程度类型</w:t>
            </w:r>
          </w:p>
        </w:tc>
        <w:tc>
          <w:tcPr>
            <w:tcW w:w="6812" w:type="dxa"/>
            <w:shd w:val="clear" w:color="auto" w:fill="auto"/>
            <w:vAlign w:val="center"/>
          </w:tcPr>
          <w:p>
            <w:pPr>
              <w:pStyle w:val="2"/>
              <w:spacing w:line="240" w:lineRule="auto"/>
              <w:ind w:firstLine="426"/>
              <w:jc w:val="center"/>
              <w:rPr>
                <w:rFonts w:hint="default"/>
                <w:b/>
                <w:color w:val="000000"/>
                <w:spacing w:val="1"/>
                <w:sz w:val="21"/>
                <w:szCs w:val="21"/>
              </w:rPr>
            </w:pPr>
            <w:r>
              <w:rPr>
                <w:rFonts w:hint="default"/>
                <w:b/>
                <w:color w:val="000000"/>
                <w:spacing w:val="1"/>
                <w:sz w:val="21"/>
                <w:szCs w:val="21"/>
              </w:rPr>
              <w:t>大气环境风险受体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10" w:type="dxa"/>
            <w:shd w:val="clear" w:color="auto" w:fill="auto"/>
            <w:vAlign w:val="center"/>
          </w:tcPr>
          <w:p>
            <w:pPr>
              <w:pStyle w:val="2"/>
              <w:spacing w:line="240" w:lineRule="auto"/>
              <w:ind w:firstLine="0" w:firstLineChars="0"/>
              <w:jc w:val="center"/>
              <w:rPr>
                <w:rFonts w:hint="default"/>
                <w:color w:val="000000"/>
                <w:spacing w:val="1"/>
                <w:sz w:val="21"/>
                <w:szCs w:val="21"/>
              </w:rPr>
            </w:pPr>
            <w:r>
              <w:rPr>
                <w:rFonts w:hint="default"/>
                <w:color w:val="000000"/>
                <w:spacing w:val="1"/>
                <w:sz w:val="21"/>
                <w:szCs w:val="21"/>
              </w:rPr>
              <w:t>类型1</w:t>
            </w:r>
          </w:p>
          <w:p>
            <w:pPr>
              <w:pStyle w:val="2"/>
              <w:spacing w:line="240" w:lineRule="auto"/>
              <w:ind w:firstLine="0" w:firstLineChars="0"/>
              <w:jc w:val="center"/>
              <w:rPr>
                <w:rFonts w:hint="default"/>
                <w:color w:val="000000"/>
                <w:spacing w:val="1"/>
                <w:sz w:val="21"/>
                <w:szCs w:val="21"/>
              </w:rPr>
            </w:pPr>
            <w:r>
              <w:rPr>
                <w:rFonts w:hint="default"/>
                <w:color w:val="000000"/>
                <w:spacing w:val="1"/>
                <w:sz w:val="21"/>
                <w:szCs w:val="21"/>
              </w:rPr>
              <w:t>（E1）</w:t>
            </w:r>
          </w:p>
        </w:tc>
        <w:tc>
          <w:tcPr>
            <w:tcW w:w="6812" w:type="dxa"/>
            <w:shd w:val="clear" w:color="auto" w:fill="auto"/>
            <w:vAlign w:val="center"/>
          </w:tcPr>
          <w:p>
            <w:pPr>
              <w:pStyle w:val="2"/>
              <w:spacing w:line="240" w:lineRule="auto"/>
              <w:ind w:firstLine="424"/>
              <w:rPr>
                <w:rFonts w:hint="default"/>
                <w:color w:val="000000"/>
                <w:spacing w:val="1"/>
                <w:sz w:val="21"/>
                <w:szCs w:val="21"/>
              </w:rPr>
            </w:pPr>
            <w:r>
              <w:rPr>
                <w:rFonts w:hint="default"/>
                <w:color w:val="000000"/>
                <w:spacing w:val="1"/>
                <w:sz w:val="21"/>
                <w:szCs w:val="21"/>
              </w:rPr>
              <w:t>企业周边5公里范围内居住区、医疗卫生机构、文化教育机构、科研单位、行政机关、企事业单位、商场、公园等入口总数5万人以上，或企业周边500米范围内人口总数1000人以上，或企业周边5公里涉及军事禁区、军事管理区、国家相关保密区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10" w:type="dxa"/>
            <w:shd w:val="clear" w:color="auto" w:fill="auto"/>
            <w:vAlign w:val="center"/>
          </w:tcPr>
          <w:p>
            <w:pPr>
              <w:pStyle w:val="2"/>
              <w:spacing w:line="240" w:lineRule="auto"/>
              <w:ind w:firstLine="0" w:firstLineChars="0"/>
              <w:jc w:val="center"/>
              <w:rPr>
                <w:rFonts w:hint="default"/>
                <w:color w:val="000000"/>
                <w:spacing w:val="1"/>
                <w:sz w:val="21"/>
                <w:szCs w:val="21"/>
              </w:rPr>
            </w:pPr>
            <w:r>
              <w:rPr>
                <w:rFonts w:hint="default"/>
                <w:color w:val="000000"/>
                <w:spacing w:val="1"/>
                <w:sz w:val="21"/>
                <w:szCs w:val="21"/>
              </w:rPr>
              <w:t>类型2</w:t>
            </w:r>
          </w:p>
          <w:p>
            <w:pPr>
              <w:pStyle w:val="2"/>
              <w:spacing w:line="240" w:lineRule="auto"/>
              <w:ind w:firstLine="0" w:firstLineChars="0"/>
              <w:jc w:val="center"/>
              <w:rPr>
                <w:rFonts w:hint="default"/>
                <w:color w:val="000000"/>
                <w:spacing w:val="1"/>
                <w:sz w:val="21"/>
                <w:szCs w:val="21"/>
              </w:rPr>
            </w:pPr>
            <w:r>
              <w:rPr>
                <w:rFonts w:hint="default"/>
                <w:color w:val="000000"/>
                <w:spacing w:val="1"/>
                <w:sz w:val="21"/>
                <w:szCs w:val="21"/>
              </w:rPr>
              <w:t>（E2）</w:t>
            </w:r>
          </w:p>
        </w:tc>
        <w:tc>
          <w:tcPr>
            <w:tcW w:w="6812" w:type="dxa"/>
            <w:shd w:val="clear" w:color="auto" w:fill="auto"/>
            <w:vAlign w:val="center"/>
          </w:tcPr>
          <w:p>
            <w:pPr>
              <w:pStyle w:val="2"/>
              <w:spacing w:line="240" w:lineRule="auto"/>
              <w:ind w:firstLine="424"/>
              <w:rPr>
                <w:rFonts w:hint="default"/>
                <w:color w:val="000000"/>
                <w:spacing w:val="1"/>
                <w:sz w:val="21"/>
                <w:szCs w:val="21"/>
              </w:rPr>
            </w:pPr>
            <w:r>
              <w:rPr>
                <w:rFonts w:hint="default"/>
                <w:color w:val="000000"/>
                <w:spacing w:val="1"/>
                <w:sz w:val="21"/>
                <w:szCs w:val="21"/>
              </w:rPr>
              <w:t>企业周边5公里范围内居住区、医疗卫生机构、文化教育机构、科研单位、行政机关、企事业单位、商场、公园等入口总数1万人以上、5万人以下，或企业周边500米范围内人口总数500人以上、1000人以下。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10" w:type="dxa"/>
            <w:shd w:val="clear" w:color="auto" w:fill="auto"/>
            <w:vAlign w:val="center"/>
          </w:tcPr>
          <w:p>
            <w:pPr>
              <w:pStyle w:val="2"/>
              <w:spacing w:line="240" w:lineRule="auto"/>
              <w:ind w:firstLine="0" w:firstLineChars="0"/>
              <w:jc w:val="center"/>
              <w:rPr>
                <w:rFonts w:hint="default"/>
                <w:color w:val="000000"/>
                <w:spacing w:val="1"/>
                <w:sz w:val="21"/>
                <w:szCs w:val="21"/>
              </w:rPr>
            </w:pPr>
            <w:r>
              <w:rPr>
                <w:rFonts w:hint="default"/>
                <w:color w:val="000000"/>
                <w:spacing w:val="1"/>
                <w:sz w:val="21"/>
                <w:szCs w:val="21"/>
              </w:rPr>
              <w:t>类型3</w:t>
            </w:r>
          </w:p>
          <w:p>
            <w:pPr>
              <w:pStyle w:val="2"/>
              <w:spacing w:line="240" w:lineRule="auto"/>
              <w:ind w:firstLine="0" w:firstLineChars="0"/>
              <w:jc w:val="center"/>
              <w:rPr>
                <w:rFonts w:hint="default"/>
                <w:color w:val="000000"/>
                <w:spacing w:val="1"/>
                <w:sz w:val="21"/>
                <w:szCs w:val="21"/>
              </w:rPr>
            </w:pPr>
            <w:r>
              <w:rPr>
                <w:rFonts w:hint="default"/>
                <w:color w:val="000000"/>
                <w:spacing w:val="1"/>
                <w:sz w:val="21"/>
                <w:szCs w:val="21"/>
              </w:rPr>
              <w:t>（E3）</w:t>
            </w:r>
          </w:p>
        </w:tc>
        <w:tc>
          <w:tcPr>
            <w:tcW w:w="6812" w:type="dxa"/>
            <w:shd w:val="clear" w:color="auto" w:fill="auto"/>
            <w:vAlign w:val="center"/>
          </w:tcPr>
          <w:p>
            <w:pPr>
              <w:pStyle w:val="2"/>
              <w:spacing w:line="240" w:lineRule="auto"/>
              <w:ind w:firstLine="424"/>
              <w:rPr>
                <w:rFonts w:hint="default"/>
                <w:color w:val="000000"/>
                <w:spacing w:val="1"/>
                <w:sz w:val="21"/>
                <w:szCs w:val="21"/>
              </w:rPr>
            </w:pPr>
            <w:r>
              <w:rPr>
                <w:rFonts w:hint="default"/>
                <w:color w:val="000000"/>
                <w:spacing w:val="1"/>
                <w:sz w:val="21"/>
                <w:szCs w:val="21"/>
              </w:rPr>
              <w:t>企业周边5公里范围内居住区、医疗卫生机构、文化教育机构、科研单位、行政机关、企事业单位、商场、公园等入口总数1万人以下，且企业周边500米范围内人口总数500人以下。</w:t>
            </w:r>
          </w:p>
        </w:tc>
      </w:tr>
    </w:tbl>
    <w:p>
      <w:pPr>
        <w:autoSpaceDE w:val="0"/>
        <w:autoSpaceDN w:val="0"/>
        <w:adjustRightInd w:val="0"/>
        <w:spacing w:line="360" w:lineRule="auto"/>
        <w:ind w:firstLine="480" w:firstLineChars="200"/>
        <w:rPr>
          <w:color w:val="000000"/>
          <w:sz w:val="24"/>
        </w:rPr>
      </w:pPr>
      <w:bookmarkStart w:id="106" w:name="_Toc11700486"/>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312" w:beforeLines="100" w:after="156" w:afterLines="50" w:line="360" w:lineRule="auto"/>
        <w:outlineLvl w:val="0"/>
        <w:rPr>
          <w:b/>
          <w:bCs/>
          <w:color w:val="000000"/>
          <w:sz w:val="24"/>
        </w:rPr>
      </w:pPr>
      <w:bookmarkStart w:id="107" w:name="_Toc3499"/>
      <w:r>
        <w:rPr>
          <w:b/>
          <w:bCs/>
          <w:color w:val="000000"/>
          <w:sz w:val="24"/>
        </w:rPr>
        <w:t>7.1.4突发大气环境事件风险等级确定</w:t>
      </w:r>
      <w:bookmarkEnd w:id="106"/>
      <w:bookmarkEnd w:id="107"/>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根据企业周边大气环境风险受体敏感程度（E）、涉气风险物质数量与临界量比值（Q）和生产工艺过程与大气环境风险控制水平（M），按照表7-6确定企业突发大气环境事件风险等级。</w:t>
      </w:r>
    </w:p>
    <w:p>
      <w:pPr>
        <w:autoSpaceDE w:val="0"/>
        <w:autoSpaceDN w:val="0"/>
        <w:adjustRightInd w:val="0"/>
        <w:spacing w:line="360" w:lineRule="auto"/>
        <w:ind w:firstLine="422" w:firstLineChars="200"/>
        <w:jc w:val="center"/>
        <w:rPr>
          <w:color w:val="444444"/>
          <w:shd w:val="clear" w:color="auto" w:fill="FFFFFF"/>
        </w:rPr>
      </w:pPr>
      <w:r>
        <w:rPr>
          <w:b/>
          <w:bCs/>
          <w:szCs w:val="21"/>
        </w:rPr>
        <w:t>表7-6  企业突发大气环境事件风险等级</w:t>
      </w:r>
      <w:r>
        <w:rPr>
          <w:color w:val="000000"/>
          <w:spacing w:val="1"/>
          <w:szCs w:val="21"/>
        </w:rPr>
        <w:br w:type="textWrapping"/>
      </w:r>
      <w:r>
        <w:rPr>
          <w:color w:val="444444"/>
          <w:shd w:val="clear" w:color="auto" w:fill="FFFFFF"/>
        </w:rPr>
        <w:drawing>
          <wp:inline distT="0" distB="0" distL="0" distR="0">
            <wp:extent cx="4864735" cy="2510790"/>
            <wp:effectExtent l="0" t="0" r="12065" b="3810"/>
            <wp:docPr id="20" name="图片 27"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7" descr="IMG_263"/>
                    <pic:cNvPicPr>
                      <a:picLocks noChangeAspect="1" noChangeArrowheads="1"/>
                    </pic:cNvPicPr>
                  </pic:nvPicPr>
                  <pic:blipFill>
                    <a:blip r:embed="rId39" cstate="print"/>
                    <a:srcRect t="6802" r="272"/>
                    <a:stretch>
                      <a:fillRect/>
                    </a:stretch>
                  </pic:blipFill>
                  <pic:spPr>
                    <a:xfrm>
                      <a:off x="0" y="0"/>
                      <a:ext cx="4864735" cy="2510790"/>
                    </a:xfrm>
                    <a:prstGeom prst="rect">
                      <a:avLst/>
                    </a:prstGeom>
                    <a:noFill/>
                    <a:ln w="9525">
                      <a:noFill/>
                      <a:miter lim="800000"/>
                      <a:headEnd/>
                      <a:tailEnd/>
                    </a:ln>
                  </pic:spPr>
                </pic:pic>
              </a:graphicData>
            </a:graphic>
          </wp:inline>
        </w:drawing>
      </w:r>
    </w:p>
    <w:p>
      <w:pPr>
        <w:autoSpaceDE w:val="0"/>
        <w:autoSpaceDN w:val="0"/>
        <w:adjustRightInd w:val="0"/>
        <w:spacing w:line="360" w:lineRule="auto"/>
        <w:ind w:firstLine="480" w:firstLineChars="200"/>
        <w:jc w:val="center"/>
        <w:rPr>
          <w:color w:val="000000"/>
          <w:sz w:val="24"/>
        </w:rPr>
      </w:pP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312" w:beforeLines="100" w:after="156" w:afterLines="50" w:line="360" w:lineRule="auto"/>
        <w:outlineLvl w:val="0"/>
        <w:rPr>
          <w:color w:val="444444"/>
          <w:sz w:val="24"/>
          <w:shd w:val="clear" w:color="auto" w:fill="FFFFFF"/>
        </w:rPr>
      </w:pPr>
      <w:bookmarkStart w:id="108" w:name="_Toc11700487"/>
      <w:bookmarkStart w:id="109" w:name="_Toc14729"/>
      <w:bookmarkStart w:id="110" w:name="_Toc5877"/>
      <w:bookmarkStart w:id="111" w:name="_Toc4481"/>
      <w:r>
        <w:rPr>
          <w:b/>
          <w:bCs/>
          <w:color w:val="000000"/>
          <w:sz w:val="24"/>
        </w:rPr>
        <w:t>7.1.5突发大气环境事件等级表征</w:t>
      </w:r>
      <w:bookmarkEnd w:id="108"/>
      <w:bookmarkEnd w:id="109"/>
      <w:bookmarkEnd w:id="110"/>
      <w:bookmarkEnd w:id="111"/>
    </w:p>
    <w:p>
      <w:pPr>
        <w:pStyle w:val="2"/>
        <w:ind w:firstLine="484"/>
        <w:jc w:val="both"/>
        <w:rPr>
          <w:rFonts w:hint="default"/>
          <w:color w:val="000000"/>
          <w:spacing w:val="1"/>
          <w:szCs w:val="24"/>
        </w:rPr>
      </w:pPr>
      <w:r>
        <w:rPr>
          <w:rFonts w:hint="default"/>
          <w:color w:val="000000"/>
          <w:spacing w:val="1"/>
          <w:szCs w:val="24"/>
        </w:rPr>
        <w:t>企业突发大气环境事件风险等级表征分为两种情况：</w:t>
      </w:r>
    </w:p>
    <w:p>
      <w:pPr>
        <w:pStyle w:val="2"/>
        <w:ind w:firstLine="484"/>
        <w:jc w:val="both"/>
        <w:rPr>
          <w:rFonts w:hint="default"/>
          <w:color w:val="000000"/>
          <w:spacing w:val="1"/>
          <w:szCs w:val="24"/>
        </w:rPr>
      </w:pPr>
      <w:r>
        <w:rPr>
          <w:rFonts w:hint="default"/>
          <w:color w:val="000000"/>
          <w:spacing w:val="1"/>
          <w:szCs w:val="24"/>
        </w:rPr>
        <w:t>（1）Q＜1时，企业突发大气环境事件风险等级表示为</w:t>
      </w:r>
      <w:r>
        <w:rPr>
          <w:color w:val="000000"/>
          <w:spacing w:val="1"/>
          <w:szCs w:val="24"/>
        </w:rPr>
        <w:t>“</w:t>
      </w:r>
      <w:r>
        <w:rPr>
          <w:rFonts w:hint="default"/>
          <w:color w:val="000000"/>
          <w:spacing w:val="1"/>
          <w:szCs w:val="24"/>
        </w:rPr>
        <w:t>一般-</w:t>
      </w:r>
    </w:p>
    <w:p>
      <w:pPr>
        <w:pStyle w:val="2"/>
        <w:ind w:firstLine="484"/>
        <w:jc w:val="both"/>
        <w:rPr>
          <w:rFonts w:hint="default"/>
          <w:color w:val="000000"/>
          <w:spacing w:val="1"/>
          <w:szCs w:val="24"/>
        </w:rPr>
      </w:pPr>
      <w:r>
        <w:rPr>
          <w:rFonts w:hint="default"/>
          <w:color w:val="000000"/>
          <w:spacing w:val="1"/>
          <w:szCs w:val="24"/>
        </w:rPr>
        <w:t>大气（Q0）</w:t>
      </w:r>
      <w:r>
        <w:rPr>
          <w:color w:val="000000"/>
          <w:spacing w:val="1"/>
          <w:szCs w:val="24"/>
        </w:rPr>
        <w:t>”</w:t>
      </w:r>
      <w:r>
        <w:rPr>
          <w:rFonts w:hint="default"/>
          <w:color w:val="000000"/>
          <w:spacing w:val="1"/>
          <w:szCs w:val="24"/>
        </w:rPr>
        <w:t>。</w:t>
      </w:r>
    </w:p>
    <w:p>
      <w:pPr>
        <w:pStyle w:val="2"/>
        <w:ind w:firstLine="484"/>
        <w:jc w:val="both"/>
        <w:rPr>
          <w:rFonts w:hint="default"/>
          <w:color w:val="000000"/>
          <w:spacing w:val="1"/>
          <w:szCs w:val="24"/>
        </w:rPr>
      </w:pPr>
      <w:r>
        <w:rPr>
          <w:rFonts w:hint="default"/>
          <w:color w:val="000000"/>
          <w:spacing w:val="1"/>
          <w:szCs w:val="24"/>
        </w:rPr>
        <w:t>（2）Q≥1时，企业突发大气环境事件风险等级表示为“环境风</w:t>
      </w:r>
    </w:p>
    <w:p>
      <w:pPr>
        <w:pStyle w:val="2"/>
        <w:ind w:firstLine="484"/>
        <w:jc w:val="both"/>
        <w:rPr>
          <w:rFonts w:hint="default"/>
          <w:color w:val="000000"/>
          <w:spacing w:val="1"/>
          <w:szCs w:val="24"/>
        </w:rPr>
      </w:pPr>
      <w:r>
        <w:rPr>
          <w:rFonts w:hint="default"/>
          <w:color w:val="000000"/>
          <w:spacing w:val="1"/>
          <w:szCs w:val="24"/>
        </w:rPr>
        <w:t>险等级-大气（Q水平-M类型-E类型）”。</w:t>
      </w:r>
    </w:p>
    <w:p>
      <w:pPr>
        <w:pStyle w:val="2"/>
        <w:ind w:firstLine="484"/>
        <w:jc w:val="both"/>
        <w:rPr>
          <w:rFonts w:hint="default"/>
          <w:color w:val="000000"/>
          <w:spacing w:val="1"/>
          <w:szCs w:val="24"/>
        </w:rPr>
      </w:pPr>
      <w:r>
        <w:rPr>
          <w:rFonts w:hint="default"/>
          <w:color w:val="000000"/>
          <w:spacing w:val="1"/>
          <w:szCs w:val="24"/>
        </w:rPr>
        <w:t>根据以上计算结果及辨识，Q=</w:t>
      </w:r>
      <w:r>
        <w:rPr>
          <w:color w:val="000000" w:themeColor="text1"/>
          <w:szCs w:val="24"/>
        </w:rPr>
        <w:t>0.468</w:t>
      </w:r>
      <w:r>
        <w:rPr>
          <w:color w:val="000000"/>
          <w:spacing w:val="1"/>
          <w:szCs w:val="24"/>
        </w:rPr>
        <w:t>，</w:t>
      </w:r>
      <w:r>
        <w:rPr>
          <w:rFonts w:hint="default"/>
          <w:color w:val="000000"/>
          <w:spacing w:val="1"/>
          <w:szCs w:val="24"/>
        </w:rPr>
        <w:t>风险物质临界量比值为Q0，加油站突发大气环境风险等级为</w:t>
      </w:r>
      <w:r>
        <w:rPr>
          <w:color w:val="000000"/>
          <w:spacing w:val="1"/>
          <w:szCs w:val="24"/>
        </w:rPr>
        <w:t>“</w:t>
      </w:r>
      <w:r>
        <w:rPr>
          <w:rFonts w:hint="default"/>
          <w:color w:val="000000"/>
          <w:spacing w:val="1"/>
          <w:szCs w:val="24"/>
        </w:rPr>
        <w:t>一般-大气（Q0）</w:t>
      </w:r>
      <w:r>
        <w:rPr>
          <w:color w:val="000000"/>
          <w:spacing w:val="1"/>
          <w:szCs w:val="24"/>
        </w:rPr>
        <w:t>”</w:t>
      </w:r>
      <w:r>
        <w:rPr>
          <w:rFonts w:hint="default"/>
          <w:color w:val="000000"/>
          <w:spacing w:val="1"/>
          <w:szCs w:val="24"/>
        </w:rPr>
        <w:t>。</w:t>
      </w:r>
    </w:p>
    <w:p>
      <w:pPr>
        <w:autoSpaceDE w:val="0"/>
        <w:autoSpaceDN w:val="0"/>
        <w:adjustRightInd w:val="0"/>
        <w:snapToGrid w:val="0"/>
        <w:spacing w:before="312" w:beforeLines="100" w:after="156" w:afterLines="50" w:line="360" w:lineRule="auto"/>
        <w:outlineLvl w:val="0"/>
        <w:rPr>
          <w:b/>
          <w:bCs/>
          <w:color w:val="000000"/>
          <w:sz w:val="24"/>
        </w:rPr>
      </w:pPr>
      <w:bookmarkStart w:id="112" w:name="_Toc362"/>
      <w:bookmarkStart w:id="113" w:name="_Toc9997"/>
      <w:bookmarkStart w:id="114" w:name="_Toc11700488"/>
      <w:bookmarkStart w:id="115" w:name="_Toc12380"/>
      <w:r>
        <w:rPr>
          <w:b/>
          <w:bCs/>
          <w:color w:val="000000"/>
          <w:sz w:val="24"/>
        </w:rPr>
        <w:t>7.2突发水环境事件风险分级</w:t>
      </w:r>
      <w:bookmarkEnd w:id="112"/>
      <w:bookmarkEnd w:id="113"/>
      <w:bookmarkEnd w:id="114"/>
      <w:bookmarkEnd w:id="115"/>
    </w:p>
    <w:p>
      <w:pPr>
        <w:autoSpaceDE w:val="0"/>
        <w:autoSpaceDN w:val="0"/>
        <w:adjustRightInd w:val="0"/>
        <w:snapToGrid w:val="0"/>
        <w:spacing w:before="312" w:beforeLines="100" w:after="156" w:afterLines="50" w:line="360" w:lineRule="auto"/>
        <w:outlineLvl w:val="0"/>
        <w:rPr>
          <w:b/>
          <w:bCs/>
          <w:color w:val="000000"/>
          <w:sz w:val="24"/>
        </w:rPr>
      </w:pPr>
      <w:bookmarkStart w:id="116" w:name="_Toc7578"/>
      <w:bookmarkStart w:id="117" w:name="_Toc11700489"/>
      <w:bookmarkStart w:id="118" w:name="_Toc12315"/>
      <w:bookmarkStart w:id="119" w:name="_Toc26980"/>
      <w:r>
        <w:rPr>
          <w:b/>
          <w:bCs/>
          <w:color w:val="000000"/>
          <w:sz w:val="24"/>
        </w:rPr>
        <w:t>7.2.1计算涉水风险物质数量与临界量比值（Q）</w:t>
      </w:r>
      <w:bookmarkEnd w:id="116"/>
      <w:bookmarkEnd w:id="117"/>
      <w:bookmarkEnd w:id="118"/>
      <w:bookmarkEnd w:id="119"/>
    </w:p>
    <w:p>
      <w:pPr>
        <w:pStyle w:val="13"/>
        <w:shd w:val="clear" w:color="auto" w:fill="FFFFFF"/>
        <w:spacing w:beforeAutospacing="0" w:afterAutospacing="0" w:line="360" w:lineRule="auto"/>
        <w:ind w:firstLine="484" w:firstLineChars="200"/>
        <w:rPr>
          <w:rFonts w:ascii="Times New Roman" w:hAnsi="Times New Roman"/>
          <w:color w:val="000000"/>
          <w:spacing w:val="1"/>
        </w:rPr>
      </w:pPr>
      <w:r>
        <w:rPr>
          <w:rFonts w:ascii="Times New Roman" w:hAnsi="Times New Roman"/>
          <w:color w:val="000000"/>
          <w:spacing w:val="1"/>
        </w:rPr>
        <w:t>涉水风险物质包括附录A中的第三、第四、第五、第六、第七和第八部分全部风险物质，以及第一、第二部分中溶于水和遇水发生反应的风险物质，具体包括：溶于水的硒化氢、甲醛、乙二腈、二氧化氯、氯化氢、氨、环氧乙烷、甲胺、丁烷、二甲胺、一氧化二氯，砷化氢、二氧化氮、三甲胺、二氧化硫、三氟化硼、硅烷、溴化氢、氯化氰、乙胺、二甲醚，以及遇水发生反应的乙烯酮、氟、四氟化硫、三氟溴乙烯。</w:t>
      </w:r>
      <w:r>
        <w:rPr>
          <w:rFonts w:ascii="Times New Roman" w:hAnsi="Times New Roman"/>
          <w:color w:val="000000"/>
          <w:spacing w:val="1"/>
        </w:rPr>
        <w:br w:type="textWrapping"/>
      </w:r>
      <w:r>
        <w:rPr>
          <w:rFonts w:ascii="Times New Roman" w:hAnsi="Times New Roman"/>
          <w:color w:val="000000"/>
          <w:spacing w:val="1"/>
        </w:rPr>
        <w:t>　　判断企业生产原料、产品、中间产品、副产品、催化剂、辅助生产物料、“三废”污染物等是否涉及水环境风险物质，计算涉水风险物质（混合或稀释的风险物质按其组分比例折算成纯物质）与其临界量的比值 Q：</w:t>
      </w:r>
    </w:p>
    <w:p>
      <w:pPr>
        <w:pStyle w:val="13"/>
        <w:numPr>
          <w:ilvl w:val="0"/>
          <w:numId w:val="2"/>
        </w:numPr>
        <w:shd w:val="clear" w:color="auto" w:fill="FFFFFF"/>
        <w:spacing w:beforeAutospacing="0" w:afterAutospacing="0" w:line="360" w:lineRule="auto"/>
        <w:ind w:firstLine="480" w:firstLineChars="200"/>
        <w:rPr>
          <w:rFonts w:ascii="Times New Roman" w:hAnsi="Times New Roman"/>
          <w:color w:val="000000"/>
        </w:rPr>
      </w:pPr>
      <w:r>
        <w:rPr>
          <w:rFonts w:ascii="Times New Roman" w:hAnsi="Times New Roman"/>
          <w:color w:val="000000"/>
        </w:rPr>
        <w:t>当企业只涉及一种风险物质时，该物质的数量与其临界量比值，即为 Q。</w:t>
      </w:r>
      <w:r>
        <w:rPr>
          <w:rFonts w:ascii="Times New Roman" w:hAnsi="Times New Roman"/>
          <w:color w:val="000000"/>
        </w:rPr>
        <w:br w:type="textWrapping"/>
      </w:r>
      <w:r>
        <w:rPr>
          <w:rFonts w:ascii="Times New Roman" w:hAnsi="Times New Roman"/>
          <w:color w:val="000000"/>
        </w:rPr>
        <w:t>（2）当企业存在多种风险物质时，则按如下公式计算：</w:t>
      </w:r>
    </w:p>
    <w:p>
      <w:pPr>
        <w:pStyle w:val="13"/>
        <w:shd w:val="clear" w:color="auto" w:fill="FFFFFF"/>
        <w:spacing w:beforeAutospacing="0" w:afterAutospacing="0" w:line="360" w:lineRule="auto"/>
        <w:rPr>
          <w:rFonts w:ascii="Times New Roman" w:hAnsi="Times New Roman"/>
          <w:color w:val="000000"/>
        </w:rPr>
      </w:pPr>
      <w:r>
        <w:rPr>
          <w:rFonts w:ascii="Times New Roman" w:hAnsi="Times New Roman"/>
          <w:color w:val="444444"/>
          <w:shd w:val="clear" w:color="auto" w:fill="FFFFFF"/>
        </w:rPr>
        <w:drawing>
          <wp:inline distT="0" distB="0" distL="0" distR="0">
            <wp:extent cx="5143500" cy="466725"/>
            <wp:effectExtent l="0" t="0" r="7620" b="5715"/>
            <wp:docPr id="2" name="图片 28"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8" descr="IMG_257"/>
                    <pic:cNvPicPr>
                      <a:picLocks noChangeAspect="1" noChangeArrowheads="1"/>
                    </pic:cNvPicPr>
                  </pic:nvPicPr>
                  <pic:blipFill>
                    <a:blip r:embed="rId35" cstate="print"/>
                    <a:srcRect t="8519" r="12273"/>
                    <a:stretch>
                      <a:fillRect/>
                    </a:stretch>
                  </pic:blipFill>
                  <pic:spPr>
                    <a:xfrm>
                      <a:off x="0" y="0"/>
                      <a:ext cx="5143500" cy="466725"/>
                    </a:xfrm>
                    <a:prstGeom prst="rect">
                      <a:avLst/>
                    </a:prstGeom>
                    <a:noFill/>
                    <a:ln w="9525">
                      <a:noFill/>
                      <a:miter lim="800000"/>
                      <a:headEnd/>
                      <a:tailEnd/>
                    </a:ln>
                  </pic:spPr>
                </pic:pic>
              </a:graphicData>
            </a:graphic>
          </wp:inline>
        </w:drawing>
      </w:r>
      <w:r>
        <w:rPr>
          <w:rFonts w:ascii="Times New Roman" w:hAnsi="Times New Roman"/>
          <w:color w:val="444444"/>
          <w:shd w:val="clear" w:color="auto" w:fill="FFFFFF"/>
        </w:rPr>
        <w:br w:type="textWrapping"/>
      </w:r>
      <w:r>
        <w:rPr>
          <w:rFonts w:ascii="Times New Roman" w:hAnsi="Times New Roman"/>
          <w:color w:val="444444"/>
          <w:shd w:val="clear" w:color="auto" w:fill="FFFFFF"/>
        </w:rPr>
        <w:t>　</w:t>
      </w:r>
      <w:r>
        <w:rPr>
          <w:rFonts w:ascii="Times New Roman" w:hAnsi="Times New Roman"/>
          <w:color w:val="000000"/>
        </w:rPr>
        <w:t>　式中：w</w:t>
      </w:r>
      <w:r>
        <w:rPr>
          <w:rFonts w:ascii="Times New Roman" w:hAnsi="Times New Roman"/>
          <w:color w:val="000000"/>
          <w:vertAlign w:val="subscript"/>
        </w:rPr>
        <w:t xml:space="preserve"> 1 </w:t>
      </w:r>
      <w:r>
        <w:rPr>
          <w:rFonts w:ascii="Times New Roman" w:hAnsi="Times New Roman"/>
          <w:color w:val="000000"/>
        </w:rPr>
        <w:t>， w</w:t>
      </w:r>
      <w:r>
        <w:rPr>
          <w:rFonts w:ascii="Times New Roman" w:hAnsi="Times New Roman"/>
          <w:color w:val="000000"/>
          <w:vertAlign w:val="subscript"/>
        </w:rPr>
        <w:t xml:space="preserve"> 2 </w:t>
      </w:r>
      <w:r>
        <w:rPr>
          <w:rFonts w:ascii="Times New Roman" w:hAnsi="Times New Roman"/>
          <w:color w:val="000000"/>
        </w:rPr>
        <w:t>， ...， w</w:t>
      </w:r>
      <w:r>
        <w:rPr>
          <w:rFonts w:ascii="Times New Roman" w:hAnsi="Times New Roman"/>
          <w:color w:val="000000"/>
          <w:vertAlign w:val="subscript"/>
        </w:rPr>
        <w:t xml:space="preserve"> n</w:t>
      </w:r>
      <w:r>
        <w:rPr>
          <w:rFonts w:ascii="Times New Roman" w:hAnsi="Times New Roman"/>
          <w:color w:val="000000"/>
        </w:rPr>
        <w:t xml:space="preserve"> ——每种风险物质的存在量，t；</w:t>
      </w:r>
      <w:r>
        <w:rPr>
          <w:rFonts w:ascii="Times New Roman" w:hAnsi="Times New Roman"/>
          <w:color w:val="000000"/>
        </w:rPr>
        <w:br w:type="textWrapping"/>
      </w:r>
      <w:r>
        <w:rPr>
          <w:rFonts w:ascii="Times New Roman" w:hAnsi="Times New Roman"/>
          <w:color w:val="000000"/>
        </w:rPr>
        <w:t>　　      W</w:t>
      </w:r>
      <w:r>
        <w:rPr>
          <w:rFonts w:ascii="Times New Roman" w:hAnsi="Times New Roman"/>
          <w:color w:val="000000"/>
          <w:vertAlign w:val="subscript"/>
        </w:rPr>
        <w:t xml:space="preserve"> 1 </w:t>
      </w:r>
      <w:r>
        <w:rPr>
          <w:rFonts w:ascii="Times New Roman" w:hAnsi="Times New Roman"/>
          <w:color w:val="000000"/>
        </w:rPr>
        <w:t>， W</w:t>
      </w:r>
      <w:r>
        <w:rPr>
          <w:rFonts w:ascii="Times New Roman" w:hAnsi="Times New Roman"/>
          <w:color w:val="000000"/>
          <w:vertAlign w:val="subscript"/>
        </w:rPr>
        <w:t xml:space="preserve"> 2 </w:t>
      </w:r>
      <w:r>
        <w:rPr>
          <w:rFonts w:ascii="Times New Roman" w:hAnsi="Times New Roman"/>
          <w:color w:val="000000"/>
        </w:rPr>
        <w:t>， ...， W</w:t>
      </w:r>
      <w:r>
        <w:rPr>
          <w:rFonts w:ascii="Times New Roman" w:hAnsi="Times New Roman"/>
          <w:color w:val="000000"/>
          <w:vertAlign w:val="subscript"/>
        </w:rPr>
        <w:t xml:space="preserve"> n </w:t>
      </w:r>
      <w:r>
        <w:rPr>
          <w:rFonts w:ascii="Times New Roman" w:hAnsi="Times New Roman"/>
          <w:color w:val="000000"/>
        </w:rPr>
        <w:t>——每种风险物质的临界量，t。</w:t>
      </w:r>
      <w:r>
        <w:rPr>
          <w:rFonts w:ascii="Times New Roman" w:hAnsi="Times New Roman"/>
          <w:color w:val="000000"/>
        </w:rPr>
        <w:br w:type="textWrapping"/>
      </w:r>
      <w:r>
        <w:rPr>
          <w:rFonts w:ascii="Times New Roman" w:hAnsi="Times New Roman"/>
          <w:color w:val="000000"/>
        </w:rPr>
        <w:t>　　按照数值大小，将 Q 划分为 4 个水平：</w:t>
      </w:r>
      <w:r>
        <w:rPr>
          <w:rFonts w:ascii="Times New Roman" w:hAnsi="Times New Roman"/>
          <w:color w:val="000000"/>
        </w:rPr>
        <w:br w:type="textWrapping"/>
      </w:r>
      <w:r>
        <w:rPr>
          <w:rFonts w:ascii="Times New Roman" w:hAnsi="Times New Roman"/>
          <w:color w:val="000000"/>
        </w:rPr>
        <w:t>　　（1）Q＜1，以 Q0 表示，企业直接评为一般环境风险等级；</w:t>
      </w:r>
      <w:r>
        <w:rPr>
          <w:rFonts w:ascii="Times New Roman" w:hAnsi="Times New Roman"/>
          <w:color w:val="000000"/>
        </w:rPr>
        <w:br w:type="textWrapping"/>
      </w:r>
      <w:r>
        <w:rPr>
          <w:rFonts w:ascii="Times New Roman" w:hAnsi="Times New Roman"/>
          <w:color w:val="000000"/>
        </w:rPr>
        <w:t>　　（2）1≤Q＜10，以 Q1 表示；</w:t>
      </w:r>
      <w:r>
        <w:rPr>
          <w:rFonts w:ascii="Times New Roman" w:hAnsi="Times New Roman"/>
          <w:color w:val="000000"/>
        </w:rPr>
        <w:br w:type="textWrapping"/>
      </w:r>
      <w:r>
        <w:rPr>
          <w:rFonts w:ascii="Times New Roman" w:hAnsi="Times New Roman"/>
          <w:color w:val="000000"/>
        </w:rPr>
        <w:t>　　（3）10≤Q＜100，以 Q2 表示；</w:t>
      </w:r>
      <w:r>
        <w:rPr>
          <w:rFonts w:ascii="Times New Roman" w:hAnsi="Times New Roman"/>
          <w:color w:val="000000"/>
        </w:rPr>
        <w:br w:type="textWrapping"/>
      </w:r>
      <w:r>
        <w:rPr>
          <w:rFonts w:ascii="Times New Roman" w:hAnsi="Times New Roman"/>
          <w:color w:val="000000"/>
        </w:rPr>
        <w:t>　　（4）Q≥100，以 Q3 表示。</w:t>
      </w:r>
    </w:p>
    <w:p>
      <w:pPr>
        <w:autoSpaceDE w:val="0"/>
        <w:autoSpaceDN w:val="0"/>
        <w:adjustRightInd w:val="0"/>
        <w:spacing w:line="360" w:lineRule="auto"/>
        <w:ind w:firstLine="480" w:firstLineChars="200"/>
        <w:rPr>
          <w:sz w:val="24"/>
        </w:rPr>
      </w:pPr>
      <w:r>
        <w:rPr>
          <w:color w:val="000000"/>
          <w:sz w:val="24"/>
        </w:rPr>
        <w:t>根据企业生产原料、产品、中间产品、副产品、催化剂、辅助生产物料、燃料、</w:t>
      </w:r>
      <w:r>
        <w:rPr>
          <w:rFonts w:hint="eastAsia"/>
          <w:color w:val="000000"/>
          <w:sz w:val="24"/>
        </w:rPr>
        <w:t>“</w:t>
      </w:r>
      <w:r>
        <w:rPr>
          <w:color w:val="000000"/>
          <w:sz w:val="24"/>
        </w:rPr>
        <w:t>三废</w:t>
      </w:r>
      <w:r>
        <w:rPr>
          <w:rFonts w:hint="eastAsia"/>
          <w:color w:val="000000"/>
          <w:sz w:val="24"/>
        </w:rPr>
        <w:t>”</w:t>
      </w:r>
      <w:r>
        <w:rPr>
          <w:color w:val="000000"/>
          <w:sz w:val="24"/>
        </w:rPr>
        <w:t>污染物使用和产生情况，参照附录A风险物质临界量，</w:t>
      </w:r>
      <w:r>
        <w:rPr>
          <w:color w:val="000000"/>
          <w:spacing w:val="1"/>
          <w:kern w:val="0"/>
          <w:sz w:val="24"/>
          <w:lang w:val="zh-CN"/>
        </w:rPr>
        <w:t>项目涉及的汽油</w:t>
      </w:r>
      <w:r>
        <w:rPr>
          <w:color w:val="000000"/>
          <w:spacing w:val="1"/>
          <w:kern w:val="0"/>
          <w:sz w:val="24"/>
        </w:rPr>
        <w:t>的临界量与项目暂存量如下表所示。</w:t>
      </w:r>
    </w:p>
    <w:p>
      <w:pPr>
        <w:autoSpaceDE w:val="0"/>
        <w:autoSpaceDN w:val="0"/>
        <w:adjustRightInd w:val="0"/>
        <w:spacing w:line="360" w:lineRule="auto"/>
        <w:ind w:firstLine="480"/>
        <w:jc w:val="center"/>
        <w:rPr>
          <w:b/>
          <w:bCs/>
          <w:color w:val="000000"/>
          <w:szCs w:val="21"/>
        </w:rPr>
      </w:pPr>
      <w:r>
        <w:rPr>
          <w:b/>
          <w:bCs/>
          <w:color w:val="000000"/>
          <w:spacing w:val="1"/>
          <w:kern w:val="0"/>
          <w:szCs w:val="21"/>
        </w:rPr>
        <w:t xml:space="preserve">表7-7 </w:t>
      </w:r>
      <w:r>
        <w:rPr>
          <w:b/>
          <w:bCs/>
          <w:color w:val="000000"/>
          <w:szCs w:val="21"/>
        </w:rPr>
        <w:t>物质的临界量与本项目暂存量一览表</w:t>
      </w:r>
    </w:p>
    <w:tbl>
      <w:tblPr>
        <w:tblStyle w:val="15"/>
        <w:tblpPr w:leftFromText="180" w:rightFromText="180" w:vertAnchor="text" w:horzAnchor="page" w:tblpX="2049" w:tblpY="113"/>
        <w:tblOverlap w:val="never"/>
        <w:tblW w:w="78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42"/>
        <w:gridCol w:w="1097"/>
        <w:gridCol w:w="1103"/>
        <w:gridCol w:w="1166"/>
        <w:gridCol w:w="1059"/>
        <w:gridCol w:w="1394"/>
        <w:gridCol w:w="9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7" w:hRule="atLeast"/>
        </w:trPr>
        <w:tc>
          <w:tcPr>
            <w:tcW w:w="1042" w:type="dxa"/>
            <w:vMerge w:val="restart"/>
            <w:vAlign w:val="center"/>
          </w:tcPr>
          <w:p>
            <w:pPr>
              <w:jc w:val="center"/>
              <w:rPr>
                <w:b/>
                <w:bCs/>
                <w:szCs w:val="21"/>
              </w:rPr>
            </w:pPr>
            <w:r>
              <w:rPr>
                <w:b/>
                <w:bCs/>
                <w:szCs w:val="21"/>
              </w:rPr>
              <w:t>物质名称</w:t>
            </w:r>
          </w:p>
        </w:tc>
        <w:tc>
          <w:tcPr>
            <w:tcW w:w="2200" w:type="dxa"/>
            <w:gridSpan w:val="2"/>
            <w:vAlign w:val="center"/>
          </w:tcPr>
          <w:p>
            <w:pPr>
              <w:jc w:val="center"/>
              <w:rPr>
                <w:b/>
                <w:bCs/>
                <w:szCs w:val="21"/>
              </w:rPr>
            </w:pPr>
            <w:r>
              <w:rPr>
                <w:b/>
                <w:bCs/>
                <w:szCs w:val="21"/>
              </w:rPr>
              <w:t>临界量（t）</w:t>
            </w:r>
          </w:p>
        </w:tc>
        <w:tc>
          <w:tcPr>
            <w:tcW w:w="2225" w:type="dxa"/>
            <w:gridSpan w:val="2"/>
            <w:vAlign w:val="center"/>
          </w:tcPr>
          <w:p>
            <w:pPr>
              <w:jc w:val="center"/>
              <w:rPr>
                <w:b/>
                <w:bCs/>
                <w:szCs w:val="21"/>
              </w:rPr>
            </w:pPr>
            <w:r>
              <w:rPr>
                <w:b/>
                <w:bCs/>
                <w:szCs w:val="21"/>
              </w:rPr>
              <w:t>实际量（t）</w:t>
            </w:r>
          </w:p>
        </w:tc>
        <w:tc>
          <w:tcPr>
            <w:tcW w:w="1394" w:type="dxa"/>
            <w:vMerge w:val="restart"/>
            <w:vAlign w:val="center"/>
          </w:tcPr>
          <w:p>
            <w:pPr>
              <w:jc w:val="center"/>
              <w:rPr>
                <w:b/>
                <w:bCs/>
                <w:szCs w:val="21"/>
              </w:rPr>
            </w:pPr>
            <w:r>
              <w:rPr>
                <w:b/>
                <w:bCs/>
                <w:szCs w:val="21"/>
              </w:rPr>
              <w:t>重大危险源</w:t>
            </w:r>
          </w:p>
        </w:tc>
        <w:tc>
          <w:tcPr>
            <w:tcW w:w="957" w:type="dxa"/>
            <w:vMerge w:val="restart"/>
            <w:vAlign w:val="center"/>
          </w:tcPr>
          <w:p>
            <w:pPr>
              <w:jc w:val="center"/>
              <w:rPr>
                <w:b/>
                <w:bCs/>
                <w:szCs w:val="21"/>
              </w:rPr>
            </w:pPr>
            <w:r>
              <w:rPr>
                <w:b/>
                <w:bCs/>
                <w:szCs w:val="21"/>
              </w:rPr>
              <w:t>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6" w:hRule="atLeast"/>
        </w:trPr>
        <w:tc>
          <w:tcPr>
            <w:tcW w:w="1042" w:type="dxa"/>
            <w:vMerge w:val="continue"/>
            <w:vAlign w:val="center"/>
          </w:tcPr>
          <w:p>
            <w:pPr>
              <w:jc w:val="center"/>
              <w:rPr>
                <w:szCs w:val="21"/>
              </w:rPr>
            </w:pPr>
          </w:p>
        </w:tc>
        <w:tc>
          <w:tcPr>
            <w:tcW w:w="1097" w:type="dxa"/>
            <w:vAlign w:val="center"/>
          </w:tcPr>
          <w:p>
            <w:pPr>
              <w:jc w:val="center"/>
              <w:rPr>
                <w:b/>
                <w:szCs w:val="21"/>
              </w:rPr>
            </w:pPr>
            <w:r>
              <w:rPr>
                <w:b/>
                <w:szCs w:val="21"/>
              </w:rPr>
              <w:t>生产场所</w:t>
            </w:r>
          </w:p>
        </w:tc>
        <w:tc>
          <w:tcPr>
            <w:tcW w:w="1103" w:type="dxa"/>
            <w:vAlign w:val="center"/>
          </w:tcPr>
          <w:p>
            <w:pPr>
              <w:jc w:val="center"/>
              <w:rPr>
                <w:b/>
                <w:szCs w:val="21"/>
              </w:rPr>
            </w:pPr>
            <w:r>
              <w:rPr>
                <w:b/>
                <w:szCs w:val="21"/>
              </w:rPr>
              <w:t>贮存区</w:t>
            </w:r>
          </w:p>
        </w:tc>
        <w:tc>
          <w:tcPr>
            <w:tcW w:w="1166" w:type="dxa"/>
            <w:vAlign w:val="center"/>
          </w:tcPr>
          <w:p>
            <w:pPr>
              <w:jc w:val="center"/>
              <w:rPr>
                <w:b/>
                <w:szCs w:val="21"/>
              </w:rPr>
            </w:pPr>
            <w:r>
              <w:rPr>
                <w:b/>
                <w:szCs w:val="21"/>
              </w:rPr>
              <w:t>生产场所</w:t>
            </w:r>
          </w:p>
        </w:tc>
        <w:tc>
          <w:tcPr>
            <w:tcW w:w="1059" w:type="dxa"/>
            <w:vAlign w:val="center"/>
          </w:tcPr>
          <w:p>
            <w:pPr>
              <w:jc w:val="center"/>
              <w:rPr>
                <w:b/>
                <w:szCs w:val="21"/>
              </w:rPr>
            </w:pPr>
            <w:r>
              <w:rPr>
                <w:b/>
                <w:szCs w:val="21"/>
              </w:rPr>
              <w:t>贮存区</w:t>
            </w:r>
          </w:p>
        </w:tc>
        <w:tc>
          <w:tcPr>
            <w:tcW w:w="1394" w:type="dxa"/>
            <w:vMerge w:val="continue"/>
            <w:vAlign w:val="center"/>
          </w:tcPr>
          <w:p>
            <w:pPr>
              <w:jc w:val="center"/>
              <w:rPr>
                <w:szCs w:val="21"/>
              </w:rPr>
            </w:pPr>
          </w:p>
        </w:tc>
        <w:tc>
          <w:tcPr>
            <w:tcW w:w="957" w:type="dxa"/>
            <w:vMerge w:val="continue"/>
            <w:vAlign w:val="center"/>
          </w:tcPr>
          <w:p>
            <w:pPr>
              <w:jc w:val="center"/>
              <w:rPr>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1042" w:type="dxa"/>
            <w:vAlign w:val="center"/>
          </w:tcPr>
          <w:p>
            <w:pPr>
              <w:jc w:val="center"/>
              <w:rPr>
                <w:szCs w:val="21"/>
              </w:rPr>
            </w:pPr>
            <w:r>
              <w:rPr>
                <w:szCs w:val="21"/>
              </w:rPr>
              <w:t>汽油</w:t>
            </w:r>
          </w:p>
        </w:tc>
        <w:tc>
          <w:tcPr>
            <w:tcW w:w="1097" w:type="dxa"/>
            <w:vAlign w:val="center"/>
          </w:tcPr>
          <w:p>
            <w:pPr>
              <w:jc w:val="center"/>
              <w:rPr>
                <w:szCs w:val="21"/>
              </w:rPr>
            </w:pPr>
            <w:r>
              <w:rPr>
                <w:szCs w:val="21"/>
              </w:rPr>
              <w:t>/</w:t>
            </w:r>
          </w:p>
        </w:tc>
        <w:tc>
          <w:tcPr>
            <w:tcW w:w="1103" w:type="dxa"/>
            <w:vAlign w:val="center"/>
          </w:tcPr>
          <w:p>
            <w:pPr>
              <w:jc w:val="center"/>
              <w:rPr>
                <w:szCs w:val="21"/>
              </w:rPr>
            </w:pPr>
            <w:r>
              <w:rPr>
                <w:szCs w:val="21"/>
              </w:rPr>
              <w:t>200t</w:t>
            </w:r>
          </w:p>
        </w:tc>
        <w:tc>
          <w:tcPr>
            <w:tcW w:w="1166" w:type="dxa"/>
            <w:vAlign w:val="center"/>
          </w:tcPr>
          <w:p>
            <w:pPr>
              <w:jc w:val="center"/>
              <w:rPr>
                <w:szCs w:val="21"/>
              </w:rPr>
            </w:pPr>
            <w:r>
              <w:rPr>
                <w:szCs w:val="21"/>
              </w:rPr>
              <w:t>/</w:t>
            </w:r>
          </w:p>
        </w:tc>
        <w:tc>
          <w:tcPr>
            <w:tcW w:w="1059" w:type="dxa"/>
            <w:vAlign w:val="center"/>
          </w:tcPr>
          <w:p>
            <w:pPr>
              <w:jc w:val="center"/>
              <w:rPr>
                <w:szCs w:val="21"/>
              </w:rPr>
            </w:pPr>
            <w:r>
              <w:rPr>
                <w:color w:val="000000" w:themeColor="text1"/>
                <w:szCs w:val="21"/>
              </w:rPr>
              <w:t>93.6</w:t>
            </w:r>
          </w:p>
        </w:tc>
        <w:tc>
          <w:tcPr>
            <w:tcW w:w="1394" w:type="dxa"/>
            <w:vAlign w:val="center"/>
          </w:tcPr>
          <w:p>
            <w:pPr>
              <w:jc w:val="center"/>
              <w:rPr>
                <w:szCs w:val="21"/>
              </w:rPr>
            </w:pPr>
            <w:r>
              <w:rPr>
                <w:rFonts w:hint="eastAsia"/>
                <w:szCs w:val="21"/>
              </w:rPr>
              <w:t>易燃易爆</w:t>
            </w:r>
          </w:p>
        </w:tc>
        <w:tc>
          <w:tcPr>
            <w:tcW w:w="957" w:type="dxa"/>
            <w:vAlign w:val="center"/>
          </w:tcPr>
          <w:p>
            <w:pPr>
              <w:jc w:val="center"/>
              <w:rPr>
                <w:szCs w:val="21"/>
              </w:rPr>
            </w:pPr>
            <w:r>
              <w:rPr>
                <w:szCs w:val="21"/>
              </w:rPr>
              <w:t>油罐区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042" w:type="dxa"/>
            <w:vAlign w:val="center"/>
          </w:tcPr>
          <w:p>
            <w:pPr>
              <w:jc w:val="center"/>
              <w:rPr>
                <w:szCs w:val="21"/>
              </w:rPr>
            </w:pPr>
          </w:p>
        </w:tc>
        <w:tc>
          <w:tcPr>
            <w:tcW w:w="4425" w:type="dxa"/>
            <w:gridSpan w:val="4"/>
            <w:vAlign w:val="center"/>
          </w:tcPr>
          <w:p>
            <w:pPr>
              <w:jc w:val="center"/>
              <w:rPr>
                <w:szCs w:val="21"/>
              </w:rPr>
            </w:pPr>
            <w:r>
              <w:rPr>
                <w:color w:val="000000" w:themeColor="text1"/>
                <w:szCs w:val="21"/>
              </w:rPr>
              <w:t>93.6/200=0.468＜1</w:t>
            </w:r>
          </w:p>
        </w:tc>
        <w:tc>
          <w:tcPr>
            <w:tcW w:w="1394" w:type="dxa"/>
            <w:vAlign w:val="center"/>
          </w:tcPr>
          <w:p>
            <w:pPr>
              <w:jc w:val="center"/>
              <w:rPr>
                <w:szCs w:val="21"/>
              </w:rPr>
            </w:pPr>
            <w:r>
              <w:rPr>
                <w:szCs w:val="21"/>
              </w:rPr>
              <w:t>否</w:t>
            </w:r>
          </w:p>
        </w:tc>
        <w:tc>
          <w:tcPr>
            <w:tcW w:w="957" w:type="dxa"/>
            <w:vAlign w:val="center"/>
          </w:tcPr>
          <w:p>
            <w:pPr>
              <w:jc w:val="center"/>
              <w:rPr>
                <w:szCs w:val="21"/>
              </w:rPr>
            </w:pPr>
          </w:p>
        </w:tc>
      </w:tr>
    </w:tbl>
    <w:p>
      <w:pPr>
        <w:autoSpaceDE w:val="0"/>
        <w:autoSpaceDN w:val="0"/>
        <w:adjustRightInd w:val="0"/>
        <w:spacing w:line="360" w:lineRule="auto"/>
        <w:ind w:firstLine="480" w:firstLineChars="200"/>
        <w:rPr>
          <w:color w:val="000000"/>
          <w:sz w:val="24"/>
        </w:rPr>
      </w:pPr>
      <w:r>
        <w:rPr>
          <w:color w:val="000000"/>
          <w:sz w:val="24"/>
        </w:rPr>
        <w:t>经计算，Q=</w:t>
      </w:r>
      <w:r>
        <w:rPr>
          <w:color w:val="000000" w:themeColor="text1"/>
          <w:sz w:val="24"/>
        </w:rPr>
        <w:t>0.468</w:t>
      </w:r>
      <w:r>
        <w:rPr>
          <w:rFonts w:hint="eastAsia"/>
          <w:color w:val="000000"/>
          <w:sz w:val="24"/>
        </w:rPr>
        <w:t>＜1</w:t>
      </w:r>
    </w:p>
    <w:p>
      <w:pPr>
        <w:autoSpaceDE w:val="0"/>
        <w:autoSpaceDN w:val="0"/>
        <w:adjustRightInd w:val="0"/>
        <w:spacing w:line="360" w:lineRule="auto"/>
        <w:ind w:firstLine="480" w:firstLineChars="200"/>
        <w:rPr>
          <w:color w:val="000000"/>
          <w:sz w:val="24"/>
        </w:rPr>
      </w:pPr>
      <w:bookmarkStart w:id="120" w:name="_Toc11700490"/>
      <w:bookmarkStart w:id="121" w:name="_Toc20900"/>
      <w:bookmarkStart w:id="122" w:name="_Toc32189"/>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312" w:beforeLines="100" w:after="156" w:afterLines="50" w:line="360" w:lineRule="auto"/>
        <w:outlineLvl w:val="0"/>
        <w:rPr>
          <w:b/>
          <w:bCs/>
          <w:color w:val="000000"/>
          <w:sz w:val="24"/>
        </w:rPr>
      </w:pPr>
      <w:bookmarkStart w:id="123" w:name="_Toc32629"/>
      <w:r>
        <w:rPr>
          <w:b/>
          <w:bCs/>
          <w:color w:val="000000"/>
          <w:sz w:val="24"/>
        </w:rPr>
        <w:t>7.2.2生产工艺过程与水环境风险控制水平（M）评估</w:t>
      </w:r>
      <w:bookmarkEnd w:id="120"/>
      <w:bookmarkEnd w:id="121"/>
      <w:bookmarkEnd w:id="122"/>
      <w:bookmarkEnd w:id="123"/>
    </w:p>
    <w:p>
      <w:pPr>
        <w:pStyle w:val="13"/>
        <w:shd w:val="clear" w:color="auto" w:fill="FFFFFF"/>
        <w:spacing w:beforeAutospacing="0" w:afterAutospacing="0" w:line="360" w:lineRule="auto"/>
        <w:ind w:firstLine="480" w:firstLineChars="200"/>
        <w:rPr>
          <w:rFonts w:ascii="Times New Roman" w:hAnsi="Times New Roman"/>
          <w:color w:val="000000"/>
          <w:kern w:val="2"/>
        </w:rPr>
      </w:pPr>
      <w:r>
        <w:rPr>
          <w:rFonts w:ascii="Times New Roman" w:hAnsi="Times New Roman"/>
          <w:color w:val="000000"/>
          <w:kern w:val="2"/>
        </w:rPr>
        <w:t>采用评分法对企业生产工艺过程、水环境风险防控措施及突发水环境事件发生情况进行评估，将各项指标分值累加，确定企业生产工艺过程与水环境风险控制水平（M）。</w:t>
      </w:r>
    </w:p>
    <w:p>
      <w:pPr>
        <w:autoSpaceDE w:val="0"/>
        <w:autoSpaceDN w:val="0"/>
        <w:adjustRightInd w:val="0"/>
        <w:snapToGrid w:val="0"/>
        <w:spacing w:before="312" w:beforeLines="100" w:after="156" w:afterLines="50" w:line="360" w:lineRule="auto"/>
        <w:outlineLvl w:val="0"/>
        <w:rPr>
          <w:color w:val="000000"/>
          <w:sz w:val="24"/>
        </w:rPr>
      </w:pPr>
      <w:bookmarkStart w:id="124" w:name="_Toc11700491"/>
      <w:bookmarkStart w:id="125" w:name="_Toc421"/>
      <w:bookmarkStart w:id="126" w:name="_Toc2533"/>
      <w:bookmarkStart w:id="127" w:name="_Toc13302"/>
      <w:r>
        <w:rPr>
          <w:b/>
          <w:bCs/>
          <w:color w:val="000000"/>
          <w:sz w:val="24"/>
        </w:rPr>
        <w:t>7.2.2.1生产工艺过程含有风险工艺和设备情况</w:t>
      </w:r>
      <w:bookmarkEnd w:id="124"/>
      <w:bookmarkEnd w:id="125"/>
      <w:bookmarkEnd w:id="126"/>
      <w:bookmarkEnd w:id="127"/>
    </w:p>
    <w:p>
      <w:pPr>
        <w:pStyle w:val="13"/>
        <w:shd w:val="clear" w:color="auto" w:fill="FFFFFF"/>
        <w:spacing w:beforeAutospacing="0" w:afterAutospacing="0" w:line="360" w:lineRule="auto"/>
        <w:ind w:firstLine="480" w:firstLineChars="200"/>
        <w:rPr>
          <w:rFonts w:ascii="Times New Roman" w:hAnsi="Times New Roman"/>
          <w:color w:val="000000"/>
          <w:kern w:val="2"/>
        </w:rPr>
      </w:pPr>
      <w:r>
        <w:rPr>
          <w:rFonts w:ascii="Times New Roman" w:hAnsi="Times New Roman"/>
          <w:color w:val="000000"/>
          <w:kern w:val="2"/>
        </w:rPr>
        <w:t>对企业生产工艺过程含有风险工艺和设备情况的评估按照工艺单元进行，具有多套工艺单元的企业，对每套工艺单元分别评分并求和，该指标分值最高为30分。生产工艺风险及设备情况按照表7-8进行判断。</w:t>
      </w:r>
    </w:p>
    <w:p>
      <w:pPr>
        <w:rPr>
          <w:b/>
          <w:bCs/>
          <w:color w:val="000000"/>
          <w:spacing w:val="1"/>
          <w:kern w:val="0"/>
          <w:szCs w:val="21"/>
        </w:rPr>
      </w:pPr>
      <w:r>
        <w:rPr>
          <w:b/>
          <w:bCs/>
          <w:color w:val="000000"/>
          <w:spacing w:val="1"/>
          <w:kern w:val="0"/>
          <w:szCs w:val="21"/>
        </w:rPr>
        <w:br w:type="page"/>
      </w:r>
    </w:p>
    <w:p>
      <w:pPr>
        <w:widowControl/>
        <w:ind w:left="1680" w:firstLine="420"/>
        <w:jc w:val="left"/>
        <w:rPr>
          <w:b/>
          <w:bCs/>
          <w:color w:val="000000"/>
          <w:spacing w:val="1"/>
          <w:kern w:val="0"/>
          <w:szCs w:val="21"/>
        </w:rPr>
      </w:pPr>
      <w:r>
        <w:rPr>
          <w:b/>
          <w:bCs/>
          <w:color w:val="000000"/>
          <w:spacing w:val="1"/>
          <w:kern w:val="0"/>
          <w:szCs w:val="21"/>
        </w:rPr>
        <w:t>表7-8  企业生产工艺风险就设备</w:t>
      </w:r>
    </w:p>
    <w:p>
      <w:pPr>
        <w:autoSpaceDE w:val="0"/>
        <w:autoSpaceDN w:val="0"/>
        <w:adjustRightInd w:val="0"/>
        <w:spacing w:line="360" w:lineRule="auto"/>
        <w:rPr>
          <w:color w:val="000000"/>
          <w:sz w:val="24"/>
        </w:rPr>
      </w:pPr>
      <w:r>
        <w:rPr>
          <w:color w:val="444444"/>
          <w:sz w:val="24"/>
          <w:shd w:val="clear" w:color="auto" w:fill="FFFFFF"/>
        </w:rPr>
        <w:drawing>
          <wp:inline distT="0" distB="0" distL="0" distR="0">
            <wp:extent cx="5204460" cy="2245360"/>
            <wp:effectExtent l="0" t="0" r="7620" b="10160"/>
            <wp:docPr id="24" name="图片 29"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descr="IMG_258"/>
                    <pic:cNvPicPr>
                      <a:picLocks noChangeAspect="1" noChangeArrowheads="1"/>
                    </pic:cNvPicPr>
                  </pic:nvPicPr>
                  <pic:blipFill>
                    <a:blip r:embed="rId36" cstate="print"/>
                    <a:srcRect t="8424" r="941"/>
                    <a:stretch>
                      <a:fillRect/>
                    </a:stretch>
                  </pic:blipFill>
                  <pic:spPr>
                    <a:xfrm>
                      <a:off x="0" y="0"/>
                      <a:ext cx="5204460" cy="2245360"/>
                    </a:xfrm>
                    <a:prstGeom prst="rect">
                      <a:avLst/>
                    </a:prstGeom>
                    <a:noFill/>
                    <a:ln w="9525">
                      <a:noFill/>
                      <a:miter lim="800000"/>
                      <a:headEnd/>
                      <a:tailEnd/>
                    </a:ln>
                  </pic:spPr>
                </pic:pic>
              </a:graphicData>
            </a:graphic>
          </wp:inline>
        </w:drawing>
      </w: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312" w:beforeLines="100" w:after="156" w:afterLines="50" w:line="360" w:lineRule="auto"/>
        <w:outlineLvl w:val="0"/>
        <w:rPr>
          <w:sz w:val="24"/>
        </w:rPr>
      </w:pPr>
      <w:bookmarkStart w:id="128" w:name="_Toc11700492"/>
      <w:bookmarkStart w:id="129" w:name="_Toc434"/>
      <w:bookmarkStart w:id="130" w:name="_Toc20916"/>
      <w:bookmarkStart w:id="131" w:name="_Toc17347"/>
      <w:r>
        <w:rPr>
          <w:b/>
          <w:bCs/>
          <w:color w:val="000000"/>
          <w:sz w:val="24"/>
        </w:rPr>
        <w:t>7.2.2.2水环境风险防控措施及突发水环境事件发生情况</w:t>
      </w:r>
      <w:bookmarkEnd w:id="128"/>
      <w:bookmarkEnd w:id="129"/>
      <w:bookmarkEnd w:id="130"/>
      <w:bookmarkEnd w:id="131"/>
    </w:p>
    <w:p>
      <w:pPr>
        <w:autoSpaceDE w:val="0"/>
        <w:autoSpaceDN w:val="0"/>
        <w:adjustRightInd w:val="0"/>
        <w:spacing w:line="360" w:lineRule="auto"/>
        <w:ind w:firstLine="484" w:firstLineChars="200"/>
        <w:rPr>
          <w:b/>
          <w:bCs/>
          <w:color w:val="FF0000"/>
          <w:sz w:val="24"/>
          <w:shd w:val="clear" w:color="auto" w:fill="FFFFFF"/>
        </w:rPr>
      </w:pPr>
      <w:r>
        <w:rPr>
          <w:color w:val="000000"/>
          <w:spacing w:val="1"/>
          <w:kern w:val="0"/>
          <w:sz w:val="24"/>
        </w:rPr>
        <w:t>企业水环境风险防控措施及突发水环境事件发生情况评估指标见表7-9。对各项评估指标分别评分、计算总和，各项指标分值合计最高为</w:t>
      </w:r>
      <w:r>
        <w:rPr>
          <w:b/>
          <w:bCs/>
          <w:color w:val="000000"/>
          <w:spacing w:val="1"/>
          <w:kern w:val="0"/>
          <w:sz w:val="24"/>
        </w:rPr>
        <w:t>70分</w:t>
      </w:r>
      <w:r>
        <w:rPr>
          <w:color w:val="000000"/>
          <w:spacing w:val="1"/>
          <w:kern w:val="0"/>
          <w:sz w:val="24"/>
        </w:rPr>
        <w:t>。</w:t>
      </w:r>
    </w:p>
    <w:p>
      <w:pPr>
        <w:pStyle w:val="2"/>
        <w:ind w:firstLine="482"/>
        <w:rPr>
          <w:rFonts w:hint="default"/>
          <w:b/>
          <w:bCs/>
          <w:szCs w:val="21"/>
          <w:shd w:val="clear" w:color="auto" w:fill="FFFFFF"/>
        </w:rPr>
      </w:pPr>
      <w:r>
        <w:rPr>
          <w:b/>
          <w:bCs/>
          <w:szCs w:val="21"/>
          <w:shd w:val="clear" w:color="auto" w:fill="FFFFFF"/>
        </w:rPr>
        <w:t>表7-9 企业水环境风险防控措施及突发水环境事件发生情况评估</w:t>
      </w:r>
    </w:p>
    <w:tbl>
      <w:tblPr>
        <w:tblStyle w:val="16"/>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2"/>
        <w:gridCol w:w="6505"/>
        <w:gridCol w:w="7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Align w:val="center"/>
          </w:tcPr>
          <w:p>
            <w:pPr>
              <w:pStyle w:val="2"/>
              <w:ind w:firstLine="0" w:firstLineChars="0"/>
              <w:jc w:val="center"/>
              <w:rPr>
                <w:rFonts w:hint="default" w:eastAsiaTheme="minorEastAsia"/>
                <w:color w:val="000000"/>
                <w:spacing w:val="1"/>
                <w:sz w:val="21"/>
                <w:szCs w:val="21"/>
              </w:rPr>
            </w:pPr>
            <w:r>
              <w:rPr>
                <w:rFonts w:hint="default" w:eastAsiaTheme="minorEastAsia"/>
                <w:color w:val="000000"/>
                <w:spacing w:val="1"/>
                <w:sz w:val="21"/>
                <w:szCs w:val="21"/>
              </w:rPr>
              <w:t>评估指标</w:t>
            </w:r>
          </w:p>
        </w:tc>
        <w:tc>
          <w:tcPr>
            <w:tcW w:w="6505" w:type="dxa"/>
            <w:vAlign w:val="center"/>
          </w:tcPr>
          <w:p>
            <w:pPr>
              <w:pStyle w:val="2"/>
              <w:ind w:firstLine="424"/>
              <w:jc w:val="center"/>
              <w:rPr>
                <w:rFonts w:hint="default" w:eastAsiaTheme="minorEastAsia"/>
                <w:color w:val="000000"/>
                <w:spacing w:val="1"/>
                <w:sz w:val="21"/>
                <w:szCs w:val="21"/>
              </w:rPr>
            </w:pPr>
            <w:r>
              <w:rPr>
                <w:rFonts w:hint="default" w:eastAsiaTheme="minorEastAsia"/>
                <w:color w:val="000000"/>
                <w:spacing w:val="1"/>
                <w:sz w:val="21"/>
                <w:szCs w:val="21"/>
              </w:rPr>
              <w:t>评估依据</w:t>
            </w:r>
          </w:p>
        </w:tc>
        <w:tc>
          <w:tcPr>
            <w:tcW w:w="785" w:type="dxa"/>
            <w:vAlign w:val="center"/>
          </w:tcPr>
          <w:p>
            <w:pPr>
              <w:pStyle w:val="2"/>
              <w:ind w:firstLine="0" w:firstLineChars="0"/>
              <w:jc w:val="center"/>
              <w:rPr>
                <w:rFonts w:hint="default" w:eastAsiaTheme="minorEastAsia"/>
                <w:color w:val="000000"/>
                <w:spacing w:val="1"/>
                <w:sz w:val="21"/>
                <w:szCs w:val="21"/>
              </w:rPr>
            </w:pPr>
            <w:r>
              <w:rPr>
                <w:rFonts w:hint="default" w:eastAsiaTheme="minorEastAsia"/>
                <w:color w:val="000000"/>
                <w:spacing w:val="1"/>
                <w:sz w:val="21"/>
                <w:szCs w:val="21"/>
              </w:rPr>
              <w:t>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ind w:firstLine="0" w:firstLineChars="0"/>
              <w:jc w:val="center"/>
              <w:rPr>
                <w:rFonts w:hint="default" w:eastAsiaTheme="minorEastAsia"/>
                <w:color w:val="000000"/>
                <w:spacing w:val="1"/>
                <w:sz w:val="21"/>
                <w:szCs w:val="21"/>
              </w:rPr>
            </w:pPr>
            <w:r>
              <w:rPr>
                <w:rFonts w:hint="default" w:eastAsiaTheme="minorEastAsia"/>
                <w:color w:val="000000"/>
                <w:spacing w:val="1"/>
                <w:sz w:val="21"/>
                <w:szCs w:val="21"/>
              </w:rPr>
              <w:t>截流措施</w:t>
            </w: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（1）环境风险单元设防渗透、防腐蚀、防淋溶、防流失措施；且</w:t>
            </w:r>
          </w:p>
          <w:p>
            <w:pPr>
              <w:jc w:val="left"/>
              <w:rPr>
                <w:rFonts w:eastAsiaTheme="minorEastAsia"/>
                <w:szCs w:val="21"/>
              </w:rPr>
            </w:pPr>
            <w:r>
              <w:rPr>
                <w:rFonts w:eastAsiaTheme="minorEastAsia"/>
                <w:szCs w:val="21"/>
              </w:rPr>
              <w:t>（2）装置围堰与罐区防火堤（围堰）外设排水切换阀，正常情况下通向雨水系统的阀门关闭，通向事故存液池、应急事故水池、清净废水排放缓冲池或污水处理系统的阀门打开；且</w:t>
            </w:r>
          </w:p>
          <w:p>
            <w:pPr>
              <w:pStyle w:val="2"/>
              <w:ind w:firstLine="0" w:firstLineChars="0"/>
              <w:rPr>
                <w:rFonts w:hint="default" w:eastAsiaTheme="minorEastAsia"/>
                <w:sz w:val="21"/>
                <w:szCs w:val="21"/>
              </w:rPr>
            </w:pPr>
            <w:r>
              <w:rPr>
                <w:rFonts w:hint="default" w:eastAsiaTheme="minorEastAsia"/>
                <w:color w:val="000000"/>
                <w:spacing w:val="1"/>
                <w:sz w:val="21"/>
                <w:szCs w:val="21"/>
              </w:rPr>
              <w:t>（3）签署措施日常管理及维护良好，有专人负责阀门转换或设置自动切换设施，保证初期雨水、泄漏物和受污染的消防水排入污水系统</w:t>
            </w:r>
          </w:p>
        </w:tc>
        <w:tc>
          <w:tcPr>
            <w:tcW w:w="785" w:type="dxa"/>
            <w:vAlign w:val="center"/>
          </w:tcPr>
          <w:p>
            <w:pPr>
              <w:pStyle w:val="2"/>
              <w:ind w:firstLine="0" w:firstLineChars="0"/>
              <w:jc w:val="center"/>
              <w:rPr>
                <w:rFonts w:hint="default" w:eastAsiaTheme="minorEastAsia"/>
                <w:color w:val="000000"/>
                <w:spacing w:val="1"/>
                <w:sz w:val="21"/>
                <w:szCs w:val="21"/>
              </w:rPr>
            </w:pPr>
            <w:r>
              <w:rPr>
                <w:rFonts w:hint="default" w:eastAsiaTheme="minorEastAsia"/>
                <w:color w:val="000000"/>
                <w:spacing w:val="1"/>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ind w:firstLine="424"/>
              <w:jc w:val="center"/>
              <w:rPr>
                <w:rFonts w:hint="default" w:eastAsiaTheme="minorEastAsia"/>
                <w:color w:val="000000"/>
                <w:spacing w:val="1"/>
                <w:sz w:val="21"/>
                <w:szCs w:val="21"/>
              </w:rPr>
            </w:pP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在任意一个环境风险单元（包括可能发生液体泄漏或产生液体泄漏物的危险废物贮存场所）的截留措施不符合上述任意一条要求的</w:t>
            </w:r>
          </w:p>
        </w:tc>
        <w:tc>
          <w:tcPr>
            <w:tcW w:w="785" w:type="dxa"/>
            <w:vAlign w:val="center"/>
          </w:tcPr>
          <w:p>
            <w:pPr>
              <w:pStyle w:val="2"/>
              <w:ind w:firstLine="0" w:firstLineChars="0"/>
              <w:jc w:val="center"/>
              <w:rPr>
                <w:rFonts w:hint="default" w:eastAsiaTheme="minorEastAsia"/>
                <w:color w:val="000000"/>
                <w:spacing w:val="1"/>
                <w:sz w:val="21"/>
                <w:szCs w:val="21"/>
              </w:rPr>
            </w:pPr>
            <w:r>
              <w:rPr>
                <w:rFonts w:hint="default" w:eastAsiaTheme="minorEastAsia"/>
                <w:color w:val="000000"/>
                <w:spacing w:val="1"/>
                <w:sz w:val="21"/>
                <w:szCs w:val="21"/>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ind w:firstLine="0" w:firstLineChars="0"/>
              <w:jc w:val="center"/>
              <w:rPr>
                <w:rFonts w:hint="default" w:eastAsiaTheme="minorEastAsia"/>
                <w:color w:val="000000"/>
                <w:spacing w:val="1"/>
                <w:sz w:val="21"/>
                <w:szCs w:val="21"/>
              </w:rPr>
            </w:pPr>
            <w:r>
              <w:rPr>
                <w:rFonts w:hint="default" w:eastAsiaTheme="minorEastAsia"/>
                <w:color w:val="000000"/>
                <w:spacing w:val="1"/>
                <w:sz w:val="21"/>
                <w:szCs w:val="21"/>
              </w:rPr>
              <w:t>事故废水收集措施</w:t>
            </w: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（1）按相关设计规范设置应急事故水池、事故存液池或清净废水排放缓冲池等事故排水收集设施，并根据相关设计规范、下游环境风险受体敏感程度和易发生极端天气情况，设计事故排水收集设施的容量；且</w:t>
            </w:r>
          </w:p>
          <w:p>
            <w:pPr>
              <w:pStyle w:val="2"/>
              <w:ind w:firstLine="0" w:firstLineChars="0"/>
              <w:rPr>
                <w:rFonts w:hint="default" w:eastAsiaTheme="minorEastAsia"/>
                <w:sz w:val="21"/>
                <w:szCs w:val="21"/>
              </w:rPr>
            </w:pPr>
            <w:r>
              <w:rPr>
                <w:rFonts w:hint="default" w:eastAsiaTheme="minorEastAsia"/>
                <w:sz w:val="21"/>
                <w:szCs w:val="21"/>
              </w:rPr>
              <w:t>（2）确保事故排水收集设施在事故状态下能顺利收集泄漏物和消防水，日常保持足够的事故排水缓冲容量；且</w:t>
            </w:r>
          </w:p>
          <w:p>
            <w:pPr>
              <w:pStyle w:val="2"/>
              <w:ind w:firstLine="0" w:firstLineChars="0"/>
              <w:rPr>
                <w:rFonts w:hint="default" w:eastAsiaTheme="minorEastAsia"/>
                <w:sz w:val="21"/>
                <w:szCs w:val="21"/>
              </w:rPr>
            </w:pPr>
            <w:r>
              <w:rPr>
                <w:rFonts w:hint="default" w:eastAsiaTheme="minorEastAsia"/>
                <w:sz w:val="21"/>
                <w:szCs w:val="21"/>
              </w:rPr>
              <w:t>（3）通过协议单位或自建管线，能将所收集废水送至厂区内污水处理设施处理</w:t>
            </w:r>
          </w:p>
        </w:tc>
        <w:tc>
          <w:tcPr>
            <w:tcW w:w="785" w:type="dxa"/>
            <w:vAlign w:val="center"/>
          </w:tcPr>
          <w:p>
            <w:pPr>
              <w:pStyle w:val="2"/>
              <w:ind w:firstLine="0" w:firstLineChars="0"/>
              <w:jc w:val="both"/>
              <w:rPr>
                <w:rFonts w:hint="default" w:eastAsiaTheme="minorEastAsia"/>
                <w:color w:val="000000"/>
                <w:spacing w:val="1"/>
                <w:sz w:val="21"/>
                <w:szCs w:val="21"/>
              </w:rPr>
            </w:pPr>
            <w:r>
              <w:rPr>
                <w:rFonts w:hint="default" w:eastAsiaTheme="minorEastAsia"/>
                <w:color w:val="000000"/>
                <w:spacing w:val="1"/>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ind w:firstLine="424"/>
              <w:jc w:val="center"/>
              <w:rPr>
                <w:rFonts w:hint="default" w:eastAsiaTheme="minorEastAsia"/>
                <w:color w:val="000000"/>
                <w:spacing w:val="1"/>
                <w:sz w:val="21"/>
                <w:szCs w:val="21"/>
              </w:rPr>
            </w:pP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在任意一个环境风险单元（包括可能发生液体泄漏或产生液体泄漏的危险废物贮存场所）的事故排水收集措施不符合上述任意一条要求的</w:t>
            </w:r>
          </w:p>
        </w:tc>
        <w:tc>
          <w:tcPr>
            <w:tcW w:w="785" w:type="dxa"/>
            <w:vAlign w:val="center"/>
          </w:tcPr>
          <w:p>
            <w:pPr>
              <w:pStyle w:val="2"/>
              <w:ind w:firstLine="0" w:firstLineChars="0"/>
              <w:jc w:val="both"/>
              <w:rPr>
                <w:rFonts w:hint="default" w:eastAsiaTheme="minorEastAsia"/>
                <w:color w:val="000000"/>
                <w:spacing w:val="1"/>
                <w:sz w:val="21"/>
                <w:szCs w:val="21"/>
              </w:rPr>
            </w:pPr>
            <w:r>
              <w:rPr>
                <w:rFonts w:hint="default" w:eastAsiaTheme="minorEastAsia"/>
                <w:color w:val="000000"/>
                <w:spacing w:val="1"/>
                <w:sz w:val="21"/>
                <w:szCs w:val="21"/>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ind w:firstLine="424"/>
              <w:jc w:val="center"/>
              <w:rPr>
                <w:rFonts w:hint="default" w:eastAsiaTheme="minorEastAsia"/>
                <w:color w:val="000000"/>
                <w:spacing w:val="1"/>
                <w:sz w:val="21"/>
                <w:szCs w:val="21"/>
              </w:rPr>
            </w:pPr>
            <w:r>
              <w:rPr>
                <w:rFonts w:hint="default" w:eastAsiaTheme="minorEastAsia"/>
                <w:color w:val="000000"/>
                <w:spacing w:val="1"/>
                <w:sz w:val="21"/>
                <w:szCs w:val="21"/>
              </w:rPr>
              <w:t>清净废水系统风险防控措施</w:t>
            </w: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（1）不涉及清净废水；或</w:t>
            </w:r>
          </w:p>
          <w:p>
            <w:pPr>
              <w:pStyle w:val="2"/>
              <w:ind w:firstLine="0" w:firstLineChars="0"/>
              <w:rPr>
                <w:rFonts w:hint="default" w:eastAsiaTheme="minorEastAsia"/>
                <w:sz w:val="21"/>
                <w:szCs w:val="21"/>
              </w:rPr>
            </w:pPr>
            <w:r>
              <w:rPr>
                <w:rFonts w:hint="default" w:eastAsiaTheme="minorEastAsia"/>
                <w:sz w:val="21"/>
                <w:szCs w:val="21"/>
              </w:rPr>
              <w:t>（2）厂区内清净废水均可排入废水处理系统；或清污分流，且清净废水系统具有下述所有措施：</w:t>
            </w:r>
          </w:p>
          <w:p>
            <w:pPr>
              <w:pStyle w:val="2"/>
              <w:ind w:firstLine="0" w:firstLineChars="0"/>
              <w:rPr>
                <w:rFonts w:hint="default" w:eastAsiaTheme="minorEastAsia"/>
                <w:sz w:val="21"/>
                <w:szCs w:val="21"/>
              </w:rPr>
            </w:pPr>
            <w:r>
              <w:rPr>
                <w:rFonts w:hint="default" w:eastAsiaTheme="minorEastAsia"/>
                <w:sz w:val="21"/>
                <w:szCs w:val="21"/>
              </w:rPr>
              <w:sym w:font="Wingdings" w:char="F081"/>
            </w:r>
            <w:r>
              <w:rPr>
                <w:rFonts w:hint="default" w:eastAsiaTheme="minorEastAsia"/>
                <w:sz w:val="21"/>
                <w:szCs w:val="21"/>
              </w:rPr>
              <w:t>具有收集受污染的清净废水的缓冲池（或收集池），池内日常保持足够的事故排水缓冲容量；池内没有提升设施或通过自留，能将所收集物送至厂区内污水处理设施处理；且</w:t>
            </w:r>
          </w:p>
          <w:p>
            <w:pPr>
              <w:pStyle w:val="2"/>
              <w:ind w:firstLine="0" w:firstLineChars="0"/>
              <w:rPr>
                <w:rFonts w:hint="default" w:eastAsiaTheme="minorEastAsia"/>
                <w:sz w:val="21"/>
                <w:szCs w:val="21"/>
              </w:rPr>
            </w:pPr>
            <w:r>
              <w:rPr>
                <w:rFonts w:hint="default" w:eastAsiaTheme="minorEastAsia"/>
                <w:sz w:val="21"/>
                <w:szCs w:val="21"/>
              </w:rPr>
              <w:sym w:font="Wingdings" w:char="F082"/>
            </w:r>
            <w:r>
              <w:rPr>
                <w:rFonts w:hint="default" w:eastAsiaTheme="minorEastAsia"/>
                <w:sz w:val="21"/>
                <w:szCs w:val="21"/>
              </w:rPr>
              <w:t>具有清净废水系统的总排扣监视及关闭设施，有专人负责在紧急情况下关闭清净废水总排口，放置受污染的清净废水和泄漏物进入外环境</w:t>
            </w:r>
          </w:p>
        </w:tc>
        <w:tc>
          <w:tcPr>
            <w:tcW w:w="785" w:type="dxa"/>
            <w:vAlign w:val="center"/>
          </w:tcPr>
          <w:p>
            <w:pPr>
              <w:pStyle w:val="2"/>
              <w:ind w:firstLine="0" w:firstLineChars="0"/>
              <w:jc w:val="both"/>
              <w:rPr>
                <w:rFonts w:hint="default" w:eastAsiaTheme="minorEastAsia"/>
                <w:color w:val="000000"/>
                <w:spacing w:val="1"/>
                <w:sz w:val="21"/>
                <w:szCs w:val="21"/>
              </w:rPr>
            </w:pPr>
            <w:r>
              <w:rPr>
                <w:rFonts w:hint="default" w:eastAsiaTheme="minorEastAsia"/>
                <w:color w:val="000000"/>
                <w:spacing w:val="1"/>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ind w:firstLine="424"/>
              <w:jc w:val="center"/>
              <w:rPr>
                <w:rFonts w:hint="default" w:eastAsiaTheme="minorEastAsia"/>
                <w:color w:val="000000"/>
                <w:spacing w:val="1"/>
                <w:sz w:val="21"/>
                <w:szCs w:val="21"/>
              </w:rPr>
            </w:pP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涉及清净废水，有任意一个环境风险单元的清净废水系统风险防控措施不符合上述（2）要求的</w:t>
            </w:r>
          </w:p>
        </w:tc>
        <w:tc>
          <w:tcPr>
            <w:tcW w:w="785" w:type="dxa"/>
            <w:vAlign w:val="center"/>
          </w:tcPr>
          <w:p>
            <w:pPr>
              <w:pStyle w:val="2"/>
              <w:ind w:firstLine="0" w:firstLineChars="0"/>
              <w:jc w:val="both"/>
              <w:rPr>
                <w:rFonts w:hint="default" w:eastAsiaTheme="minorEastAsia"/>
                <w:color w:val="000000"/>
                <w:spacing w:val="1"/>
                <w:sz w:val="21"/>
                <w:szCs w:val="21"/>
              </w:rPr>
            </w:pPr>
            <w:r>
              <w:rPr>
                <w:rFonts w:hint="default" w:eastAsiaTheme="minorEastAsia"/>
                <w:color w:val="000000"/>
                <w:spacing w:val="1"/>
                <w:sz w:val="21"/>
                <w:szCs w:val="21"/>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ind w:firstLine="424"/>
              <w:jc w:val="center"/>
              <w:rPr>
                <w:rFonts w:hint="default" w:eastAsiaTheme="minorEastAsia"/>
                <w:color w:val="000000"/>
                <w:spacing w:val="1"/>
                <w:sz w:val="21"/>
                <w:szCs w:val="21"/>
              </w:rPr>
            </w:pPr>
            <w:r>
              <w:rPr>
                <w:rFonts w:hint="default" w:eastAsiaTheme="minorEastAsia"/>
                <w:color w:val="000000"/>
                <w:spacing w:val="1"/>
                <w:sz w:val="21"/>
                <w:szCs w:val="21"/>
              </w:rPr>
              <w:t>雨水排水喜用风险防控措施</w:t>
            </w: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厂区内雨水均进入废水处理系统；或雨污分流，且雨水排水系统具有下述所有措施：</w:t>
            </w:r>
          </w:p>
          <w:p>
            <w:pPr>
              <w:pStyle w:val="2"/>
              <w:ind w:firstLine="0" w:firstLineChars="0"/>
              <w:rPr>
                <w:rFonts w:hint="default" w:eastAsiaTheme="minorEastAsia"/>
                <w:sz w:val="21"/>
                <w:szCs w:val="21"/>
              </w:rPr>
            </w:pPr>
            <w:r>
              <w:rPr>
                <w:rFonts w:hint="default" w:eastAsiaTheme="minorEastAsia"/>
                <w:sz w:val="21"/>
                <w:szCs w:val="21"/>
              </w:rPr>
              <w:sym w:font="Wingdings" w:char="F081"/>
            </w:r>
            <w:r>
              <w:rPr>
                <w:rFonts w:hint="default" w:eastAsiaTheme="minorEastAsia"/>
                <w:sz w:val="21"/>
                <w:szCs w:val="21"/>
              </w:rPr>
              <w:t>具有收集初期雨水的收集池或雨水监控池；池出水管上设置切断阀，正常情况下阀门关闭，放置受污染的雨水外排；池内设有提升设施或通过自流能将所收集物送至厂区内污水处理设施处理；</w:t>
            </w:r>
          </w:p>
          <w:p>
            <w:pPr>
              <w:pStyle w:val="2"/>
              <w:ind w:firstLine="0" w:firstLineChars="0"/>
              <w:rPr>
                <w:rFonts w:hint="default" w:eastAsiaTheme="minorEastAsia"/>
                <w:sz w:val="21"/>
                <w:szCs w:val="21"/>
              </w:rPr>
            </w:pPr>
            <w:r>
              <w:rPr>
                <w:rFonts w:hint="default" w:eastAsiaTheme="minorEastAsia"/>
                <w:sz w:val="21"/>
                <w:szCs w:val="21"/>
              </w:rPr>
              <w:sym w:font="Wingdings" w:char="F082"/>
            </w:r>
            <w:r>
              <w:rPr>
                <w:rFonts w:hint="default" w:eastAsiaTheme="minorEastAsia"/>
                <w:sz w:val="21"/>
                <w:szCs w:val="21"/>
              </w:rPr>
              <w:t>具有雨水系统总排口（含泄洪渠）监视及关闭设施，在紧急情况下有专人负责关闭雨水系统总排口（含与清净废水共用一套排水系统情况），放置雨水、消防水和泄漏物进入外环境</w:t>
            </w:r>
          </w:p>
          <w:p>
            <w:pPr>
              <w:pStyle w:val="2"/>
              <w:ind w:firstLine="0" w:firstLineChars="0"/>
              <w:rPr>
                <w:rFonts w:hint="default" w:eastAsiaTheme="minorEastAsia"/>
                <w:sz w:val="21"/>
                <w:szCs w:val="21"/>
              </w:rPr>
            </w:pPr>
            <w:r>
              <w:rPr>
                <w:rFonts w:hint="default" w:eastAsiaTheme="minorEastAsia"/>
                <w:sz w:val="21"/>
                <w:szCs w:val="21"/>
              </w:rPr>
              <w:t>（2）如果有排洪沟，排洪沟不得通过生产区和罐区，或具有防止泄漏物和受污染的消防水等流入区域排洪沟的措施。</w:t>
            </w:r>
          </w:p>
        </w:tc>
        <w:tc>
          <w:tcPr>
            <w:tcW w:w="785" w:type="dxa"/>
            <w:vAlign w:val="center"/>
          </w:tcPr>
          <w:p>
            <w:pPr>
              <w:pStyle w:val="2"/>
              <w:ind w:firstLine="0" w:firstLineChars="0"/>
              <w:jc w:val="both"/>
              <w:rPr>
                <w:rFonts w:hint="default" w:eastAsiaTheme="minorEastAsia"/>
                <w:color w:val="000000"/>
                <w:spacing w:val="1"/>
                <w:sz w:val="21"/>
                <w:szCs w:val="21"/>
              </w:rPr>
            </w:pPr>
            <w:r>
              <w:rPr>
                <w:rFonts w:hint="default" w:eastAsiaTheme="minorEastAsia"/>
                <w:color w:val="000000"/>
                <w:spacing w:val="1"/>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ind w:firstLine="424"/>
              <w:jc w:val="center"/>
              <w:rPr>
                <w:rFonts w:hint="default" w:eastAsiaTheme="minorEastAsia"/>
                <w:color w:val="000000"/>
                <w:spacing w:val="1"/>
                <w:sz w:val="21"/>
                <w:szCs w:val="21"/>
              </w:rPr>
            </w:pP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不符合上述上述要求的</w:t>
            </w:r>
          </w:p>
        </w:tc>
        <w:tc>
          <w:tcPr>
            <w:tcW w:w="785" w:type="dxa"/>
            <w:vAlign w:val="center"/>
          </w:tcPr>
          <w:p>
            <w:pPr>
              <w:pStyle w:val="2"/>
              <w:ind w:firstLine="0" w:firstLineChars="0"/>
              <w:jc w:val="both"/>
              <w:rPr>
                <w:rFonts w:hint="default" w:eastAsiaTheme="minorEastAsia"/>
                <w:color w:val="000000"/>
                <w:spacing w:val="1"/>
                <w:sz w:val="21"/>
                <w:szCs w:val="21"/>
              </w:rPr>
            </w:pPr>
            <w:r>
              <w:rPr>
                <w:rFonts w:hint="default" w:eastAsiaTheme="minorEastAsia"/>
                <w:color w:val="000000"/>
                <w:spacing w:val="1"/>
                <w:sz w:val="21"/>
                <w:szCs w:val="21"/>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ind w:firstLine="0" w:firstLineChars="0"/>
              <w:jc w:val="center"/>
              <w:rPr>
                <w:rFonts w:hint="default" w:eastAsiaTheme="minorEastAsia"/>
                <w:color w:val="000000"/>
                <w:spacing w:val="1"/>
                <w:sz w:val="21"/>
                <w:szCs w:val="21"/>
              </w:rPr>
            </w:pPr>
            <w:r>
              <w:rPr>
                <w:rFonts w:hint="default" w:eastAsiaTheme="minorEastAsia"/>
                <w:color w:val="000000"/>
                <w:spacing w:val="1"/>
                <w:sz w:val="21"/>
                <w:szCs w:val="21"/>
              </w:rPr>
              <w:t>生产废水处理系统风险防控措施</w:t>
            </w: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（1）无生产废水产生或外排；或</w:t>
            </w:r>
          </w:p>
          <w:p>
            <w:pPr>
              <w:pStyle w:val="2"/>
              <w:ind w:firstLine="0" w:firstLineChars="0"/>
              <w:rPr>
                <w:rFonts w:hint="default" w:eastAsiaTheme="minorEastAsia"/>
                <w:sz w:val="21"/>
                <w:szCs w:val="21"/>
              </w:rPr>
            </w:pPr>
            <w:r>
              <w:rPr>
                <w:rFonts w:hint="default" w:eastAsiaTheme="minorEastAsia"/>
                <w:sz w:val="21"/>
                <w:szCs w:val="21"/>
              </w:rPr>
              <w:t>（2）有废水外排时：</w:t>
            </w:r>
          </w:p>
          <w:p>
            <w:pPr>
              <w:pStyle w:val="2"/>
              <w:rPr>
                <w:rFonts w:hint="default" w:eastAsiaTheme="minorEastAsia"/>
                <w:sz w:val="21"/>
                <w:szCs w:val="21"/>
              </w:rPr>
            </w:pPr>
            <w:r>
              <w:rPr>
                <w:rFonts w:hint="default" w:eastAsiaTheme="minorEastAsia"/>
                <w:sz w:val="21"/>
                <w:szCs w:val="21"/>
              </w:rPr>
              <w:sym w:font="Wingdings" w:char="F081"/>
            </w:r>
            <w:r>
              <w:rPr>
                <w:rFonts w:hint="default" w:eastAsiaTheme="minorEastAsia"/>
                <w:sz w:val="21"/>
                <w:szCs w:val="21"/>
              </w:rPr>
              <w:t>受污染的循环冷却水、雨水、消防水等排入生产废水系统或独立处理系统；</w:t>
            </w:r>
          </w:p>
          <w:p>
            <w:pPr>
              <w:pStyle w:val="2"/>
              <w:rPr>
                <w:rFonts w:hint="default" w:eastAsiaTheme="minorEastAsia"/>
                <w:sz w:val="21"/>
                <w:szCs w:val="21"/>
              </w:rPr>
            </w:pPr>
            <w:r>
              <w:rPr>
                <w:rFonts w:hint="default" w:eastAsiaTheme="minorEastAsia"/>
                <w:sz w:val="21"/>
                <w:szCs w:val="21"/>
              </w:rPr>
              <w:sym w:font="Wingdings" w:char="F082"/>
            </w:r>
            <w:r>
              <w:rPr>
                <w:rFonts w:hint="default" w:eastAsiaTheme="minorEastAsia"/>
                <w:sz w:val="21"/>
                <w:szCs w:val="21"/>
              </w:rPr>
              <w:t>生产废水排放前设监控池，能够降不合格废水送废水处理设施处理；</w:t>
            </w:r>
          </w:p>
          <w:p>
            <w:pPr>
              <w:pStyle w:val="2"/>
              <w:rPr>
                <w:rFonts w:hint="default" w:eastAsiaTheme="minorEastAsia"/>
                <w:sz w:val="21"/>
                <w:szCs w:val="21"/>
              </w:rPr>
            </w:pPr>
            <w:r>
              <w:rPr>
                <w:rFonts w:hint="default" w:eastAsiaTheme="minorEastAsia"/>
                <w:sz w:val="21"/>
                <w:szCs w:val="21"/>
              </w:rPr>
              <w:sym w:font="Wingdings" w:char="F083"/>
            </w:r>
            <w:r>
              <w:rPr>
                <w:rFonts w:hint="default" w:eastAsiaTheme="minorEastAsia"/>
                <w:sz w:val="21"/>
                <w:szCs w:val="21"/>
              </w:rPr>
              <w:t>如企业为污染的清净废水或雨水进入废水处理系统处理，则飞鼠处理系统应设置事故水缓冲设施；</w:t>
            </w:r>
          </w:p>
          <w:p>
            <w:pPr>
              <w:pStyle w:val="2"/>
              <w:rPr>
                <w:rFonts w:hint="default" w:eastAsiaTheme="minorEastAsia"/>
                <w:sz w:val="21"/>
                <w:szCs w:val="21"/>
              </w:rPr>
            </w:pPr>
            <w:r>
              <w:rPr>
                <w:rFonts w:hint="default" w:eastAsiaTheme="minorEastAsia"/>
                <w:sz w:val="21"/>
                <w:szCs w:val="21"/>
              </w:rPr>
              <w:t>④具有生产废水总排口监视及关闭设施，有专人负责启闭，确保泄漏物、受污染的消防水、不合格废水不排出厂外</w:t>
            </w:r>
          </w:p>
        </w:tc>
        <w:tc>
          <w:tcPr>
            <w:tcW w:w="785" w:type="dxa"/>
            <w:vAlign w:val="center"/>
          </w:tcPr>
          <w:p>
            <w:pPr>
              <w:pStyle w:val="2"/>
              <w:ind w:firstLine="0" w:firstLineChars="0"/>
              <w:jc w:val="both"/>
              <w:rPr>
                <w:rFonts w:hint="default" w:eastAsiaTheme="minorEastAsia"/>
                <w:color w:val="000000"/>
                <w:spacing w:val="1"/>
                <w:sz w:val="21"/>
                <w:szCs w:val="21"/>
              </w:rPr>
            </w:pPr>
            <w:r>
              <w:rPr>
                <w:rFonts w:hint="default" w:eastAsiaTheme="minorEastAsia"/>
                <w:color w:val="000000"/>
                <w:spacing w:val="1"/>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ind w:firstLine="424"/>
              <w:jc w:val="center"/>
              <w:rPr>
                <w:rFonts w:hint="default" w:eastAsiaTheme="minorEastAsia"/>
                <w:color w:val="000000"/>
                <w:spacing w:val="1"/>
                <w:sz w:val="21"/>
                <w:szCs w:val="21"/>
              </w:rPr>
            </w:pP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涉及废水外排，且不符合上述（2）中任意一条要求的</w:t>
            </w:r>
          </w:p>
        </w:tc>
        <w:tc>
          <w:tcPr>
            <w:tcW w:w="785" w:type="dxa"/>
            <w:vAlign w:val="center"/>
          </w:tcPr>
          <w:p>
            <w:pPr>
              <w:pStyle w:val="2"/>
              <w:ind w:firstLine="0" w:firstLineChars="0"/>
              <w:jc w:val="both"/>
              <w:rPr>
                <w:rFonts w:hint="default" w:eastAsiaTheme="minorEastAsia"/>
                <w:color w:val="000000"/>
                <w:spacing w:val="1"/>
                <w:sz w:val="21"/>
                <w:szCs w:val="21"/>
              </w:rPr>
            </w:pPr>
            <w:r>
              <w:rPr>
                <w:rFonts w:hint="default" w:eastAsiaTheme="minorEastAsia"/>
                <w:color w:val="000000"/>
                <w:spacing w:val="1"/>
                <w:sz w:val="21"/>
                <w:szCs w:val="21"/>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ind w:firstLine="0" w:firstLineChars="0"/>
              <w:jc w:val="center"/>
              <w:rPr>
                <w:rFonts w:hint="default" w:eastAsiaTheme="minorEastAsia"/>
                <w:color w:val="000000"/>
                <w:spacing w:val="1"/>
                <w:sz w:val="21"/>
                <w:szCs w:val="21"/>
              </w:rPr>
            </w:pPr>
            <w:r>
              <w:rPr>
                <w:rFonts w:hint="default" w:eastAsiaTheme="minorEastAsia"/>
                <w:color w:val="000000"/>
                <w:spacing w:val="1"/>
                <w:sz w:val="21"/>
                <w:szCs w:val="21"/>
              </w:rPr>
              <w:t>废水排放去向</w:t>
            </w: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无生产废水产生或外排</w:t>
            </w:r>
          </w:p>
        </w:tc>
        <w:tc>
          <w:tcPr>
            <w:tcW w:w="785" w:type="dxa"/>
            <w:vAlign w:val="center"/>
          </w:tcPr>
          <w:p>
            <w:pPr>
              <w:pStyle w:val="2"/>
              <w:ind w:firstLine="0" w:firstLineChars="0"/>
              <w:jc w:val="both"/>
              <w:rPr>
                <w:rFonts w:hint="default" w:eastAsiaTheme="minorEastAsia"/>
                <w:color w:val="000000"/>
                <w:spacing w:val="1"/>
                <w:sz w:val="21"/>
                <w:szCs w:val="21"/>
              </w:rPr>
            </w:pPr>
            <w:r>
              <w:rPr>
                <w:rFonts w:eastAsiaTheme="minorEastAsia"/>
                <w:color w:val="000000"/>
                <w:spacing w:val="1"/>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ind w:firstLine="424"/>
              <w:jc w:val="center"/>
              <w:rPr>
                <w:rFonts w:hint="default" w:eastAsiaTheme="minorEastAsia"/>
                <w:color w:val="000000"/>
                <w:spacing w:val="1"/>
                <w:sz w:val="21"/>
                <w:szCs w:val="21"/>
              </w:rPr>
            </w:pPr>
          </w:p>
        </w:tc>
        <w:tc>
          <w:tcPr>
            <w:tcW w:w="6505" w:type="dxa"/>
            <w:vAlign w:val="center"/>
          </w:tcPr>
          <w:p>
            <w:pPr>
              <w:pStyle w:val="2"/>
              <w:ind w:firstLine="0" w:firstLineChars="0"/>
              <w:rPr>
                <w:rFonts w:hint="default" w:eastAsiaTheme="minorEastAsia"/>
                <w:sz w:val="21"/>
                <w:szCs w:val="21"/>
              </w:rPr>
            </w:pPr>
            <w:r>
              <w:rPr>
                <w:rFonts w:hint="default" w:eastAsiaTheme="minorEastAsia"/>
                <w:sz w:val="21"/>
                <w:szCs w:val="21"/>
              </w:rPr>
              <w:t>（1）已发获取污水排入排水管网许可，进入城镇污水处理厂；或</w:t>
            </w:r>
          </w:p>
          <w:p>
            <w:pPr>
              <w:pStyle w:val="2"/>
              <w:ind w:firstLine="0" w:firstLineChars="0"/>
              <w:rPr>
                <w:rFonts w:hint="default" w:eastAsiaTheme="minorEastAsia"/>
                <w:sz w:val="21"/>
                <w:szCs w:val="21"/>
              </w:rPr>
            </w:pPr>
            <w:r>
              <w:rPr>
                <w:rFonts w:hint="default" w:eastAsiaTheme="minorEastAsia"/>
                <w:sz w:val="21"/>
                <w:szCs w:val="21"/>
              </w:rPr>
              <w:t>（2）进入工业废水集中处理厂；或</w:t>
            </w:r>
          </w:p>
          <w:p>
            <w:pPr>
              <w:pStyle w:val="2"/>
              <w:ind w:firstLine="0" w:firstLineChars="0"/>
              <w:rPr>
                <w:rFonts w:hint="default" w:eastAsiaTheme="minorEastAsia"/>
                <w:sz w:val="21"/>
                <w:szCs w:val="21"/>
              </w:rPr>
            </w:pPr>
            <w:r>
              <w:rPr>
                <w:rFonts w:hint="default" w:eastAsiaTheme="minorEastAsia"/>
                <w:sz w:val="21"/>
                <w:szCs w:val="21"/>
              </w:rPr>
              <w:t>（3）进入其他单位</w:t>
            </w:r>
          </w:p>
        </w:tc>
        <w:tc>
          <w:tcPr>
            <w:tcW w:w="785" w:type="dxa"/>
            <w:vAlign w:val="center"/>
          </w:tcPr>
          <w:p>
            <w:pPr>
              <w:pStyle w:val="2"/>
              <w:ind w:firstLine="0" w:firstLineChars="0"/>
              <w:jc w:val="both"/>
              <w:rPr>
                <w:rFonts w:hint="default" w:eastAsiaTheme="minorEastAsia"/>
                <w:color w:val="000000"/>
                <w:spacing w:val="1"/>
                <w:sz w:val="21"/>
                <w:szCs w:val="21"/>
              </w:rPr>
            </w:pPr>
            <w:r>
              <w:rPr>
                <w:rFonts w:eastAsiaTheme="minorEastAsia"/>
                <w:color w:val="000000"/>
                <w:spacing w:val="1"/>
                <w:sz w:val="21"/>
                <w:szCs w:val="21"/>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ind w:firstLine="424"/>
              <w:jc w:val="center"/>
              <w:rPr>
                <w:rFonts w:hint="default" w:eastAsiaTheme="minorEastAsia"/>
                <w:color w:val="000000"/>
                <w:spacing w:val="1"/>
                <w:sz w:val="21"/>
                <w:szCs w:val="21"/>
              </w:rPr>
            </w:pPr>
          </w:p>
        </w:tc>
        <w:tc>
          <w:tcPr>
            <w:tcW w:w="6505" w:type="dxa"/>
            <w:vAlign w:val="center"/>
          </w:tcPr>
          <w:p>
            <w:pPr>
              <w:pStyle w:val="2"/>
              <w:ind w:firstLine="0" w:firstLineChars="0"/>
              <w:rPr>
                <w:rFonts w:hint="default"/>
              </w:rPr>
            </w:pPr>
            <w:r>
              <w:rPr>
                <w:rFonts w:hint="default"/>
              </w:rPr>
              <w:t>（1）直接进入海域或进入江、河</w:t>
            </w:r>
            <w:r>
              <w:t>、湖、库等水环境；或</w:t>
            </w:r>
          </w:p>
          <w:p>
            <w:pPr>
              <w:pStyle w:val="2"/>
              <w:ind w:firstLine="0" w:firstLineChars="0"/>
              <w:rPr>
                <w:rFonts w:hint="default"/>
              </w:rPr>
            </w:pPr>
            <w:r>
              <w:rPr>
                <w:rFonts w:hint="default"/>
              </w:rPr>
              <w:t>（2）</w:t>
            </w:r>
            <w:r>
              <w:t>进入城市下水道再入</w:t>
            </w:r>
            <w:r>
              <w:rPr>
                <w:rFonts w:hint="default"/>
              </w:rPr>
              <w:t>江、河</w:t>
            </w:r>
            <w:r>
              <w:t>、湖、库或在进入海域；或</w:t>
            </w:r>
          </w:p>
          <w:p>
            <w:pPr>
              <w:pStyle w:val="2"/>
              <w:ind w:firstLine="0" w:firstLineChars="0"/>
              <w:rPr>
                <w:rFonts w:hint="default"/>
              </w:rPr>
            </w:pPr>
            <w:r>
              <w:rPr>
                <w:rFonts w:hint="default"/>
              </w:rPr>
              <w:t>（3）</w:t>
            </w:r>
            <w:r>
              <w:t>未依法取得污水排入排水管网许可，进入城镇污水处理厂；或</w:t>
            </w:r>
          </w:p>
          <w:p>
            <w:r>
              <w:rPr>
                <w:rFonts w:hint="eastAsia" w:eastAsiaTheme="minorEastAsia"/>
                <w:szCs w:val="21"/>
              </w:rPr>
              <w:t>（4）直接进入污灌农田或蒸发池</w:t>
            </w:r>
          </w:p>
        </w:tc>
        <w:tc>
          <w:tcPr>
            <w:tcW w:w="785" w:type="dxa"/>
            <w:vAlign w:val="center"/>
          </w:tcPr>
          <w:p>
            <w:pPr>
              <w:pStyle w:val="2"/>
              <w:ind w:firstLine="0" w:firstLineChars="0"/>
              <w:jc w:val="both"/>
              <w:rPr>
                <w:rFonts w:hint="default" w:eastAsiaTheme="minorEastAsia"/>
                <w:color w:val="000000"/>
                <w:spacing w:val="1"/>
                <w:sz w:val="21"/>
                <w:szCs w:val="21"/>
              </w:rPr>
            </w:pPr>
            <w:r>
              <w:rPr>
                <w:rFonts w:eastAsiaTheme="minorEastAsia"/>
                <w:color w:val="000000"/>
                <w:spacing w:val="1"/>
                <w:sz w:val="21"/>
                <w:szCs w:val="21"/>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ind w:firstLine="0" w:firstLineChars="0"/>
              <w:jc w:val="both"/>
              <w:rPr>
                <w:rFonts w:hint="default" w:eastAsiaTheme="minorEastAsia"/>
                <w:color w:val="000000"/>
                <w:spacing w:val="1"/>
                <w:sz w:val="21"/>
                <w:szCs w:val="21"/>
              </w:rPr>
            </w:pPr>
            <w:r>
              <w:rPr>
                <w:rFonts w:eastAsiaTheme="minorEastAsia"/>
                <w:color w:val="000000"/>
                <w:spacing w:val="1"/>
                <w:sz w:val="21"/>
                <w:szCs w:val="21"/>
              </w:rPr>
              <w:t>厂内危险废物环境管理</w:t>
            </w:r>
          </w:p>
        </w:tc>
        <w:tc>
          <w:tcPr>
            <w:tcW w:w="6505" w:type="dxa"/>
            <w:vAlign w:val="center"/>
          </w:tcPr>
          <w:p>
            <w:r>
              <w:rPr>
                <w:rFonts w:hint="eastAsia"/>
              </w:rPr>
              <w:t>（1）不涉及危险废物的；或</w:t>
            </w:r>
          </w:p>
          <w:p>
            <w:pPr>
              <w:pStyle w:val="2"/>
              <w:ind w:firstLine="0" w:firstLineChars="0"/>
              <w:rPr>
                <w:rFonts w:hint="default"/>
              </w:rPr>
            </w:pPr>
            <w:r>
              <w:rPr>
                <w:rFonts w:eastAsiaTheme="minorEastAsia"/>
                <w:sz w:val="21"/>
                <w:szCs w:val="21"/>
              </w:rPr>
              <w:t>（2）针对危险废物区分贮存、运输、利用、处置具有完善的专业设施和风险防控措施</w:t>
            </w:r>
          </w:p>
        </w:tc>
        <w:tc>
          <w:tcPr>
            <w:tcW w:w="785" w:type="dxa"/>
            <w:vAlign w:val="center"/>
          </w:tcPr>
          <w:p>
            <w:pPr>
              <w:pStyle w:val="2"/>
              <w:ind w:firstLine="0" w:firstLineChars="0"/>
              <w:jc w:val="both"/>
              <w:rPr>
                <w:rFonts w:hint="default" w:eastAsiaTheme="minorEastAsia"/>
                <w:color w:val="000000"/>
                <w:spacing w:val="1"/>
                <w:sz w:val="21"/>
                <w:szCs w:val="21"/>
              </w:rPr>
            </w:pPr>
            <w:r>
              <w:rPr>
                <w:rFonts w:eastAsiaTheme="minorEastAsia"/>
                <w:color w:val="000000"/>
                <w:spacing w:val="1"/>
                <w:sz w:val="21"/>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ind w:firstLine="424"/>
              <w:jc w:val="center"/>
              <w:rPr>
                <w:rFonts w:hint="default" w:eastAsiaTheme="minorEastAsia"/>
                <w:color w:val="000000"/>
                <w:spacing w:val="1"/>
                <w:sz w:val="21"/>
                <w:szCs w:val="21"/>
              </w:rPr>
            </w:pPr>
          </w:p>
        </w:tc>
        <w:tc>
          <w:tcPr>
            <w:tcW w:w="6505" w:type="dxa"/>
            <w:vAlign w:val="center"/>
          </w:tcPr>
          <w:p>
            <w:pPr>
              <w:rPr>
                <w:rFonts w:eastAsiaTheme="minorEastAsia"/>
                <w:szCs w:val="21"/>
              </w:rPr>
            </w:pPr>
            <w:r>
              <w:rPr>
                <w:rFonts w:hint="eastAsia" w:eastAsiaTheme="minorEastAsia"/>
                <w:szCs w:val="21"/>
              </w:rPr>
              <w:t>不具备完善的危险废物贮存、运输、利用、处置设施和风险防控措施</w:t>
            </w:r>
          </w:p>
        </w:tc>
        <w:tc>
          <w:tcPr>
            <w:tcW w:w="785" w:type="dxa"/>
            <w:vAlign w:val="center"/>
          </w:tcPr>
          <w:p>
            <w:pPr>
              <w:pStyle w:val="2"/>
              <w:ind w:firstLine="0" w:firstLineChars="0"/>
              <w:jc w:val="center"/>
              <w:rPr>
                <w:rFonts w:hint="default" w:eastAsiaTheme="minorEastAsia"/>
                <w:color w:val="000000"/>
                <w:spacing w:val="1"/>
                <w:sz w:val="21"/>
                <w:szCs w:val="21"/>
              </w:rPr>
            </w:pPr>
            <w:r>
              <w:rPr>
                <w:rFonts w:eastAsiaTheme="minorEastAsia"/>
                <w:color w:val="000000"/>
                <w:spacing w:val="1"/>
                <w:sz w:val="21"/>
                <w:szCs w:val="21"/>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restart"/>
            <w:vAlign w:val="center"/>
          </w:tcPr>
          <w:p>
            <w:pPr>
              <w:pStyle w:val="2"/>
              <w:ind w:firstLine="0" w:firstLineChars="0"/>
              <w:jc w:val="center"/>
              <w:rPr>
                <w:rFonts w:hint="default" w:eastAsiaTheme="minorEastAsia"/>
                <w:color w:val="000000"/>
                <w:spacing w:val="1"/>
                <w:sz w:val="21"/>
                <w:szCs w:val="21"/>
              </w:rPr>
            </w:pPr>
            <w:r>
              <w:rPr>
                <w:rFonts w:eastAsiaTheme="minorEastAsia"/>
                <w:color w:val="000000"/>
                <w:spacing w:val="1"/>
                <w:sz w:val="21"/>
                <w:szCs w:val="21"/>
              </w:rPr>
              <w:t>近3年内突发水环境时间发生情况</w:t>
            </w:r>
          </w:p>
        </w:tc>
        <w:tc>
          <w:tcPr>
            <w:tcW w:w="6505" w:type="dxa"/>
            <w:vAlign w:val="center"/>
          </w:tcPr>
          <w:p>
            <w:pPr>
              <w:rPr>
                <w:rFonts w:eastAsiaTheme="minorEastAsia"/>
                <w:szCs w:val="21"/>
              </w:rPr>
            </w:pPr>
            <w:r>
              <w:rPr>
                <w:rFonts w:hint="eastAsia" w:eastAsiaTheme="minorEastAsia"/>
                <w:szCs w:val="21"/>
              </w:rPr>
              <w:t>发生过特别重大及重大等级突发水环境事件的</w:t>
            </w:r>
          </w:p>
        </w:tc>
        <w:tc>
          <w:tcPr>
            <w:tcW w:w="785" w:type="dxa"/>
            <w:vAlign w:val="center"/>
          </w:tcPr>
          <w:p>
            <w:pPr>
              <w:pStyle w:val="2"/>
              <w:ind w:firstLine="424"/>
              <w:jc w:val="center"/>
              <w:rPr>
                <w:rFonts w:hint="default" w:eastAsiaTheme="minorEastAsia"/>
                <w:color w:val="000000"/>
                <w:spacing w:val="1"/>
                <w:sz w:val="21"/>
                <w:szCs w:val="21"/>
              </w:rPr>
            </w:pPr>
            <w:r>
              <w:rPr>
                <w:rFonts w:eastAsiaTheme="minorEastAsia"/>
                <w:color w:val="000000"/>
                <w:spacing w:val="1"/>
                <w:sz w:val="21"/>
                <w:szCs w:val="21"/>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ind w:firstLine="424"/>
              <w:jc w:val="center"/>
              <w:rPr>
                <w:rFonts w:hint="default" w:eastAsiaTheme="minorEastAsia"/>
                <w:color w:val="000000"/>
                <w:spacing w:val="1"/>
                <w:sz w:val="21"/>
                <w:szCs w:val="21"/>
              </w:rPr>
            </w:pPr>
          </w:p>
        </w:tc>
        <w:tc>
          <w:tcPr>
            <w:tcW w:w="6505" w:type="dxa"/>
            <w:vAlign w:val="center"/>
          </w:tcPr>
          <w:p>
            <w:pPr>
              <w:rPr>
                <w:rFonts w:eastAsiaTheme="minorEastAsia"/>
                <w:szCs w:val="21"/>
              </w:rPr>
            </w:pPr>
            <w:r>
              <w:rPr>
                <w:rFonts w:hint="eastAsia" w:eastAsiaTheme="minorEastAsia"/>
                <w:szCs w:val="21"/>
              </w:rPr>
              <w:t>发生过较大等级突发水环境事件的</w:t>
            </w:r>
          </w:p>
        </w:tc>
        <w:tc>
          <w:tcPr>
            <w:tcW w:w="785" w:type="dxa"/>
            <w:vAlign w:val="center"/>
          </w:tcPr>
          <w:p>
            <w:pPr>
              <w:pStyle w:val="2"/>
              <w:ind w:firstLine="424"/>
              <w:jc w:val="center"/>
              <w:rPr>
                <w:rFonts w:hint="default" w:eastAsiaTheme="minorEastAsia"/>
                <w:color w:val="000000"/>
                <w:spacing w:val="1"/>
                <w:sz w:val="21"/>
                <w:szCs w:val="21"/>
              </w:rPr>
            </w:pPr>
            <w:r>
              <w:rPr>
                <w:rFonts w:eastAsiaTheme="minorEastAsia"/>
                <w:color w:val="000000"/>
                <w:spacing w:val="1"/>
                <w:sz w:val="21"/>
                <w:szCs w:val="21"/>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ind w:firstLine="424"/>
              <w:jc w:val="center"/>
              <w:rPr>
                <w:rFonts w:hint="default" w:eastAsiaTheme="minorEastAsia"/>
                <w:color w:val="000000"/>
                <w:spacing w:val="1"/>
                <w:sz w:val="21"/>
                <w:szCs w:val="21"/>
              </w:rPr>
            </w:pPr>
          </w:p>
        </w:tc>
        <w:tc>
          <w:tcPr>
            <w:tcW w:w="6505" w:type="dxa"/>
            <w:vAlign w:val="center"/>
          </w:tcPr>
          <w:p>
            <w:pPr>
              <w:rPr>
                <w:rFonts w:eastAsiaTheme="minorEastAsia"/>
                <w:szCs w:val="21"/>
              </w:rPr>
            </w:pPr>
            <w:r>
              <w:rPr>
                <w:rFonts w:hint="eastAsia" w:eastAsiaTheme="minorEastAsia"/>
                <w:szCs w:val="21"/>
              </w:rPr>
              <w:t>发生过一般等级突发水环境的</w:t>
            </w:r>
          </w:p>
        </w:tc>
        <w:tc>
          <w:tcPr>
            <w:tcW w:w="785" w:type="dxa"/>
            <w:vAlign w:val="center"/>
          </w:tcPr>
          <w:p>
            <w:pPr>
              <w:pStyle w:val="2"/>
              <w:ind w:firstLine="424"/>
              <w:jc w:val="center"/>
              <w:rPr>
                <w:rFonts w:hint="default" w:eastAsiaTheme="minorEastAsia"/>
                <w:color w:val="000000"/>
                <w:spacing w:val="1"/>
                <w:sz w:val="21"/>
                <w:szCs w:val="21"/>
              </w:rPr>
            </w:pPr>
            <w:r>
              <w:rPr>
                <w:rFonts w:eastAsiaTheme="minorEastAsia"/>
                <w:color w:val="000000"/>
                <w:spacing w:val="1"/>
                <w:sz w:val="21"/>
                <w:szCs w:val="21"/>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vMerge w:val="continue"/>
            <w:vAlign w:val="center"/>
          </w:tcPr>
          <w:p>
            <w:pPr>
              <w:pStyle w:val="2"/>
              <w:ind w:firstLine="424"/>
              <w:jc w:val="center"/>
              <w:rPr>
                <w:rFonts w:hint="default" w:eastAsiaTheme="minorEastAsia"/>
                <w:color w:val="000000"/>
                <w:spacing w:val="1"/>
                <w:sz w:val="21"/>
                <w:szCs w:val="21"/>
              </w:rPr>
            </w:pPr>
          </w:p>
        </w:tc>
        <w:tc>
          <w:tcPr>
            <w:tcW w:w="6505" w:type="dxa"/>
            <w:vAlign w:val="center"/>
          </w:tcPr>
          <w:p>
            <w:pPr>
              <w:rPr>
                <w:rFonts w:eastAsiaTheme="minorEastAsia"/>
                <w:szCs w:val="21"/>
              </w:rPr>
            </w:pPr>
            <w:r>
              <w:rPr>
                <w:rFonts w:hint="eastAsia" w:eastAsiaTheme="minorEastAsia"/>
                <w:szCs w:val="21"/>
              </w:rPr>
              <w:t>未发生突发水环境事件的</w:t>
            </w:r>
          </w:p>
        </w:tc>
        <w:tc>
          <w:tcPr>
            <w:tcW w:w="785" w:type="dxa"/>
            <w:vAlign w:val="center"/>
          </w:tcPr>
          <w:p>
            <w:pPr>
              <w:pStyle w:val="2"/>
              <w:ind w:firstLine="424"/>
              <w:jc w:val="center"/>
              <w:rPr>
                <w:rFonts w:hint="default" w:eastAsiaTheme="minorEastAsia"/>
                <w:color w:val="000000"/>
                <w:spacing w:val="1"/>
                <w:sz w:val="21"/>
                <w:szCs w:val="21"/>
              </w:rPr>
            </w:pPr>
            <w:r>
              <w:rPr>
                <w:rFonts w:eastAsiaTheme="minorEastAsia"/>
                <w:color w:val="000000"/>
                <w:spacing w:val="1"/>
                <w:sz w:val="21"/>
                <w:szCs w:val="21"/>
              </w:rPr>
              <w:t>0</w:t>
            </w:r>
          </w:p>
        </w:tc>
      </w:tr>
    </w:tbl>
    <w:p>
      <w:pPr>
        <w:pStyle w:val="2"/>
        <w:ind w:firstLine="0" w:firstLineChars="0"/>
        <w:rPr>
          <w:rFonts w:hint="default"/>
          <w:color w:val="444444"/>
          <w:shd w:val="clear" w:color="auto" w:fill="FFFFFF"/>
        </w:rPr>
      </w:pPr>
      <w:r>
        <w:rPr>
          <w:sz w:val="18"/>
          <w:szCs w:val="18"/>
        </w:rPr>
        <w:t>注：本表中相关规范具体指GB 50483、GB 50160、GB 50351、GB 50747、SH3015</w:t>
      </w:r>
    </w:p>
    <w:p>
      <w:pPr>
        <w:autoSpaceDE w:val="0"/>
        <w:autoSpaceDN w:val="0"/>
        <w:adjustRightInd w:val="0"/>
        <w:spacing w:line="360" w:lineRule="auto"/>
        <w:rPr>
          <w:color w:val="000000"/>
          <w:sz w:val="24"/>
        </w:rPr>
      </w:pP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312" w:beforeLines="100" w:after="156" w:afterLines="50" w:line="360" w:lineRule="auto"/>
        <w:outlineLvl w:val="0"/>
        <w:rPr>
          <w:color w:val="3E3E3E"/>
          <w:sz w:val="24"/>
          <w:shd w:val="clear" w:color="auto" w:fill="FFFFFF"/>
        </w:rPr>
      </w:pPr>
      <w:bookmarkStart w:id="132" w:name="_Toc8067"/>
      <w:bookmarkStart w:id="133" w:name="_Toc11700493"/>
      <w:bookmarkStart w:id="134" w:name="_Toc10160"/>
      <w:bookmarkStart w:id="135" w:name="_Toc6175"/>
      <w:r>
        <w:rPr>
          <w:b/>
          <w:bCs/>
          <w:color w:val="000000"/>
          <w:sz w:val="24"/>
        </w:rPr>
        <w:t>7.2.2.3企业生产工艺过程与水环境风险控制水平</w:t>
      </w:r>
      <w:bookmarkEnd w:id="132"/>
      <w:bookmarkEnd w:id="133"/>
      <w:bookmarkEnd w:id="134"/>
      <w:bookmarkEnd w:id="135"/>
    </w:p>
    <w:p>
      <w:pPr>
        <w:pStyle w:val="13"/>
        <w:shd w:val="clear" w:color="auto" w:fill="FFFFFF"/>
        <w:spacing w:beforeAutospacing="0" w:afterAutospacing="0" w:line="360" w:lineRule="auto"/>
        <w:ind w:firstLine="484" w:firstLineChars="200"/>
        <w:rPr>
          <w:rFonts w:ascii="Times New Roman" w:hAnsi="Times New Roman"/>
          <w:color w:val="000000"/>
          <w:spacing w:val="1"/>
        </w:rPr>
      </w:pPr>
      <w:r>
        <w:rPr>
          <w:rFonts w:ascii="Times New Roman" w:hAnsi="Times New Roman"/>
          <w:color w:val="000000"/>
          <w:spacing w:val="1"/>
        </w:rPr>
        <w:t>将企业生产工艺过程、水环境风险防控措施及突发水环境事件发生情况各项指标评估分值累加，得出生产工艺过程与水环境风险控制水平值，按照表7-10划分为4个类型。</w:t>
      </w:r>
    </w:p>
    <w:p>
      <w:pPr>
        <w:pStyle w:val="2"/>
        <w:spacing w:line="240" w:lineRule="auto"/>
        <w:ind w:firstLine="426"/>
        <w:jc w:val="center"/>
        <w:rPr>
          <w:rFonts w:hint="default"/>
          <w:b/>
          <w:bCs/>
          <w:sz w:val="21"/>
          <w:szCs w:val="21"/>
        </w:rPr>
      </w:pPr>
      <w:r>
        <w:rPr>
          <w:rFonts w:hint="default"/>
          <w:b/>
          <w:bCs/>
          <w:color w:val="000000"/>
          <w:spacing w:val="1"/>
          <w:sz w:val="21"/>
          <w:szCs w:val="21"/>
        </w:rPr>
        <w:t>表7-10 企业生产工艺过程与环境风险控制水平类型划分</w:t>
      </w:r>
    </w:p>
    <w:p>
      <w:pPr>
        <w:autoSpaceDE w:val="0"/>
        <w:autoSpaceDN w:val="0"/>
        <w:adjustRightInd w:val="0"/>
        <w:spacing w:line="360" w:lineRule="auto"/>
        <w:rPr>
          <w:color w:val="444444"/>
          <w:shd w:val="clear" w:color="auto" w:fill="FFFFFF"/>
        </w:rPr>
      </w:pPr>
      <w:r>
        <w:rPr>
          <w:color w:val="444444"/>
          <w:shd w:val="clear" w:color="auto" w:fill="FFFFFF"/>
        </w:rPr>
        <w:drawing>
          <wp:inline distT="0" distB="0" distL="0" distR="0">
            <wp:extent cx="5305425" cy="1238250"/>
            <wp:effectExtent l="0" t="0" r="13335" b="11430"/>
            <wp:docPr id="31" name="图片 32"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2" descr="IMG_260"/>
                    <pic:cNvPicPr>
                      <a:picLocks noChangeAspect="1" noChangeArrowheads="1"/>
                    </pic:cNvPicPr>
                  </pic:nvPicPr>
                  <pic:blipFill>
                    <a:blip r:embed="rId38" cstate="print"/>
                    <a:srcRect t="11890" r="162"/>
                    <a:stretch>
                      <a:fillRect/>
                    </a:stretch>
                  </pic:blipFill>
                  <pic:spPr>
                    <a:xfrm>
                      <a:off x="0" y="0"/>
                      <a:ext cx="5305425" cy="1238250"/>
                    </a:xfrm>
                    <a:prstGeom prst="rect">
                      <a:avLst/>
                    </a:prstGeom>
                    <a:noFill/>
                    <a:ln w="9525">
                      <a:noFill/>
                      <a:miter lim="800000"/>
                      <a:headEnd/>
                      <a:tailEnd/>
                    </a:ln>
                  </pic:spPr>
                </pic:pic>
              </a:graphicData>
            </a:graphic>
          </wp:inline>
        </w:drawing>
      </w: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line="360" w:lineRule="auto"/>
        <w:outlineLvl w:val="0"/>
        <w:rPr>
          <w:b/>
          <w:bCs/>
          <w:color w:val="000000"/>
          <w:sz w:val="24"/>
        </w:rPr>
      </w:pPr>
      <w:bookmarkStart w:id="136" w:name="_Toc8590"/>
      <w:bookmarkStart w:id="137" w:name="_Toc11700494"/>
      <w:bookmarkStart w:id="138" w:name="_Toc9974"/>
      <w:bookmarkStart w:id="139" w:name="_Toc11443"/>
      <w:r>
        <w:rPr>
          <w:b/>
          <w:bCs/>
          <w:color w:val="000000"/>
          <w:sz w:val="24"/>
        </w:rPr>
        <w:t>7.2.3水环境风险受体敏感程度（E）评估</w:t>
      </w:r>
      <w:bookmarkEnd w:id="136"/>
      <w:bookmarkEnd w:id="137"/>
      <w:bookmarkEnd w:id="138"/>
      <w:bookmarkEnd w:id="139"/>
    </w:p>
    <w:p>
      <w:pPr>
        <w:autoSpaceDE w:val="0"/>
        <w:autoSpaceDN w:val="0"/>
        <w:adjustRightInd w:val="0"/>
        <w:spacing w:line="360" w:lineRule="auto"/>
        <w:ind w:firstLine="480"/>
        <w:rPr>
          <w:color w:val="000000"/>
          <w:spacing w:val="1"/>
          <w:kern w:val="0"/>
          <w:sz w:val="24"/>
        </w:rPr>
      </w:pPr>
      <w:r>
        <w:rPr>
          <w:color w:val="000000"/>
          <w:spacing w:val="1"/>
          <w:kern w:val="0"/>
          <w:sz w:val="24"/>
        </w:rPr>
        <w:t>按照水环境风险受体敏感程度，同时考虑河流跨界的情况和可能造成土壤污染的情况，将水环境风险受体敏感程度类型划分为类型 1、类型 2 和类型 3，分别以 E1、E2 和 E3 表示，见表7-11。</w:t>
      </w:r>
      <w:r>
        <w:rPr>
          <w:color w:val="000000"/>
          <w:spacing w:val="1"/>
          <w:kern w:val="0"/>
          <w:sz w:val="24"/>
        </w:rPr>
        <w:br w:type="textWrapping"/>
      </w:r>
      <w:r>
        <w:rPr>
          <w:color w:val="000000"/>
          <w:spacing w:val="1"/>
          <w:kern w:val="0"/>
          <w:sz w:val="24"/>
        </w:rPr>
        <w:t>　　水环境风险受体敏感程度按类型1、类型2和类型3顺序依次降低。若企业周边存在多种敏感程度类型的水环境风险受体，则按敏感程度高者确定企业水环境风险受体敏感程度类型。</w:t>
      </w:r>
    </w:p>
    <w:p>
      <w:pPr>
        <w:autoSpaceDE w:val="0"/>
        <w:autoSpaceDN w:val="0"/>
        <w:adjustRightInd w:val="0"/>
        <w:ind w:firstLine="482"/>
        <w:jc w:val="center"/>
        <w:rPr>
          <w:b/>
          <w:bCs/>
          <w:color w:val="000000"/>
          <w:spacing w:val="1"/>
          <w:kern w:val="0"/>
          <w:szCs w:val="21"/>
        </w:rPr>
      </w:pPr>
      <w:r>
        <w:rPr>
          <w:b/>
          <w:bCs/>
          <w:color w:val="000000"/>
          <w:spacing w:val="1"/>
          <w:kern w:val="0"/>
          <w:szCs w:val="21"/>
        </w:rPr>
        <w:t>表7-11 水环境风险受体敏感程度类型划分</w:t>
      </w:r>
    </w:p>
    <w:p>
      <w:pPr>
        <w:pStyle w:val="13"/>
        <w:shd w:val="clear" w:color="auto" w:fill="FFFFFF"/>
        <w:spacing w:beforeAutospacing="0" w:afterAutospacing="0" w:line="360" w:lineRule="auto"/>
        <w:rPr>
          <w:rFonts w:ascii="Times New Roman" w:hAnsi="Times New Roman"/>
          <w:color w:val="000000"/>
          <w:spacing w:val="1"/>
        </w:rPr>
      </w:pPr>
      <w:r>
        <w:rPr>
          <w:rFonts w:ascii="Times New Roman" w:hAnsi="Times New Roman"/>
          <w:color w:val="444444"/>
          <w:shd w:val="clear" w:color="auto" w:fill="FFFFFF"/>
        </w:rPr>
        <w:drawing>
          <wp:inline distT="0" distB="0" distL="0" distR="0">
            <wp:extent cx="5219700" cy="3486150"/>
            <wp:effectExtent l="0" t="0" r="7620" b="3810"/>
            <wp:docPr id="32" name="图片 33"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3" descr="IMG_267"/>
                    <pic:cNvPicPr>
                      <a:picLocks noChangeAspect="1" noChangeArrowheads="1"/>
                    </pic:cNvPicPr>
                  </pic:nvPicPr>
                  <pic:blipFill>
                    <a:blip r:embed="rId40" cstate="print"/>
                    <a:srcRect t="4582" r="-218"/>
                    <a:stretch>
                      <a:fillRect/>
                    </a:stretch>
                  </pic:blipFill>
                  <pic:spPr>
                    <a:xfrm>
                      <a:off x="0" y="0"/>
                      <a:ext cx="5219700" cy="3486150"/>
                    </a:xfrm>
                    <a:prstGeom prst="rect">
                      <a:avLst/>
                    </a:prstGeom>
                    <a:noFill/>
                    <a:ln w="9525">
                      <a:noFill/>
                      <a:miter lim="800000"/>
                      <a:headEnd/>
                      <a:tailEnd/>
                    </a:ln>
                  </pic:spPr>
                </pic:pic>
              </a:graphicData>
            </a:graphic>
          </wp:inline>
        </w:drawing>
      </w:r>
    </w:p>
    <w:p>
      <w:pPr>
        <w:autoSpaceDE w:val="0"/>
        <w:autoSpaceDN w:val="0"/>
        <w:adjustRightInd w:val="0"/>
        <w:spacing w:line="360" w:lineRule="auto"/>
        <w:ind w:firstLine="480" w:firstLineChars="200"/>
        <w:rPr>
          <w:color w:val="000000"/>
          <w:sz w:val="24"/>
        </w:rPr>
      </w:pPr>
      <w:bookmarkStart w:id="140" w:name="_Toc27217"/>
      <w:bookmarkStart w:id="141" w:name="_Toc11700495"/>
      <w:bookmarkStart w:id="142" w:name="_Toc1908"/>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312" w:beforeLines="100" w:after="156" w:afterLines="50" w:line="360" w:lineRule="auto"/>
        <w:outlineLvl w:val="0"/>
        <w:rPr>
          <w:b/>
          <w:bCs/>
          <w:color w:val="000000"/>
          <w:sz w:val="24"/>
        </w:rPr>
      </w:pPr>
      <w:bookmarkStart w:id="143" w:name="_Toc9007"/>
      <w:r>
        <w:rPr>
          <w:b/>
          <w:bCs/>
          <w:color w:val="000000"/>
          <w:sz w:val="24"/>
        </w:rPr>
        <w:t>7.2.4突发水环境事件风险等级确定</w:t>
      </w:r>
      <w:bookmarkEnd w:id="140"/>
      <w:bookmarkEnd w:id="141"/>
      <w:bookmarkEnd w:id="142"/>
      <w:bookmarkEnd w:id="143"/>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根据企业周边水环境风险受体敏感程度（E）、涉水风险物质数量与临界量比值（Q）和生产工艺过程与水环境风险控制水平（M），按照表7-12确定企业突发水环境事件风险等级。</w:t>
      </w:r>
    </w:p>
    <w:p>
      <w:pPr>
        <w:autoSpaceDE w:val="0"/>
        <w:autoSpaceDN w:val="0"/>
        <w:adjustRightInd w:val="0"/>
        <w:spacing w:line="360" w:lineRule="auto"/>
        <w:ind w:firstLine="422" w:firstLineChars="200"/>
        <w:jc w:val="center"/>
        <w:rPr>
          <w:color w:val="000000"/>
          <w:sz w:val="24"/>
        </w:rPr>
      </w:pPr>
      <w:r>
        <w:rPr>
          <w:b/>
          <w:bCs/>
          <w:szCs w:val="21"/>
        </w:rPr>
        <w:t>表7-12 企业突发水环境事件风险等级</w:t>
      </w:r>
      <w:r>
        <w:rPr>
          <w:color w:val="444444"/>
          <w:shd w:val="clear" w:color="auto" w:fill="FFFFFF"/>
        </w:rPr>
        <w:drawing>
          <wp:inline distT="0" distB="0" distL="0" distR="0">
            <wp:extent cx="5153025" cy="2667000"/>
            <wp:effectExtent l="0" t="0" r="13335" b="0"/>
            <wp:docPr id="33" name="图片 34"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4" descr="IMG_263"/>
                    <pic:cNvPicPr>
                      <a:picLocks noChangeAspect="1" noChangeArrowheads="1"/>
                    </pic:cNvPicPr>
                  </pic:nvPicPr>
                  <pic:blipFill>
                    <a:blip r:embed="rId39" cstate="print"/>
                    <a:srcRect t="6802" r="272"/>
                    <a:stretch>
                      <a:fillRect/>
                    </a:stretch>
                  </pic:blipFill>
                  <pic:spPr>
                    <a:xfrm>
                      <a:off x="0" y="0"/>
                      <a:ext cx="5153025" cy="2667000"/>
                    </a:xfrm>
                    <a:prstGeom prst="rect">
                      <a:avLst/>
                    </a:prstGeom>
                    <a:noFill/>
                    <a:ln w="9525">
                      <a:noFill/>
                      <a:miter lim="800000"/>
                      <a:headEnd/>
                      <a:tailEnd/>
                    </a:ln>
                  </pic:spPr>
                </pic:pic>
              </a:graphicData>
            </a:graphic>
          </wp:inline>
        </w:drawing>
      </w:r>
      <w:r>
        <w:rPr>
          <w:color w:val="000000"/>
          <w:sz w:val="24"/>
        </w:rPr>
        <w:t>企业涉气风险物质临界量比值为Q</w:t>
      </w:r>
      <w:r>
        <w:rPr>
          <w:rFonts w:hint="eastAsia"/>
          <w:color w:val="000000"/>
          <w:sz w:val="24"/>
        </w:rPr>
        <w:t>0</w:t>
      </w:r>
      <w:r>
        <w:rPr>
          <w:color w:val="000000"/>
          <w:sz w:val="24"/>
        </w:rPr>
        <w:t>，直接评为一般环境风险等级</w:t>
      </w:r>
      <w:r>
        <w:rPr>
          <w:rFonts w:hint="eastAsia"/>
          <w:color w:val="000000"/>
          <w:sz w:val="24"/>
        </w:rPr>
        <w:t>。</w:t>
      </w:r>
    </w:p>
    <w:p>
      <w:pPr>
        <w:autoSpaceDE w:val="0"/>
        <w:autoSpaceDN w:val="0"/>
        <w:adjustRightInd w:val="0"/>
        <w:snapToGrid w:val="0"/>
        <w:spacing w:before="312" w:beforeLines="100" w:after="156" w:afterLines="50" w:line="360" w:lineRule="auto"/>
        <w:outlineLvl w:val="0"/>
        <w:rPr>
          <w:color w:val="444444"/>
          <w:sz w:val="24"/>
          <w:shd w:val="clear" w:color="auto" w:fill="FFFFFF"/>
        </w:rPr>
      </w:pPr>
      <w:bookmarkStart w:id="144" w:name="_Toc11700496"/>
      <w:bookmarkStart w:id="145" w:name="_Toc18018"/>
      <w:bookmarkStart w:id="146" w:name="_Toc24037"/>
      <w:bookmarkStart w:id="147" w:name="_Toc10120"/>
      <w:r>
        <w:rPr>
          <w:b/>
          <w:bCs/>
          <w:color w:val="000000"/>
          <w:sz w:val="24"/>
        </w:rPr>
        <w:t>7.2.5突发水环境事件风险等级表征</w:t>
      </w:r>
      <w:bookmarkEnd w:id="144"/>
      <w:bookmarkEnd w:id="145"/>
      <w:bookmarkEnd w:id="146"/>
      <w:bookmarkEnd w:id="147"/>
    </w:p>
    <w:p>
      <w:pPr>
        <w:pStyle w:val="2"/>
        <w:ind w:firstLine="484"/>
        <w:jc w:val="both"/>
        <w:rPr>
          <w:rFonts w:hint="default"/>
          <w:color w:val="000000"/>
          <w:spacing w:val="1"/>
          <w:szCs w:val="24"/>
        </w:rPr>
      </w:pPr>
      <w:r>
        <w:rPr>
          <w:rFonts w:hint="default"/>
          <w:color w:val="000000"/>
          <w:spacing w:val="1"/>
          <w:szCs w:val="24"/>
        </w:rPr>
        <w:t>企业突发水环境事件风险等级表征分为两种情况：</w:t>
      </w:r>
    </w:p>
    <w:p>
      <w:pPr>
        <w:pStyle w:val="2"/>
        <w:ind w:firstLine="484"/>
        <w:jc w:val="both"/>
        <w:rPr>
          <w:rFonts w:hint="default"/>
          <w:color w:val="000000"/>
          <w:spacing w:val="1"/>
          <w:szCs w:val="24"/>
        </w:rPr>
      </w:pPr>
      <w:r>
        <w:rPr>
          <w:rFonts w:hint="default"/>
          <w:color w:val="000000"/>
          <w:spacing w:val="1"/>
          <w:szCs w:val="24"/>
        </w:rPr>
        <w:t>（1）Q＜1时，企业突发水环境事件风险等级表示为</w:t>
      </w:r>
      <w:r>
        <w:rPr>
          <w:color w:val="000000"/>
          <w:spacing w:val="1"/>
          <w:szCs w:val="24"/>
        </w:rPr>
        <w:t>“</w:t>
      </w:r>
      <w:r>
        <w:rPr>
          <w:rFonts w:hint="default"/>
          <w:color w:val="000000"/>
          <w:spacing w:val="1"/>
          <w:szCs w:val="24"/>
        </w:rPr>
        <w:t>一般-</w:t>
      </w:r>
    </w:p>
    <w:p>
      <w:pPr>
        <w:pStyle w:val="2"/>
        <w:ind w:firstLine="484"/>
        <w:jc w:val="both"/>
        <w:rPr>
          <w:rFonts w:hint="default"/>
          <w:color w:val="000000"/>
          <w:spacing w:val="1"/>
          <w:szCs w:val="24"/>
        </w:rPr>
      </w:pPr>
      <w:r>
        <w:rPr>
          <w:rFonts w:hint="default"/>
          <w:color w:val="000000"/>
          <w:spacing w:val="1"/>
          <w:szCs w:val="24"/>
        </w:rPr>
        <w:t>水（Q0）</w:t>
      </w:r>
      <w:r>
        <w:rPr>
          <w:color w:val="000000"/>
          <w:spacing w:val="1"/>
          <w:szCs w:val="24"/>
        </w:rPr>
        <w:t>”</w:t>
      </w:r>
      <w:r>
        <w:rPr>
          <w:rFonts w:hint="default"/>
          <w:color w:val="000000"/>
          <w:spacing w:val="1"/>
          <w:szCs w:val="24"/>
        </w:rPr>
        <w:t>。</w:t>
      </w:r>
    </w:p>
    <w:p>
      <w:pPr>
        <w:pStyle w:val="2"/>
        <w:ind w:firstLine="484"/>
        <w:jc w:val="both"/>
        <w:rPr>
          <w:rFonts w:hint="default"/>
          <w:color w:val="000000"/>
          <w:spacing w:val="1"/>
          <w:szCs w:val="24"/>
        </w:rPr>
      </w:pPr>
      <w:r>
        <w:rPr>
          <w:rFonts w:hint="default"/>
          <w:color w:val="000000"/>
          <w:spacing w:val="1"/>
          <w:szCs w:val="24"/>
        </w:rPr>
        <w:t>（2）Q≥1时，企业突发水环境事件风险等级表示为</w:t>
      </w:r>
      <w:r>
        <w:rPr>
          <w:color w:val="000000"/>
          <w:spacing w:val="1"/>
          <w:szCs w:val="24"/>
        </w:rPr>
        <w:t>“</w:t>
      </w:r>
      <w:r>
        <w:rPr>
          <w:rFonts w:hint="default"/>
          <w:color w:val="000000"/>
          <w:spacing w:val="1"/>
          <w:szCs w:val="24"/>
        </w:rPr>
        <w:t>环境风</w:t>
      </w:r>
    </w:p>
    <w:p>
      <w:pPr>
        <w:pStyle w:val="2"/>
        <w:ind w:firstLine="484"/>
        <w:jc w:val="both"/>
        <w:rPr>
          <w:rFonts w:hint="default"/>
          <w:color w:val="000000"/>
          <w:spacing w:val="1"/>
          <w:szCs w:val="24"/>
        </w:rPr>
      </w:pPr>
      <w:r>
        <w:rPr>
          <w:rFonts w:hint="default"/>
          <w:color w:val="000000"/>
          <w:spacing w:val="1"/>
          <w:szCs w:val="24"/>
        </w:rPr>
        <w:t>险等级-水（Q水平-M类型-E类型）</w:t>
      </w:r>
      <w:r>
        <w:rPr>
          <w:color w:val="000000"/>
          <w:spacing w:val="1"/>
          <w:szCs w:val="24"/>
        </w:rPr>
        <w:t>”</w:t>
      </w:r>
      <w:r>
        <w:rPr>
          <w:rFonts w:hint="default"/>
          <w:color w:val="000000"/>
          <w:spacing w:val="1"/>
          <w:szCs w:val="24"/>
        </w:rPr>
        <w:t>。</w:t>
      </w:r>
    </w:p>
    <w:p>
      <w:pPr>
        <w:pStyle w:val="2"/>
        <w:ind w:firstLine="484"/>
        <w:jc w:val="both"/>
        <w:rPr>
          <w:rFonts w:hint="default"/>
          <w:b/>
          <w:bCs/>
          <w:color w:val="000000"/>
          <w:spacing w:val="1"/>
          <w:szCs w:val="24"/>
        </w:rPr>
      </w:pPr>
      <w:bookmarkStart w:id="148" w:name="_Toc1710"/>
      <w:r>
        <w:rPr>
          <w:rFonts w:hint="default"/>
          <w:color w:val="000000"/>
          <w:spacing w:val="1"/>
          <w:szCs w:val="24"/>
        </w:rPr>
        <w:t>根据以上计算结果及辨识，Q=</w:t>
      </w:r>
      <w:r>
        <w:rPr>
          <w:color w:val="000000" w:themeColor="text1"/>
          <w:szCs w:val="21"/>
        </w:rPr>
        <w:t>0.468</w:t>
      </w:r>
      <w:r>
        <w:rPr>
          <w:rFonts w:hint="default"/>
          <w:color w:val="000000"/>
          <w:spacing w:val="1"/>
          <w:szCs w:val="24"/>
        </w:rPr>
        <w:t>，风险物质临界量比值为Q0，加油站突发水环境风险等级为</w:t>
      </w:r>
      <w:r>
        <w:rPr>
          <w:color w:val="000000"/>
          <w:spacing w:val="1"/>
          <w:szCs w:val="24"/>
        </w:rPr>
        <w:t>“</w:t>
      </w:r>
      <w:r>
        <w:rPr>
          <w:rFonts w:hint="default"/>
          <w:b/>
          <w:bCs/>
          <w:color w:val="000000"/>
          <w:spacing w:val="1"/>
          <w:szCs w:val="24"/>
        </w:rPr>
        <w:t>一般-水（Q0）</w:t>
      </w:r>
      <w:r>
        <w:rPr>
          <w:color w:val="000000"/>
          <w:spacing w:val="1"/>
          <w:szCs w:val="24"/>
        </w:rPr>
        <w:t>”</w:t>
      </w:r>
      <w:r>
        <w:rPr>
          <w:rFonts w:hint="default"/>
          <w:b/>
          <w:bCs/>
          <w:color w:val="000000"/>
          <w:spacing w:val="1"/>
          <w:szCs w:val="24"/>
        </w:rPr>
        <w:t>。</w:t>
      </w:r>
    </w:p>
    <w:p>
      <w:pPr>
        <w:autoSpaceDE w:val="0"/>
        <w:autoSpaceDN w:val="0"/>
        <w:adjustRightInd w:val="0"/>
        <w:snapToGrid w:val="0"/>
        <w:spacing w:before="312" w:beforeLines="100" w:after="156" w:afterLines="50" w:line="360" w:lineRule="auto"/>
        <w:outlineLvl w:val="0"/>
        <w:rPr>
          <w:b/>
          <w:bCs/>
          <w:color w:val="000000"/>
          <w:sz w:val="24"/>
        </w:rPr>
      </w:pPr>
      <w:bookmarkStart w:id="149" w:name="_Toc22952"/>
      <w:bookmarkStart w:id="150" w:name="_Toc11700497"/>
      <w:bookmarkStart w:id="151" w:name="_Toc5573"/>
      <w:r>
        <w:rPr>
          <w:b/>
          <w:bCs/>
          <w:color w:val="000000"/>
          <w:sz w:val="24"/>
        </w:rPr>
        <w:t>7.3企业突发环境事件风险等级确定与调整</w:t>
      </w:r>
      <w:bookmarkEnd w:id="148"/>
      <w:bookmarkEnd w:id="149"/>
      <w:bookmarkEnd w:id="150"/>
      <w:bookmarkEnd w:id="151"/>
    </w:p>
    <w:p>
      <w:pPr>
        <w:autoSpaceDE w:val="0"/>
        <w:autoSpaceDN w:val="0"/>
        <w:adjustRightInd w:val="0"/>
        <w:snapToGrid w:val="0"/>
        <w:spacing w:before="312" w:beforeLines="100" w:after="156" w:afterLines="50" w:line="360" w:lineRule="auto"/>
        <w:outlineLvl w:val="0"/>
        <w:rPr>
          <w:b/>
          <w:bCs/>
          <w:color w:val="000000"/>
          <w:sz w:val="24"/>
        </w:rPr>
      </w:pPr>
      <w:bookmarkStart w:id="152" w:name="_Toc11700498"/>
      <w:bookmarkStart w:id="153" w:name="_Toc2516"/>
      <w:bookmarkStart w:id="154" w:name="_Toc3194"/>
      <w:bookmarkStart w:id="155" w:name="_Toc290"/>
      <w:r>
        <w:rPr>
          <w:b/>
          <w:bCs/>
          <w:color w:val="000000"/>
          <w:sz w:val="24"/>
        </w:rPr>
        <w:t>7.3.1风险等级确定</w:t>
      </w:r>
      <w:bookmarkEnd w:id="152"/>
      <w:bookmarkEnd w:id="153"/>
      <w:bookmarkEnd w:id="154"/>
      <w:bookmarkEnd w:id="155"/>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以企业突发大气环境事件风险和突发水环境事件风险等级高者确定企业突发环境事件风险等级。</w:t>
      </w:r>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根据以上分级情况，企业突发大气环境事件风险和突发水环境事件风险都为一般环境风险。</w:t>
      </w:r>
    </w:p>
    <w:p>
      <w:pPr>
        <w:autoSpaceDE w:val="0"/>
        <w:autoSpaceDN w:val="0"/>
        <w:adjustRightInd w:val="0"/>
        <w:snapToGrid w:val="0"/>
        <w:spacing w:before="312" w:beforeLines="100" w:after="156" w:afterLines="50" w:line="360" w:lineRule="auto"/>
        <w:outlineLvl w:val="0"/>
        <w:rPr>
          <w:color w:val="000000"/>
          <w:spacing w:val="1"/>
          <w:kern w:val="0"/>
          <w:sz w:val="24"/>
        </w:rPr>
      </w:pPr>
      <w:bookmarkStart w:id="156" w:name="_Toc6800"/>
      <w:bookmarkStart w:id="157" w:name="_Toc11700499"/>
      <w:bookmarkStart w:id="158" w:name="_Toc27847"/>
      <w:bookmarkStart w:id="159" w:name="_Toc25853"/>
      <w:r>
        <w:rPr>
          <w:b/>
          <w:bCs/>
          <w:color w:val="000000"/>
          <w:sz w:val="24"/>
        </w:rPr>
        <w:t>7.3.2风险等级调整</w:t>
      </w:r>
      <w:bookmarkEnd w:id="156"/>
      <w:bookmarkEnd w:id="157"/>
      <w:bookmarkEnd w:id="158"/>
      <w:bookmarkEnd w:id="159"/>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近三年内因违法排放污染物、非法转移处置危险废物等行为受到环境保护主管部门处罚的企业，在已评定的突发环境事件风险等级基础上调高一级，最高等级为重大。</w:t>
      </w:r>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加油站近三年来未受到环境保护主管部门处罚，加油站突发大气环境事件风险为一般环境风险，突发水环境事件风险为一般环境风险。</w:t>
      </w:r>
    </w:p>
    <w:p>
      <w:pPr>
        <w:autoSpaceDE w:val="0"/>
        <w:autoSpaceDN w:val="0"/>
        <w:adjustRightInd w:val="0"/>
        <w:snapToGrid w:val="0"/>
        <w:spacing w:before="312" w:beforeLines="100" w:after="156" w:afterLines="50" w:line="360" w:lineRule="auto"/>
        <w:outlineLvl w:val="0"/>
        <w:rPr>
          <w:color w:val="000000"/>
          <w:spacing w:val="1"/>
          <w:kern w:val="0"/>
          <w:sz w:val="24"/>
        </w:rPr>
      </w:pPr>
      <w:bookmarkStart w:id="160" w:name="_Toc11700500"/>
      <w:bookmarkStart w:id="161" w:name="_Toc29199"/>
      <w:bookmarkStart w:id="162" w:name="_Toc5434"/>
      <w:bookmarkStart w:id="163" w:name="_Toc12034"/>
      <w:r>
        <w:rPr>
          <w:b/>
          <w:bCs/>
          <w:color w:val="000000"/>
          <w:sz w:val="24"/>
        </w:rPr>
        <w:t>7.3.3风险等级表征</w:t>
      </w:r>
      <w:bookmarkEnd w:id="160"/>
      <w:bookmarkEnd w:id="161"/>
      <w:bookmarkEnd w:id="162"/>
      <w:bookmarkEnd w:id="163"/>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只涉及突发大气环境事件风险的企业，风险等级按7.1.5进行表征。</w:t>
      </w:r>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只涉及突发水环境事件风险的企业，风险等级按7.2.5进行表征。</w:t>
      </w:r>
    </w:p>
    <w:p>
      <w:pPr>
        <w:autoSpaceDE w:val="0"/>
        <w:autoSpaceDN w:val="0"/>
        <w:adjustRightInd w:val="0"/>
        <w:spacing w:line="360" w:lineRule="auto"/>
        <w:ind w:firstLine="484" w:firstLineChars="200"/>
        <w:rPr>
          <w:color w:val="000000"/>
          <w:spacing w:val="1"/>
          <w:kern w:val="0"/>
          <w:sz w:val="24"/>
        </w:rPr>
      </w:pPr>
      <w:r>
        <w:rPr>
          <w:color w:val="000000"/>
          <w:spacing w:val="1"/>
          <w:kern w:val="0"/>
          <w:sz w:val="24"/>
        </w:rPr>
        <w:t>同时涉及突发大气和水环境事件风险的企业，风险等级表示为“企业突发环境事件风险等级[突发大气环境事件风险等级表征+突发水环境事件风险等级表征]”，例如：重大[重大-大气（Q1-M3-E1）+较大-水（Q2-M2-E2）]。</w:t>
      </w:r>
    </w:p>
    <w:p>
      <w:pPr>
        <w:autoSpaceDE w:val="0"/>
        <w:autoSpaceDN w:val="0"/>
        <w:adjustRightInd w:val="0"/>
        <w:spacing w:line="360" w:lineRule="auto"/>
        <w:ind w:firstLine="484" w:firstLineChars="200"/>
        <w:rPr>
          <w:rFonts w:hint="eastAsia"/>
          <w:b/>
          <w:bCs/>
          <w:spacing w:val="1"/>
          <w:kern w:val="0"/>
          <w:sz w:val="24"/>
        </w:rPr>
      </w:pPr>
      <w:r>
        <w:rPr>
          <w:spacing w:val="1"/>
          <w:kern w:val="0"/>
          <w:sz w:val="24"/>
        </w:rPr>
        <w:t>根据以上计算结果及辨识，大气：Q=</w:t>
      </w:r>
      <w:r>
        <w:rPr>
          <w:color w:val="000000" w:themeColor="text1"/>
          <w:sz w:val="24"/>
        </w:rPr>
        <w:t>0.468</w:t>
      </w:r>
      <w:r>
        <w:rPr>
          <w:sz w:val="24"/>
        </w:rPr>
        <w:t>，</w:t>
      </w:r>
      <w:r>
        <w:rPr>
          <w:spacing w:val="1"/>
          <w:kern w:val="0"/>
          <w:sz w:val="24"/>
        </w:rPr>
        <w:t>大气环境事件风险物质临界量比值为Q0；水：Q=</w:t>
      </w:r>
      <w:r>
        <w:rPr>
          <w:color w:val="000000" w:themeColor="text1"/>
          <w:sz w:val="24"/>
        </w:rPr>
        <w:t>0.468</w:t>
      </w:r>
      <w:r>
        <w:rPr>
          <w:sz w:val="24"/>
        </w:rPr>
        <w:t>，</w:t>
      </w:r>
      <w:r>
        <w:rPr>
          <w:spacing w:val="1"/>
          <w:kern w:val="0"/>
          <w:sz w:val="24"/>
        </w:rPr>
        <w:t>水环境事件风险物质临界量比值为0；因此，企业突发环境风险等级为</w:t>
      </w:r>
      <w:r>
        <w:rPr>
          <w:b/>
          <w:bCs/>
          <w:spacing w:val="1"/>
          <w:kern w:val="0"/>
          <w:sz w:val="24"/>
        </w:rPr>
        <w:t>“一般-大气（Q0）+一般-水（Q0）</w:t>
      </w:r>
      <w:r>
        <w:rPr>
          <w:rFonts w:hint="eastAsia"/>
          <w:b/>
          <w:bCs/>
          <w:spacing w:val="1"/>
          <w:kern w:val="0"/>
          <w:sz w:val="24"/>
        </w:rPr>
        <w:t>。</w:t>
      </w:r>
    </w:p>
    <w:p>
      <w:pPr>
        <w:pStyle w:val="2"/>
      </w:pPr>
      <w:r>
        <w:rPr>
          <w:color w:val="FF0000"/>
          <w:spacing w:val="1"/>
          <w:kern w:val="0"/>
          <w:sz w:val="24"/>
        </w:rPr>
        <w:t>根据以上分级情况，</w:t>
      </w:r>
      <w:r>
        <w:rPr>
          <w:rFonts w:hint="eastAsia"/>
          <w:color w:val="FF0000"/>
          <w:spacing w:val="1"/>
          <w:kern w:val="0"/>
          <w:sz w:val="24"/>
          <w:lang w:val="en-US" w:eastAsia="zh-CN"/>
        </w:rPr>
        <w:t>公司</w:t>
      </w:r>
      <w:r>
        <w:rPr>
          <w:rFonts w:hint="eastAsia"/>
          <w:color w:val="FF0000"/>
          <w:spacing w:val="1"/>
          <w:kern w:val="0"/>
          <w:sz w:val="24"/>
          <w:lang w:eastAsia="zh-CN"/>
        </w:rPr>
        <w:t>环境风险值为</w:t>
      </w:r>
      <w:r>
        <w:rPr>
          <w:rFonts w:hint="eastAsia"/>
          <w:color w:val="FF0000"/>
          <w:spacing w:val="1"/>
          <w:kern w:val="0"/>
          <w:sz w:val="24"/>
          <w:lang w:val="en-US" w:eastAsia="zh-CN"/>
        </w:rPr>
        <w:t>Q0，可直接判定为一般风险</w:t>
      </w:r>
      <w:r>
        <w:rPr>
          <w:rFonts w:hint="eastAsia"/>
          <w:color w:val="FF0000"/>
          <w:spacing w:val="1"/>
          <w:kern w:val="0"/>
          <w:sz w:val="24"/>
          <w:lang w:eastAsia="zh-CN"/>
        </w:rPr>
        <w:t>。</w:t>
      </w:r>
      <w:bookmarkStart w:id="169" w:name="_GoBack"/>
      <w:bookmarkEnd w:id="169"/>
    </w:p>
    <w:p>
      <w:pPr>
        <w:autoSpaceDE w:val="0"/>
        <w:autoSpaceDN w:val="0"/>
        <w:adjustRightInd w:val="0"/>
        <w:spacing w:line="360" w:lineRule="auto"/>
        <w:ind w:firstLine="486" w:firstLineChars="200"/>
        <w:rPr>
          <w:b/>
          <w:bCs/>
          <w:color w:val="000000" w:themeColor="text1"/>
          <w:spacing w:val="1"/>
          <w:kern w:val="0"/>
          <w:sz w:val="24"/>
        </w:rPr>
      </w:pPr>
    </w:p>
    <w:p>
      <w:pPr>
        <w:pStyle w:val="2"/>
        <w:ind w:firstLine="480"/>
        <w:rPr>
          <w:rFonts w:hint="default"/>
        </w:rPr>
        <w:sectPr>
          <w:footerReference r:id="rId4" w:type="default"/>
          <w:pgSz w:w="11906" w:h="16838"/>
          <w:pgMar w:top="1440" w:right="1800" w:bottom="1440" w:left="1800" w:header="851" w:footer="992" w:gutter="0"/>
          <w:pgNumType w:start="1"/>
          <w:cols w:space="425" w:num="1"/>
          <w:docGrid w:type="lines" w:linePitch="312" w:charSpace="0"/>
        </w:sectPr>
      </w:pPr>
    </w:p>
    <w:p>
      <w:pPr>
        <w:widowControl/>
        <w:jc w:val="left"/>
        <w:rPr>
          <w:color w:val="000000" w:themeColor="text1"/>
          <w:kern w:val="0"/>
          <w:sz w:val="24"/>
        </w:rPr>
      </w:pPr>
      <w:r>
        <w:rPr>
          <w:b/>
          <w:bCs/>
          <w:color w:val="000000" w:themeColor="text1"/>
          <w:sz w:val="24"/>
        </w:rPr>
        <w:t>8、附图、附件</w:t>
      </w:r>
    </w:p>
    <w:p>
      <w:pPr>
        <w:pStyle w:val="27"/>
        <w:spacing w:line="360" w:lineRule="auto"/>
        <w:jc w:val="left"/>
        <w:outlineLvl w:val="1"/>
        <w:rPr>
          <w:rFonts w:ascii="Times New Roman" w:hAnsi="Times New Roman" w:eastAsia="宋体"/>
          <w:b/>
          <w:color w:val="000000" w:themeColor="text1"/>
        </w:rPr>
      </w:pPr>
      <w:bookmarkStart w:id="164" w:name="_Toc31200"/>
      <w:r>
        <w:rPr>
          <w:rFonts w:ascii="Times New Roman" w:hAnsi="Times New Roman" w:eastAsia="宋体"/>
          <w:b/>
          <w:color w:val="000000" w:themeColor="text1"/>
        </w:rPr>
        <w:t>附图1：项目地理位置图</w:t>
      </w:r>
      <w:bookmarkEnd w:id="164"/>
    </w:p>
    <w:p>
      <w:pPr>
        <w:jc w:val="left"/>
        <w:rPr>
          <w:color w:val="000000" w:themeColor="text1"/>
          <w:kern w:val="0"/>
          <w:sz w:val="24"/>
          <w:lang w:val="zh-CN"/>
        </w:rPr>
      </w:pPr>
      <w:r>
        <w:rPr>
          <w:color w:val="000000" w:themeColor="text1"/>
        </w:rPr>
        <w:drawing>
          <wp:inline distT="0" distB="0" distL="0" distR="0">
            <wp:extent cx="5601970" cy="4770755"/>
            <wp:effectExtent l="0" t="0" r="6350" b="146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1"/>
                    <a:stretch>
                      <a:fillRect/>
                    </a:stretch>
                  </pic:blipFill>
                  <pic:spPr>
                    <a:xfrm>
                      <a:off x="0" y="0"/>
                      <a:ext cx="5601970" cy="4770755"/>
                    </a:xfrm>
                    <a:prstGeom prst="rect">
                      <a:avLst/>
                    </a:prstGeom>
                  </pic:spPr>
                </pic:pic>
              </a:graphicData>
            </a:graphic>
          </wp:inline>
        </w:drawing>
      </w:r>
    </w:p>
    <w:p>
      <w:pPr>
        <w:widowControl/>
        <w:jc w:val="left"/>
        <w:rPr>
          <w:color w:val="000000" w:themeColor="text1"/>
          <w:kern w:val="0"/>
          <w:sz w:val="24"/>
          <w:lang w:val="zh-CN"/>
        </w:rPr>
      </w:pPr>
      <w:r>
        <w:rPr>
          <w:color w:val="000000" w:themeColor="text1"/>
          <w:kern w:val="0"/>
          <w:sz w:val="24"/>
          <w:lang w:val="zh-CN"/>
        </w:rPr>
        <w:br w:type="page"/>
      </w:r>
    </w:p>
    <w:p>
      <w:pPr>
        <w:pStyle w:val="27"/>
        <w:spacing w:line="360" w:lineRule="auto"/>
        <w:jc w:val="left"/>
        <w:outlineLvl w:val="1"/>
        <w:rPr>
          <w:rFonts w:ascii="Times New Roman" w:hAnsi="Times New Roman" w:eastAsia="宋体"/>
          <w:b/>
          <w:color w:val="000000" w:themeColor="text1"/>
        </w:rPr>
      </w:pPr>
      <w:bookmarkStart w:id="165" w:name="_Toc16756"/>
      <w:r>
        <w:rPr>
          <w:rFonts w:ascii="Times New Roman" w:hAnsi="Times New Roman" w:eastAsia="宋体"/>
          <w:b/>
          <w:color w:val="000000" w:themeColor="text1"/>
        </w:rPr>
        <w:t>附图2：项目周边环境受体分布图</w:t>
      </w:r>
      <w:bookmarkEnd w:id="165"/>
    </w:p>
    <w:p>
      <w:pPr>
        <w:widowControl/>
        <w:spacing w:line="360" w:lineRule="auto"/>
        <w:jc w:val="left"/>
        <w:rPr>
          <w:color w:val="000000" w:themeColor="text1"/>
          <w:kern w:val="0"/>
          <w:sz w:val="24"/>
        </w:rPr>
      </w:pPr>
      <w:r>
        <w:rPr>
          <w:color w:val="000000" w:themeColor="text1"/>
        </w:rPr>
        <w:drawing>
          <wp:inline distT="0" distB="0" distL="0" distR="0">
            <wp:extent cx="5503545" cy="4452620"/>
            <wp:effectExtent l="0" t="0" r="13335" b="1270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42"/>
                    <a:stretch>
                      <a:fillRect/>
                    </a:stretch>
                  </pic:blipFill>
                  <pic:spPr>
                    <a:xfrm>
                      <a:off x="0" y="0"/>
                      <a:ext cx="5503545" cy="4452620"/>
                    </a:xfrm>
                    <a:prstGeom prst="rect">
                      <a:avLst/>
                    </a:prstGeom>
                  </pic:spPr>
                </pic:pic>
              </a:graphicData>
            </a:graphic>
          </wp:inline>
        </w:drawing>
      </w:r>
    </w:p>
    <w:p>
      <w:pPr>
        <w:widowControl/>
        <w:jc w:val="left"/>
        <w:rPr>
          <w:color w:val="000000" w:themeColor="text1"/>
        </w:rPr>
      </w:pPr>
      <w:r>
        <w:rPr>
          <w:color w:val="000000" w:themeColor="text1"/>
        </w:rPr>
        <w:br w:type="page"/>
      </w:r>
    </w:p>
    <w:p>
      <w:pPr>
        <w:pStyle w:val="27"/>
        <w:spacing w:line="360" w:lineRule="auto"/>
        <w:jc w:val="left"/>
        <w:outlineLvl w:val="1"/>
        <w:rPr>
          <w:rFonts w:ascii="Times New Roman" w:hAnsi="Times New Roman" w:eastAsia="宋体"/>
          <w:b/>
          <w:color w:val="000000" w:themeColor="text1"/>
        </w:rPr>
      </w:pPr>
      <w:bookmarkStart w:id="166" w:name="_Toc18786"/>
      <w:bookmarkStart w:id="167" w:name="_Hlk11700293"/>
      <w:r>
        <w:rPr>
          <w:rFonts w:ascii="Times New Roman" w:hAnsi="Times New Roman" w:eastAsia="宋体"/>
          <w:b/>
          <w:color w:val="000000" w:themeColor="text1"/>
        </w:rPr>
        <w:t>附件</w:t>
      </w:r>
      <w:r>
        <w:rPr>
          <w:rFonts w:hint="eastAsia" w:ascii="Times New Roman" w:hAnsi="Times New Roman" w:eastAsia="宋体"/>
          <w:b/>
          <w:color w:val="000000" w:themeColor="text1"/>
        </w:rPr>
        <w:t>一</w:t>
      </w:r>
      <w:r>
        <w:rPr>
          <w:rFonts w:ascii="Times New Roman" w:hAnsi="Times New Roman" w:eastAsia="宋体"/>
          <w:b/>
          <w:color w:val="000000" w:themeColor="text1"/>
        </w:rPr>
        <w:t>加油站应急救援小组联系人及电话</w:t>
      </w:r>
      <w:bookmarkEnd w:id="166"/>
    </w:p>
    <w:bookmarkEnd w:id="167"/>
    <w:tbl>
      <w:tblPr>
        <w:tblStyle w:val="15"/>
        <w:tblW w:w="8119" w:type="dxa"/>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1971"/>
        <w:gridCol w:w="1876"/>
        <w:gridCol w:w="2318"/>
        <w:gridCol w:w="1954"/>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50" w:hRule="atLeast"/>
          <w:jc w:val="center"/>
        </w:trPr>
        <w:tc>
          <w:tcPr>
            <w:tcW w:w="1971" w:type="dxa"/>
            <w:tcBorders>
              <w:tl2br w:val="nil"/>
              <w:tr2bl w:val="nil"/>
            </w:tcBorders>
          </w:tcPr>
          <w:p>
            <w:pPr>
              <w:rPr>
                <w:color w:val="000000" w:themeColor="text1"/>
                <w:sz w:val="24"/>
              </w:rPr>
            </w:pPr>
            <w:r>
              <w:rPr>
                <w:color w:val="000000" w:themeColor="text1"/>
                <w:sz w:val="24"/>
              </w:rPr>
              <w:t>应急机构名称</w:t>
            </w:r>
          </w:p>
        </w:tc>
        <w:tc>
          <w:tcPr>
            <w:tcW w:w="1876" w:type="dxa"/>
            <w:tcBorders>
              <w:tl2br w:val="nil"/>
              <w:tr2bl w:val="nil"/>
            </w:tcBorders>
          </w:tcPr>
          <w:p>
            <w:pPr>
              <w:rPr>
                <w:color w:val="000000" w:themeColor="text1"/>
                <w:sz w:val="24"/>
              </w:rPr>
            </w:pPr>
            <w:r>
              <w:rPr>
                <w:color w:val="000000" w:themeColor="text1"/>
                <w:sz w:val="24"/>
              </w:rPr>
              <w:t>姓名</w:t>
            </w:r>
          </w:p>
        </w:tc>
        <w:tc>
          <w:tcPr>
            <w:tcW w:w="2318" w:type="dxa"/>
            <w:tcBorders>
              <w:tl2br w:val="nil"/>
              <w:tr2bl w:val="nil"/>
            </w:tcBorders>
          </w:tcPr>
          <w:p>
            <w:pPr>
              <w:rPr>
                <w:color w:val="000000" w:themeColor="text1"/>
                <w:sz w:val="24"/>
              </w:rPr>
            </w:pPr>
            <w:r>
              <w:rPr>
                <w:color w:val="000000" w:themeColor="text1"/>
                <w:sz w:val="24"/>
              </w:rPr>
              <w:t>公司职务</w:t>
            </w:r>
          </w:p>
        </w:tc>
        <w:tc>
          <w:tcPr>
            <w:tcW w:w="1954" w:type="dxa"/>
            <w:tcBorders>
              <w:tl2br w:val="nil"/>
              <w:tr2bl w:val="nil"/>
            </w:tcBorders>
          </w:tcPr>
          <w:p>
            <w:pPr>
              <w:rPr>
                <w:color w:val="000000" w:themeColor="text1"/>
                <w:sz w:val="24"/>
              </w:rPr>
            </w:pPr>
            <w:r>
              <w:rPr>
                <w:color w:val="000000" w:themeColor="text1"/>
                <w:sz w:val="24"/>
              </w:rPr>
              <w:t>联系方式</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88" w:hRule="atLeast"/>
          <w:jc w:val="center"/>
        </w:trPr>
        <w:tc>
          <w:tcPr>
            <w:tcW w:w="1971" w:type="dxa"/>
            <w:tcBorders>
              <w:tl2br w:val="nil"/>
              <w:tr2bl w:val="nil"/>
            </w:tcBorders>
          </w:tcPr>
          <w:p>
            <w:pPr>
              <w:rPr>
                <w:color w:val="000000" w:themeColor="text1"/>
              </w:rPr>
            </w:pPr>
            <w:r>
              <w:rPr>
                <w:rFonts w:hint="eastAsia"/>
                <w:color w:val="000000" w:themeColor="text1"/>
              </w:rPr>
              <w:t>总指挥</w:t>
            </w:r>
          </w:p>
        </w:tc>
        <w:tc>
          <w:tcPr>
            <w:tcW w:w="1876" w:type="dxa"/>
            <w:tcBorders>
              <w:tl2br w:val="nil"/>
              <w:tr2bl w:val="nil"/>
            </w:tcBorders>
          </w:tcPr>
          <w:p>
            <w:pPr>
              <w:rPr>
                <w:color w:val="000000" w:themeColor="text1"/>
              </w:rPr>
            </w:pPr>
            <w:r>
              <w:rPr>
                <w:rFonts w:hint="eastAsia"/>
                <w:color w:val="000000" w:themeColor="text1"/>
              </w:rPr>
              <w:t>裘韦</w:t>
            </w:r>
          </w:p>
        </w:tc>
        <w:tc>
          <w:tcPr>
            <w:tcW w:w="2318" w:type="dxa"/>
            <w:tcBorders>
              <w:tl2br w:val="nil"/>
              <w:tr2bl w:val="nil"/>
            </w:tcBorders>
          </w:tcPr>
          <w:p>
            <w:pPr>
              <w:rPr>
                <w:color w:val="000000" w:themeColor="text1"/>
              </w:rPr>
            </w:pPr>
            <w:r>
              <w:rPr>
                <w:rFonts w:hint="eastAsia"/>
                <w:color w:val="000000" w:themeColor="text1"/>
              </w:rPr>
              <w:t>站经理</w:t>
            </w:r>
          </w:p>
        </w:tc>
        <w:tc>
          <w:tcPr>
            <w:tcW w:w="1954" w:type="dxa"/>
            <w:tcBorders>
              <w:tl2br w:val="nil"/>
              <w:tr2bl w:val="nil"/>
            </w:tcBorders>
          </w:tcPr>
          <w:p>
            <w:pPr>
              <w:rPr>
                <w:color w:val="000000" w:themeColor="text1"/>
              </w:rPr>
            </w:pPr>
            <w:r>
              <w:rPr>
                <w:rFonts w:hint="eastAsia"/>
                <w:color w:val="000000" w:themeColor="text1"/>
              </w:rPr>
              <w:t>13807066080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88" w:hRule="atLeast"/>
          <w:jc w:val="center"/>
        </w:trPr>
        <w:tc>
          <w:tcPr>
            <w:tcW w:w="1971" w:type="dxa"/>
            <w:tcBorders>
              <w:tl2br w:val="nil"/>
              <w:tr2bl w:val="nil"/>
            </w:tcBorders>
          </w:tcPr>
          <w:p>
            <w:pPr>
              <w:rPr>
                <w:color w:val="000000" w:themeColor="text1"/>
              </w:rPr>
            </w:pPr>
            <w:r>
              <w:rPr>
                <w:rFonts w:hint="eastAsia"/>
                <w:color w:val="000000" w:themeColor="text1"/>
              </w:rPr>
              <w:t>副总指挥</w:t>
            </w:r>
          </w:p>
        </w:tc>
        <w:tc>
          <w:tcPr>
            <w:tcW w:w="1876" w:type="dxa"/>
            <w:tcBorders>
              <w:tl2br w:val="nil"/>
              <w:tr2bl w:val="nil"/>
            </w:tcBorders>
          </w:tcPr>
          <w:p>
            <w:pPr>
              <w:rPr>
                <w:color w:val="000000" w:themeColor="text1"/>
              </w:rPr>
            </w:pPr>
            <w:r>
              <w:rPr>
                <w:rFonts w:hint="eastAsia"/>
                <w:color w:val="000000" w:themeColor="text1"/>
              </w:rPr>
              <w:t>许英英</w:t>
            </w:r>
          </w:p>
        </w:tc>
        <w:tc>
          <w:tcPr>
            <w:tcW w:w="2318" w:type="dxa"/>
            <w:tcBorders>
              <w:tl2br w:val="nil"/>
              <w:tr2bl w:val="nil"/>
            </w:tcBorders>
          </w:tcPr>
          <w:p>
            <w:pPr>
              <w:rPr>
                <w:color w:val="000000" w:themeColor="text1"/>
              </w:rPr>
            </w:pPr>
            <w:r>
              <w:rPr>
                <w:rFonts w:hint="eastAsia"/>
                <w:color w:val="000000" w:themeColor="text1"/>
              </w:rPr>
              <w:t>前庭主管</w:t>
            </w:r>
          </w:p>
        </w:tc>
        <w:tc>
          <w:tcPr>
            <w:tcW w:w="1954" w:type="dxa"/>
            <w:tcBorders>
              <w:tl2br w:val="nil"/>
              <w:tr2bl w:val="nil"/>
            </w:tcBorders>
          </w:tcPr>
          <w:p>
            <w:pPr>
              <w:rPr>
                <w:color w:val="000000" w:themeColor="text1"/>
              </w:rPr>
            </w:pPr>
            <w:r>
              <w:rPr>
                <w:rFonts w:hint="eastAsia"/>
                <w:color w:val="000000" w:themeColor="text1"/>
              </w:rPr>
              <w:t>13767106612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665" w:hRule="atLeast"/>
          <w:jc w:val="center"/>
        </w:trPr>
        <w:tc>
          <w:tcPr>
            <w:tcW w:w="1971" w:type="dxa"/>
            <w:tcBorders>
              <w:tl2br w:val="nil"/>
              <w:tr2bl w:val="nil"/>
            </w:tcBorders>
          </w:tcPr>
          <w:p>
            <w:pPr>
              <w:rPr>
                <w:color w:val="000000" w:themeColor="text1"/>
              </w:rPr>
            </w:pPr>
            <w:r>
              <w:rPr>
                <w:rFonts w:hint="eastAsia"/>
                <w:color w:val="000000" w:themeColor="text1"/>
              </w:rPr>
              <w:t>应急指挥部办公室</w:t>
            </w:r>
          </w:p>
        </w:tc>
        <w:tc>
          <w:tcPr>
            <w:tcW w:w="1876" w:type="dxa"/>
            <w:tcBorders>
              <w:tl2br w:val="nil"/>
              <w:tr2bl w:val="nil"/>
            </w:tcBorders>
          </w:tcPr>
          <w:p>
            <w:pPr>
              <w:rPr>
                <w:color w:val="000000" w:themeColor="text1"/>
              </w:rPr>
            </w:pPr>
            <w:r>
              <w:rPr>
                <w:rFonts w:hint="eastAsia"/>
                <w:color w:val="000000" w:themeColor="text1"/>
              </w:rPr>
              <w:t>加油站办公室</w:t>
            </w:r>
          </w:p>
        </w:tc>
        <w:tc>
          <w:tcPr>
            <w:tcW w:w="2318" w:type="dxa"/>
            <w:tcBorders>
              <w:tl2br w:val="nil"/>
              <w:tr2bl w:val="nil"/>
            </w:tcBorders>
          </w:tcPr>
          <w:p>
            <w:pPr>
              <w:rPr>
                <w:color w:val="000000" w:themeColor="text1"/>
              </w:rPr>
            </w:pPr>
          </w:p>
        </w:tc>
        <w:tc>
          <w:tcPr>
            <w:tcW w:w="1954" w:type="dxa"/>
            <w:tcBorders>
              <w:tl2br w:val="nil"/>
              <w:tr2bl w:val="nil"/>
            </w:tcBorders>
          </w:tcPr>
          <w:p>
            <w:pPr>
              <w:rPr>
                <w:color w:val="000000" w:themeColor="text1"/>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88" w:hRule="atLeast"/>
          <w:jc w:val="center"/>
        </w:trPr>
        <w:tc>
          <w:tcPr>
            <w:tcW w:w="1971" w:type="dxa"/>
            <w:tcBorders>
              <w:tl2br w:val="nil"/>
              <w:tr2bl w:val="nil"/>
            </w:tcBorders>
          </w:tcPr>
          <w:p>
            <w:pPr>
              <w:rPr>
                <w:color w:val="000000" w:themeColor="text1"/>
              </w:rPr>
            </w:pPr>
            <w:r>
              <w:rPr>
                <w:rFonts w:hint="eastAsia"/>
                <w:color w:val="000000" w:themeColor="text1"/>
              </w:rPr>
              <w:t>抢险救灾队</w:t>
            </w:r>
          </w:p>
        </w:tc>
        <w:tc>
          <w:tcPr>
            <w:tcW w:w="1876" w:type="dxa"/>
            <w:tcBorders>
              <w:tl2br w:val="nil"/>
              <w:tr2bl w:val="nil"/>
            </w:tcBorders>
          </w:tcPr>
          <w:p>
            <w:pPr>
              <w:rPr>
                <w:color w:val="000000" w:themeColor="text1"/>
              </w:rPr>
            </w:pPr>
            <w:r>
              <w:rPr>
                <w:rFonts w:hint="eastAsia"/>
                <w:color w:val="000000" w:themeColor="text1"/>
              </w:rPr>
              <w:t>王辉，谢庆</w:t>
            </w:r>
          </w:p>
        </w:tc>
        <w:tc>
          <w:tcPr>
            <w:tcW w:w="2318" w:type="dxa"/>
            <w:tcBorders>
              <w:tl2br w:val="nil"/>
              <w:tr2bl w:val="nil"/>
            </w:tcBorders>
          </w:tcPr>
          <w:p>
            <w:pPr>
              <w:rPr>
                <w:color w:val="000000" w:themeColor="text1"/>
              </w:rPr>
            </w:pPr>
            <w:r>
              <w:rPr>
                <w:rFonts w:hint="eastAsia"/>
                <w:color w:val="000000" w:themeColor="text1"/>
              </w:rPr>
              <w:t>加油员</w:t>
            </w:r>
          </w:p>
        </w:tc>
        <w:tc>
          <w:tcPr>
            <w:tcW w:w="1954" w:type="dxa"/>
            <w:tcBorders>
              <w:tl2br w:val="nil"/>
              <w:tr2bl w:val="nil"/>
            </w:tcBorders>
          </w:tcPr>
          <w:p>
            <w:pPr>
              <w:rPr>
                <w:color w:val="000000" w:themeColor="text1"/>
              </w:rPr>
            </w:pPr>
            <w:r>
              <w:rPr>
                <w:rFonts w:hint="eastAsia"/>
                <w:color w:val="000000" w:themeColor="text1"/>
              </w:rPr>
              <w:t>18770053005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81" w:hRule="atLeast"/>
          <w:jc w:val="center"/>
        </w:trPr>
        <w:tc>
          <w:tcPr>
            <w:tcW w:w="1971" w:type="dxa"/>
            <w:tcBorders>
              <w:tl2br w:val="nil"/>
              <w:tr2bl w:val="nil"/>
            </w:tcBorders>
          </w:tcPr>
          <w:p>
            <w:pPr>
              <w:rPr>
                <w:color w:val="000000" w:themeColor="text1"/>
              </w:rPr>
            </w:pPr>
            <w:r>
              <w:rPr>
                <w:rFonts w:hint="eastAsia"/>
                <w:color w:val="000000" w:themeColor="text1"/>
              </w:rPr>
              <w:t>警戒疏散队</w:t>
            </w:r>
          </w:p>
        </w:tc>
        <w:tc>
          <w:tcPr>
            <w:tcW w:w="1876" w:type="dxa"/>
            <w:tcBorders>
              <w:tl2br w:val="nil"/>
              <w:tr2bl w:val="nil"/>
            </w:tcBorders>
          </w:tcPr>
          <w:p>
            <w:pPr>
              <w:rPr>
                <w:color w:val="000000" w:themeColor="text1"/>
              </w:rPr>
            </w:pPr>
            <w:r>
              <w:rPr>
                <w:rFonts w:hint="eastAsia"/>
                <w:color w:val="000000" w:themeColor="text1"/>
              </w:rPr>
              <w:t>曾花香，胡翠花</w:t>
            </w:r>
          </w:p>
        </w:tc>
        <w:tc>
          <w:tcPr>
            <w:tcW w:w="2318" w:type="dxa"/>
            <w:tcBorders>
              <w:tl2br w:val="nil"/>
              <w:tr2bl w:val="nil"/>
            </w:tcBorders>
          </w:tcPr>
          <w:p>
            <w:pPr>
              <w:rPr>
                <w:color w:val="000000" w:themeColor="text1"/>
              </w:rPr>
            </w:pPr>
            <w:r>
              <w:rPr>
                <w:rFonts w:hint="eastAsia"/>
                <w:color w:val="000000" w:themeColor="text1"/>
              </w:rPr>
              <w:t>加油员</w:t>
            </w:r>
          </w:p>
        </w:tc>
        <w:tc>
          <w:tcPr>
            <w:tcW w:w="1954" w:type="dxa"/>
            <w:tcBorders>
              <w:tl2br w:val="nil"/>
              <w:tr2bl w:val="nil"/>
            </w:tcBorders>
          </w:tcPr>
          <w:p>
            <w:pPr>
              <w:rPr>
                <w:color w:val="000000" w:themeColor="text1"/>
              </w:rPr>
            </w:pPr>
            <w:r>
              <w:rPr>
                <w:rFonts w:hint="eastAsia"/>
                <w:color w:val="000000" w:themeColor="text1"/>
              </w:rPr>
              <w:t>15879050092</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581" w:hRule="atLeast"/>
          <w:jc w:val="center"/>
        </w:trPr>
        <w:tc>
          <w:tcPr>
            <w:tcW w:w="1971" w:type="dxa"/>
            <w:tcBorders>
              <w:tl2br w:val="nil"/>
              <w:tr2bl w:val="nil"/>
            </w:tcBorders>
          </w:tcPr>
          <w:p>
            <w:pPr>
              <w:rPr>
                <w:color w:val="000000" w:themeColor="text1"/>
              </w:rPr>
            </w:pPr>
            <w:r>
              <w:rPr>
                <w:rFonts w:hint="eastAsia"/>
                <w:color w:val="000000" w:themeColor="text1"/>
              </w:rPr>
              <w:t>环境监测队</w:t>
            </w:r>
          </w:p>
        </w:tc>
        <w:tc>
          <w:tcPr>
            <w:tcW w:w="1876" w:type="dxa"/>
            <w:tcBorders>
              <w:tl2br w:val="nil"/>
              <w:tr2bl w:val="nil"/>
            </w:tcBorders>
          </w:tcPr>
          <w:p>
            <w:pPr>
              <w:rPr>
                <w:color w:val="000000" w:themeColor="text1"/>
              </w:rPr>
            </w:pPr>
            <w:r>
              <w:rPr>
                <w:rFonts w:hint="eastAsia"/>
                <w:color w:val="000000" w:themeColor="text1"/>
              </w:rPr>
              <w:t>彭小群，邓小清</w:t>
            </w:r>
          </w:p>
        </w:tc>
        <w:tc>
          <w:tcPr>
            <w:tcW w:w="2318" w:type="dxa"/>
            <w:tcBorders>
              <w:tl2br w:val="nil"/>
              <w:tr2bl w:val="nil"/>
            </w:tcBorders>
          </w:tcPr>
          <w:p>
            <w:pPr>
              <w:rPr>
                <w:color w:val="000000" w:themeColor="text1"/>
              </w:rPr>
            </w:pPr>
            <w:r>
              <w:rPr>
                <w:rFonts w:hint="eastAsia"/>
                <w:color w:val="000000" w:themeColor="text1"/>
              </w:rPr>
              <w:t>加油员</w:t>
            </w:r>
          </w:p>
        </w:tc>
        <w:tc>
          <w:tcPr>
            <w:tcW w:w="1954" w:type="dxa"/>
            <w:tcBorders>
              <w:tl2br w:val="nil"/>
              <w:tr2bl w:val="nil"/>
            </w:tcBorders>
          </w:tcPr>
          <w:p>
            <w:pPr>
              <w:rPr>
                <w:color w:val="000000" w:themeColor="text1"/>
              </w:rPr>
            </w:pPr>
            <w:r>
              <w:rPr>
                <w:rFonts w:hint="eastAsia"/>
                <w:color w:val="000000" w:themeColor="text1"/>
              </w:rPr>
              <w:t>15970655097</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665" w:hRule="atLeast"/>
          <w:jc w:val="center"/>
        </w:trPr>
        <w:tc>
          <w:tcPr>
            <w:tcW w:w="1971" w:type="dxa"/>
            <w:tcBorders>
              <w:tl2br w:val="nil"/>
              <w:tr2bl w:val="nil"/>
            </w:tcBorders>
          </w:tcPr>
          <w:p>
            <w:pPr>
              <w:rPr>
                <w:color w:val="000000" w:themeColor="text1"/>
              </w:rPr>
            </w:pPr>
            <w:r>
              <w:rPr>
                <w:rFonts w:hint="eastAsia"/>
                <w:color w:val="000000" w:themeColor="text1"/>
              </w:rPr>
              <w:t>通讯及后勤保障队</w:t>
            </w:r>
          </w:p>
        </w:tc>
        <w:tc>
          <w:tcPr>
            <w:tcW w:w="1876" w:type="dxa"/>
            <w:tcBorders>
              <w:tl2br w:val="nil"/>
              <w:tr2bl w:val="nil"/>
            </w:tcBorders>
          </w:tcPr>
          <w:p>
            <w:pPr>
              <w:rPr>
                <w:color w:val="000000" w:themeColor="text1"/>
              </w:rPr>
            </w:pPr>
            <w:r>
              <w:rPr>
                <w:rFonts w:hint="eastAsia"/>
                <w:color w:val="000000" w:themeColor="text1"/>
              </w:rPr>
              <w:t>涂海英</w:t>
            </w:r>
          </w:p>
        </w:tc>
        <w:tc>
          <w:tcPr>
            <w:tcW w:w="2318" w:type="dxa"/>
            <w:tcBorders>
              <w:tl2br w:val="nil"/>
              <w:tr2bl w:val="nil"/>
            </w:tcBorders>
          </w:tcPr>
          <w:p>
            <w:pPr>
              <w:rPr>
                <w:color w:val="000000" w:themeColor="text1"/>
              </w:rPr>
            </w:pPr>
            <w:r>
              <w:rPr>
                <w:rFonts w:hint="eastAsia"/>
                <w:color w:val="000000" w:themeColor="text1"/>
              </w:rPr>
              <w:t>便利店主管</w:t>
            </w:r>
          </w:p>
        </w:tc>
        <w:tc>
          <w:tcPr>
            <w:tcW w:w="1954" w:type="dxa"/>
            <w:tcBorders>
              <w:tl2br w:val="nil"/>
              <w:tr2bl w:val="nil"/>
            </w:tcBorders>
          </w:tcPr>
          <w:p>
            <w:pPr>
              <w:rPr>
                <w:color w:val="000000" w:themeColor="text1"/>
              </w:rPr>
            </w:pPr>
            <w:r>
              <w:rPr>
                <w:rFonts w:hint="eastAsia"/>
                <w:color w:val="000000" w:themeColor="text1"/>
              </w:rPr>
              <w:t>13699501994</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688" w:hRule="atLeast"/>
          <w:jc w:val="center"/>
        </w:trPr>
        <w:tc>
          <w:tcPr>
            <w:tcW w:w="1971" w:type="dxa"/>
            <w:tcBorders>
              <w:tl2br w:val="nil"/>
              <w:tr2bl w:val="nil"/>
            </w:tcBorders>
          </w:tcPr>
          <w:p>
            <w:pPr>
              <w:rPr>
                <w:color w:val="000000" w:themeColor="text1"/>
              </w:rPr>
            </w:pPr>
            <w:r>
              <w:rPr>
                <w:rFonts w:hint="eastAsia"/>
                <w:color w:val="000000" w:themeColor="text1"/>
              </w:rPr>
              <w:t>医疗救护与善后处理队</w:t>
            </w:r>
          </w:p>
        </w:tc>
        <w:tc>
          <w:tcPr>
            <w:tcW w:w="1876" w:type="dxa"/>
            <w:tcBorders>
              <w:tl2br w:val="nil"/>
              <w:tr2bl w:val="nil"/>
            </w:tcBorders>
          </w:tcPr>
          <w:p>
            <w:pPr>
              <w:rPr>
                <w:color w:val="000000" w:themeColor="text1"/>
              </w:rPr>
            </w:pPr>
            <w:r>
              <w:rPr>
                <w:rFonts w:hint="eastAsia"/>
                <w:color w:val="000000" w:themeColor="text1"/>
              </w:rPr>
              <w:t>肖子奕，金凯锋</w:t>
            </w:r>
          </w:p>
        </w:tc>
        <w:tc>
          <w:tcPr>
            <w:tcW w:w="2318" w:type="dxa"/>
            <w:tcBorders>
              <w:tl2br w:val="nil"/>
              <w:tr2bl w:val="nil"/>
            </w:tcBorders>
          </w:tcPr>
          <w:p>
            <w:pPr>
              <w:rPr>
                <w:color w:val="000000" w:themeColor="text1"/>
              </w:rPr>
            </w:pPr>
            <w:r>
              <w:rPr>
                <w:rFonts w:hint="eastAsia"/>
                <w:color w:val="000000" w:themeColor="text1"/>
              </w:rPr>
              <w:t>收银员</w:t>
            </w:r>
          </w:p>
        </w:tc>
        <w:tc>
          <w:tcPr>
            <w:tcW w:w="1954" w:type="dxa"/>
            <w:tcBorders>
              <w:tl2br w:val="nil"/>
              <w:tr2bl w:val="nil"/>
            </w:tcBorders>
          </w:tcPr>
          <w:p>
            <w:pPr>
              <w:rPr>
                <w:color w:val="000000" w:themeColor="text1"/>
              </w:rPr>
            </w:pPr>
            <w:r>
              <w:rPr>
                <w:rFonts w:hint="eastAsia"/>
                <w:color w:val="000000" w:themeColor="text1"/>
              </w:rPr>
              <w:t>15979117304</w:t>
            </w:r>
          </w:p>
        </w:tc>
      </w:tr>
    </w:tbl>
    <w:p>
      <w:pPr>
        <w:jc w:val="left"/>
        <w:rPr>
          <w:b/>
          <w:color w:val="000000" w:themeColor="text1"/>
          <w:sz w:val="24"/>
        </w:rPr>
      </w:pPr>
    </w:p>
    <w:p>
      <w:pPr>
        <w:jc w:val="left"/>
        <w:rPr>
          <w:b/>
          <w:color w:val="000000" w:themeColor="text1"/>
          <w:sz w:val="24"/>
        </w:rPr>
      </w:pPr>
      <w:r>
        <w:rPr>
          <w:b/>
          <w:color w:val="000000" w:themeColor="text1"/>
          <w:sz w:val="24"/>
        </w:rPr>
        <w:t>外部救援通讯方式</w:t>
      </w:r>
    </w:p>
    <w:tbl>
      <w:tblPr>
        <w:tblStyle w:val="15"/>
        <w:tblW w:w="8136" w:type="dxa"/>
        <w:jc w:val="center"/>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Layout w:type="fixed"/>
        <w:tblCellMar>
          <w:top w:w="0" w:type="dxa"/>
          <w:left w:w="0" w:type="dxa"/>
          <w:bottom w:w="0" w:type="dxa"/>
          <w:right w:w="0" w:type="dxa"/>
        </w:tblCellMar>
      </w:tblPr>
      <w:tblGrid>
        <w:gridCol w:w="703"/>
        <w:gridCol w:w="4190"/>
        <w:gridCol w:w="1057"/>
        <w:gridCol w:w="2186"/>
      </w:tblGrid>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70" w:hRule="atLeast"/>
          <w:jc w:val="center"/>
        </w:trPr>
        <w:tc>
          <w:tcPr>
            <w:tcW w:w="703" w:type="dxa"/>
            <w:tcBorders>
              <w:tl2br w:val="nil"/>
              <w:tr2bl w:val="nil"/>
            </w:tcBorders>
            <w:vAlign w:val="center"/>
          </w:tcPr>
          <w:p>
            <w:pPr>
              <w:widowControl/>
              <w:spacing w:line="360" w:lineRule="auto"/>
              <w:ind w:firstLine="200"/>
              <w:jc w:val="center"/>
              <w:rPr>
                <w:rFonts w:ascii="宋体" w:hAnsi="宋体" w:cs="宋体"/>
                <w:b/>
                <w:bCs/>
                <w:color w:val="000000" w:themeColor="text1"/>
                <w:kern w:val="0"/>
                <w:sz w:val="22"/>
                <w:szCs w:val="22"/>
              </w:rPr>
            </w:pPr>
            <w:r>
              <w:rPr>
                <w:rFonts w:ascii="宋体" w:hAnsi="宋体" w:cs="宋体"/>
                <w:b/>
                <w:bCs/>
                <w:color w:val="000000" w:themeColor="text1"/>
                <w:kern w:val="0"/>
                <w:sz w:val="22"/>
                <w:szCs w:val="22"/>
              </w:rPr>
              <w:t>序号</w:t>
            </w:r>
          </w:p>
        </w:tc>
        <w:tc>
          <w:tcPr>
            <w:tcW w:w="4190" w:type="dxa"/>
            <w:tcBorders>
              <w:tl2br w:val="nil"/>
              <w:tr2bl w:val="nil"/>
            </w:tcBorders>
            <w:vAlign w:val="center"/>
          </w:tcPr>
          <w:p>
            <w:pPr>
              <w:widowControl/>
              <w:spacing w:line="360" w:lineRule="auto"/>
              <w:ind w:firstLine="200"/>
              <w:jc w:val="center"/>
              <w:rPr>
                <w:rFonts w:ascii="宋体" w:hAnsi="宋体" w:cs="宋体"/>
                <w:b/>
                <w:bCs/>
                <w:color w:val="000000" w:themeColor="text1"/>
                <w:kern w:val="0"/>
                <w:sz w:val="22"/>
                <w:szCs w:val="22"/>
              </w:rPr>
            </w:pPr>
            <w:r>
              <w:rPr>
                <w:rFonts w:ascii="宋体" w:hAnsi="宋体" w:cs="宋体"/>
                <w:b/>
                <w:bCs/>
                <w:color w:val="000000" w:themeColor="text1"/>
                <w:kern w:val="0"/>
                <w:sz w:val="22"/>
                <w:szCs w:val="22"/>
              </w:rPr>
              <w:t>部门/职务</w:t>
            </w:r>
          </w:p>
        </w:tc>
        <w:tc>
          <w:tcPr>
            <w:tcW w:w="1057" w:type="dxa"/>
            <w:tcBorders>
              <w:tl2br w:val="nil"/>
              <w:tr2bl w:val="nil"/>
            </w:tcBorders>
            <w:vAlign w:val="center"/>
          </w:tcPr>
          <w:p>
            <w:pPr>
              <w:widowControl/>
              <w:spacing w:line="360" w:lineRule="auto"/>
              <w:ind w:firstLine="200"/>
              <w:rPr>
                <w:rFonts w:ascii="宋体" w:hAnsi="宋体" w:cs="宋体"/>
                <w:b/>
                <w:bCs/>
                <w:color w:val="000000" w:themeColor="text1"/>
                <w:kern w:val="0"/>
                <w:sz w:val="22"/>
                <w:szCs w:val="22"/>
              </w:rPr>
            </w:pPr>
            <w:r>
              <w:rPr>
                <w:rFonts w:ascii="宋体" w:hAnsi="宋体" w:cs="宋体"/>
                <w:b/>
                <w:bCs/>
                <w:color w:val="000000" w:themeColor="text1"/>
                <w:kern w:val="0"/>
                <w:sz w:val="22"/>
                <w:szCs w:val="22"/>
              </w:rPr>
              <w:t>联系人</w:t>
            </w:r>
          </w:p>
        </w:tc>
        <w:tc>
          <w:tcPr>
            <w:tcW w:w="2186" w:type="dxa"/>
            <w:tcBorders>
              <w:tl2br w:val="nil"/>
              <w:tr2bl w:val="nil"/>
            </w:tcBorders>
            <w:vAlign w:val="center"/>
          </w:tcPr>
          <w:p>
            <w:pPr>
              <w:widowControl/>
              <w:spacing w:line="360" w:lineRule="auto"/>
              <w:ind w:firstLine="200"/>
              <w:jc w:val="center"/>
              <w:rPr>
                <w:rFonts w:ascii="宋体" w:hAnsi="宋体" w:cs="宋体"/>
                <w:b/>
                <w:bCs/>
                <w:color w:val="000000" w:themeColor="text1"/>
                <w:kern w:val="0"/>
                <w:sz w:val="22"/>
                <w:szCs w:val="22"/>
              </w:rPr>
            </w:pPr>
            <w:r>
              <w:rPr>
                <w:rFonts w:ascii="宋体" w:hAnsi="宋体" w:cs="宋体"/>
                <w:b/>
                <w:bCs/>
                <w:color w:val="000000" w:themeColor="text1"/>
                <w:kern w:val="0"/>
                <w:sz w:val="22"/>
                <w:szCs w:val="22"/>
              </w:rPr>
              <w:t>联系电话</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jc w:val="center"/>
        </w:trPr>
        <w:tc>
          <w:tcPr>
            <w:tcW w:w="703" w:type="dxa"/>
            <w:tcBorders>
              <w:tl2br w:val="nil"/>
              <w:tr2bl w:val="nil"/>
            </w:tcBorders>
            <w:vAlign w:val="center"/>
          </w:tcPr>
          <w:p>
            <w:pPr>
              <w:widowControl/>
              <w:spacing w:line="360" w:lineRule="auto"/>
              <w:ind w:firstLine="200"/>
              <w:jc w:val="center"/>
              <w:rPr>
                <w:color w:val="000000" w:themeColor="text1"/>
                <w:kern w:val="0"/>
                <w:sz w:val="22"/>
                <w:szCs w:val="22"/>
              </w:rPr>
            </w:pPr>
            <w:r>
              <w:rPr>
                <w:color w:val="000000" w:themeColor="text1"/>
                <w:kern w:val="0"/>
                <w:sz w:val="22"/>
                <w:szCs w:val="22"/>
              </w:rPr>
              <w:t>1</w:t>
            </w:r>
          </w:p>
        </w:tc>
        <w:tc>
          <w:tcPr>
            <w:tcW w:w="4190"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南昌市（县）安全生产应急指挥中心</w:t>
            </w:r>
          </w:p>
        </w:tc>
        <w:tc>
          <w:tcPr>
            <w:tcW w:w="1057" w:type="dxa"/>
            <w:tcBorders>
              <w:tl2br w:val="nil"/>
              <w:tr2bl w:val="nil"/>
            </w:tcBorders>
            <w:vAlign w:val="center"/>
          </w:tcPr>
          <w:p>
            <w:pPr>
              <w:widowControl/>
              <w:spacing w:before="100" w:beforeAutospacing="1" w:after="100" w:afterAutospacing="1"/>
              <w:ind w:firstLine="200"/>
              <w:jc w:val="center"/>
              <w:rPr>
                <w:color w:val="000000" w:themeColor="text1"/>
                <w:kern w:val="0"/>
                <w:sz w:val="22"/>
                <w:szCs w:val="22"/>
              </w:rPr>
            </w:pPr>
            <w:r>
              <w:rPr>
                <w:color w:val="000000" w:themeColor="text1"/>
                <w:kern w:val="0"/>
                <w:sz w:val="22"/>
                <w:szCs w:val="22"/>
              </w:rPr>
              <w:t>金雯婷</w:t>
            </w:r>
          </w:p>
        </w:tc>
        <w:tc>
          <w:tcPr>
            <w:tcW w:w="2186" w:type="dxa"/>
            <w:tcBorders>
              <w:tl2br w:val="nil"/>
              <w:tr2bl w:val="nil"/>
            </w:tcBorders>
            <w:vAlign w:val="center"/>
          </w:tcPr>
          <w:p>
            <w:pPr>
              <w:widowControl/>
              <w:spacing w:line="360" w:lineRule="auto"/>
              <w:ind w:firstLine="200"/>
              <w:jc w:val="center"/>
              <w:rPr>
                <w:color w:val="000000" w:themeColor="text1"/>
                <w:sz w:val="22"/>
                <w:szCs w:val="22"/>
              </w:rPr>
            </w:pP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jc w:val="center"/>
        </w:trPr>
        <w:tc>
          <w:tcPr>
            <w:tcW w:w="703" w:type="dxa"/>
            <w:tcBorders>
              <w:tl2br w:val="nil"/>
              <w:tr2bl w:val="nil"/>
            </w:tcBorders>
            <w:vAlign w:val="center"/>
          </w:tcPr>
          <w:p>
            <w:pPr>
              <w:widowControl/>
              <w:spacing w:line="360" w:lineRule="auto"/>
              <w:ind w:firstLine="200"/>
              <w:jc w:val="center"/>
              <w:rPr>
                <w:color w:val="000000" w:themeColor="text1"/>
                <w:kern w:val="0"/>
                <w:sz w:val="22"/>
                <w:szCs w:val="22"/>
              </w:rPr>
            </w:pPr>
            <w:r>
              <w:rPr>
                <w:color w:val="000000" w:themeColor="text1"/>
                <w:kern w:val="0"/>
                <w:sz w:val="22"/>
                <w:szCs w:val="22"/>
              </w:rPr>
              <w:t>2</w:t>
            </w:r>
          </w:p>
        </w:tc>
        <w:tc>
          <w:tcPr>
            <w:tcW w:w="4190"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南昌市（县）应急救援中心</w:t>
            </w:r>
          </w:p>
        </w:tc>
        <w:tc>
          <w:tcPr>
            <w:tcW w:w="1057"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戴晓望</w:t>
            </w:r>
          </w:p>
        </w:tc>
        <w:tc>
          <w:tcPr>
            <w:tcW w:w="2186"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83986153</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jc w:val="center"/>
        </w:trPr>
        <w:tc>
          <w:tcPr>
            <w:tcW w:w="703" w:type="dxa"/>
            <w:tcBorders>
              <w:tl2br w:val="nil"/>
              <w:tr2bl w:val="nil"/>
            </w:tcBorders>
            <w:vAlign w:val="center"/>
          </w:tcPr>
          <w:p>
            <w:pPr>
              <w:widowControl/>
              <w:spacing w:line="360" w:lineRule="auto"/>
              <w:ind w:firstLine="200"/>
              <w:jc w:val="center"/>
              <w:rPr>
                <w:color w:val="000000" w:themeColor="text1"/>
                <w:kern w:val="0"/>
                <w:sz w:val="22"/>
                <w:szCs w:val="22"/>
              </w:rPr>
            </w:pPr>
            <w:r>
              <w:rPr>
                <w:color w:val="000000" w:themeColor="text1"/>
                <w:kern w:val="0"/>
                <w:sz w:val="22"/>
                <w:szCs w:val="22"/>
              </w:rPr>
              <w:t>3</w:t>
            </w:r>
          </w:p>
        </w:tc>
        <w:tc>
          <w:tcPr>
            <w:tcW w:w="4190"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南昌市（县）安监局副局长</w:t>
            </w:r>
          </w:p>
        </w:tc>
        <w:tc>
          <w:tcPr>
            <w:tcW w:w="1057"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万平</w:t>
            </w:r>
          </w:p>
        </w:tc>
        <w:tc>
          <w:tcPr>
            <w:tcW w:w="2186"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13507093311</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jc w:val="center"/>
        </w:trPr>
        <w:tc>
          <w:tcPr>
            <w:tcW w:w="703" w:type="dxa"/>
            <w:tcBorders>
              <w:tl2br w:val="nil"/>
              <w:tr2bl w:val="nil"/>
            </w:tcBorders>
            <w:vAlign w:val="center"/>
          </w:tcPr>
          <w:p>
            <w:pPr>
              <w:widowControl/>
              <w:spacing w:line="360" w:lineRule="auto"/>
              <w:ind w:firstLine="200"/>
              <w:jc w:val="center"/>
              <w:rPr>
                <w:color w:val="000000" w:themeColor="text1"/>
                <w:kern w:val="0"/>
                <w:sz w:val="22"/>
                <w:szCs w:val="22"/>
              </w:rPr>
            </w:pPr>
            <w:r>
              <w:rPr>
                <w:color w:val="000000" w:themeColor="text1"/>
                <w:kern w:val="0"/>
                <w:sz w:val="22"/>
                <w:szCs w:val="22"/>
              </w:rPr>
              <w:t>4</w:t>
            </w:r>
          </w:p>
        </w:tc>
        <w:tc>
          <w:tcPr>
            <w:tcW w:w="4190"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南昌市（县）职业健康副局长</w:t>
            </w:r>
          </w:p>
        </w:tc>
        <w:tc>
          <w:tcPr>
            <w:tcW w:w="1057"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卢瑾萍</w:t>
            </w:r>
          </w:p>
        </w:tc>
        <w:tc>
          <w:tcPr>
            <w:tcW w:w="2186"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18079133835</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jc w:val="center"/>
        </w:trPr>
        <w:tc>
          <w:tcPr>
            <w:tcW w:w="703" w:type="dxa"/>
            <w:tcBorders>
              <w:tl2br w:val="nil"/>
              <w:tr2bl w:val="nil"/>
            </w:tcBorders>
            <w:vAlign w:val="center"/>
          </w:tcPr>
          <w:p>
            <w:pPr>
              <w:widowControl/>
              <w:spacing w:line="360" w:lineRule="auto"/>
              <w:ind w:firstLine="200"/>
              <w:jc w:val="center"/>
              <w:rPr>
                <w:color w:val="000000" w:themeColor="text1"/>
                <w:kern w:val="0"/>
                <w:sz w:val="22"/>
                <w:szCs w:val="22"/>
              </w:rPr>
            </w:pPr>
            <w:r>
              <w:rPr>
                <w:color w:val="000000" w:themeColor="text1"/>
                <w:kern w:val="0"/>
                <w:sz w:val="22"/>
                <w:szCs w:val="22"/>
              </w:rPr>
              <w:t>5</w:t>
            </w:r>
          </w:p>
        </w:tc>
        <w:tc>
          <w:tcPr>
            <w:tcW w:w="4190"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南昌（县）安监局办公室</w:t>
            </w:r>
          </w:p>
        </w:tc>
        <w:tc>
          <w:tcPr>
            <w:tcW w:w="1057"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w:t>
            </w:r>
          </w:p>
        </w:tc>
        <w:tc>
          <w:tcPr>
            <w:tcW w:w="2186"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88161635</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jc w:val="center"/>
        </w:trPr>
        <w:tc>
          <w:tcPr>
            <w:tcW w:w="703" w:type="dxa"/>
            <w:tcBorders>
              <w:tl2br w:val="nil"/>
              <w:tr2bl w:val="nil"/>
            </w:tcBorders>
            <w:vAlign w:val="center"/>
          </w:tcPr>
          <w:p>
            <w:pPr>
              <w:widowControl/>
              <w:spacing w:line="360" w:lineRule="auto"/>
              <w:ind w:firstLine="200"/>
              <w:jc w:val="center"/>
              <w:rPr>
                <w:color w:val="000000" w:themeColor="text1"/>
                <w:kern w:val="0"/>
                <w:sz w:val="22"/>
                <w:szCs w:val="22"/>
              </w:rPr>
            </w:pPr>
            <w:r>
              <w:rPr>
                <w:color w:val="000000" w:themeColor="text1"/>
                <w:kern w:val="0"/>
                <w:sz w:val="22"/>
                <w:szCs w:val="22"/>
              </w:rPr>
              <w:t>6</w:t>
            </w:r>
          </w:p>
        </w:tc>
        <w:tc>
          <w:tcPr>
            <w:tcW w:w="4190"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南昌市（县）安监局执法大队长</w:t>
            </w:r>
          </w:p>
        </w:tc>
        <w:tc>
          <w:tcPr>
            <w:tcW w:w="1057" w:type="dxa"/>
            <w:tcBorders>
              <w:tl2br w:val="nil"/>
              <w:tr2bl w:val="nil"/>
            </w:tcBorders>
            <w:vAlign w:val="center"/>
          </w:tcPr>
          <w:p>
            <w:pPr>
              <w:widowControl/>
              <w:spacing w:line="360" w:lineRule="auto"/>
              <w:ind w:firstLine="200"/>
              <w:jc w:val="center"/>
              <w:rPr>
                <w:color w:val="000000" w:themeColor="text1"/>
                <w:sz w:val="22"/>
                <w:szCs w:val="22"/>
              </w:rPr>
            </w:pPr>
          </w:p>
        </w:tc>
        <w:tc>
          <w:tcPr>
            <w:tcW w:w="2186"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83839641</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jc w:val="center"/>
        </w:trPr>
        <w:tc>
          <w:tcPr>
            <w:tcW w:w="703" w:type="dxa"/>
            <w:tcBorders>
              <w:tl2br w:val="nil"/>
              <w:tr2bl w:val="nil"/>
            </w:tcBorders>
            <w:vAlign w:val="center"/>
          </w:tcPr>
          <w:p>
            <w:pPr>
              <w:widowControl/>
              <w:spacing w:line="360" w:lineRule="auto"/>
              <w:ind w:firstLine="200"/>
              <w:jc w:val="center"/>
              <w:rPr>
                <w:color w:val="000000" w:themeColor="text1"/>
                <w:kern w:val="0"/>
                <w:sz w:val="22"/>
                <w:szCs w:val="22"/>
              </w:rPr>
            </w:pPr>
            <w:r>
              <w:rPr>
                <w:color w:val="000000" w:themeColor="text1"/>
                <w:kern w:val="0"/>
                <w:sz w:val="22"/>
                <w:szCs w:val="22"/>
              </w:rPr>
              <w:t>7</w:t>
            </w:r>
          </w:p>
        </w:tc>
        <w:tc>
          <w:tcPr>
            <w:tcW w:w="4190" w:type="dxa"/>
            <w:tcBorders>
              <w:tl2br w:val="nil"/>
              <w:tr2bl w:val="nil"/>
            </w:tcBorders>
            <w:vAlign w:val="bottom"/>
          </w:tcPr>
          <w:p>
            <w:pPr>
              <w:widowControl/>
              <w:spacing w:line="360" w:lineRule="auto"/>
              <w:ind w:firstLine="200"/>
              <w:jc w:val="center"/>
              <w:rPr>
                <w:color w:val="000000" w:themeColor="text1"/>
                <w:sz w:val="22"/>
                <w:szCs w:val="22"/>
              </w:rPr>
            </w:pPr>
            <w:r>
              <w:rPr>
                <w:color w:val="000000" w:themeColor="text1"/>
                <w:sz w:val="22"/>
                <w:szCs w:val="22"/>
              </w:rPr>
              <w:t>南昌市（县）消防大队大队长</w:t>
            </w:r>
          </w:p>
        </w:tc>
        <w:tc>
          <w:tcPr>
            <w:tcW w:w="1057" w:type="dxa"/>
            <w:tcBorders>
              <w:tl2br w:val="nil"/>
              <w:tr2bl w:val="nil"/>
            </w:tcBorders>
            <w:vAlign w:val="bottom"/>
          </w:tcPr>
          <w:p>
            <w:pPr>
              <w:widowControl/>
              <w:spacing w:line="360" w:lineRule="auto"/>
              <w:ind w:firstLine="200"/>
              <w:jc w:val="center"/>
              <w:rPr>
                <w:color w:val="000000" w:themeColor="text1"/>
                <w:sz w:val="22"/>
                <w:szCs w:val="22"/>
              </w:rPr>
            </w:pPr>
            <w:r>
              <w:rPr>
                <w:color w:val="000000" w:themeColor="text1"/>
                <w:sz w:val="22"/>
                <w:szCs w:val="22"/>
              </w:rPr>
              <w:t>陈峰</w:t>
            </w:r>
          </w:p>
        </w:tc>
        <w:tc>
          <w:tcPr>
            <w:tcW w:w="2186" w:type="dxa"/>
            <w:tcBorders>
              <w:tl2br w:val="nil"/>
              <w:tr2bl w:val="nil"/>
            </w:tcBorders>
            <w:vAlign w:val="bottom"/>
          </w:tcPr>
          <w:p>
            <w:pPr>
              <w:widowControl/>
              <w:spacing w:line="360" w:lineRule="auto"/>
              <w:ind w:firstLine="200"/>
              <w:jc w:val="center"/>
              <w:rPr>
                <w:color w:val="000000" w:themeColor="text1"/>
                <w:sz w:val="22"/>
                <w:szCs w:val="22"/>
              </w:rPr>
            </w:pPr>
            <w:r>
              <w:rPr>
                <w:color w:val="000000" w:themeColor="text1"/>
                <w:sz w:val="22"/>
                <w:szCs w:val="22"/>
              </w:rPr>
              <w:t>18970016631</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jc w:val="center"/>
        </w:trPr>
        <w:tc>
          <w:tcPr>
            <w:tcW w:w="703" w:type="dxa"/>
            <w:tcBorders>
              <w:tl2br w:val="nil"/>
              <w:tr2bl w:val="nil"/>
            </w:tcBorders>
            <w:vAlign w:val="center"/>
          </w:tcPr>
          <w:p>
            <w:pPr>
              <w:widowControl/>
              <w:spacing w:line="360" w:lineRule="auto"/>
              <w:ind w:firstLine="200"/>
              <w:jc w:val="center"/>
              <w:rPr>
                <w:color w:val="000000" w:themeColor="text1"/>
                <w:kern w:val="0"/>
                <w:sz w:val="22"/>
                <w:szCs w:val="22"/>
              </w:rPr>
            </w:pPr>
            <w:r>
              <w:rPr>
                <w:color w:val="000000" w:themeColor="text1"/>
                <w:kern w:val="0"/>
                <w:sz w:val="22"/>
                <w:szCs w:val="22"/>
              </w:rPr>
              <w:t>8</w:t>
            </w:r>
          </w:p>
        </w:tc>
        <w:tc>
          <w:tcPr>
            <w:tcW w:w="4190"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消防火灾报警电话</w:t>
            </w:r>
          </w:p>
        </w:tc>
        <w:tc>
          <w:tcPr>
            <w:tcW w:w="1057"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w:t>
            </w:r>
          </w:p>
        </w:tc>
        <w:tc>
          <w:tcPr>
            <w:tcW w:w="2186"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119</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285" w:hRule="atLeast"/>
          <w:jc w:val="center"/>
        </w:trPr>
        <w:tc>
          <w:tcPr>
            <w:tcW w:w="703" w:type="dxa"/>
            <w:tcBorders>
              <w:tl2br w:val="nil"/>
              <w:tr2bl w:val="nil"/>
            </w:tcBorders>
            <w:vAlign w:val="center"/>
          </w:tcPr>
          <w:p>
            <w:pPr>
              <w:widowControl/>
              <w:spacing w:line="360" w:lineRule="auto"/>
              <w:ind w:firstLine="200"/>
              <w:jc w:val="center"/>
              <w:rPr>
                <w:color w:val="000000" w:themeColor="text1"/>
                <w:kern w:val="0"/>
                <w:sz w:val="22"/>
                <w:szCs w:val="22"/>
              </w:rPr>
            </w:pPr>
            <w:r>
              <w:rPr>
                <w:color w:val="000000" w:themeColor="text1"/>
                <w:kern w:val="0"/>
                <w:sz w:val="22"/>
                <w:szCs w:val="22"/>
              </w:rPr>
              <w:t>9</w:t>
            </w:r>
          </w:p>
        </w:tc>
        <w:tc>
          <w:tcPr>
            <w:tcW w:w="4190"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医疗急救电话</w:t>
            </w:r>
          </w:p>
        </w:tc>
        <w:tc>
          <w:tcPr>
            <w:tcW w:w="1057"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w:t>
            </w:r>
          </w:p>
        </w:tc>
        <w:tc>
          <w:tcPr>
            <w:tcW w:w="2186"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120</w:t>
            </w:r>
          </w:p>
        </w:tc>
      </w:tr>
      <w:tr>
        <w:tblPrEx>
          <w:tblBorders>
            <w:top w:val="single" w:color="000000" w:sz="12" w:space="0"/>
            <w:left w:val="none" w:color="auto" w:sz="0" w:space="0"/>
            <w:bottom w:val="single" w:color="000000" w:sz="12" w:space="0"/>
            <w:right w:val="none" w:color="auto" w:sz="0" w:space="0"/>
            <w:insideH w:val="single" w:color="000000" w:sz="8" w:space="0"/>
            <w:insideV w:val="single" w:color="000000" w:sz="8" w:space="0"/>
          </w:tblBorders>
          <w:tblCellMar>
            <w:top w:w="0" w:type="dxa"/>
            <w:left w:w="0" w:type="dxa"/>
            <w:bottom w:w="0" w:type="dxa"/>
            <w:right w:w="0" w:type="dxa"/>
          </w:tblCellMar>
        </w:tblPrEx>
        <w:trPr>
          <w:trHeight w:val="375" w:hRule="atLeast"/>
          <w:jc w:val="center"/>
        </w:trPr>
        <w:tc>
          <w:tcPr>
            <w:tcW w:w="703" w:type="dxa"/>
            <w:tcBorders>
              <w:tl2br w:val="nil"/>
              <w:tr2bl w:val="nil"/>
            </w:tcBorders>
            <w:vAlign w:val="center"/>
          </w:tcPr>
          <w:p>
            <w:pPr>
              <w:widowControl/>
              <w:spacing w:line="360" w:lineRule="auto"/>
              <w:ind w:firstLine="200"/>
              <w:jc w:val="center"/>
              <w:rPr>
                <w:color w:val="000000" w:themeColor="text1"/>
                <w:kern w:val="0"/>
                <w:sz w:val="22"/>
                <w:szCs w:val="22"/>
              </w:rPr>
            </w:pPr>
            <w:r>
              <w:rPr>
                <w:color w:val="000000" w:themeColor="text1"/>
                <w:kern w:val="0"/>
                <w:sz w:val="22"/>
                <w:szCs w:val="22"/>
              </w:rPr>
              <w:t>10</w:t>
            </w:r>
          </w:p>
        </w:tc>
        <w:tc>
          <w:tcPr>
            <w:tcW w:w="4190"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公安报警电话</w:t>
            </w:r>
          </w:p>
        </w:tc>
        <w:tc>
          <w:tcPr>
            <w:tcW w:w="1057"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w:t>
            </w:r>
          </w:p>
        </w:tc>
        <w:tc>
          <w:tcPr>
            <w:tcW w:w="2186" w:type="dxa"/>
            <w:tcBorders>
              <w:tl2br w:val="nil"/>
              <w:tr2bl w:val="nil"/>
            </w:tcBorders>
            <w:vAlign w:val="center"/>
          </w:tcPr>
          <w:p>
            <w:pPr>
              <w:widowControl/>
              <w:spacing w:line="360" w:lineRule="auto"/>
              <w:ind w:firstLine="200"/>
              <w:jc w:val="center"/>
              <w:rPr>
                <w:color w:val="000000" w:themeColor="text1"/>
                <w:sz w:val="22"/>
                <w:szCs w:val="22"/>
              </w:rPr>
            </w:pPr>
            <w:r>
              <w:rPr>
                <w:color w:val="000000" w:themeColor="text1"/>
                <w:sz w:val="22"/>
                <w:szCs w:val="22"/>
              </w:rPr>
              <w:t>110</w:t>
            </w:r>
          </w:p>
        </w:tc>
      </w:tr>
    </w:tbl>
    <w:p>
      <w:pPr>
        <w:pStyle w:val="2"/>
        <w:ind w:firstLine="480"/>
        <w:rPr>
          <w:rFonts w:hint="default"/>
          <w:color w:val="000000" w:themeColor="text1"/>
        </w:rPr>
      </w:pPr>
    </w:p>
    <w:p>
      <w:pPr>
        <w:jc w:val="left"/>
        <w:rPr>
          <w:b/>
          <w:color w:val="000000" w:themeColor="text1"/>
          <w:sz w:val="24"/>
        </w:rPr>
      </w:pPr>
      <w:r>
        <w:rPr>
          <w:b/>
          <w:color w:val="000000" w:themeColor="text1"/>
          <w:sz w:val="24"/>
        </w:rPr>
        <w:t>周边通讯方式</w:t>
      </w:r>
    </w:p>
    <w:p>
      <w:pPr>
        <w:pStyle w:val="2"/>
        <w:ind w:firstLine="480"/>
        <w:rPr>
          <w:rFonts w:hint="default"/>
        </w:rPr>
      </w:pPr>
      <w:r>
        <w:t>修车场范润华</w:t>
      </w:r>
      <w:r>
        <w:tab/>
      </w:r>
      <w:r>
        <w:tab/>
      </w:r>
      <w:r>
        <w:t>17770028506</w:t>
      </w:r>
    </w:p>
    <w:p>
      <w:pPr>
        <w:pStyle w:val="2"/>
        <w:ind w:firstLine="480"/>
        <w:rPr>
          <w:rFonts w:hint="default"/>
        </w:rPr>
      </w:pPr>
      <w:r>
        <w:t>瑶湖派出所</w:t>
      </w:r>
      <w:r>
        <w:tab/>
      </w:r>
      <w:r>
        <w:tab/>
      </w:r>
      <w:r>
        <w:t>0791-88357711</w:t>
      </w:r>
    </w:p>
    <w:p>
      <w:pPr>
        <w:widowControl/>
        <w:jc w:val="left"/>
        <w:rPr>
          <w:color w:val="000000" w:themeColor="text1"/>
        </w:rPr>
      </w:pPr>
      <w:r>
        <w:rPr>
          <w:color w:val="000000" w:themeColor="text1"/>
        </w:rPr>
        <w:br w:type="page"/>
      </w:r>
    </w:p>
    <w:p>
      <w:pPr>
        <w:keepNext/>
        <w:keepLines/>
        <w:spacing w:before="468" w:beforeLines="150" w:line="360" w:lineRule="auto"/>
        <w:ind w:left="426" w:hanging="426" w:hangingChars="202"/>
        <w:jc w:val="left"/>
        <w:outlineLvl w:val="1"/>
        <w:rPr>
          <w:b/>
          <w:color w:val="000000" w:themeColor="text1"/>
        </w:rPr>
      </w:pPr>
      <w:bookmarkStart w:id="168" w:name="_Toc20485"/>
      <w:r>
        <w:rPr>
          <w:b/>
          <w:color w:val="000000" w:themeColor="text1"/>
        </w:rPr>
        <w:t>附件</w:t>
      </w:r>
      <w:r>
        <w:rPr>
          <w:rFonts w:hint="eastAsia"/>
          <w:b/>
          <w:color w:val="000000" w:themeColor="text1"/>
        </w:rPr>
        <w:t>二环评批复</w:t>
      </w:r>
      <w:bookmarkEnd w:id="168"/>
    </w:p>
    <w:p>
      <w:pPr>
        <w:pStyle w:val="2"/>
        <w:ind w:firstLine="480"/>
        <w:rPr>
          <w:rFonts w:hint="default"/>
        </w:rPr>
      </w:pPr>
      <w:r>
        <w:drawing>
          <wp:inline distT="0" distB="0" distL="0" distR="0">
            <wp:extent cx="4286250" cy="7620000"/>
            <wp:effectExtent l="0" t="0" r="0" b="0"/>
            <wp:docPr id="5" name="图片 5" descr="I:\愉颖资料\愉颖资料\2-环评批复\瑶湖加油站\mmexport1511509908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愉颖资料\愉颖资料\2-环评批复\瑶湖加油站\mmexport1511509908581.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4286250" cy="7620000"/>
                    </a:xfrm>
                    <a:prstGeom prst="rect">
                      <a:avLst/>
                    </a:prstGeom>
                    <a:noFill/>
                    <a:ln>
                      <a:noFill/>
                    </a:ln>
                  </pic:spPr>
                </pic:pic>
              </a:graphicData>
            </a:graphic>
          </wp:inline>
        </w:drawing>
      </w:r>
    </w:p>
    <w:p/>
    <w:p>
      <w:pPr>
        <w:pStyle w:val="2"/>
        <w:ind w:firstLine="480"/>
        <w:rPr>
          <w:rFonts w:hint="default"/>
        </w:rPr>
      </w:pPr>
    </w:p>
    <w:p/>
    <w:p>
      <w:pPr>
        <w:pStyle w:val="2"/>
        <w:ind w:firstLine="480"/>
        <w:jc w:val="center"/>
        <w:rPr>
          <w:rFonts w:hint="default"/>
        </w:rPr>
      </w:pPr>
      <w:r>
        <w:rPr>
          <w:rFonts w:hint="default"/>
        </w:rPr>
        <w:drawing>
          <wp:inline distT="0" distB="0" distL="0" distR="0">
            <wp:extent cx="5365115" cy="795591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365115" cy="7955915"/>
                    </a:xfrm>
                    <a:prstGeom prst="rect">
                      <a:avLst/>
                    </a:prstGeom>
                    <a:noFill/>
                  </pic:spPr>
                </pic:pic>
              </a:graphicData>
            </a:graphic>
          </wp:inline>
        </w:drawing>
      </w:r>
    </w:p>
    <w:p>
      <w:pPr>
        <w:pStyle w:val="2"/>
        <w:ind w:firstLine="480"/>
        <w:jc w:val="center"/>
        <w:rPr>
          <w:rFonts w:hint="default"/>
        </w:rPr>
      </w:pPr>
    </w:p>
    <w:p>
      <w:pPr>
        <w:pStyle w:val="2"/>
        <w:ind w:firstLine="480"/>
        <w:jc w:val="center"/>
        <w:rPr>
          <w:rFonts w:hint="default"/>
        </w:rPr>
      </w:pPr>
    </w:p>
    <w:p>
      <w:pPr>
        <w:pStyle w:val="2"/>
        <w:ind w:firstLine="480"/>
        <w:jc w:val="center"/>
        <w:rPr>
          <w:rFonts w:hint="default"/>
        </w:rPr>
      </w:pPr>
      <w:r>
        <w:drawing>
          <wp:anchor distT="0" distB="0" distL="114300" distR="114300" simplePos="0" relativeHeight="251669504" behindDoc="0" locked="0" layoutInCell="1" allowOverlap="1">
            <wp:simplePos x="0" y="0"/>
            <wp:positionH relativeFrom="column">
              <wp:posOffset>-607695</wp:posOffset>
            </wp:positionH>
            <wp:positionV relativeFrom="paragraph">
              <wp:posOffset>1355725</wp:posOffset>
            </wp:positionV>
            <wp:extent cx="7106285" cy="4479925"/>
            <wp:effectExtent l="0" t="1314450" r="0" b="1292225"/>
            <wp:wrapSquare wrapText="bothSides"/>
            <wp:docPr id="10" name="图片 10" descr="I:\愉颖资料\愉颖资料\2-环评批复\瑶湖加油站\mmexport15115099779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愉颖资料\愉颖资料\2-环评批复\瑶湖加油站\mmexport1511509977986.jpg"/>
                    <pic:cNvPicPr>
                      <a:picLocks noChangeAspect="1" noChangeArrowheads="1"/>
                    </pic:cNvPicPr>
                  </pic:nvPicPr>
                  <pic:blipFill>
                    <a:blip r:embed="rId45">
                      <a:extLst>
                        <a:ext uri="{28A0092B-C50C-407E-A947-70E740481C1C}">
                          <a14:useLocalDpi xmlns:a14="http://schemas.microsoft.com/office/drawing/2010/main" val="0"/>
                        </a:ext>
                      </a:extLst>
                    </a:blip>
                    <a:srcRect r="11176"/>
                    <a:stretch>
                      <a:fillRect/>
                    </a:stretch>
                  </pic:blipFill>
                  <pic:spPr>
                    <a:xfrm rot="5400000">
                      <a:off x="0" y="0"/>
                      <a:ext cx="7110192" cy="4482677"/>
                    </a:xfrm>
                    <a:prstGeom prst="rect">
                      <a:avLst/>
                    </a:prstGeom>
                    <a:noFill/>
                    <a:ln>
                      <a:noFill/>
                    </a:ln>
                  </pic:spPr>
                </pic:pic>
              </a:graphicData>
            </a:graphic>
          </wp:anchor>
        </w:drawing>
      </w:r>
    </w:p>
    <w:sectPr>
      <w:footerReference r:id="rId5" w:type="default"/>
      <w:pgSz w:w="11906" w:h="16838"/>
      <w:pgMar w:top="1440" w:right="1800" w:bottom="1440" w:left="1800" w:header="851" w:footer="992" w:gutter="0"/>
      <w:pgNumType w:fmt="upperRoman"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仿宋_GB2312">
    <w:altName w:val="仿宋"/>
    <w:panose1 w:val="00000000000000000000"/>
    <w:charset w:val="86"/>
    <w:family w:val="modern"/>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p>
    <w:pPr>
      <w:pStyle w:val="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27887036"/>
    </w:sdtPr>
    <w:sdtContent>
      <w:p>
        <w:pPr>
          <w:pStyle w:val="8"/>
          <w:jc w:val="center"/>
        </w:pPr>
        <w:r>
          <w:fldChar w:fldCharType="begin"/>
        </w:r>
        <w:r>
          <w:instrText xml:space="preserve">PAGE   \* MERGEFORMAT</w:instrText>
        </w:r>
        <w:r>
          <w:fldChar w:fldCharType="separate"/>
        </w:r>
        <w:r>
          <w:rPr>
            <w:lang w:val="zh-CN"/>
          </w:rPr>
          <w:t>5</w:t>
        </w:r>
        <w:r>
          <w:rPr>
            <w:lang w:val="zh-CN"/>
          </w:rPr>
          <w:fldChar w:fldCharType="end"/>
        </w:r>
      </w:p>
    </w:sdtContent>
  </w:sdt>
  <w:p>
    <w:pPr>
      <w:pStyle w:val="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jc w:val="center"/>
    </w:pPr>
    <w:r>
      <w:fldChar w:fldCharType="begin"/>
    </w:r>
    <w:r>
      <w:instrText xml:space="preserve">PAGE   \* MERGEFORMAT</w:instrText>
    </w:r>
    <w:r>
      <w:fldChar w:fldCharType="separate"/>
    </w:r>
    <w:r>
      <w:rPr>
        <w:lang w:val="zh-CN"/>
      </w:rPr>
      <w:t>VI</w:t>
    </w:r>
    <w:r>
      <w:rPr>
        <w:lang w:val="zh-CN"/>
      </w:rPr>
      <w:fldChar w:fldCharType="end"/>
    </w:r>
  </w:p>
  <w:p>
    <w:pPr>
      <w:pStyle w:val="8"/>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971606A"/>
    <w:multiLevelType w:val="multilevel"/>
    <w:tmpl w:val="3971606A"/>
    <w:lvl w:ilvl="0" w:tentative="0">
      <w:start w:val="1"/>
      <w:numFmt w:val="decimalEnclosedCircle"/>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473562EC"/>
    <w:multiLevelType w:val="singleLevel"/>
    <w:tmpl w:val="473562EC"/>
    <w:lvl w:ilvl="0" w:tentative="0">
      <w:start w:val="1"/>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71C65001"/>
    <w:rsid w:val="0000367C"/>
    <w:rsid w:val="000038EF"/>
    <w:rsid w:val="00035214"/>
    <w:rsid w:val="00072D04"/>
    <w:rsid w:val="00072F6D"/>
    <w:rsid w:val="00086D5A"/>
    <w:rsid w:val="000A6C60"/>
    <w:rsid w:val="000C226A"/>
    <w:rsid w:val="000C5895"/>
    <w:rsid w:val="000C67AC"/>
    <w:rsid w:val="000E47A8"/>
    <w:rsid w:val="000E6CD5"/>
    <w:rsid w:val="001035BE"/>
    <w:rsid w:val="00116C07"/>
    <w:rsid w:val="00167669"/>
    <w:rsid w:val="001858DE"/>
    <w:rsid w:val="00191281"/>
    <w:rsid w:val="00193F8B"/>
    <w:rsid w:val="00194CC9"/>
    <w:rsid w:val="001972D5"/>
    <w:rsid w:val="001B0F23"/>
    <w:rsid w:val="001B1030"/>
    <w:rsid w:val="001D6BB4"/>
    <w:rsid w:val="001E1E0C"/>
    <w:rsid w:val="001E6C93"/>
    <w:rsid w:val="001F0284"/>
    <w:rsid w:val="001F6554"/>
    <w:rsid w:val="0020086B"/>
    <w:rsid w:val="00201018"/>
    <w:rsid w:val="002017EC"/>
    <w:rsid w:val="00226308"/>
    <w:rsid w:val="0024540C"/>
    <w:rsid w:val="002624DF"/>
    <w:rsid w:val="00270001"/>
    <w:rsid w:val="00272F4C"/>
    <w:rsid w:val="00277896"/>
    <w:rsid w:val="0029241B"/>
    <w:rsid w:val="002963B6"/>
    <w:rsid w:val="002A5F33"/>
    <w:rsid w:val="002B6B2D"/>
    <w:rsid w:val="002C522E"/>
    <w:rsid w:val="002F7BD0"/>
    <w:rsid w:val="00300B7B"/>
    <w:rsid w:val="0031130F"/>
    <w:rsid w:val="0034188C"/>
    <w:rsid w:val="00360B8F"/>
    <w:rsid w:val="00367FF2"/>
    <w:rsid w:val="00372686"/>
    <w:rsid w:val="00374F7F"/>
    <w:rsid w:val="00385F19"/>
    <w:rsid w:val="003C0FF5"/>
    <w:rsid w:val="003C3578"/>
    <w:rsid w:val="003E31BF"/>
    <w:rsid w:val="003E6414"/>
    <w:rsid w:val="003F0BDA"/>
    <w:rsid w:val="003F30CD"/>
    <w:rsid w:val="003F6180"/>
    <w:rsid w:val="00415806"/>
    <w:rsid w:val="0044745B"/>
    <w:rsid w:val="0048389C"/>
    <w:rsid w:val="004861E0"/>
    <w:rsid w:val="004A7A59"/>
    <w:rsid w:val="004B13A4"/>
    <w:rsid w:val="004B276B"/>
    <w:rsid w:val="004D0071"/>
    <w:rsid w:val="004D5940"/>
    <w:rsid w:val="004D683D"/>
    <w:rsid w:val="004E2E62"/>
    <w:rsid w:val="0050494C"/>
    <w:rsid w:val="005206F2"/>
    <w:rsid w:val="005312FA"/>
    <w:rsid w:val="0053178F"/>
    <w:rsid w:val="00540BDA"/>
    <w:rsid w:val="00560E10"/>
    <w:rsid w:val="00590502"/>
    <w:rsid w:val="005A7723"/>
    <w:rsid w:val="005B2466"/>
    <w:rsid w:val="005E1C66"/>
    <w:rsid w:val="005E6C37"/>
    <w:rsid w:val="005F3121"/>
    <w:rsid w:val="005F392E"/>
    <w:rsid w:val="005F39C9"/>
    <w:rsid w:val="006022BE"/>
    <w:rsid w:val="00624B2A"/>
    <w:rsid w:val="00633548"/>
    <w:rsid w:val="0064317E"/>
    <w:rsid w:val="00643226"/>
    <w:rsid w:val="006450B8"/>
    <w:rsid w:val="00652A43"/>
    <w:rsid w:val="00664673"/>
    <w:rsid w:val="0066711A"/>
    <w:rsid w:val="00667723"/>
    <w:rsid w:val="0068121D"/>
    <w:rsid w:val="00681614"/>
    <w:rsid w:val="00682A7B"/>
    <w:rsid w:val="006A0930"/>
    <w:rsid w:val="006A4055"/>
    <w:rsid w:val="006D62CB"/>
    <w:rsid w:val="006F2753"/>
    <w:rsid w:val="006F6F00"/>
    <w:rsid w:val="00702599"/>
    <w:rsid w:val="00716869"/>
    <w:rsid w:val="00746A05"/>
    <w:rsid w:val="00756A89"/>
    <w:rsid w:val="0076099D"/>
    <w:rsid w:val="00777F1C"/>
    <w:rsid w:val="00786030"/>
    <w:rsid w:val="00795BF5"/>
    <w:rsid w:val="007967DE"/>
    <w:rsid w:val="007B566A"/>
    <w:rsid w:val="007D6E5F"/>
    <w:rsid w:val="00802334"/>
    <w:rsid w:val="008027CB"/>
    <w:rsid w:val="0080534A"/>
    <w:rsid w:val="00807316"/>
    <w:rsid w:val="008507C0"/>
    <w:rsid w:val="00851781"/>
    <w:rsid w:val="00861180"/>
    <w:rsid w:val="0088704B"/>
    <w:rsid w:val="00895373"/>
    <w:rsid w:val="008A2F99"/>
    <w:rsid w:val="008B5D4D"/>
    <w:rsid w:val="008C3684"/>
    <w:rsid w:val="008C7B7A"/>
    <w:rsid w:val="008D703D"/>
    <w:rsid w:val="008E0D48"/>
    <w:rsid w:val="008E35C2"/>
    <w:rsid w:val="008E36C7"/>
    <w:rsid w:val="008E435D"/>
    <w:rsid w:val="008E5684"/>
    <w:rsid w:val="00905FA0"/>
    <w:rsid w:val="009062DE"/>
    <w:rsid w:val="00912E25"/>
    <w:rsid w:val="00927909"/>
    <w:rsid w:val="009360E0"/>
    <w:rsid w:val="00947CA2"/>
    <w:rsid w:val="009739C1"/>
    <w:rsid w:val="0098112F"/>
    <w:rsid w:val="0099404C"/>
    <w:rsid w:val="009A51F7"/>
    <w:rsid w:val="009B7844"/>
    <w:rsid w:val="009C74C4"/>
    <w:rsid w:val="009E0B5F"/>
    <w:rsid w:val="00A02F47"/>
    <w:rsid w:val="00A0495A"/>
    <w:rsid w:val="00A06020"/>
    <w:rsid w:val="00A37954"/>
    <w:rsid w:val="00A468FA"/>
    <w:rsid w:val="00A5376B"/>
    <w:rsid w:val="00A5558A"/>
    <w:rsid w:val="00A670C8"/>
    <w:rsid w:val="00A74196"/>
    <w:rsid w:val="00AC3792"/>
    <w:rsid w:val="00AD5ED8"/>
    <w:rsid w:val="00AE13FE"/>
    <w:rsid w:val="00AF0752"/>
    <w:rsid w:val="00B102EB"/>
    <w:rsid w:val="00B5721A"/>
    <w:rsid w:val="00B60686"/>
    <w:rsid w:val="00B93358"/>
    <w:rsid w:val="00BA1531"/>
    <w:rsid w:val="00C043DF"/>
    <w:rsid w:val="00C07BD1"/>
    <w:rsid w:val="00C1726C"/>
    <w:rsid w:val="00C27AA5"/>
    <w:rsid w:val="00C43BF6"/>
    <w:rsid w:val="00C6391F"/>
    <w:rsid w:val="00C73B4B"/>
    <w:rsid w:val="00C74AB3"/>
    <w:rsid w:val="00CD2132"/>
    <w:rsid w:val="00CE2DA7"/>
    <w:rsid w:val="00CE3DF8"/>
    <w:rsid w:val="00D044CB"/>
    <w:rsid w:val="00D07B11"/>
    <w:rsid w:val="00D173DE"/>
    <w:rsid w:val="00D214EA"/>
    <w:rsid w:val="00D22FA0"/>
    <w:rsid w:val="00D464EB"/>
    <w:rsid w:val="00D71E44"/>
    <w:rsid w:val="00D732B0"/>
    <w:rsid w:val="00D94FFD"/>
    <w:rsid w:val="00D97330"/>
    <w:rsid w:val="00D97B2D"/>
    <w:rsid w:val="00DB3B08"/>
    <w:rsid w:val="00DB42D0"/>
    <w:rsid w:val="00DC2856"/>
    <w:rsid w:val="00DC551C"/>
    <w:rsid w:val="00DE1692"/>
    <w:rsid w:val="00DE5F3B"/>
    <w:rsid w:val="00DF18D5"/>
    <w:rsid w:val="00E0202C"/>
    <w:rsid w:val="00E04638"/>
    <w:rsid w:val="00E0678C"/>
    <w:rsid w:val="00E367D9"/>
    <w:rsid w:val="00E37BB3"/>
    <w:rsid w:val="00E808B7"/>
    <w:rsid w:val="00E9594F"/>
    <w:rsid w:val="00EA1F4A"/>
    <w:rsid w:val="00EA62E1"/>
    <w:rsid w:val="00EB4D8D"/>
    <w:rsid w:val="00EB625C"/>
    <w:rsid w:val="00EF0EF3"/>
    <w:rsid w:val="00F3030C"/>
    <w:rsid w:val="00F433F0"/>
    <w:rsid w:val="00F6722F"/>
    <w:rsid w:val="00F80BAF"/>
    <w:rsid w:val="00FA2798"/>
    <w:rsid w:val="00FA7D70"/>
    <w:rsid w:val="00FC0236"/>
    <w:rsid w:val="00FC5D84"/>
    <w:rsid w:val="00FD1BC0"/>
    <w:rsid w:val="00FD1E2D"/>
    <w:rsid w:val="00FE3610"/>
    <w:rsid w:val="00FF45FE"/>
    <w:rsid w:val="0121251A"/>
    <w:rsid w:val="01675A59"/>
    <w:rsid w:val="060577DB"/>
    <w:rsid w:val="07A031B5"/>
    <w:rsid w:val="07A61018"/>
    <w:rsid w:val="0A3D658F"/>
    <w:rsid w:val="0C9D0476"/>
    <w:rsid w:val="0E937085"/>
    <w:rsid w:val="0EFF4AC9"/>
    <w:rsid w:val="0F8B41CD"/>
    <w:rsid w:val="10526051"/>
    <w:rsid w:val="13474EF4"/>
    <w:rsid w:val="13AD6C9C"/>
    <w:rsid w:val="182E3B52"/>
    <w:rsid w:val="190D3C2B"/>
    <w:rsid w:val="21B773D2"/>
    <w:rsid w:val="229208CA"/>
    <w:rsid w:val="231C683D"/>
    <w:rsid w:val="2355477B"/>
    <w:rsid w:val="235E7078"/>
    <w:rsid w:val="29DD2337"/>
    <w:rsid w:val="2BF47D3F"/>
    <w:rsid w:val="2C3E21DD"/>
    <w:rsid w:val="2F4E1D48"/>
    <w:rsid w:val="396D743F"/>
    <w:rsid w:val="3AA84B3E"/>
    <w:rsid w:val="3B832815"/>
    <w:rsid w:val="3DA86143"/>
    <w:rsid w:val="3E2251E9"/>
    <w:rsid w:val="4075601A"/>
    <w:rsid w:val="416F6D97"/>
    <w:rsid w:val="42550AA4"/>
    <w:rsid w:val="47E4055D"/>
    <w:rsid w:val="4D104A34"/>
    <w:rsid w:val="4F4F1780"/>
    <w:rsid w:val="52F83679"/>
    <w:rsid w:val="568D2542"/>
    <w:rsid w:val="56CD5A6D"/>
    <w:rsid w:val="593238D6"/>
    <w:rsid w:val="5DF41038"/>
    <w:rsid w:val="5E735FD1"/>
    <w:rsid w:val="5EDB759C"/>
    <w:rsid w:val="6390215C"/>
    <w:rsid w:val="67D3615E"/>
    <w:rsid w:val="68D005F5"/>
    <w:rsid w:val="6A2B0711"/>
    <w:rsid w:val="6DCC13EE"/>
    <w:rsid w:val="6FD60838"/>
    <w:rsid w:val="71C65001"/>
    <w:rsid w:val="71D12121"/>
    <w:rsid w:val="742101FD"/>
    <w:rsid w:val="75DC692F"/>
    <w:rsid w:val="7A820457"/>
    <w:rsid w:val="7C5D1585"/>
    <w:rsid w:val="7E470CA7"/>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iPriority="39" w:semiHidden="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qFormat="1" w:unhideWhenUsed="0" w:uiPriority="0" w:semiHidden="0" w:name="Normal Indent"/>
    <w:lsdException w:uiPriority="0" w:name="footnote text"/>
    <w:lsdException w:uiPriority="0" w:name="annotation text"/>
    <w:lsdException w:qFormat="1" w:unhideWhenUsed="0" w:uiPriority="99"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iPriority="0" w:name="annotation reference"/>
    <w:lsdException w:uiPriority="0" w:name="line number"/>
    <w:lsdException w:qFormat="1" w:unhideWhenUsed="0" w:uiPriority="0" w:semiHidden="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qFormat="1"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qFormat="1" w:unhideWhenUsed="0" w:uiPriority="0" w:semiHidden="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qFormat="1" w:uiPriority="99" w:semiHidden="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0"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7">
    <w:name w:val="Default Paragraph Font"/>
    <w:semiHidden/>
    <w:unhideWhenUsed/>
    <w:uiPriority w:val="1"/>
  </w:style>
  <w:style w:type="table" w:default="1" w:styleId="15">
    <w:name w:val="Normal Table"/>
    <w:semiHidden/>
    <w:unhideWhenUsed/>
    <w:uiPriority w:val="99"/>
    <w:tblPr>
      <w:tblCellMar>
        <w:top w:w="0" w:type="dxa"/>
        <w:left w:w="108" w:type="dxa"/>
        <w:bottom w:w="0" w:type="dxa"/>
        <w:right w:w="108" w:type="dxa"/>
      </w:tblCellMar>
    </w:tblPr>
  </w:style>
  <w:style w:type="paragraph" w:styleId="2">
    <w:name w:val="Body Text First Indent 2"/>
    <w:basedOn w:val="3"/>
    <w:next w:val="1"/>
    <w:unhideWhenUsed/>
    <w:qFormat/>
    <w:uiPriority w:val="99"/>
    <w:pPr>
      <w:ind w:firstLine="420" w:firstLineChars="200"/>
    </w:pPr>
    <w:rPr>
      <w:rFonts w:hint="eastAsia"/>
    </w:rPr>
  </w:style>
  <w:style w:type="paragraph" w:styleId="3">
    <w:name w:val="Body Text Indent"/>
    <w:basedOn w:val="1"/>
    <w:qFormat/>
    <w:uiPriority w:val="0"/>
    <w:pPr>
      <w:adjustRightInd w:val="0"/>
      <w:spacing w:line="360" w:lineRule="auto"/>
      <w:ind w:firstLine="482"/>
      <w:jc w:val="left"/>
      <w:textAlignment w:val="baseline"/>
    </w:pPr>
    <w:rPr>
      <w:kern w:val="0"/>
      <w:sz w:val="24"/>
      <w:szCs w:val="20"/>
    </w:rPr>
  </w:style>
  <w:style w:type="paragraph" w:styleId="4">
    <w:name w:val="Normal Indent"/>
    <w:basedOn w:val="1"/>
    <w:link w:val="32"/>
    <w:qFormat/>
    <w:uiPriority w:val="0"/>
    <w:pPr>
      <w:ind w:firstLine="420" w:firstLineChars="200"/>
    </w:pPr>
  </w:style>
  <w:style w:type="paragraph" w:styleId="5">
    <w:name w:val="annotation text"/>
    <w:basedOn w:val="1"/>
    <w:link w:val="35"/>
    <w:semiHidden/>
    <w:unhideWhenUsed/>
    <w:uiPriority w:val="0"/>
    <w:pPr>
      <w:jc w:val="left"/>
    </w:pPr>
  </w:style>
  <w:style w:type="paragraph" w:styleId="6">
    <w:name w:val="Body Text"/>
    <w:basedOn w:val="1"/>
    <w:qFormat/>
    <w:uiPriority w:val="0"/>
    <w:pPr>
      <w:autoSpaceDE w:val="0"/>
      <w:autoSpaceDN w:val="0"/>
      <w:adjustRightInd w:val="0"/>
      <w:spacing w:line="360" w:lineRule="atLeast"/>
      <w:jc w:val="left"/>
      <w:textAlignment w:val="baseline"/>
    </w:pPr>
    <w:rPr>
      <w:rFonts w:ascii="宋体"/>
      <w:color w:val="000000"/>
      <w:kern w:val="0"/>
      <w:sz w:val="24"/>
      <w:szCs w:val="20"/>
    </w:rPr>
  </w:style>
  <w:style w:type="paragraph" w:styleId="7">
    <w:name w:val="Balloon Text"/>
    <w:basedOn w:val="1"/>
    <w:link w:val="26"/>
    <w:uiPriority w:val="0"/>
    <w:rPr>
      <w:sz w:val="18"/>
      <w:szCs w:val="18"/>
    </w:rPr>
  </w:style>
  <w:style w:type="paragraph" w:styleId="8">
    <w:name w:val="footer"/>
    <w:basedOn w:val="1"/>
    <w:link w:val="29"/>
    <w:qFormat/>
    <w:uiPriority w:val="99"/>
    <w:pPr>
      <w:tabs>
        <w:tab w:val="center" w:pos="4153"/>
        <w:tab w:val="right" w:pos="8306"/>
      </w:tabs>
      <w:adjustRightInd w:val="0"/>
      <w:spacing w:line="240" w:lineRule="atLeast"/>
      <w:jc w:val="left"/>
      <w:textAlignment w:val="baseline"/>
    </w:pPr>
    <w:rPr>
      <w:kern w:val="0"/>
      <w:sz w:val="18"/>
      <w:szCs w:val="20"/>
    </w:rPr>
  </w:style>
  <w:style w:type="paragraph" w:styleId="9">
    <w:name w:val="header"/>
    <w:basedOn w:val="1"/>
    <w:link w:val="28"/>
    <w:qFormat/>
    <w:uiPriority w:val="99"/>
    <w:pPr>
      <w:pBdr>
        <w:bottom w:val="single" w:color="auto" w:sz="6" w:space="1"/>
      </w:pBdr>
      <w:tabs>
        <w:tab w:val="center" w:pos="4153"/>
        <w:tab w:val="right" w:pos="8306"/>
      </w:tabs>
      <w:snapToGrid w:val="0"/>
      <w:jc w:val="center"/>
    </w:pPr>
    <w:rPr>
      <w:sz w:val="18"/>
      <w:szCs w:val="18"/>
    </w:rPr>
  </w:style>
  <w:style w:type="paragraph" w:styleId="10">
    <w:name w:val="toc 1"/>
    <w:basedOn w:val="1"/>
    <w:next w:val="1"/>
    <w:qFormat/>
    <w:uiPriority w:val="39"/>
  </w:style>
  <w:style w:type="paragraph" w:styleId="11">
    <w:name w:val="List"/>
    <w:basedOn w:val="1"/>
    <w:qFormat/>
    <w:uiPriority w:val="0"/>
    <w:pPr>
      <w:ind w:left="200" w:hanging="200" w:hangingChars="200"/>
    </w:pPr>
  </w:style>
  <w:style w:type="paragraph" w:styleId="12">
    <w:name w:val="toc 2"/>
    <w:basedOn w:val="1"/>
    <w:next w:val="1"/>
    <w:unhideWhenUsed/>
    <w:qFormat/>
    <w:uiPriority w:val="39"/>
    <w:pPr>
      <w:ind w:left="420" w:leftChars="200"/>
    </w:pPr>
  </w:style>
  <w:style w:type="paragraph" w:styleId="13">
    <w:name w:val="Normal (Web)"/>
    <w:basedOn w:val="1"/>
    <w:qFormat/>
    <w:uiPriority w:val="0"/>
    <w:pPr>
      <w:widowControl/>
      <w:spacing w:beforeAutospacing="1" w:afterAutospacing="1"/>
      <w:jc w:val="left"/>
    </w:pPr>
    <w:rPr>
      <w:rFonts w:ascii="宋体" w:hAnsi="宋体"/>
      <w:kern w:val="0"/>
      <w:sz w:val="24"/>
    </w:rPr>
  </w:style>
  <w:style w:type="paragraph" w:styleId="14">
    <w:name w:val="annotation subject"/>
    <w:basedOn w:val="5"/>
    <w:next w:val="5"/>
    <w:link w:val="36"/>
    <w:semiHidden/>
    <w:unhideWhenUsed/>
    <w:qFormat/>
    <w:uiPriority w:val="0"/>
    <w:rPr>
      <w:b/>
      <w:bCs/>
    </w:rPr>
  </w:style>
  <w:style w:type="table" w:styleId="16">
    <w:name w:val="Table Grid"/>
    <w:basedOn w:val="1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8">
    <w:name w:val="page number"/>
    <w:basedOn w:val="17"/>
    <w:qFormat/>
    <w:uiPriority w:val="0"/>
  </w:style>
  <w:style w:type="character" w:styleId="19">
    <w:name w:val="Hyperlink"/>
    <w:qFormat/>
    <w:uiPriority w:val="99"/>
    <w:rPr>
      <w:color w:val="0000FF"/>
      <w:u w:val="single"/>
    </w:rPr>
  </w:style>
  <w:style w:type="character" w:styleId="20">
    <w:name w:val="annotation reference"/>
    <w:basedOn w:val="17"/>
    <w:semiHidden/>
    <w:unhideWhenUsed/>
    <w:qFormat/>
    <w:uiPriority w:val="0"/>
    <w:rPr>
      <w:sz w:val="21"/>
      <w:szCs w:val="21"/>
    </w:rPr>
  </w:style>
  <w:style w:type="paragraph" w:customStyle="1" w:styleId="21">
    <w:name w:val="正文20110824"/>
    <w:basedOn w:val="1"/>
    <w:qFormat/>
    <w:uiPriority w:val="0"/>
    <w:pPr>
      <w:spacing w:line="360" w:lineRule="auto"/>
      <w:ind w:firstLine="200" w:firstLineChars="200"/>
    </w:pPr>
    <w:rPr>
      <w:color w:val="000000"/>
      <w:sz w:val="24"/>
    </w:rPr>
  </w:style>
  <w:style w:type="paragraph" w:customStyle="1" w:styleId="22">
    <w:name w:val="表题"/>
    <w:basedOn w:val="1"/>
    <w:unhideWhenUsed/>
    <w:qFormat/>
    <w:uiPriority w:val="99"/>
    <w:pPr>
      <w:snapToGrid w:val="0"/>
      <w:spacing w:beforeLines="50" w:line="360" w:lineRule="auto"/>
      <w:jc w:val="center"/>
    </w:pPr>
    <w:rPr>
      <w:rFonts w:hint="eastAsia"/>
      <w:b/>
      <w:color w:val="000000"/>
      <w:sz w:val="24"/>
    </w:rPr>
  </w:style>
  <w:style w:type="paragraph" w:customStyle="1" w:styleId="23">
    <w:name w:val="填表5中"/>
    <w:basedOn w:val="1"/>
    <w:next w:val="1"/>
    <w:qFormat/>
    <w:uiPriority w:val="0"/>
    <w:pPr>
      <w:spacing w:line="240" w:lineRule="exact"/>
      <w:jc w:val="center"/>
    </w:pPr>
    <w:rPr>
      <w:rFonts w:ascii="宋体"/>
      <w:szCs w:val="21"/>
    </w:rPr>
  </w:style>
  <w:style w:type="paragraph" w:customStyle="1" w:styleId="24">
    <w:name w:val="样式5"/>
    <w:basedOn w:val="13"/>
    <w:unhideWhenUsed/>
    <w:qFormat/>
    <w:uiPriority w:val="99"/>
    <w:pPr>
      <w:spacing w:line="360" w:lineRule="auto"/>
      <w:ind w:firstLine="480" w:firstLineChars="200"/>
    </w:pPr>
    <w:rPr>
      <w:rFonts w:hint="eastAsia"/>
    </w:rPr>
  </w:style>
  <w:style w:type="paragraph" w:customStyle="1" w:styleId="25">
    <w:name w:val="表头"/>
    <w:basedOn w:val="1"/>
    <w:qFormat/>
    <w:uiPriority w:val="0"/>
    <w:pPr>
      <w:spacing w:line="320" w:lineRule="atLeast"/>
      <w:jc w:val="center"/>
    </w:pPr>
    <w:rPr>
      <w:rFonts w:eastAsia="黑体"/>
      <w:spacing w:val="-10"/>
      <w:kern w:val="0"/>
      <w:szCs w:val="21"/>
    </w:rPr>
  </w:style>
  <w:style w:type="character" w:customStyle="1" w:styleId="26">
    <w:name w:val="批注框文本 字符"/>
    <w:basedOn w:val="17"/>
    <w:link w:val="7"/>
    <w:qFormat/>
    <w:uiPriority w:val="0"/>
    <w:rPr>
      <w:kern w:val="2"/>
      <w:sz w:val="18"/>
      <w:szCs w:val="18"/>
    </w:rPr>
  </w:style>
  <w:style w:type="paragraph" w:customStyle="1" w:styleId="27">
    <w:name w:val="样式1"/>
    <w:basedOn w:val="1"/>
    <w:qFormat/>
    <w:uiPriority w:val="99"/>
    <w:pPr>
      <w:spacing w:line="600" w:lineRule="exact"/>
      <w:jc w:val="center"/>
    </w:pPr>
    <w:rPr>
      <w:rFonts w:ascii="仿宋_GB2312" w:hAnsi="宋体" w:eastAsia="仿宋_GB2312"/>
      <w:bCs/>
      <w:sz w:val="24"/>
    </w:rPr>
  </w:style>
  <w:style w:type="character" w:customStyle="1" w:styleId="28">
    <w:name w:val="页眉 字符"/>
    <w:basedOn w:val="17"/>
    <w:link w:val="9"/>
    <w:qFormat/>
    <w:uiPriority w:val="99"/>
    <w:rPr>
      <w:kern w:val="2"/>
      <w:sz w:val="18"/>
      <w:szCs w:val="18"/>
    </w:rPr>
  </w:style>
  <w:style w:type="character" w:customStyle="1" w:styleId="29">
    <w:name w:val="页脚 字符"/>
    <w:basedOn w:val="17"/>
    <w:link w:val="8"/>
    <w:qFormat/>
    <w:uiPriority w:val="99"/>
    <w:rPr>
      <w:sz w:val="18"/>
    </w:rPr>
  </w:style>
  <w:style w:type="paragraph" w:customStyle="1" w:styleId="30">
    <w:name w:val="Char Char Char Char"/>
    <w:basedOn w:val="1"/>
    <w:qFormat/>
    <w:uiPriority w:val="0"/>
  </w:style>
  <w:style w:type="paragraph" w:styleId="31">
    <w:name w:val="List Paragraph"/>
    <w:basedOn w:val="1"/>
    <w:qFormat/>
    <w:uiPriority w:val="99"/>
    <w:pPr>
      <w:ind w:firstLine="420" w:firstLineChars="200"/>
    </w:pPr>
    <w:rPr>
      <w:rFonts w:asciiTheme="minorHAnsi" w:hAnsiTheme="minorHAnsi" w:eastAsiaTheme="minorEastAsia" w:cstheme="minorBidi"/>
      <w:szCs w:val="22"/>
    </w:rPr>
  </w:style>
  <w:style w:type="character" w:customStyle="1" w:styleId="32">
    <w:name w:val="正文缩进 字符"/>
    <w:basedOn w:val="17"/>
    <w:link w:val="4"/>
    <w:qFormat/>
    <w:uiPriority w:val="0"/>
    <w:rPr>
      <w:kern w:val="2"/>
      <w:sz w:val="21"/>
      <w:szCs w:val="24"/>
    </w:rPr>
  </w:style>
  <w:style w:type="character" w:customStyle="1" w:styleId="33">
    <w:name w:val="表格正文 Char Char"/>
    <w:link w:val="34"/>
    <w:qFormat/>
    <w:uiPriority w:val="0"/>
    <w:rPr>
      <w:rFonts w:ascii="宋体"/>
      <w:snapToGrid w:val="0"/>
      <w:spacing w:val="4"/>
      <w:szCs w:val="21"/>
    </w:rPr>
  </w:style>
  <w:style w:type="paragraph" w:customStyle="1" w:styleId="34">
    <w:name w:val="表格正文"/>
    <w:basedOn w:val="1"/>
    <w:next w:val="1"/>
    <w:link w:val="33"/>
    <w:qFormat/>
    <w:uiPriority w:val="0"/>
    <w:pPr>
      <w:adjustRightInd w:val="0"/>
      <w:snapToGrid w:val="0"/>
      <w:jc w:val="center"/>
      <w:textAlignment w:val="baseline"/>
    </w:pPr>
    <w:rPr>
      <w:rFonts w:ascii="宋体"/>
      <w:snapToGrid w:val="0"/>
      <w:spacing w:val="4"/>
      <w:kern w:val="0"/>
      <w:sz w:val="20"/>
      <w:szCs w:val="21"/>
    </w:rPr>
  </w:style>
  <w:style w:type="character" w:customStyle="1" w:styleId="35">
    <w:name w:val="批注文字 字符"/>
    <w:basedOn w:val="17"/>
    <w:link w:val="5"/>
    <w:semiHidden/>
    <w:qFormat/>
    <w:uiPriority w:val="0"/>
    <w:rPr>
      <w:kern w:val="2"/>
      <w:sz w:val="21"/>
      <w:szCs w:val="24"/>
    </w:rPr>
  </w:style>
  <w:style w:type="character" w:customStyle="1" w:styleId="36">
    <w:name w:val="批注主题 字符"/>
    <w:basedOn w:val="35"/>
    <w:link w:val="14"/>
    <w:semiHidden/>
    <w:qFormat/>
    <w:uiPriority w:val="0"/>
    <w:rPr>
      <w:b/>
      <w:bCs/>
      <w:kern w:val="2"/>
      <w:sz w:val="21"/>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jpe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3.xml"/><Relationship Id="rId49" Type="http://schemas.openxmlformats.org/officeDocument/2006/relationships/fontTable" Target="fontTable.xml"/><Relationship Id="rId48" Type="http://schemas.openxmlformats.org/officeDocument/2006/relationships/customXml" Target="../customXml/item2.xml"/><Relationship Id="rId47" Type="http://schemas.openxmlformats.org/officeDocument/2006/relationships/numbering" Target="numbering.xml"/><Relationship Id="rId46" Type="http://schemas.openxmlformats.org/officeDocument/2006/relationships/customXml" Target="../customXml/item1.xml"/><Relationship Id="rId45" Type="http://schemas.openxmlformats.org/officeDocument/2006/relationships/image" Target="media/image30.jpeg"/><Relationship Id="rId44" Type="http://schemas.openxmlformats.org/officeDocument/2006/relationships/image" Target="media/image29.png"/><Relationship Id="rId43" Type="http://schemas.openxmlformats.org/officeDocument/2006/relationships/image" Target="media/image28.jpeg"/><Relationship Id="rId42" Type="http://schemas.openxmlformats.org/officeDocument/2006/relationships/image" Target="media/image27.png"/><Relationship Id="rId41" Type="http://schemas.openxmlformats.org/officeDocument/2006/relationships/image" Target="media/image26.png"/><Relationship Id="rId40" Type="http://schemas.openxmlformats.org/officeDocument/2006/relationships/image" Target="media/image25.jpeg"/><Relationship Id="rId4" Type="http://schemas.openxmlformats.org/officeDocument/2006/relationships/footer" Target="footer2.xml"/><Relationship Id="rId39" Type="http://schemas.openxmlformats.org/officeDocument/2006/relationships/image" Target="media/image24.jpeg"/><Relationship Id="rId38" Type="http://schemas.openxmlformats.org/officeDocument/2006/relationships/image" Target="media/image23.jpeg"/><Relationship Id="rId37" Type="http://schemas.openxmlformats.org/officeDocument/2006/relationships/image" Target="media/image22.jpeg"/><Relationship Id="rId36" Type="http://schemas.openxmlformats.org/officeDocument/2006/relationships/image" Target="media/image21.jpeg"/><Relationship Id="rId35" Type="http://schemas.openxmlformats.org/officeDocument/2006/relationships/image" Target="media/image20.jpeg"/><Relationship Id="rId34" Type="http://schemas.openxmlformats.org/officeDocument/2006/relationships/image" Target="media/image19.wmf"/><Relationship Id="rId33" Type="http://schemas.openxmlformats.org/officeDocument/2006/relationships/oleObject" Target="embeddings/oleObject9.bin"/><Relationship Id="rId32" Type="http://schemas.openxmlformats.org/officeDocument/2006/relationships/image" Target="media/image18.wmf"/><Relationship Id="rId31" Type="http://schemas.openxmlformats.org/officeDocument/2006/relationships/oleObject" Target="embeddings/oleObject8.bin"/><Relationship Id="rId30" Type="http://schemas.openxmlformats.org/officeDocument/2006/relationships/image" Target="media/image17.wmf"/><Relationship Id="rId3" Type="http://schemas.openxmlformats.org/officeDocument/2006/relationships/footer" Target="footer1.xml"/><Relationship Id="rId29" Type="http://schemas.openxmlformats.org/officeDocument/2006/relationships/oleObject" Target="embeddings/oleObject7.bin"/><Relationship Id="rId28" Type="http://schemas.openxmlformats.org/officeDocument/2006/relationships/image" Target="media/image16.wmf"/><Relationship Id="rId27" Type="http://schemas.openxmlformats.org/officeDocument/2006/relationships/oleObject" Target="embeddings/oleObject6.bin"/><Relationship Id="rId26" Type="http://schemas.openxmlformats.org/officeDocument/2006/relationships/image" Target="media/image15.wmf"/><Relationship Id="rId25" Type="http://schemas.openxmlformats.org/officeDocument/2006/relationships/oleObject" Target="embeddings/oleObject5.bin"/><Relationship Id="rId24" Type="http://schemas.openxmlformats.org/officeDocument/2006/relationships/image" Target="media/image14.wmf"/><Relationship Id="rId23" Type="http://schemas.openxmlformats.org/officeDocument/2006/relationships/oleObject" Target="embeddings/oleObject4.bin"/><Relationship Id="rId22" Type="http://schemas.openxmlformats.org/officeDocument/2006/relationships/image" Target="media/image13.wmf"/><Relationship Id="rId21" Type="http://schemas.openxmlformats.org/officeDocument/2006/relationships/oleObject" Target="embeddings/oleObject3.bin"/><Relationship Id="rId20" Type="http://schemas.openxmlformats.org/officeDocument/2006/relationships/image" Target="media/image12.wmf"/><Relationship Id="rId2" Type="http://schemas.openxmlformats.org/officeDocument/2006/relationships/settings" Target="settings.xml"/><Relationship Id="rId19" Type="http://schemas.openxmlformats.org/officeDocument/2006/relationships/oleObject" Target="embeddings/oleObject2.bin"/><Relationship Id="rId18" Type="http://schemas.openxmlformats.org/officeDocument/2006/relationships/image" Target="media/image11.wmf"/><Relationship Id="rId17" Type="http://schemas.openxmlformats.org/officeDocument/2006/relationships/oleObject" Target="embeddings/oleObject1.bin"/><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emf"/><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67"/>
    <customShpInfo spid="_x0000_s1066"/>
    <customShpInfo spid="_x0000_s1065"/>
    <customShpInfo spid="_x0000_s1064"/>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320C4EB-13CA-4199-A662-7F9EAE776193}">
  <ds:schemaRefs/>
</ds:datastoreItem>
</file>

<file path=docProps/app.xml><?xml version="1.0" encoding="utf-8"?>
<Properties xmlns="http://schemas.openxmlformats.org/officeDocument/2006/extended-properties" xmlns:vt="http://schemas.openxmlformats.org/officeDocument/2006/docPropsVTypes">
  <Template>Normal</Template>
  <Company>ra</Company>
  <Pages>53</Pages>
  <Words>4861</Words>
  <Characters>27710</Characters>
  <Lines>230</Lines>
  <Paragraphs>65</Paragraphs>
  <TotalTime>0</TotalTime>
  <ScaleCrop>false</ScaleCrop>
  <LinksUpToDate>false</LinksUpToDate>
  <CharactersWithSpaces>32506</CharactersWithSpaces>
  <Application>WPS Office_11.1.0.9208_F1E327BC-269C-435d-A152-05C5408002CA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2019-06-14T13:23:00Z</dcterms:created>
  <dc:creator>Administrator</dc:creator>
  <cp:lastModifiedBy>东望洋</cp:lastModifiedBy>
  <cp:lastPrinted>2019-06-28T07:11:00Z</cp:lastPrinted>
  <dcterms:modified xsi:type="dcterms:W3CDTF">2019-12-01T12:20:41Z</dcterms:modified>
  <cp:revision>159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ies>
</file>