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ind w:firstLine="482"/>
        <w:jc w:val="left"/>
        <w:rPr>
          <w:rFonts w:ascii="Times New Roman" w:hAnsi="Times New Roman" w:eastAsia="宋体" w:cs="Times New Roman"/>
          <w:b/>
          <w:sz w:val="24"/>
          <w:szCs w:val="24"/>
          <w:lang w:val="zh-CN"/>
        </w:rPr>
      </w:pPr>
      <w:r>
        <w:rPr>
          <w:rFonts w:ascii="Times New Roman" w:eastAsia="宋体" w:cs="Times New Roman"/>
          <w:b/>
          <w:sz w:val="24"/>
          <w:szCs w:val="24"/>
          <w:lang w:val="zh-CN"/>
        </w:rPr>
        <w:t>预案编号：</w:t>
      </w:r>
    </w:p>
    <w:p>
      <w:pPr>
        <w:spacing w:line="440" w:lineRule="exact"/>
        <w:ind w:firstLine="482"/>
        <w:jc w:val="left"/>
        <w:rPr>
          <w:rFonts w:ascii="Times New Roman" w:hAnsi="Times New Roman" w:eastAsia="宋体" w:cs="Times New Roman"/>
          <w:sz w:val="24"/>
          <w:szCs w:val="24"/>
        </w:rPr>
      </w:pPr>
      <w:r>
        <w:rPr>
          <w:rFonts w:ascii="Times New Roman" w:eastAsia="宋体" w:cs="Times New Roman"/>
          <w:b/>
          <w:sz w:val="24"/>
          <w:szCs w:val="24"/>
          <w:lang w:val="zh-CN"/>
        </w:rPr>
        <w:t>版本号：</w:t>
      </w:r>
      <w:r>
        <w:rPr>
          <w:rFonts w:ascii="Times New Roman" w:hAnsi="Times New Roman" w:eastAsia="宋体" w:cs="Times New Roman"/>
          <w:b/>
          <w:sz w:val="24"/>
          <w:szCs w:val="24"/>
        </w:rPr>
        <w:t>2019年第一版</w:t>
      </w:r>
    </w:p>
    <w:p>
      <w:pPr>
        <w:snapToGrid w:val="0"/>
        <w:spacing w:line="480" w:lineRule="auto"/>
        <w:ind w:firstLine="482"/>
        <w:jc w:val="center"/>
        <w:rPr>
          <w:rFonts w:ascii="Times New Roman" w:hAnsi="Times New Roman" w:eastAsia="宋体" w:cs="Times New Roman"/>
          <w:b/>
          <w:bCs/>
          <w:sz w:val="24"/>
          <w:szCs w:val="24"/>
        </w:rPr>
      </w:pPr>
    </w:p>
    <w:p>
      <w:pPr>
        <w:pStyle w:val="2"/>
        <w:ind w:firstLine="496"/>
        <w:rPr>
          <w:rFonts w:ascii="Times New Roman" w:hAnsi="Times New Roman" w:eastAsia="仿宋_GB2312"/>
          <w:kern w:val="0"/>
        </w:rPr>
      </w:pPr>
    </w:p>
    <w:p>
      <w:pPr>
        <w:pStyle w:val="2"/>
        <w:ind w:firstLine="496"/>
        <w:rPr>
          <w:rFonts w:ascii="Times New Roman" w:hAnsi="Times New Roman" w:eastAsia="仿宋_GB2312"/>
          <w:kern w:val="0"/>
        </w:rPr>
      </w:pPr>
    </w:p>
    <w:p>
      <w:pPr>
        <w:snapToGrid w:val="0"/>
        <w:spacing w:line="480" w:lineRule="auto"/>
        <w:ind w:firstLine="883"/>
        <w:jc w:val="center"/>
        <w:rPr>
          <w:rFonts w:ascii="Times New Roman" w:hAnsi="Times New Roman" w:eastAsia="宋体" w:cs="Times New Roman"/>
          <w:b/>
          <w:sz w:val="44"/>
          <w:szCs w:val="44"/>
        </w:rPr>
      </w:pPr>
      <w:r>
        <w:rPr>
          <w:rFonts w:ascii="Times New Roman" w:eastAsia="宋体" w:cs="Times New Roman"/>
          <w:b/>
          <w:sz w:val="44"/>
          <w:szCs w:val="44"/>
        </w:rPr>
        <w:t>南昌中油瑶湖石油销售有限公司</w:t>
      </w:r>
    </w:p>
    <w:p>
      <w:pPr>
        <w:snapToGrid w:val="0"/>
        <w:spacing w:line="480" w:lineRule="auto"/>
        <w:ind w:firstLine="883"/>
        <w:jc w:val="center"/>
        <w:rPr>
          <w:rFonts w:ascii="Times New Roman" w:hAnsi="Times New Roman" w:eastAsia="宋体" w:cs="Times New Roman"/>
          <w:b/>
          <w:sz w:val="44"/>
          <w:szCs w:val="44"/>
        </w:rPr>
      </w:pPr>
      <w:r>
        <w:rPr>
          <w:rFonts w:ascii="Times New Roman" w:eastAsia="宋体" w:cs="Times New Roman"/>
          <w:b/>
          <w:sz w:val="44"/>
          <w:szCs w:val="44"/>
        </w:rPr>
        <w:t>瑶湖加油站</w:t>
      </w:r>
    </w:p>
    <w:p>
      <w:pPr>
        <w:snapToGrid w:val="0"/>
        <w:spacing w:line="480" w:lineRule="auto"/>
        <w:ind w:firstLine="643"/>
        <w:jc w:val="center"/>
        <w:rPr>
          <w:rFonts w:ascii="Times New Roman" w:hAnsi="Times New Roman" w:eastAsia="宋体" w:cs="Times New Roman"/>
          <w:b/>
          <w:bCs/>
          <w:sz w:val="32"/>
          <w:szCs w:val="32"/>
        </w:rPr>
      </w:pPr>
      <w:r>
        <w:rPr>
          <w:rFonts w:ascii="Times New Roman" w:eastAsia="宋体" w:cs="Times New Roman"/>
          <w:b/>
          <w:bCs/>
          <w:sz w:val="32"/>
          <w:szCs w:val="32"/>
        </w:rPr>
        <w:t>突发环境事件应急预案</w:t>
      </w:r>
    </w:p>
    <w:p>
      <w:pPr>
        <w:pStyle w:val="2"/>
        <w:ind w:firstLine="496"/>
        <w:rPr>
          <w:rFonts w:ascii="Times New Roman" w:hAnsi="Times New Roman" w:eastAsia="宋体"/>
          <w:szCs w:val="24"/>
          <w:lang w:val="zh-CN"/>
        </w:rPr>
      </w:pPr>
    </w:p>
    <w:p>
      <w:pPr>
        <w:pStyle w:val="2"/>
        <w:ind w:firstLine="496"/>
        <w:rPr>
          <w:rFonts w:ascii="Times New Roman" w:hAnsi="Times New Roman" w:eastAsia="宋体"/>
          <w:szCs w:val="24"/>
          <w:lang w:val="zh-CN"/>
        </w:rPr>
      </w:pPr>
    </w:p>
    <w:p>
      <w:pPr>
        <w:pStyle w:val="2"/>
        <w:ind w:firstLine="496"/>
        <w:rPr>
          <w:rFonts w:ascii="Times New Roman" w:hAnsi="Times New Roman" w:eastAsia="宋体"/>
          <w:szCs w:val="24"/>
          <w:lang w:val="zh-CN"/>
        </w:rPr>
      </w:pPr>
    </w:p>
    <w:p>
      <w:pPr>
        <w:pStyle w:val="2"/>
        <w:ind w:firstLine="0" w:firstLineChars="0"/>
        <w:rPr>
          <w:rFonts w:ascii="Times New Roman" w:hAnsi="Times New Roman" w:eastAsia="宋体"/>
          <w:szCs w:val="24"/>
          <w:lang w:val="zh-CN"/>
        </w:rPr>
      </w:pPr>
    </w:p>
    <w:p>
      <w:pPr>
        <w:rPr>
          <w:rFonts w:ascii="Times New Roman" w:hAnsi="Times New Roman" w:eastAsia="仿宋_GB2312" w:cs="Times New Roman"/>
          <w:kern w:val="0"/>
          <w:sz w:val="24"/>
          <w:lang w:val="zh-CN"/>
        </w:rPr>
      </w:pPr>
    </w:p>
    <w:p>
      <w:pPr>
        <w:pStyle w:val="2"/>
        <w:ind w:firstLine="496"/>
        <w:rPr>
          <w:rFonts w:ascii="Times New Roman" w:hAnsi="Times New Roman" w:eastAsia="仿宋_GB2312"/>
          <w:kern w:val="0"/>
          <w:lang w:val="zh-CN"/>
        </w:rPr>
      </w:pPr>
    </w:p>
    <w:p>
      <w:pPr>
        <w:rPr>
          <w:rFonts w:ascii="Times New Roman" w:hAnsi="Times New Roman" w:eastAsia="仿宋_GB2312" w:cs="Times New Roman"/>
          <w:kern w:val="0"/>
          <w:sz w:val="24"/>
          <w:lang w:val="zh-CN"/>
        </w:rPr>
      </w:pPr>
    </w:p>
    <w:p>
      <w:pPr>
        <w:pStyle w:val="2"/>
        <w:ind w:firstLine="496"/>
        <w:rPr>
          <w:rFonts w:ascii="Times New Roman" w:hAnsi="Times New Roman" w:eastAsia="仿宋_GB2312"/>
          <w:kern w:val="0"/>
          <w:lang w:val="zh-CN"/>
        </w:rPr>
      </w:pPr>
    </w:p>
    <w:p>
      <w:pPr>
        <w:rPr>
          <w:rFonts w:ascii="Times New Roman" w:hAnsi="Times New Roman" w:eastAsia="仿宋_GB2312" w:cs="Times New Roman"/>
          <w:kern w:val="0"/>
          <w:sz w:val="24"/>
          <w:lang w:val="zh-CN"/>
        </w:rPr>
      </w:pPr>
    </w:p>
    <w:p>
      <w:pPr>
        <w:pStyle w:val="2"/>
        <w:ind w:firstLine="0" w:firstLineChars="0"/>
        <w:rPr>
          <w:rFonts w:ascii="Times New Roman" w:hAnsi="Times New Roman" w:eastAsia="仿宋_GB2312"/>
          <w:kern w:val="0"/>
          <w:lang w:val="zh-CN"/>
        </w:rPr>
      </w:pPr>
    </w:p>
    <w:p>
      <w:pPr>
        <w:ind w:firstLine="643"/>
        <w:rPr>
          <w:rFonts w:ascii="Times New Roman" w:hAnsi="Times New Roman" w:eastAsia="宋体" w:cs="Times New Roman"/>
          <w:b/>
          <w:sz w:val="32"/>
          <w:szCs w:val="32"/>
          <w:lang w:val="zh-CN"/>
        </w:rPr>
      </w:pPr>
      <w:r>
        <w:rPr>
          <w:rFonts w:ascii="Times New Roman" w:eastAsia="宋体" w:cs="Times New Roman"/>
          <w:b/>
          <w:sz w:val="32"/>
          <w:szCs w:val="32"/>
          <w:lang w:val="zh-CN"/>
        </w:rPr>
        <w:t>建设单位：南昌中油瑶湖石油销售有限公司</w:t>
      </w:r>
    </w:p>
    <w:p>
      <w:pPr>
        <w:ind w:firstLine="643"/>
        <w:jc w:val="center"/>
        <w:rPr>
          <w:rFonts w:ascii="Times New Roman" w:hAnsi="Times New Roman" w:eastAsia="宋体" w:cs="Times New Roman"/>
          <w:szCs w:val="24"/>
        </w:rPr>
      </w:pPr>
      <w:r>
        <w:rPr>
          <w:rFonts w:ascii="Times New Roman" w:eastAsia="宋体" w:cs="Times New Roman"/>
          <w:b/>
          <w:sz w:val="32"/>
          <w:szCs w:val="32"/>
          <w:lang w:val="zh-CN"/>
        </w:rPr>
        <w:t>瑶湖加油站</w:t>
      </w:r>
    </w:p>
    <w:p>
      <w:pPr>
        <w:ind w:firstLine="482"/>
        <w:rPr>
          <w:rFonts w:ascii="Times New Roman" w:hAnsi="Times New Roman" w:eastAsia="宋体" w:cs="Times New Roman"/>
          <w:b/>
          <w:sz w:val="24"/>
          <w:szCs w:val="24"/>
        </w:rPr>
      </w:pPr>
    </w:p>
    <w:p>
      <w:pPr>
        <w:ind w:firstLine="643"/>
        <w:jc w:val="center"/>
        <w:rPr>
          <w:rFonts w:ascii="Times New Roman" w:hAnsi="Times New Roman" w:eastAsia="宋体" w:cs="Times New Roman"/>
          <w:b/>
          <w:bCs/>
          <w:szCs w:val="24"/>
          <w:lang w:val="zh-CN"/>
        </w:rPr>
        <w:sectPr>
          <w:headerReference r:id="rId3" w:type="default"/>
          <w:pgSz w:w="11906" w:h="16838"/>
          <w:pgMar w:top="1440" w:right="1800" w:bottom="1440" w:left="1800" w:header="851" w:footer="992" w:gutter="0"/>
          <w:cols w:space="720" w:num="1"/>
          <w:docGrid w:type="lines" w:linePitch="312" w:charSpace="0"/>
        </w:sectPr>
      </w:pPr>
      <w:r>
        <w:rPr>
          <w:rFonts w:ascii="Times New Roman" w:hAnsi="Times New Roman" w:eastAsia="宋体" w:cs="Times New Roman"/>
          <w:b/>
          <w:bCs/>
          <w:sz w:val="32"/>
          <w:szCs w:val="32"/>
        </w:rPr>
        <w:t>编制日期：2019年10月</w:t>
      </w:r>
    </w:p>
    <w:p>
      <w:pPr>
        <w:spacing w:line="500" w:lineRule="exact"/>
        <w:ind w:firstLine="482"/>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《南昌中油瑶湖石油销售有限公司瑶湖加油站</w:t>
      </w:r>
    </w:p>
    <w:p>
      <w:pPr>
        <w:spacing w:line="500" w:lineRule="exact"/>
        <w:ind w:firstLine="482"/>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突发环境事件应急预案》编制说明</w:t>
      </w:r>
    </w:p>
    <w:p>
      <w:pPr>
        <w:ind w:firstLine="482"/>
        <w:rPr>
          <w:rFonts w:ascii="Times New Roman" w:hAnsi="Times New Roman" w:cs="Times New Roman"/>
          <w:b/>
          <w:color w:val="000000" w:themeColor="text1"/>
          <w:sz w:val="24"/>
          <w:szCs w:val="24"/>
        </w:rPr>
      </w:pP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一、加油站简介</w:t>
      </w:r>
    </w:p>
    <w:p>
      <w:pPr>
        <w:autoSpaceDN w:val="0"/>
        <w:spacing w:line="500" w:lineRule="exact"/>
        <w:ind w:firstLine="480" w:firstLineChars="200"/>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南昌中油瑶湖石油销售有限公司瑶湖加油站位于江西省南昌市紫阳东大道18号，目前项目已获得由南昌市市场和质量监督管理局下发的“营业执照”（统一社会信用</w:t>
      </w:r>
      <w:r>
        <w:rPr>
          <w:rFonts w:ascii="Times New Roman" w:hAnsi="Times New Roman" w:cs="Times New Roman"/>
          <w:sz w:val="24"/>
          <w:szCs w:val="24"/>
        </w:rPr>
        <w:t>代码为91360100769779965B），江西省商务厅下发的“成品油零售经营批准证书”（油零售证书第赣</w:t>
      </w:r>
      <w:r>
        <w:rPr>
          <w:rFonts w:hint="eastAsia" w:ascii="Times New Roman" w:hAnsi="Times New Roman" w:cs="Times New Roman"/>
          <w:sz w:val="24"/>
          <w:szCs w:val="24"/>
        </w:rPr>
        <w:t>A11-42114</w:t>
      </w:r>
      <w:r>
        <w:rPr>
          <w:rFonts w:ascii="Times New Roman" w:hAnsi="Times New Roman" w:cs="Times New Roman"/>
          <w:sz w:val="24"/>
          <w:szCs w:val="24"/>
        </w:rPr>
        <w:t>号），南昌市安全生产监督管理局下发的“危险化学品经营许可证”（赣洪高新监管经（甲）字[2018]000005号）。加油站</w:t>
      </w:r>
      <w:r>
        <w:rPr>
          <w:rFonts w:ascii="Times New Roman" w:hAnsi="Times New Roman" w:cs="Times New Roman"/>
          <w:color w:val="000000" w:themeColor="text1"/>
          <w:sz w:val="24"/>
          <w:szCs w:val="24"/>
        </w:rPr>
        <w:t>总占地面积约为6533.1m</w:t>
      </w:r>
      <w:r>
        <w:rPr>
          <w:rFonts w:ascii="Times New Roman" w:hAnsi="Times New Roman" w:cs="Times New Roman"/>
          <w:color w:val="000000" w:themeColor="text1"/>
          <w:sz w:val="24"/>
          <w:szCs w:val="24"/>
          <w:vertAlign w:val="superscript"/>
        </w:rPr>
        <w:t>2</w:t>
      </w:r>
      <w:r>
        <w:rPr>
          <w:rFonts w:ascii="Times New Roman" w:hAnsi="Times New Roman" w:cs="Times New Roman"/>
          <w:color w:val="000000" w:themeColor="text1"/>
          <w:sz w:val="24"/>
          <w:szCs w:val="24"/>
        </w:rPr>
        <w:t>，建筑面积约为1431m</w:t>
      </w:r>
      <w:r>
        <w:rPr>
          <w:rFonts w:ascii="Times New Roman" w:hAnsi="Times New Roman" w:cs="Times New Roman"/>
          <w:color w:val="000000" w:themeColor="text1"/>
          <w:sz w:val="24"/>
          <w:szCs w:val="24"/>
          <w:vertAlign w:val="superscript"/>
        </w:rPr>
        <w:t>2</w:t>
      </w:r>
      <w:r>
        <w:rPr>
          <w:rFonts w:ascii="Times New Roman" w:hAnsi="Times New Roman" w:cs="Times New Roman"/>
          <w:color w:val="000000" w:themeColor="text1"/>
          <w:sz w:val="24"/>
          <w:szCs w:val="24"/>
        </w:rPr>
        <w:t>。项目主要分为三个区，分别为</w:t>
      </w:r>
      <w:r>
        <w:rPr>
          <w:rFonts w:ascii="Times New Roman" w:hAnsi="宋体" w:eastAsia="宋体" w:cs="Times New Roman"/>
          <w:color w:val="000000" w:themeColor="text1"/>
          <w:sz w:val="24"/>
          <w:szCs w:val="24"/>
        </w:rPr>
        <w:t>①</w:t>
      </w:r>
      <w:r>
        <w:rPr>
          <w:rFonts w:ascii="Times New Roman" w:hAnsi="Times New Roman" w:cs="Times New Roman"/>
          <w:color w:val="000000" w:themeColor="text1"/>
          <w:sz w:val="24"/>
          <w:szCs w:val="24"/>
        </w:rPr>
        <w:t>储油罐区</w:t>
      </w:r>
      <w:r>
        <w:rPr>
          <w:rFonts w:ascii="Times New Roman" w:hAnsi="宋体" w:eastAsia="宋体" w:cs="Times New Roman"/>
          <w:color w:val="000000" w:themeColor="text1"/>
          <w:sz w:val="24"/>
          <w:szCs w:val="24"/>
        </w:rPr>
        <w:t>②</w:t>
      </w:r>
      <w:r>
        <w:rPr>
          <w:rFonts w:ascii="Times New Roman" w:hAnsi="Times New Roman" w:cs="Times New Roman"/>
          <w:color w:val="000000" w:themeColor="text1"/>
          <w:sz w:val="24"/>
          <w:szCs w:val="24"/>
        </w:rPr>
        <w:t>营业区</w:t>
      </w:r>
      <w:r>
        <w:rPr>
          <w:rFonts w:ascii="Times New Roman" w:hAnsi="宋体" w:eastAsia="宋体" w:cs="Times New Roman"/>
          <w:color w:val="000000" w:themeColor="text1"/>
          <w:sz w:val="24"/>
          <w:szCs w:val="24"/>
        </w:rPr>
        <w:t>③</w:t>
      </w:r>
      <w:r>
        <w:rPr>
          <w:rFonts w:ascii="Times New Roman" w:hAnsi="Times New Roman" w:cs="Times New Roman"/>
          <w:color w:val="000000" w:themeColor="text1"/>
          <w:sz w:val="24"/>
          <w:szCs w:val="24"/>
        </w:rPr>
        <w:t>加油区。储油罐区包括储罐区、卸油区；营业区包括站房、便利店、卫生间、洗车区等；加油区即为加油机所在区。</w:t>
      </w:r>
      <w:bookmarkStart w:id="0" w:name="_Hlk11352631"/>
      <w:r>
        <w:rPr>
          <w:rFonts w:ascii="Times New Roman" w:hAnsi="Times New Roman" w:cs="Times New Roman"/>
          <w:color w:val="000000" w:themeColor="text1"/>
          <w:sz w:val="24"/>
          <w:szCs w:val="24"/>
        </w:rPr>
        <w:t>项目储罐区建设有5个地埋卧式油罐，包括0#柴油油罐1台、92#汽油油罐2台、97#汽油油罐1台、97#汽油油罐1台，总容积折合汽油罐容积为135m³，为二级加油站。配设8台税控双枪双泵加油机，1台税控四枪双泵加油机。项目区设加油进出口2个。</w:t>
      </w:r>
      <w:bookmarkEnd w:id="0"/>
      <w:r>
        <w:rPr>
          <w:rFonts w:ascii="Times New Roman" w:hAnsi="Times New Roman" w:cs="Times New Roman"/>
          <w:color w:val="000000" w:themeColor="text1"/>
          <w:sz w:val="24"/>
          <w:szCs w:val="24"/>
        </w:rPr>
        <w:t>本项目营业范围包括：柴油、汽油。</w:t>
      </w:r>
    </w:p>
    <w:p>
      <w:pPr>
        <w:autoSpaceDN w:val="0"/>
        <w:spacing w:line="500" w:lineRule="exact"/>
        <w:ind w:firstLine="480" w:firstLineChars="200"/>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加油站有职工13人，站内设卫生间、宿舍，员工餐饮外购或自带；项目经营设置汽修、洗车等内容。加油站年工作365d，每天三班，每班8小时，每班4人。</w:t>
      </w: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二、应急预案编制过程概述</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2019年</w:t>
      </w:r>
      <w:r>
        <w:rPr>
          <w:rFonts w:hint="eastAsia" w:ascii="Times New Roman" w:hAnsi="Times New Roman" w:cs="Times New Roman"/>
          <w:color w:val="000000" w:themeColor="text1"/>
          <w:sz w:val="24"/>
          <w:szCs w:val="24"/>
        </w:rPr>
        <w:t>10</w:t>
      </w:r>
      <w:r>
        <w:rPr>
          <w:rFonts w:ascii="Times New Roman" w:hAnsi="Times New Roman" w:cs="Times New Roman"/>
          <w:color w:val="000000" w:themeColor="text1"/>
          <w:sz w:val="24"/>
          <w:szCs w:val="24"/>
        </w:rPr>
        <w:t>月南昌中油瑶湖石油销售有限公司瑶湖加油站经内部调查及资料收集后，组织分公司相关人员并委托</w:t>
      </w:r>
      <w:r>
        <w:rPr>
          <w:rFonts w:hint="eastAsia" w:ascii="Times New Roman" w:hAnsi="Times New Roman" w:cs="Times New Roman"/>
          <w:color w:val="000000" w:themeColor="text1"/>
          <w:sz w:val="24"/>
          <w:szCs w:val="24"/>
        </w:rPr>
        <w:t>南昌民圣环保服务有限公司</w:t>
      </w:r>
      <w:r>
        <w:rPr>
          <w:rFonts w:ascii="Times New Roman" w:hAnsi="Times New Roman" w:cs="Times New Roman"/>
          <w:color w:val="000000" w:themeColor="text1"/>
          <w:sz w:val="24"/>
          <w:szCs w:val="24"/>
        </w:rPr>
        <w:t>联合编制完成《南昌中油瑶湖石油销售有限公司瑶湖加油站应急预案（初稿）》。2019年</w:t>
      </w:r>
      <w:r>
        <w:rPr>
          <w:rFonts w:hint="eastAsia" w:ascii="Times New Roman" w:hAnsi="Times New Roman" w:cs="Times New Roman"/>
          <w:color w:val="000000" w:themeColor="text1"/>
          <w:sz w:val="24"/>
          <w:szCs w:val="24"/>
        </w:rPr>
        <w:t>10</w:t>
      </w:r>
      <w:r>
        <w:rPr>
          <w:rFonts w:ascii="Times New Roman" w:hAnsi="Times New Roman" w:cs="Times New Roman"/>
          <w:color w:val="000000" w:themeColor="text1"/>
          <w:sz w:val="24"/>
          <w:szCs w:val="24"/>
        </w:rPr>
        <w:t>月2</w:t>
      </w:r>
      <w:r>
        <w:rPr>
          <w:rFonts w:hint="eastAsia" w:ascii="Times New Roman" w:hAnsi="Times New Roman" w:cs="Times New Roman"/>
          <w:color w:val="000000" w:themeColor="text1"/>
          <w:sz w:val="24"/>
          <w:szCs w:val="24"/>
        </w:rPr>
        <w:t>8</w:t>
      </w:r>
      <w:r>
        <w:rPr>
          <w:rFonts w:ascii="Times New Roman" w:hAnsi="Times New Roman" w:cs="Times New Roman"/>
          <w:color w:val="000000" w:themeColor="text1"/>
          <w:sz w:val="24"/>
          <w:szCs w:val="24"/>
        </w:rPr>
        <w:t>日，南昌中油瑶湖石油销售有限公司瑶湖加油站相关人员对初步编制完成的《南昌中油瑶湖石油销售有限公司瑶湖加油站突发环境事件应急预案（初稿）》的适用性、可行性进行了内部评审，经分析、讨论并提出修改意见和建议，根据修改意见和建议对应急预案进行了修改、完善，形成《南昌中油瑶湖石油销售有限公司瑶湖加油站突发环境事件应急预案》。</w:t>
      </w:r>
      <w:bookmarkStart w:id="1" w:name="_Toc472676682"/>
      <w:bookmarkStart w:id="2" w:name="_Toc472676815"/>
      <w:bookmarkStart w:id="3" w:name="_Toc472676201"/>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三、重点内容说明</w:t>
      </w:r>
      <w:bookmarkEnd w:id="1"/>
      <w:bookmarkEnd w:id="2"/>
      <w:bookmarkEnd w:id="3"/>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根据《突发环境事件应急预案管理办法》、《</w:t>
      </w:r>
      <w:r>
        <w:fldChar w:fldCharType="begin"/>
      </w:r>
      <w:r>
        <w:instrText xml:space="preserve"> HYPERLINK "http://www.mep.gov.cn/gkml/hbb/bwj/201501/t20150113_294131.htm" </w:instrText>
      </w:r>
      <w:r>
        <w:fldChar w:fldCharType="separate"/>
      </w:r>
      <w:r>
        <w:rPr>
          <w:rFonts w:ascii="Times New Roman" w:hAnsi="Times New Roman" w:cs="Times New Roman"/>
          <w:color w:val="000000" w:themeColor="text1"/>
          <w:sz w:val="24"/>
          <w:szCs w:val="24"/>
        </w:rPr>
        <w:t>企业事业单位突发环境事件应急预案备案管理办法</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（试行）》（环发〔2015〕4号）和《南昌中油瑶湖石油销售有限公司瑶湖加油站突发环境事件应急预案》重点内容为：</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突发环境事件风险评估，其中以最大可信事故及环境风险等级的判定，突发环境事件风险管理尤为重要；</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环境应急资源调查，其中以加油站已有的应急体系、应急物资、外部可联动应急资源及其能力判断尤为重要；</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除以上两方面内容外，预防与预警、信息报告与通报、应急响应与措施均属于本应急预案重点内容。</w:t>
      </w:r>
    </w:p>
    <w:p>
      <w:pPr>
        <w:spacing w:line="500" w:lineRule="exact"/>
        <w:ind w:firstLine="482" w:firstLineChars="200"/>
        <w:rPr>
          <w:rFonts w:ascii="Times New Roman" w:hAnsi="Times New Roman" w:cs="Times New Roman"/>
          <w:b/>
          <w:color w:val="000000" w:themeColor="text1"/>
          <w:sz w:val="24"/>
          <w:szCs w:val="24"/>
        </w:rPr>
      </w:pPr>
      <w:bookmarkStart w:id="4" w:name="_Toc472676202"/>
      <w:bookmarkStart w:id="5" w:name="_Toc472676816"/>
      <w:bookmarkStart w:id="6" w:name="_Toc472676683"/>
      <w:r>
        <w:rPr>
          <w:rFonts w:ascii="Times New Roman" w:hAnsi="Times New Roman" w:cs="Times New Roman"/>
          <w:b/>
          <w:color w:val="000000" w:themeColor="text1"/>
          <w:sz w:val="24"/>
          <w:szCs w:val="24"/>
        </w:rPr>
        <w:t>四、征求意见及采纳情况说明</w:t>
      </w:r>
      <w:bookmarkEnd w:id="4"/>
      <w:bookmarkEnd w:id="5"/>
      <w:bookmarkEnd w:id="6"/>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2019年11月4日，南昌中油瑶湖石油销售有限公司瑶湖加油站相关人员对《南昌中油瑶湖石油销售有限公司瑶湖加油站突发环境事件应急预案》及相关文件进行内部评审。</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应急预案编制组根据内部评审会形成的意见和建议及其他意见，对应急预案进行了认真修改完善，形成《南昌中油瑶湖石油销售有限公司瑶湖加油站突发环境事件应急预案》。</w:t>
      </w:r>
    </w:p>
    <w:p>
      <w:pPr>
        <w:spacing w:line="500" w:lineRule="exact"/>
        <w:ind w:firstLine="4080" w:firstLineChars="1700"/>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南昌中油瑶湖石油销售有限公司</w:t>
      </w:r>
    </w:p>
    <w:p>
      <w:pPr>
        <w:spacing w:line="500" w:lineRule="exact"/>
        <w:ind w:firstLine="4080" w:firstLineChars="1700"/>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瑶湖加油站</w:t>
      </w:r>
    </w:p>
    <w:p>
      <w:pPr>
        <w:spacing w:line="500" w:lineRule="exact"/>
        <w:ind w:firstLine="4080" w:firstLineChars="1700"/>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二〇一九年十一月四日</w:t>
      </w:r>
    </w:p>
    <w:p>
      <w:pPr>
        <w:spacing w:line="500" w:lineRule="exact"/>
        <w:ind w:firstLine="480" w:firstLineChars="200"/>
        <w:rPr>
          <w:rFonts w:ascii="Times New Roman" w:hAnsi="Times New Roman" w:cs="Times New Roman"/>
          <w:color w:val="000000" w:themeColor="text1"/>
          <w:sz w:val="24"/>
          <w:szCs w:val="24"/>
        </w:rPr>
      </w:pPr>
    </w:p>
    <w:p>
      <w:pPr>
        <w:widowControl/>
        <w:ind w:firstLine="480"/>
        <w:jc w:val="center"/>
        <w:rPr>
          <w:rFonts w:ascii="Times New Roman" w:hAnsi="Times New Roman" w:eastAsia="宋体" w:cs="Times New Roman"/>
          <w:bCs/>
          <w:color w:val="000000" w:themeColor="text1"/>
          <w:sz w:val="24"/>
          <w:szCs w:val="24"/>
        </w:rPr>
      </w:pPr>
      <w:r>
        <w:rPr>
          <w:rFonts w:ascii="Times New Roman" w:hAnsi="Times New Roman" w:cs="Times New Roman"/>
          <w:color w:val="000000" w:themeColor="text1"/>
        </w:rPr>
        <w:br w:type="page"/>
      </w:r>
      <w:bookmarkStart w:id="7" w:name="_Toc21399_WPSOffice_Level1"/>
      <w:bookmarkStart w:id="8" w:name="_Toc532816998"/>
      <w:bookmarkStart w:id="9" w:name="_Toc3157_WPSOffice_Level1"/>
      <w:bookmarkStart w:id="10" w:name="_Toc6589"/>
      <w:r>
        <w:rPr>
          <w:rFonts w:ascii="Times New Roman" w:hAnsi="Times New Roman" w:eastAsia="宋体" w:cs="Times New Roman"/>
          <w:bCs/>
          <w:color w:val="000000" w:themeColor="text1"/>
          <w:sz w:val="24"/>
          <w:szCs w:val="24"/>
        </w:rPr>
        <w:t>目</w:t>
      </w:r>
      <w:r>
        <w:rPr>
          <w:rFonts w:hint="eastAsia" w:ascii="Times New Roman" w:hAnsi="Times New Roman" w:eastAsia="宋体" w:cs="Times New Roman"/>
          <w:bCs/>
          <w:color w:val="000000" w:themeColor="text1"/>
          <w:sz w:val="24"/>
          <w:szCs w:val="24"/>
        </w:rPr>
        <w:t xml:space="preserve">  </w:t>
      </w:r>
      <w:r>
        <w:rPr>
          <w:rFonts w:ascii="Times New Roman" w:hAnsi="Times New Roman" w:eastAsia="宋体" w:cs="Times New Roman"/>
          <w:bCs/>
          <w:color w:val="000000" w:themeColor="text1"/>
          <w:sz w:val="24"/>
          <w:szCs w:val="24"/>
        </w:rPr>
        <w:t>录</w:t>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kern w:val="44"/>
          <w:sz w:val="24"/>
          <w:szCs w:val="24"/>
        </w:rPr>
        <w:fldChar w:fldCharType="begin"/>
      </w:r>
      <w:r>
        <w:rPr>
          <w:rFonts w:ascii="Times New Roman" w:hAnsi="Times New Roman" w:eastAsia="宋体" w:cs="Times New Roman"/>
          <w:color w:val="000000" w:themeColor="text1"/>
          <w:kern w:val="44"/>
          <w:sz w:val="24"/>
          <w:szCs w:val="24"/>
        </w:rPr>
        <w:instrText xml:space="preserve">TOC \o "1-3" \f \u </w:instrText>
      </w:r>
      <w:r>
        <w:rPr>
          <w:rFonts w:ascii="Times New Roman" w:hAnsi="Times New Roman" w:eastAsia="宋体" w:cs="Times New Roman"/>
          <w:color w:val="000000" w:themeColor="text1"/>
          <w:kern w:val="44"/>
          <w:sz w:val="24"/>
          <w:szCs w:val="24"/>
        </w:rPr>
        <w:fldChar w:fldCharType="separate"/>
      </w:r>
      <w:r>
        <w:rPr>
          <w:rFonts w:ascii="Times New Roman" w:hAnsi="Times New Roman" w:eastAsia="宋体" w:cs="Times New Roman"/>
          <w:bCs/>
          <w:color w:val="000000" w:themeColor="text1"/>
          <w:kern w:val="44"/>
          <w:sz w:val="24"/>
          <w:szCs w:val="30"/>
        </w:rPr>
        <w:t>1.总则</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_Toc11956 </w:instrText>
      </w:r>
      <w:r>
        <w:rPr>
          <w:rFonts w:ascii="Times New Roman" w:hAnsi="Times New Roman" w:eastAsia="宋体" w:cs="Times New Roman"/>
          <w:sz w:val="24"/>
        </w:rPr>
        <w:fldChar w:fldCharType="separate"/>
      </w:r>
      <w:r>
        <w:rPr>
          <w:rFonts w:ascii="Times New Roman" w:hAnsi="Times New Roman" w:eastAsia="宋体" w:cs="Times New Roman"/>
          <w:sz w:val="24"/>
        </w:rPr>
        <w:t>1</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1.1编制目的</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_Toc26530 </w:instrText>
      </w:r>
      <w:r>
        <w:rPr>
          <w:rFonts w:ascii="Times New Roman" w:hAnsi="Times New Roman" w:eastAsia="宋体" w:cs="Times New Roman"/>
          <w:sz w:val="24"/>
        </w:rPr>
        <w:fldChar w:fldCharType="separate"/>
      </w:r>
      <w:r>
        <w:rPr>
          <w:rFonts w:ascii="Times New Roman" w:hAnsi="Times New Roman" w:eastAsia="宋体" w:cs="Times New Roman"/>
          <w:sz w:val="24"/>
        </w:rPr>
        <w:t>1</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1.2 编制依据</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_Toc28569 </w:instrText>
      </w:r>
      <w:r>
        <w:rPr>
          <w:rFonts w:ascii="Times New Roman" w:hAnsi="Times New Roman" w:eastAsia="宋体" w:cs="Times New Roman"/>
          <w:sz w:val="24"/>
        </w:rPr>
        <w:fldChar w:fldCharType="separate"/>
      </w:r>
      <w:r>
        <w:rPr>
          <w:rFonts w:ascii="Times New Roman" w:hAnsi="Times New Roman" w:eastAsia="宋体" w:cs="Times New Roman"/>
          <w:sz w:val="24"/>
        </w:rPr>
        <w:t>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1.2.1法律、法规、部门规章</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_Toc24289 </w:instrText>
      </w:r>
      <w:r>
        <w:rPr>
          <w:rFonts w:ascii="Times New Roman" w:hAnsi="Times New Roman" w:eastAsia="宋体" w:cs="Times New Roman"/>
          <w:sz w:val="24"/>
        </w:rPr>
        <w:fldChar w:fldCharType="separate"/>
      </w:r>
      <w:r>
        <w:rPr>
          <w:rFonts w:ascii="Times New Roman" w:hAnsi="Times New Roman" w:eastAsia="宋体" w:cs="Times New Roman"/>
          <w:sz w:val="24"/>
        </w:rPr>
        <w:t>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1.2.2标准、规范</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_Toc23857 </w:instrText>
      </w:r>
      <w:r>
        <w:rPr>
          <w:rFonts w:ascii="Times New Roman" w:hAnsi="Times New Roman" w:eastAsia="宋体" w:cs="Times New Roman"/>
          <w:sz w:val="24"/>
        </w:rPr>
        <w:fldChar w:fldCharType="separate"/>
      </w:r>
      <w:r>
        <w:rPr>
          <w:rFonts w:ascii="Times New Roman" w:hAnsi="Times New Roman" w:eastAsia="宋体" w:cs="Times New Roman"/>
          <w:sz w:val="24"/>
        </w:rPr>
        <w:t>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1.2.3其它文件资料</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_Toc6323 </w:instrText>
      </w:r>
      <w:r>
        <w:rPr>
          <w:rFonts w:ascii="Times New Roman" w:hAnsi="Times New Roman" w:eastAsia="宋体" w:cs="Times New Roman"/>
          <w:sz w:val="24"/>
        </w:rPr>
        <w:fldChar w:fldCharType="separate"/>
      </w:r>
      <w:r>
        <w:rPr>
          <w:rFonts w:ascii="Times New Roman" w:hAnsi="Times New Roman" w:eastAsia="宋体" w:cs="Times New Roman"/>
          <w:sz w:val="24"/>
        </w:rPr>
        <w:t>3</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1.3适用范围</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_Toc12807 </w:instrText>
      </w:r>
      <w:r>
        <w:rPr>
          <w:rFonts w:ascii="Times New Roman" w:hAnsi="Times New Roman" w:eastAsia="宋体" w:cs="Times New Roman"/>
          <w:sz w:val="24"/>
        </w:rPr>
        <w:fldChar w:fldCharType="separate"/>
      </w:r>
      <w:r>
        <w:rPr>
          <w:rFonts w:ascii="Times New Roman" w:hAnsi="Times New Roman" w:eastAsia="宋体" w:cs="Times New Roman"/>
          <w:sz w:val="24"/>
        </w:rPr>
        <w:t>4</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1.4应急预案体系</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_Toc29935 </w:instrText>
      </w:r>
      <w:r>
        <w:rPr>
          <w:rFonts w:ascii="Times New Roman" w:hAnsi="Times New Roman" w:eastAsia="宋体" w:cs="Times New Roman"/>
          <w:sz w:val="24"/>
        </w:rPr>
        <w:fldChar w:fldCharType="separate"/>
      </w:r>
      <w:r>
        <w:rPr>
          <w:rFonts w:ascii="Times New Roman" w:hAnsi="Times New Roman" w:eastAsia="宋体" w:cs="Times New Roman"/>
          <w:sz w:val="24"/>
        </w:rPr>
        <w:t>4</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1.5 事故分级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_Toc26689 </w:instrText>
      </w:r>
      <w:r>
        <w:rPr>
          <w:rFonts w:ascii="Times New Roman" w:hAnsi="Times New Roman" w:eastAsia="宋体" w:cs="Times New Roman"/>
          <w:sz w:val="24"/>
        </w:rPr>
        <w:fldChar w:fldCharType="separate"/>
      </w:r>
      <w:r>
        <w:rPr>
          <w:rFonts w:ascii="Times New Roman" w:hAnsi="Times New Roman" w:eastAsia="宋体" w:cs="Times New Roman"/>
          <w:sz w:val="24"/>
        </w:rPr>
        <w:t>5</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1.5.1 国家应急预案分级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_Toc24608 </w:instrText>
      </w:r>
      <w:r>
        <w:rPr>
          <w:rFonts w:ascii="Times New Roman" w:hAnsi="Times New Roman" w:eastAsia="宋体" w:cs="Times New Roman"/>
          <w:sz w:val="24"/>
        </w:rPr>
        <w:fldChar w:fldCharType="separate"/>
      </w:r>
      <w:r>
        <w:rPr>
          <w:rFonts w:ascii="Times New Roman" w:hAnsi="Times New Roman" w:eastAsia="宋体" w:cs="Times New Roman"/>
          <w:sz w:val="24"/>
        </w:rPr>
        <w:t>5</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1.5.2 企业应急预案分级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_Toc12592 </w:instrText>
      </w:r>
      <w:r>
        <w:rPr>
          <w:rFonts w:ascii="Times New Roman" w:hAnsi="Times New Roman" w:eastAsia="宋体" w:cs="Times New Roman"/>
          <w:sz w:val="24"/>
        </w:rPr>
        <w:fldChar w:fldCharType="separate"/>
      </w:r>
      <w:r>
        <w:rPr>
          <w:rFonts w:ascii="Times New Roman" w:hAnsi="Times New Roman" w:eastAsia="宋体" w:cs="Times New Roman"/>
          <w:sz w:val="24"/>
        </w:rPr>
        <w:t>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1.6工作原则</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_Toc18790 </w:instrText>
      </w:r>
      <w:r>
        <w:rPr>
          <w:rFonts w:ascii="Times New Roman" w:hAnsi="Times New Roman" w:eastAsia="宋体" w:cs="Times New Roman"/>
          <w:sz w:val="24"/>
        </w:rPr>
        <w:fldChar w:fldCharType="separate"/>
      </w:r>
      <w:r>
        <w:rPr>
          <w:rFonts w:ascii="Times New Roman" w:hAnsi="Times New Roman" w:eastAsia="宋体" w:cs="Times New Roman"/>
          <w:sz w:val="24"/>
        </w:rPr>
        <w:t>6</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2.加油站基本情况</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_Toc32327 </w:instrText>
      </w:r>
      <w:r>
        <w:rPr>
          <w:rFonts w:ascii="Times New Roman" w:hAnsi="Times New Roman" w:eastAsia="宋体" w:cs="Times New Roman"/>
          <w:sz w:val="24"/>
        </w:rPr>
        <w:fldChar w:fldCharType="separate"/>
      </w:r>
      <w:r>
        <w:rPr>
          <w:rFonts w:ascii="Times New Roman" w:hAnsi="Times New Roman" w:eastAsia="宋体" w:cs="Times New Roman"/>
          <w:sz w:val="24"/>
        </w:rPr>
        <w:t>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2.1加油站概况</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_Toc18442 </w:instrText>
      </w:r>
      <w:r>
        <w:rPr>
          <w:rFonts w:ascii="Times New Roman" w:hAnsi="Times New Roman" w:eastAsia="宋体" w:cs="Times New Roman"/>
          <w:sz w:val="24"/>
        </w:rPr>
        <w:fldChar w:fldCharType="separate"/>
      </w:r>
      <w:r>
        <w:rPr>
          <w:rFonts w:ascii="Times New Roman" w:hAnsi="Times New Roman" w:eastAsia="宋体" w:cs="Times New Roman"/>
          <w:sz w:val="24"/>
        </w:rPr>
        <w:t>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2.2自然环境概况</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_Toc20160 </w:instrText>
      </w:r>
      <w:r>
        <w:rPr>
          <w:rFonts w:ascii="Times New Roman" w:hAnsi="Times New Roman" w:eastAsia="宋体" w:cs="Times New Roman"/>
          <w:sz w:val="24"/>
        </w:rPr>
        <w:fldChar w:fldCharType="separate"/>
      </w:r>
      <w:r>
        <w:rPr>
          <w:rFonts w:ascii="Times New Roman" w:hAnsi="Times New Roman" w:eastAsia="宋体" w:cs="Times New Roman"/>
          <w:sz w:val="24"/>
        </w:rPr>
        <w:t>8</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2.2.1地理位置</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_Toc30478 </w:instrText>
      </w:r>
      <w:r>
        <w:rPr>
          <w:rFonts w:ascii="Times New Roman" w:hAnsi="Times New Roman" w:eastAsia="宋体" w:cs="Times New Roman"/>
          <w:sz w:val="24"/>
        </w:rPr>
        <w:fldChar w:fldCharType="separate"/>
      </w:r>
      <w:r>
        <w:rPr>
          <w:rFonts w:ascii="Times New Roman" w:hAnsi="Times New Roman" w:eastAsia="宋体" w:cs="Times New Roman"/>
          <w:sz w:val="24"/>
        </w:rPr>
        <w:t>8</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2.2.2自然条件</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_Toc20351 </w:instrText>
      </w:r>
      <w:r>
        <w:rPr>
          <w:rFonts w:ascii="Times New Roman" w:hAnsi="Times New Roman" w:eastAsia="宋体" w:cs="Times New Roman"/>
          <w:sz w:val="24"/>
        </w:rPr>
        <w:fldChar w:fldCharType="separate"/>
      </w:r>
      <w:r>
        <w:rPr>
          <w:rFonts w:ascii="Times New Roman" w:hAnsi="Times New Roman" w:eastAsia="宋体" w:cs="Times New Roman"/>
          <w:sz w:val="24"/>
        </w:rPr>
        <w:t>9</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2.3 周边环境敏感点</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_Toc32269 </w:instrText>
      </w:r>
      <w:r>
        <w:rPr>
          <w:rFonts w:ascii="Times New Roman" w:hAnsi="Times New Roman" w:eastAsia="宋体" w:cs="Times New Roman"/>
          <w:sz w:val="24"/>
        </w:rPr>
        <w:fldChar w:fldCharType="separate"/>
      </w:r>
      <w:r>
        <w:rPr>
          <w:rFonts w:ascii="Times New Roman" w:hAnsi="Times New Roman" w:eastAsia="宋体" w:cs="Times New Roman"/>
          <w:sz w:val="24"/>
        </w:rPr>
        <w:t>11</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2.4 加油站平面布置</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_Toc1775 </w:instrText>
      </w:r>
      <w:r>
        <w:rPr>
          <w:rFonts w:ascii="Times New Roman" w:hAnsi="Times New Roman" w:eastAsia="宋体" w:cs="Times New Roman"/>
          <w:sz w:val="24"/>
        </w:rPr>
        <w:fldChar w:fldCharType="separate"/>
      </w:r>
      <w:r>
        <w:rPr>
          <w:rFonts w:ascii="Times New Roman" w:hAnsi="Times New Roman" w:eastAsia="宋体" w:cs="Times New Roman"/>
          <w:sz w:val="24"/>
        </w:rPr>
        <w:t>12</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2.5加油站工艺流程基本情况</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_Toc14869 </w:instrText>
      </w:r>
      <w:r>
        <w:rPr>
          <w:rFonts w:ascii="Times New Roman" w:hAnsi="Times New Roman" w:eastAsia="宋体" w:cs="Times New Roman"/>
          <w:sz w:val="24"/>
        </w:rPr>
        <w:fldChar w:fldCharType="separate"/>
      </w:r>
      <w:r>
        <w:rPr>
          <w:rFonts w:ascii="Times New Roman" w:hAnsi="Times New Roman" w:eastAsia="宋体" w:cs="Times New Roman"/>
          <w:sz w:val="24"/>
        </w:rPr>
        <w:t>13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2.5.1油品消耗</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_Toc21743 </w:instrText>
      </w:r>
      <w:r>
        <w:rPr>
          <w:rFonts w:ascii="Times New Roman" w:hAnsi="Times New Roman" w:eastAsia="宋体" w:cs="Times New Roman"/>
          <w:sz w:val="24"/>
        </w:rPr>
        <w:fldChar w:fldCharType="separate"/>
      </w:r>
      <w:r>
        <w:rPr>
          <w:rFonts w:ascii="Times New Roman" w:hAnsi="Times New Roman" w:eastAsia="宋体" w:cs="Times New Roman"/>
          <w:sz w:val="24"/>
        </w:rPr>
        <w:t>13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2.5.2生产工艺流程及产污节点</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_Toc20075 </w:instrText>
      </w:r>
      <w:r>
        <w:rPr>
          <w:rFonts w:ascii="Times New Roman" w:hAnsi="Times New Roman" w:eastAsia="宋体" w:cs="Times New Roman"/>
          <w:sz w:val="24"/>
        </w:rPr>
        <w:fldChar w:fldCharType="separate"/>
      </w:r>
      <w:r>
        <w:rPr>
          <w:rFonts w:ascii="Times New Roman" w:hAnsi="Times New Roman" w:eastAsia="宋体" w:cs="Times New Roman"/>
          <w:sz w:val="24"/>
        </w:rPr>
        <w:t>13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2.5.3 公辅工程及主要设备设施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_Toc3854 </w:instrText>
      </w:r>
      <w:r>
        <w:rPr>
          <w:rFonts w:ascii="Times New Roman" w:hAnsi="Times New Roman" w:eastAsia="宋体" w:cs="Times New Roman"/>
          <w:sz w:val="24"/>
        </w:rPr>
        <w:fldChar w:fldCharType="separate"/>
      </w:r>
      <w:r>
        <w:rPr>
          <w:rFonts w:ascii="Times New Roman" w:hAnsi="Times New Roman" w:eastAsia="宋体" w:cs="Times New Roman"/>
          <w:sz w:val="24"/>
        </w:rPr>
        <w:t>15</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2.5.4污染物产生及处置情况</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_Toc25685 </w:instrText>
      </w:r>
      <w:r>
        <w:rPr>
          <w:rFonts w:ascii="Times New Roman" w:hAnsi="Times New Roman" w:eastAsia="宋体" w:cs="Times New Roman"/>
          <w:sz w:val="24"/>
        </w:rPr>
        <w:fldChar w:fldCharType="separate"/>
      </w:r>
      <w:r>
        <w:rPr>
          <w:rFonts w:ascii="Times New Roman" w:hAnsi="Times New Roman" w:eastAsia="宋体" w:cs="Times New Roman"/>
          <w:sz w:val="24"/>
        </w:rPr>
        <w:t>16</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2.6 项目水平衡</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_Toc923 </w:instrText>
      </w:r>
      <w:r>
        <w:rPr>
          <w:rFonts w:ascii="Times New Roman" w:hAnsi="Times New Roman" w:eastAsia="宋体" w:cs="Times New Roman"/>
          <w:sz w:val="24"/>
        </w:rPr>
        <w:fldChar w:fldCharType="separate"/>
      </w:r>
      <w:r>
        <w:rPr>
          <w:rFonts w:ascii="Times New Roman" w:hAnsi="Times New Roman" w:eastAsia="宋体" w:cs="Times New Roman"/>
          <w:sz w:val="24"/>
        </w:rPr>
        <w:t>17</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2.7 环境管理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_Toc23142 </w:instrText>
      </w:r>
      <w:r>
        <w:rPr>
          <w:rFonts w:ascii="Times New Roman" w:hAnsi="Times New Roman" w:eastAsia="宋体" w:cs="Times New Roman"/>
          <w:sz w:val="24"/>
        </w:rPr>
        <w:fldChar w:fldCharType="separate"/>
      </w:r>
      <w:r>
        <w:rPr>
          <w:rFonts w:ascii="Times New Roman" w:hAnsi="Times New Roman" w:eastAsia="宋体" w:cs="Times New Roman"/>
          <w:sz w:val="24"/>
        </w:rPr>
        <w:t>17</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3.环境风险源及环境风险评价</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_Toc16991 </w:instrText>
      </w:r>
      <w:r>
        <w:rPr>
          <w:rFonts w:ascii="Times New Roman" w:hAnsi="Times New Roman" w:eastAsia="宋体" w:cs="Times New Roman"/>
          <w:sz w:val="24"/>
        </w:rPr>
        <w:fldChar w:fldCharType="separate"/>
      </w:r>
      <w:r>
        <w:rPr>
          <w:rFonts w:ascii="Times New Roman" w:hAnsi="Times New Roman" w:eastAsia="宋体" w:cs="Times New Roman"/>
          <w:sz w:val="24"/>
        </w:rPr>
        <w:t>18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3.1环境风险源识别</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_Toc26326 </w:instrText>
      </w:r>
      <w:r>
        <w:rPr>
          <w:rFonts w:ascii="Times New Roman" w:hAnsi="Times New Roman" w:eastAsia="宋体" w:cs="Times New Roman"/>
          <w:sz w:val="24"/>
        </w:rPr>
        <w:fldChar w:fldCharType="separate"/>
      </w:r>
      <w:r>
        <w:rPr>
          <w:rFonts w:ascii="Times New Roman" w:hAnsi="Times New Roman" w:eastAsia="宋体" w:cs="Times New Roman"/>
          <w:sz w:val="24"/>
        </w:rPr>
        <w:t>18</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3.1.1环境风险定义</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_Toc16377 </w:instrText>
      </w:r>
      <w:r>
        <w:rPr>
          <w:rFonts w:ascii="Times New Roman" w:hAnsi="Times New Roman" w:eastAsia="宋体" w:cs="Times New Roman"/>
          <w:sz w:val="24"/>
        </w:rPr>
        <w:fldChar w:fldCharType="separate"/>
      </w:r>
      <w:r>
        <w:rPr>
          <w:rFonts w:ascii="Times New Roman" w:hAnsi="Times New Roman" w:eastAsia="宋体" w:cs="Times New Roman"/>
          <w:sz w:val="24"/>
        </w:rPr>
        <w:t>18</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3.1.2环境风险物质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_Toc3565 </w:instrText>
      </w:r>
      <w:r>
        <w:rPr>
          <w:rFonts w:ascii="Times New Roman" w:hAnsi="Times New Roman" w:eastAsia="宋体" w:cs="Times New Roman"/>
          <w:sz w:val="24"/>
        </w:rPr>
        <w:fldChar w:fldCharType="separate"/>
      </w:r>
      <w:r>
        <w:rPr>
          <w:rFonts w:ascii="Times New Roman" w:hAnsi="Times New Roman" w:eastAsia="宋体" w:cs="Times New Roman"/>
          <w:sz w:val="24"/>
        </w:rPr>
        <w:t>18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3.2 环境风险分析</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_Toc20778 </w:instrText>
      </w:r>
      <w:r>
        <w:rPr>
          <w:rFonts w:ascii="Times New Roman" w:hAnsi="Times New Roman" w:eastAsia="宋体" w:cs="Times New Roman"/>
          <w:sz w:val="24"/>
        </w:rPr>
        <w:fldChar w:fldCharType="separate"/>
      </w:r>
      <w:r>
        <w:rPr>
          <w:rFonts w:ascii="Times New Roman" w:hAnsi="Times New Roman" w:eastAsia="宋体" w:cs="Times New Roman"/>
          <w:sz w:val="24"/>
        </w:rPr>
        <w:t>21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3.2.1 火灾、爆炸</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_Toc5268 </w:instrText>
      </w:r>
      <w:r>
        <w:rPr>
          <w:rFonts w:ascii="Times New Roman" w:hAnsi="Times New Roman" w:eastAsia="宋体" w:cs="Times New Roman"/>
          <w:sz w:val="24"/>
        </w:rPr>
        <w:fldChar w:fldCharType="separate"/>
      </w:r>
      <w:r>
        <w:rPr>
          <w:rFonts w:ascii="Times New Roman" w:hAnsi="Times New Roman" w:eastAsia="宋体" w:cs="Times New Roman"/>
          <w:sz w:val="24"/>
        </w:rPr>
        <w:t>21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3.2.2 静电</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_Toc9636 </w:instrText>
      </w:r>
      <w:r>
        <w:rPr>
          <w:rFonts w:ascii="Times New Roman" w:hAnsi="Times New Roman" w:eastAsia="宋体" w:cs="Times New Roman"/>
          <w:sz w:val="24"/>
        </w:rPr>
        <w:fldChar w:fldCharType="separate"/>
      </w:r>
      <w:r>
        <w:rPr>
          <w:rFonts w:ascii="Times New Roman" w:hAnsi="Times New Roman" w:eastAsia="宋体" w:cs="Times New Roman"/>
          <w:sz w:val="24"/>
        </w:rPr>
        <w:t>22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3.2.3 中毒</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_Toc6267 </w:instrText>
      </w:r>
      <w:r>
        <w:rPr>
          <w:rFonts w:ascii="Times New Roman" w:hAnsi="Times New Roman" w:eastAsia="宋体" w:cs="Times New Roman"/>
          <w:sz w:val="24"/>
        </w:rPr>
        <w:fldChar w:fldCharType="separate"/>
      </w:r>
      <w:r>
        <w:rPr>
          <w:rFonts w:ascii="Times New Roman" w:hAnsi="Times New Roman" w:eastAsia="宋体" w:cs="Times New Roman"/>
          <w:sz w:val="24"/>
        </w:rPr>
        <w:t>22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3.2.4 加油站作业风险分析</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_Toc26125 </w:instrText>
      </w:r>
      <w:r>
        <w:rPr>
          <w:rFonts w:ascii="Times New Roman" w:hAnsi="Times New Roman" w:eastAsia="宋体" w:cs="Times New Roman"/>
          <w:sz w:val="24"/>
        </w:rPr>
        <w:fldChar w:fldCharType="separate"/>
      </w:r>
      <w:r>
        <w:rPr>
          <w:rFonts w:ascii="Times New Roman" w:hAnsi="Times New Roman" w:eastAsia="宋体" w:cs="Times New Roman"/>
          <w:sz w:val="24"/>
        </w:rPr>
        <w:t>22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3.2.5 非作业事故分析</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_Toc642 </w:instrText>
      </w:r>
      <w:r>
        <w:rPr>
          <w:rFonts w:ascii="Times New Roman" w:hAnsi="Times New Roman" w:eastAsia="宋体" w:cs="Times New Roman"/>
          <w:sz w:val="24"/>
        </w:rPr>
        <w:fldChar w:fldCharType="separate"/>
      </w:r>
      <w:r>
        <w:rPr>
          <w:rFonts w:ascii="Times New Roman" w:hAnsi="Times New Roman" w:eastAsia="宋体" w:cs="Times New Roman"/>
          <w:sz w:val="24"/>
        </w:rPr>
        <w:t>23</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3.3风险事故环境影响评价</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_Toc30548 </w:instrText>
      </w:r>
      <w:r>
        <w:rPr>
          <w:rFonts w:ascii="Times New Roman" w:hAnsi="Times New Roman" w:eastAsia="宋体" w:cs="Times New Roman"/>
          <w:sz w:val="24"/>
        </w:rPr>
        <w:fldChar w:fldCharType="separate"/>
      </w:r>
      <w:r>
        <w:rPr>
          <w:rFonts w:ascii="Times New Roman" w:hAnsi="Times New Roman" w:eastAsia="宋体" w:cs="Times New Roman"/>
          <w:sz w:val="24"/>
        </w:rPr>
        <w:t>24</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3.3.1油品泄漏引起的环境污染事故</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_Toc27965 </w:instrText>
      </w:r>
      <w:r>
        <w:rPr>
          <w:rFonts w:ascii="Times New Roman" w:hAnsi="Times New Roman" w:eastAsia="宋体" w:cs="Times New Roman"/>
          <w:sz w:val="24"/>
        </w:rPr>
        <w:fldChar w:fldCharType="separate"/>
      </w:r>
      <w:r>
        <w:rPr>
          <w:rFonts w:ascii="Times New Roman" w:hAnsi="Times New Roman" w:eastAsia="宋体" w:cs="Times New Roman"/>
          <w:sz w:val="24"/>
        </w:rPr>
        <w:t>24</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3.3.2 火灾、爆炸事故环境影响</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_Toc13716 </w:instrText>
      </w:r>
      <w:r>
        <w:rPr>
          <w:rFonts w:ascii="Times New Roman" w:hAnsi="Times New Roman" w:eastAsia="宋体" w:cs="Times New Roman"/>
          <w:sz w:val="24"/>
        </w:rPr>
        <w:fldChar w:fldCharType="separate"/>
      </w:r>
      <w:r>
        <w:rPr>
          <w:rFonts w:ascii="Times New Roman" w:hAnsi="Times New Roman" w:eastAsia="宋体" w:cs="Times New Roman"/>
          <w:sz w:val="24"/>
        </w:rPr>
        <w:t>25</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3.3.3小结</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_Toc10446 </w:instrText>
      </w:r>
      <w:r>
        <w:rPr>
          <w:rFonts w:ascii="Times New Roman" w:hAnsi="Times New Roman" w:eastAsia="宋体" w:cs="Times New Roman"/>
          <w:sz w:val="24"/>
        </w:rPr>
        <w:fldChar w:fldCharType="separate"/>
      </w:r>
      <w:r>
        <w:rPr>
          <w:rFonts w:ascii="Times New Roman" w:hAnsi="Times New Roman" w:eastAsia="宋体" w:cs="Times New Roman"/>
          <w:sz w:val="24"/>
        </w:rPr>
        <w:t>25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3.4风险事故管理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_Toc19214 </w:instrText>
      </w:r>
      <w:r>
        <w:rPr>
          <w:rFonts w:ascii="Times New Roman" w:hAnsi="Times New Roman" w:eastAsia="宋体" w:cs="Times New Roman"/>
          <w:sz w:val="24"/>
        </w:rPr>
        <w:fldChar w:fldCharType="separate"/>
      </w:r>
      <w:r>
        <w:rPr>
          <w:rFonts w:ascii="Times New Roman" w:hAnsi="Times New Roman" w:eastAsia="宋体" w:cs="Times New Roman"/>
          <w:sz w:val="24"/>
        </w:rPr>
        <w:t>26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3.4.1环境事故预防措施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_Toc3699 </w:instrText>
      </w:r>
      <w:r>
        <w:rPr>
          <w:rFonts w:ascii="Times New Roman" w:hAnsi="Times New Roman" w:eastAsia="宋体" w:cs="Times New Roman"/>
          <w:sz w:val="24"/>
        </w:rPr>
        <w:fldChar w:fldCharType="separate"/>
      </w:r>
      <w:r>
        <w:rPr>
          <w:rFonts w:ascii="Times New Roman" w:hAnsi="Times New Roman" w:eastAsia="宋体" w:cs="Times New Roman"/>
          <w:sz w:val="24"/>
        </w:rPr>
        <w:t>26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3.4.2环境事故发生后措施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_Toc10599 </w:instrText>
      </w:r>
      <w:r>
        <w:rPr>
          <w:rFonts w:ascii="Times New Roman" w:hAnsi="Times New Roman" w:eastAsia="宋体" w:cs="Times New Roman"/>
          <w:sz w:val="24"/>
        </w:rPr>
        <w:fldChar w:fldCharType="separate"/>
      </w:r>
      <w:r>
        <w:rPr>
          <w:rFonts w:ascii="Times New Roman" w:hAnsi="Times New Roman" w:eastAsia="宋体" w:cs="Times New Roman"/>
          <w:sz w:val="24"/>
        </w:rPr>
        <w:t>27</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30"/>
        </w:rPr>
        <w:t>4、组织机构和职责</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_Toc18072 </w:instrText>
      </w:r>
      <w:r>
        <w:rPr>
          <w:rFonts w:ascii="Times New Roman" w:hAnsi="Times New Roman" w:eastAsia="宋体" w:cs="Times New Roman"/>
          <w:sz w:val="24"/>
        </w:rPr>
        <w:fldChar w:fldCharType="separate"/>
      </w:r>
      <w:r>
        <w:rPr>
          <w:rFonts w:ascii="Times New Roman" w:hAnsi="Times New Roman" w:eastAsia="宋体" w:cs="Times New Roman"/>
          <w:sz w:val="24"/>
        </w:rPr>
        <w:t>30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4.1应急组织机构体系</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_Toc10264 </w:instrText>
      </w:r>
      <w:r>
        <w:rPr>
          <w:rFonts w:ascii="Times New Roman" w:hAnsi="Times New Roman" w:eastAsia="宋体" w:cs="Times New Roman"/>
          <w:sz w:val="24"/>
        </w:rPr>
        <w:fldChar w:fldCharType="separate"/>
      </w:r>
      <w:r>
        <w:rPr>
          <w:rFonts w:ascii="Times New Roman" w:hAnsi="Times New Roman" w:eastAsia="宋体" w:cs="Times New Roman"/>
          <w:sz w:val="24"/>
        </w:rPr>
        <w:t>30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4.2指挥机构及职责</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_Toc11662 </w:instrText>
      </w:r>
      <w:r>
        <w:rPr>
          <w:rFonts w:ascii="Times New Roman" w:hAnsi="Times New Roman" w:eastAsia="宋体" w:cs="Times New Roman"/>
          <w:sz w:val="24"/>
        </w:rPr>
        <w:fldChar w:fldCharType="separate"/>
      </w:r>
      <w:r>
        <w:rPr>
          <w:rFonts w:ascii="Times New Roman" w:hAnsi="Times New Roman" w:eastAsia="宋体" w:cs="Times New Roman"/>
          <w:sz w:val="24"/>
        </w:rPr>
        <w:t>30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4.3应急指挥运行机制</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_Toc24509 </w:instrText>
      </w:r>
      <w:r>
        <w:rPr>
          <w:rFonts w:ascii="Times New Roman" w:hAnsi="Times New Roman" w:eastAsia="宋体" w:cs="Times New Roman"/>
          <w:sz w:val="24"/>
        </w:rPr>
        <w:fldChar w:fldCharType="separate"/>
      </w:r>
      <w:r>
        <w:rPr>
          <w:rFonts w:ascii="Times New Roman" w:hAnsi="Times New Roman" w:eastAsia="宋体" w:cs="Times New Roman"/>
          <w:sz w:val="24"/>
        </w:rPr>
        <w:t>33</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4.4加油站现场应急处理分级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_Toc48 </w:instrText>
      </w:r>
      <w:r>
        <w:rPr>
          <w:rFonts w:ascii="Times New Roman" w:hAnsi="Times New Roman" w:eastAsia="宋体" w:cs="Times New Roman"/>
          <w:sz w:val="24"/>
        </w:rPr>
        <w:fldChar w:fldCharType="separate"/>
      </w:r>
      <w:r>
        <w:rPr>
          <w:rFonts w:ascii="Times New Roman" w:hAnsi="Times New Roman" w:eastAsia="宋体" w:cs="Times New Roman"/>
          <w:sz w:val="24"/>
        </w:rPr>
        <w:t>33</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5.预防和预警</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_Toc15813 </w:instrText>
      </w:r>
      <w:r>
        <w:rPr>
          <w:rFonts w:ascii="Times New Roman" w:hAnsi="Times New Roman" w:eastAsia="宋体" w:cs="Times New Roman"/>
          <w:sz w:val="24"/>
        </w:rPr>
        <w:fldChar w:fldCharType="separate"/>
      </w:r>
      <w:r>
        <w:rPr>
          <w:rFonts w:ascii="Times New Roman" w:hAnsi="Times New Roman" w:eastAsia="宋体" w:cs="Times New Roman"/>
          <w:sz w:val="24"/>
        </w:rPr>
        <w:t>35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5.1预防</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_Toc7273 </w:instrText>
      </w:r>
      <w:r>
        <w:rPr>
          <w:rFonts w:ascii="Times New Roman" w:hAnsi="Times New Roman" w:eastAsia="宋体" w:cs="Times New Roman"/>
          <w:sz w:val="24"/>
        </w:rPr>
        <w:fldChar w:fldCharType="separate"/>
      </w:r>
      <w:r>
        <w:rPr>
          <w:rFonts w:ascii="Times New Roman" w:hAnsi="Times New Roman" w:eastAsia="宋体" w:cs="Times New Roman"/>
          <w:sz w:val="24"/>
        </w:rPr>
        <w:t>35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5.2环境风险源监控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_Toc7624 </w:instrText>
      </w:r>
      <w:r>
        <w:rPr>
          <w:rFonts w:ascii="Times New Roman" w:hAnsi="Times New Roman" w:eastAsia="宋体" w:cs="Times New Roman"/>
          <w:sz w:val="24"/>
        </w:rPr>
        <w:fldChar w:fldCharType="separate"/>
      </w:r>
      <w:r>
        <w:rPr>
          <w:rFonts w:ascii="Times New Roman" w:hAnsi="Times New Roman" w:eastAsia="宋体" w:cs="Times New Roman"/>
          <w:sz w:val="24"/>
        </w:rPr>
        <w:t>36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5.2.1主要危险源及监控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_Toc22397 </w:instrText>
      </w:r>
      <w:r>
        <w:rPr>
          <w:rFonts w:ascii="Times New Roman" w:hAnsi="Times New Roman" w:eastAsia="宋体" w:cs="Times New Roman"/>
          <w:sz w:val="24"/>
        </w:rPr>
        <w:fldChar w:fldCharType="separate"/>
      </w:r>
      <w:r>
        <w:rPr>
          <w:rFonts w:ascii="Times New Roman" w:hAnsi="Times New Roman" w:eastAsia="宋体" w:cs="Times New Roman"/>
          <w:sz w:val="24"/>
        </w:rPr>
        <w:t>36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5.2.2危险目标周围可利用的安全、消防、个体防护的设备、器材</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_Toc28627 </w:instrText>
      </w:r>
      <w:r>
        <w:rPr>
          <w:rFonts w:ascii="Times New Roman" w:hAnsi="Times New Roman" w:eastAsia="宋体" w:cs="Times New Roman"/>
          <w:sz w:val="24"/>
        </w:rPr>
        <w:fldChar w:fldCharType="separate"/>
      </w:r>
      <w:r>
        <w:rPr>
          <w:rFonts w:ascii="Times New Roman" w:hAnsi="Times New Roman" w:eastAsia="宋体" w:cs="Times New Roman"/>
          <w:sz w:val="24"/>
        </w:rPr>
        <w:t>36</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5.3应急能力评估</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_Toc6558 </w:instrText>
      </w:r>
      <w:r>
        <w:rPr>
          <w:rFonts w:ascii="Times New Roman" w:hAnsi="Times New Roman" w:eastAsia="宋体" w:cs="Times New Roman"/>
          <w:sz w:val="24"/>
        </w:rPr>
        <w:fldChar w:fldCharType="separate"/>
      </w:r>
      <w:r>
        <w:rPr>
          <w:rFonts w:ascii="Times New Roman" w:hAnsi="Times New Roman" w:eastAsia="宋体" w:cs="Times New Roman"/>
          <w:sz w:val="24"/>
        </w:rPr>
        <w:t>36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5.3.1应急队伍、装备、物资</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_Toc14923 </w:instrText>
      </w:r>
      <w:r>
        <w:rPr>
          <w:rFonts w:ascii="Times New Roman" w:hAnsi="Times New Roman" w:eastAsia="宋体" w:cs="Times New Roman"/>
          <w:sz w:val="24"/>
        </w:rPr>
        <w:fldChar w:fldCharType="separate"/>
      </w:r>
      <w:r>
        <w:rPr>
          <w:rFonts w:ascii="Times New Roman" w:hAnsi="Times New Roman" w:eastAsia="宋体" w:cs="Times New Roman"/>
          <w:sz w:val="24"/>
        </w:rPr>
        <w:t>36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5.3.2评估结论</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_Toc23238 </w:instrText>
      </w:r>
      <w:r>
        <w:rPr>
          <w:rFonts w:ascii="Times New Roman" w:hAnsi="Times New Roman" w:eastAsia="宋体" w:cs="Times New Roman"/>
          <w:sz w:val="24"/>
        </w:rPr>
        <w:fldChar w:fldCharType="separate"/>
      </w:r>
      <w:r>
        <w:rPr>
          <w:rFonts w:ascii="Times New Roman" w:hAnsi="Times New Roman" w:eastAsia="宋体" w:cs="Times New Roman"/>
          <w:sz w:val="24"/>
        </w:rPr>
        <w:t>37</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24"/>
        </w:rPr>
        <w:t>5.4预警行动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_Toc7104 </w:instrText>
      </w:r>
      <w:r>
        <w:rPr>
          <w:rFonts w:ascii="Times New Roman" w:hAnsi="Times New Roman" w:eastAsia="宋体" w:cs="Times New Roman"/>
          <w:sz w:val="24"/>
        </w:rPr>
        <w:fldChar w:fldCharType="separate"/>
      </w:r>
      <w:r>
        <w:rPr>
          <w:rFonts w:ascii="Times New Roman" w:hAnsi="Times New Roman" w:eastAsia="宋体" w:cs="Times New Roman"/>
          <w:sz w:val="24"/>
        </w:rPr>
        <w:t>38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5.5报警、通讯联络方式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_Toc13251 </w:instrText>
      </w:r>
      <w:r>
        <w:rPr>
          <w:rFonts w:ascii="Times New Roman" w:hAnsi="Times New Roman" w:eastAsia="宋体" w:cs="Times New Roman"/>
          <w:sz w:val="24"/>
        </w:rPr>
        <w:fldChar w:fldCharType="separate"/>
      </w:r>
      <w:r>
        <w:rPr>
          <w:rFonts w:ascii="Times New Roman" w:hAnsi="Times New Roman" w:eastAsia="宋体" w:cs="Times New Roman"/>
          <w:sz w:val="24"/>
        </w:rPr>
        <w:t>40</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5.5.1事故报警与救援程序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_Toc21594 </w:instrText>
      </w:r>
      <w:r>
        <w:rPr>
          <w:rFonts w:ascii="Times New Roman" w:hAnsi="Times New Roman" w:eastAsia="宋体" w:cs="Times New Roman"/>
          <w:sz w:val="24"/>
        </w:rPr>
        <w:fldChar w:fldCharType="separate"/>
      </w:r>
      <w:r>
        <w:rPr>
          <w:rFonts w:ascii="Times New Roman" w:hAnsi="Times New Roman" w:eastAsia="宋体" w:cs="Times New Roman"/>
          <w:sz w:val="24"/>
        </w:rPr>
        <w:t>40</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5.5.1 报警联络方式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_Toc3170 </w:instrText>
      </w:r>
      <w:r>
        <w:rPr>
          <w:rFonts w:ascii="Times New Roman" w:hAnsi="Times New Roman" w:eastAsia="宋体" w:cs="Times New Roman"/>
          <w:sz w:val="24"/>
        </w:rPr>
        <w:fldChar w:fldCharType="separate"/>
      </w:r>
      <w:r>
        <w:rPr>
          <w:rFonts w:ascii="Times New Roman" w:hAnsi="Times New Roman" w:eastAsia="宋体" w:cs="Times New Roman"/>
          <w:sz w:val="24"/>
        </w:rPr>
        <w:t>41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5.5.2 内部通讯方式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_Toc23507 </w:instrText>
      </w:r>
      <w:r>
        <w:rPr>
          <w:rFonts w:ascii="Times New Roman" w:hAnsi="Times New Roman" w:eastAsia="宋体" w:cs="Times New Roman"/>
          <w:sz w:val="24"/>
        </w:rPr>
        <w:fldChar w:fldCharType="separate"/>
      </w:r>
      <w:r>
        <w:rPr>
          <w:rFonts w:ascii="Times New Roman" w:hAnsi="Times New Roman" w:eastAsia="宋体" w:cs="Times New Roman"/>
          <w:sz w:val="24"/>
        </w:rPr>
        <w:t>41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5.5.3 外部通讯方式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_Toc30736 </w:instrText>
      </w:r>
      <w:r>
        <w:rPr>
          <w:rFonts w:ascii="Times New Roman" w:hAnsi="Times New Roman" w:eastAsia="宋体" w:cs="Times New Roman"/>
          <w:sz w:val="24"/>
        </w:rPr>
        <w:fldChar w:fldCharType="separate"/>
      </w:r>
      <w:r>
        <w:rPr>
          <w:rFonts w:ascii="Times New Roman" w:hAnsi="Times New Roman" w:eastAsia="宋体" w:cs="Times New Roman"/>
          <w:sz w:val="24"/>
        </w:rPr>
        <w:t>41</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6、信息报告与通报</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_Toc28698 </w:instrText>
      </w:r>
      <w:r>
        <w:rPr>
          <w:rFonts w:ascii="Times New Roman" w:hAnsi="Times New Roman" w:eastAsia="宋体" w:cs="Times New Roman"/>
          <w:sz w:val="24"/>
        </w:rPr>
        <w:fldChar w:fldCharType="separate"/>
      </w:r>
      <w:r>
        <w:rPr>
          <w:rFonts w:ascii="Times New Roman" w:hAnsi="Times New Roman" w:eastAsia="宋体" w:cs="Times New Roman"/>
          <w:sz w:val="24"/>
        </w:rPr>
        <w:t>43</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6.1信息报告</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_Toc7280 </w:instrText>
      </w:r>
      <w:r>
        <w:rPr>
          <w:rFonts w:ascii="Times New Roman" w:hAnsi="Times New Roman" w:eastAsia="宋体" w:cs="Times New Roman"/>
          <w:sz w:val="24"/>
        </w:rPr>
        <w:fldChar w:fldCharType="separate"/>
      </w:r>
      <w:r>
        <w:rPr>
          <w:rFonts w:ascii="Times New Roman" w:hAnsi="Times New Roman" w:eastAsia="宋体" w:cs="Times New Roman"/>
          <w:sz w:val="24"/>
        </w:rPr>
        <w:t>43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6.1.1信息报告程序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_Toc10755 </w:instrText>
      </w:r>
      <w:r>
        <w:rPr>
          <w:rFonts w:ascii="Times New Roman" w:hAnsi="Times New Roman" w:eastAsia="宋体" w:cs="Times New Roman"/>
          <w:sz w:val="24"/>
        </w:rPr>
        <w:fldChar w:fldCharType="separate"/>
      </w:r>
      <w:r>
        <w:rPr>
          <w:rFonts w:ascii="Times New Roman" w:hAnsi="Times New Roman" w:eastAsia="宋体" w:cs="Times New Roman"/>
          <w:sz w:val="24"/>
        </w:rPr>
        <w:t>43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6.1.2事故报告内容</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_Toc6582 </w:instrText>
      </w:r>
      <w:r>
        <w:rPr>
          <w:rFonts w:ascii="Times New Roman" w:hAnsi="Times New Roman" w:eastAsia="宋体" w:cs="Times New Roman"/>
          <w:sz w:val="24"/>
        </w:rPr>
        <w:fldChar w:fldCharType="separate"/>
      </w:r>
      <w:r>
        <w:rPr>
          <w:rFonts w:ascii="Times New Roman" w:hAnsi="Times New Roman" w:eastAsia="宋体" w:cs="Times New Roman"/>
          <w:sz w:val="24"/>
        </w:rPr>
        <w:t>43</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6.2信息上报</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_Toc20680 </w:instrText>
      </w:r>
      <w:r>
        <w:rPr>
          <w:rFonts w:ascii="Times New Roman" w:hAnsi="Times New Roman" w:eastAsia="宋体" w:cs="Times New Roman"/>
          <w:sz w:val="24"/>
        </w:rPr>
        <w:fldChar w:fldCharType="separate"/>
      </w:r>
      <w:r>
        <w:rPr>
          <w:rFonts w:ascii="Times New Roman" w:hAnsi="Times New Roman" w:eastAsia="宋体" w:cs="Times New Roman"/>
          <w:sz w:val="24"/>
        </w:rPr>
        <w:t>44</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6.3信息传递</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_Toc27336 </w:instrText>
      </w:r>
      <w:r>
        <w:rPr>
          <w:rFonts w:ascii="Times New Roman" w:hAnsi="Times New Roman" w:eastAsia="宋体" w:cs="Times New Roman"/>
          <w:sz w:val="24"/>
        </w:rPr>
        <w:fldChar w:fldCharType="separate"/>
      </w:r>
      <w:r>
        <w:rPr>
          <w:rFonts w:ascii="Times New Roman" w:hAnsi="Times New Roman" w:eastAsia="宋体" w:cs="Times New Roman"/>
          <w:sz w:val="24"/>
        </w:rPr>
        <w:t>44</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6.4 信息发布</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_Toc10774 </w:instrText>
      </w:r>
      <w:r>
        <w:rPr>
          <w:rFonts w:ascii="Times New Roman" w:hAnsi="Times New Roman" w:eastAsia="宋体" w:cs="Times New Roman"/>
          <w:sz w:val="24"/>
        </w:rPr>
        <w:fldChar w:fldCharType="separate"/>
      </w:r>
      <w:r>
        <w:rPr>
          <w:rFonts w:ascii="Times New Roman" w:hAnsi="Times New Roman" w:eastAsia="宋体" w:cs="Times New Roman"/>
          <w:sz w:val="24"/>
        </w:rPr>
        <w:t>44</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7、应急响应与措施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_Toc9073 </w:instrText>
      </w:r>
      <w:r>
        <w:rPr>
          <w:rFonts w:ascii="Times New Roman" w:hAnsi="Times New Roman" w:eastAsia="宋体" w:cs="Times New Roman"/>
          <w:sz w:val="24"/>
        </w:rPr>
        <w:fldChar w:fldCharType="separate"/>
      </w:r>
      <w:r>
        <w:rPr>
          <w:rFonts w:ascii="Times New Roman" w:hAnsi="Times New Roman" w:eastAsia="宋体" w:cs="Times New Roman"/>
          <w:sz w:val="24"/>
        </w:rPr>
        <w:t>45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7.1分级响应机制</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_Toc13308 </w:instrText>
      </w:r>
      <w:r>
        <w:rPr>
          <w:rFonts w:ascii="Times New Roman" w:hAnsi="Times New Roman" w:eastAsia="宋体" w:cs="Times New Roman"/>
          <w:sz w:val="24"/>
        </w:rPr>
        <w:fldChar w:fldCharType="separate"/>
      </w:r>
      <w:r>
        <w:rPr>
          <w:rFonts w:ascii="Times New Roman" w:hAnsi="Times New Roman" w:eastAsia="宋体" w:cs="Times New Roman"/>
          <w:sz w:val="24"/>
        </w:rPr>
        <w:t>45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7.2响应程序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_Toc25905 </w:instrText>
      </w:r>
      <w:r>
        <w:rPr>
          <w:rFonts w:ascii="Times New Roman" w:hAnsi="Times New Roman" w:eastAsia="宋体" w:cs="Times New Roman"/>
          <w:sz w:val="24"/>
        </w:rPr>
        <w:fldChar w:fldCharType="separate"/>
      </w:r>
      <w:r>
        <w:rPr>
          <w:rFonts w:ascii="Times New Roman" w:hAnsi="Times New Roman" w:eastAsia="宋体" w:cs="Times New Roman"/>
          <w:sz w:val="24"/>
        </w:rPr>
        <w:t>46</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7.3应急措施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_Toc24326 </w:instrText>
      </w:r>
      <w:r>
        <w:rPr>
          <w:rFonts w:ascii="Times New Roman" w:hAnsi="Times New Roman" w:eastAsia="宋体" w:cs="Times New Roman"/>
          <w:sz w:val="24"/>
        </w:rPr>
        <w:fldChar w:fldCharType="separate"/>
      </w:r>
      <w:r>
        <w:rPr>
          <w:rFonts w:ascii="Times New Roman" w:hAnsi="Times New Roman" w:eastAsia="宋体" w:cs="Times New Roman"/>
          <w:sz w:val="24"/>
        </w:rPr>
        <w:t>46</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hint="eastAsia" w:ascii="Times New Roman" w:hAnsi="Times New Roman" w:eastAsia="宋体" w:cs="Times New Roman"/>
          <w:color w:val="000000" w:themeColor="text1"/>
          <w:sz w:val="24"/>
          <w:szCs w:val="24"/>
        </w:rPr>
        <w:t>7.3.1 预案启动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_Toc26465 </w:instrText>
      </w:r>
      <w:r>
        <w:rPr>
          <w:rFonts w:ascii="Times New Roman" w:hAnsi="Times New Roman" w:eastAsia="宋体" w:cs="Times New Roman"/>
          <w:sz w:val="24"/>
        </w:rPr>
        <w:fldChar w:fldCharType="separate"/>
      </w:r>
      <w:r>
        <w:rPr>
          <w:rFonts w:ascii="Times New Roman" w:hAnsi="Times New Roman" w:eastAsia="宋体" w:cs="Times New Roman"/>
          <w:sz w:val="24"/>
        </w:rPr>
        <w:t>47</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7.3.2 作业现场、油罐区跑、冒、滴、漏应急处理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_Toc21039 </w:instrText>
      </w:r>
      <w:r>
        <w:rPr>
          <w:rFonts w:ascii="Times New Roman" w:hAnsi="Times New Roman" w:eastAsia="宋体" w:cs="Times New Roman"/>
          <w:sz w:val="24"/>
        </w:rPr>
        <w:fldChar w:fldCharType="separate"/>
      </w:r>
      <w:r>
        <w:rPr>
          <w:rFonts w:ascii="Times New Roman" w:hAnsi="Times New Roman" w:eastAsia="宋体" w:cs="Times New Roman"/>
          <w:sz w:val="24"/>
        </w:rPr>
        <w:t>47</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7.3.3 加油、卸油现场火灾应急处理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_Toc5588 </w:instrText>
      </w:r>
      <w:r>
        <w:rPr>
          <w:rFonts w:ascii="Times New Roman" w:hAnsi="Times New Roman" w:eastAsia="宋体" w:cs="Times New Roman"/>
          <w:sz w:val="24"/>
        </w:rPr>
        <w:fldChar w:fldCharType="separate"/>
      </w:r>
      <w:r>
        <w:rPr>
          <w:rFonts w:ascii="Times New Roman" w:hAnsi="Times New Roman" w:eastAsia="宋体" w:cs="Times New Roman"/>
          <w:sz w:val="24"/>
        </w:rPr>
        <w:t>49</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7.3.4车辆火灾应急处理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_Toc20392 </w:instrText>
      </w:r>
      <w:r>
        <w:rPr>
          <w:rFonts w:ascii="Times New Roman" w:hAnsi="Times New Roman" w:eastAsia="宋体" w:cs="Times New Roman"/>
          <w:sz w:val="24"/>
        </w:rPr>
        <w:fldChar w:fldCharType="separate"/>
      </w:r>
      <w:r>
        <w:rPr>
          <w:rFonts w:ascii="Times New Roman" w:hAnsi="Times New Roman" w:eastAsia="宋体" w:cs="Times New Roman"/>
          <w:sz w:val="24"/>
        </w:rPr>
        <w:t>50</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7.3.5</w:t>
      </w:r>
      <w:r>
        <w:rPr>
          <w:rFonts w:ascii="Times New Roman" w:hAnsi="Times New Roman" w:eastAsia="宋体" w:cs="Times New Roman"/>
          <w:color w:val="000000" w:themeColor="text1"/>
          <w:kern w:val="0"/>
          <w:sz w:val="24"/>
          <w:szCs w:val="24"/>
          <w:lang w:val="zh-CN"/>
        </w:rPr>
        <w:t>处理措施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_Toc8470 </w:instrText>
      </w:r>
      <w:r>
        <w:rPr>
          <w:rFonts w:ascii="Times New Roman" w:hAnsi="Times New Roman" w:eastAsia="宋体" w:cs="Times New Roman"/>
          <w:sz w:val="24"/>
        </w:rPr>
        <w:fldChar w:fldCharType="separate"/>
      </w:r>
      <w:r>
        <w:rPr>
          <w:rFonts w:ascii="Times New Roman" w:hAnsi="Times New Roman" w:eastAsia="宋体" w:cs="Times New Roman"/>
          <w:sz w:val="24"/>
        </w:rPr>
        <w:t>51</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7.3.6人员中毒应急处理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_Toc18555 </w:instrText>
      </w:r>
      <w:r>
        <w:rPr>
          <w:rFonts w:ascii="Times New Roman" w:hAnsi="Times New Roman" w:eastAsia="宋体" w:cs="Times New Roman"/>
          <w:sz w:val="24"/>
        </w:rPr>
        <w:fldChar w:fldCharType="separate"/>
      </w:r>
      <w:r>
        <w:rPr>
          <w:rFonts w:ascii="Times New Roman" w:hAnsi="Times New Roman" w:eastAsia="宋体" w:cs="Times New Roman"/>
          <w:sz w:val="24"/>
        </w:rPr>
        <w:t>52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7.3.7混油应急处理</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_Toc30192 </w:instrText>
      </w:r>
      <w:r>
        <w:rPr>
          <w:rFonts w:ascii="Times New Roman" w:hAnsi="Times New Roman" w:eastAsia="宋体" w:cs="Times New Roman"/>
          <w:sz w:val="24"/>
        </w:rPr>
        <w:fldChar w:fldCharType="separate"/>
      </w:r>
      <w:r>
        <w:rPr>
          <w:rFonts w:ascii="Times New Roman" w:hAnsi="Times New Roman" w:eastAsia="宋体" w:cs="Times New Roman"/>
          <w:sz w:val="24"/>
        </w:rPr>
        <w:t>53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7.3.8</w:t>
      </w:r>
      <w:r>
        <w:rPr>
          <w:rFonts w:ascii="Times New Roman" w:hAnsi="Times New Roman" w:eastAsia="宋体" w:cs="Times New Roman"/>
          <w:color w:val="000000" w:themeColor="text1"/>
          <w:sz w:val="24"/>
          <w:szCs w:val="24"/>
          <w:lang w:val="zh-CN"/>
        </w:rPr>
        <w:t>危险废物污染防范措施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_Toc24207 </w:instrText>
      </w:r>
      <w:r>
        <w:rPr>
          <w:rFonts w:ascii="Times New Roman" w:hAnsi="Times New Roman" w:eastAsia="宋体" w:cs="Times New Roman"/>
          <w:sz w:val="24"/>
        </w:rPr>
        <w:fldChar w:fldCharType="separate"/>
      </w:r>
      <w:r>
        <w:rPr>
          <w:rFonts w:ascii="Times New Roman" w:hAnsi="Times New Roman" w:eastAsia="宋体" w:cs="Times New Roman"/>
          <w:sz w:val="24"/>
        </w:rPr>
        <w:t>53</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7.4 应急监测</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_Toc32234 </w:instrText>
      </w:r>
      <w:r>
        <w:rPr>
          <w:rFonts w:ascii="Times New Roman" w:hAnsi="Times New Roman" w:eastAsia="宋体" w:cs="Times New Roman"/>
          <w:sz w:val="24"/>
        </w:rPr>
        <w:fldChar w:fldCharType="separate"/>
      </w:r>
      <w:r>
        <w:rPr>
          <w:rFonts w:ascii="Times New Roman" w:hAnsi="Times New Roman" w:eastAsia="宋体" w:cs="Times New Roman"/>
          <w:sz w:val="24"/>
        </w:rPr>
        <w:t>54</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7.5应急终止</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_Toc20387 </w:instrText>
      </w:r>
      <w:r>
        <w:rPr>
          <w:rFonts w:ascii="Times New Roman" w:hAnsi="Times New Roman" w:eastAsia="宋体" w:cs="Times New Roman"/>
          <w:sz w:val="24"/>
        </w:rPr>
        <w:fldChar w:fldCharType="separate"/>
      </w:r>
      <w:r>
        <w:rPr>
          <w:rFonts w:ascii="Times New Roman" w:hAnsi="Times New Roman" w:eastAsia="宋体" w:cs="Times New Roman"/>
          <w:sz w:val="24"/>
        </w:rPr>
        <w:t>58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7.6应急终止后的行动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_Toc22736 </w:instrText>
      </w:r>
      <w:r>
        <w:rPr>
          <w:rFonts w:ascii="Times New Roman" w:hAnsi="Times New Roman" w:eastAsia="宋体" w:cs="Times New Roman"/>
          <w:sz w:val="24"/>
        </w:rPr>
        <w:fldChar w:fldCharType="separate"/>
      </w:r>
      <w:r>
        <w:rPr>
          <w:rFonts w:ascii="Times New Roman" w:hAnsi="Times New Roman" w:eastAsia="宋体" w:cs="Times New Roman"/>
          <w:sz w:val="24"/>
        </w:rPr>
        <w:t>58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7.7应急安全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_Toc22831 </w:instrText>
      </w:r>
      <w:r>
        <w:rPr>
          <w:rFonts w:ascii="Times New Roman" w:hAnsi="Times New Roman" w:eastAsia="宋体" w:cs="Times New Roman"/>
          <w:sz w:val="24"/>
        </w:rPr>
        <w:fldChar w:fldCharType="separate"/>
      </w:r>
      <w:r>
        <w:rPr>
          <w:rFonts w:ascii="Times New Roman" w:hAnsi="Times New Roman" w:eastAsia="宋体" w:cs="Times New Roman"/>
          <w:sz w:val="24"/>
        </w:rPr>
        <w:t>59</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7.7.1应急人员的安全防护</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_Toc32659 </w:instrText>
      </w:r>
      <w:r>
        <w:rPr>
          <w:rFonts w:ascii="Times New Roman" w:hAnsi="Times New Roman" w:eastAsia="宋体" w:cs="Times New Roman"/>
          <w:sz w:val="24"/>
        </w:rPr>
        <w:fldChar w:fldCharType="separate"/>
      </w:r>
      <w:r>
        <w:rPr>
          <w:rFonts w:ascii="Times New Roman" w:hAnsi="Times New Roman" w:eastAsia="宋体" w:cs="Times New Roman"/>
          <w:sz w:val="24"/>
        </w:rPr>
        <w:t>59</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7.7.2受灾群众的安全防护</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_Toc25683 </w:instrText>
      </w:r>
      <w:r>
        <w:rPr>
          <w:rFonts w:ascii="Times New Roman" w:hAnsi="Times New Roman" w:eastAsia="宋体" w:cs="Times New Roman"/>
          <w:sz w:val="24"/>
        </w:rPr>
        <w:fldChar w:fldCharType="separate"/>
      </w:r>
      <w:r>
        <w:rPr>
          <w:rFonts w:ascii="Times New Roman" w:hAnsi="Times New Roman" w:eastAsia="宋体" w:cs="Times New Roman"/>
          <w:sz w:val="24"/>
        </w:rPr>
        <w:t>59</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8、保障措施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_Toc762 </w:instrText>
      </w:r>
      <w:r>
        <w:rPr>
          <w:rFonts w:ascii="Times New Roman" w:hAnsi="Times New Roman" w:eastAsia="宋体" w:cs="Times New Roman"/>
          <w:sz w:val="24"/>
        </w:rPr>
        <w:fldChar w:fldCharType="separate"/>
      </w:r>
      <w:r>
        <w:rPr>
          <w:rFonts w:ascii="Times New Roman" w:hAnsi="Times New Roman" w:eastAsia="宋体" w:cs="Times New Roman"/>
          <w:sz w:val="24"/>
        </w:rPr>
        <w:t>60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8.1通信与信息保障</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_Toc574 </w:instrText>
      </w:r>
      <w:r>
        <w:rPr>
          <w:rFonts w:ascii="Times New Roman" w:hAnsi="Times New Roman" w:eastAsia="宋体" w:cs="Times New Roman"/>
          <w:sz w:val="24"/>
        </w:rPr>
        <w:fldChar w:fldCharType="separate"/>
      </w:r>
      <w:r>
        <w:rPr>
          <w:rFonts w:ascii="Times New Roman" w:hAnsi="Times New Roman" w:eastAsia="宋体" w:cs="Times New Roman"/>
          <w:sz w:val="24"/>
        </w:rPr>
        <w:t>60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8.2应急队伍保障</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_Toc27896 </w:instrText>
      </w:r>
      <w:r>
        <w:rPr>
          <w:rFonts w:ascii="Times New Roman" w:hAnsi="Times New Roman" w:eastAsia="宋体" w:cs="Times New Roman"/>
          <w:sz w:val="24"/>
        </w:rPr>
        <w:fldChar w:fldCharType="separate"/>
      </w:r>
      <w:r>
        <w:rPr>
          <w:rFonts w:ascii="Times New Roman" w:hAnsi="Times New Roman" w:eastAsia="宋体" w:cs="Times New Roman"/>
          <w:sz w:val="24"/>
        </w:rPr>
        <w:t>60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8.3应急物资装备保障</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_Toc17577 </w:instrText>
      </w:r>
      <w:r>
        <w:rPr>
          <w:rFonts w:ascii="Times New Roman" w:hAnsi="Times New Roman" w:eastAsia="宋体" w:cs="Times New Roman"/>
          <w:sz w:val="24"/>
        </w:rPr>
        <w:fldChar w:fldCharType="separate"/>
      </w:r>
      <w:r>
        <w:rPr>
          <w:rFonts w:ascii="Times New Roman" w:hAnsi="Times New Roman" w:eastAsia="宋体" w:cs="Times New Roman"/>
          <w:sz w:val="24"/>
        </w:rPr>
        <w:t>60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8.4经费保障</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_Toc16810 </w:instrText>
      </w:r>
      <w:r>
        <w:rPr>
          <w:rFonts w:ascii="Times New Roman" w:hAnsi="Times New Roman" w:eastAsia="宋体" w:cs="Times New Roman"/>
          <w:sz w:val="24"/>
        </w:rPr>
        <w:fldChar w:fldCharType="separate"/>
      </w:r>
      <w:r>
        <w:rPr>
          <w:rFonts w:ascii="Times New Roman" w:hAnsi="Times New Roman" w:eastAsia="宋体" w:cs="Times New Roman"/>
          <w:sz w:val="24"/>
        </w:rPr>
        <w:t>60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8.5应急技术保障</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_Toc7008 </w:instrText>
      </w:r>
      <w:r>
        <w:rPr>
          <w:rFonts w:ascii="Times New Roman" w:hAnsi="Times New Roman" w:eastAsia="宋体" w:cs="Times New Roman"/>
          <w:sz w:val="24"/>
        </w:rPr>
        <w:fldChar w:fldCharType="separate"/>
      </w:r>
      <w:r>
        <w:rPr>
          <w:rFonts w:ascii="Times New Roman" w:hAnsi="Times New Roman" w:eastAsia="宋体" w:cs="Times New Roman"/>
          <w:sz w:val="24"/>
        </w:rPr>
        <w:t>61</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8.6应急救援保障</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_Toc17732 </w:instrText>
      </w:r>
      <w:r>
        <w:rPr>
          <w:rFonts w:ascii="Times New Roman" w:hAnsi="Times New Roman" w:eastAsia="宋体" w:cs="Times New Roman"/>
          <w:sz w:val="24"/>
        </w:rPr>
        <w:fldChar w:fldCharType="separate"/>
      </w:r>
      <w:r>
        <w:rPr>
          <w:rFonts w:ascii="Times New Roman" w:hAnsi="Times New Roman" w:eastAsia="宋体" w:cs="Times New Roman"/>
          <w:sz w:val="24"/>
        </w:rPr>
        <w:t>61</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8.7次生灾害安全防护</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_Toc26355 </w:instrText>
      </w:r>
      <w:r>
        <w:rPr>
          <w:rFonts w:ascii="Times New Roman" w:hAnsi="Times New Roman" w:eastAsia="宋体" w:cs="Times New Roman"/>
          <w:sz w:val="24"/>
        </w:rPr>
        <w:fldChar w:fldCharType="separate"/>
      </w:r>
      <w:r>
        <w:rPr>
          <w:rFonts w:ascii="Times New Roman" w:hAnsi="Times New Roman" w:eastAsia="宋体" w:cs="Times New Roman"/>
          <w:sz w:val="24"/>
        </w:rPr>
        <w:t>62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8.7.1次生灾害类别</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_Toc5758 </w:instrText>
      </w:r>
      <w:r>
        <w:rPr>
          <w:rFonts w:ascii="Times New Roman" w:hAnsi="Times New Roman" w:eastAsia="宋体" w:cs="Times New Roman"/>
          <w:sz w:val="24"/>
        </w:rPr>
        <w:fldChar w:fldCharType="separate"/>
      </w:r>
      <w:r>
        <w:rPr>
          <w:rFonts w:ascii="Times New Roman" w:hAnsi="Times New Roman" w:eastAsia="宋体" w:cs="Times New Roman"/>
          <w:sz w:val="24"/>
        </w:rPr>
        <w:t>62</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8.7.2安全防护措施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_Toc12802 </w:instrText>
      </w:r>
      <w:r>
        <w:rPr>
          <w:rFonts w:ascii="Times New Roman" w:hAnsi="Times New Roman" w:eastAsia="宋体" w:cs="Times New Roman"/>
          <w:sz w:val="24"/>
        </w:rPr>
        <w:fldChar w:fldCharType="separate"/>
      </w:r>
      <w:r>
        <w:rPr>
          <w:rFonts w:ascii="Times New Roman" w:hAnsi="Times New Roman" w:eastAsia="宋体" w:cs="Times New Roman"/>
          <w:sz w:val="24"/>
        </w:rPr>
        <w:t>62</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8.8后期处置</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_Toc26937 </w:instrText>
      </w:r>
      <w:r>
        <w:rPr>
          <w:rFonts w:ascii="Times New Roman" w:hAnsi="Times New Roman" w:eastAsia="宋体" w:cs="Times New Roman"/>
          <w:sz w:val="24"/>
        </w:rPr>
        <w:fldChar w:fldCharType="separate"/>
      </w:r>
      <w:r>
        <w:rPr>
          <w:rFonts w:ascii="Times New Roman" w:hAnsi="Times New Roman" w:eastAsia="宋体" w:cs="Times New Roman"/>
          <w:sz w:val="24"/>
        </w:rPr>
        <w:t>63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8.8.1善后处置</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_Toc19899 </w:instrText>
      </w:r>
      <w:r>
        <w:rPr>
          <w:rFonts w:ascii="Times New Roman" w:hAnsi="Times New Roman" w:eastAsia="宋体" w:cs="Times New Roman"/>
          <w:sz w:val="24"/>
        </w:rPr>
        <w:fldChar w:fldCharType="separate"/>
      </w:r>
      <w:r>
        <w:rPr>
          <w:rFonts w:ascii="Times New Roman" w:hAnsi="Times New Roman" w:eastAsia="宋体" w:cs="Times New Roman"/>
          <w:sz w:val="24"/>
        </w:rPr>
        <w:t>63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8.8.2保险</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_Toc19315 </w:instrText>
      </w:r>
      <w:r>
        <w:rPr>
          <w:rFonts w:ascii="Times New Roman" w:hAnsi="Times New Roman" w:eastAsia="宋体" w:cs="Times New Roman"/>
          <w:sz w:val="24"/>
        </w:rPr>
        <w:fldChar w:fldCharType="separate"/>
      </w:r>
      <w:r>
        <w:rPr>
          <w:rFonts w:ascii="Times New Roman" w:hAnsi="Times New Roman" w:eastAsia="宋体" w:cs="Times New Roman"/>
          <w:sz w:val="24"/>
        </w:rPr>
        <w:t>63</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8.8.3工作总结与评价</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_Toc13190 </w:instrText>
      </w:r>
      <w:r>
        <w:rPr>
          <w:rFonts w:ascii="Times New Roman" w:hAnsi="Times New Roman" w:eastAsia="宋体" w:cs="Times New Roman"/>
          <w:sz w:val="24"/>
        </w:rPr>
        <w:fldChar w:fldCharType="separate"/>
      </w:r>
      <w:r>
        <w:rPr>
          <w:rFonts w:ascii="Times New Roman" w:hAnsi="Times New Roman" w:eastAsia="宋体" w:cs="Times New Roman"/>
          <w:sz w:val="24"/>
        </w:rPr>
        <w:t>63</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9、培训与演练</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_Toc28360 </w:instrText>
      </w:r>
      <w:r>
        <w:rPr>
          <w:rFonts w:ascii="Times New Roman" w:hAnsi="Times New Roman" w:eastAsia="宋体" w:cs="Times New Roman"/>
          <w:sz w:val="24"/>
        </w:rPr>
        <w:fldChar w:fldCharType="separate"/>
      </w:r>
      <w:r>
        <w:rPr>
          <w:rFonts w:ascii="Times New Roman" w:hAnsi="Times New Roman" w:eastAsia="宋体" w:cs="Times New Roman"/>
          <w:sz w:val="24"/>
        </w:rPr>
        <w:t>65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9.1培训</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_Toc23809 </w:instrText>
      </w:r>
      <w:r>
        <w:rPr>
          <w:rFonts w:ascii="Times New Roman" w:hAnsi="Times New Roman" w:eastAsia="宋体" w:cs="Times New Roman"/>
          <w:sz w:val="24"/>
        </w:rPr>
        <w:fldChar w:fldCharType="separate"/>
      </w:r>
      <w:r>
        <w:rPr>
          <w:rFonts w:ascii="Times New Roman" w:hAnsi="Times New Roman" w:eastAsia="宋体" w:cs="Times New Roman"/>
          <w:sz w:val="24"/>
        </w:rPr>
        <w:t>65</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9.2演练</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_Toc784 </w:instrText>
      </w:r>
      <w:r>
        <w:rPr>
          <w:rFonts w:ascii="Times New Roman" w:hAnsi="Times New Roman" w:eastAsia="宋体" w:cs="Times New Roman"/>
          <w:sz w:val="24"/>
        </w:rPr>
        <w:fldChar w:fldCharType="separate"/>
      </w:r>
      <w:r>
        <w:rPr>
          <w:rFonts w:ascii="Times New Roman" w:hAnsi="Times New Roman" w:eastAsia="宋体" w:cs="Times New Roman"/>
          <w:sz w:val="24"/>
        </w:rPr>
        <w:t>66</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9.3记录与考核</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_Toc3233 </w:instrText>
      </w:r>
      <w:r>
        <w:rPr>
          <w:rFonts w:ascii="Times New Roman" w:hAnsi="Times New Roman" w:eastAsia="宋体" w:cs="Times New Roman"/>
          <w:sz w:val="24"/>
        </w:rPr>
        <w:fldChar w:fldCharType="separate"/>
      </w:r>
      <w:r>
        <w:rPr>
          <w:rFonts w:ascii="Times New Roman" w:hAnsi="Times New Roman" w:eastAsia="宋体" w:cs="Times New Roman"/>
          <w:sz w:val="24"/>
        </w:rPr>
        <w:t>67</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10、奖惩</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_Toc21214 </w:instrText>
      </w:r>
      <w:r>
        <w:rPr>
          <w:rFonts w:ascii="Times New Roman" w:hAnsi="Times New Roman" w:eastAsia="宋体" w:cs="Times New Roman"/>
          <w:sz w:val="24"/>
        </w:rPr>
        <w:fldChar w:fldCharType="separate"/>
      </w:r>
      <w:r>
        <w:rPr>
          <w:rFonts w:ascii="Times New Roman" w:hAnsi="Times New Roman" w:eastAsia="宋体" w:cs="Times New Roman"/>
          <w:sz w:val="24"/>
        </w:rPr>
        <w:t>68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10.1事故应急救援工作实行奖励制</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_Toc5319 </w:instrText>
      </w:r>
      <w:r>
        <w:rPr>
          <w:rFonts w:ascii="Times New Roman" w:hAnsi="Times New Roman" w:eastAsia="宋体" w:cs="Times New Roman"/>
          <w:sz w:val="24"/>
        </w:rPr>
        <w:fldChar w:fldCharType="separate"/>
      </w:r>
      <w:r>
        <w:rPr>
          <w:rFonts w:ascii="Times New Roman" w:hAnsi="Times New Roman" w:eastAsia="宋体" w:cs="Times New Roman"/>
          <w:sz w:val="24"/>
        </w:rPr>
        <w:t>68</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10.2事故应急救援工作实行责任追究制</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_Toc6369 </w:instrText>
      </w:r>
      <w:r>
        <w:rPr>
          <w:rFonts w:ascii="Times New Roman" w:hAnsi="Times New Roman" w:eastAsia="宋体" w:cs="Times New Roman"/>
          <w:sz w:val="24"/>
        </w:rPr>
        <w:fldChar w:fldCharType="separate"/>
      </w:r>
      <w:r>
        <w:rPr>
          <w:rFonts w:ascii="Times New Roman" w:hAnsi="Times New Roman" w:eastAsia="宋体" w:cs="Times New Roman"/>
          <w:sz w:val="24"/>
        </w:rPr>
        <w:t>68</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11、预案的评审、备案、发布和更新</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_Toc22530 </w:instrText>
      </w:r>
      <w:r>
        <w:rPr>
          <w:rFonts w:ascii="Times New Roman" w:hAnsi="Times New Roman" w:eastAsia="宋体" w:cs="Times New Roman"/>
          <w:sz w:val="24"/>
        </w:rPr>
        <w:fldChar w:fldCharType="separate"/>
      </w:r>
      <w:r>
        <w:rPr>
          <w:rFonts w:ascii="Times New Roman" w:hAnsi="Times New Roman" w:eastAsia="宋体" w:cs="Times New Roman"/>
          <w:sz w:val="24"/>
        </w:rPr>
        <w:t>69</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11.1预案评审</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_Toc32128 </w:instrText>
      </w:r>
      <w:r>
        <w:rPr>
          <w:rFonts w:ascii="Times New Roman" w:hAnsi="Times New Roman" w:eastAsia="宋体" w:cs="Times New Roman"/>
          <w:sz w:val="24"/>
        </w:rPr>
        <w:fldChar w:fldCharType="separate"/>
      </w:r>
      <w:r>
        <w:rPr>
          <w:rFonts w:ascii="Times New Roman" w:hAnsi="Times New Roman" w:eastAsia="宋体" w:cs="Times New Roman"/>
          <w:sz w:val="24"/>
        </w:rPr>
        <w:t>69</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11.2预案备案</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_Toc21715 </w:instrText>
      </w:r>
      <w:r>
        <w:rPr>
          <w:rFonts w:ascii="Times New Roman" w:hAnsi="Times New Roman" w:eastAsia="宋体" w:cs="Times New Roman"/>
          <w:sz w:val="24"/>
        </w:rPr>
        <w:fldChar w:fldCharType="separate"/>
      </w:r>
      <w:r>
        <w:rPr>
          <w:rFonts w:ascii="Times New Roman" w:hAnsi="Times New Roman" w:eastAsia="宋体" w:cs="Times New Roman"/>
          <w:sz w:val="24"/>
        </w:rPr>
        <w:t>69</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11.3预案发布与发放</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_Toc26151 </w:instrText>
      </w:r>
      <w:r>
        <w:rPr>
          <w:rFonts w:ascii="Times New Roman" w:hAnsi="Times New Roman" w:eastAsia="宋体" w:cs="Times New Roman"/>
          <w:sz w:val="24"/>
        </w:rPr>
        <w:fldChar w:fldCharType="separate"/>
      </w:r>
      <w:r>
        <w:rPr>
          <w:rFonts w:ascii="Times New Roman" w:hAnsi="Times New Roman" w:eastAsia="宋体" w:cs="Times New Roman"/>
          <w:sz w:val="24"/>
        </w:rPr>
        <w:t>69</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11.4应急预案的修订</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_Toc24629 </w:instrText>
      </w:r>
      <w:r>
        <w:rPr>
          <w:rFonts w:ascii="Times New Roman" w:hAnsi="Times New Roman" w:eastAsia="宋体" w:cs="Times New Roman"/>
          <w:sz w:val="24"/>
        </w:rPr>
        <w:fldChar w:fldCharType="separate"/>
      </w:r>
      <w:r>
        <w:rPr>
          <w:rFonts w:ascii="Times New Roman" w:hAnsi="Times New Roman" w:eastAsia="宋体" w:cs="Times New Roman"/>
          <w:sz w:val="24"/>
        </w:rPr>
        <w:t>69</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11.4.1应急预案在下列情况下，应对应急预案及时修订</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_Toc19482 </w:instrText>
      </w:r>
      <w:r>
        <w:rPr>
          <w:rFonts w:ascii="Times New Roman" w:hAnsi="Times New Roman" w:eastAsia="宋体" w:cs="Times New Roman"/>
          <w:sz w:val="24"/>
        </w:rPr>
        <w:fldChar w:fldCharType="separate"/>
      </w:r>
      <w:r>
        <w:rPr>
          <w:rFonts w:ascii="Times New Roman" w:hAnsi="Times New Roman" w:eastAsia="宋体" w:cs="Times New Roman"/>
          <w:sz w:val="24"/>
        </w:rPr>
        <w:t>69</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11.4.2应急预案更改、修订程序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_Toc3504 </w:instrText>
      </w:r>
      <w:r>
        <w:rPr>
          <w:rFonts w:ascii="Times New Roman" w:hAnsi="Times New Roman" w:eastAsia="宋体" w:cs="Times New Roman"/>
          <w:sz w:val="24"/>
        </w:rPr>
        <w:fldChar w:fldCharType="separate"/>
      </w:r>
      <w:r>
        <w:rPr>
          <w:rFonts w:ascii="Times New Roman" w:hAnsi="Times New Roman" w:eastAsia="宋体" w:cs="Times New Roman"/>
          <w:sz w:val="24"/>
        </w:rPr>
        <w:t>70</w:t>
      </w:r>
      <w:r>
        <w:rPr>
          <w:rFonts w:ascii="Times New Roman" w:hAnsi="Times New Roman" w:eastAsia="宋体" w:cs="Times New Roman"/>
          <w:sz w:val="24"/>
        </w:rPr>
        <w:fldChar w:fldCharType="end"/>
      </w:r>
    </w:p>
    <w:p>
      <w:pPr>
        <w:pStyle w:val="8"/>
        <w:tabs>
          <w:tab w:val="right" w:leader="dot" w:pos="9140"/>
        </w:tabs>
        <w:rPr>
          <w:rFonts w:ascii="Times New Roman" w:hAnsi="Times New Roman" w:eastAsia="宋体" w:cs="Times New Roman"/>
          <w:sz w:val="24"/>
        </w:rPr>
      </w:pPr>
      <w:r>
        <w:rPr>
          <w:rFonts w:ascii="Times New Roman" w:hAnsi="Times New Roman" w:eastAsia="宋体" w:cs="Times New Roman"/>
          <w:color w:val="000000" w:themeColor="text1"/>
          <w:sz w:val="24"/>
          <w:szCs w:val="24"/>
        </w:rPr>
        <w:t>11.5 预案签署和解释</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_Toc16078 </w:instrText>
      </w:r>
      <w:r>
        <w:rPr>
          <w:rFonts w:ascii="Times New Roman" w:hAnsi="Times New Roman" w:eastAsia="宋体" w:cs="Times New Roman"/>
          <w:sz w:val="24"/>
        </w:rPr>
        <w:fldChar w:fldCharType="separate"/>
      </w:r>
      <w:r>
        <w:rPr>
          <w:rFonts w:ascii="Times New Roman" w:hAnsi="Times New Roman" w:eastAsia="宋体" w:cs="Times New Roman"/>
          <w:sz w:val="24"/>
        </w:rPr>
        <w:t>70</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11.6预案的实施</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_Toc30918 </w:instrText>
      </w:r>
      <w:r>
        <w:rPr>
          <w:rFonts w:ascii="Times New Roman" w:hAnsi="Times New Roman" w:eastAsia="宋体" w:cs="Times New Roman"/>
          <w:sz w:val="24"/>
        </w:rPr>
        <w:fldChar w:fldCharType="separate"/>
      </w:r>
      <w:r>
        <w:rPr>
          <w:rFonts w:ascii="Times New Roman" w:hAnsi="Times New Roman" w:eastAsia="宋体" w:cs="Times New Roman"/>
          <w:sz w:val="24"/>
        </w:rPr>
        <w:t>70</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12、附则-名词术语、定义</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_Toc5652 </w:instrText>
      </w:r>
      <w:r>
        <w:rPr>
          <w:rFonts w:ascii="Times New Roman" w:hAnsi="Times New Roman" w:eastAsia="宋体" w:cs="Times New Roman"/>
          <w:sz w:val="24"/>
        </w:rPr>
        <w:fldChar w:fldCharType="separate"/>
      </w:r>
      <w:r>
        <w:rPr>
          <w:rFonts w:ascii="Times New Roman" w:hAnsi="Times New Roman" w:eastAsia="宋体" w:cs="Times New Roman"/>
          <w:sz w:val="24"/>
        </w:rPr>
        <w:t>71</w:t>
      </w:r>
      <w:r>
        <w:rPr>
          <w:rFonts w:ascii="Times New Roman" w:hAnsi="Times New Roman" w:eastAsia="宋体" w:cs="Times New Roman"/>
          <w:sz w:val="24"/>
        </w:rPr>
        <w:fldChar w:fldCharType="end"/>
      </w:r>
    </w:p>
    <w:p>
      <w:pPr>
        <w:pStyle w:val="12"/>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kern w:val="44"/>
          <w:sz w:val="24"/>
          <w:szCs w:val="30"/>
        </w:rPr>
        <w:t>附件</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_Toc758 </w:instrText>
      </w:r>
      <w:r>
        <w:rPr>
          <w:rFonts w:ascii="Times New Roman" w:hAnsi="Times New Roman" w:eastAsia="宋体" w:cs="Times New Roman"/>
          <w:sz w:val="24"/>
        </w:rPr>
        <w:fldChar w:fldCharType="separate"/>
      </w:r>
      <w:r>
        <w:rPr>
          <w:rFonts w:ascii="Times New Roman" w:hAnsi="Times New Roman" w:eastAsia="宋体" w:cs="Times New Roman"/>
          <w:sz w:val="24"/>
        </w:rPr>
        <w:t>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附件一：南昌中油瑶湖石油销售有限公司瑶湖加油站地理位置图</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_Toc15007 </w:instrText>
      </w:r>
      <w:r>
        <w:rPr>
          <w:rFonts w:ascii="Times New Roman" w:hAnsi="Times New Roman" w:eastAsia="宋体" w:cs="Times New Roman"/>
          <w:sz w:val="24"/>
        </w:rPr>
        <w:fldChar w:fldCharType="separate"/>
      </w:r>
      <w:r>
        <w:rPr>
          <w:rFonts w:ascii="Times New Roman" w:hAnsi="Times New Roman" w:eastAsia="宋体" w:cs="Times New Roman"/>
          <w:sz w:val="24"/>
        </w:rPr>
        <w:t>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附件二：加油站平面布置图</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_Toc29353 </w:instrText>
      </w:r>
      <w:r>
        <w:rPr>
          <w:rFonts w:ascii="Times New Roman" w:hAnsi="Times New Roman" w:eastAsia="宋体" w:cs="Times New Roman"/>
          <w:sz w:val="24"/>
        </w:rPr>
        <w:fldChar w:fldCharType="separate"/>
      </w:r>
      <w:r>
        <w:rPr>
          <w:rFonts w:ascii="Times New Roman" w:hAnsi="Times New Roman" w:eastAsia="宋体" w:cs="Times New Roman"/>
          <w:sz w:val="24"/>
        </w:rPr>
        <w:t>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附件三：加油站周边环境“环境敏感点”示意图</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_Toc24487 </w:instrText>
      </w:r>
      <w:r>
        <w:rPr>
          <w:rFonts w:ascii="Times New Roman" w:hAnsi="Times New Roman" w:eastAsia="宋体" w:cs="Times New Roman"/>
          <w:sz w:val="24"/>
        </w:rPr>
        <w:fldChar w:fldCharType="separate"/>
      </w:r>
      <w:r>
        <w:rPr>
          <w:rFonts w:ascii="Times New Roman" w:hAnsi="Times New Roman" w:eastAsia="宋体" w:cs="Times New Roman"/>
          <w:sz w:val="24"/>
        </w:rPr>
        <w:t>III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lang w:val="zh-CN"/>
        </w:rPr>
        <w:t>附件四、加油站应急疏散线路图</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_Toc715 </w:instrText>
      </w:r>
      <w:r>
        <w:rPr>
          <w:rFonts w:ascii="Times New Roman" w:hAnsi="Times New Roman" w:eastAsia="宋体" w:cs="Times New Roman"/>
          <w:sz w:val="24"/>
        </w:rPr>
        <w:fldChar w:fldCharType="separate"/>
      </w:r>
      <w:r>
        <w:rPr>
          <w:rFonts w:ascii="Times New Roman" w:hAnsi="Times New Roman" w:eastAsia="宋体" w:cs="Times New Roman"/>
          <w:sz w:val="24"/>
        </w:rPr>
        <w:t>IV</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附件五: 突发环境事件应急领导小组成员及联系方式</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_Toc7863 </w:instrText>
      </w:r>
      <w:r>
        <w:rPr>
          <w:rFonts w:ascii="Times New Roman" w:hAnsi="Times New Roman" w:eastAsia="宋体" w:cs="Times New Roman"/>
          <w:sz w:val="24"/>
        </w:rPr>
        <w:fldChar w:fldCharType="separate"/>
      </w:r>
      <w:r>
        <w:rPr>
          <w:rFonts w:ascii="Times New Roman" w:hAnsi="Times New Roman" w:eastAsia="宋体" w:cs="Times New Roman"/>
          <w:sz w:val="24"/>
        </w:rPr>
        <w:t>V</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附件六: 加油站配备消防器材及应急装备物资</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_Toc12249 </w:instrText>
      </w:r>
      <w:r>
        <w:rPr>
          <w:rFonts w:ascii="Times New Roman" w:hAnsi="Times New Roman" w:eastAsia="宋体" w:cs="Times New Roman"/>
          <w:sz w:val="24"/>
        </w:rPr>
        <w:fldChar w:fldCharType="separate"/>
      </w:r>
      <w:r>
        <w:rPr>
          <w:rFonts w:ascii="Times New Roman" w:hAnsi="Times New Roman" w:eastAsia="宋体" w:cs="Times New Roman"/>
          <w:sz w:val="24"/>
        </w:rPr>
        <w:t>VI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附件七：固体废物处置合同</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_Toc12015 </w:instrText>
      </w:r>
      <w:r>
        <w:rPr>
          <w:rFonts w:ascii="Times New Roman" w:hAnsi="Times New Roman" w:eastAsia="宋体" w:cs="Times New Roman"/>
          <w:sz w:val="24"/>
        </w:rPr>
        <w:fldChar w:fldCharType="separate"/>
      </w:r>
      <w:r>
        <w:rPr>
          <w:rFonts w:ascii="Times New Roman" w:hAnsi="Times New Roman" w:eastAsia="宋体" w:cs="Times New Roman"/>
          <w:sz w:val="24"/>
        </w:rPr>
        <w:t>VII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附件八：《南昌中油瑶湖石油销售有限公司瑶湖加油站关于成立突发环境预案资料编制领导小组的通知》</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_Toc13994 </w:instrText>
      </w:r>
      <w:r>
        <w:rPr>
          <w:rFonts w:ascii="Times New Roman" w:hAnsi="Times New Roman" w:eastAsia="宋体" w:cs="Times New Roman"/>
          <w:sz w:val="24"/>
        </w:rPr>
        <w:fldChar w:fldCharType="separate"/>
      </w:r>
      <w:r>
        <w:rPr>
          <w:rFonts w:ascii="Times New Roman" w:hAnsi="Times New Roman" w:eastAsia="宋体" w:cs="Times New Roman"/>
          <w:sz w:val="24"/>
        </w:rPr>
        <w:t>XXVII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附件九：环保应急处置卡</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_Toc31544 </w:instrText>
      </w:r>
      <w:r>
        <w:rPr>
          <w:rFonts w:ascii="Times New Roman" w:hAnsi="Times New Roman" w:eastAsia="宋体" w:cs="Times New Roman"/>
          <w:sz w:val="24"/>
        </w:rPr>
        <w:fldChar w:fldCharType="separate"/>
      </w:r>
      <w:r>
        <w:rPr>
          <w:rFonts w:ascii="Times New Roman" w:hAnsi="Times New Roman" w:eastAsia="宋体" w:cs="Times New Roman"/>
          <w:sz w:val="24"/>
        </w:rPr>
        <w:t>XXVIII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附件十：突发环境事件报告表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_Toc6720 </w:instrText>
      </w:r>
      <w:r>
        <w:rPr>
          <w:rFonts w:ascii="Times New Roman" w:hAnsi="Times New Roman" w:eastAsia="宋体" w:cs="Times New Roman"/>
          <w:sz w:val="24"/>
        </w:rPr>
        <w:fldChar w:fldCharType="separate"/>
      </w:r>
      <w:r>
        <w:rPr>
          <w:rFonts w:ascii="Times New Roman" w:hAnsi="Times New Roman" w:eastAsia="宋体" w:cs="Times New Roman"/>
          <w:sz w:val="24"/>
        </w:rPr>
        <w:t>XXIX</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附件十一：营业执照</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_Toc14145 </w:instrText>
      </w:r>
      <w:r>
        <w:rPr>
          <w:rFonts w:ascii="Times New Roman" w:hAnsi="Times New Roman" w:eastAsia="宋体" w:cs="Times New Roman"/>
          <w:sz w:val="24"/>
        </w:rPr>
        <w:fldChar w:fldCharType="separate"/>
      </w:r>
      <w:r>
        <w:rPr>
          <w:rFonts w:ascii="Times New Roman" w:hAnsi="Times New Roman" w:eastAsia="宋体" w:cs="Times New Roman"/>
          <w:sz w:val="24"/>
        </w:rPr>
        <w:t>XXXII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附件十二：危险化学品经营许可证</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_Toc29027 </w:instrText>
      </w:r>
      <w:r>
        <w:rPr>
          <w:rFonts w:ascii="Times New Roman" w:hAnsi="Times New Roman" w:eastAsia="宋体" w:cs="Times New Roman"/>
          <w:sz w:val="24"/>
        </w:rPr>
        <w:fldChar w:fldCharType="separate"/>
      </w:r>
      <w:r>
        <w:rPr>
          <w:rFonts w:ascii="Times New Roman" w:hAnsi="Times New Roman" w:eastAsia="宋体" w:cs="Times New Roman"/>
          <w:sz w:val="24"/>
        </w:rPr>
        <w:t>XXXIII</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附件十三：成品油零售经营批准证书</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_Toc20798 </w:instrText>
      </w:r>
      <w:r>
        <w:rPr>
          <w:rFonts w:ascii="Times New Roman" w:hAnsi="Times New Roman" w:eastAsia="宋体" w:cs="Times New Roman"/>
          <w:sz w:val="24"/>
        </w:rPr>
        <w:fldChar w:fldCharType="separate"/>
      </w:r>
      <w:r>
        <w:rPr>
          <w:rFonts w:ascii="Times New Roman" w:hAnsi="Times New Roman" w:eastAsia="宋体" w:cs="Times New Roman"/>
          <w:sz w:val="24"/>
        </w:rPr>
        <w:t>XXXIV</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附件十四：环评批复</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_Toc471 </w:instrText>
      </w:r>
      <w:r>
        <w:rPr>
          <w:rFonts w:ascii="Times New Roman" w:hAnsi="Times New Roman" w:eastAsia="宋体" w:cs="Times New Roman"/>
          <w:sz w:val="24"/>
        </w:rPr>
        <w:fldChar w:fldCharType="separate"/>
      </w:r>
      <w:r>
        <w:rPr>
          <w:rFonts w:ascii="Times New Roman" w:hAnsi="Times New Roman" w:eastAsia="宋体" w:cs="Times New Roman"/>
          <w:sz w:val="24"/>
        </w:rPr>
        <w:t>XXXV</w:t>
      </w:r>
      <w:r>
        <w:rPr>
          <w:rFonts w:ascii="Times New Roman" w:hAnsi="Times New Roman" w:eastAsia="宋体" w:cs="Times New Roman"/>
          <w:sz w:val="24"/>
        </w:rPr>
        <w:fldChar w:fldCharType="end"/>
      </w:r>
    </w:p>
    <w:p>
      <w:pPr>
        <w:pStyle w:val="13"/>
        <w:tabs>
          <w:tab w:val="right" w:leader="dot" w:pos="9140"/>
        </w:tabs>
        <w:rPr>
          <w:rFonts w:ascii="Times New Roman" w:hAnsi="Times New Roman" w:eastAsia="宋体" w:cs="Times New Roman"/>
          <w:sz w:val="24"/>
        </w:rPr>
      </w:pPr>
      <w:r>
        <w:rPr>
          <w:rFonts w:ascii="Times New Roman" w:hAnsi="Times New Roman" w:eastAsia="宋体" w:cs="Times New Roman"/>
          <w:bCs/>
          <w:color w:val="000000" w:themeColor="text1"/>
          <w:sz w:val="24"/>
          <w:szCs w:val="24"/>
        </w:rPr>
        <w:t>附件十</w:t>
      </w:r>
      <w:r>
        <w:rPr>
          <w:rFonts w:hint="eastAsia" w:ascii="Times New Roman" w:hAnsi="Times New Roman" w:eastAsia="宋体" w:cs="Times New Roman"/>
          <w:bCs/>
          <w:color w:val="000000" w:themeColor="text1"/>
          <w:sz w:val="24"/>
          <w:szCs w:val="24"/>
          <w:lang w:val="en-US" w:eastAsia="zh-CN"/>
        </w:rPr>
        <w:t>五</w:t>
      </w:r>
      <w:r>
        <w:rPr>
          <w:rFonts w:ascii="Times New Roman" w:hAnsi="Times New Roman" w:eastAsia="宋体" w:cs="Times New Roman"/>
          <w:bCs/>
          <w:color w:val="000000" w:themeColor="text1"/>
          <w:sz w:val="24"/>
          <w:szCs w:val="24"/>
        </w:rPr>
        <w:t>：</w:t>
      </w:r>
      <w:r>
        <w:rPr>
          <w:rFonts w:hint="eastAsia" w:ascii="Times New Roman" w:hAnsi="Times New Roman" w:eastAsia="宋体" w:cs="Times New Roman"/>
          <w:bCs/>
          <w:color w:val="000000" w:themeColor="text1"/>
          <w:sz w:val="24"/>
          <w:szCs w:val="24"/>
        </w:rPr>
        <w:t>危险废物处置单位处置资质</w:t>
      </w:r>
      <w:r>
        <w:rPr>
          <w:rFonts w:ascii="Times New Roman" w:hAnsi="Times New Roman" w:eastAsia="宋体" w:cs="Times New Roman"/>
          <w:sz w:val="24"/>
        </w:rPr>
        <w:tab/>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PAGEREF _Toc20158 </w:instrText>
      </w:r>
      <w:r>
        <w:rPr>
          <w:rFonts w:ascii="Times New Roman" w:hAnsi="Times New Roman" w:eastAsia="宋体" w:cs="Times New Roman"/>
          <w:sz w:val="24"/>
        </w:rPr>
        <w:fldChar w:fldCharType="separate"/>
      </w:r>
      <w:r>
        <w:rPr>
          <w:rFonts w:ascii="Times New Roman" w:hAnsi="Times New Roman" w:eastAsia="宋体" w:cs="Times New Roman"/>
          <w:sz w:val="24"/>
        </w:rPr>
        <w:t>XXXVIII</w:t>
      </w:r>
      <w:r>
        <w:rPr>
          <w:rFonts w:ascii="Times New Roman" w:hAnsi="Times New Roman" w:eastAsia="宋体" w:cs="Times New Roman"/>
          <w:sz w:val="24"/>
        </w:rPr>
        <w:fldChar w:fldCharType="end"/>
      </w:r>
    </w:p>
    <w:p>
      <w:pPr>
        <w:pStyle w:val="32"/>
        <w:tabs>
          <w:tab w:val="right" w:leader="dot" w:pos="9140"/>
        </w:tabs>
        <w:rPr>
          <w:rFonts w:eastAsiaTheme="minorEastAsia"/>
          <w:b/>
          <w:bCs/>
          <w:color w:val="000000" w:themeColor="text1"/>
          <w:kern w:val="44"/>
          <w:sz w:val="30"/>
          <w:szCs w:val="30"/>
        </w:rPr>
        <w:sectPr>
          <w:headerReference r:id="rId4" w:type="default"/>
          <w:pgSz w:w="11920" w:h="16840"/>
          <w:pgMar w:top="1100" w:right="1200" w:bottom="280" w:left="1580" w:header="878" w:footer="1081" w:gutter="0"/>
          <w:pgNumType w:fmt="upperRoman"/>
          <w:cols w:space="720" w:num="1"/>
        </w:sectPr>
      </w:pPr>
      <w:r>
        <w:rPr>
          <w:rFonts w:ascii="Times New Roman" w:hAnsi="Times New Roman" w:eastAsia="宋体" w:cs="Times New Roman"/>
          <w:color w:val="000000" w:themeColor="text1"/>
          <w:kern w:val="44"/>
          <w:sz w:val="24"/>
          <w:szCs w:val="24"/>
        </w:rPr>
        <w:fldChar w:fldCharType="end"/>
      </w:r>
      <w:bookmarkStart w:id="1388" w:name="_GoBack"/>
      <w:bookmarkEnd w:id="1388"/>
    </w:p>
    <w:p>
      <w:pPr>
        <w:keepNext/>
        <w:keepLines/>
        <w:spacing w:before="240" w:beforeLines="100" w:after="240" w:afterLines="100" w:line="500" w:lineRule="exact"/>
        <w:ind w:firstLine="602"/>
        <w:jc w:val="center"/>
        <w:outlineLvl w:val="0"/>
        <w:rPr>
          <w:rFonts w:ascii="Times New Roman" w:hAnsi="Times New Roman" w:cs="Times New Roman"/>
          <w:b/>
          <w:color w:val="000000" w:themeColor="text1"/>
          <w:kern w:val="44"/>
          <w:sz w:val="30"/>
          <w:szCs w:val="30"/>
        </w:rPr>
      </w:pPr>
      <w:bookmarkStart w:id="11" w:name="_Toc29892_WPSOffice_Level1"/>
      <w:bookmarkStart w:id="12" w:name="_Toc23940_WPSOffice_Level1"/>
      <w:bookmarkStart w:id="13" w:name="_Toc16131_WPSOffice_Level1"/>
      <w:bookmarkStart w:id="14" w:name="_Toc11956"/>
      <w:r>
        <w:rPr>
          <w:rFonts w:ascii="Times New Roman" w:hAnsi="Times New Roman" w:cs="Times New Roman"/>
          <w:b/>
          <w:bCs/>
          <w:color w:val="000000" w:themeColor="text1"/>
          <w:kern w:val="44"/>
          <w:sz w:val="30"/>
          <w:szCs w:val="30"/>
        </w:rPr>
        <w:t>1.总则</w:t>
      </w:r>
      <w:bookmarkEnd w:id="7"/>
      <w:bookmarkEnd w:id="8"/>
      <w:bookmarkEnd w:id="9"/>
      <w:bookmarkEnd w:id="10"/>
      <w:bookmarkEnd w:id="11"/>
      <w:bookmarkEnd w:id="12"/>
      <w:bookmarkEnd w:id="13"/>
      <w:bookmarkEnd w:id="14"/>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15" w:name="_Toc2634_WPSOffice_Level2"/>
      <w:bookmarkStart w:id="16" w:name="_Toc30645"/>
      <w:bookmarkStart w:id="17" w:name="_Toc6001_WPSOffice_Level2"/>
      <w:bookmarkStart w:id="18" w:name="_Toc532816999"/>
      <w:bookmarkStart w:id="19" w:name="_Toc17962_WPSOffice_Level2"/>
      <w:bookmarkStart w:id="20" w:name="_Toc982_WPSOffice_Level2"/>
      <w:bookmarkStart w:id="21" w:name="_Toc10781"/>
      <w:bookmarkStart w:id="22" w:name="_Toc2236_WPSOffice_Level2"/>
      <w:bookmarkStart w:id="23" w:name="_Toc26530"/>
      <w:r>
        <w:rPr>
          <w:rFonts w:ascii="Times New Roman" w:hAnsi="Times New Roman" w:cs="Times New Roman"/>
          <w:b/>
          <w:bCs/>
          <w:color w:val="000000" w:themeColor="text1"/>
          <w:kern w:val="44"/>
          <w:sz w:val="24"/>
          <w:szCs w:val="24"/>
        </w:rPr>
        <w:t>1.1编制目的</w:t>
      </w:r>
      <w:bookmarkEnd w:id="15"/>
      <w:bookmarkEnd w:id="16"/>
      <w:bookmarkEnd w:id="17"/>
      <w:bookmarkEnd w:id="18"/>
      <w:bookmarkEnd w:id="19"/>
      <w:bookmarkEnd w:id="20"/>
      <w:bookmarkEnd w:id="21"/>
      <w:bookmarkEnd w:id="22"/>
      <w:bookmarkEnd w:id="23"/>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为积极应对公司加油站在经营过程中突发的环境事件，建立健全突发环境事件的应急机制，有序、高效地组织指挥环境事件抢险救援工作，防止突发事件对环境造成的污染，公司根据国家相关法律、法规及省环保厅有关突发环境事件应急处理的要求，结合公司环境保护工作的实际情况，特制定本预案。通过预案实施防止因组织不力或现场处置工作混乱而延误事故应急，最大限度地保护员工的健康和安全，防止环境污染、减少财产损失。</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24" w:name="_Toc30980_WPSOffice_Level2"/>
      <w:bookmarkStart w:id="25" w:name="_Toc24214"/>
      <w:bookmarkStart w:id="26" w:name="_Toc7504_WPSOffice_Level2"/>
      <w:bookmarkStart w:id="27" w:name="_Toc31062"/>
      <w:bookmarkStart w:id="28" w:name="_Toc15669_WPSOffice_Level2"/>
      <w:bookmarkStart w:id="29" w:name="_Toc4725"/>
      <w:bookmarkStart w:id="30" w:name="_Toc7910_WPSOffice_Level2"/>
      <w:bookmarkStart w:id="31" w:name="_Toc19347_WPSOffice_Level2"/>
      <w:bookmarkStart w:id="32" w:name="_Toc532817000"/>
      <w:bookmarkStart w:id="33" w:name="_Toc28569"/>
      <w:r>
        <w:rPr>
          <w:rFonts w:ascii="Times New Roman" w:hAnsi="Times New Roman" w:cs="Times New Roman"/>
          <w:b/>
          <w:bCs/>
          <w:color w:val="000000" w:themeColor="text1"/>
          <w:kern w:val="44"/>
          <w:sz w:val="24"/>
          <w:szCs w:val="24"/>
        </w:rPr>
        <w:t>1.2 编制依据</w:t>
      </w:r>
      <w:bookmarkEnd w:id="24"/>
      <w:bookmarkEnd w:id="25"/>
      <w:bookmarkEnd w:id="26"/>
      <w:bookmarkEnd w:id="27"/>
      <w:bookmarkEnd w:id="28"/>
      <w:bookmarkEnd w:id="29"/>
      <w:bookmarkEnd w:id="30"/>
      <w:bookmarkEnd w:id="31"/>
      <w:bookmarkEnd w:id="32"/>
      <w:bookmarkEnd w:id="33"/>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4" w:name="_Toc32697"/>
      <w:bookmarkStart w:id="35" w:name="_Toc2880"/>
      <w:bookmarkStart w:id="36" w:name="_Toc12113"/>
      <w:bookmarkStart w:id="37" w:name="_Toc17962_WPSOffice_Level3"/>
      <w:bookmarkStart w:id="38" w:name="_Toc2236_WPSOffice_Level3"/>
      <w:bookmarkStart w:id="39" w:name="_Toc532817001"/>
      <w:bookmarkStart w:id="40" w:name="_Toc982_WPSOffice_Level3"/>
      <w:bookmarkStart w:id="41" w:name="_Toc2634_WPSOffice_Level3"/>
      <w:bookmarkStart w:id="42" w:name="_Toc6001_WPSOffice_Level3"/>
      <w:bookmarkStart w:id="43" w:name="_Toc10883"/>
      <w:bookmarkStart w:id="44" w:name="_Toc24289"/>
      <w:r>
        <w:rPr>
          <w:rFonts w:ascii="Times New Roman" w:hAnsi="Times New Roman" w:cs="Times New Roman"/>
          <w:b/>
          <w:bCs/>
          <w:color w:val="000000" w:themeColor="text1"/>
          <w:kern w:val="44"/>
          <w:sz w:val="24"/>
          <w:szCs w:val="24"/>
        </w:rPr>
        <w:t>1.2.1法律、法规、部门规章</w:t>
      </w:r>
      <w:bookmarkEnd w:id="34"/>
      <w:bookmarkEnd w:id="35"/>
      <w:bookmarkEnd w:id="36"/>
      <w:bookmarkEnd w:id="37"/>
      <w:bookmarkEnd w:id="38"/>
      <w:bookmarkEnd w:id="39"/>
      <w:bookmarkEnd w:id="40"/>
      <w:bookmarkEnd w:id="41"/>
      <w:bookmarkEnd w:id="42"/>
      <w:bookmarkEnd w:id="43"/>
      <w:bookmarkEnd w:id="44"/>
    </w:p>
    <w:p>
      <w:pPr>
        <w:spacing w:line="500" w:lineRule="exact"/>
        <w:ind w:firstLine="480" w:firstLineChars="200"/>
        <w:rPr>
          <w:rFonts w:ascii="Times New Roman" w:hAnsi="Times New Roman" w:cs="Times New Roman"/>
          <w:color w:val="000000" w:themeColor="text1"/>
          <w:sz w:val="24"/>
          <w:szCs w:val="24"/>
        </w:rPr>
      </w:pPr>
      <w:bookmarkStart w:id="45" w:name="_Toc532817003"/>
      <w:bookmarkStart w:id="46" w:name="_Toc3604_WPSOffice_Level3"/>
      <w:bookmarkStart w:id="47" w:name="_Toc5530_WPSOffice_Level3"/>
      <w:bookmarkStart w:id="48" w:name="_Toc9215"/>
      <w:bookmarkStart w:id="49" w:name="_Toc24551_WPSOffice_Level3"/>
      <w:bookmarkStart w:id="50" w:name="_Toc28481"/>
      <w:bookmarkStart w:id="51" w:name="_Toc29261_WPSOffice_Level3"/>
      <w:bookmarkStart w:id="52" w:name="_Toc14034_WPSOffice_Level3"/>
      <w:r>
        <w:rPr>
          <w:rFonts w:ascii="Times New Roman" w:hAnsi="Times New Roman" w:cs="Times New Roman"/>
          <w:color w:val="000000" w:themeColor="text1"/>
          <w:sz w:val="24"/>
          <w:szCs w:val="24"/>
        </w:rPr>
        <w:t>（1）《中华人民共和国环境保护法》（中华人民共和国主席令第九号）；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w:t>
      </w:r>
      <w:r>
        <w:fldChar w:fldCharType="begin"/>
      </w:r>
      <w:r>
        <w:instrText xml:space="preserve"> HYPERLINK "http://baike.sogou.com/lemma/ShowInnerLink.htm?lemmaId=6022556&amp;ss_c=ssc.citiao.link" \t "http://baike.sogou.com/_blank" </w:instrText>
      </w:r>
      <w:r>
        <w:fldChar w:fldCharType="separate"/>
      </w:r>
      <w:r>
        <w:rPr>
          <w:rFonts w:ascii="Times New Roman" w:hAnsi="Times New Roman" w:cs="Times New Roman"/>
          <w:color w:val="000000" w:themeColor="text1"/>
          <w:sz w:val="24"/>
          <w:szCs w:val="24"/>
        </w:rPr>
        <w:t>《中华人民共和国放射性污染防治法》</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（中华人民共和国主席令第六号）；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（3）《中华人民共和国安全生产法》（中华人民共和国主席令第十三号）；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（4）《中华人民共和国水污染防治法》（2008年6月1日）；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（5）《中华人民共和国大气污染防治法》（2018年修订）；</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（6）《中华人民共和国固体废物污染环境防治法》（2016年修订）；</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（7）《中华人民共和国水污染防治法实施细则》（2000年3月24日）；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（8）《中华人民共和国突发事件应对法》（2007年8月30日）；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（9）《中华人民共和国职业病防治法》（2002年5月日）；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（10）《中华人民共和国消防法》（2009年5月1日）；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（11）《危险化学品安全管理条例》（2011年12月1日）；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（12）《国家突发公共事件总体应急预案》（2006年1月8日）；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（13）《国家突发环境事件应急预案》（国办函〔2014〕119号）；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（14）《建设项目环境保护管理条例》（2017年7月16日修订）；</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（15）《企业事业单位突发环境事件应急预案备案管理办法（试行）》（环发〔2015〕4号）；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（16）《突发环境事件信息报告办法》（环境保护部令第17号）；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（17）《企业突发环境事件风险评估指南（试行）》（环办〔2014〕34号）；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（18）《突发环境事件应急管理办法》（环境保护部令第34号）；</w:t>
      </w:r>
    </w:p>
    <w:p>
      <w:pPr>
        <w:overflowPunct w:val="0"/>
        <w:topLinePunct/>
        <w:spacing w:line="360" w:lineRule="auto"/>
        <w:ind w:firstLine="496" w:firstLineChars="200"/>
        <w:rPr>
          <w:rFonts w:ascii="Times New Roman" w:hAnsi="Times New Roman" w:cs="Times New Roman"/>
          <w:color w:val="000000" w:themeColor="text1"/>
          <w:spacing w:val="4"/>
          <w:sz w:val="24"/>
          <w:szCs w:val="24"/>
        </w:rPr>
      </w:pPr>
      <w:r>
        <w:rPr>
          <w:rFonts w:ascii="Times New Roman" w:hAnsi="Times New Roman" w:cs="Times New Roman"/>
          <w:color w:val="000000" w:themeColor="text1"/>
          <w:spacing w:val="4"/>
          <w:sz w:val="24"/>
          <w:szCs w:val="24"/>
        </w:rPr>
        <w:t>（19）《关于印发〈企业事业单位突发环境事件应急预案评审工作指南（试行）〉的通知》（环办应急〔2018〕8号）；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（20）《企业突发环境事件隐患排查和治理工作指南（试行）》（环境保护部公告2016年第74号）；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（21）《江西省突发公共事件总体应急预案》；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（22）《危险物质名录》（国家安全生产监督管理局公告2003第1号）；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（23）《剧毒化学品名录》（国家安全生产监督管理局等8部门公告2003第2号）；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（24）《易制爆化学品名录》（2011版）；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（25）《国家危险废物名录》（2016年8月1日）；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（26）《建设项目环境影响评价分类管理名录》（2018年版）；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（27）《关于加强环境应急管理工作的意见》（环发〔2009〕130号）；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（28）关于印发《江西省应急预案的通知》的通知（赣府厅字〔2016〕14号）；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（29）关于贯彻实施《突发环境事件应急预案管理办法》的通知（环办函〔2011〕379号）；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（30）《江西省突发事件预警信息发布管理办法(试行)》；</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（31）《江西省储油库、加油站和油罐车油气回收综合治理工作方案》（赣环发〔2013〕17号）。</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53" w:name="_Toc532817002"/>
      <w:bookmarkStart w:id="54" w:name="_Toc25918"/>
      <w:bookmarkStart w:id="55" w:name="_Toc19347_WPSOffice_Level3"/>
      <w:bookmarkStart w:id="56" w:name="_Toc7504_WPSOffice_Level3"/>
      <w:bookmarkStart w:id="57" w:name="_Toc29793"/>
      <w:bookmarkStart w:id="58" w:name="_Toc23314"/>
      <w:bookmarkStart w:id="59" w:name="_Toc12143568"/>
      <w:bookmarkStart w:id="60" w:name="_Toc5323"/>
      <w:bookmarkStart w:id="61" w:name="_Toc7910_WPSOffice_Level3"/>
      <w:bookmarkStart w:id="62" w:name="_Toc30980_WPSOffice_Level3"/>
      <w:bookmarkStart w:id="63" w:name="_Toc15669_WPSOffice_Level3"/>
      <w:bookmarkStart w:id="64" w:name="_Toc23857"/>
      <w:r>
        <w:rPr>
          <w:rFonts w:ascii="Times New Roman" w:hAnsi="Times New Roman" w:cs="Times New Roman"/>
          <w:b/>
          <w:bCs/>
          <w:color w:val="000000" w:themeColor="text1"/>
          <w:kern w:val="44"/>
          <w:sz w:val="24"/>
          <w:szCs w:val="24"/>
        </w:rPr>
        <w:t>1.2.2标准、规范</w:t>
      </w:r>
      <w:bookmarkEnd w:id="53"/>
      <w:bookmarkEnd w:id="54"/>
      <w:bookmarkEnd w:id="55"/>
      <w:bookmarkEnd w:id="56"/>
      <w:bookmarkEnd w:id="57"/>
      <w:bookmarkEnd w:id="58"/>
      <w:bookmarkEnd w:id="59"/>
      <w:bookmarkEnd w:id="60"/>
      <w:bookmarkEnd w:id="61"/>
      <w:bookmarkEnd w:id="62"/>
      <w:bookmarkEnd w:id="63"/>
      <w:bookmarkEnd w:id="64"/>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（1）《常用化学危险品储存通则》（GB15603-1995）</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（2）《危险化学品重大危险源辨识》（GB18218-2018）；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（3）《建设项目环境风险评价技术导则》（HJ/T169-2018）；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（4）《地表水环境质量标准》（GB3838-2002）；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（5）《地下水质量标准》（GB/T14848-2017）；</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（6）《环境空气质量标准》（GB3095-2012）；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（7）《大气污染物综合排放标准》（GB16297-1996）；</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（8）《污水综合排放标准》（GB8978）；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（9）《恶臭污染物排放标准》（GB14554）；</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（10）《声环境质量标准》（GB3096-2008）；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（11）《工业企业厂界环境噪声排放标准》（GB12348-2008）；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（12）《工业企业设计卫生标准》（GBZ1）；</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（13）《工作场所有害因素职业接触限值》（GBZ2）；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（14）《危险废物鉴别标准腐蚀性鉴别》(GB5085.1)；</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（15）《危险废物鉴别标准急性毒性初筛》(GB5085.2)；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（16）《危险废物鉴别标准浸出毒性鉴别》(GB5085.3)；</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（17）《危险废物鉴别标准易燃性鉴别》(GB5085.4)；</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（18）《危险废物鉴别标准反应性鉴别》(GB5085.5)；</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（19）《危险废物鉴别标准毒性物质含量鉴别》(GB5085.6)；</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（20）《危险废物鉴别标准通则》(GB5085.7)；</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w:t>
      </w:r>
      <w:r>
        <w:rPr>
          <w:rFonts w:ascii="Times New Roman" w:hAnsi="Times New Roman" w:cs="Times New Roman"/>
          <w:color w:val="000000" w:themeColor="text1"/>
          <w:sz w:val="24"/>
          <w:szCs w:val="24"/>
          <w:lang w:val="zh-CN"/>
        </w:rPr>
        <w:t>《企业突发环境事件风险分级方法》（HJ 941-2018）；</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22</w:t>
      </w:r>
      <w:r>
        <w:rPr>
          <w:rFonts w:ascii="Times New Roman" w:hAnsi="Times New Roman" w:cs="Times New Roman"/>
          <w:color w:val="000000" w:themeColor="text1"/>
          <w:sz w:val="24"/>
          <w:szCs w:val="24"/>
          <w:lang w:val="zh-CN"/>
        </w:rPr>
        <w:t>）《突发环境事件应急监测技术规范》（HJ589－2010）；</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rPr>
        <w:t>（23）《汽车加油加气站设计施工规范》（GB50156-2012）；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24</w:t>
      </w:r>
      <w:r>
        <w:rPr>
          <w:rFonts w:ascii="Times New Roman" w:hAnsi="Times New Roman" w:cs="Times New Roman"/>
          <w:color w:val="000000" w:themeColor="text1"/>
          <w:sz w:val="24"/>
          <w:szCs w:val="24"/>
          <w:lang w:val="zh-CN"/>
        </w:rPr>
        <w:t>）《一般工业固体废物贮存、处置场污染控制标准》（GB18599-2001）；</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25</w:t>
      </w: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《危险废物鉴别技术规范》(HI/T298)；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（26）《企业事业单位单位突发环境事件应急预案编制指南》；</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（27）《石油化工企业环境应急预案编制指南》（环办[2010]10号）。</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65" w:name="_Toc6323"/>
      <w:r>
        <w:rPr>
          <w:rFonts w:ascii="Times New Roman" w:hAnsi="Times New Roman" w:cs="Times New Roman"/>
          <w:b/>
          <w:bCs/>
          <w:color w:val="000000" w:themeColor="text1"/>
          <w:kern w:val="44"/>
          <w:sz w:val="24"/>
          <w:szCs w:val="24"/>
        </w:rPr>
        <w:t>1.2.3其它文件资料</w:t>
      </w:r>
      <w:bookmarkEnd w:id="45"/>
      <w:bookmarkEnd w:id="46"/>
      <w:bookmarkEnd w:id="47"/>
      <w:bookmarkEnd w:id="48"/>
      <w:bookmarkEnd w:id="49"/>
      <w:bookmarkEnd w:id="50"/>
      <w:bookmarkEnd w:id="51"/>
      <w:bookmarkEnd w:id="52"/>
      <w:bookmarkEnd w:id="65"/>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（1）《南昌市突发环境事件应急预案》；</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（2）《高新区突发环境事件应急预案》；</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（3）其他相关的法律、法规、规章和标准。</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以上凡不注明日期的引用文件，其有效版本适用于本预案。</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66" w:name="_Toc532817004"/>
      <w:bookmarkStart w:id="67" w:name="_Toc24551_WPSOffice_Level2"/>
      <w:bookmarkStart w:id="68" w:name="_Toc14034_WPSOffice_Level2"/>
      <w:bookmarkStart w:id="69" w:name="_Toc3604_WPSOffice_Level2"/>
      <w:bookmarkStart w:id="70" w:name="_Toc7116"/>
      <w:bookmarkStart w:id="71" w:name="_Toc5530_WPSOffice_Level2"/>
      <w:bookmarkStart w:id="72" w:name="_Toc29261_WPSOffice_Level2"/>
      <w:bookmarkStart w:id="73" w:name="_Toc12807"/>
      <w:r>
        <w:rPr>
          <w:rFonts w:ascii="Times New Roman" w:hAnsi="Times New Roman" w:cs="Times New Roman"/>
          <w:b/>
          <w:bCs/>
          <w:color w:val="000000" w:themeColor="text1"/>
          <w:kern w:val="44"/>
          <w:sz w:val="24"/>
          <w:szCs w:val="24"/>
        </w:rPr>
        <w:t>1.3适用范围</w:t>
      </w:r>
      <w:bookmarkEnd w:id="66"/>
      <w:bookmarkEnd w:id="67"/>
      <w:bookmarkEnd w:id="68"/>
      <w:bookmarkEnd w:id="69"/>
      <w:bookmarkEnd w:id="70"/>
      <w:bookmarkEnd w:id="71"/>
      <w:bookmarkEnd w:id="72"/>
      <w:bookmarkEnd w:id="73"/>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预案适用于在本加油站范围内人为或不可抗力造成的废气、废水、固废（包括危险废物-废手套、废抹布、油泥、废油渣、废油污及废弃消防沙等）等环境污染、破坏事件；加油站经营范围内卸油区、储罐区、加油区、营业室等的火灾、油品泄露事故；因自然灾害造成的危及人体健康的环境污染事故；影响周围地下水、地表水水质的其它严重污染事故、周围土壤污染事故等。</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74" w:name="_Toc3671_WPSOffice_Level2"/>
      <w:bookmarkStart w:id="75" w:name="_Toc16087"/>
      <w:bookmarkStart w:id="76" w:name="_Toc7664_WPSOffice_Level2"/>
      <w:bookmarkStart w:id="77" w:name="_Toc16272_WPSOffice_Level2"/>
      <w:bookmarkStart w:id="78" w:name="_Toc9844_WPSOffice_Level2"/>
      <w:bookmarkStart w:id="79" w:name="_Toc1515"/>
      <w:bookmarkStart w:id="80" w:name="_Toc532817005"/>
      <w:bookmarkStart w:id="81" w:name="_Toc2112_WPSOffice_Level2"/>
      <w:bookmarkStart w:id="82" w:name="_Toc29935"/>
      <w:r>
        <w:rPr>
          <w:rFonts w:ascii="Times New Roman" w:hAnsi="Times New Roman" w:cs="Times New Roman"/>
          <w:b/>
          <w:bCs/>
          <w:color w:val="000000" w:themeColor="text1"/>
          <w:kern w:val="44"/>
          <w:sz w:val="24"/>
          <w:szCs w:val="24"/>
        </w:rPr>
        <w:t>1.4应急预案体系</w:t>
      </w:r>
      <w:bookmarkEnd w:id="74"/>
      <w:bookmarkEnd w:id="75"/>
      <w:bookmarkEnd w:id="76"/>
      <w:bookmarkEnd w:id="77"/>
      <w:bookmarkEnd w:id="78"/>
      <w:bookmarkEnd w:id="79"/>
      <w:bookmarkEnd w:id="80"/>
      <w:bookmarkEnd w:id="81"/>
      <w:bookmarkEnd w:id="82"/>
    </w:p>
    <w:p>
      <w:pPr>
        <w:spacing w:line="500" w:lineRule="exact"/>
        <w:ind w:right="170" w:firstLine="42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rPr>
        <w:pict>
          <v:group id="画布 16" o:spid="_x0000_s1026" o:spt="203" style="position:absolute;left:0pt;margin-left:-11.85pt;margin-top:115.35pt;height:165.9pt;width:424pt;z-index:251652096;mso-width-relative:page;mso-height-relative:page;" coordsize="53848,21069" editas="canvas">
            <o:lock v:ext="edit"/>
            <v:shape id="画布 16" o:spid="_x0000_s1027" o:spt="75" type="#_x0000_t75" style="position:absolute;left:0;top:0;height:21069;width:53848;" filled="f" o:preferrelative="t" stroked="f" coordsize="21600,21600">
              <v:fill on="f" focussize="0,0"/>
              <v:stroke on="f" joinstyle="miter"/>
              <v:imagedata o:title=""/>
              <o:lock v:ext="edit" aspectratio="t"/>
            </v:shape>
            <v:rect id="矩形 417" o:spid="_x0000_s1028" o:spt="1" style="position:absolute;left:13100;top:0;height:3467;width:30163;" fillcolor="#C0C0C0" fill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">
              <v:path/>
              <v:fill on="t" opacity="31354f" focussize="0,0"/>
              <v:stroke weight="1pt"/>
              <v:imagedata o:title=""/>
              <o:lock v:ext="edit"/>
              <v:textbox>
                <w:txbxContent>
                  <w:p>
                    <w:pPr>
                      <w:jc w:val="center"/>
                      <w:rPr>
                        <w:sz w:val="24"/>
                        <w:szCs w:val="24"/>
                      </w:rPr>
                    </w:pPr>
                    <w:r>
                      <w:rPr>
                        <w:rFonts w:hint="eastAsia" w:hAnsi="宋体"/>
                        <w:sz w:val="24"/>
                        <w:szCs w:val="24"/>
                      </w:rPr>
                      <w:t>南昌市突发环境事件应急预案</w:t>
                    </w:r>
                  </w:p>
                </w:txbxContent>
              </v:textbox>
            </v:rect>
            <v:line id="直线 418" o:spid="_x0000_s1029" o:spt="20" style="position:absolute;left:27724;top:3676;flip:y;height:3239;width:6;" o:connectortype="straigh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">
              <v:path arrowok="t"/>
              <v:fill focussize="0,0"/>
              <v:stroke endarrow="block"/>
              <v:imagedata o:title=""/>
              <o:lock v:ext="edit"/>
            </v:line>
            <v:rect id="矩形 419" o:spid="_x0000_s1030" o:spt="1" style="position:absolute;left:14585;top:6915;height:3403;width:26131;" fillcolor="#C0C0C0" fill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">
              <v:path/>
              <v:fill on="t" opacity="31354f" focussize="0,0"/>
              <v:stroke weight="1pt"/>
              <v:imagedata o:title=""/>
              <o:lock v:ext="edit"/>
              <v:textbox>
                <w:txbxContent>
                  <w:p>
                    <w:pPr>
                      <w:jc w:val="center"/>
                      <w:rPr>
                        <w:sz w:val="24"/>
                        <w:szCs w:val="24"/>
                      </w:rPr>
                    </w:pPr>
                    <w:r>
                      <w:rPr>
                        <w:rFonts w:hint="eastAsia" w:hAnsi="宋体"/>
                        <w:sz w:val="24"/>
                        <w:szCs w:val="24"/>
                      </w:rPr>
                      <w:t>高新区突发环境事件应急预案</w:t>
                    </w:r>
                  </w:p>
                </w:txbxContent>
              </v:textbox>
            </v:rect>
            <v:rect id="矩形 421" o:spid="_x0000_s1031" o:spt="1" style="position:absolute;left:6521;top:15189;height:5829;width:18478;" fillcolor="#C0C0C0" fill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">
              <v:path/>
              <v:fill on="t" opacity="31354f" focussize="0,0"/>
              <v:stroke weight="1pt"/>
              <v:imagedata o:title=""/>
              <o:lock v:ext="edit"/>
              <v:textbox>
                <w:txbxContent>
                  <w:p>
                    <w:pPr>
                      <w:jc w:val="center"/>
                      <w:rPr>
                        <w:sz w:val="24"/>
                        <w:szCs w:val="24"/>
                      </w:rPr>
                    </w:pPr>
                    <w:r>
                      <w:rPr>
                        <w:rFonts w:hint="eastAsia" w:hAnsi="宋体"/>
                        <w:sz w:val="24"/>
                        <w:szCs w:val="24"/>
                      </w:rPr>
                      <w:t>公司突发环境事件应急预案</w:t>
                    </w:r>
                  </w:p>
                </w:txbxContent>
              </v:textbox>
            </v:rect>
            <v:rect id="矩形 425" o:spid="_x0000_s1032" o:spt="1" style="position:absolute;left:32200;top:15557;height:5512;width:13208;" fillcolor="#C0C0C0" filled="t"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">
              <v:path/>
              <v:fill on="t" opacity="31354f" focussize="0,0"/>
              <v:stroke weight="1pt"/>
              <v:imagedata o:title=""/>
              <o:lock v:ext="edit"/>
              <v:textbox>
                <w:txbxContent>
                  <w:p>
                    <w:pPr>
                      <w:jc w:val="center"/>
                      <w:rPr>
                        <w:sz w:val="24"/>
                        <w:szCs w:val="24"/>
                      </w:rPr>
                    </w:pPr>
                    <w:r>
                      <w:rPr>
                        <w:rFonts w:hint="eastAsia" w:hAnsi="宋体"/>
                        <w:sz w:val="24"/>
                        <w:szCs w:val="24"/>
                      </w:rPr>
                      <w:t>公司安全事故应急预案</w:t>
                    </w:r>
                  </w:p>
                </w:txbxContent>
              </v:textbox>
            </v:rect>
            <v:shape id="自选图形 185" o:spid="_x0000_s1033" o:spt="34" type="#_x0000_t34" style="position:absolute;left:19247;top:6781;height:11893;width:4870;rotation:-5898240f;" o:connectortype="elbow" fill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" adj="9843">
              <v:path arrowok="t"/>
              <v:fill on="f" focussize="0,0"/>
              <v:stroke endarrow="block"/>
              <v:imagedata o:title=""/>
              <o:lock v:ext="edit"/>
            </v:shape>
            <v:shape id="自选图形 186" o:spid="_x0000_s1034" o:spt="34" type="#_x0000_t34" style="position:absolute;left:30587;top:7347;flip:y;height:11150;width:5239;rotation:5898240f;" o:connectortype="elbow" fill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">
              <v:path arrowok="t"/>
              <v:fill on="f" focussize="0,0"/>
              <v:stroke endarrow="block" endarrowwidth="narrow"/>
              <v:imagedata o:title=""/>
              <o:lock v:ext="edit"/>
            </v:shape>
          </v:group>
        </w:pict>
      </w:r>
      <w:r>
        <w:rPr>
          <w:rFonts w:ascii="Times New Roman" w:hAnsi="Times New Roman" w:cs="Times New Roman"/>
          <w:color w:val="000000" w:themeColor="text1"/>
          <w:sz w:val="24"/>
          <w:szCs w:val="24"/>
        </w:rPr>
        <w:t>按照《企业事业单位突发环境事件应急预案备案管理办法（试行）》（环发[2015]4号）的相关规定，应急预案体系应由总体应急预案（综合）、专项应急急预案、部门应急预案、地方应急预案、企事业单位应急预案、重大活动应急预案等六大类构成。根据本项目实际情况，本项目应急预案体系见图1.4-1。</w:t>
      </w: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500" w:lineRule="exact"/>
        <w:ind w:right="170" w:firstLine="480" w:firstLineChars="200"/>
        <w:rPr>
          <w:rFonts w:ascii="Times New Roman" w:hAnsi="Times New Roman" w:cs="Times New Roman"/>
          <w:color w:val="000000" w:themeColor="text1"/>
          <w:sz w:val="24"/>
          <w:szCs w:val="24"/>
        </w:rPr>
      </w:pPr>
    </w:p>
    <w:p>
      <w:pPr>
        <w:spacing w:line="360" w:lineRule="auto"/>
        <w:ind w:firstLine="482"/>
        <w:jc w:val="center"/>
        <w:rPr>
          <w:rFonts w:ascii="Times New Roman" w:hAnsi="Times New Roman" w:cs="Times New Roman"/>
          <w:b/>
          <w:bCs/>
          <w:color w:val="000000" w:themeColor="text1"/>
          <w:sz w:val="24"/>
          <w:szCs w:val="24"/>
        </w:rPr>
      </w:pPr>
      <w:bookmarkStart w:id="83" w:name="_Toc7664_WPSOffice_Level3"/>
      <w:bookmarkStart w:id="84" w:name="_Toc9844_WPSOffice_Level3"/>
      <w:bookmarkStart w:id="85" w:name="_Toc3671_WPSOffice_Level3"/>
      <w:bookmarkStart w:id="86" w:name="_Toc2112_WPSOffice_Level3"/>
      <w:bookmarkStart w:id="87" w:name="_Toc16272_WPSOffice_Level3"/>
      <w:r>
        <w:rPr>
          <w:rFonts w:ascii="Times New Roman" w:hAnsi="Times New Roman" w:cs="Times New Roman"/>
          <w:b/>
          <w:bCs/>
          <w:color w:val="000000" w:themeColor="text1"/>
          <w:sz w:val="24"/>
          <w:szCs w:val="24"/>
        </w:rPr>
        <w:t>图 1.4-1 突发环境事件应急预案体系</w:t>
      </w:r>
      <w:bookmarkEnd w:id="83"/>
      <w:bookmarkEnd w:id="84"/>
      <w:bookmarkEnd w:id="85"/>
      <w:bookmarkEnd w:id="86"/>
      <w:bookmarkEnd w:id="87"/>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企业实际情况，本次仅编制南昌中油瑶湖石油销售有限公司瑶湖加油站突发环境事件综合应急预案。同时根据实际需要和情势变化，适时修订应急预案。本应急预案的制定、修订程序根据环境保护主管部门的规定执行。项目突发环境事件应急预案为企业内部预案，企业发生</w:t>
      </w:r>
      <w:r>
        <w:rPr>
          <w:rFonts w:ascii="Times New Roman" w:hAnsi="Times New Roman" w:eastAsia="宋体" w:cs="Times New Roman"/>
          <w:color w:val="000000" w:themeColor="text1"/>
          <w:sz w:val="24"/>
          <w:szCs w:val="24"/>
        </w:rPr>
        <w:t>Ⅱ</w:t>
      </w:r>
      <w:r>
        <w:rPr>
          <w:rFonts w:ascii="Times New Roman" w:hAnsi="Times New Roman" w:cs="Times New Roman"/>
          <w:color w:val="000000" w:themeColor="text1"/>
          <w:sz w:val="24"/>
          <w:szCs w:val="24"/>
        </w:rPr>
        <w:t>级突发环境事件时，启动本应急预案，当突发环境事件为</w:t>
      </w:r>
      <w:r>
        <w:rPr>
          <w:rFonts w:ascii="Times New Roman" w:hAnsi="Times New Roman" w:eastAsia="宋体" w:cs="Times New Roman"/>
          <w:color w:val="000000" w:themeColor="text1"/>
          <w:sz w:val="24"/>
          <w:szCs w:val="24"/>
        </w:rPr>
        <w:t>Ⅰ</w:t>
      </w:r>
      <w:r>
        <w:rPr>
          <w:rFonts w:ascii="Times New Roman" w:hAnsi="Times New Roman" w:cs="Times New Roman"/>
          <w:color w:val="000000" w:themeColor="text1"/>
          <w:sz w:val="24"/>
          <w:szCs w:val="24"/>
        </w:rPr>
        <w:t>级突发环境事件时，企业总指挥应及时与南昌市人民政府、南昌市环境保护局以及相关职能管理部门的应急指挥机构联系，突发环境事件为</w:t>
      </w:r>
      <w:r>
        <w:rPr>
          <w:rFonts w:ascii="Times New Roman" w:hAnsi="Times New Roman" w:eastAsia="宋体" w:cs="Times New Roman"/>
          <w:color w:val="000000" w:themeColor="text1"/>
          <w:sz w:val="24"/>
          <w:szCs w:val="24"/>
        </w:rPr>
        <w:t>Ⅰ</w:t>
      </w:r>
      <w:r>
        <w:rPr>
          <w:rFonts w:ascii="Times New Roman" w:hAnsi="Times New Roman" w:cs="Times New Roman"/>
          <w:color w:val="000000" w:themeColor="text1"/>
          <w:sz w:val="24"/>
          <w:szCs w:val="24"/>
        </w:rPr>
        <w:t>级时，应启动项目所在地即《南昌市突发环境事件应急预案》；突发环境事件应急预案与生产安全事故应急预案相辅相成，互为补充；突发事件应急预案具有独立性，各司其职。当突发环境事件时，应立即启动突发环境事件应急预案，由突发环境事件衍生其他突发事件时，启动其他突发事件应急预案。</w:t>
      </w:r>
    </w:p>
    <w:p>
      <w:pPr>
        <w:keepNext/>
        <w:keepLines/>
        <w:spacing w:before="240" w:beforeLines="100" w:after="240" w:afterLines="100" w:line="360" w:lineRule="auto"/>
        <w:ind w:firstLine="482"/>
        <w:jc w:val="left"/>
        <w:outlineLvl w:val="1"/>
        <w:rPr>
          <w:rFonts w:ascii="Times New Roman" w:hAnsi="Times New Roman" w:cs="Times New Roman"/>
          <w:b/>
          <w:bCs/>
          <w:color w:val="000000" w:themeColor="text1"/>
          <w:kern w:val="44"/>
          <w:sz w:val="24"/>
          <w:szCs w:val="24"/>
        </w:rPr>
      </w:pPr>
      <w:bookmarkStart w:id="88" w:name="_Toc10055_WPSOffice_Level2"/>
      <w:bookmarkStart w:id="89" w:name="_Toc1636"/>
      <w:bookmarkStart w:id="90" w:name="_Toc26023_WPSOffice_Level2"/>
      <w:bookmarkStart w:id="91" w:name="_Toc23590_WPSOffice_Level2"/>
      <w:bookmarkStart w:id="92" w:name="_Toc532817006"/>
      <w:bookmarkStart w:id="93" w:name="_Toc31711_WPSOffice_Level2"/>
      <w:bookmarkStart w:id="94" w:name="_Toc10876_WPSOffice_Level2"/>
      <w:bookmarkStart w:id="95" w:name="_Toc26689"/>
      <w:r>
        <w:rPr>
          <w:rFonts w:ascii="Times New Roman" w:hAnsi="Times New Roman" w:cs="Times New Roman"/>
          <w:b/>
          <w:bCs/>
          <w:color w:val="000000" w:themeColor="text1"/>
          <w:kern w:val="44"/>
          <w:sz w:val="24"/>
          <w:szCs w:val="24"/>
        </w:rPr>
        <w:t>1.5 事故分级</w:t>
      </w:r>
      <w:bookmarkEnd w:id="88"/>
      <w:bookmarkEnd w:id="89"/>
      <w:bookmarkEnd w:id="90"/>
      <w:bookmarkEnd w:id="91"/>
      <w:bookmarkEnd w:id="92"/>
      <w:bookmarkEnd w:id="93"/>
      <w:bookmarkEnd w:id="94"/>
      <w:bookmarkEnd w:id="95"/>
    </w:p>
    <w:p>
      <w:pPr>
        <w:keepNext/>
        <w:keepLines/>
        <w:spacing w:before="120" w:beforeLines="50" w:after="120" w:afterLines="50" w:line="360" w:lineRule="auto"/>
        <w:ind w:firstLine="482"/>
        <w:jc w:val="left"/>
        <w:outlineLvl w:val="2"/>
        <w:rPr>
          <w:rFonts w:ascii="Times New Roman" w:hAnsi="Times New Roman" w:cs="Times New Roman"/>
          <w:b/>
          <w:bCs/>
          <w:color w:val="000000" w:themeColor="text1"/>
          <w:sz w:val="24"/>
          <w:szCs w:val="24"/>
        </w:rPr>
      </w:pPr>
      <w:bookmarkStart w:id="96" w:name="_Toc23590_WPSOffice_Level3"/>
      <w:bookmarkStart w:id="97" w:name="_Toc23968"/>
      <w:bookmarkStart w:id="98" w:name="_Toc26023_WPSOffice_Level3"/>
      <w:bookmarkStart w:id="99" w:name="_Toc31711_WPSOffice_Level3"/>
      <w:bookmarkStart w:id="100" w:name="_Toc532817007"/>
      <w:bookmarkStart w:id="101" w:name="_Toc10055_WPSOffice_Level3"/>
      <w:bookmarkStart w:id="102" w:name="_Toc10876_WPSOffice_Level3"/>
      <w:bookmarkStart w:id="103" w:name="_Toc24608"/>
      <w:r>
        <w:rPr>
          <w:rFonts w:ascii="Times New Roman" w:hAnsi="Times New Roman" w:cs="Times New Roman"/>
          <w:b/>
          <w:bCs/>
          <w:color w:val="000000" w:themeColor="text1"/>
          <w:sz w:val="24"/>
          <w:szCs w:val="24"/>
        </w:rPr>
        <w:t>1.5.1 国家应急预案分级</w:t>
      </w:r>
      <w:bookmarkEnd w:id="96"/>
      <w:bookmarkEnd w:id="97"/>
      <w:bookmarkEnd w:id="98"/>
      <w:bookmarkEnd w:id="99"/>
      <w:bookmarkEnd w:id="100"/>
      <w:bookmarkEnd w:id="101"/>
      <w:bookmarkEnd w:id="102"/>
      <w:bookmarkEnd w:id="103"/>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按照突发事件严重性和紧急程度，根据《突发环境事件信息报告办法》（环境保护部第 17 号部令），突发环境事件级别分为特别重大（</w:t>
      </w:r>
      <w:r>
        <w:rPr>
          <w:rFonts w:ascii="Times New Roman" w:hAnsi="Times New Roman" w:eastAsia="宋体" w:cs="Times New Roman"/>
          <w:color w:val="000000" w:themeColor="text1"/>
          <w:sz w:val="24"/>
          <w:szCs w:val="24"/>
        </w:rPr>
        <w:t>Ⅰ</w:t>
      </w:r>
      <w:r>
        <w:rPr>
          <w:rFonts w:ascii="Times New Roman" w:hAnsi="Times New Roman" w:cs="Times New Roman"/>
          <w:color w:val="000000" w:themeColor="text1"/>
          <w:sz w:val="24"/>
          <w:szCs w:val="24"/>
        </w:rPr>
        <w:t>级）、重大（</w:t>
      </w:r>
      <w:r>
        <w:rPr>
          <w:rFonts w:ascii="Times New Roman" w:hAnsi="Times New Roman" w:eastAsia="宋体" w:cs="Times New Roman"/>
          <w:color w:val="000000" w:themeColor="text1"/>
          <w:sz w:val="24"/>
          <w:szCs w:val="24"/>
        </w:rPr>
        <w:t>Ⅱ</w:t>
      </w:r>
      <w:r>
        <w:rPr>
          <w:rFonts w:ascii="Times New Roman" w:hAnsi="Times New Roman" w:cs="Times New Roman"/>
          <w:color w:val="000000" w:themeColor="text1"/>
          <w:sz w:val="24"/>
          <w:szCs w:val="24"/>
        </w:rPr>
        <w:t>级）、较大（</w:t>
      </w:r>
      <w:r>
        <w:rPr>
          <w:rFonts w:ascii="Times New Roman" w:hAnsi="Times New Roman" w:eastAsia="宋体" w:cs="Times New Roman"/>
          <w:color w:val="000000" w:themeColor="text1"/>
          <w:sz w:val="24"/>
          <w:szCs w:val="24"/>
        </w:rPr>
        <w:t>Ⅲ</w:t>
      </w:r>
      <w:r>
        <w:rPr>
          <w:rFonts w:ascii="Times New Roman" w:hAnsi="Times New Roman" w:cs="Times New Roman"/>
          <w:color w:val="000000" w:themeColor="text1"/>
          <w:sz w:val="24"/>
          <w:szCs w:val="24"/>
        </w:rPr>
        <w:t>级）和一般（</w:t>
      </w:r>
      <w:r>
        <w:rPr>
          <w:rFonts w:ascii="Times New Roman" w:hAnsi="Times New Roman" w:eastAsia="宋体" w:cs="Times New Roman"/>
          <w:color w:val="000000" w:themeColor="text1"/>
          <w:sz w:val="24"/>
          <w:szCs w:val="24"/>
        </w:rPr>
        <w:t>Ⅳ</w:t>
      </w:r>
      <w:r>
        <w:rPr>
          <w:rFonts w:ascii="Times New Roman" w:hAnsi="Times New Roman" w:cs="Times New Roman"/>
          <w:color w:val="000000" w:themeColor="text1"/>
          <w:sz w:val="24"/>
          <w:szCs w:val="24"/>
        </w:rPr>
        <w:t>级）四级。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1、特别重大（</w:t>
      </w:r>
      <w:r>
        <w:rPr>
          <w:rFonts w:ascii="Times New Roman" w:hAnsi="Times New Roman" w:eastAsia="宋体" w:cs="Times New Roman"/>
          <w:color w:val="000000" w:themeColor="text1"/>
          <w:sz w:val="24"/>
          <w:szCs w:val="24"/>
        </w:rPr>
        <w:t>Ⅰ</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凡符合下列情形之一的，为特别重大突发环境事件：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（1）因环境污染直接导致 10 人以上死亡或 100 人以上中毒的；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（2）因环境污染需疏散、转移群众 5 万人以上的；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（3）因环境污染造成直接经济损失 1 亿元以上的；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（4）因环境污染造成区域生态功能丧失或国家重点保护物种灭绝的；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（5）因环境污染造成地市级以上城市集中式饮用水水源地取水中断的；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2、重大（</w:t>
      </w:r>
      <w:r>
        <w:rPr>
          <w:rFonts w:ascii="Times New Roman" w:hAnsi="Times New Roman" w:eastAsia="宋体" w:cs="Times New Roman"/>
          <w:color w:val="000000" w:themeColor="text1"/>
          <w:sz w:val="24"/>
          <w:szCs w:val="24"/>
        </w:rPr>
        <w:t>Ⅱ</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凡符合下列情形之一的，为重大突发环境事件：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（1）因环境污染直接导致 3 人以上 10 人以下死亡或 50 人以上 100 人以下中毒的；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（2）因环境污染需疏散、转移群众 1 万人以上 5 万人以下的；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（3）因环境污染造成直接经济损失 2000 万元以上 1 亿元以下的；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（4）因环境污染造成区域生态功能部分丧失或国家重点保护野生动植物种群大批死亡的；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（5）因环境污染造成县级城市集中式饮用水水源地取水中断的；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3、较大（</w:t>
      </w:r>
      <w:r>
        <w:rPr>
          <w:rFonts w:ascii="Times New Roman" w:hAnsi="Times New Roman" w:eastAsia="宋体" w:cs="Times New Roman"/>
          <w:color w:val="000000" w:themeColor="text1"/>
          <w:sz w:val="24"/>
          <w:szCs w:val="24"/>
        </w:rPr>
        <w:t>Ⅲ</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凡符合下列情形之一的，为较大突发环境事件：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（1）因环境污染直接导致 3 人以下死亡或 10 人以上 50 人以下中毒的；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（2）因环境污染需疏散、转移群众 5000 人以上 1 万人以下的；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（3）因环境污染造成直接经济损失 500 万元以上 2000 万元以下的；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（4）因环境污染造成国家重点保护的动植物物种受到破坏的；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（5）因环境污染造成乡镇集中式饮用水水源地取水中断的；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4、一般（</w:t>
      </w:r>
      <w:r>
        <w:rPr>
          <w:rFonts w:ascii="Times New Roman" w:hAnsi="Times New Roman" w:eastAsia="宋体" w:cs="Times New Roman"/>
          <w:color w:val="000000" w:themeColor="text1"/>
          <w:sz w:val="24"/>
          <w:szCs w:val="24"/>
        </w:rPr>
        <w:t>Ⅳ</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除特别重大突发环境事件、重大突发环境事件、较大突发环境事件以外的突发环境事件。</w:t>
      </w:r>
    </w:p>
    <w:p>
      <w:pPr>
        <w:keepNext/>
        <w:keepLines/>
        <w:spacing w:before="120" w:beforeLines="50" w:after="120" w:afterLines="50" w:line="360" w:lineRule="auto"/>
        <w:ind w:firstLine="482"/>
        <w:jc w:val="left"/>
        <w:outlineLvl w:val="2"/>
        <w:rPr>
          <w:rFonts w:ascii="Times New Roman" w:hAnsi="Times New Roman" w:cs="Times New Roman"/>
          <w:b/>
          <w:bCs/>
          <w:color w:val="000000" w:themeColor="text1"/>
          <w:sz w:val="24"/>
          <w:szCs w:val="24"/>
        </w:rPr>
      </w:pPr>
      <w:bookmarkStart w:id="104" w:name="_Toc2221_WPSOffice_Level3"/>
      <w:bookmarkStart w:id="105" w:name="_Toc28459_WPSOffice_Level3"/>
      <w:bookmarkStart w:id="106" w:name="_Toc20084"/>
      <w:bookmarkStart w:id="107" w:name="_Toc14468_WPSOffice_Level3"/>
      <w:bookmarkStart w:id="108" w:name="_Toc21536_WPSOffice_Level3"/>
      <w:bookmarkStart w:id="109" w:name="_Toc12984_WPSOffice_Level3"/>
      <w:bookmarkStart w:id="110" w:name="_Toc532817008"/>
      <w:bookmarkStart w:id="111" w:name="_Toc12592"/>
      <w:r>
        <w:rPr>
          <w:rFonts w:ascii="Times New Roman" w:hAnsi="Times New Roman" w:cs="Times New Roman"/>
          <w:b/>
          <w:bCs/>
          <w:color w:val="000000" w:themeColor="text1"/>
          <w:sz w:val="24"/>
          <w:szCs w:val="24"/>
        </w:rPr>
        <w:t>1.5.2 企业应急预案分级</w:t>
      </w:r>
      <w:bookmarkEnd w:id="104"/>
      <w:bookmarkEnd w:id="105"/>
      <w:bookmarkEnd w:id="106"/>
      <w:bookmarkEnd w:id="107"/>
      <w:bookmarkEnd w:id="108"/>
      <w:bookmarkEnd w:id="109"/>
      <w:bookmarkEnd w:id="110"/>
      <w:bookmarkEnd w:id="111"/>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按照突发环境事件的可控范围和严重程度，加油站突发环境事件内部分级分为社会级和企业级二个等级。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（1）社会级（</w:t>
      </w:r>
      <w:r>
        <w:rPr>
          <w:rFonts w:ascii="Times New Roman" w:hAnsi="Times New Roman" w:eastAsia="宋体" w:cs="Times New Roman"/>
          <w:color w:val="000000" w:themeColor="text1"/>
          <w:sz w:val="24"/>
          <w:szCs w:val="24"/>
        </w:rPr>
        <w:t>Ⅰ</w:t>
      </w:r>
      <w:r>
        <w:rPr>
          <w:rFonts w:ascii="Times New Roman" w:hAnsi="Times New Roman" w:cs="Times New Roman"/>
          <w:color w:val="000000" w:themeColor="text1"/>
          <w:sz w:val="24"/>
          <w:szCs w:val="24"/>
        </w:rPr>
        <w:t>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指因突发环境事故或其他重大灾害，污染物造成受纳水体污染和大气重大污染，通过企业自身力量难以控制污染的扩散，必须向社会力量求援的事件。突发事故严重造成环境污染使当地正常的经济、社会活动受到严重影响；因环境污染造成重要水环境、环境空气的污染事故。如，加油站汽油大量泄漏，并泄漏至站区外，导致周边地表水、地下水及土壤被污染，站区发生大面积火灾，企业不能控制火灾发展趋势，对周边环境存在较大威胁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此外，地震、泥石流、山体滑坡等自然灾害危及站区外环境，可能污染土壤及浅层地下水事件。事件发现者必须立即逐级上报至企业应急救援指挥部，由应急救援指挥部下发启动本预案的命令；同时，向当地人民政府、消防、安监、环保部门报告，需寻求外部救援力量。</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（2）企业级（</w:t>
      </w:r>
      <w:r>
        <w:rPr>
          <w:rFonts w:ascii="Times New Roman" w:hAnsi="Times New Roman" w:eastAsia="宋体" w:cs="Times New Roman"/>
          <w:color w:val="000000" w:themeColor="text1"/>
          <w:sz w:val="24"/>
          <w:szCs w:val="24"/>
        </w:rPr>
        <w:t>Ⅱ</w:t>
      </w:r>
      <w:r>
        <w:rPr>
          <w:rFonts w:ascii="Times New Roman" w:hAnsi="Times New Roman" w:cs="Times New Roman"/>
          <w:color w:val="000000" w:themeColor="text1"/>
          <w:sz w:val="24"/>
          <w:szCs w:val="24"/>
        </w:rPr>
        <w:t>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指因突发环境事故或其他较大灾害，突发事件对外界没有造成大的污染，通过公司自身力量可以控制污染的扩散，削除事件对站内、站外的污染和影响的事件。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比如，加油站汽油少量泄漏，通过采取应急措施后可控制在站区内；站区内发生局部火灾，采用站区现有的灭火设备进行灭火后，可以控制火势发展或灭火完成。</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此外，加油设施可能存在跑、冒、漏现象。企业应急救援指挥部立即安排各应急处置小组积极做好应急救援工作，防止此类突发环境事件向站外扩散。</w:t>
      </w:r>
    </w:p>
    <w:p>
      <w:pPr>
        <w:spacing w:line="360" w:lineRule="auto"/>
        <w:ind w:firstLine="482" w:firstLineChars="200"/>
        <w:outlineLvl w:val="2"/>
        <w:rPr>
          <w:rFonts w:ascii="Times New Roman" w:hAnsi="Times New Roman" w:cs="Times New Roman"/>
          <w:b/>
          <w:bCs/>
          <w:color w:val="000000" w:themeColor="text1"/>
          <w:sz w:val="24"/>
          <w:szCs w:val="24"/>
        </w:rPr>
      </w:pPr>
      <w:bookmarkStart w:id="112" w:name="_Toc21536_WPSOffice_Level2"/>
      <w:bookmarkStart w:id="113" w:name="_Toc12984_WPSOffice_Level2"/>
      <w:bookmarkStart w:id="114" w:name="_Toc14468_WPSOffice_Level2"/>
      <w:bookmarkStart w:id="115" w:name="_Toc532817009"/>
      <w:bookmarkStart w:id="116" w:name="_Toc2221_WPSOffice_Level2"/>
      <w:bookmarkStart w:id="117" w:name="_Toc22477"/>
      <w:bookmarkStart w:id="118" w:name="_Toc28459_WPSOffice_Level2"/>
      <w:bookmarkStart w:id="119" w:name="_Toc18790"/>
      <w:r>
        <w:rPr>
          <w:rFonts w:ascii="Times New Roman" w:hAnsi="Times New Roman" w:cs="Times New Roman"/>
          <w:b/>
          <w:bCs/>
          <w:color w:val="000000" w:themeColor="text1"/>
          <w:sz w:val="24"/>
          <w:szCs w:val="24"/>
        </w:rPr>
        <w:t>1.6工作原则</w:t>
      </w:r>
      <w:bookmarkEnd w:id="112"/>
      <w:bookmarkEnd w:id="113"/>
      <w:bookmarkEnd w:id="114"/>
      <w:bookmarkEnd w:id="115"/>
      <w:bookmarkEnd w:id="116"/>
      <w:bookmarkEnd w:id="117"/>
      <w:bookmarkEnd w:id="118"/>
      <w:bookmarkEnd w:id="119"/>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突发环境事件应对工作坚持统一领导、分级负责，属地为主、协调联动，</w:t>
      </w:r>
      <w:r>
        <w:fldChar w:fldCharType="begin"/>
      </w:r>
      <w:r>
        <w:instrText xml:space="preserve"> HYPERLINK "http://baike.sogou.com/lemma/ShowInnerLink.htm?lemmaId=8042370&amp;ss_c=ssc.citiao.link" \t "http://baike.sogou.com/_blank" </w:instrText>
      </w:r>
      <w:r>
        <w:fldChar w:fldCharType="separate"/>
      </w:r>
      <w:r>
        <w:rPr>
          <w:rFonts w:ascii="Times New Roman" w:hAnsi="Times New Roman" w:cs="Times New Roman"/>
          <w:color w:val="000000" w:themeColor="text1"/>
          <w:sz w:val="24"/>
          <w:szCs w:val="24"/>
        </w:rPr>
        <w:t>快速反应</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、科学处置，资源共享、保障有力的原则。突发环境事件发生后，公司有关部门立即启动按照职责分工和相关预案开展应急处置工作。</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在建立突发环境事件应急系统及实施其响应程序时，应本着实事求是、切实可行的方针，贯彻如下原则：</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坚持救人第一，环境优先。把保障全体职工的生命安全和身体健康、最大程度地预防和减少突发环境事件造成的人员伤亡、环境污染作为首要任务。加强对环境事件危险源的监测、监控并实施监督管理，建立环境事件风险防范体系，积极预防、及时控制、消除隐患，提高突发性环境污染事件防范和处理能力。</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坚持统一领导，分类管理，分级响应。接受政府环保部门的指导，使突发性环境污染事件应急系统成为区域系统的有机组成部分。加强公司部门之间协同与合作，提高快速反应能力。针对不同污染源造成的环境污染，实行分类管理，充分发挥部门专业优势，使采取的措施与突发环境污染事件造成的危害范围与社会影响相适应。</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依靠科学，依法规范。采用先进技术，听取各方面的意见和建议，实行科学民主决策。采用先进的救援装备和技术，增强应急救援能力。依法规范应急救援工作，确保应急预案的科学性、权威性和可操作性。</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坚持平战结合，专兼结合，充分利用现有资源。积极做好应对突发性环境污染事件的思想准备、物资准备、技术准备、工作准备，加强培训演练，应急系统做到常备不懈，为本公司和其他公司及社会提供服务，在应急时快速有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（5）预防为主，减少危害，常备不懈。坚持预防为主的方针，宣传普及环境应急知识，不断提高环境安全意识。建立和加强突发环境事件预警机制，切实做到及时发现、及时报告、快速反应、有效控制。</w:t>
      </w:r>
    </w:p>
    <w:p>
      <w:pPr>
        <w:widowControl/>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120" w:name="_Toc2634_WPSOffice_Level1"/>
      <w:bookmarkStart w:id="121" w:name="_Toc10739"/>
      <w:bookmarkStart w:id="122" w:name="_Toc6001_WPSOffice_Level1"/>
      <w:bookmarkStart w:id="123" w:name="_Toc982_WPSOffice_Level1"/>
      <w:bookmarkStart w:id="124" w:name="_Toc17962_WPSOffice_Level1"/>
      <w:bookmarkStart w:id="125" w:name="_Toc532817010"/>
      <w:bookmarkStart w:id="126" w:name="_Toc12984_WPSOffice_Level1"/>
      <w:bookmarkStart w:id="127" w:name="_Toc32327"/>
      <w:r>
        <w:rPr>
          <w:rFonts w:ascii="Times New Roman" w:hAnsi="Times New Roman" w:cs="Times New Roman"/>
          <w:b/>
          <w:bCs/>
          <w:color w:val="000000" w:themeColor="text1"/>
          <w:kern w:val="44"/>
          <w:sz w:val="30"/>
          <w:szCs w:val="30"/>
        </w:rPr>
        <w:t>2.加油站基本情况</w:t>
      </w:r>
      <w:bookmarkEnd w:id="120"/>
      <w:bookmarkEnd w:id="121"/>
      <w:bookmarkEnd w:id="122"/>
      <w:bookmarkEnd w:id="123"/>
      <w:bookmarkEnd w:id="124"/>
      <w:bookmarkEnd w:id="125"/>
      <w:bookmarkEnd w:id="126"/>
      <w:bookmarkEnd w:id="127"/>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128" w:name="_Toc26420"/>
      <w:bookmarkStart w:id="129" w:name="_Toc21755_WPSOffice_Level2"/>
      <w:bookmarkStart w:id="130" w:name="_Toc4443_WPSOffice_Level2"/>
      <w:bookmarkStart w:id="131" w:name="_Toc9181"/>
      <w:bookmarkStart w:id="132" w:name="_Toc18784_WPSOffice_Level2"/>
      <w:bookmarkStart w:id="133" w:name="_Toc30056_WPSOffice_Level2"/>
      <w:bookmarkStart w:id="134" w:name="_Toc7948_WPSOffice_Level2"/>
      <w:bookmarkStart w:id="135" w:name="_Toc532817011"/>
      <w:bookmarkStart w:id="136" w:name="_Toc18442"/>
      <w:r>
        <w:rPr>
          <w:rFonts w:ascii="Times New Roman" w:hAnsi="Times New Roman" w:cs="Times New Roman"/>
          <w:b/>
          <w:bCs/>
          <w:color w:val="000000" w:themeColor="text1"/>
          <w:kern w:val="44"/>
          <w:sz w:val="24"/>
          <w:szCs w:val="24"/>
        </w:rPr>
        <w:t>2.1</w:t>
      </w:r>
      <w:bookmarkEnd w:id="128"/>
      <w:r>
        <w:rPr>
          <w:rFonts w:ascii="Times New Roman" w:hAnsi="Times New Roman" w:cs="Times New Roman"/>
          <w:b/>
          <w:bCs/>
          <w:color w:val="000000" w:themeColor="text1"/>
          <w:kern w:val="44"/>
          <w:sz w:val="24"/>
          <w:szCs w:val="24"/>
        </w:rPr>
        <w:t>加油站概况</w:t>
      </w:r>
      <w:bookmarkEnd w:id="129"/>
      <w:bookmarkEnd w:id="130"/>
      <w:bookmarkEnd w:id="131"/>
      <w:bookmarkEnd w:id="132"/>
      <w:bookmarkEnd w:id="133"/>
      <w:bookmarkEnd w:id="134"/>
      <w:bookmarkEnd w:id="135"/>
      <w:bookmarkEnd w:id="136"/>
    </w:p>
    <w:p>
      <w:pPr>
        <w:autoSpaceDN w:val="0"/>
        <w:spacing w:line="500" w:lineRule="exact"/>
        <w:ind w:firstLine="480" w:firstLineChars="200"/>
        <w:rPr>
          <w:rFonts w:ascii="Times New Roman" w:hAnsi="Times New Roman" w:eastAsia="宋体" w:cs="Times New Roman"/>
          <w:color w:val="000000" w:themeColor="text1"/>
          <w:sz w:val="24"/>
          <w:szCs w:val="24"/>
        </w:rPr>
      </w:pPr>
      <w:r>
        <w:rPr>
          <w:rFonts w:ascii="Times New Roman" w:hAnsi="Times New Roman" w:eastAsia="宋体" w:cs="Times New Roman"/>
          <w:color w:val="000000" w:themeColor="text1"/>
          <w:sz w:val="24"/>
          <w:szCs w:val="24"/>
        </w:rPr>
        <w:t>南昌中油瑶湖石油销售有限公司瑶湖加油站位于江西省南昌市，</w:t>
      </w:r>
      <w:r>
        <w:rPr>
          <w:rFonts w:ascii="Times New Roman" w:hAnsi="Times New Roman" w:cs="Times New Roman"/>
          <w:color w:val="000000" w:themeColor="text1"/>
          <w:sz w:val="24"/>
          <w:szCs w:val="24"/>
        </w:rPr>
        <w:t>目前项目已获得由南昌市市场和质量监督管理局下发的“营业执照”（统一社会信用</w:t>
      </w:r>
      <w:r>
        <w:rPr>
          <w:rFonts w:ascii="Times New Roman" w:hAnsi="Times New Roman" w:cs="Times New Roman"/>
          <w:sz w:val="24"/>
          <w:szCs w:val="24"/>
        </w:rPr>
        <w:t>代码为91360100769779965B），江西省商务厅下发的“成品油零售经营批准证书”（油零售证书第赣</w:t>
      </w:r>
      <w:r>
        <w:rPr>
          <w:rFonts w:hint="eastAsia" w:ascii="Times New Roman" w:hAnsi="Times New Roman" w:cs="Times New Roman"/>
          <w:sz w:val="24"/>
          <w:szCs w:val="24"/>
        </w:rPr>
        <w:t>A11-42114</w:t>
      </w:r>
      <w:r>
        <w:rPr>
          <w:rFonts w:ascii="Times New Roman" w:hAnsi="Times New Roman" w:cs="Times New Roman"/>
          <w:sz w:val="24"/>
          <w:szCs w:val="24"/>
        </w:rPr>
        <w:t>号），南昌市安全生产监督管理局下发的“危险化学品经营许可证”（赣洪高新监管经（甲）字[2018]000005号）。</w:t>
      </w:r>
      <w:r>
        <w:rPr>
          <w:rFonts w:ascii="Times New Roman" w:hAnsi="Times New Roman" w:eastAsia="宋体" w:cs="Times New Roman"/>
          <w:color w:val="000000" w:themeColor="text1"/>
          <w:sz w:val="24"/>
          <w:szCs w:val="24"/>
        </w:rPr>
        <w:t>加油站总占地面积约为6533.1</w:t>
      </w:r>
      <w:r>
        <w:rPr>
          <w:rFonts w:ascii="Times New Roman" w:hAnsi="Times New Roman" w:eastAsia="宋体" w:cs="Times New Roman"/>
          <w:color w:val="000000" w:themeColor="text1"/>
          <w:position w:val="-4"/>
          <w:sz w:val="24"/>
          <w:szCs w:val="24"/>
        </w:rPr>
        <w:object>
          <v:shape id="_x0000_i1025" o:spt="75" type="#_x0000_t75" style="height:15.25pt;width:17.3pt;" o:ole="t" filled="f" o:preferrelative="t" stroked="f" coordsize="21600,21600">
            <v:path/>
            <v:fill on="f" focussize="0,0"/>
            <v:stroke on="f" joinstyle="miter"/>
            <v:imagedata r:id="rId10" o:title=""/>
            <o:lock v:ext="edit" aspectratio="t"/>
            <w10:wrap type="none"/>
            <w10:anchorlock/>
          </v:shape>
          <o:OLEObject Type="Embed" ProgID="Equation.3" ShapeID="_x0000_i1025" DrawAspect="Content" ObjectID="_1468075725" r:id="rId9">
            <o:LockedField>false</o:LockedField>
          </o:OLEObject>
        </w:object>
      </w:r>
      <w:r>
        <w:rPr>
          <w:rFonts w:ascii="Times New Roman" w:hAnsi="Times New Roman" w:eastAsia="宋体" w:cs="Times New Roman"/>
          <w:color w:val="000000" w:themeColor="text1"/>
          <w:sz w:val="24"/>
          <w:szCs w:val="24"/>
        </w:rPr>
        <w:t>，建筑面积约为1431</w:t>
      </w:r>
      <w:r>
        <w:rPr>
          <w:rFonts w:ascii="Times New Roman" w:hAnsi="Times New Roman" w:eastAsia="宋体" w:cs="Times New Roman"/>
          <w:color w:val="000000" w:themeColor="text1"/>
          <w:position w:val="-4"/>
          <w:sz w:val="24"/>
          <w:szCs w:val="24"/>
        </w:rPr>
        <w:object>
          <v:shape id="_x0000_i1026" o:spt="75" type="#_x0000_t75" style="height:15.25pt;width:17.3pt;" o:ole="t" filled="f" o:preferrelative="t" stroked="f" coordsize="21600,21600">
            <v:path/>
            <v:fill on="f" focussize="0,0"/>
            <v:stroke on="f" joinstyle="miter"/>
            <v:imagedata r:id="rId12" o:title=""/>
            <o:lock v:ext="edit" aspectratio="t"/>
            <w10:wrap type="none"/>
            <w10:anchorlock/>
          </v:shape>
          <o:OLEObject Type="Embed" ProgID="Equation.3" ShapeID="_x0000_i1026" DrawAspect="Content" ObjectID="_1468075726" r:id="rId11">
            <o:LockedField>false</o:LockedField>
          </o:OLEObject>
        </w:object>
      </w:r>
      <w:r>
        <w:rPr>
          <w:rFonts w:ascii="Times New Roman" w:hAnsi="Times New Roman" w:eastAsia="宋体" w:cs="Times New Roman"/>
          <w:color w:val="000000" w:themeColor="text1"/>
          <w:sz w:val="24"/>
          <w:szCs w:val="24"/>
        </w:rPr>
        <w:t>。项目主要分为三个区，分别为①储油罐区②营业区③加油区。储油罐区包括储罐区、卸油区；营业区包括站房、便利店、卫生间、洗车区等；加油区即为加油机所在区。项目储罐区建设有5个地埋卧式油罐，包括0#柴油油罐1台、92#汽油油罐2台、97#汽油油罐1台、97#汽油油罐1台，总容积折合汽油罐容积为135m³，为二级加油站。配设8台税控双枪双泵加油机，1台税控四枪双泵加油机。项目区设加油进出口2个。本项目营业范围包括：柴油、汽油。加油站有职工13人，站内设卫生间、宿舍，员工餐饮外购或自带；项目经营大车加水，不设置汽修、洗车等内容。加油站年工作365d，每天四班，每班6小时，每班3-4人。</w:t>
      </w:r>
    </w:p>
    <w:p>
      <w:pPr>
        <w:snapToGrid w:val="0"/>
        <w:spacing w:line="500" w:lineRule="exact"/>
        <w:ind w:left="562" w:firstLine="482"/>
        <w:jc w:val="left"/>
        <w:rPr>
          <w:rFonts w:ascii="Times New Roman" w:hAnsi="Times New Roman" w:eastAsia="宋体" w:cs="Times New Roman"/>
          <w:color w:val="000000" w:themeColor="text1"/>
          <w:sz w:val="24"/>
          <w:szCs w:val="24"/>
        </w:rPr>
      </w:pPr>
      <w:r>
        <w:rPr>
          <w:rFonts w:ascii="Times New Roman" w:hAnsi="Times New Roman" w:eastAsia="宋体" w:cs="Times New Roman"/>
          <w:b/>
          <w:color w:val="000000" w:themeColor="text1"/>
          <w:sz w:val="24"/>
          <w:szCs w:val="24"/>
        </w:rPr>
        <w:t>加油站项目环保手续办理情况：</w:t>
      </w:r>
    </w:p>
    <w:p>
      <w:pPr>
        <w:autoSpaceDN w:val="0"/>
        <w:spacing w:line="500" w:lineRule="exact"/>
        <w:ind w:firstLine="720" w:firstLineChars="300"/>
        <w:jc w:val="left"/>
        <w:rPr>
          <w:rFonts w:ascii="Times New Roman" w:hAnsi="Times New Roman" w:cs="Times New Roman"/>
          <w:kern w:val="0"/>
          <w:sz w:val="24"/>
          <w:szCs w:val="20"/>
        </w:rPr>
      </w:pPr>
      <w:r>
        <w:rPr>
          <w:rFonts w:ascii="Times New Roman" w:hAnsi="Times New Roman" w:cs="Times New Roman"/>
          <w:kern w:val="0"/>
          <w:sz w:val="24"/>
          <w:szCs w:val="20"/>
        </w:rPr>
        <w:t>因本项目已经办理环评审批手续，根据国家环保法律法规、《国务院办公厅关于加强环境监管执法的通知》(国办发[2014]56 号)、《江西省环境保护委员会关于印发进一步加强清理整顿违法违规建设项目工作的通知》（赣环委字[2016]14 号）和《关于印发违法违规项目清理进一步推进工作方案的通知》 (洪环发[2016]87 号)，本项目以编制环境现状评价报告以办理“完善备案”手续。备案批复详见附件十四。</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137" w:name="_Toc11689_WPSOffice_Level2"/>
      <w:bookmarkStart w:id="138" w:name="_Toc532817012"/>
      <w:bookmarkStart w:id="139" w:name="_Toc9242_WPSOffice_Level2"/>
      <w:bookmarkStart w:id="140" w:name="_Toc1226_WPSOffice_Level2"/>
      <w:bookmarkStart w:id="141" w:name="_Toc29593_WPSOffice_Level2"/>
      <w:bookmarkStart w:id="142" w:name="_Toc23231_WPSOffice_Level2"/>
      <w:bookmarkStart w:id="143" w:name="_Toc29761"/>
      <w:bookmarkStart w:id="144" w:name="_Toc20160"/>
      <w:r>
        <w:rPr>
          <w:rFonts w:ascii="Times New Roman" w:hAnsi="Times New Roman" w:cs="Times New Roman"/>
          <w:b/>
          <w:bCs/>
          <w:color w:val="000000" w:themeColor="text1"/>
          <w:kern w:val="44"/>
          <w:sz w:val="24"/>
          <w:szCs w:val="24"/>
        </w:rPr>
        <w:t>2.2自然环境概况</w:t>
      </w:r>
      <w:bookmarkEnd w:id="137"/>
      <w:bookmarkEnd w:id="138"/>
      <w:bookmarkEnd w:id="139"/>
      <w:bookmarkEnd w:id="140"/>
      <w:bookmarkEnd w:id="141"/>
      <w:bookmarkEnd w:id="142"/>
      <w:bookmarkEnd w:id="143"/>
      <w:bookmarkEnd w:id="144"/>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145" w:name="_Toc23328"/>
      <w:bookmarkStart w:id="146" w:name="_Toc4443_WPSOffice_Level3"/>
      <w:bookmarkStart w:id="147" w:name="_Toc18784_WPSOffice_Level3"/>
      <w:bookmarkStart w:id="148" w:name="_Toc21755_WPSOffice_Level3"/>
      <w:bookmarkStart w:id="149" w:name="_Toc30056_WPSOffice_Level3"/>
      <w:bookmarkStart w:id="150" w:name="_Toc7948_WPSOffice_Level3"/>
      <w:bookmarkStart w:id="151" w:name="_Toc532817013"/>
      <w:bookmarkStart w:id="152" w:name="_Toc30478"/>
      <w:r>
        <w:rPr>
          <w:rFonts w:ascii="Times New Roman" w:hAnsi="Times New Roman" w:cs="Times New Roman"/>
          <w:b/>
          <w:bCs/>
          <w:color w:val="000000" w:themeColor="text1"/>
          <w:kern w:val="44"/>
          <w:sz w:val="24"/>
          <w:szCs w:val="24"/>
        </w:rPr>
        <w:t>2.2.1地理位置</w:t>
      </w:r>
      <w:bookmarkEnd w:id="145"/>
      <w:bookmarkEnd w:id="146"/>
      <w:bookmarkEnd w:id="147"/>
      <w:bookmarkEnd w:id="148"/>
      <w:bookmarkEnd w:id="149"/>
      <w:bookmarkEnd w:id="150"/>
      <w:bookmarkEnd w:id="151"/>
      <w:bookmarkEnd w:id="152"/>
    </w:p>
    <w:p>
      <w:pPr>
        <w:widowControl/>
        <w:spacing w:line="360" w:lineRule="auto"/>
        <w:ind w:firstLine="360" w:firstLineChars="150"/>
        <w:rPr>
          <w:rFonts w:ascii="Times New Roman" w:hAnsi="Times New Roman" w:eastAsia="宋体" w:cs="Times New Roman"/>
          <w:sz w:val="24"/>
          <w:szCs w:val="20"/>
        </w:rPr>
      </w:pPr>
      <w:r>
        <w:rPr>
          <w:rFonts w:ascii="Times New Roman" w:hAnsi="Times New Roman" w:cs="Times New Roman"/>
          <w:color w:val="000000" w:themeColor="text1"/>
          <w:sz w:val="24"/>
          <w:szCs w:val="24"/>
        </w:rPr>
        <w:t>项目位于南昌高新区，离市中心约8Km。南昌地处江西省中偏北部，长江中下游，赣江、抚河下游，鄱阳湖西南岸，位于东经115°27′-116°35′，北纬28°09′-29°11′之间，东部与上饶市毗邻，南和抚州市相连，西同宜春市交界，北与九江市接壤。高新区位于南昌市城-东板块，区域面积231平方公里，下辖昌东、麻丘两个镇和艾溪湖管理处。项目地理位置详见图2-1。</w:t>
      </w:r>
    </w:p>
    <w:p>
      <w:pPr>
        <w:ind w:firstLine="480"/>
        <w:contextualSpacing/>
        <w:rPr>
          <w:rFonts w:ascii="Times New Roman" w:hAnsi="Times New Roman" w:cs="Times New Roman"/>
          <w:b/>
          <w:bCs/>
          <w:color w:val="000000" w:themeColor="text1"/>
          <w:sz w:val="24"/>
          <w:szCs w:val="24"/>
        </w:rPr>
      </w:pPr>
      <w:r>
        <w:rPr>
          <w:rFonts w:ascii="Times New Roman" w:hAnsi="Times New Roman" w:cs="Times New Roman"/>
        </w:rPr>
        <w:drawing>
          <wp:inline distT="0" distB="0" distL="0" distR="0">
            <wp:extent cx="5833110" cy="4940300"/>
            <wp:effectExtent l="0" t="0" r="3810"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5833110" cy="4940300"/>
                    </a:xfrm>
                    <a:prstGeom prst="rect">
                      <a:avLst/>
                    </a:prstGeom>
                  </pic:spPr>
                </pic:pic>
              </a:graphicData>
            </a:graphic>
          </wp:inline>
        </w:drawing>
      </w:r>
    </w:p>
    <w:p>
      <w:pPr>
        <w:overflowPunct w:val="0"/>
        <w:topLinePunct/>
        <w:spacing w:line="360" w:lineRule="auto"/>
        <w:ind w:firstLine="498"/>
        <w:jc w:val="center"/>
        <w:rPr>
          <w:rFonts w:ascii="Times New Roman" w:hAnsi="Times New Roman" w:cs="Times New Roman"/>
          <w:b/>
          <w:bCs/>
          <w:color w:val="000000" w:themeColor="text1"/>
          <w:spacing w:val="4"/>
          <w:sz w:val="24"/>
          <w:szCs w:val="24"/>
        </w:rPr>
      </w:pPr>
      <w:bookmarkStart w:id="153" w:name="_Toc11689_WPSOffice_Level3"/>
      <w:bookmarkStart w:id="154" w:name="_Toc1226_WPSOffice_Level3"/>
      <w:bookmarkStart w:id="155" w:name="_Toc29593_WPSOffice_Level3"/>
      <w:bookmarkStart w:id="156" w:name="_Toc9242_WPSOffice_Level3"/>
      <w:bookmarkStart w:id="157" w:name="_Toc23231_WPSOffice_Level3"/>
      <w:r>
        <w:rPr>
          <w:rFonts w:ascii="Times New Roman" w:hAnsi="Times New Roman" w:cs="Times New Roman"/>
          <w:b/>
          <w:bCs/>
          <w:color w:val="000000" w:themeColor="text1"/>
          <w:spacing w:val="4"/>
          <w:sz w:val="24"/>
          <w:szCs w:val="24"/>
        </w:rPr>
        <w:t>图2-1 地理位置图</w:t>
      </w:r>
      <w:bookmarkEnd w:id="153"/>
      <w:bookmarkEnd w:id="154"/>
      <w:bookmarkEnd w:id="155"/>
      <w:bookmarkEnd w:id="156"/>
      <w:bookmarkEnd w:id="157"/>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158" w:name="_Toc11889_WPSOffice_Level3"/>
      <w:bookmarkStart w:id="159" w:name="_Toc31580_WPSOffice_Level3"/>
      <w:bookmarkStart w:id="160" w:name="_Toc5341_WPSOffice_Level3"/>
      <w:bookmarkStart w:id="161" w:name="_Toc18959_WPSOffice_Level3"/>
      <w:bookmarkStart w:id="162" w:name="_Toc10003"/>
      <w:bookmarkStart w:id="163" w:name="_Toc26587_WPSOffice_Level3"/>
      <w:bookmarkStart w:id="164" w:name="_Toc532817014"/>
      <w:bookmarkStart w:id="165" w:name="_Toc20351"/>
      <w:r>
        <w:rPr>
          <w:rFonts w:ascii="Times New Roman" w:hAnsi="Times New Roman" w:cs="Times New Roman"/>
          <w:b/>
          <w:bCs/>
          <w:color w:val="000000" w:themeColor="text1"/>
          <w:kern w:val="44"/>
          <w:sz w:val="24"/>
          <w:szCs w:val="24"/>
        </w:rPr>
        <w:t>2.2.2自然条件</w:t>
      </w:r>
      <w:bookmarkEnd w:id="158"/>
      <w:bookmarkEnd w:id="159"/>
      <w:bookmarkEnd w:id="160"/>
      <w:bookmarkEnd w:id="161"/>
      <w:bookmarkEnd w:id="162"/>
      <w:bookmarkEnd w:id="163"/>
      <w:bookmarkEnd w:id="164"/>
      <w:bookmarkEnd w:id="165"/>
    </w:p>
    <w:p>
      <w:pPr>
        <w:overflowPunct w:val="0"/>
        <w:topLinePunct/>
        <w:spacing w:line="500" w:lineRule="exact"/>
        <w:ind w:left="420" w:leftChars="200" w:firstLine="498"/>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rPr>
        <w:t>（1）气象条件</w:t>
      </w:r>
    </w:p>
    <w:p>
      <w:pPr>
        <w:overflowPunct w:val="0"/>
        <w:topLinePunct/>
        <w:spacing w:line="500" w:lineRule="exact"/>
        <w:ind w:firstLine="480" w:firstLineChars="200"/>
        <w:rPr>
          <w:rFonts w:ascii="Times New Roman" w:hAnsi="Times New Roman" w:eastAsia="宋体" w:cs="Times New Roman"/>
          <w:sz w:val="24"/>
          <w:szCs w:val="20"/>
        </w:rPr>
      </w:pPr>
      <w:bookmarkStart w:id="166" w:name="_Toc14856"/>
      <w:bookmarkStart w:id="167" w:name="_Toc6444"/>
      <w:bookmarkStart w:id="168" w:name="_Toc30496"/>
      <w:r>
        <w:rPr>
          <w:rFonts w:ascii="Times New Roman" w:hAnsi="Times New Roman" w:eastAsia="宋体" w:cs="Times New Roman"/>
          <w:color w:val="000000" w:themeColor="text1"/>
          <w:sz w:val="24"/>
          <w:szCs w:val="20"/>
        </w:rPr>
        <w:t>南昌市属亚热带季风温润</w:t>
      </w:r>
      <w:r>
        <w:rPr>
          <w:rFonts w:ascii="Times New Roman" w:hAnsi="Times New Roman" w:eastAsia="宋体" w:cs="Times New Roman"/>
          <w:sz w:val="24"/>
          <w:szCs w:val="20"/>
        </w:rPr>
        <w:t>气候，冬寒、春暖、夏热、秋凉，四季分明。</w:t>
      </w:r>
      <w:bookmarkEnd w:id="166"/>
      <w:bookmarkEnd w:id="167"/>
      <w:bookmarkEnd w:id="168"/>
      <w:r>
        <w:rPr>
          <w:rFonts w:ascii="Times New Roman" w:hAnsi="Times New Roman" w:eastAsia="宋体" w:cs="Times New Roman"/>
          <w:sz w:val="24"/>
          <w:szCs w:val="20"/>
        </w:rPr>
        <w:t>春季春雨连绵，历史上最长连续降水日数为19天，年降水量为1645mm，雨量集中在4-6月份，多年平均降雨量1587mm，年最大降雨量2356mm。年平均气温17.5℃，最冷月份一月平均气温1.9℃。最热月份七月份，平均气温为34.5℃。全年日照时数为1903.9小时。项目所在地全年主导风为NE-ENE-NNE（东北-东北东-北北东）风，项目所在地年平均风速为2.01m/s。夏季平均风速最大，为2.08m/s，冬季平均风速最小为1.89m/s。</w:t>
      </w:r>
    </w:p>
    <w:p>
      <w:pPr>
        <w:overflowPunct w:val="0"/>
        <w:topLinePunct/>
        <w:spacing w:line="500" w:lineRule="exact"/>
        <w:ind w:left="420" w:leftChars="200" w:firstLine="498"/>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rPr>
        <w:t>（2）地质条件</w:t>
      </w:r>
    </w:p>
    <w:p>
      <w:pPr>
        <w:pStyle w:val="2"/>
        <w:ind w:firstLine="480"/>
        <w:rPr>
          <w:rFonts w:ascii="Times New Roman" w:hAnsi="Times New Roman" w:eastAsia="宋体"/>
          <w:spacing w:val="0"/>
          <w:szCs w:val="20"/>
        </w:rPr>
      </w:pPr>
      <w:r>
        <w:rPr>
          <w:rFonts w:ascii="Times New Roman" w:hAnsi="Times New Roman" w:eastAsia="宋体"/>
          <w:spacing w:val="0"/>
          <w:szCs w:val="20"/>
        </w:rPr>
        <w:t>高新区所在范围主要为第四系全新统和中更新统的地层，以及元古界板溪群第三系新余群雪峰晚期再生岩浆岩。</w:t>
      </w:r>
    </w:p>
    <w:p>
      <w:pPr>
        <w:pStyle w:val="2"/>
        <w:ind w:firstLine="480"/>
        <w:rPr>
          <w:rFonts w:ascii="Times New Roman" w:hAnsi="Times New Roman" w:eastAsia="宋体"/>
          <w:spacing w:val="0"/>
          <w:szCs w:val="20"/>
        </w:rPr>
      </w:pPr>
      <w:r>
        <w:rPr>
          <w:rFonts w:ascii="Times New Roman" w:hAnsi="Times New Roman" w:eastAsia="宋体"/>
          <w:spacing w:val="0"/>
          <w:szCs w:val="20"/>
        </w:rPr>
        <w:t>第四系全新统冲积层，岩性为灰黄、灰褐色亚粘土，硬塑状，主要分布于沿线河岸地带。第四系中更新统残积层，该层在场区出露两种岩性，一为黄褐色，棕黄色亚粘土，二为网纹红土。黄褐色、棕黄色亚粘土:表部为可一硬塑状，土层结构较紧密，粘结性较强，含少量铁锰质结构，厚度5-14米，该层分布于沿线岗丘及平原大部分地带:网纹红土:红褐色、硬望状、粘性强，野外直感土质坚实致密，透水性较弱，具有网纹结构，厚度5-15米，该层呈条带状分布于网丘中上部。</w:t>
      </w:r>
    </w:p>
    <w:p>
      <w:pPr>
        <w:pStyle w:val="2"/>
        <w:ind w:firstLine="480"/>
        <w:rPr>
          <w:rFonts w:ascii="Times New Roman" w:hAnsi="Times New Roman" w:eastAsia="宋体"/>
          <w:spacing w:val="0"/>
          <w:szCs w:val="20"/>
        </w:rPr>
      </w:pPr>
      <w:r>
        <w:rPr>
          <w:rFonts w:ascii="Times New Roman" w:hAnsi="Times New Roman" w:eastAsia="宋体"/>
          <w:spacing w:val="0"/>
          <w:szCs w:val="20"/>
        </w:rPr>
        <w:t>第三系新余群泥质粉砂岩，紫红色，与灰绿色含钙泥岩不等厚互层，厚度100~180米，该层主要分布于场区南部南昌断陷盆地，与下伏地层呈不整合接触。元古界板溪群，主要为浅灰一灰绿，蓝灰紫红色条带绿泥石绢云母板岸岩夹灰一灰绿色凝灰质粉砂岩和少量凝灰质长石石英砂岩，变余凝灰质细砂岩，部分地区为千枚状绢云母板岩、二云千校岩类千枚状砂岩，该层分布于场区大部分地区，隐伏于第四系之下。</w:t>
      </w:r>
    </w:p>
    <w:p>
      <w:pPr>
        <w:pStyle w:val="2"/>
        <w:ind w:firstLine="480"/>
        <w:rPr>
          <w:rFonts w:ascii="Times New Roman" w:hAnsi="Times New Roman" w:eastAsia="宋体"/>
          <w:spacing w:val="0"/>
          <w:szCs w:val="20"/>
        </w:rPr>
      </w:pPr>
      <w:r>
        <w:rPr>
          <w:rFonts w:ascii="Times New Roman" w:hAnsi="Times New Roman" w:eastAsia="宋体"/>
          <w:spacing w:val="0"/>
          <w:szCs w:val="20"/>
        </w:rPr>
        <w:t>雪峰晚期再生岩浆岩及混合岩，主要由灰绿一深灰色混合岩化片麻岩，蔬斑混合岩化片岩，眼球状混合岩化片麻岩，夹有少量厚度不大的灰色片岩，条痕状混合岩花岗岩变晶或变斑结构。片麻状、眼球状构造，分布于场区西南部乐化-湾里等地，与元古界板溪群呈侵入接触。</w:t>
      </w:r>
    </w:p>
    <w:p>
      <w:pPr>
        <w:overflowPunct w:val="0"/>
        <w:topLinePunct/>
        <w:spacing w:line="500" w:lineRule="exact"/>
        <w:ind w:firstLine="498" w:firstLineChars="200"/>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rPr>
        <w:t>（3）水文</w:t>
      </w:r>
      <w:bookmarkStart w:id="169" w:name="_Toc26487"/>
      <w:bookmarkStart w:id="170" w:name="_Toc11889_WPSOffice_Level2"/>
      <w:bookmarkStart w:id="171" w:name="_Toc532817015"/>
      <w:bookmarkStart w:id="172" w:name="_Toc26587_WPSOffice_Level2"/>
      <w:bookmarkStart w:id="173" w:name="_Toc18959_WPSOffice_Level2"/>
      <w:bookmarkStart w:id="174" w:name="_Toc31580_WPSOffice_Level2"/>
      <w:bookmarkStart w:id="175" w:name="_Toc5341_WPSOffice_Level2"/>
    </w:p>
    <w:p>
      <w:pPr>
        <w:pStyle w:val="2"/>
        <w:ind w:firstLine="480"/>
        <w:rPr>
          <w:rFonts w:ascii="Times New Roman" w:hAnsi="Times New Roman" w:eastAsia="宋体"/>
          <w:spacing w:val="0"/>
          <w:szCs w:val="20"/>
        </w:rPr>
      </w:pPr>
      <w:r>
        <w:rPr>
          <w:rFonts w:ascii="Times New Roman" w:hAnsi="Times New Roman" w:eastAsia="宋体"/>
          <w:spacing w:val="0"/>
          <w:szCs w:val="20"/>
        </w:rPr>
        <w:t>项目沿线水域为赣江南支。</w:t>
      </w:r>
    </w:p>
    <w:p>
      <w:pPr>
        <w:pStyle w:val="2"/>
        <w:ind w:firstLine="480"/>
        <w:rPr>
          <w:rFonts w:ascii="Times New Roman" w:hAnsi="Times New Roman" w:eastAsia="宋体"/>
          <w:spacing w:val="0"/>
          <w:szCs w:val="20"/>
        </w:rPr>
      </w:pPr>
      <w:r>
        <w:rPr>
          <w:rFonts w:ascii="Times New Roman" w:hAnsi="Times New Roman" w:eastAsia="宋体"/>
          <w:spacing w:val="0"/>
          <w:szCs w:val="20"/>
        </w:rPr>
        <w:t>南昌区域内水系发达以，境内分布有多条河流、干渠以及众多的山塘湖泊。本项目主要涉及水体为赣江。</w:t>
      </w:r>
    </w:p>
    <w:p>
      <w:pPr>
        <w:pStyle w:val="2"/>
        <w:ind w:firstLine="480"/>
        <w:rPr>
          <w:rFonts w:ascii="Times New Roman" w:hAnsi="Times New Roman" w:eastAsia="宋体"/>
          <w:spacing w:val="0"/>
          <w:szCs w:val="20"/>
        </w:rPr>
      </w:pPr>
      <w:r>
        <w:rPr>
          <w:rFonts w:ascii="Times New Roman" w:hAnsi="Times New Roman" w:eastAsia="宋体"/>
          <w:spacing w:val="0"/>
          <w:szCs w:val="20"/>
        </w:rPr>
        <w:t>赣江是江西省内第一大河流，是由贡江和章江在赣州市城北汇合而成。赣江由南向北纵穿全境，流经赣州、万安、泰和、吉安、峡江、新干、樟树、丰城等十个县市到达南昌市，干流全长439km。赣江在八一桥以下进入尾闾地区，河道先被裘家洲、扬子洲分成东西两河。东河在蛟溪又分成南支和中支两叉。南支绕过南昌市区向东北流经45km入鄱阳湖。中支流经30km在朱港入鄱阳湖。西河在芦洲头分为主支和北支两汉。北支经下堡闵家再分成官港河和沙又河两汉，在朱港农场入鄱阳湖。主支流经樵舍、昌邑在吴城镇与修河汇台后出诸溪口入鄱阳湖，是通长江的主航道。赣江南昌河段，进入尾闾地区，上自丁家渡，下至赣江铁路桥，全长15km，河段外型顺直微弯，河槽宽窄相间。</w:t>
      </w:r>
    </w:p>
    <w:p>
      <w:pPr>
        <w:pStyle w:val="2"/>
        <w:ind w:firstLine="0" w:firstLineChars="0"/>
        <w:rPr>
          <w:rFonts w:ascii="Times New Roman" w:hAnsi="Times New Roman" w:eastAsia="宋体"/>
          <w:spacing w:val="0"/>
          <w:szCs w:val="20"/>
        </w:rPr>
      </w:pPr>
      <w:r>
        <w:rPr>
          <w:rFonts w:ascii="Times New Roman" w:hAnsi="Times New Roman" w:eastAsia="宋体"/>
          <w:spacing w:val="0"/>
          <w:szCs w:val="20"/>
        </w:rPr>
        <w:t>赣江流域面积广阔，水量丰沛。南昌市外洲站以上面积达80948km2，占江西省面积48.49%，约占鄱阳湖流域面积的一半，占长江流域面积4.48%。据外洲站1950年至1989年的四十年实测水文资料分析结果，年最大径流量1109亿m³（1973年），年最小径流量236.7亿m³（1963年），多年平均径流量66亿m³。赣江最大日均流量为20900m³/s（1962年6月20日），最小日均流量172m³/s（1963年11月30日），40年平均流量为2110m³/s。</w:t>
      </w:r>
    </w:p>
    <w:p>
      <w:pPr>
        <w:keepNext/>
        <w:keepLines/>
        <w:spacing w:before="120" w:beforeLines="50" w:line="360" w:lineRule="auto"/>
        <w:ind w:firstLine="482"/>
        <w:jc w:val="left"/>
        <w:outlineLvl w:val="1"/>
        <w:rPr>
          <w:rFonts w:ascii="Times New Roman" w:hAnsi="Times New Roman" w:cs="Times New Roman"/>
          <w:b/>
          <w:bCs/>
          <w:color w:val="000000" w:themeColor="text1"/>
          <w:kern w:val="44"/>
          <w:sz w:val="24"/>
          <w:szCs w:val="24"/>
        </w:rPr>
      </w:pPr>
      <w:bookmarkStart w:id="176" w:name="_Toc32269"/>
      <w:r>
        <w:rPr>
          <w:rFonts w:ascii="Times New Roman" w:hAnsi="Times New Roman" w:cs="Times New Roman"/>
          <w:b/>
          <w:bCs/>
          <w:color w:val="000000" w:themeColor="text1"/>
          <w:kern w:val="44"/>
          <w:sz w:val="24"/>
          <w:szCs w:val="24"/>
        </w:rPr>
        <w:t>2.3 周边环境敏感点</w:t>
      </w:r>
      <w:bookmarkEnd w:id="169"/>
      <w:bookmarkEnd w:id="170"/>
      <w:bookmarkEnd w:id="171"/>
      <w:bookmarkEnd w:id="172"/>
      <w:bookmarkEnd w:id="173"/>
      <w:bookmarkEnd w:id="174"/>
      <w:bookmarkEnd w:id="175"/>
      <w:bookmarkEnd w:id="176"/>
    </w:p>
    <w:p>
      <w:pPr>
        <w:snapToGrid w:val="0"/>
        <w:spacing w:line="360" w:lineRule="auto"/>
        <w:jc w:val="left"/>
        <w:rPr>
          <w:rFonts w:ascii="Times New Roman" w:hAnsi="Times New Roman" w:cs="Times New Roman"/>
          <w:color w:val="000000" w:themeColor="text1"/>
          <w:sz w:val="24"/>
          <w:szCs w:val="24"/>
          <w:lang w:val="zh-CN"/>
        </w:rPr>
      </w:pPr>
      <w:r>
        <w:rPr>
          <w:rFonts w:ascii="Times New Roman" w:hAnsi="Times New Roman" w:cs="Times New Roman"/>
          <w:color w:val="000000" w:themeColor="text1"/>
          <w:kern w:val="0"/>
          <w:sz w:val="24"/>
          <w:szCs w:val="24"/>
        </w:rPr>
        <w:t>本项目厂址评价区重点保护目标见下表2-1。</w:t>
      </w:r>
      <w:r>
        <w:rPr>
          <w:rFonts w:ascii="Times New Roman" w:hAnsi="Times New Roman" w:cs="Times New Roman"/>
          <w:color w:val="000000" w:themeColor="text1"/>
          <w:sz w:val="24"/>
          <w:szCs w:val="24"/>
          <w:lang w:val="zh-CN"/>
        </w:rPr>
        <w:t>建设项目与周围环境关系图见图</w:t>
      </w:r>
      <w:r>
        <w:rPr>
          <w:rFonts w:ascii="Times New Roman" w:hAnsi="Times New Roman" w:cs="Times New Roman"/>
          <w:color w:val="000000" w:themeColor="text1"/>
          <w:sz w:val="24"/>
          <w:szCs w:val="24"/>
        </w:rPr>
        <w:t>2-2</w:t>
      </w:r>
      <w:r>
        <w:rPr>
          <w:rFonts w:ascii="Times New Roman" w:hAnsi="Times New Roman" w:cs="Times New Roman"/>
          <w:color w:val="000000" w:themeColor="text1"/>
          <w:sz w:val="24"/>
          <w:szCs w:val="24"/>
          <w:lang w:val="zh-CN"/>
        </w:rPr>
        <w:t>。</w:t>
      </w:r>
    </w:p>
    <w:p>
      <w:pPr>
        <w:pStyle w:val="2"/>
        <w:ind w:firstLine="498"/>
        <w:jc w:val="center"/>
      </w:pPr>
      <w:r>
        <w:rPr>
          <w:rFonts w:ascii="Times New Roman" w:hAnsi="Times New Roman"/>
          <w:b/>
          <w:color w:val="000000" w:themeColor="text1"/>
          <w:szCs w:val="21"/>
        </w:rPr>
        <w:t>表2-1 环境保护目标一</w:t>
      </w:r>
      <w:r>
        <w:rPr>
          <w:rFonts w:hint="eastAsia" w:ascii="Times New Roman" w:hAnsi="Times New Roman"/>
          <w:b/>
          <w:color w:val="000000" w:themeColor="text1"/>
          <w:szCs w:val="21"/>
        </w:rPr>
        <w:t>览表</w:t>
      </w:r>
    </w:p>
    <w:tbl>
      <w:tblPr>
        <w:tblStyle w:val="16"/>
        <w:tblW w:w="9230"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207"/>
        <w:gridCol w:w="2433"/>
        <w:gridCol w:w="1044"/>
        <w:gridCol w:w="816"/>
        <w:gridCol w:w="1824"/>
        <w:gridCol w:w="190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环境要素</w:t>
            </w:r>
          </w:p>
        </w:tc>
        <w:tc>
          <w:tcPr>
            <w:tcW w:w="2433"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保护目标名称</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距离（m）</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方位</w:t>
            </w:r>
          </w:p>
        </w:tc>
        <w:tc>
          <w:tcPr>
            <w:tcW w:w="182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保护目标人数（人）</w:t>
            </w:r>
          </w:p>
        </w:tc>
        <w:tc>
          <w:tcPr>
            <w:tcW w:w="1906"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Merge w:val="restart"/>
            <w:vAlign w:val="center"/>
          </w:tcPr>
          <w:p>
            <w:pPr>
              <w:widowControl/>
              <w:rPr>
                <w:rFonts w:ascii="Times New Roman" w:hAnsi="Times New Roman" w:eastAsia="宋体" w:cs="Times New Roman"/>
                <w:szCs w:val="21"/>
              </w:rPr>
            </w:pPr>
            <w:r>
              <w:rPr>
                <w:rFonts w:ascii="Times New Roman" w:hAnsi="Times New Roman" w:eastAsia="宋体" w:cs="Times New Roman"/>
                <w:szCs w:val="21"/>
              </w:rPr>
              <w:t>大气环境/声环境</w:t>
            </w:r>
          </w:p>
        </w:tc>
        <w:tc>
          <w:tcPr>
            <w:tcW w:w="2433" w:type="dxa"/>
            <w:vAlign w:val="center"/>
          </w:tcPr>
          <w:p>
            <w:pPr>
              <w:pStyle w:val="36"/>
              <w:numPr>
                <w:ilvl w:val="0"/>
                <w:numId w:val="2"/>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江西制造技术学院</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110</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西北</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8000-10000</w:t>
            </w:r>
          </w:p>
        </w:tc>
        <w:tc>
          <w:tcPr>
            <w:tcW w:w="1906" w:type="dxa"/>
            <w:vMerge w:val="restart"/>
            <w:vAlign w:val="center"/>
          </w:tcPr>
          <w:p>
            <w:pPr>
              <w:ind w:left="-2" w:leftChars="-1"/>
              <w:contextualSpacing/>
              <w:rPr>
                <w:rFonts w:ascii="Times New Roman" w:hAnsi="Times New Roman" w:eastAsia="宋体" w:cs="Times New Roman"/>
                <w:szCs w:val="21"/>
              </w:rPr>
            </w:pPr>
            <w:r>
              <w:rPr>
                <w:rFonts w:ascii="Times New Roman" w:hAnsi="Times New Roman" w:eastAsia="宋体" w:cs="Times New Roman"/>
                <w:szCs w:val="21"/>
              </w:rPr>
              <w:t>《环境空气质量标准》(GB3095-2012)中二级标准、《声环境质量标准》</w:t>
            </w:r>
          </w:p>
          <w:p>
            <w:pPr>
              <w:ind w:firstLine="480"/>
              <w:jc w:val="center"/>
              <w:rPr>
                <w:rFonts w:ascii="Times New Roman" w:hAnsi="Times New Roman" w:eastAsia="宋体" w:cs="Times New Roman"/>
                <w:kern w:val="18"/>
                <w:szCs w:val="21"/>
              </w:rPr>
            </w:pPr>
            <w:r>
              <w:rPr>
                <w:rFonts w:ascii="Times New Roman" w:hAnsi="Times New Roman" w:eastAsia="宋体" w:cs="Times New Roman"/>
                <w:szCs w:val="21"/>
              </w:rPr>
              <w:t>(GB3096-2008)中2类、4a类标准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Merge w:val="continue"/>
            <w:vAlign w:val="center"/>
          </w:tcPr>
          <w:p>
            <w:pPr>
              <w:widowControl/>
              <w:ind w:firstLine="480"/>
              <w:jc w:val="left"/>
              <w:rPr>
                <w:rFonts w:ascii="Times New Roman" w:hAnsi="Times New Roman" w:eastAsia="宋体" w:cs="Times New Roman"/>
                <w:szCs w:val="21"/>
              </w:rPr>
            </w:pPr>
          </w:p>
        </w:tc>
        <w:tc>
          <w:tcPr>
            <w:tcW w:w="2433" w:type="dxa"/>
            <w:vAlign w:val="center"/>
          </w:tcPr>
          <w:p>
            <w:pPr>
              <w:pStyle w:val="36"/>
              <w:numPr>
                <w:ilvl w:val="0"/>
                <w:numId w:val="2"/>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江西现代学院</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310</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西南</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8000-10000</w:t>
            </w:r>
          </w:p>
        </w:tc>
        <w:tc>
          <w:tcPr>
            <w:tcW w:w="1906" w:type="dxa"/>
            <w:vMerge w:val="continue"/>
            <w:vAlign w:val="center"/>
          </w:tcPr>
          <w:p>
            <w:pPr>
              <w:widowControl/>
              <w:ind w:firstLine="480"/>
              <w:jc w:val="left"/>
              <w:rPr>
                <w:rFonts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Merge w:val="continue"/>
            <w:vAlign w:val="center"/>
          </w:tcPr>
          <w:p>
            <w:pPr>
              <w:widowControl/>
              <w:ind w:firstLine="480"/>
              <w:jc w:val="left"/>
              <w:rPr>
                <w:rFonts w:ascii="Times New Roman" w:hAnsi="Times New Roman" w:eastAsia="宋体" w:cs="Times New Roman"/>
                <w:szCs w:val="21"/>
              </w:rPr>
            </w:pPr>
          </w:p>
        </w:tc>
        <w:tc>
          <w:tcPr>
            <w:tcW w:w="2433" w:type="dxa"/>
            <w:vAlign w:val="center"/>
          </w:tcPr>
          <w:p>
            <w:pPr>
              <w:pStyle w:val="36"/>
              <w:numPr>
                <w:ilvl w:val="0"/>
                <w:numId w:val="2"/>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长胜村</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210</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西北</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3000-4000</w:t>
            </w:r>
          </w:p>
        </w:tc>
        <w:tc>
          <w:tcPr>
            <w:tcW w:w="1906" w:type="dxa"/>
            <w:vMerge w:val="continue"/>
            <w:vAlign w:val="center"/>
          </w:tcPr>
          <w:p>
            <w:pPr>
              <w:widowControl/>
              <w:ind w:firstLine="480"/>
              <w:jc w:val="left"/>
              <w:rPr>
                <w:rFonts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Merge w:val="continue"/>
            <w:vAlign w:val="center"/>
          </w:tcPr>
          <w:p>
            <w:pPr>
              <w:widowControl/>
              <w:ind w:firstLine="480"/>
              <w:jc w:val="left"/>
              <w:rPr>
                <w:rFonts w:ascii="Times New Roman" w:hAnsi="Times New Roman" w:eastAsia="宋体" w:cs="Times New Roman"/>
                <w:szCs w:val="21"/>
              </w:rPr>
            </w:pPr>
          </w:p>
        </w:tc>
        <w:tc>
          <w:tcPr>
            <w:tcW w:w="2433" w:type="dxa"/>
            <w:vAlign w:val="center"/>
          </w:tcPr>
          <w:p>
            <w:pPr>
              <w:pStyle w:val="36"/>
              <w:numPr>
                <w:ilvl w:val="0"/>
                <w:numId w:val="2"/>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南昌二中高新 校区</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110</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西北</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5000-7000</w:t>
            </w:r>
          </w:p>
        </w:tc>
        <w:tc>
          <w:tcPr>
            <w:tcW w:w="1906" w:type="dxa"/>
            <w:vMerge w:val="continue"/>
            <w:vAlign w:val="center"/>
          </w:tcPr>
          <w:p>
            <w:pPr>
              <w:widowControl/>
              <w:ind w:firstLine="480"/>
              <w:jc w:val="left"/>
              <w:rPr>
                <w:rFonts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Merge w:val="continue"/>
            <w:vAlign w:val="center"/>
          </w:tcPr>
          <w:p>
            <w:pPr>
              <w:widowControl/>
              <w:ind w:firstLine="480"/>
              <w:jc w:val="left"/>
              <w:rPr>
                <w:rFonts w:ascii="Times New Roman" w:hAnsi="Times New Roman" w:eastAsia="宋体" w:cs="Times New Roman"/>
                <w:szCs w:val="21"/>
              </w:rPr>
            </w:pPr>
          </w:p>
        </w:tc>
        <w:tc>
          <w:tcPr>
            <w:tcW w:w="2433" w:type="dxa"/>
            <w:vAlign w:val="center"/>
          </w:tcPr>
          <w:p>
            <w:pPr>
              <w:pStyle w:val="36"/>
              <w:numPr>
                <w:ilvl w:val="0"/>
                <w:numId w:val="2"/>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昌东镇政府</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300</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东南</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200-300</w:t>
            </w:r>
          </w:p>
          <w:p>
            <w:pPr>
              <w:pStyle w:val="2"/>
              <w:ind w:firstLine="496"/>
              <w:jc w:val="center"/>
              <w:rPr>
                <w:rFonts w:ascii="Times New Roman" w:hAnsi="Times New Roman"/>
              </w:rPr>
            </w:pPr>
          </w:p>
        </w:tc>
        <w:tc>
          <w:tcPr>
            <w:tcW w:w="1906" w:type="dxa"/>
            <w:vMerge w:val="continue"/>
            <w:vAlign w:val="center"/>
          </w:tcPr>
          <w:p>
            <w:pPr>
              <w:widowControl/>
              <w:ind w:firstLine="480"/>
              <w:jc w:val="left"/>
              <w:rPr>
                <w:rFonts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Merge w:val="continue"/>
            <w:vAlign w:val="center"/>
          </w:tcPr>
          <w:p>
            <w:pPr>
              <w:widowControl/>
              <w:ind w:firstLine="480"/>
              <w:jc w:val="left"/>
              <w:rPr>
                <w:rFonts w:ascii="Times New Roman" w:hAnsi="Times New Roman" w:eastAsia="宋体" w:cs="Times New Roman"/>
                <w:szCs w:val="21"/>
              </w:rPr>
            </w:pPr>
          </w:p>
        </w:tc>
        <w:tc>
          <w:tcPr>
            <w:tcW w:w="2433" w:type="dxa"/>
            <w:vAlign w:val="center"/>
          </w:tcPr>
          <w:p>
            <w:pPr>
              <w:pStyle w:val="36"/>
              <w:numPr>
                <w:ilvl w:val="0"/>
                <w:numId w:val="2"/>
              </w:numPr>
              <w:ind w:firstLineChars="0"/>
              <w:jc w:val="center"/>
              <w:rPr>
                <w:rFonts w:ascii="Times New Roman" w:hAnsi="Times New Roman" w:eastAsia="宋体" w:cs="Times New Roman"/>
                <w:kern w:val="18"/>
                <w:szCs w:val="21"/>
              </w:rPr>
            </w:pPr>
            <w:r>
              <w:rPr>
                <w:rFonts w:ascii="Times New Roman" w:hAnsi="Times New Roman" w:eastAsia="宋体" w:cs="Times New Roman"/>
                <w:kern w:val="18"/>
                <w:szCs w:val="21"/>
              </w:rPr>
              <w:t>绿地新都会</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380</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东北</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4000-5000</w:t>
            </w:r>
          </w:p>
        </w:tc>
        <w:tc>
          <w:tcPr>
            <w:tcW w:w="1906" w:type="dxa"/>
            <w:vMerge w:val="continue"/>
            <w:vAlign w:val="center"/>
          </w:tcPr>
          <w:p>
            <w:pPr>
              <w:widowControl/>
              <w:ind w:firstLine="480"/>
              <w:jc w:val="left"/>
              <w:rPr>
                <w:rFonts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1173" w:hRule="atLeast"/>
          <w:jc w:val="center"/>
        </w:trPr>
        <w:tc>
          <w:tcPr>
            <w:tcW w:w="1207" w:type="dxa"/>
            <w:vAlign w:val="center"/>
          </w:tcPr>
          <w:p>
            <w:pPr>
              <w:widowControl/>
              <w:ind w:firstLine="480"/>
              <w:jc w:val="center"/>
              <w:rPr>
                <w:rFonts w:ascii="Times New Roman" w:hAnsi="Times New Roman" w:eastAsia="宋体" w:cs="Times New Roman"/>
                <w:szCs w:val="21"/>
              </w:rPr>
            </w:pPr>
            <w:r>
              <w:rPr>
                <w:rFonts w:ascii="Times New Roman" w:hAnsi="Times New Roman" w:eastAsia="宋体" w:cs="Times New Roman"/>
                <w:szCs w:val="21"/>
              </w:rPr>
              <w:t>水环境</w:t>
            </w:r>
          </w:p>
        </w:tc>
        <w:tc>
          <w:tcPr>
            <w:tcW w:w="2433"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赣江南支</w:t>
            </w:r>
          </w:p>
        </w:tc>
        <w:tc>
          <w:tcPr>
            <w:tcW w:w="1044"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2.7km</w:t>
            </w:r>
          </w:p>
        </w:tc>
        <w:tc>
          <w:tcPr>
            <w:tcW w:w="816" w:type="dxa"/>
            <w:vAlign w:val="center"/>
          </w:tcPr>
          <w:p>
            <w:pPr>
              <w:jc w:val="center"/>
              <w:rPr>
                <w:rFonts w:ascii="Times New Roman" w:hAnsi="Times New Roman" w:eastAsia="宋体" w:cs="Times New Roman"/>
                <w:kern w:val="18"/>
                <w:szCs w:val="21"/>
              </w:rPr>
            </w:pPr>
            <w:r>
              <w:rPr>
                <w:rFonts w:ascii="Times New Roman" w:hAnsi="Times New Roman" w:eastAsia="宋体" w:cs="Times New Roman"/>
                <w:kern w:val="18"/>
                <w:szCs w:val="21"/>
              </w:rPr>
              <w:t>东面</w:t>
            </w:r>
          </w:p>
        </w:tc>
        <w:tc>
          <w:tcPr>
            <w:tcW w:w="1824" w:type="dxa"/>
            <w:vAlign w:val="center"/>
          </w:tcPr>
          <w:p>
            <w:pPr>
              <w:ind w:firstLine="480"/>
              <w:jc w:val="center"/>
              <w:rPr>
                <w:rFonts w:ascii="Times New Roman" w:hAnsi="Times New Roman" w:eastAsia="宋体" w:cs="Times New Roman"/>
                <w:kern w:val="18"/>
                <w:szCs w:val="21"/>
              </w:rPr>
            </w:pPr>
            <w:r>
              <w:rPr>
                <w:rFonts w:ascii="Times New Roman" w:hAnsi="Times New Roman" w:eastAsia="宋体" w:cs="Times New Roman"/>
                <w:kern w:val="18"/>
                <w:szCs w:val="21"/>
              </w:rPr>
              <w:t>大河</w:t>
            </w:r>
          </w:p>
        </w:tc>
        <w:tc>
          <w:tcPr>
            <w:tcW w:w="1906" w:type="dxa"/>
            <w:vAlign w:val="center"/>
          </w:tcPr>
          <w:p>
            <w:pPr>
              <w:ind w:firstLine="480"/>
              <w:jc w:val="center"/>
              <w:rPr>
                <w:rFonts w:ascii="Times New Roman" w:hAnsi="Times New Roman" w:eastAsia="宋体" w:cs="Times New Roman"/>
                <w:szCs w:val="21"/>
              </w:rPr>
            </w:pPr>
            <w:r>
              <w:rPr>
                <w:rFonts w:ascii="Times New Roman" w:hAnsi="Times New Roman" w:eastAsia="宋体" w:cs="Times New Roman"/>
                <w:szCs w:val="20"/>
              </w:rPr>
              <w:t>《地表水环境质量标准》(</w:t>
            </w:r>
            <w:r>
              <w:rPr>
                <w:rFonts w:ascii="Times New Roman" w:hAnsi="Times New Roman" w:eastAsia="宋体" w:cs="Times New Roman"/>
                <w:szCs w:val="21"/>
              </w:rPr>
              <w:t>GB3838-2002</w:t>
            </w:r>
            <w:r>
              <w:rPr>
                <w:rFonts w:ascii="Times New Roman" w:hAnsi="Times New Roman" w:eastAsia="宋体" w:cs="Times New Roman"/>
                <w:szCs w:val="20"/>
              </w:rPr>
              <w:t>)</w:t>
            </w:r>
            <w:r>
              <w:rPr>
                <w:rFonts w:ascii="Times New Roman" w:hAnsi="Times New Roman" w:eastAsia="宋体" w:cs="Times New Roman"/>
                <w:szCs w:val="21"/>
              </w:rPr>
              <w:t>中</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4 \* ROMAN</w:instrText>
            </w:r>
            <w:r>
              <w:rPr>
                <w:rFonts w:ascii="Times New Roman" w:hAnsi="Times New Roman" w:eastAsia="宋体" w:cs="Times New Roman"/>
                <w:szCs w:val="21"/>
              </w:rPr>
              <w:fldChar w:fldCharType="separate"/>
            </w:r>
            <w:r>
              <w:rPr>
                <w:rFonts w:ascii="Times New Roman" w:hAnsi="Times New Roman" w:eastAsia="宋体" w:cs="Times New Roman"/>
                <w:szCs w:val="21"/>
              </w:rPr>
              <w:t>IV</w:t>
            </w:r>
            <w:r>
              <w:rPr>
                <w:rFonts w:ascii="Times New Roman" w:hAnsi="Times New Roman" w:eastAsia="宋体" w:cs="Times New Roman"/>
                <w:szCs w:val="21"/>
              </w:rPr>
              <w:fldChar w:fldCharType="end"/>
            </w:r>
            <w:r>
              <w:rPr>
                <w:rFonts w:ascii="Times New Roman" w:hAnsi="Times New Roman" w:eastAsia="宋体" w:cs="Times New Roman"/>
                <w:szCs w:val="21"/>
              </w:rPr>
              <w:t>类水体</w:t>
            </w:r>
          </w:p>
          <w:p>
            <w:pPr>
              <w:ind w:firstLine="480"/>
              <w:jc w:val="center"/>
              <w:rPr>
                <w:rFonts w:ascii="Times New Roman" w:hAnsi="Times New Roman" w:eastAsia="宋体" w:cs="Times New Roman"/>
                <w:kern w:val="18"/>
                <w:szCs w:val="21"/>
              </w:rPr>
            </w:pPr>
            <w:r>
              <w:rPr>
                <w:rFonts w:ascii="Times New Roman" w:hAnsi="Times New Roman" w:eastAsia="宋体" w:cs="Times New Roman"/>
                <w:szCs w:val="21"/>
              </w:rPr>
              <w:t>标准</w:t>
            </w:r>
          </w:p>
        </w:tc>
      </w:tr>
    </w:tbl>
    <w:p>
      <w:pPr>
        <w:snapToGrid w:val="0"/>
        <w:spacing w:before="163"/>
        <w:ind w:firstLine="482"/>
        <w:jc w:val="center"/>
        <w:rPr>
          <w:rFonts w:ascii="Times New Roman" w:hAnsi="Times New Roman" w:cs="Times New Roman"/>
          <w:color w:val="000000" w:themeColor="text1"/>
        </w:rPr>
      </w:pPr>
      <w:bookmarkStart w:id="177" w:name="_Toc532817016"/>
      <w:bookmarkStart w:id="178" w:name="_Toc8689_WPSOffice_Level2"/>
      <w:bookmarkStart w:id="179" w:name="_Toc6417_WPSOffice_Level2"/>
      <w:bookmarkStart w:id="180" w:name="_Toc14803_WPSOffice_Level2"/>
      <w:bookmarkStart w:id="181" w:name="_Toc18545_WPSOffice_Level2"/>
      <w:bookmarkStart w:id="182" w:name="_Toc1987"/>
      <w:bookmarkStart w:id="183" w:name="_Toc14471_WPSOffice_Level2"/>
      <w:r>
        <w:rPr>
          <w:rFonts w:ascii="Times New Roman" w:hAnsi="Times New Roman" w:cs="Times New Roman"/>
        </w:rPr>
        <w:drawing>
          <wp:inline distT="0" distB="0" distL="0" distR="0">
            <wp:extent cx="5728335" cy="4573270"/>
            <wp:effectExtent l="0" t="0" r="1905" b="139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728335" cy="4573270"/>
                    </a:xfrm>
                    <a:prstGeom prst="rect">
                      <a:avLst/>
                    </a:prstGeom>
                  </pic:spPr>
                </pic:pic>
              </a:graphicData>
            </a:graphic>
          </wp:inline>
        </w:drawing>
      </w:r>
    </w:p>
    <w:p>
      <w:pPr>
        <w:snapToGrid w:val="0"/>
        <w:spacing w:before="163"/>
        <w:ind w:firstLine="482"/>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图2-2 周边环境敏感点示意图</w:t>
      </w:r>
    </w:p>
    <w:p>
      <w:pPr>
        <w:keepNext/>
        <w:keepLines/>
        <w:spacing w:before="240" w:beforeLines="100" w:after="240" w:afterLines="100" w:line="360" w:lineRule="auto"/>
        <w:ind w:firstLine="482"/>
        <w:jc w:val="left"/>
        <w:outlineLvl w:val="1"/>
        <w:rPr>
          <w:rFonts w:ascii="Times New Roman" w:hAnsi="Times New Roman" w:cs="Times New Roman"/>
          <w:b/>
          <w:bCs/>
          <w:color w:val="000000" w:themeColor="text1"/>
          <w:kern w:val="44"/>
          <w:sz w:val="24"/>
          <w:szCs w:val="24"/>
        </w:rPr>
      </w:pPr>
      <w:bookmarkStart w:id="184" w:name="_Toc1775"/>
      <w:r>
        <w:rPr>
          <w:rFonts w:ascii="Times New Roman" w:hAnsi="Times New Roman" w:cs="Times New Roman"/>
          <w:b/>
          <w:bCs/>
          <w:color w:val="000000" w:themeColor="text1"/>
          <w:kern w:val="44"/>
          <w:sz w:val="24"/>
          <w:szCs w:val="24"/>
        </w:rPr>
        <w:t>2.4 加油站平面布置</w:t>
      </w:r>
      <w:bookmarkEnd w:id="177"/>
      <w:bookmarkEnd w:id="178"/>
      <w:bookmarkEnd w:id="179"/>
      <w:bookmarkEnd w:id="180"/>
      <w:bookmarkEnd w:id="181"/>
      <w:bookmarkEnd w:id="182"/>
      <w:bookmarkEnd w:id="183"/>
      <w:bookmarkEnd w:id="184"/>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根据现场踏勘，加油站</w:t>
      </w:r>
      <w:r>
        <w:rPr>
          <w:rFonts w:ascii="Times New Roman" w:hAnsi="Times New Roman" w:cs="Times New Roman"/>
          <w:color w:val="000000" w:themeColor="text1"/>
          <w:sz w:val="24"/>
          <w:szCs w:val="24"/>
        </w:rPr>
        <w:t>位于江西省南昌市</w:t>
      </w:r>
      <w:r>
        <w:rPr>
          <w:rFonts w:ascii="Times New Roman" w:hAnsi="Times New Roman" w:cs="Times New Roman"/>
          <w:bCs/>
          <w:color w:val="000000" w:themeColor="text1"/>
          <w:sz w:val="24"/>
          <w:szCs w:val="24"/>
        </w:rPr>
        <w:t>紫阳大道18号</w:t>
      </w:r>
      <w:r>
        <w:rPr>
          <w:rFonts w:ascii="Times New Roman" w:hAnsi="Times New Roman" w:cs="Times New Roman"/>
          <w:color w:val="000000" w:themeColor="text1"/>
          <w:sz w:val="24"/>
          <w:szCs w:val="24"/>
          <w:lang w:val="zh-CN"/>
        </w:rPr>
        <w:t>、出站口</w:t>
      </w:r>
      <w:r>
        <w:rPr>
          <w:rFonts w:ascii="Times New Roman" w:hAnsi="Times New Roman" w:cs="Times New Roman"/>
          <w:color w:val="000000" w:themeColor="text1"/>
          <w:sz w:val="24"/>
          <w:szCs w:val="24"/>
        </w:rPr>
        <w:t>面向紫阳大道</w:t>
      </w:r>
      <w:r>
        <w:rPr>
          <w:rFonts w:ascii="Times New Roman" w:hAnsi="Times New Roman" w:cs="Times New Roman"/>
          <w:color w:val="000000" w:themeColor="text1"/>
          <w:sz w:val="24"/>
          <w:szCs w:val="24"/>
          <w:lang w:val="zh-CN"/>
        </w:rPr>
        <w:t>，加油站占地面积约为6533.1积约为400m</w:t>
      </w:r>
      <w:r>
        <w:rPr>
          <w:rFonts w:ascii="Times New Roman" w:hAnsi="Times New Roman" w:cs="Times New Roman"/>
          <w:color w:val="000000" w:themeColor="text1"/>
          <w:sz w:val="24"/>
          <w:szCs w:val="24"/>
          <w:vertAlign w:val="superscript"/>
          <w:lang w:val="zh-CN"/>
        </w:rPr>
        <w:t>2</w:t>
      </w:r>
      <w:r>
        <w:rPr>
          <w:rFonts w:ascii="Times New Roman" w:hAnsi="Times New Roman" w:cs="Times New Roman"/>
          <w:color w:val="000000" w:themeColor="text1"/>
          <w:sz w:val="24"/>
          <w:szCs w:val="24"/>
          <w:lang w:val="zh-CN"/>
        </w:rPr>
        <w:t>。项目主要分为三个区，分别为</w:t>
      </w:r>
      <w:r>
        <w:rPr>
          <w:rFonts w:ascii="Times New Roman" w:hAnsi="Times New Roman" w:eastAsia="宋体" w:cs="Times New Roman"/>
          <w:color w:val="000000" w:themeColor="text1"/>
          <w:sz w:val="24"/>
          <w:szCs w:val="24"/>
          <w:lang w:val="zh-CN"/>
        </w:rPr>
        <w:t>①</w:t>
      </w:r>
      <w:r>
        <w:rPr>
          <w:rFonts w:ascii="Times New Roman" w:hAnsi="Times New Roman" w:cs="Times New Roman"/>
          <w:color w:val="000000" w:themeColor="text1"/>
          <w:sz w:val="24"/>
          <w:szCs w:val="24"/>
          <w:lang w:val="zh-CN"/>
        </w:rPr>
        <w:t>储油罐区</w:t>
      </w:r>
      <w:r>
        <w:rPr>
          <w:rFonts w:ascii="Times New Roman" w:hAnsi="Times New Roman" w:eastAsia="宋体" w:cs="Times New Roman"/>
          <w:color w:val="000000" w:themeColor="text1"/>
          <w:sz w:val="24"/>
          <w:szCs w:val="24"/>
          <w:lang w:val="zh-CN"/>
        </w:rPr>
        <w:t>②</w:t>
      </w:r>
      <w:r>
        <w:rPr>
          <w:rFonts w:ascii="Times New Roman" w:hAnsi="Times New Roman" w:cs="Times New Roman"/>
          <w:color w:val="000000" w:themeColor="text1"/>
          <w:sz w:val="24"/>
          <w:szCs w:val="24"/>
          <w:lang w:val="zh-CN"/>
        </w:rPr>
        <w:t>营业区</w:t>
      </w:r>
      <w:r>
        <w:rPr>
          <w:rFonts w:ascii="Times New Roman" w:hAnsi="Times New Roman" w:eastAsia="宋体" w:cs="Times New Roman"/>
          <w:color w:val="000000" w:themeColor="text1"/>
          <w:sz w:val="24"/>
          <w:szCs w:val="24"/>
          <w:lang w:val="zh-CN"/>
        </w:rPr>
        <w:t>③</w:t>
      </w:r>
      <w:r>
        <w:rPr>
          <w:rFonts w:ascii="Times New Roman" w:hAnsi="Times New Roman" w:cs="Times New Roman"/>
          <w:color w:val="000000" w:themeColor="text1"/>
          <w:sz w:val="24"/>
          <w:szCs w:val="24"/>
          <w:lang w:val="zh-CN"/>
        </w:rPr>
        <w:t>加油区。储油罐区包括储罐区、卸油区；营业区包括站房、便利店、辅助用房及卫生间等；加油区即为加油机所在区。</w:t>
      </w:r>
      <w:r>
        <w:rPr>
          <w:rFonts w:ascii="Times New Roman" w:hAnsi="Times New Roman" w:cs="Times New Roman"/>
          <w:color w:val="000000" w:themeColor="text1"/>
          <w:sz w:val="24"/>
          <w:szCs w:val="24"/>
        </w:rPr>
        <w:t>项目储罐区建设有5个地埋卧式油罐，包括0#柴油油罐1台、92#汽油油罐2台、97#汽油油罐1台、97#汽油油罐1台，总容积折合汽油罐容积为135m³，级加油站。配设8台税控双枪双泵加油机，1台税控四枪双泵加油机。</w:t>
      </w:r>
      <w:r>
        <w:rPr>
          <w:rFonts w:ascii="Times New Roman" w:hAnsi="Times New Roman" w:cs="Times New Roman"/>
          <w:bCs/>
          <w:color w:val="000000" w:themeColor="text1"/>
          <w:kern w:val="0"/>
          <w:sz w:val="24"/>
          <w:szCs w:val="24"/>
        </w:rPr>
        <w:t>加油站用地呈矩形，加油区位于站区中央；油罐区位于加油区东北部，并设置防撞混凝土墙。站场地全部采用水泥硬化路面，采用环形道路布置，方便来往车辆进行加油作业，同时将各个建筑紧密的联系起来，形成一个有机的整体。从项目平面布置图来看，项目加油站油罐区与加油区，分开设置，加油站内各设施的安全间距满足《汽车加气加气站设计与施工规范》（GB50156-2012）表5.0.13的相关规范要求，因此站区平面布置是相对合理的。</w:t>
      </w:r>
      <w:r>
        <w:rPr>
          <w:rFonts w:ascii="Times New Roman" w:hAnsi="Times New Roman" w:cs="Times New Roman"/>
          <w:color w:val="000000" w:themeColor="text1"/>
          <w:sz w:val="24"/>
          <w:szCs w:val="24"/>
          <w:lang w:val="zh-CN"/>
        </w:rPr>
        <w:t>项目平面布置图见图2</w:t>
      </w:r>
      <w:r>
        <w:rPr>
          <w:rFonts w:ascii="Times New Roman" w:hAnsi="Times New Roman" w:cs="Times New Roman"/>
          <w:color w:val="000000" w:themeColor="text1"/>
          <w:sz w:val="24"/>
          <w:szCs w:val="24"/>
        </w:rPr>
        <w:t>-3</w:t>
      </w:r>
      <w:r>
        <w:rPr>
          <w:rFonts w:ascii="Times New Roman" w:hAnsi="Times New Roman" w:cs="Times New Roman"/>
          <w:color w:val="000000" w:themeColor="text1"/>
          <w:sz w:val="24"/>
          <w:szCs w:val="24"/>
          <w:lang w:val="zh-CN"/>
        </w:rPr>
        <w:t>。</w:t>
      </w:r>
    </w:p>
    <w:p>
      <w:pPr>
        <w:pStyle w:val="2"/>
        <w:ind w:firstLine="480"/>
        <w:rPr>
          <w:rFonts w:ascii="Times New Roman" w:hAnsi="Times New Roman"/>
          <w:lang w:val="zh-CN"/>
        </w:rPr>
      </w:pPr>
      <w:r>
        <w:rPr>
          <w:rFonts w:ascii="Times New Roman" w:hAnsi="Times New Roman"/>
        </w:rPr>
        <w:drawing>
          <wp:inline distT="0" distB="0" distL="0" distR="0">
            <wp:extent cx="5456555" cy="4485005"/>
            <wp:effectExtent l="9525" t="9525" r="20320" b="16510"/>
            <wp:docPr id="19" name="图片 19" descr="I:\瑶湖加油站\平面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瑶湖加油站\平面图.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56555" cy="4485005"/>
                    </a:xfrm>
                    <a:prstGeom prst="rect">
                      <a:avLst/>
                    </a:prstGeom>
                    <a:noFill/>
                    <a:ln>
                      <a:solidFill>
                        <a:schemeClr val="tx1"/>
                      </a:solidFill>
                    </a:ln>
                  </pic:spPr>
                </pic:pic>
              </a:graphicData>
            </a:graphic>
          </wp:inline>
        </w:drawing>
      </w:r>
    </w:p>
    <w:p>
      <w:pPr>
        <w:snapToGrid w:val="0"/>
        <w:spacing w:before="163"/>
        <w:jc w:val="center"/>
        <w:rPr>
          <w:rFonts w:ascii="Times New Roman" w:hAnsi="Times New Roman" w:cs="Times New Roman"/>
          <w:b/>
          <w:color w:val="000000" w:themeColor="text1"/>
          <w:szCs w:val="21"/>
          <w:lang w:val="zh-CN"/>
        </w:rPr>
      </w:pPr>
      <w:r>
        <w:rPr>
          <w:rFonts w:ascii="Times New Roman" w:hAnsi="Times New Roman" w:cs="Times New Roman"/>
          <w:b/>
          <w:color w:val="000000" w:themeColor="text1"/>
          <w:szCs w:val="21"/>
          <w:lang w:val="zh-CN"/>
        </w:rPr>
        <w:t>图2</w:t>
      </w:r>
      <w:r>
        <w:rPr>
          <w:rFonts w:ascii="Times New Roman" w:hAnsi="Times New Roman" w:cs="Times New Roman"/>
          <w:b/>
          <w:color w:val="000000" w:themeColor="text1"/>
          <w:szCs w:val="21"/>
        </w:rPr>
        <w:t xml:space="preserve">-3 </w:t>
      </w:r>
      <w:r>
        <w:rPr>
          <w:rFonts w:ascii="Times New Roman" w:hAnsi="Times New Roman" w:cs="Times New Roman"/>
          <w:b/>
          <w:color w:val="000000" w:themeColor="text1"/>
          <w:szCs w:val="21"/>
          <w:lang w:val="zh-CN"/>
        </w:rPr>
        <w:t>加油站平面布置图</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185" w:name="_Toc29921_WPSOffice_Level2"/>
      <w:bookmarkStart w:id="186" w:name="_Toc9309_WPSOffice_Level2"/>
      <w:bookmarkStart w:id="187" w:name="_Toc5698_WPSOffice_Level2"/>
      <w:bookmarkStart w:id="188" w:name="_Toc12126_WPSOffice_Level2"/>
      <w:bookmarkStart w:id="189" w:name="_Toc30888_WPSOffice_Level2"/>
      <w:bookmarkStart w:id="190" w:name="_Toc22505"/>
      <w:bookmarkStart w:id="191" w:name="_Toc14869"/>
      <w:r>
        <w:rPr>
          <w:rFonts w:ascii="Times New Roman" w:hAnsi="Times New Roman" w:cs="Times New Roman"/>
          <w:b/>
          <w:bCs/>
          <w:color w:val="000000" w:themeColor="text1"/>
          <w:kern w:val="44"/>
          <w:sz w:val="24"/>
          <w:szCs w:val="24"/>
        </w:rPr>
        <w:t>2.5加油站工艺流程基本情况</w:t>
      </w:r>
      <w:bookmarkEnd w:id="185"/>
      <w:bookmarkEnd w:id="186"/>
      <w:bookmarkEnd w:id="187"/>
      <w:bookmarkEnd w:id="188"/>
      <w:bookmarkEnd w:id="189"/>
      <w:bookmarkEnd w:id="190"/>
      <w:bookmarkEnd w:id="191"/>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192" w:name="_Toc14471_WPSOffice_Level3"/>
      <w:bookmarkStart w:id="193" w:name="_Toc532817018"/>
      <w:bookmarkStart w:id="194" w:name="_Toc23733_WPSOffice_Level3"/>
      <w:bookmarkStart w:id="195" w:name="_Toc18545_WPSOffice_Level3"/>
      <w:bookmarkStart w:id="196" w:name="_Toc8689_WPSOffice_Level3"/>
      <w:bookmarkStart w:id="197" w:name="_Toc5122"/>
      <w:bookmarkStart w:id="198" w:name="_Toc6417_WPSOffice_Level3"/>
      <w:bookmarkStart w:id="199" w:name="_Toc21743"/>
      <w:r>
        <w:rPr>
          <w:rFonts w:ascii="Times New Roman" w:hAnsi="Times New Roman" w:cs="Times New Roman"/>
          <w:b/>
          <w:bCs/>
          <w:color w:val="000000" w:themeColor="text1"/>
          <w:kern w:val="44"/>
          <w:sz w:val="24"/>
          <w:szCs w:val="24"/>
        </w:rPr>
        <w:t>2.5.1油品消耗</w:t>
      </w:r>
      <w:bookmarkEnd w:id="192"/>
      <w:bookmarkEnd w:id="193"/>
      <w:bookmarkEnd w:id="194"/>
      <w:bookmarkEnd w:id="195"/>
      <w:bookmarkEnd w:id="196"/>
      <w:bookmarkEnd w:id="197"/>
      <w:bookmarkEnd w:id="198"/>
      <w:bookmarkEnd w:id="199"/>
    </w:p>
    <w:p>
      <w:pPr>
        <w:spacing w:line="500" w:lineRule="exact"/>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加油站主要经营汽油、柴油，加油站年经营规模为12000t/a。</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00" w:name="_Toc22307_WPSOffice_Level3"/>
      <w:bookmarkStart w:id="201" w:name="_Toc532817019"/>
      <w:bookmarkStart w:id="202" w:name="_Toc23302"/>
      <w:bookmarkStart w:id="203" w:name="_Toc5698_WPSOffice_Level3"/>
      <w:bookmarkStart w:id="204" w:name="_Toc29921_WPSOffice_Level3"/>
      <w:bookmarkStart w:id="205" w:name="_Toc9309_WPSOffice_Level3"/>
      <w:bookmarkStart w:id="206" w:name="_Toc12126_WPSOffice_Level3"/>
      <w:bookmarkStart w:id="207" w:name="_Toc20075"/>
      <w:r>
        <w:rPr>
          <w:rFonts w:ascii="Times New Roman" w:hAnsi="Times New Roman" w:cs="Times New Roman"/>
          <w:b/>
          <w:bCs/>
          <w:color w:val="000000" w:themeColor="text1"/>
          <w:kern w:val="44"/>
          <w:sz w:val="24"/>
          <w:szCs w:val="24"/>
        </w:rPr>
        <w:t>2.5.2生产工艺流程及产污节点</w:t>
      </w:r>
      <w:bookmarkEnd w:id="200"/>
      <w:bookmarkEnd w:id="201"/>
      <w:bookmarkEnd w:id="202"/>
      <w:bookmarkEnd w:id="203"/>
      <w:bookmarkEnd w:id="204"/>
      <w:bookmarkEnd w:id="205"/>
      <w:bookmarkEnd w:id="206"/>
      <w:bookmarkEnd w:id="207"/>
    </w:p>
    <w:p>
      <w:pPr>
        <w:pStyle w:val="6"/>
        <w:spacing w:line="520" w:lineRule="exact"/>
        <w:ind w:firstLine="480"/>
        <w:contextualSpacing/>
        <w:rPr>
          <w:color w:val="000000" w:themeColor="text1"/>
          <w:sz w:val="24"/>
        </w:rPr>
      </w:pPr>
      <w:r>
        <w:rPr>
          <w:color w:val="000000" w:themeColor="text1"/>
          <w:sz w:val="24"/>
        </w:rPr>
        <w:t>本项目生产工艺流程及产污环节见图2-4。</w:t>
      </w:r>
    </w:p>
    <w:p>
      <w:pPr>
        <w:pStyle w:val="6"/>
        <w:spacing w:line="520" w:lineRule="exact"/>
        <w:ind w:firstLine="419" w:firstLineChars="149"/>
        <w:contextualSpacing/>
        <w:rPr>
          <w:sz w:val="24"/>
        </w:rPr>
      </w:pPr>
      <w:r>
        <w:rPr>
          <w:b/>
          <w:sz w:val="28"/>
        </w:rPr>
        <w:pict>
          <v:shape id="文本框 194" o:spid="_x0000_s1036" o:spt="202" type="#_x0000_t202" style="position:absolute;left:0pt;margin-left:286.9pt;margin-top:5.05pt;height:22.5pt;width:47.2pt;z-index:25163878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">
            <v:path/>
            <v:fill on="f" focussize="0,0"/>
            <v:stroke on="f" joinstyle="miter"/>
            <v:imagedata o:title=""/>
            <o:lock v:ext="edit"/>
            <v:textbox>
              <w:txbxContent>
                <w:p>
                  <w:pPr>
                    <w:ind w:firstLine="482"/>
                    <w:rPr>
                      <w:b/>
                      <w:sz w:val="24"/>
                    </w:rPr>
                  </w:pPr>
                  <w:r>
                    <w:rPr>
                      <w:rFonts w:hint="eastAsia"/>
                      <w:b/>
                      <w:sz w:val="24"/>
                    </w:rPr>
                    <w:t>废气</w:t>
                  </w:r>
                </w:p>
              </w:txbxContent>
            </v:textbox>
          </v:shape>
        </w:pict>
      </w:r>
      <w:r>
        <w:rPr>
          <w:b/>
          <w:sz w:val="28"/>
        </w:rPr>
        <w:pict>
          <v:line id="直接连接符 155" o:spid="_x0000_s1053" o:spt="20" style="position:absolute;left:0pt;flip:y;margin-left:286.9pt;margin-top:5.05pt;height:16.5pt;width:0pt;z-index:25163059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">
            <v:path arrowok="t"/>
            <v:fill focussize="0,0"/>
            <v:stroke dashstyle="dash" endarrow="block"/>
            <v:imagedata o:title=""/>
            <o:lock v:ext="edit"/>
          </v:line>
        </w:pict>
      </w:r>
      <w:r>
        <w:rPr>
          <w:sz w:val="24"/>
        </w:rPr>
        <w:pict>
          <v:line id="直接连接符 154" o:spid="_x0000_s1052" o:spt="20" style="position:absolute;left:0pt;flip:y;margin-left:157pt;margin-top:1.05pt;height:20.5pt;width:0pt;z-index:25162649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">
            <v:path arrowok="t"/>
            <v:fill focussize="0,0"/>
            <v:stroke dashstyle="dash" endarrow="block"/>
            <v:imagedata o:title=""/>
            <o:lock v:ext="edit"/>
          </v:line>
        </w:pict>
      </w:r>
    </w:p>
    <w:p>
      <w:pPr>
        <w:ind w:firstLine="562" w:firstLineChars="200"/>
        <w:jc w:val="center"/>
        <w:rPr>
          <w:rFonts w:ascii="Times New Roman" w:hAnsi="Times New Roman" w:cs="Times New Roman"/>
          <w:b/>
          <w:color w:val="000000" w:themeColor="text1"/>
          <w:sz w:val="24"/>
        </w:rPr>
      </w:pPr>
      <w:r>
        <w:rPr>
          <w:rFonts w:ascii="Times New Roman" w:hAnsi="Times New Roman" w:cs="Times New Roman"/>
          <w:b/>
          <w:sz w:val="28"/>
        </w:rPr>
        <w:pict>
          <v:shape id="文本框 195" o:spid="_x0000_s1035" o:spt="202" type="#_x0000_t202" style="position:absolute;left:0pt;margin-left:150.2pt;margin-top:-24.95pt;height:22.5pt;width:47.2pt;z-index:251634688;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">
            <v:path/>
            <v:fill on="f" focussize="0,0"/>
            <v:stroke on="f" joinstyle="miter"/>
            <v:imagedata o:title=""/>
            <o:lock v:ext="edit"/>
            <v:textbox>
              <w:txbxContent>
                <w:p>
                  <w:pPr>
                    <w:ind w:firstLine="482"/>
                    <w:rPr>
                      <w:b/>
                      <w:sz w:val="24"/>
                    </w:rPr>
                  </w:pPr>
                  <w:r>
                    <w:rPr>
                      <w:rFonts w:hint="eastAsia"/>
                      <w:b/>
                      <w:sz w:val="24"/>
                    </w:rPr>
                    <w:t>废气</w:t>
                  </w:r>
                </w:p>
              </w:txbxContent>
            </v:textbox>
          </v:shape>
        </w:pict>
      </w:r>
      <w:r>
        <w:rPr>
          <w:rFonts w:ascii="Times New Roman" w:hAnsi="Times New Roman" w:cs="Times New Roman"/>
        </w:rPr>
        <w:object>
          <v:shape id="_x0000_i1027" o:spt="75" type="#_x0000_t75" style="height:84.45pt;width:447.25pt;" o:ole="t" filled="f" o:preferrelative="t" stroked="f" coordsize="21600,21600">
            <v:path/>
            <v:fill on="f" focussize="0,0"/>
            <v:stroke on="f" joinstyle="miter"/>
            <v:imagedata r:id="rId17" o:title=""/>
            <o:lock v:ext="edit" aspectratio="t"/>
            <w10:wrap type="none"/>
            <w10:anchorlock/>
          </v:shape>
          <o:OLEObject Type="Embed" ProgID="Visio.Drawing.11" ShapeID="_x0000_i1027" DrawAspect="Content" ObjectID="_1468075727" r:id="rId16">
            <o:LockedField>false</o:LockedField>
          </o:OLEObject>
        </w:object>
      </w:r>
      <w:r>
        <w:rPr>
          <w:rFonts w:ascii="Times New Roman" w:hAnsi="Times New Roman" w:cs="Times New Roman"/>
          <w:b/>
          <w:color w:val="000000" w:themeColor="text1"/>
          <w:spacing w:val="4"/>
          <w:sz w:val="24"/>
          <w:szCs w:val="24"/>
        </w:rPr>
        <w:t xml:space="preserve">图2-4 </w:t>
      </w:r>
      <w:r>
        <w:rPr>
          <w:rFonts w:ascii="Times New Roman" w:hAnsi="Times New Roman" w:cs="Times New Roman"/>
          <w:b/>
          <w:color w:val="000000" w:themeColor="text1"/>
          <w:sz w:val="24"/>
        </w:rPr>
        <w:t>生产工艺流程及产污环节图</w:t>
      </w:r>
    </w:p>
    <w:p>
      <w:pPr>
        <w:ind w:firstLine="498" w:firstLineChars="200"/>
        <w:jc w:val="center"/>
        <w:rPr>
          <w:rFonts w:ascii="Times New Roman" w:hAnsi="Times New Roman" w:cs="Times New Roman"/>
          <w:b/>
          <w:color w:val="000000" w:themeColor="text1"/>
          <w:spacing w:val="4"/>
          <w:sz w:val="24"/>
          <w:szCs w:val="24"/>
        </w:rPr>
      </w:pPr>
    </w:p>
    <w:p>
      <w:pPr>
        <w:pStyle w:val="6"/>
        <w:spacing w:line="360" w:lineRule="auto"/>
        <w:ind w:leftChars="-1" w:hanging="2" w:hangingChars="1"/>
        <w:contextualSpacing/>
        <w:rPr>
          <w:sz w:val="24"/>
        </w:rPr>
      </w:pPr>
      <w:bookmarkStart w:id="208" w:name="_Toc29772_WPSOffice_Level3"/>
      <w:bookmarkStart w:id="209" w:name="_Toc10928_WPSOffice_Level3"/>
      <w:bookmarkStart w:id="210" w:name="_Toc20889_WPSOffice_Level3"/>
      <w:bookmarkStart w:id="211" w:name="_Toc20801"/>
      <w:bookmarkStart w:id="212" w:name="_Toc30548_WPSOffice_Level3"/>
      <w:bookmarkStart w:id="213" w:name="_Toc28214_WPSOffice_Level3"/>
      <w:bookmarkStart w:id="214" w:name="_Toc532817020"/>
      <w:r>
        <w:rPr>
          <w:sz w:val="24"/>
        </w:rPr>
        <w:t>项目加油工艺流程主要有卸油和加油两个环节，具体为：</w:t>
      </w:r>
    </w:p>
    <w:p>
      <w:pPr>
        <w:spacing w:line="520" w:lineRule="exact"/>
        <w:ind w:firstLine="480" w:firstLineChars="200"/>
        <w:contextualSpacing/>
        <w:rPr>
          <w:rFonts w:ascii="Times New Roman" w:hAnsi="Times New Roman" w:cs="Times New Roman"/>
          <w:sz w:val="24"/>
        </w:rPr>
      </w:pPr>
      <w:r>
        <w:rPr>
          <w:rFonts w:ascii="Times New Roman" w:hAnsi="Times New Roman" w:cs="Times New Roman"/>
          <w:sz w:val="24"/>
        </w:rPr>
        <w:t>①卸油：加油站油品来自汽车罐车，罐车进站后熄火，进行静电接地，待罐车静置15min后打开油罐车口盖，接好卸油管，使接头接合紧密，卸油管自然弯曲，油品经密闭卸油口卸入对应的油罐内储存。卸油完毕，关闭罐车卸油阀门，拆除卸油管，锁好卸油口，收回静电接地线。油罐设有液位仪检测油罐液位，液位超过设定值后，发出报警信号。</w:t>
      </w:r>
    </w:p>
    <w:p>
      <w:pPr>
        <w:spacing w:line="520" w:lineRule="exact"/>
        <w:ind w:firstLine="480" w:firstLineChars="200"/>
        <w:contextualSpacing/>
        <w:rPr>
          <w:rFonts w:ascii="Times New Roman" w:hAnsi="Times New Roman" w:cs="Times New Roman"/>
          <w:sz w:val="24"/>
        </w:rPr>
      </w:pPr>
      <w:r>
        <w:rPr>
          <w:rFonts w:ascii="Times New Roman" w:hAnsi="Times New Roman" w:cs="Times New Roman"/>
          <w:sz w:val="24"/>
        </w:rPr>
        <w:t>②加油：加油车辆到达加油位置后，停车熄火，开启油箱，加油员在加油机上预置加油数量，经确认油品无误后，提枪加油，油品经泵进入加油枪然后注入汽车油箱内。</w:t>
      </w:r>
    </w:p>
    <w:p>
      <w:pPr>
        <w:pStyle w:val="6"/>
        <w:spacing w:line="520" w:lineRule="exact"/>
        <w:ind w:firstLine="480"/>
        <w:contextualSpacing/>
        <w:rPr>
          <w:sz w:val="24"/>
        </w:rPr>
      </w:pPr>
      <w:r>
        <w:rPr>
          <w:sz w:val="24"/>
        </w:rPr>
        <w:t>③油气回收：项目目前采用一次油气回收设施、二次油气回收设施，将加装三次油气回收设施，故本次评价按三级油气进行。</w:t>
      </w:r>
    </w:p>
    <w:p>
      <w:pPr>
        <w:pStyle w:val="6"/>
        <w:spacing w:line="520" w:lineRule="exact"/>
        <w:ind w:firstLine="480"/>
        <w:contextualSpacing/>
        <w:rPr>
          <w:sz w:val="24"/>
        </w:rPr>
      </w:pPr>
      <w:r>
        <w:rPr>
          <w:sz w:val="24"/>
        </w:rPr>
        <w:t>一次油气回收指专用油罐车卸油到加油站的储油罐中，将加油站储油罐中的油蒸汽通过密闭方式收集到油罐车内，运送到加油站外的储油库集中回收变成汽油，限制油气向大气中排放。具体步骤为：</w:t>
      </w:r>
    </w:p>
    <w:p>
      <w:pPr>
        <w:widowControl/>
        <w:spacing w:line="520" w:lineRule="exact"/>
        <w:ind w:firstLine="480" w:firstLineChars="200"/>
        <w:contextualSpacing/>
        <w:jc w:val="left"/>
        <w:rPr>
          <w:rFonts w:ascii="Times New Roman" w:hAnsi="Times New Roman" w:cs="Times New Roman"/>
          <w:kern w:val="0"/>
          <w:sz w:val="24"/>
        </w:rPr>
      </w:pPr>
      <w:r>
        <w:rPr>
          <w:rFonts w:ascii="Times New Roman" w:hAnsi="Times New Roman" w:cs="Times New Roman"/>
          <w:kern w:val="0"/>
          <w:sz w:val="24"/>
        </w:rPr>
        <w:t>卸油时，卸油软管连接罐车出油口和罐区卸油口，油气回收软管连接罐车油气回收口和卸油口的油气回收管道接口。当罐车内汽油流入加油站汽油罐时，汽油罐内油气通过通气管连通管进入到低标号汽油罐内，再通过油气回收管道流入到罐车内，整个过程中无油气排放。卸油时由于通气管上安装有压力真空阀，在设定工作压力内不会开启，不会造成油气通过通气管的排放。</w:t>
      </w:r>
    </w:p>
    <w:p>
      <w:pPr>
        <w:widowControl/>
        <w:spacing w:line="360" w:lineRule="auto"/>
        <w:ind w:firstLine="11" w:firstLineChars="5"/>
        <w:contextualSpacing/>
        <w:jc w:val="center"/>
        <w:rPr>
          <w:rFonts w:ascii="Times New Roman" w:hAnsi="Times New Roman" w:cs="Times New Roman"/>
          <w:kern w:val="0"/>
          <w:sz w:val="24"/>
        </w:rPr>
      </w:pPr>
      <w:r>
        <w:rPr>
          <w:rFonts w:ascii="Times New Roman" w:hAnsi="Times New Roman" w:cs="Times New Roman"/>
          <w:kern w:val="0"/>
          <w:sz w:val="22"/>
        </w:rPr>
        <w:drawing>
          <wp:inline distT="0" distB="0" distL="0" distR="0">
            <wp:extent cx="4846320" cy="2590800"/>
            <wp:effectExtent l="19050" t="0" r="0" b="0"/>
            <wp:docPr id="5" name="图片 134" descr="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4" descr="１"/>
                    <pic:cNvPicPr>
                      <a:picLocks noChangeAspect="1" noChangeArrowheads="1"/>
                    </pic:cNvPicPr>
                  </pic:nvPicPr>
                  <pic:blipFill>
                    <a:blip r:embed="rId18"/>
                    <a:srcRect/>
                    <a:stretch>
                      <a:fillRect/>
                    </a:stretch>
                  </pic:blipFill>
                  <pic:spPr>
                    <a:xfrm>
                      <a:off x="0" y="0"/>
                      <a:ext cx="4846320" cy="2590800"/>
                    </a:xfrm>
                    <a:prstGeom prst="rect">
                      <a:avLst/>
                    </a:prstGeom>
                    <a:noFill/>
                    <a:ln w="9525">
                      <a:noFill/>
                      <a:miter lim="800000"/>
                      <a:headEnd/>
                      <a:tailEnd/>
                    </a:ln>
                  </pic:spPr>
                </pic:pic>
              </a:graphicData>
            </a:graphic>
          </wp:inline>
        </w:drawing>
      </w:r>
    </w:p>
    <w:p>
      <w:pPr>
        <w:pStyle w:val="6"/>
        <w:spacing w:line="520" w:lineRule="exact"/>
        <w:ind w:firstLine="480"/>
        <w:contextualSpacing/>
        <w:rPr>
          <w:sz w:val="24"/>
        </w:rPr>
      </w:pPr>
      <w:r>
        <w:rPr>
          <w:sz w:val="24"/>
        </w:rPr>
        <w:t>二次油气回收指在给汽车油箱加油时，利用加油枪特殊装置，将原本由汽车油箱逸散于空气中的油气经加油枪、抽气泵回收入地下油罐内。</w:t>
      </w:r>
    </w:p>
    <w:p>
      <w:pPr>
        <w:pStyle w:val="6"/>
        <w:spacing w:line="520" w:lineRule="exact"/>
        <w:ind w:firstLine="480"/>
        <w:contextualSpacing/>
        <w:rPr>
          <w:sz w:val="24"/>
        </w:rPr>
      </w:pPr>
      <w:r>
        <w:rPr>
          <w:sz w:val="24"/>
        </w:rPr>
        <w:t>项目采用油气回收专用油枪，加油满至枪头回气孔时，可自动跳脱，另在回气孔之后有八个油气回收孔，真空泵将油气通过密闭方式收集进入埋地油罐，可有效将加油时所造成的油气逸散降到最低。加油过程中加油与吸气比例接近1:1，保证每发1L油可回收相当于1L体积的油气，确保加油过程中油气回收顺利完成。</w:t>
      </w:r>
      <w:r>
        <w:rPr>
          <w:kern w:val="24"/>
          <w:sz w:val="24"/>
        </w:rPr>
        <w:t>油气回收管线应坡向油罐，坡度不应小于1%；加油软管应配备拉断截止阀，加油时应防止溢油和滴油。</w:t>
      </w:r>
    </w:p>
    <w:p>
      <w:pPr>
        <w:pStyle w:val="6"/>
        <w:spacing w:line="360" w:lineRule="auto"/>
        <w:ind w:firstLine="11" w:firstLineChars="5"/>
        <w:contextualSpacing/>
        <w:jc w:val="center"/>
        <w:rPr>
          <w:kern w:val="0"/>
          <w:sz w:val="22"/>
          <w:szCs w:val="22"/>
        </w:rPr>
      </w:pPr>
      <w:r>
        <w:rPr>
          <w:kern w:val="0"/>
          <w:sz w:val="22"/>
          <w:szCs w:val="22"/>
        </w:rPr>
        <w:drawing>
          <wp:inline distT="0" distB="0" distL="0" distR="0">
            <wp:extent cx="4305300" cy="2468880"/>
            <wp:effectExtent l="19050" t="0" r="0" b="0"/>
            <wp:docPr id="4" name="图片 135" descr="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5" descr="２"/>
                    <pic:cNvPicPr>
                      <a:picLocks noChangeAspect="1" noChangeArrowheads="1"/>
                    </pic:cNvPicPr>
                  </pic:nvPicPr>
                  <pic:blipFill>
                    <a:blip r:embed="rId19"/>
                    <a:srcRect/>
                    <a:stretch>
                      <a:fillRect/>
                    </a:stretch>
                  </pic:blipFill>
                  <pic:spPr>
                    <a:xfrm>
                      <a:off x="0" y="0"/>
                      <a:ext cx="4305300" cy="2468880"/>
                    </a:xfrm>
                    <a:prstGeom prst="rect">
                      <a:avLst/>
                    </a:prstGeom>
                    <a:noFill/>
                    <a:ln w="9525">
                      <a:noFill/>
                      <a:miter lim="800000"/>
                      <a:headEnd/>
                      <a:tailEnd/>
                    </a:ln>
                  </pic:spPr>
                </pic:pic>
              </a:graphicData>
            </a:graphic>
          </wp:inline>
        </w:drawing>
      </w:r>
    </w:p>
    <w:p>
      <w:pPr>
        <w:pStyle w:val="6"/>
        <w:spacing w:line="360" w:lineRule="auto"/>
        <w:ind w:firstLine="491" w:firstLineChars="205"/>
        <w:contextualSpacing/>
        <w:rPr>
          <w:sz w:val="24"/>
        </w:rPr>
      </w:pPr>
      <w:r>
        <w:rPr>
          <w:sz w:val="24"/>
        </w:rPr>
        <w:t>三次油气回收是指油气排放处理装置。油气排放处理装置一般是指对加油油气回收系统收集的油气进行回收处理的装置。处理的是带有回收油气功能的加油枪在气液比大于1时多收集并从排气管路排放的油气以及埋地油罐随大气压和气温变化产生正压时排放的油气。该系统可以使汽油罐的油气排放基本为零，显著提高加油站的本质安全水平。</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15" w:name="_Toc3854"/>
      <w:r>
        <w:rPr>
          <w:rFonts w:ascii="Times New Roman" w:hAnsi="Times New Roman" w:cs="Times New Roman"/>
          <w:b/>
          <w:bCs/>
          <w:color w:val="000000" w:themeColor="text1"/>
          <w:kern w:val="44"/>
          <w:sz w:val="24"/>
          <w:szCs w:val="24"/>
        </w:rPr>
        <w:t>2.5.3 公辅工程及主要设备设施</w:t>
      </w:r>
      <w:bookmarkEnd w:id="208"/>
      <w:bookmarkEnd w:id="209"/>
      <w:bookmarkEnd w:id="210"/>
      <w:bookmarkEnd w:id="211"/>
      <w:bookmarkEnd w:id="212"/>
      <w:bookmarkEnd w:id="213"/>
      <w:bookmarkEnd w:id="214"/>
      <w:bookmarkEnd w:id="215"/>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（1）供电</w:t>
      </w:r>
    </w:p>
    <w:p>
      <w:pPr>
        <w:spacing w:line="500" w:lineRule="exact"/>
        <w:ind w:firstLine="480" w:firstLineChars="200"/>
        <w:rPr>
          <w:rFonts w:ascii="Times New Roman" w:hAnsi="Times New Roman" w:cs="Times New Roman"/>
          <w:sz w:val="24"/>
          <w:szCs w:val="24"/>
        </w:rPr>
      </w:pPr>
      <w:r>
        <w:rPr>
          <w:rFonts w:ascii="Times New Roman" w:hAnsi="Times New Roman" w:cs="Times New Roman"/>
          <w:sz w:val="24"/>
          <w:szCs w:val="24"/>
        </w:rPr>
        <w:t>由市政供电管网提供。</w:t>
      </w: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（2）供水</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市政给水管道给水；用水主要为职工日常生活用水；项目劳动定员12人，设置三班，一班4人次，8小时一班，不设置食堂和宿舍，每人每班水量按80L/d，产生量约为0.96m³/d（350.4t/a），排放量约为0.768m³/d（280.32t/a）。项目经油水分离池、化粪池处理后，排入市政污水管网。</w:t>
      </w: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（3）主要设备设施</w:t>
      </w:r>
    </w:p>
    <w:p>
      <w:pPr>
        <w:spacing w:line="360" w:lineRule="auto"/>
        <w:ind w:firstLine="480"/>
        <w:contextualSpacing/>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加油站主要设备设施见下表。</w:t>
      </w:r>
    </w:p>
    <w:p>
      <w:pPr>
        <w:spacing w:line="360" w:lineRule="auto"/>
        <w:ind w:firstLine="482"/>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表2-2 主要设备一览表</w:t>
      </w:r>
    </w:p>
    <w:tbl>
      <w:tblPr>
        <w:tblStyle w:val="16"/>
        <w:tblW w:w="831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092"/>
        <w:gridCol w:w="2027"/>
        <w:gridCol w:w="2067"/>
        <w:gridCol w:w="1224"/>
        <w:gridCol w:w="190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092" w:type="dxa"/>
            <w:vAlign w:val="center"/>
          </w:tcPr>
          <w:p>
            <w:pPr>
              <w:pStyle w:val="27"/>
              <w:spacing w:line="360" w:lineRule="exact"/>
              <w:ind w:firstLine="482"/>
              <w:rPr>
                <w:rFonts w:ascii="Times New Roman" w:hAnsi="Times New Roman" w:cs="Times New Roman"/>
                <w:b/>
                <w:color w:val="000000" w:themeColor="text1"/>
                <w:spacing w:val="0"/>
              </w:rPr>
            </w:pPr>
            <w:r>
              <w:rPr>
                <w:rFonts w:ascii="Times New Roman" w:hAnsi="Times New Roman" w:cs="Times New Roman"/>
                <w:b/>
                <w:color w:val="000000" w:themeColor="text1"/>
                <w:spacing w:val="0"/>
              </w:rPr>
              <w:t>序号</w:t>
            </w:r>
          </w:p>
        </w:tc>
        <w:tc>
          <w:tcPr>
            <w:tcW w:w="2027" w:type="dxa"/>
            <w:vAlign w:val="center"/>
          </w:tcPr>
          <w:p>
            <w:pPr>
              <w:pStyle w:val="27"/>
              <w:spacing w:line="360" w:lineRule="exact"/>
              <w:ind w:firstLine="482"/>
              <w:rPr>
                <w:rFonts w:ascii="Times New Roman" w:hAnsi="Times New Roman" w:cs="Times New Roman"/>
                <w:b/>
                <w:color w:val="000000" w:themeColor="text1"/>
                <w:spacing w:val="0"/>
              </w:rPr>
            </w:pPr>
            <w:r>
              <w:rPr>
                <w:rFonts w:ascii="Times New Roman" w:hAnsi="Times New Roman" w:cs="Times New Roman"/>
                <w:b/>
                <w:color w:val="000000" w:themeColor="text1"/>
                <w:spacing w:val="0"/>
              </w:rPr>
              <w:t>名称</w:t>
            </w:r>
          </w:p>
        </w:tc>
        <w:tc>
          <w:tcPr>
            <w:tcW w:w="2067" w:type="dxa"/>
            <w:vAlign w:val="center"/>
          </w:tcPr>
          <w:p>
            <w:pPr>
              <w:pStyle w:val="27"/>
              <w:spacing w:line="360" w:lineRule="exact"/>
              <w:ind w:firstLine="482"/>
              <w:rPr>
                <w:rFonts w:ascii="Times New Roman" w:hAnsi="Times New Roman" w:cs="Times New Roman"/>
                <w:b/>
                <w:color w:val="000000" w:themeColor="text1"/>
                <w:spacing w:val="0"/>
              </w:rPr>
            </w:pPr>
            <w:r>
              <w:rPr>
                <w:rFonts w:ascii="Times New Roman" w:hAnsi="Times New Roman" w:cs="Times New Roman"/>
                <w:b/>
                <w:color w:val="000000" w:themeColor="text1"/>
                <w:spacing w:val="0"/>
              </w:rPr>
              <w:t>规格</w:t>
            </w:r>
          </w:p>
        </w:tc>
        <w:tc>
          <w:tcPr>
            <w:tcW w:w="1224" w:type="dxa"/>
            <w:vAlign w:val="center"/>
          </w:tcPr>
          <w:p>
            <w:pPr>
              <w:pStyle w:val="27"/>
              <w:spacing w:line="360" w:lineRule="exact"/>
              <w:ind w:firstLine="482"/>
              <w:rPr>
                <w:rFonts w:ascii="Times New Roman" w:hAnsi="Times New Roman" w:cs="Times New Roman"/>
                <w:b/>
                <w:color w:val="000000" w:themeColor="text1"/>
                <w:spacing w:val="0"/>
              </w:rPr>
            </w:pPr>
            <w:r>
              <w:rPr>
                <w:rFonts w:ascii="Times New Roman" w:hAnsi="Times New Roman" w:cs="Times New Roman"/>
                <w:b/>
                <w:color w:val="000000" w:themeColor="text1"/>
                <w:spacing w:val="0"/>
              </w:rPr>
              <w:t>数量</w:t>
            </w:r>
          </w:p>
        </w:tc>
        <w:tc>
          <w:tcPr>
            <w:tcW w:w="1902" w:type="dxa"/>
            <w:vAlign w:val="center"/>
          </w:tcPr>
          <w:p>
            <w:pPr>
              <w:pStyle w:val="27"/>
              <w:spacing w:line="360" w:lineRule="exact"/>
              <w:ind w:firstLine="482"/>
              <w:rPr>
                <w:rFonts w:ascii="Times New Roman" w:hAnsi="Times New Roman" w:cs="Times New Roman"/>
                <w:b/>
                <w:color w:val="000000" w:themeColor="text1"/>
                <w:spacing w:val="0"/>
              </w:rPr>
            </w:pPr>
            <w:r>
              <w:rPr>
                <w:rFonts w:ascii="Times New Roman" w:hAnsi="Times New Roman" w:cs="Times New Roman"/>
                <w:b/>
                <w:color w:val="000000" w:themeColor="text1"/>
                <w:spacing w:val="0"/>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092" w:type="dxa"/>
            <w:vAlign w:val="center"/>
          </w:tcPr>
          <w:p>
            <w:pPr>
              <w:pStyle w:val="27"/>
              <w:spacing w:line="360" w:lineRule="exact"/>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1</w:t>
            </w:r>
          </w:p>
        </w:tc>
        <w:tc>
          <w:tcPr>
            <w:tcW w:w="202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0#柴油储罐</w:t>
            </w:r>
          </w:p>
        </w:tc>
        <w:tc>
          <w:tcPr>
            <w:tcW w:w="206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30m³</w:t>
            </w:r>
          </w:p>
        </w:tc>
        <w:tc>
          <w:tcPr>
            <w:tcW w:w="1224"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1台</w:t>
            </w:r>
          </w:p>
        </w:tc>
        <w:tc>
          <w:tcPr>
            <w:tcW w:w="1902"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092" w:type="dxa"/>
            <w:vAlign w:val="center"/>
          </w:tcPr>
          <w:p>
            <w:pPr>
              <w:pStyle w:val="27"/>
              <w:spacing w:line="360" w:lineRule="exact"/>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2</w:t>
            </w:r>
          </w:p>
        </w:tc>
        <w:tc>
          <w:tcPr>
            <w:tcW w:w="202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92#汽油储罐</w:t>
            </w:r>
          </w:p>
        </w:tc>
        <w:tc>
          <w:tcPr>
            <w:tcW w:w="206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30m³</w:t>
            </w:r>
          </w:p>
        </w:tc>
        <w:tc>
          <w:tcPr>
            <w:tcW w:w="1224"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2台</w:t>
            </w:r>
          </w:p>
        </w:tc>
        <w:tc>
          <w:tcPr>
            <w:tcW w:w="1902"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092" w:type="dxa"/>
            <w:vAlign w:val="center"/>
          </w:tcPr>
          <w:p>
            <w:pPr>
              <w:pStyle w:val="27"/>
              <w:spacing w:line="360" w:lineRule="exact"/>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3</w:t>
            </w:r>
          </w:p>
        </w:tc>
        <w:tc>
          <w:tcPr>
            <w:tcW w:w="202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95#汽油储罐</w:t>
            </w:r>
          </w:p>
        </w:tc>
        <w:tc>
          <w:tcPr>
            <w:tcW w:w="206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30m³</w:t>
            </w:r>
          </w:p>
        </w:tc>
        <w:tc>
          <w:tcPr>
            <w:tcW w:w="1224"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1台</w:t>
            </w:r>
          </w:p>
        </w:tc>
        <w:tc>
          <w:tcPr>
            <w:tcW w:w="1902"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092" w:type="dxa"/>
            <w:vAlign w:val="center"/>
          </w:tcPr>
          <w:p>
            <w:pPr>
              <w:pStyle w:val="27"/>
              <w:spacing w:line="360" w:lineRule="exact"/>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4</w:t>
            </w:r>
          </w:p>
        </w:tc>
        <w:tc>
          <w:tcPr>
            <w:tcW w:w="202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97#汽油储罐</w:t>
            </w:r>
          </w:p>
        </w:tc>
        <w:tc>
          <w:tcPr>
            <w:tcW w:w="206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30m³</w:t>
            </w:r>
          </w:p>
        </w:tc>
        <w:tc>
          <w:tcPr>
            <w:tcW w:w="1224"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1台</w:t>
            </w:r>
          </w:p>
        </w:tc>
        <w:tc>
          <w:tcPr>
            <w:tcW w:w="1902"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092" w:type="dxa"/>
            <w:vAlign w:val="center"/>
          </w:tcPr>
          <w:p>
            <w:pPr>
              <w:pStyle w:val="27"/>
              <w:spacing w:line="360" w:lineRule="exact"/>
              <w:ind w:firstLine="480"/>
              <w:rPr>
                <w:rFonts w:ascii="Times New Roman" w:hAnsi="Times New Roman" w:cs="Times New Roman"/>
                <w:color w:val="000000" w:themeColor="text1"/>
                <w:spacing w:val="0"/>
              </w:rPr>
            </w:pPr>
            <w:r>
              <w:rPr>
                <w:rFonts w:ascii="Times New Roman" w:hAnsi="Times New Roman" w:cs="Times New Roman"/>
                <w:color w:val="000000" w:themeColor="text1"/>
                <w:spacing w:val="0"/>
              </w:rPr>
              <w:t>5</w:t>
            </w:r>
          </w:p>
        </w:tc>
        <w:tc>
          <w:tcPr>
            <w:tcW w:w="202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加油机</w:t>
            </w:r>
          </w:p>
        </w:tc>
        <w:tc>
          <w:tcPr>
            <w:tcW w:w="2067"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w:t>
            </w:r>
          </w:p>
        </w:tc>
        <w:tc>
          <w:tcPr>
            <w:tcW w:w="1224"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9台</w:t>
            </w:r>
          </w:p>
        </w:tc>
        <w:tc>
          <w:tcPr>
            <w:tcW w:w="1902" w:type="dxa"/>
            <w:vAlign w:val="center"/>
          </w:tcPr>
          <w:p>
            <w:pPr>
              <w:pStyle w:val="27"/>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共20枪</w:t>
            </w:r>
          </w:p>
        </w:tc>
      </w:tr>
    </w:tbl>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（4）消防</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本项目主要消防设施列于表2-4。</w:t>
      </w:r>
    </w:p>
    <w:p>
      <w:pPr>
        <w:spacing w:line="360" w:lineRule="auto"/>
        <w:ind w:firstLine="316" w:firstLineChars="150"/>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表2-3 主要消防设施一览表</w:t>
      </w:r>
    </w:p>
    <w:tbl>
      <w:tblPr>
        <w:tblStyle w:val="16"/>
        <w:tblW w:w="8403"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4" w:space="0"/>
        </w:tblBorders>
        <w:tblLayout w:type="fixed"/>
        <w:tblCellMar>
          <w:top w:w="0" w:type="dxa"/>
          <w:left w:w="108" w:type="dxa"/>
          <w:bottom w:w="0" w:type="dxa"/>
          <w:right w:w="108" w:type="dxa"/>
        </w:tblCellMar>
      </w:tblPr>
      <w:tblGrid>
        <w:gridCol w:w="855"/>
        <w:gridCol w:w="1484"/>
        <w:gridCol w:w="3108"/>
        <w:gridCol w:w="811"/>
        <w:gridCol w:w="749"/>
        <w:gridCol w:w="1396"/>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4" w:space="0"/>
          </w:tblBorders>
          <w:tblCellMar>
            <w:top w:w="0" w:type="dxa"/>
            <w:left w:w="108" w:type="dxa"/>
            <w:bottom w:w="0" w:type="dxa"/>
            <w:right w:w="108" w:type="dxa"/>
          </w:tblCellMar>
        </w:tblPrEx>
        <w:trPr>
          <w:jc w:val="center"/>
        </w:trPr>
        <w:tc>
          <w:tcPr>
            <w:tcW w:w="855"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序号</w:t>
            </w:r>
          </w:p>
        </w:tc>
        <w:tc>
          <w:tcPr>
            <w:tcW w:w="1484"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名称</w:t>
            </w:r>
          </w:p>
        </w:tc>
        <w:tc>
          <w:tcPr>
            <w:tcW w:w="3108"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规格</w:t>
            </w:r>
          </w:p>
        </w:tc>
        <w:tc>
          <w:tcPr>
            <w:tcW w:w="811"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单位</w:t>
            </w:r>
          </w:p>
        </w:tc>
        <w:tc>
          <w:tcPr>
            <w:tcW w:w="749"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数量</w:t>
            </w:r>
          </w:p>
        </w:tc>
        <w:tc>
          <w:tcPr>
            <w:tcW w:w="1396"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4" w:space="0"/>
          </w:tblBorders>
          <w:tblCellMar>
            <w:top w:w="0" w:type="dxa"/>
            <w:left w:w="108" w:type="dxa"/>
            <w:bottom w:w="0" w:type="dxa"/>
            <w:right w:w="108" w:type="dxa"/>
          </w:tblCellMar>
        </w:tblPrEx>
        <w:trPr>
          <w:trHeight w:val="248" w:hRule="atLeast"/>
          <w:jc w:val="center"/>
        </w:trPr>
        <w:tc>
          <w:tcPr>
            <w:tcW w:w="855"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1</w:t>
            </w:r>
          </w:p>
        </w:tc>
        <w:tc>
          <w:tcPr>
            <w:tcW w:w="1484"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手提式灭火器</w:t>
            </w:r>
          </w:p>
        </w:tc>
        <w:tc>
          <w:tcPr>
            <w:tcW w:w="3108"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MJPZ6、MFTABC/50、MF/ABC4</w:t>
            </w:r>
          </w:p>
        </w:tc>
        <w:tc>
          <w:tcPr>
            <w:tcW w:w="811"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具</w:t>
            </w:r>
          </w:p>
        </w:tc>
        <w:tc>
          <w:tcPr>
            <w:tcW w:w="749"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17</w:t>
            </w:r>
          </w:p>
        </w:tc>
        <w:tc>
          <w:tcPr>
            <w:tcW w:w="1396"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4" w:space="0"/>
          </w:tblBorders>
          <w:tblCellMar>
            <w:top w:w="0" w:type="dxa"/>
            <w:left w:w="108" w:type="dxa"/>
            <w:bottom w:w="0" w:type="dxa"/>
            <w:right w:w="108" w:type="dxa"/>
          </w:tblCellMar>
        </w:tblPrEx>
        <w:trPr>
          <w:trHeight w:val="134" w:hRule="atLeast"/>
          <w:jc w:val="center"/>
        </w:trPr>
        <w:tc>
          <w:tcPr>
            <w:tcW w:w="855"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2</w:t>
            </w:r>
          </w:p>
        </w:tc>
        <w:tc>
          <w:tcPr>
            <w:tcW w:w="1484"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消防沙</w:t>
            </w:r>
          </w:p>
        </w:tc>
        <w:tc>
          <w:tcPr>
            <w:tcW w:w="3108"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2.5m³</w:t>
            </w:r>
          </w:p>
        </w:tc>
        <w:tc>
          <w:tcPr>
            <w:tcW w:w="811"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w:t>
            </w:r>
          </w:p>
        </w:tc>
        <w:tc>
          <w:tcPr>
            <w:tcW w:w="749"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w:t>
            </w:r>
          </w:p>
        </w:tc>
        <w:tc>
          <w:tcPr>
            <w:tcW w:w="1396"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4" w:space="0"/>
          </w:tblBorders>
          <w:tblCellMar>
            <w:top w:w="0" w:type="dxa"/>
            <w:left w:w="108" w:type="dxa"/>
            <w:bottom w:w="0" w:type="dxa"/>
            <w:right w:w="108" w:type="dxa"/>
          </w:tblCellMar>
        </w:tblPrEx>
        <w:trPr>
          <w:trHeight w:val="432" w:hRule="atLeast"/>
          <w:jc w:val="center"/>
        </w:trPr>
        <w:tc>
          <w:tcPr>
            <w:tcW w:w="855"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3</w:t>
            </w:r>
          </w:p>
        </w:tc>
        <w:tc>
          <w:tcPr>
            <w:tcW w:w="1484"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灭火毯</w:t>
            </w:r>
          </w:p>
        </w:tc>
        <w:tc>
          <w:tcPr>
            <w:tcW w:w="3108"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w:t>
            </w:r>
          </w:p>
        </w:tc>
        <w:tc>
          <w:tcPr>
            <w:tcW w:w="811"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块</w:t>
            </w:r>
          </w:p>
        </w:tc>
        <w:tc>
          <w:tcPr>
            <w:tcW w:w="749"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5</w:t>
            </w:r>
          </w:p>
        </w:tc>
        <w:tc>
          <w:tcPr>
            <w:tcW w:w="1396"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4" w:space="0"/>
          </w:tblBorders>
          <w:tblCellMar>
            <w:top w:w="0" w:type="dxa"/>
            <w:left w:w="108" w:type="dxa"/>
            <w:bottom w:w="0" w:type="dxa"/>
            <w:right w:w="108" w:type="dxa"/>
          </w:tblCellMar>
        </w:tblPrEx>
        <w:trPr>
          <w:trHeight w:val="239" w:hRule="atLeast"/>
          <w:jc w:val="center"/>
        </w:trPr>
        <w:tc>
          <w:tcPr>
            <w:tcW w:w="855"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4</w:t>
            </w:r>
          </w:p>
        </w:tc>
        <w:tc>
          <w:tcPr>
            <w:tcW w:w="1484"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消防锹</w:t>
            </w:r>
          </w:p>
        </w:tc>
        <w:tc>
          <w:tcPr>
            <w:tcW w:w="3108"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w:t>
            </w:r>
          </w:p>
        </w:tc>
        <w:tc>
          <w:tcPr>
            <w:tcW w:w="811"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把</w:t>
            </w:r>
          </w:p>
        </w:tc>
        <w:tc>
          <w:tcPr>
            <w:tcW w:w="749"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2</w:t>
            </w:r>
          </w:p>
        </w:tc>
        <w:tc>
          <w:tcPr>
            <w:tcW w:w="1396" w:type="dxa"/>
            <w:vAlign w:val="center"/>
          </w:tcPr>
          <w:p>
            <w:pPr>
              <w:spacing w:line="360" w:lineRule="auto"/>
              <w:jc w:val="center"/>
              <w:rPr>
                <w:rFonts w:ascii="Times New Roman" w:hAnsi="Times New Roman" w:cs="Times New Roman"/>
                <w:snapToGrid w:val="0"/>
                <w:color w:val="000000" w:themeColor="text1"/>
                <w:szCs w:val="21"/>
              </w:rPr>
            </w:pPr>
            <w:r>
              <w:rPr>
                <w:rFonts w:ascii="Times New Roman" w:hAnsi="Times New Roman" w:cs="Times New Roman"/>
                <w:snapToGrid w:val="0"/>
                <w:color w:val="000000" w:themeColor="text1"/>
                <w:szCs w:val="21"/>
              </w:rPr>
              <w:t>有效</w:t>
            </w:r>
          </w:p>
        </w:tc>
      </w:tr>
    </w:tbl>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16" w:name="_Toc30592_WPSOffice_Level3"/>
      <w:bookmarkStart w:id="217" w:name="_Toc31869_WPSOffice_Level3"/>
      <w:bookmarkStart w:id="218" w:name="_Toc31825_WPSOffice_Level3"/>
      <w:bookmarkStart w:id="219" w:name="_Toc5418"/>
      <w:bookmarkStart w:id="220" w:name="_Toc532817021"/>
      <w:bookmarkStart w:id="221" w:name="_Toc4133_WPSOffice_Level3"/>
      <w:bookmarkStart w:id="222" w:name="_Toc11135_WPSOffice_Level3"/>
      <w:bookmarkStart w:id="223" w:name="_Toc25685"/>
      <w:r>
        <w:rPr>
          <w:rFonts w:ascii="Times New Roman" w:hAnsi="Times New Roman" w:cs="Times New Roman"/>
          <w:b/>
          <w:bCs/>
          <w:color w:val="000000" w:themeColor="text1"/>
          <w:kern w:val="44"/>
          <w:sz w:val="24"/>
          <w:szCs w:val="24"/>
        </w:rPr>
        <w:t>2.5.4污染物产生及处置情况</w:t>
      </w:r>
      <w:bookmarkEnd w:id="216"/>
      <w:bookmarkEnd w:id="217"/>
      <w:bookmarkEnd w:id="218"/>
      <w:bookmarkEnd w:id="219"/>
      <w:bookmarkEnd w:id="220"/>
      <w:bookmarkEnd w:id="221"/>
      <w:bookmarkEnd w:id="222"/>
      <w:bookmarkEnd w:id="223"/>
    </w:p>
    <w:p>
      <w:pPr>
        <w:spacing w:line="500" w:lineRule="exact"/>
        <w:ind w:firstLine="480" w:firstLineChars="200"/>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lang w:val="zh-CN"/>
        </w:rPr>
        <w:t>运营期污染主要来自于成品油的运输、卸油、加油过程烃类的挥发，来往车辆的噪声、尾气、加油区地面清洁废水、员工和流动人员生活污水及固体废物（包括项目所产生的废手套、废抹布、废油渣、油泥、废油污及废弃消防沙等危险废物）。</w:t>
      </w:r>
    </w:p>
    <w:p>
      <w:pPr>
        <w:spacing w:line="500" w:lineRule="exact"/>
        <w:ind w:firstLine="480" w:firstLineChars="200"/>
        <w:rPr>
          <w:rFonts w:ascii="Times New Roman" w:hAnsi="Times New Roman" w:cs="Times New Roman"/>
          <w:color w:val="000000" w:themeColor="text1"/>
          <w:sz w:val="24"/>
          <w:szCs w:val="24"/>
        </w:rPr>
      </w:pPr>
      <w:bookmarkStart w:id="224" w:name="_Toc28214_WPSOffice_Level2"/>
      <w:bookmarkStart w:id="225" w:name="_Toc30548_WPSOffice_Level2"/>
      <w:bookmarkStart w:id="226" w:name="_Toc532817022"/>
      <w:bookmarkStart w:id="227" w:name="_Toc478051491"/>
      <w:bookmarkStart w:id="228" w:name="_Toc23733_WPSOffice_Level2"/>
      <w:bookmarkStart w:id="229" w:name="_Toc29772_WPSOffice_Level2"/>
      <w:bookmarkStart w:id="230" w:name="_Toc31826"/>
      <w:bookmarkStart w:id="231" w:name="_Toc10928_WPSOffice_Level2"/>
      <w:bookmarkStart w:id="232" w:name="_Toc532817023"/>
      <w:r>
        <w:rPr>
          <w:rFonts w:ascii="Times New Roman" w:hAnsi="Times New Roman" w:cs="Times New Roman"/>
          <w:color w:val="000000" w:themeColor="text1"/>
          <w:sz w:val="24"/>
          <w:szCs w:val="24"/>
        </w:rPr>
        <w:t>1、项目产生的油气经采用三级油气回收技术，一次油气回收技术将减少80%挥发到大气中的油气，二次油气回收技术将减少85%挥发到大气中的油气，三次油气回收技术将减少99%挥发到大气中的油气，处理措施经济技术可行。</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2、项目生活污水经油水隔离措施处理后直接排入附近沟渠，废水排放浓度不达标，能够满足《农田灌溉水质标准》（GB5084-2005）中水作标准相关要求，项目需要引进一套污水处理设施处理项目营运期产生的废水。</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3、项目所产生的生活垃圾由环卫部门集中清运，做到无害化处理；废油及油渣委托有危险废物处置资质的单位处置。固废做到了无害化综合处理，对周围环境影响没有影响。</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4、项目的噪声源治理采用基础减振、建筑物隔音、集中布置、绿化吸声等措施，这些降噪措施在技术上是成熟的，在经济上是合理的。</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由此可见，在各项环保措施落实的情况下，项目外排污染物能够达到相应标准的要求，对周围环境影响很小。</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233" w:name="_Toc923"/>
      <w:r>
        <w:rPr>
          <w:rFonts w:ascii="Times New Roman" w:hAnsi="Times New Roman" w:cs="Times New Roman"/>
          <w:b/>
          <w:bCs/>
          <w:color w:val="000000" w:themeColor="text1"/>
          <w:kern w:val="44"/>
          <w:sz w:val="24"/>
          <w:szCs w:val="24"/>
        </w:rPr>
        <w:t>2.6 项目水平衡</w:t>
      </w:r>
      <w:bookmarkEnd w:id="233"/>
    </w:p>
    <w:p>
      <w:pPr>
        <w:jc w:val="center"/>
        <w:rPr>
          <w:rFonts w:ascii="Times New Roman" w:hAnsi="Times New Roman" w:cs="Times New Roman"/>
        </w:rPr>
      </w:pPr>
      <w:r>
        <w:rPr>
          <w:rFonts w:ascii="Times New Roman" w:hAnsi="Times New Roman" w:cs="Times New Roman"/>
        </w:rPr>
        <w:drawing>
          <wp:inline distT="0" distB="0" distL="0" distR="0">
            <wp:extent cx="5160645" cy="2566035"/>
            <wp:effectExtent l="0" t="0" r="571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0"/>
                    <a:stretch>
                      <a:fillRect/>
                    </a:stretch>
                  </pic:blipFill>
                  <pic:spPr>
                    <a:xfrm>
                      <a:off x="0" y="0"/>
                      <a:ext cx="5160645" cy="2566035"/>
                    </a:xfrm>
                    <a:prstGeom prst="rect">
                      <a:avLst/>
                    </a:prstGeom>
                  </pic:spPr>
                </pic:pic>
              </a:graphicData>
            </a:graphic>
          </wp:inline>
        </w:drawing>
      </w:r>
    </w:p>
    <w:bookmarkEnd w:id="224"/>
    <w:bookmarkEnd w:id="225"/>
    <w:bookmarkEnd w:id="226"/>
    <w:bookmarkEnd w:id="227"/>
    <w:bookmarkEnd w:id="228"/>
    <w:bookmarkEnd w:id="229"/>
    <w:bookmarkEnd w:id="230"/>
    <w:bookmarkEnd w:id="231"/>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234" w:name="_Toc22307_WPSOffice_Level2"/>
      <w:bookmarkStart w:id="235" w:name="_Toc31825_WPSOffice_Level2"/>
      <w:bookmarkStart w:id="236" w:name="_Toc11135_WPSOffice_Level2"/>
      <w:bookmarkStart w:id="237" w:name="_Toc31265"/>
      <w:bookmarkStart w:id="238" w:name="_Toc31869_WPSOffice_Level2"/>
      <w:bookmarkStart w:id="239" w:name="_Toc30592_WPSOffice_Level2"/>
      <w:bookmarkStart w:id="240" w:name="_Toc23142"/>
      <w:r>
        <w:rPr>
          <w:rFonts w:ascii="Times New Roman" w:hAnsi="Times New Roman" w:cs="Times New Roman"/>
          <w:b/>
          <w:bCs/>
          <w:color w:val="000000" w:themeColor="text1"/>
          <w:kern w:val="44"/>
          <w:sz w:val="24"/>
          <w:szCs w:val="24"/>
        </w:rPr>
        <w:t>2.7 环境管理</w:t>
      </w:r>
      <w:bookmarkEnd w:id="232"/>
      <w:bookmarkEnd w:id="234"/>
      <w:bookmarkEnd w:id="235"/>
      <w:bookmarkEnd w:id="236"/>
      <w:bookmarkEnd w:id="237"/>
      <w:bookmarkEnd w:id="238"/>
      <w:bookmarkEnd w:id="239"/>
      <w:bookmarkEnd w:id="240"/>
      <w:r>
        <w:rPr>
          <w:rFonts w:ascii="Times New Roman" w:hAnsi="Times New Roman" w:cs="Times New Roman"/>
          <w:b/>
          <w:bCs/>
          <w:color w:val="000000" w:themeColor="text1"/>
          <w:kern w:val="44"/>
          <w:sz w:val="24"/>
          <w:szCs w:val="24"/>
        </w:rPr>
        <w:tab/>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环境管理是一项经常性的重要工作。环境管理的目的是为了使项目在整个运营期都严格遵守国家和地方的有关环境保护法律法规，监督和检查项目运营过程中环保措施的落实。环境管理机构职责是通过强化环境管理，使项目的运营取得明显的经济效益和环境效益。为了保证环境管理正常有效的进行，加油站必须设置管理机构，建立健全的管理制度及管理办法。环保管理人员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（1）督促项目环保治理措施、管理措施的实施；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（2）督促检查项目环保设施的建设及运行情况，并提出改善环境的建议及对策；</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（3）在加油站主要岗位设置环保应急卡，具体格式见附件九；</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（4）定期向各级主管部门汇报项目的环保工作情况。</w:t>
      </w:r>
    </w:p>
    <w:p>
      <w:pPr>
        <w:widowControl/>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241" w:name="_Toc1713_WPSOffice_Level1"/>
      <w:bookmarkStart w:id="242" w:name="_Toc7910_WPSOffice_Level1"/>
      <w:bookmarkStart w:id="243" w:name="_Toc7504_WPSOffice_Level1"/>
      <w:bookmarkStart w:id="244" w:name="_Toc30980_WPSOffice_Level1"/>
      <w:bookmarkStart w:id="245" w:name="_Toc532817024"/>
      <w:bookmarkStart w:id="246" w:name="_Toc15669_WPSOffice_Level1"/>
      <w:bookmarkStart w:id="247" w:name="_Toc17161"/>
      <w:bookmarkStart w:id="248" w:name="_Toc16991"/>
      <w:r>
        <w:rPr>
          <w:rFonts w:ascii="Times New Roman" w:hAnsi="Times New Roman" w:cs="Times New Roman"/>
          <w:b/>
          <w:bCs/>
          <w:color w:val="000000" w:themeColor="text1"/>
          <w:kern w:val="44"/>
          <w:sz w:val="30"/>
          <w:szCs w:val="30"/>
        </w:rPr>
        <w:t>3.环境风险源及环境风险评价</w:t>
      </w:r>
      <w:bookmarkEnd w:id="241"/>
      <w:bookmarkEnd w:id="242"/>
      <w:bookmarkEnd w:id="243"/>
      <w:bookmarkEnd w:id="244"/>
      <w:bookmarkEnd w:id="245"/>
      <w:bookmarkEnd w:id="246"/>
      <w:bookmarkEnd w:id="247"/>
      <w:bookmarkEnd w:id="248"/>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249" w:name="_Toc19654"/>
      <w:bookmarkStart w:id="250" w:name="_Toc532817025"/>
      <w:bookmarkStart w:id="251" w:name="_Toc4736_WPSOffice_Level2"/>
      <w:bookmarkStart w:id="252" w:name="_Toc17407_WPSOffice_Level2"/>
      <w:bookmarkStart w:id="253" w:name="_Toc10454"/>
      <w:bookmarkStart w:id="254" w:name="_Toc1713_WPSOffice_Level2"/>
      <w:bookmarkStart w:id="255" w:name="_Toc17534_WPSOffice_Level2"/>
      <w:bookmarkStart w:id="256" w:name="_Toc2157_WPSOffice_Level2"/>
      <w:bookmarkStart w:id="257" w:name="_Toc26326"/>
      <w:r>
        <w:rPr>
          <w:rFonts w:ascii="Times New Roman" w:hAnsi="Times New Roman" w:cs="Times New Roman"/>
          <w:b/>
          <w:bCs/>
          <w:color w:val="000000" w:themeColor="text1"/>
          <w:kern w:val="44"/>
          <w:sz w:val="24"/>
          <w:szCs w:val="24"/>
        </w:rPr>
        <w:t>3.1环境风险源识别</w:t>
      </w:r>
      <w:bookmarkEnd w:id="249"/>
      <w:bookmarkEnd w:id="250"/>
      <w:bookmarkEnd w:id="251"/>
      <w:bookmarkEnd w:id="252"/>
      <w:bookmarkEnd w:id="253"/>
      <w:bookmarkEnd w:id="254"/>
      <w:bookmarkEnd w:id="255"/>
      <w:bookmarkEnd w:id="256"/>
      <w:bookmarkEnd w:id="257"/>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58" w:name="_Toc4583_WPSOffice_Level3"/>
      <w:bookmarkStart w:id="259" w:name="_Toc1713_WPSOffice_Level3"/>
      <w:bookmarkStart w:id="260" w:name="_Toc16354"/>
      <w:bookmarkStart w:id="261" w:name="_Toc532817026"/>
      <w:bookmarkStart w:id="262" w:name="_Toc23861_WPSOffice_Level3"/>
      <w:bookmarkStart w:id="263" w:name="_Toc17283_WPSOffice_Level3"/>
      <w:bookmarkStart w:id="264" w:name="_Toc16098_WPSOffice_Level3"/>
      <w:bookmarkStart w:id="265" w:name="_Toc16377"/>
      <w:r>
        <w:rPr>
          <w:rFonts w:ascii="Times New Roman" w:hAnsi="Times New Roman" w:cs="Times New Roman"/>
          <w:b/>
          <w:bCs/>
          <w:color w:val="000000" w:themeColor="text1"/>
          <w:kern w:val="44"/>
          <w:sz w:val="24"/>
          <w:szCs w:val="24"/>
        </w:rPr>
        <w:t>3.1.1环境风险定义</w:t>
      </w:r>
      <w:bookmarkEnd w:id="258"/>
      <w:bookmarkEnd w:id="259"/>
      <w:bookmarkEnd w:id="260"/>
      <w:bookmarkEnd w:id="261"/>
      <w:bookmarkEnd w:id="262"/>
      <w:bookmarkEnd w:id="263"/>
      <w:bookmarkEnd w:id="264"/>
      <w:bookmarkEnd w:id="265"/>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的环境风险是指油品在运输、贮存和使用过程中，油品在失控情况下发生的突发事故对环境（或健康）的危害程度。这类事故发生的概率大小及事故造成的环境（或健康）后果影响程度与物料的性质、物料的泄漏量、工艺流程、管理以及防范补救措施等多种因素有关，较难用数字准确表示。但事故一旦发生，将对周围生态环境及人体健康造成比较严重的影响。</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66" w:name="_Toc3286_WPSOffice_Level3"/>
      <w:bookmarkStart w:id="267" w:name="_Toc7403_WPSOffice_Level3"/>
      <w:bookmarkStart w:id="268" w:name="_Toc15488"/>
      <w:bookmarkStart w:id="269" w:name="_Toc532817027"/>
      <w:bookmarkStart w:id="270" w:name="_Toc32434_WPSOffice_Level3"/>
      <w:bookmarkStart w:id="271" w:name="_Toc18826_WPSOffice_Level3"/>
      <w:bookmarkStart w:id="272" w:name="_Toc7088_WPSOffice_Level3"/>
      <w:bookmarkStart w:id="273" w:name="_Toc3565"/>
      <w:r>
        <w:rPr>
          <w:rFonts w:ascii="Times New Roman" w:hAnsi="Times New Roman" w:cs="Times New Roman"/>
          <w:b/>
          <w:bCs/>
          <w:color w:val="000000" w:themeColor="text1"/>
          <w:kern w:val="44"/>
          <w:sz w:val="24"/>
          <w:szCs w:val="24"/>
        </w:rPr>
        <w:t>3.1.2环境风险物质</w:t>
      </w:r>
      <w:bookmarkEnd w:id="266"/>
      <w:bookmarkEnd w:id="267"/>
      <w:bookmarkEnd w:id="268"/>
      <w:bookmarkEnd w:id="269"/>
      <w:bookmarkEnd w:id="270"/>
      <w:bookmarkEnd w:id="271"/>
      <w:bookmarkEnd w:id="272"/>
      <w:bookmarkEnd w:id="273"/>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（1）危险化学品情况</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本项目加油站主要经营：车用燃油（汽油、柴油），罐区设置5个储罐30m³的汽油、柴油储罐，总储油量为135m³。配设9台20枪单油品加油机，均采用潜油泵供油。</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（2）危险源识别</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fldChar w:fldCharType="begin"/>
      </w:r>
      <w:r>
        <w:rPr>
          <w:rFonts w:ascii="Times New Roman" w:hAnsi="Times New Roman" w:cs="Times New Roman"/>
          <w:b/>
          <w:bCs/>
          <w:color w:val="000000" w:themeColor="text1"/>
          <w:sz w:val="24"/>
          <w:szCs w:val="24"/>
        </w:rPr>
        <w:instrText xml:space="preserve"> = 1 \* GB3 </w:instrText>
      </w:r>
      <w:r>
        <w:rPr>
          <w:rFonts w:ascii="Times New Roman" w:hAnsi="Times New Roman" w:cs="Times New Roman"/>
          <w:b/>
          <w:bCs/>
          <w:color w:val="000000" w:themeColor="text1"/>
          <w:sz w:val="24"/>
          <w:szCs w:val="24"/>
        </w:rPr>
        <w:fldChar w:fldCharType="separate"/>
      </w:r>
      <w:r>
        <w:rPr>
          <w:rFonts w:ascii="Times New Roman" w:hAnsi="Times New Roman" w:eastAsia="宋体" w:cs="Times New Roman"/>
          <w:b/>
          <w:bCs/>
          <w:color w:val="000000" w:themeColor="text1"/>
          <w:sz w:val="24"/>
          <w:szCs w:val="24"/>
        </w:rPr>
        <w:t>①</w:t>
      </w:r>
      <w:r>
        <w:rPr>
          <w:rFonts w:ascii="Times New Roman" w:hAnsi="Times New Roman" w:cs="Times New Roman"/>
          <w:b/>
          <w:bCs/>
          <w:color w:val="000000" w:themeColor="text1"/>
          <w:sz w:val="24"/>
          <w:szCs w:val="24"/>
        </w:rPr>
        <w:fldChar w:fldCharType="end"/>
      </w:r>
      <w:r>
        <w:rPr>
          <w:rFonts w:ascii="Times New Roman" w:hAnsi="Times New Roman" w:cs="Times New Roman"/>
          <w:b/>
          <w:bCs/>
          <w:color w:val="000000" w:themeColor="text1"/>
          <w:sz w:val="24"/>
          <w:szCs w:val="24"/>
        </w:rPr>
        <w:t>物质危险性识别</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本项目生产过程中的主要物料、中间产品、最终产品等按物质危险性、毒理指标和毒性等级分析，并考虑其燃烧爆炸性，建设项目主要的危险物质识别见表3-1。</w:t>
      </w:r>
    </w:p>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表3-1   物质危险性标准</w:t>
      </w:r>
    </w:p>
    <w:tbl>
      <w:tblPr>
        <w:tblStyle w:val="16"/>
        <w:tblW w:w="8522"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27"/>
        <w:gridCol w:w="845"/>
        <w:gridCol w:w="2241"/>
        <w:gridCol w:w="2185"/>
        <w:gridCol w:w="242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42" w:hRule="atLeast"/>
          <w:jc w:val="center"/>
        </w:trPr>
        <w:tc>
          <w:tcPr>
            <w:tcW w:w="827" w:type="dxa"/>
            <w:vAlign w:val="center"/>
          </w:tcPr>
          <w:p>
            <w:pP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物质</w:t>
            </w:r>
          </w:p>
          <w:p>
            <w:pP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类别</w:t>
            </w:r>
          </w:p>
        </w:tc>
        <w:tc>
          <w:tcPr>
            <w:tcW w:w="845" w:type="dxa"/>
            <w:vAlign w:val="center"/>
          </w:tcPr>
          <w:p>
            <w:pP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等级</w:t>
            </w:r>
          </w:p>
        </w:tc>
        <w:tc>
          <w:tcPr>
            <w:tcW w:w="2241" w:type="dxa"/>
            <w:vAlign w:val="center"/>
          </w:tcPr>
          <w:p>
            <w:pP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LD</w:t>
            </w:r>
            <w:r>
              <w:rPr>
                <w:rFonts w:ascii="Times New Roman" w:hAnsi="Times New Roman" w:cs="Times New Roman"/>
                <w:b/>
                <w:bCs/>
                <w:color w:val="000000" w:themeColor="text1"/>
                <w:szCs w:val="21"/>
                <w:vertAlign w:val="subscript"/>
              </w:rPr>
              <w:t>50</w:t>
            </w:r>
            <w:r>
              <w:rPr>
                <w:rFonts w:ascii="Times New Roman" w:hAnsi="Times New Roman" w:cs="Times New Roman"/>
                <w:b/>
                <w:bCs/>
                <w:color w:val="000000" w:themeColor="text1"/>
                <w:szCs w:val="21"/>
              </w:rPr>
              <w:t xml:space="preserve"> (大鼠经口) mg/kg</w:t>
            </w:r>
          </w:p>
        </w:tc>
        <w:tc>
          <w:tcPr>
            <w:tcW w:w="2185" w:type="dxa"/>
            <w:vAlign w:val="center"/>
          </w:tcPr>
          <w:p>
            <w:pP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LD</w:t>
            </w:r>
            <w:r>
              <w:rPr>
                <w:rFonts w:ascii="Times New Roman" w:hAnsi="Times New Roman" w:cs="Times New Roman"/>
                <w:b/>
                <w:bCs/>
                <w:color w:val="000000" w:themeColor="text1"/>
                <w:szCs w:val="21"/>
                <w:vertAlign w:val="subscript"/>
              </w:rPr>
              <w:t>50</w:t>
            </w:r>
            <w:r>
              <w:rPr>
                <w:rFonts w:ascii="Times New Roman" w:hAnsi="Times New Roman" w:cs="Times New Roman"/>
                <w:b/>
                <w:bCs/>
                <w:color w:val="000000" w:themeColor="text1"/>
                <w:szCs w:val="21"/>
              </w:rPr>
              <w:t xml:space="preserve"> (大鼠经皮)mg/kg</w:t>
            </w:r>
          </w:p>
        </w:tc>
        <w:tc>
          <w:tcPr>
            <w:tcW w:w="2424" w:type="dxa"/>
            <w:vAlign w:val="center"/>
          </w:tcPr>
          <w:p>
            <w:pP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LC</w:t>
            </w:r>
            <w:r>
              <w:rPr>
                <w:rFonts w:ascii="Times New Roman" w:hAnsi="Times New Roman" w:cs="Times New Roman"/>
                <w:b/>
                <w:bCs/>
                <w:color w:val="000000" w:themeColor="text1"/>
                <w:szCs w:val="21"/>
                <w:vertAlign w:val="subscript"/>
              </w:rPr>
              <w:t>50</w:t>
            </w:r>
            <w:r>
              <w:rPr>
                <w:rFonts w:ascii="Times New Roman" w:hAnsi="Times New Roman" w:cs="Times New Roman"/>
                <w:b/>
                <w:bCs/>
                <w:color w:val="000000" w:themeColor="text1"/>
                <w:szCs w:val="21"/>
              </w:rPr>
              <w:t>（小鼠吸入，4小时）mg/L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27" w:type="dxa"/>
            <w:vMerge w:val="restart"/>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有</w:t>
            </w:r>
          </w:p>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毒</w:t>
            </w:r>
          </w:p>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物</w:t>
            </w:r>
          </w:p>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质</w:t>
            </w:r>
          </w:p>
        </w:tc>
        <w:tc>
          <w:tcPr>
            <w:tcW w:w="84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2241"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&lt;5</w:t>
            </w:r>
          </w:p>
        </w:tc>
        <w:tc>
          <w:tcPr>
            <w:tcW w:w="218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&lt;1</w:t>
            </w:r>
          </w:p>
        </w:tc>
        <w:tc>
          <w:tcPr>
            <w:tcW w:w="24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&lt;0.01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7" w:type="dxa"/>
            <w:vMerge w:val="continue"/>
            <w:vAlign w:val="center"/>
          </w:tcPr>
          <w:p>
            <w:pPr>
              <w:ind w:firstLine="480"/>
              <w:jc w:val="center"/>
              <w:rPr>
                <w:rFonts w:ascii="Times New Roman" w:hAnsi="Times New Roman" w:cs="Times New Roman"/>
                <w:color w:val="000000" w:themeColor="text1"/>
                <w:szCs w:val="21"/>
              </w:rPr>
            </w:pPr>
          </w:p>
        </w:tc>
        <w:tc>
          <w:tcPr>
            <w:tcW w:w="84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w:t>
            </w:r>
          </w:p>
        </w:tc>
        <w:tc>
          <w:tcPr>
            <w:tcW w:w="2241"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&lt;25</w:t>
            </w:r>
          </w:p>
        </w:tc>
        <w:tc>
          <w:tcPr>
            <w:tcW w:w="218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10&lt;LD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&lt;50</w:t>
            </w:r>
          </w:p>
        </w:tc>
        <w:tc>
          <w:tcPr>
            <w:tcW w:w="24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0．1&lt;LC</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827" w:type="dxa"/>
            <w:vMerge w:val="continue"/>
            <w:vAlign w:val="center"/>
          </w:tcPr>
          <w:p>
            <w:pPr>
              <w:ind w:firstLine="480"/>
              <w:jc w:val="center"/>
              <w:rPr>
                <w:rFonts w:ascii="Times New Roman" w:hAnsi="Times New Roman" w:cs="Times New Roman"/>
                <w:color w:val="000000" w:themeColor="text1"/>
                <w:szCs w:val="21"/>
              </w:rPr>
            </w:pPr>
          </w:p>
        </w:tc>
        <w:tc>
          <w:tcPr>
            <w:tcW w:w="84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3</w:t>
            </w:r>
          </w:p>
        </w:tc>
        <w:tc>
          <w:tcPr>
            <w:tcW w:w="2241"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25&lt;LD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&lt;200</w:t>
            </w:r>
          </w:p>
        </w:tc>
        <w:tc>
          <w:tcPr>
            <w:tcW w:w="218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50&lt;LD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&lt;400</w:t>
            </w:r>
          </w:p>
        </w:tc>
        <w:tc>
          <w:tcPr>
            <w:tcW w:w="24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0．5&lt;LC</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00" w:hRule="atLeast"/>
          <w:jc w:val="center"/>
        </w:trPr>
        <w:tc>
          <w:tcPr>
            <w:tcW w:w="827" w:type="dxa"/>
            <w:vMerge w:val="restart"/>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易</w:t>
            </w:r>
          </w:p>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燃</w:t>
            </w:r>
          </w:p>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物</w:t>
            </w:r>
          </w:p>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质</w:t>
            </w:r>
          </w:p>
        </w:tc>
        <w:tc>
          <w:tcPr>
            <w:tcW w:w="84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6850" w:type="dxa"/>
            <w:gridSpan w:val="3"/>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可燃气体，在常压下以气态存在并与空气混合形成可燃混合物；其沸点（常压下）是20</w:t>
            </w:r>
            <w:r>
              <w:rPr>
                <w:rFonts w:ascii="Times New Roman" w:hAnsi="Times New Roman" w:eastAsia="宋体" w:cs="Times New Roman"/>
                <w:color w:val="000000" w:themeColor="text1"/>
                <w:szCs w:val="21"/>
              </w:rPr>
              <w:t>℃</w:t>
            </w:r>
            <w:r>
              <w:rPr>
                <w:rFonts w:ascii="Times New Roman" w:hAnsi="Times New Roman" w:cs="Times New Roman"/>
                <w:color w:val="000000" w:themeColor="text1"/>
                <w:szCs w:val="21"/>
              </w:rPr>
              <w:t>或20</w:t>
            </w:r>
            <w:r>
              <w:rPr>
                <w:rFonts w:ascii="Times New Roman" w:hAnsi="Times New Roman" w:eastAsia="宋体" w:cs="Times New Roman"/>
                <w:color w:val="000000" w:themeColor="text1"/>
                <w:szCs w:val="21"/>
              </w:rPr>
              <w:t>℃</w:t>
            </w:r>
            <w:r>
              <w:rPr>
                <w:rFonts w:ascii="Times New Roman" w:hAnsi="Times New Roman" w:cs="Times New Roman"/>
                <w:color w:val="000000" w:themeColor="text1"/>
                <w:szCs w:val="21"/>
              </w:rPr>
              <w:t>以下的物质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15" w:hRule="atLeast"/>
          <w:jc w:val="center"/>
        </w:trPr>
        <w:tc>
          <w:tcPr>
            <w:tcW w:w="827" w:type="dxa"/>
            <w:vMerge w:val="continue"/>
            <w:vAlign w:val="center"/>
          </w:tcPr>
          <w:p>
            <w:pPr>
              <w:ind w:firstLine="480"/>
              <w:jc w:val="center"/>
              <w:rPr>
                <w:rFonts w:ascii="Times New Roman" w:hAnsi="Times New Roman" w:cs="Times New Roman"/>
                <w:color w:val="000000" w:themeColor="text1"/>
                <w:szCs w:val="21"/>
              </w:rPr>
            </w:pPr>
          </w:p>
        </w:tc>
        <w:tc>
          <w:tcPr>
            <w:tcW w:w="84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w:t>
            </w:r>
          </w:p>
        </w:tc>
        <w:tc>
          <w:tcPr>
            <w:tcW w:w="6850" w:type="dxa"/>
            <w:gridSpan w:val="3"/>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易燃液体，闪点低于21</w:t>
            </w:r>
            <w:r>
              <w:rPr>
                <w:rFonts w:ascii="Times New Roman" w:hAnsi="Times New Roman" w:eastAsia="宋体" w:cs="Times New Roman"/>
                <w:color w:val="000000" w:themeColor="text1"/>
                <w:szCs w:val="21"/>
              </w:rPr>
              <w:t>℃</w:t>
            </w:r>
            <w:r>
              <w:rPr>
                <w:rFonts w:ascii="Times New Roman" w:hAnsi="Times New Roman" w:cs="Times New Roman"/>
                <w:color w:val="000000" w:themeColor="text1"/>
                <w:szCs w:val="21"/>
              </w:rPr>
              <w:t>，沸点高于20</w:t>
            </w:r>
            <w:r>
              <w:rPr>
                <w:rFonts w:ascii="Times New Roman" w:hAnsi="Times New Roman" w:eastAsia="宋体" w:cs="Times New Roman"/>
                <w:color w:val="000000" w:themeColor="text1"/>
                <w:szCs w:val="21"/>
              </w:rPr>
              <w:t>℃</w:t>
            </w:r>
            <w:r>
              <w:rPr>
                <w:rFonts w:ascii="Times New Roman" w:hAnsi="Times New Roman" w:cs="Times New Roman"/>
                <w:color w:val="000000" w:themeColor="text1"/>
                <w:szCs w:val="21"/>
              </w:rPr>
              <w:t>的物质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7" w:type="dxa"/>
            <w:vMerge w:val="continue"/>
            <w:vAlign w:val="center"/>
          </w:tcPr>
          <w:p>
            <w:pPr>
              <w:ind w:firstLine="480"/>
              <w:jc w:val="center"/>
              <w:rPr>
                <w:rFonts w:ascii="Times New Roman" w:hAnsi="Times New Roman" w:cs="Times New Roman"/>
                <w:color w:val="000000" w:themeColor="text1"/>
                <w:szCs w:val="21"/>
              </w:rPr>
            </w:pPr>
          </w:p>
        </w:tc>
        <w:tc>
          <w:tcPr>
            <w:tcW w:w="845"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3</w:t>
            </w:r>
          </w:p>
        </w:tc>
        <w:tc>
          <w:tcPr>
            <w:tcW w:w="6850" w:type="dxa"/>
            <w:gridSpan w:val="3"/>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可燃液体，闪点低于55</w:t>
            </w:r>
            <w:r>
              <w:rPr>
                <w:rFonts w:ascii="Times New Roman" w:hAnsi="Times New Roman" w:eastAsia="宋体" w:cs="Times New Roman"/>
                <w:color w:val="000000" w:themeColor="text1"/>
                <w:szCs w:val="21"/>
              </w:rPr>
              <w:t>℃</w:t>
            </w:r>
            <w:r>
              <w:rPr>
                <w:rFonts w:ascii="Times New Roman" w:hAnsi="Times New Roman" w:cs="Times New Roman"/>
                <w:color w:val="000000" w:themeColor="text1"/>
                <w:szCs w:val="21"/>
              </w:rPr>
              <w:t>，一定压力下保持液态，在实际操作条件下（如高温高压）可以引起重大事故的物质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4" w:hRule="atLeast"/>
          <w:jc w:val="center"/>
        </w:trPr>
        <w:tc>
          <w:tcPr>
            <w:tcW w:w="1672" w:type="dxa"/>
            <w:gridSpan w:val="2"/>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爆炸性物质</w:t>
            </w:r>
          </w:p>
        </w:tc>
        <w:tc>
          <w:tcPr>
            <w:tcW w:w="6850" w:type="dxa"/>
            <w:gridSpan w:val="3"/>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在火焰影响下可以爆炸，或者对冲击、摩擦比硝基苯更为敏感的物质</w:t>
            </w:r>
          </w:p>
        </w:tc>
      </w:tr>
    </w:tbl>
    <w:p>
      <w:pPr>
        <w:ind w:firstLine="422" w:firstLineChars="200"/>
        <w:rPr>
          <w:rFonts w:ascii="Times New Roman" w:hAnsi="Times New Roman" w:cs="Times New Roman"/>
          <w:b/>
          <w:color w:val="000000" w:themeColor="text1"/>
          <w:szCs w:val="21"/>
        </w:rPr>
      </w:pPr>
      <w:r>
        <w:rPr>
          <w:rFonts w:ascii="Times New Roman" w:hAnsi="Times New Roman" w:cs="Times New Roman"/>
          <w:b/>
          <w:color w:val="000000" w:themeColor="text1"/>
          <w:szCs w:val="21"/>
        </w:rPr>
        <w:t>注：（1）有毒物质判定标准序号为1、2的物质，属于剧毒物质；符合有毒物质判定标准序号3的属于一般毒物。</w:t>
      </w:r>
    </w:p>
    <w:p>
      <w:pPr>
        <w:ind w:firstLine="422" w:firstLineChars="200"/>
        <w:rPr>
          <w:rFonts w:ascii="Times New Roman" w:hAnsi="Times New Roman" w:cs="Times New Roman"/>
          <w:b/>
          <w:color w:val="000000" w:themeColor="text1"/>
          <w:szCs w:val="21"/>
        </w:rPr>
      </w:pPr>
      <w:r>
        <w:rPr>
          <w:rFonts w:ascii="Times New Roman" w:hAnsi="Times New Roman" w:cs="Times New Roman"/>
          <w:b/>
          <w:color w:val="000000" w:themeColor="text1"/>
          <w:szCs w:val="21"/>
        </w:rPr>
        <w:t>（2）凡符合表中易燃物质和爆炸性物质标准的物质，均视为火灾、爆炸危险物质。</w:t>
      </w:r>
    </w:p>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表3-2  汽油的理化性质和危险特性</w:t>
      </w:r>
    </w:p>
    <w:tbl>
      <w:tblPr>
        <w:tblStyle w:val="16"/>
        <w:tblW w:w="928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91"/>
        <w:gridCol w:w="1148"/>
        <w:gridCol w:w="1194"/>
        <w:gridCol w:w="1192"/>
        <w:gridCol w:w="906"/>
        <w:gridCol w:w="882"/>
        <w:gridCol w:w="1261"/>
        <w:gridCol w:w="151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中文名称</w:t>
            </w:r>
          </w:p>
        </w:tc>
        <w:tc>
          <w:tcPr>
            <w:tcW w:w="3534"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汽油</w:t>
            </w:r>
          </w:p>
        </w:tc>
        <w:tc>
          <w:tcPr>
            <w:tcW w:w="906"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英文</w:t>
            </w:r>
          </w:p>
          <w:p>
            <w:pPr>
              <w:contextualSpacing/>
              <w:rPr>
                <w:rFonts w:ascii="Times New Roman" w:hAnsi="Times New Roman" w:eastAsia="宋体" w:cs="Times New Roman"/>
                <w:szCs w:val="21"/>
              </w:rPr>
            </w:pPr>
            <w:r>
              <w:rPr>
                <w:rFonts w:ascii="Times New Roman" w:hAnsi="Times New Roman" w:eastAsia="宋体" w:cs="Times New Roman"/>
                <w:szCs w:val="21"/>
              </w:rPr>
              <w:t>名称</w:t>
            </w:r>
          </w:p>
        </w:tc>
        <w:tc>
          <w:tcPr>
            <w:tcW w:w="3655"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gasoline；petrol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外观与气味</w:t>
            </w:r>
          </w:p>
        </w:tc>
        <w:tc>
          <w:tcPr>
            <w:tcW w:w="3534"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无色或淡黄色易挥发液体，有特殊臭味</w:t>
            </w:r>
          </w:p>
        </w:tc>
        <w:tc>
          <w:tcPr>
            <w:tcW w:w="906" w:type="dxa"/>
            <w:vAlign w:val="center"/>
          </w:tcPr>
          <w:p>
            <w:pPr>
              <w:contextualSpacing/>
              <w:rPr>
                <w:rFonts w:ascii="Times New Roman" w:hAnsi="Times New Roman" w:eastAsia="宋体" w:cs="Times New Roman"/>
                <w:spacing w:val="-14"/>
                <w:szCs w:val="21"/>
              </w:rPr>
            </w:pPr>
            <w:r>
              <w:rPr>
                <w:rFonts w:ascii="Times New Roman" w:hAnsi="Times New Roman" w:eastAsia="宋体" w:cs="Times New Roman"/>
                <w:spacing w:val="-14"/>
                <w:szCs w:val="21"/>
              </w:rPr>
              <w:t>侵入</w:t>
            </w:r>
          </w:p>
          <w:p>
            <w:pPr>
              <w:contextualSpacing/>
              <w:rPr>
                <w:rFonts w:ascii="Times New Roman" w:hAnsi="Times New Roman" w:eastAsia="宋体" w:cs="Times New Roman"/>
                <w:spacing w:val="-14"/>
                <w:szCs w:val="21"/>
              </w:rPr>
            </w:pPr>
            <w:r>
              <w:rPr>
                <w:rFonts w:ascii="Times New Roman" w:hAnsi="Times New Roman" w:eastAsia="宋体" w:cs="Times New Roman"/>
                <w:spacing w:val="-14"/>
                <w:szCs w:val="21"/>
              </w:rPr>
              <w:t>途径</w:t>
            </w:r>
          </w:p>
        </w:tc>
        <w:tc>
          <w:tcPr>
            <w:tcW w:w="3655"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吸入、食入、经皮吸收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熔点(℃)</w:t>
            </w:r>
          </w:p>
        </w:tc>
        <w:tc>
          <w:tcPr>
            <w:tcW w:w="1148"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&lt;-60</w:t>
            </w:r>
          </w:p>
        </w:tc>
        <w:tc>
          <w:tcPr>
            <w:tcW w:w="1194"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沸点(℃)</w:t>
            </w:r>
          </w:p>
        </w:tc>
        <w:tc>
          <w:tcPr>
            <w:tcW w:w="1192" w:type="dxa"/>
            <w:vAlign w:val="center"/>
          </w:tcPr>
          <w:p>
            <w:pPr>
              <w:contextualSpacing/>
              <w:rPr>
                <w:rFonts w:ascii="Times New Roman" w:hAnsi="Times New Roman" w:eastAsia="宋体" w:cs="Times New Roman"/>
                <w:szCs w:val="21"/>
              </w:rPr>
            </w:pPr>
            <w:r>
              <w:rPr>
                <w:rFonts w:ascii="Times New Roman" w:hAnsi="Times New Roman" w:eastAsia="宋体" w:cs="Times New Roman"/>
                <w:bCs/>
                <w:kern w:val="0"/>
                <w:szCs w:val="21"/>
              </w:rPr>
              <w:t>40-200</w:t>
            </w:r>
          </w:p>
        </w:tc>
        <w:tc>
          <w:tcPr>
            <w:tcW w:w="906"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闪点(℃)</w:t>
            </w:r>
          </w:p>
        </w:tc>
        <w:tc>
          <w:tcPr>
            <w:tcW w:w="882"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-50</w:t>
            </w:r>
          </w:p>
        </w:tc>
        <w:tc>
          <w:tcPr>
            <w:tcW w:w="126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引燃温度(℃)</w:t>
            </w:r>
          </w:p>
        </w:tc>
        <w:tc>
          <w:tcPr>
            <w:tcW w:w="1512"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415-530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Merge w:val="restart"/>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相对密度</w:t>
            </w:r>
          </w:p>
        </w:tc>
        <w:tc>
          <w:tcPr>
            <w:tcW w:w="1148"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水=1</w:t>
            </w:r>
          </w:p>
        </w:tc>
        <w:tc>
          <w:tcPr>
            <w:tcW w:w="2386"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0.70-0.79</w:t>
            </w:r>
          </w:p>
        </w:tc>
        <w:tc>
          <w:tcPr>
            <w:tcW w:w="1788" w:type="dxa"/>
            <w:gridSpan w:val="2"/>
            <w:vMerge w:val="restart"/>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燃烧热(kJ/kg)</w:t>
            </w:r>
          </w:p>
        </w:tc>
        <w:tc>
          <w:tcPr>
            <w:tcW w:w="2773" w:type="dxa"/>
            <w:gridSpan w:val="2"/>
            <w:vMerge w:val="restart"/>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4.6×10</w:t>
            </w:r>
            <w:r>
              <w:rPr>
                <w:rFonts w:ascii="Times New Roman" w:hAnsi="Times New Roman" w:eastAsia="宋体" w:cs="Times New Roman"/>
                <w:szCs w:val="21"/>
                <w:vertAlign w:val="superscript"/>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Merge w:val="continue"/>
            <w:vAlign w:val="center"/>
          </w:tcPr>
          <w:p>
            <w:pPr>
              <w:ind w:firstLine="480"/>
              <w:contextualSpacing/>
              <w:jc w:val="center"/>
              <w:rPr>
                <w:rFonts w:ascii="Times New Roman" w:hAnsi="Times New Roman" w:eastAsia="宋体" w:cs="Times New Roman"/>
                <w:szCs w:val="21"/>
              </w:rPr>
            </w:pPr>
          </w:p>
        </w:tc>
        <w:tc>
          <w:tcPr>
            <w:tcW w:w="1148"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空气=1</w:t>
            </w:r>
          </w:p>
        </w:tc>
        <w:tc>
          <w:tcPr>
            <w:tcW w:w="2386"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3.5</w:t>
            </w:r>
          </w:p>
        </w:tc>
        <w:tc>
          <w:tcPr>
            <w:tcW w:w="1788" w:type="dxa"/>
            <w:gridSpan w:val="2"/>
            <w:vMerge w:val="continue"/>
            <w:vAlign w:val="center"/>
          </w:tcPr>
          <w:p>
            <w:pPr>
              <w:ind w:firstLine="480"/>
              <w:contextualSpacing/>
              <w:jc w:val="center"/>
              <w:rPr>
                <w:rFonts w:ascii="Times New Roman" w:hAnsi="Times New Roman" w:eastAsia="宋体" w:cs="Times New Roman"/>
                <w:szCs w:val="21"/>
              </w:rPr>
            </w:pPr>
          </w:p>
        </w:tc>
        <w:tc>
          <w:tcPr>
            <w:tcW w:w="2773" w:type="dxa"/>
            <w:gridSpan w:val="2"/>
            <w:vMerge w:val="continue"/>
            <w:vAlign w:val="center"/>
          </w:tcPr>
          <w:p>
            <w:pPr>
              <w:ind w:firstLine="480"/>
              <w:contextualSpacing/>
              <w:jc w:val="center"/>
              <w:rPr>
                <w:rFonts w:ascii="Times New Roman" w:hAnsi="Times New Roman" w:eastAsia="宋体"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pacing w:val="-4"/>
                <w:szCs w:val="21"/>
              </w:rPr>
              <w:t>爆炸极限(V%)</w:t>
            </w:r>
          </w:p>
        </w:tc>
        <w:tc>
          <w:tcPr>
            <w:tcW w:w="3534"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1.3-6.0</w:t>
            </w:r>
          </w:p>
        </w:tc>
        <w:tc>
          <w:tcPr>
            <w:tcW w:w="906"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灭火剂</w:t>
            </w:r>
          </w:p>
        </w:tc>
        <w:tc>
          <w:tcPr>
            <w:tcW w:w="3655"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泡沫、干粉、二氧化碳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工作场所空气中容许浓度(mg/m³)</w:t>
            </w:r>
          </w:p>
        </w:tc>
        <w:tc>
          <w:tcPr>
            <w:tcW w:w="2342" w:type="dxa"/>
            <w:gridSpan w:val="2"/>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时间加权平均容许浓度PC-TWA</w:t>
            </w:r>
          </w:p>
        </w:tc>
        <w:tc>
          <w:tcPr>
            <w:tcW w:w="119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300</w:t>
            </w:r>
          </w:p>
        </w:tc>
        <w:tc>
          <w:tcPr>
            <w:tcW w:w="1788"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w:t>
            </w:r>
          </w:p>
        </w:tc>
        <w:tc>
          <w:tcPr>
            <w:tcW w:w="2773"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主要用途</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主要用作汽油机的燃料，用于橡胶、制鞋、印刷、制革、颜料等行业，也可用作机械零件的去污剂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物质危险性类别</w:t>
            </w:r>
          </w:p>
        </w:tc>
        <w:tc>
          <w:tcPr>
            <w:tcW w:w="3534"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第3.1类低闪点易燃液体</w:t>
            </w:r>
          </w:p>
        </w:tc>
        <w:tc>
          <w:tcPr>
            <w:tcW w:w="1788"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燃烧性</w:t>
            </w:r>
          </w:p>
        </w:tc>
        <w:tc>
          <w:tcPr>
            <w:tcW w:w="2773"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极度易燃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禁忌物</w:t>
            </w:r>
          </w:p>
        </w:tc>
        <w:tc>
          <w:tcPr>
            <w:tcW w:w="2342"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强氧化剂</w:t>
            </w:r>
          </w:p>
        </w:tc>
        <w:tc>
          <w:tcPr>
            <w:tcW w:w="2098"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溶解性</w:t>
            </w:r>
          </w:p>
        </w:tc>
        <w:tc>
          <w:tcPr>
            <w:tcW w:w="3655"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不溶于水，易溶于苯、二硫化碳、醇、脂肪</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燃烧(分解)产物</w:t>
            </w:r>
          </w:p>
        </w:tc>
        <w:tc>
          <w:tcPr>
            <w:tcW w:w="2342" w:type="dxa"/>
            <w:gridSpan w:val="2"/>
            <w:vAlign w:val="center"/>
          </w:tcPr>
          <w:p>
            <w:pPr>
              <w:ind w:firstLine="464"/>
              <w:contextualSpacing/>
              <w:jc w:val="center"/>
              <w:rPr>
                <w:rFonts w:ascii="Times New Roman" w:hAnsi="Times New Roman" w:eastAsia="宋体" w:cs="Times New Roman"/>
                <w:spacing w:val="-4"/>
                <w:szCs w:val="21"/>
              </w:rPr>
            </w:pPr>
            <w:r>
              <w:rPr>
                <w:rFonts w:ascii="Times New Roman" w:hAnsi="Times New Roman" w:eastAsia="宋体" w:cs="Times New Roman"/>
                <w:spacing w:val="-4"/>
                <w:szCs w:val="21"/>
              </w:rPr>
              <w:t>一氧化碳、二氧化碳</w:t>
            </w:r>
          </w:p>
        </w:tc>
        <w:tc>
          <w:tcPr>
            <w:tcW w:w="2098"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UN编号</w:t>
            </w:r>
          </w:p>
        </w:tc>
        <w:tc>
          <w:tcPr>
            <w:tcW w:w="88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1203</w:t>
            </w:r>
          </w:p>
        </w:tc>
        <w:tc>
          <w:tcPr>
            <w:tcW w:w="1261"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CAS No.</w:t>
            </w:r>
          </w:p>
        </w:tc>
        <w:tc>
          <w:tcPr>
            <w:tcW w:w="151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8006-61-9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急性毒性</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LD</w:t>
            </w:r>
            <w:r>
              <w:rPr>
                <w:rFonts w:ascii="Times New Roman" w:hAnsi="Times New Roman" w:eastAsia="宋体" w:cs="Times New Roman"/>
                <w:szCs w:val="21"/>
                <w:vertAlign w:val="subscript"/>
              </w:rPr>
              <w:t>50</w:t>
            </w:r>
            <w:r>
              <w:rPr>
                <w:rFonts w:ascii="Times New Roman" w:hAnsi="Times New Roman" w:eastAsia="宋体" w:cs="Times New Roman"/>
                <w:szCs w:val="21"/>
              </w:rPr>
              <w:t xml:space="preserve">  67000mg/kg(小鼠经口)；LC</w:t>
            </w:r>
            <w:r>
              <w:rPr>
                <w:rFonts w:ascii="Times New Roman" w:hAnsi="Times New Roman" w:eastAsia="宋体" w:cs="Times New Roman"/>
                <w:szCs w:val="21"/>
                <w:vertAlign w:val="subscript"/>
              </w:rPr>
              <w:t>50</w:t>
            </w:r>
            <w:r>
              <w:rPr>
                <w:rFonts w:ascii="Times New Roman" w:hAnsi="Times New Roman" w:eastAsia="宋体" w:cs="Times New Roman"/>
                <w:szCs w:val="21"/>
              </w:rPr>
              <w:t xml:space="preserve">  103000 mg/kg，2小时(小鼠吸入)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危险特性</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其蒸汽与空气可形成爆炸性混合物。遇明火、高热极易燃烧爆炸。与氧化剂能发生强烈反应。其蒸汽比空气重，能在较低处扩散到相当远的地方，遇明火会引起回燃。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灭火方法</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喷水冷却容器，可能的话将容器从火场移至空旷处。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健康危害</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急性中毒：对中枢神经系统有麻醉作用。轻度中毒症状有头晕、头痛、恶心、呕吐、步态不稳、共济失调。高浓度吸入出现中毒性脑病。极高浓度吸入引起意识突然丧失、反射性呼吸停止。可伴有中毒性周围神经病及化学性肺炎。部分患者出现中毒性神经病。液体吸入呼吸道可引起吸入性肺炎。溅入眼内可致角膜溃疡、穿孔，甚至失明。皮肤接触致急性接触性皮炎，甚至灼伤。吞咽引起急性胃肠炎，重者出现类似急性吸入中毒症状，并可引起肝、肾损害。</w:t>
            </w:r>
          </w:p>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慢性中毒：神经衰弱综合症、植物神经功能紊乱、周围神经病。严重中毒出现中毒性脑病，症状类似精神分裂症。皮肤损害。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急救措施</w:t>
            </w:r>
          </w:p>
        </w:tc>
        <w:tc>
          <w:tcPr>
            <w:tcW w:w="8095"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皮肤接触：立即脱去被污染的衣着，用肥皂水和清水彻底冲洗皮肤，就医。</w:t>
            </w:r>
          </w:p>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眼睛接触：立即提起眼睑，用大量流动清水或生理盐水彻底冲洗至少15分钟，就医。</w:t>
            </w:r>
          </w:p>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吸入：迅速脱离现场至空气新鲜处。保持呼吸道通畅，如呼吸困难，给输氧。如呼吸停止，立即进行人工呼吸，就医。</w:t>
            </w:r>
          </w:p>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食入：给饮牛奶或用植物洗胃和灌肠，就医。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防护措施</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呼吸系统防护：一般不需要特殊防护，高浓度接触时可佩戴自吸过滤式防毒面具(半面罩)。眼睛防护：一般不需要特殊防护，高浓度接触时可戴化学安全防护眼镜。身体防护：穿防静电工作服。手防护：戴防苯耐油手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泄漏紧急处理</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迅速撤离泄漏污染区人员至安全区，并进行隔离，严格限制出入。切断火源。建议应急处理人员戴自给正压式呼吸器，穿消防防护服。尽可能切断泄漏源，防止进入下水道、排洪沟等限制性空间。小量泄漏：用砂土、蛭石或其他惰性材料吸收，或在保证安全情况下，就地焚烧。大量泄漏：构筑围堤或挖坑收容；用泡沫覆盖，降低蒸汽灾害。用防爆泵转移至槽车或专用收集器内，回收或运至废物处理场所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储存注意事项</w:t>
            </w:r>
          </w:p>
        </w:tc>
        <w:tc>
          <w:tcPr>
            <w:tcW w:w="8095"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bCs/>
                <w:kern w:val="0"/>
                <w:szCs w:val="21"/>
              </w:rPr>
              <w:t>储存于阴凉、通风仓库内。仓内温度不宜超过30℃。远离火种、热源，防止阳光直射。保持容器密封。应与氧化剂分开存放。储存间内的照明、通风等设施应采用防爆型，开关设于仓外。桶装堆垛不可过大，应留墙距、顶距、柱距及必要的防火检查走道。罐储时要有防火防爆技术措施。禁止使用易产生火花的机械设备和工具。灌装时应注意流速(不超过3m/s)，且有接地装置，防止静电积聚。搬运时要轻装轻卸，防止包装及容器损坏。</w:t>
            </w:r>
          </w:p>
        </w:tc>
      </w:tr>
    </w:tbl>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表3-3  柴油的理化性质和危险特性</w:t>
      </w:r>
    </w:p>
    <w:tbl>
      <w:tblPr>
        <w:tblStyle w:val="16"/>
        <w:tblW w:w="9286"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280"/>
        <w:gridCol w:w="869"/>
        <w:gridCol w:w="1135"/>
        <w:gridCol w:w="1619"/>
        <w:gridCol w:w="1432"/>
        <w:gridCol w:w="715"/>
        <w:gridCol w:w="1417"/>
        <w:gridCol w:w="819"/>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中文名称</w:t>
            </w:r>
          </w:p>
        </w:tc>
        <w:tc>
          <w:tcPr>
            <w:tcW w:w="3623"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柴油</w:t>
            </w:r>
          </w:p>
        </w:tc>
        <w:tc>
          <w:tcPr>
            <w:tcW w:w="143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英文名称</w:t>
            </w:r>
          </w:p>
        </w:tc>
        <w:tc>
          <w:tcPr>
            <w:tcW w:w="2951"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diesel oil</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pacing w:val="-14"/>
                <w:szCs w:val="21"/>
              </w:rPr>
            </w:pPr>
            <w:r>
              <w:rPr>
                <w:rFonts w:ascii="Times New Roman" w:hAnsi="Times New Roman" w:eastAsia="宋体" w:cs="Times New Roman"/>
                <w:spacing w:val="-14"/>
                <w:szCs w:val="21"/>
              </w:rPr>
              <w:t>外观与气味</w:t>
            </w:r>
          </w:p>
        </w:tc>
        <w:tc>
          <w:tcPr>
            <w:tcW w:w="3623"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稍有粘性的棕色液体</w:t>
            </w:r>
          </w:p>
        </w:tc>
        <w:tc>
          <w:tcPr>
            <w:tcW w:w="143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侵入途径</w:t>
            </w:r>
          </w:p>
        </w:tc>
        <w:tc>
          <w:tcPr>
            <w:tcW w:w="2951"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吸入、食入、经皮吸收</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熔点(℃)</w:t>
            </w:r>
          </w:p>
        </w:tc>
        <w:tc>
          <w:tcPr>
            <w:tcW w:w="869"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-18</w:t>
            </w:r>
          </w:p>
        </w:tc>
        <w:tc>
          <w:tcPr>
            <w:tcW w:w="1135"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沸点(℃)</w:t>
            </w:r>
          </w:p>
        </w:tc>
        <w:tc>
          <w:tcPr>
            <w:tcW w:w="1619"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282-338</w:t>
            </w:r>
          </w:p>
        </w:tc>
        <w:tc>
          <w:tcPr>
            <w:tcW w:w="143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闪点(℃)</w:t>
            </w:r>
          </w:p>
        </w:tc>
        <w:tc>
          <w:tcPr>
            <w:tcW w:w="715"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55</w:t>
            </w:r>
          </w:p>
        </w:tc>
        <w:tc>
          <w:tcPr>
            <w:tcW w:w="1417"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引燃温度(℃)</w:t>
            </w:r>
          </w:p>
        </w:tc>
        <w:tc>
          <w:tcPr>
            <w:tcW w:w="819"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257</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相对密度</w:t>
            </w:r>
          </w:p>
        </w:tc>
        <w:tc>
          <w:tcPr>
            <w:tcW w:w="869"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水=1</w:t>
            </w:r>
          </w:p>
        </w:tc>
        <w:tc>
          <w:tcPr>
            <w:tcW w:w="2754"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0.87-0.9</w:t>
            </w:r>
          </w:p>
        </w:tc>
        <w:tc>
          <w:tcPr>
            <w:tcW w:w="2147"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燃烧热(kJ/kg)</w:t>
            </w:r>
          </w:p>
        </w:tc>
        <w:tc>
          <w:tcPr>
            <w:tcW w:w="2236"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4.5×10</w:t>
            </w:r>
            <w:r>
              <w:rPr>
                <w:rFonts w:ascii="Times New Roman" w:hAnsi="Times New Roman" w:eastAsia="宋体" w:cs="Times New Roman"/>
                <w:szCs w:val="21"/>
                <w:vertAlign w:val="superscript"/>
              </w:rPr>
              <w:t>4</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pacing w:val="-4"/>
                <w:szCs w:val="21"/>
              </w:rPr>
              <w:t>爆炸极限(V%)</w:t>
            </w:r>
          </w:p>
        </w:tc>
        <w:tc>
          <w:tcPr>
            <w:tcW w:w="3623"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1.5-4.5</w:t>
            </w:r>
          </w:p>
        </w:tc>
        <w:tc>
          <w:tcPr>
            <w:tcW w:w="1432" w:type="dxa"/>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灭火剂</w:t>
            </w:r>
          </w:p>
        </w:tc>
        <w:tc>
          <w:tcPr>
            <w:tcW w:w="2951"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泡沫、干粉、二氧化碳</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主要用途</w:t>
            </w:r>
          </w:p>
        </w:tc>
        <w:tc>
          <w:tcPr>
            <w:tcW w:w="8006"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用作柴油机的燃料</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物质危险性类别</w:t>
            </w:r>
          </w:p>
        </w:tc>
        <w:tc>
          <w:tcPr>
            <w:tcW w:w="2004"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第3.3类高闪点易燃液体</w:t>
            </w:r>
          </w:p>
        </w:tc>
        <w:tc>
          <w:tcPr>
            <w:tcW w:w="3051" w:type="dxa"/>
            <w:gridSpan w:val="2"/>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燃烧性</w:t>
            </w:r>
          </w:p>
        </w:tc>
        <w:tc>
          <w:tcPr>
            <w:tcW w:w="2951" w:type="dxa"/>
            <w:gridSpan w:val="3"/>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易燃</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危险特性</w:t>
            </w:r>
          </w:p>
        </w:tc>
        <w:tc>
          <w:tcPr>
            <w:tcW w:w="8006"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遇明火、高热与氧化剂接触，有引起燃烧爆炸的危险。若遇高热，容器内压增大，有开裂和爆炸的危险。</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灭火方法</w:t>
            </w:r>
          </w:p>
        </w:tc>
        <w:tc>
          <w:tcPr>
            <w:tcW w:w="8006" w:type="dxa"/>
            <w:gridSpan w:val="7"/>
            <w:vAlign w:val="center"/>
          </w:tcPr>
          <w:p>
            <w:pPr>
              <w:ind w:firstLine="480"/>
              <w:contextualSpacing/>
              <w:jc w:val="center"/>
              <w:rPr>
                <w:rFonts w:ascii="Times New Roman" w:hAnsi="Times New Roman" w:eastAsia="宋体" w:cs="Times New Roman"/>
                <w:szCs w:val="21"/>
              </w:rPr>
            </w:pPr>
            <w:r>
              <w:rPr>
                <w:rFonts w:ascii="Times New Roman" w:hAnsi="Times New Roman" w:eastAsia="宋体" w:cs="Times New Roman"/>
                <w:szCs w:val="21"/>
              </w:rPr>
              <w:t>喷水冷却容器，可能的话将容器从火场移至空旷处。</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健康危害</w:t>
            </w:r>
          </w:p>
        </w:tc>
        <w:tc>
          <w:tcPr>
            <w:tcW w:w="8006"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皮肤接触可为主要吸收途径，可致急性肾脏损害。柴油可引起接触性皮炎、油性痤疮。吸入其雾滴或液体呛入可引起吸入性肺炎。能经胎盘进入胎儿血中。柴油废气可引起眼、鼻刺激症状，头晕及头痛。</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急救措施</w:t>
            </w:r>
          </w:p>
        </w:tc>
        <w:tc>
          <w:tcPr>
            <w:tcW w:w="8006"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皮肤接触：立即脱去被污染的衣着，用肥皂水和清水彻底冲洗皮肤，就医。</w:t>
            </w:r>
          </w:p>
          <w:p>
            <w:pPr>
              <w:ind w:firstLine="480"/>
              <w:contextualSpacing/>
              <w:rPr>
                <w:rFonts w:ascii="Times New Roman" w:hAnsi="Times New Roman" w:eastAsia="宋体" w:cs="Times New Roman"/>
                <w:szCs w:val="21"/>
              </w:rPr>
            </w:pPr>
            <w:r>
              <w:rPr>
                <w:rFonts w:ascii="Times New Roman" w:hAnsi="Times New Roman" w:eastAsia="宋体" w:cs="Times New Roman"/>
                <w:szCs w:val="21"/>
              </w:rPr>
              <w:t>眼睛接触：立即提起眼睑，用大量流动清水或生理盐水冲洗，就医。</w:t>
            </w:r>
          </w:p>
          <w:p>
            <w:pPr>
              <w:ind w:firstLine="480"/>
              <w:contextualSpacing/>
              <w:rPr>
                <w:rFonts w:ascii="Times New Roman" w:hAnsi="Times New Roman" w:eastAsia="宋体" w:cs="Times New Roman"/>
                <w:szCs w:val="21"/>
              </w:rPr>
            </w:pPr>
            <w:r>
              <w:rPr>
                <w:rFonts w:ascii="Times New Roman" w:hAnsi="Times New Roman" w:eastAsia="宋体" w:cs="Times New Roman"/>
                <w:szCs w:val="21"/>
              </w:rPr>
              <w:t>吸入：迅速脱离现场至空气新鲜处。保持呼吸道通畅，如呼吸困难，给输氧。如呼吸停止，立即进行人工呼吸，就医。</w:t>
            </w:r>
          </w:p>
          <w:p>
            <w:pPr>
              <w:ind w:firstLine="480"/>
              <w:contextualSpacing/>
              <w:rPr>
                <w:rFonts w:ascii="Times New Roman" w:hAnsi="Times New Roman" w:eastAsia="宋体" w:cs="Times New Roman"/>
                <w:szCs w:val="21"/>
              </w:rPr>
            </w:pPr>
            <w:r>
              <w:rPr>
                <w:rFonts w:ascii="Times New Roman" w:hAnsi="Times New Roman" w:eastAsia="宋体" w:cs="Times New Roman"/>
                <w:szCs w:val="21"/>
              </w:rPr>
              <w:t>食入：尽快彻底洗胃，就医。</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防护措施</w:t>
            </w:r>
          </w:p>
        </w:tc>
        <w:tc>
          <w:tcPr>
            <w:tcW w:w="8006"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呼吸系统防护：一般不需要特殊防护，高浓度接触时可佩戴自吸过滤式防毒面具(半面罩)。眼睛防护：一般不需要特殊防护，高浓度接触时可戴化学安全防护眼镜。身体防护：穿防静电工作服。手防护：戴防苯耐油手套。</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泄漏紧急处理</w:t>
            </w:r>
          </w:p>
        </w:tc>
        <w:tc>
          <w:tcPr>
            <w:tcW w:w="8006" w:type="dxa"/>
            <w:gridSpan w:val="7"/>
            <w:vAlign w:val="center"/>
          </w:tcPr>
          <w:p>
            <w:pPr>
              <w:ind w:firstLine="480"/>
              <w:contextualSpacing/>
              <w:rPr>
                <w:rFonts w:ascii="Times New Roman" w:hAnsi="Times New Roman" w:eastAsia="宋体" w:cs="Times New Roman"/>
                <w:szCs w:val="21"/>
              </w:rPr>
            </w:pPr>
            <w:r>
              <w:rPr>
                <w:rFonts w:ascii="Times New Roman" w:hAnsi="Times New Roman" w:eastAsia="宋体" w:cs="Times New Roman"/>
                <w:szCs w:val="21"/>
              </w:rPr>
              <w:t>迅速撤离泄漏污染区人员至安全区，并进行隔离，严格限制出入。切断火源。建议应急处理人员戴自给正压式呼吸器，穿一般作业工作服。尽可能切断泄漏源，防止进入下水道、排洪沟等限制性空间。小量泄漏：用活性炭或其它惰性材料吸收。大量泄漏：构筑围堤或挖坑收容；用泵转移至槽车或专用收集器内，回收或运至废物处理场所处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97" w:hRule="atLeast"/>
          <w:jc w:val="center"/>
        </w:trPr>
        <w:tc>
          <w:tcPr>
            <w:tcW w:w="1280" w:type="dxa"/>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储存注意事项</w:t>
            </w:r>
          </w:p>
        </w:tc>
        <w:tc>
          <w:tcPr>
            <w:tcW w:w="8006" w:type="dxa"/>
            <w:gridSpan w:val="7"/>
            <w:vAlign w:val="center"/>
          </w:tcPr>
          <w:p>
            <w:pPr>
              <w:ind w:firstLine="480"/>
              <w:contextualSpacing/>
              <w:rPr>
                <w:rFonts w:ascii="Times New Roman" w:hAnsi="Times New Roman" w:eastAsia="宋体" w:cs="Times New Roman"/>
                <w:bCs/>
                <w:kern w:val="0"/>
                <w:szCs w:val="21"/>
              </w:rPr>
            </w:pPr>
            <w:r>
              <w:rPr>
                <w:rFonts w:ascii="Times New Roman" w:hAnsi="Times New Roman" w:eastAsia="宋体" w:cs="Times New Roman"/>
                <w:bCs/>
                <w:kern w:val="0"/>
                <w:szCs w:val="21"/>
              </w:rPr>
              <w:t>储存于阴凉、通风的库房。远离火种、热源。应与氧化剂、卤素分开存放，切忌混储。采用防爆型照明、通风设施。禁止使用易产生火花的机械设备和工具。储区应备有泄漏应急处理设备和合适的收容材料。</w:t>
            </w:r>
          </w:p>
        </w:tc>
      </w:tr>
    </w:tbl>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fldChar w:fldCharType="begin"/>
      </w:r>
      <w:r>
        <w:rPr>
          <w:rFonts w:ascii="Times New Roman" w:hAnsi="Times New Roman" w:cs="Times New Roman"/>
          <w:b/>
          <w:bCs/>
          <w:color w:val="000000" w:themeColor="text1"/>
          <w:sz w:val="24"/>
          <w:szCs w:val="24"/>
        </w:rPr>
        <w:instrText xml:space="preserve"> = 2 \* GB3 </w:instrText>
      </w:r>
      <w:r>
        <w:rPr>
          <w:rFonts w:ascii="Times New Roman" w:hAnsi="Times New Roman" w:cs="Times New Roman"/>
          <w:b/>
          <w:bCs/>
          <w:color w:val="000000" w:themeColor="text1"/>
          <w:sz w:val="24"/>
          <w:szCs w:val="24"/>
        </w:rPr>
        <w:fldChar w:fldCharType="separate"/>
      </w:r>
      <w:r>
        <w:rPr>
          <w:rFonts w:ascii="Times New Roman" w:hAnsi="Times New Roman" w:eastAsia="宋体" w:cs="Times New Roman"/>
          <w:b/>
          <w:bCs/>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b/>
          <w:bCs/>
          <w:color w:val="000000" w:themeColor="text1"/>
          <w:sz w:val="24"/>
          <w:szCs w:val="24"/>
        </w:rPr>
        <w:t>重大危险源辨识</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w:t>
      </w:r>
      <w:r>
        <w:rPr>
          <w:rFonts w:ascii="Times New Roman" w:hAnsi="Times New Roman" w:cs="Times New Roman"/>
          <w:bCs/>
          <w:color w:val="000000" w:themeColor="text1"/>
          <w:sz w:val="24"/>
          <w:szCs w:val="24"/>
        </w:rPr>
        <w:t>生产过程中涉及到的</w:t>
      </w:r>
      <w:r>
        <w:rPr>
          <w:rFonts w:ascii="Times New Roman" w:hAnsi="Times New Roman" w:cs="Times New Roman"/>
          <w:color w:val="000000" w:themeColor="text1"/>
          <w:sz w:val="24"/>
          <w:szCs w:val="24"/>
        </w:rPr>
        <w:t>化学药品主要为汽油。对照《危险化学品重大危险源辨识》（GB18218—2018）中所列名录中有毒物质及临界量可知，导则对本项目所储存的汽油临界储存量的规定，贮存区汽油临界量为200t</w:t>
      </w:r>
      <w:r>
        <w:rPr>
          <w:rFonts w:hint="eastAsia" w:ascii="Times New Roman" w:hAnsi="Times New Roman" w:cs="Times New Roman"/>
          <w:color w:val="000000" w:themeColor="text1"/>
          <w:sz w:val="24"/>
          <w:szCs w:val="24"/>
        </w:rPr>
        <w:t>，贮存区柴油临界量为</w:t>
      </w:r>
      <w:r>
        <w:rPr>
          <w:rFonts w:ascii="Times New Roman" w:hAnsi="Times New Roman" w:cs="Times New Roman"/>
          <w:color w:val="000000" w:themeColor="text1"/>
          <w:sz w:val="24"/>
          <w:szCs w:val="24"/>
        </w:rPr>
        <w:t>50</w:t>
      </w:r>
      <w:r>
        <w:rPr>
          <w:rFonts w:hint="eastAsia" w:ascii="Times New Roman" w:hAnsi="Times New Roman" w:cs="Times New Roman"/>
          <w:color w:val="000000" w:themeColor="text1"/>
          <w:sz w:val="24"/>
          <w:szCs w:val="24"/>
        </w:rPr>
        <w:t>00t</w:t>
      </w:r>
      <w:r>
        <w:rPr>
          <w:rFonts w:ascii="Times New Roman" w:hAnsi="Times New Roman" w:cs="Times New Roman"/>
          <w:color w:val="000000" w:themeColor="text1"/>
          <w:sz w:val="24"/>
          <w:szCs w:val="24"/>
        </w:rPr>
        <w:t>。</w:t>
      </w:r>
    </w:p>
    <w:p>
      <w:pPr>
        <w:spacing w:line="500" w:lineRule="exac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该加油站有汽油储罐4个</w:t>
      </w:r>
      <w:r>
        <w:rPr>
          <w:rFonts w:hint="eastAsia" w:ascii="Times New Roman" w:hAnsi="Times New Roman" w:cs="Times New Roman"/>
          <w:color w:val="000000" w:themeColor="text1"/>
          <w:sz w:val="24"/>
          <w:szCs w:val="24"/>
        </w:rPr>
        <w:t>，柴油储罐</w:t>
      </w:r>
      <w:r>
        <w:rPr>
          <w:rFonts w:ascii="Times New Roman" w:hAnsi="Times New Roman" w:cs="Times New Roman"/>
          <w:color w:val="000000" w:themeColor="text1"/>
          <w:sz w:val="24"/>
          <w:szCs w:val="24"/>
        </w:rPr>
        <w:t>1</w:t>
      </w:r>
      <w:r>
        <w:rPr>
          <w:rFonts w:hint="eastAsia" w:ascii="Times New Roman" w:hAnsi="Times New Roman" w:cs="Times New Roman"/>
          <w:color w:val="000000" w:themeColor="text1"/>
          <w:sz w:val="24"/>
          <w:szCs w:val="24"/>
        </w:rPr>
        <w:t>个</w:t>
      </w:r>
      <w:r>
        <w:rPr>
          <w:rFonts w:ascii="Times New Roman" w:hAnsi="Times New Roman" w:cs="Times New Roman"/>
          <w:color w:val="000000" w:themeColor="text1"/>
          <w:sz w:val="24"/>
          <w:szCs w:val="24"/>
        </w:rPr>
        <w:t>，容量为30m³，汽油密度为0.78，</w:t>
      </w:r>
      <w:r>
        <w:rPr>
          <w:rFonts w:hint="eastAsia" w:ascii="Times New Roman" w:hAnsi="Times New Roman" w:cs="Times New Roman"/>
          <w:color w:val="000000" w:themeColor="text1"/>
          <w:sz w:val="24"/>
          <w:szCs w:val="24"/>
        </w:rPr>
        <w:t>柴油</w:t>
      </w:r>
      <w:r>
        <w:rPr>
          <w:rFonts w:ascii="Times New Roman" w:hAnsi="Times New Roman" w:cs="Times New Roman"/>
          <w:color w:val="000000" w:themeColor="text1"/>
          <w:sz w:val="24"/>
          <w:szCs w:val="24"/>
        </w:rPr>
        <w:t>密度为</w:t>
      </w:r>
      <w:r>
        <w:rPr>
          <w:rFonts w:hint="eastAsia" w:ascii="Times New Roman" w:hAnsi="Times New Roman" w:cs="Times New Roman"/>
          <w:color w:val="000000" w:themeColor="text1"/>
          <w:sz w:val="24"/>
          <w:szCs w:val="24"/>
        </w:rPr>
        <w:t>0.83.</w:t>
      </w:r>
    </w:p>
    <w:p>
      <w:pPr>
        <w:spacing w:line="500" w:lineRule="exac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项目重大危险源辨识表如下表3-4所示。</w:t>
      </w:r>
    </w:p>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表3-4  重大危险源辨识一览表</w:t>
      </w:r>
    </w:p>
    <w:tbl>
      <w:tblPr>
        <w:tblStyle w:val="16"/>
        <w:tblpPr w:leftFromText="180" w:rightFromText="180" w:vertAnchor="text" w:horzAnchor="margin" w:tblpXSpec="center" w:tblpY="193"/>
        <w:tblOverlap w:val="never"/>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6"/>
        <w:gridCol w:w="1196"/>
        <w:gridCol w:w="1202"/>
        <w:gridCol w:w="1271"/>
        <w:gridCol w:w="1154"/>
        <w:gridCol w:w="1520"/>
        <w:gridCol w:w="104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86" w:hRule="atLeast"/>
        </w:trPr>
        <w:tc>
          <w:tcPr>
            <w:tcW w:w="1136" w:type="dxa"/>
            <w:vMerge w:val="restart"/>
            <w:vAlign w:val="center"/>
          </w:tcPr>
          <w:p>
            <w:pPr>
              <w:rPr>
                <w:rFonts w:ascii="Times New Roman" w:hAnsi="Times New Roman" w:cs="Times New Roman"/>
                <w:b/>
                <w:bCs/>
                <w:szCs w:val="21"/>
              </w:rPr>
            </w:pPr>
            <w:bookmarkStart w:id="274" w:name="_Toc7403_WPSOffice_Level2"/>
            <w:bookmarkStart w:id="275" w:name="_Toc23861_WPSOffice_Level2"/>
            <w:bookmarkStart w:id="276" w:name="_Toc532817028"/>
            <w:bookmarkStart w:id="277" w:name="_Toc28676"/>
            <w:bookmarkStart w:id="278" w:name="_Toc16098_WPSOffice_Level2"/>
            <w:bookmarkStart w:id="279" w:name="_Toc4583_WPSOffice_Level2"/>
            <w:bookmarkStart w:id="280" w:name="_Toc17283_WPSOffice_Level2"/>
            <w:r>
              <w:rPr>
                <w:rFonts w:ascii="Times New Roman" w:hAnsi="Times New Roman" w:cs="Times New Roman"/>
                <w:b/>
                <w:bCs/>
                <w:szCs w:val="21"/>
              </w:rPr>
              <w:t>物质名称</w:t>
            </w:r>
          </w:p>
        </w:tc>
        <w:tc>
          <w:tcPr>
            <w:tcW w:w="2398" w:type="dxa"/>
            <w:gridSpan w:val="2"/>
            <w:vAlign w:val="center"/>
          </w:tcPr>
          <w:p>
            <w:pPr>
              <w:ind w:firstLine="482"/>
              <w:jc w:val="center"/>
              <w:rPr>
                <w:rFonts w:ascii="Times New Roman" w:hAnsi="Times New Roman" w:cs="Times New Roman"/>
                <w:b/>
                <w:bCs/>
                <w:szCs w:val="21"/>
              </w:rPr>
            </w:pPr>
            <w:r>
              <w:rPr>
                <w:rFonts w:ascii="Times New Roman" w:hAnsi="Times New Roman" w:cs="Times New Roman"/>
                <w:b/>
                <w:bCs/>
                <w:szCs w:val="21"/>
              </w:rPr>
              <w:t>临界量（t）</w:t>
            </w:r>
          </w:p>
        </w:tc>
        <w:tc>
          <w:tcPr>
            <w:tcW w:w="2425" w:type="dxa"/>
            <w:gridSpan w:val="2"/>
            <w:vAlign w:val="center"/>
          </w:tcPr>
          <w:p>
            <w:pPr>
              <w:ind w:firstLine="482"/>
              <w:jc w:val="center"/>
              <w:rPr>
                <w:rFonts w:ascii="Times New Roman" w:hAnsi="Times New Roman" w:cs="Times New Roman"/>
                <w:b/>
                <w:bCs/>
                <w:szCs w:val="21"/>
              </w:rPr>
            </w:pPr>
            <w:r>
              <w:rPr>
                <w:rFonts w:ascii="Times New Roman" w:hAnsi="Times New Roman" w:cs="Times New Roman"/>
                <w:b/>
                <w:bCs/>
                <w:szCs w:val="21"/>
              </w:rPr>
              <w:t>实际量（t）</w:t>
            </w:r>
          </w:p>
        </w:tc>
        <w:tc>
          <w:tcPr>
            <w:tcW w:w="1520" w:type="dxa"/>
            <w:vMerge w:val="restart"/>
            <w:vAlign w:val="center"/>
          </w:tcPr>
          <w:p>
            <w:pPr>
              <w:rPr>
                <w:rFonts w:ascii="Times New Roman" w:hAnsi="Times New Roman" w:cs="Times New Roman"/>
                <w:b/>
                <w:bCs/>
                <w:szCs w:val="21"/>
              </w:rPr>
            </w:pPr>
            <w:r>
              <w:rPr>
                <w:rFonts w:ascii="Times New Roman" w:hAnsi="Times New Roman" w:cs="Times New Roman"/>
                <w:b/>
                <w:bCs/>
                <w:szCs w:val="21"/>
              </w:rPr>
              <w:t>重大危险源</w:t>
            </w:r>
          </w:p>
        </w:tc>
        <w:tc>
          <w:tcPr>
            <w:tcW w:w="1043" w:type="dxa"/>
            <w:vMerge w:val="restart"/>
            <w:vAlign w:val="center"/>
          </w:tcPr>
          <w:p>
            <w:pPr>
              <w:rPr>
                <w:rFonts w:ascii="Times New Roman" w:hAnsi="Times New Roman" w:cs="Times New Roman"/>
                <w:b/>
                <w:bCs/>
                <w:szCs w:val="21"/>
              </w:rPr>
            </w:pPr>
            <w:r>
              <w:rPr>
                <w:rFonts w:ascii="Times New Roman" w:hAnsi="Times New Roman" w:cs="Times New Roman"/>
                <w:b/>
                <w:bCs/>
                <w:szCs w:val="21"/>
              </w:rPr>
              <w:t>位置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29" w:hRule="atLeast"/>
        </w:trPr>
        <w:tc>
          <w:tcPr>
            <w:tcW w:w="1136" w:type="dxa"/>
            <w:vMerge w:val="continue"/>
            <w:vAlign w:val="center"/>
          </w:tcPr>
          <w:p>
            <w:pPr>
              <w:ind w:firstLine="480"/>
              <w:jc w:val="center"/>
              <w:rPr>
                <w:rFonts w:ascii="Times New Roman" w:hAnsi="Times New Roman" w:cs="Times New Roman"/>
                <w:szCs w:val="21"/>
              </w:rPr>
            </w:pPr>
          </w:p>
        </w:tc>
        <w:tc>
          <w:tcPr>
            <w:tcW w:w="1196" w:type="dxa"/>
            <w:vAlign w:val="center"/>
          </w:tcPr>
          <w:p>
            <w:pPr>
              <w:rPr>
                <w:rFonts w:ascii="Times New Roman" w:hAnsi="Times New Roman" w:cs="Times New Roman"/>
                <w:b/>
                <w:szCs w:val="21"/>
              </w:rPr>
            </w:pPr>
            <w:r>
              <w:rPr>
                <w:rFonts w:ascii="Times New Roman" w:hAnsi="Times New Roman" w:cs="Times New Roman"/>
                <w:b/>
                <w:szCs w:val="21"/>
              </w:rPr>
              <w:t>生产场所</w:t>
            </w:r>
          </w:p>
        </w:tc>
        <w:tc>
          <w:tcPr>
            <w:tcW w:w="1202" w:type="dxa"/>
            <w:vAlign w:val="center"/>
          </w:tcPr>
          <w:p>
            <w:pPr>
              <w:rPr>
                <w:rFonts w:ascii="Times New Roman" w:hAnsi="Times New Roman" w:cs="Times New Roman"/>
                <w:b/>
                <w:szCs w:val="21"/>
              </w:rPr>
            </w:pPr>
            <w:r>
              <w:rPr>
                <w:rFonts w:ascii="Times New Roman" w:hAnsi="Times New Roman" w:cs="Times New Roman"/>
                <w:b/>
                <w:szCs w:val="21"/>
              </w:rPr>
              <w:t>贮存区</w:t>
            </w:r>
          </w:p>
        </w:tc>
        <w:tc>
          <w:tcPr>
            <w:tcW w:w="1271" w:type="dxa"/>
            <w:vAlign w:val="center"/>
          </w:tcPr>
          <w:p>
            <w:pPr>
              <w:rPr>
                <w:rFonts w:ascii="Times New Roman" w:hAnsi="Times New Roman" w:cs="Times New Roman"/>
                <w:b/>
                <w:szCs w:val="21"/>
              </w:rPr>
            </w:pPr>
            <w:r>
              <w:rPr>
                <w:rFonts w:ascii="Times New Roman" w:hAnsi="Times New Roman" w:cs="Times New Roman"/>
                <w:b/>
                <w:szCs w:val="21"/>
              </w:rPr>
              <w:t>生产场所</w:t>
            </w:r>
          </w:p>
        </w:tc>
        <w:tc>
          <w:tcPr>
            <w:tcW w:w="1154" w:type="dxa"/>
            <w:vAlign w:val="center"/>
          </w:tcPr>
          <w:p>
            <w:pPr>
              <w:rPr>
                <w:rFonts w:ascii="Times New Roman" w:hAnsi="Times New Roman" w:cs="Times New Roman"/>
                <w:b/>
                <w:szCs w:val="21"/>
              </w:rPr>
            </w:pPr>
            <w:r>
              <w:rPr>
                <w:rFonts w:ascii="Times New Roman" w:hAnsi="Times New Roman" w:cs="Times New Roman"/>
                <w:b/>
                <w:szCs w:val="21"/>
              </w:rPr>
              <w:t>贮存区</w:t>
            </w:r>
          </w:p>
        </w:tc>
        <w:tc>
          <w:tcPr>
            <w:tcW w:w="1520" w:type="dxa"/>
            <w:vMerge w:val="continue"/>
            <w:vAlign w:val="center"/>
          </w:tcPr>
          <w:p>
            <w:pPr>
              <w:ind w:firstLine="480"/>
              <w:jc w:val="center"/>
              <w:rPr>
                <w:rFonts w:ascii="Times New Roman" w:hAnsi="Times New Roman" w:cs="Times New Roman"/>
                <w:szCs w:val="21"/>
              </w:rPr>
            </w:pPr>
          </w:p>
        </w:tc>
        <w:tc>
          <w:tcPr>
            <w:tcW w:w="1043" w:type="dxa"/>
            <w:vMerge w:val="continue"/>
            <w:vAlign w:val="center"/>
          </w:tcPr>
          <w:p>
            <w:pPr>
              <w:ind w:firstLine="480"/>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136" w:type="dxa"/>
            <w:vAlign w:val="center"/>
          </w:tcPr>
          <w:p>
            <w:pPr>
              <w:rPr>
                <w:rFonts w:ascii="Times New Roman" w:hAnsi="Times New Roman" w:cs="Times New Roman"/>
                <w:szCs w:val="21"/>
              </w:rPr>
            </w:pPr>
            <w:r>
              <w:rPr>
                <w:rFonts w:ascii="Times New Roman" w:hAnsi="Times New Roman" w:cs="Times New Roman"/>
                <w:szCs w:val="21"/>
              </w:rPr>
              <w:t>汽油</w:t>
            </w:r>
          </w:p>
        </w:tc>
        <w:tc>
          <w:tcPr>
            <w:tcW w:w="1196" w:type="dxa"/>
            <w:vAlign w:val="center"/>
          </w:tcPr>
          <w:p>
            <w:pPr>
              <w:ind w:firstLine="480"/>
              <w:jc w:val="center"/>
              <w:rPr>
                <w:rFonts w:ascii="Times New Roman" w:hAnsi="Times New Roman" w:cs="Times New Roman"/>
                <w:szCs w:val="21"/>
              </w:rPr>
            </w:pPr>
            <w:r>
              <w:rPr>
                <w:rFonts w:ascii="Times New Roman" w:hAnsi="Times New Roman" w:cs="Times New Roman"/>
                <w:szCs w:val="21"/>
              </w:rPr>
              <w:t>/</w:t>
            </w:r>
          </w:p>
        </w:tc>
        <w:tc>
          <w:tcPr>
            <w:tcW w:w="1202" w:type="dxa"/>
            <w:vAlign w:val="center"/>
          </w:tcPr>
          <w:p>
            <w:pPr>
              <w:ind w:firstLine="480"/>
              <w:jc w:val="center"/>
              <w:rPr>
                <w:rFonts w:ascii="Times New Roman" w:hAnsi="Times New Roman" w:cs="Times New Roman"/>
                <w:szCs w:val="21"/>
              </w:rPr>
            </w:pPr>
            <w:r>
              <w:rPr>
                <w:rFonts w:ascii="Times New Roman" w:hAnsi="Times New Roman" w:cs="Times New Roman"/>
                <w:szCs w:val="21"/>
              </w:rPr>
              <w:t>200t</w:t>
            </w:r>
          </w:p>
        </w:tc>
        <w:tc>
          <w:tcPr>
            <w:tcW w:w="1271" w:type="dxa"/>
            <w:vAlign w:val="center"/>
          </w:tcPr>
          <w:p>
            <w:pPr>
              <w:ind w:firstLine="480"/>
              <w:jc w:val="center"/>
              <w:rPr>
                <w:rFonts w:ascii="Times New Roman" w:hAnsi="Times New Roman" w:cs="Times New Roman"/>
                <w:szCs w:val="21"/>
              </w:rPr>
            </w:pPr>
            <w:r>
              <w:rPr>
                <w:rFonts w:ascii="Times New Roman" w:hAnsi="Times New Roman" w:cs="Times New Roman"/>
                <w:szCs w:val="21"/>
              </w:rPr>
              <w:t>/</w:t>
            </w:r>
          </w:p>
        </w:tc>
        <w:tc>
          <w:tcPr>
            <w:tcW w:w="1154" w:type="dxa"/>
            <w:vAlign w:val="center"/>
          </w:tcPr>
          <w:p>
            <w:pPr>
              <w:ind w:firstLine="480"/>
              <w:jc w:val="center"/>
              <w:rPr>
                <w:rFonts w:ascii="Times New Roman" w:hAnsi="Times New Roman" w:cs="Times New Roman"/>
                <w:szCs w:val="21"/>
              </w:rPr>
            </w:pPr>
            <w:r>
              <w:rPr>
                <w:rFonts w:ascii="Times New Roman" w:hAnsi="Times New Roman" w:cs="Times New Roman"/>
                <w:szCs w:val="21"/>
              </w:rPr>
              <w:t>93.6</w:t>
            </w:r>
          </w:p>
        </w:tc>
        <w:tc>
          <w:tcPr>
            <w:tcW w:w="1520" w:type="dxa"/>
            <w:vAlign w:val="center"/>
          </w:tcPr>
          <w:p>
            <w:pPr>
              <w:rPr>
                <w:rFonts w:ascii="Times New Roman" w:hAnsi="Times New Roman" w:cs="Times New Roman"/>
                <w:szCs w:val="21"/>
              </w:rPr>
            </w:pPr>
            <w:r>
              <w:rPr>
                <w:rFonts w:ascii="Times New Roman" w:hAnsi="Times New Roman" w:cs="Times New Roman"/>
                <w:szCs w:val="21"/>
              </w:rPr>
              <w:t>易燃易爆</w:t>
            </w:r>
          </w:p>
        </w:tc>
        <w:tc>
          <w:tcPr>
            <w:tcW w:w="1043" w:type="dxa"/>
            <w:vAlign w:val="center"/>
          </w:tcPr>
          <w:p>
            <w:pPr>
              <w:rPr>
                <w:rFonts w:ascii="Times New Roman" w:hAnsi="Times New Roman" w:cs="Times New Roman"/>
                <w:szCs w:val="21"/>
              </w:rPr>
            </w:pPr>
            <w:r>
              <w:rPr>
                <w:rFonts w:ascii="Times New Roman" w:hAnsi="Times New Roman" w:cs="Times New Roman"/>
                <w:szCs w:val="21"/>
              </w:rPr>
              <w:t>油罐区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136" w:type="dxa"/>
            <w:vAlign w:val="center"/>
          </w:tcPr>
          <w:p>
            <w:pPr>
              <w:rPr>
                <w:rFonts w:ascii="Times New Roman" w:hAnsi="Times New Roman" w:cs="Times New Roman"/>
                <w:szCs w:val="21"/>
              </w:rPr>
            </w:pPr>
            <w:r>
              <w:rPr>
                <w:rFonts w:hint="eastAsia" w:ascii="Times New Roman" w:hAnsi="Times New Roman" w:cs="Times New Roman"/>
                <w:szCs w:val="21"/>
              </w:rPr>
              <w:t>柴油</w:t>
            </w:r>
          </w:p>
        </w:tc>
        <w:tc>
          <w:tcPr>
            <w:tcW w:w="1196" w:type="dxa"/>
            <w:vAlign w:val="center"/>
          </w:tcPr>
          <w:p>
            <w:pPr>
              <w:ind w:firstLine="480"/>
              <w:jc w:val="center"/>
              <w:rPr>
                <w:rFonts w:ascii="Times New Roman" w:hAnsi="Times New Roman" w:cs="Times New Roman"/>
                <w:szCs w:val="21"/>
              </w:rPr>
            </w:pPr>
            <w:r>
              <w:rPr>
                <w:rFonts w:ascii="Times New Roman" w:hAnsi="Times New Roman" w:cs="Times New Roman"/>
                <w:szCs w:val="21"/>
              </w:rPr>
              <w:t>/</w:t>
            </w:r>
          </w:p>
        </w:tc>
        <w:tc>
          <w:tcPr>
            <w:tcW w:w="1202" w:type="dxa"/>
            <w:vAlign w:val="center"/>
          </w:tcPr>
          <w:p>
            <w:pPr>
              <w:ind w:firstLine="480"/>
              <w:jc w:val="center"/>
              <w:rPr>
                <w:rFonts w:ascii="Times New Roman" w:hAnsi="Times New Roman" w:cs="Times New Roman"/>
                <w:szCs w:val="21"/>
              </w:rPr>
            </w:pPr>
            <w:r>
              <w:rPr>
                <w:rFonts w:ascii="Times New Roman" w:hAnsi="Times New Roman" w:cs="Times New Roman"/>
                <w:szCs w:val="21"/>
              </w:rPr>
              <w:t>200t</w:t>
            </w:r>
          </w:p>
        </w:tc>
        <w:tc>
          <w:tcPr>
            <w:tcW w:w="1271" w:type="dxa"/>
            <w:vAlign w:val="center"/>
          </w:tcPr>
          <w:p>
            <w:pPr>
              <w:ind w:firstLine="480"/>
              <w:jc w:val="center"/>
              <w:rPr>
                <w:rFonts w:ascii="Times New Roman" w:hAnsi="Times New Roman" w:cs="Times New Roman"/>
                <w:szCs w:val="21"/>
              </w:rPr>
            </w:pPr>
            <w:r>
              <w:rPr>
                <w:rFonts w:ascii="Times New Roman" w:hAnsi="Times New Roman" w:cs="Times New Roman"/>
                <w:szCs w:val="21"/>
              </w:rPr>
              <w:t>/</w:t>
            </w:r>
          </w:p>
        </w:tc>
        <w:tc>
          <w:tcPr>
            <w:tcW w:w="1154" w:type="dxa"/>
            <w:vAlign w:val="center"/>
          </w:tcPr>
          <w:p>
            <w:pPr>
              <w:ind w:firstLine="480"/>
              <w:jc w:val="center"/>
              <w:rPr>
                <w:rFonts w:ascii="Times New Roman" w:hAnsi="Times New Roman" w:cs="Times New Roman"/>
                <w:szCs w:val="21"/>
              </w:rPr>
            </w:pPr>
            <w:r>
              <w:rPr>
                <w:rFonts w:ascii="Times New Roman" w:hAnsi="Times New Roman" w:cs="Times New Roman"/>
                <w:szCs w:val="21"/>
              </w:rPr>
              <w:t>24.9</w:t>
            </w:r>
          </w:p>
        </w:tc>
        <w:tc>
          <w:tcPr>
            <w:tcW w:w="1520" w:type="dxa"/>
            <w:vAlign w:val="center"/>
          </w:tcPr>
          <w:p>
            <w:pPr>
              <w:rPr>
                <w:rFonts w:ascii="Times New Roman" w:hAnsi="Times New Roman" w:cs="Times New Roman"/>
                <w:szCs w:val="21"/>
              </w:rPr>
            </w:pPr>
            <w:r>
              <w:rPr>
                <w:rFonts w:ascii="Times New Roman" w:hAnsi="Times New Roman" w:cs="Times New Roman"/>
                <w:szCs w:val="21"/>
              </w:rPr>
              <w:t>易燃易爆</w:t>
            </w:r>
          </w:p>
        </w:tc>
        <w:tc>
          <w:tcPr>
            <w:tcW w:w="1043" w:type="dxa"/>
            <w:vAlign w:val="center"/>
          </w:tcPr>
          <w:p>
            <w:pPr>
              <w:rPr>
                <w:rFonts w:ascii="Times New Roman" w:hAnsi="Times New Roman" w:cs="Times New Roman"/>
                <w:szCs w:val="21"/>
              </w:rPr>
            </w:pPr>
            <w:r>
              <w:rPr>
                <w:rFonts w:ascii="Times New Roman" w:hAnsi="Times New Roman" w:cs="Times New Roman"/>
                <w:szCs w:val="21"/>
              </w:rPr>
              <w:t>油罐区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136" w:type="dxa"/>
            <w:vAlign w:val="center"/>
          </w:tcPr>
          <w:p>
            <w:pPr>
              <w:ind w:firstLine="480"/>
              <w:jc w:val="center"/>
              <w:rPr>
                <w:rFonts w:ascii="Times New Roman" w:hAnsi="Times New Roman" w:cs="Times New Roman"/>
                <w:szCs w:val="21"/>
              </w:rPr>
            </w:pPr>
          </w:p>
        </w:tc>
        <w:tc>
          <w:tcPr>
            <w:tcW w:w="4823" w:type="dxa"/>
            <w:gridSpan w:val="4"/>
            <w:vAlign w:val="center"/>
          </w:tcPr>
          <w:p>
            <w:pPr>
              <w:ind w:firstLine="480"/>
              <w:jc w:val="center"/>
              <w:rPr>
                <w:rFonts w:ascii="Times New Roman" w:hAnsi="Times New Roman" w:cs="Times New Roman"/>
                <w:szCs w:val="21"/>
              </w:rPr>
            </w:pPr>
            <w:r>
              <w:rPr>
                <w:rFonts w:ascii="Times New Roman" w:hAnsi="Times New Roman" w:cs="Times New Roman"/>
                <w:szCs w:val="21"/>
              </w:rPr>
              <w:t>93.6/200+24.9/5000=0.473＜1</w:t>
            </w:r>
          </w:p>
        </w:tc>
        <w:tc>
          <w:tcPr>
            <w:tcW w:w="1520" w:type="dxa"/>
            <w:vAlign w:val="center"/>
          </w:tcPr>
          <w:p>
            <w:pPr>
              <w:ind w:firstLine="480"/>
              <w:jc w:val="center"/>
              <w:rPr>
                <w:rFonts w:ascii="Times New Roman" w:hAnsi="Times New Roman" w:cs="Times New Roman"/>
                <w:szCs w:val="21"/>
              </w:rPr>
            </w:pPr>
            <w:r>
              <w:rPr>
                <w:rFonts w:ascii="Times New Roman" w:hAnsi="Times New Roman" w:cs="Times New Roman"/>
                <w:szCs w:val="21"/>
              </w:rPr>
              <w:t>否</w:t>
            </w:r>
          </w:p>
        </w:tc>
        <w:tc>
          <w:tcPr>
            <w:tcW w:w="1043" w:type="dxa"/>
            <w:vAlign w:val="center"/>
          </w:tcPr>
          <w:p>
            <w:pPr>
              <w:ind w:firstLine="480"/>
              <w:jc w:val="center"/>
              <w:rPr>
                <w:rFonts w:ascii="Times New Roman" w:hAnsi="Times New Roman" w:cs="Times New Roman"/>
                <w:szCs w:val="21"/>
              </w:rPr>
            </w:pPr>
          </w:p>
        </w:tc>
      </w:tr>
    </w:tbl>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由上表可知，项目汽油和柴油储存量根据《危险化学品重大危险源辨识》（GB18218—2018）中的规定，判定值=0.473&lt;1。因此，项目经营过程中储存场所涉及到的危险化学品不构成危险化学品重大危险源。</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281" w:name="_Toc20778"/>
      <w:r>
        <w:rPr>
          <w:rFonts w:ascii="Times New Roman" w:hAnsi="Times New Roman" w:cs="Times New Roman"/>
          <w:b/>
          <w:bCs/>
          <w:color w:val="000000" w:themeColor="text1"/>
          <w:kern w:val="44"/>
          <w:sz w:val="24"/>
          <w:szCs w:val="24"/>
        </w:rPr>
        <w:t>3.2 环境风险分析</w:t>
      </w:r>
      <w:bookmarkEnd w:id="274"/>
      <w:bookmarkEnd w:id="275"/>
      <w:bookmarkEnd w:id="276"/>
      <w:bookmarkEnd w:id="277"/>
      <w:bookmarkEnd w:id="278"/>
      <w:bookmarkEnd w:id="279"/>
      <w:bookmarkEnd w:id="280"/>
      <w:bookmarkEnd w:id="281"/>
    </w:p>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本项目风险主要考虑汽油的风险分析。</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82" w:name="_Toc12462_WPSOffice_Level3"/>
      <w:bookmarkStart w:id="283" w:name="_Toc12429_WPSOffice_Level3"/>
      <w:bookmarkStart w:id="284" w:name="_Toc6108_WPSOffice_Level3"/>
      <w:bookmarkStart w:id="285" w:name="_Toc6097"/>
      <w:bookmarkStart w:id="286" w:name="_Toc8889_WPSOffice_Level3"/>
      <w:bookmarkStart w:id="287" w:name="_Toc532817029"/>
      <w:bookmarkStart w:id="288" w:name="_Toc653_WPSOffice_Level3"/>
      <w:bookmarkStart w:id="289" w:name="_Toc5268"/>
      <w:r>
        <w:rPr>
          <w:rFonts w:ascii="Times New Roman" w:hAnsi="Times New Roman" w:cs="Times New Roman"/>
          <w:b/>
          <w:bCs/>
          <w:color w:val="000000" w:themeColor="text1"/>
          <w:kern w:val="44"/>
          <w:sz w:val="24"/>
          <w:szCs w:val="24"/>
        </w:rPr>
        <w:t>3.2.1 火灾、爆炸</w:t>
      </w:r>
      <w:bookmarkEnd w:id="282"/>
      <w:bookmarkEnd w:id="283"/>
      <w:bookmarkEnd w:id="284"/>
      <w:bookmarkEnd w:id="285"/>
      <w:bookmarkEnd w:id="286"/>
      <w:bookmarkEnd w:id="287"/>
      <w:bookmarkEnd w:id="288"/>
      <w:bookmarkEnd w:id="289"/>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汽油属易燃、易爆液体，如果在储存、输送过程发生跑、冒、滴、漏，卸油过程中如果静电接地不好或管线、接头等有渗漏，加油过程加油设备及管线出现故障或加油过程操作不当等会引起油料泄漏，油料蒸发出来的可燃气体在一定的浓度范围内，能够与空气形成爆炸性混合物，遇明火、静电及高温或与氧化剂接触等易引起燃烧或爆炸；同时其蒸汽比空气重，能在较低处扩散到相当远的地方，遇明火会引着回燃，也会造成火灾爆炸事故。</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发生火灾、爆炸时对区域环境空气会造成影响，火灾、爆炸后产生的消防废水如不及时收集，流入周围地表水体会污染地表水。</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90" w:name="_Toc24077"/>
      <w:bookmarkStart w:id="291" w:name="_Toc14340_WPSOffice_Level3"/>
      <w:bookmarkStart w:id="292" w:name="_Toc25268_WPSOffice_Level3"/>
      <w:bookmarkStart w:id="293" w:name="_Toc582_WPSOffice_Level3"/>
      <w:bookmarkStart w:id="294" w:name="_Toc532817030"/>
      <w:bookmarkStart w:id="295" w:name="_Toc28061_WPSOffice_Level3"/>
      <w:bookmarkStart w:id="296" w:name="_Toc14635_WPSOffice_Level3"/>
      <w:bookmarkStart w:id="297" w:name="_Toc9636"/>
      <w:r>
        <w:rPr>
          <w:rFonts w:ascii="Times New Roman" w:hAnsi="Times New Roman" w:cs="Times New Roman"/>
          <w:b/>
          <w:bCs/>
          <w:color w:val="000000" w:themeColor="text1"/>
          <w:kern w:val="44"/>
          <w:sz w:val="24"/>
          <w:szCs w:val="24"/>
        </w:rPr>
        <w:t>3.2.2 静电</w:t>
      </w:r>
      <w:bookmarkEnd w:id="290"/>
      <w:bookmarkEnd w:id="291"/>
      <w:bookmarkEnd w:id="292"/>
      <w:bookmarkEnd w:id="293"/>
      <w:bookmarkEnd w:id="294"/>
      <w:bookmarkEnd w:id="295"/>
      <w:bookmarkEnd w:id="296"/>
      <w:bookmarkEnd w:id="297"/>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汽油的电阻率大约在10Ω·CM，当汽油沿管道流动与管壁产生摩擦时，以及在运输过程中收到震荡时，都会产生静电。如果静电不能及时消除就有可能产生火花。当满足一定条件时，静电火花可以引发火灾爆炸。静电引发火灾爆炸必须同时满足下列五个条件：必须有产生静电的条件；必须具有静电积累的条件；积累的静电必须达到产生火花放电的条件；静电放电火花波及的范围必须存在爆炸性气体；与爆炸性气体接触的静电火花必须达到爆炸性气体的最小点火能量。</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298" w:name="_Toc7502_WPSOffice_Level3"/>
      <w:bookmarkStart w:id="299" w:name="_Toc8749_WPSOffice_Level3"/>
      <w:bookmarkStart w:id="300" w:name="_Toc1118"/>
      <w:bookmarkStart w:id="301" w:name="_Toc532817031"/>
      <w:bookmarkStart w:id="302" w:name="_Toc13494_WPSOffice_Level3"/>
      <w:bookmarkStart w:id="303" w:name="_Toc3479_WPSOffice_Level3"/>
      <w:bookmarkStart w:id="304" w:name="_Toc17783_WPSOffice_Level3"/>
      <w:bookmarkStart w:id="305" w:name="_Toc6267"/>
      <w:r>
        <w:rPr>
          <w:rFonts w:ascii="Times New Roman" w:hAnsi="Times New Roman" w:cs="Times New Roman"/>
          <w:b/>
          <w:bCs/>
          <w:color w:val="000000" w:themeColor="text1"/>
          <w:kern w:val="44"/>
          <w:sz w:val="24"/>
          <w:szCs w:val="24"/>
        </w:rPr>
        <w:t>3.2.3 中毒</w:t>
      </w:r>
      <w:bookmarkEnd w:id="298"/>
      <w:bookmarkEnd w:id="299"/>
      <w:bookmarkEnd w:id="300"/>
      <w:bookmarkEnd w:id="301"/>
      <w:bookmarkEnd w:id="302"/>
      <w:bookmarkEnd w:id="303"/>
      <w:bookmarkEnd w:id="304"/>
      <w:bookmarkEnd w:id="305"/>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主要的毒性物质为汽油，其毒性危害如下：汽油对中枢神经系统有麻醉作用。轻度中毒症状有头晕、头痛、恶心、呕吐、步态不稳等。高浓度吸入出现中毒性脑病。极高浓度吸入引起意识突然丧失、反射性呼吸停止。液体吸入呼吸道可引起吸入性皮炎。溅入眼内可致角膜溃疡、穿孔，甚至失明。皮肤接触致急性接触性皮炎，甚至灼伤。</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06" w:name="_Toc9965_WPSOffice_Level3"/>
      <w:bookmarkStart w:id="307" w:name="_Toc28984_WPSOffice_Level3"/>
      <w:bookmarkStart w:id="308" w:name="_Toc20621"/>
      <w:bookmarkStart w:id="309" w:name="_Toc1167_WPSOffice_Level3"/>
      <w:bookmarkStart w:id="310" w:name="_Toc532817032"/>
      <w:bookmarkStart w:id="311" w:name="_Toc4640_WPSOffice_Level3"/>
      <w:bookmarkStart w:id="312" w:name="_Toc24762_WPSOffice_Level3"/>
      <w:bookmarkStart w:id="313" w:name="_Toc26125"/>
      <w:r>
        <w:rPr>
          <w:rFonts w:ascii="Times New Roman" w:hAnsi="Times New Roman" w:cs="Times New Roman"/>
          <w:b/>
          <w:bCs/>
          <w:color w:val="000000" w:themeColor="text1"/>
          <w:kern w:val="44"/>
          <w:sz w:val="24"/>
          <w:szCs w:val="24"/>
        </w:rPr>
        <w:t>3.2.4 加油站作业风险分析</w:t>
      </w:r>
      <w:bookmarkEnd w:id="306"/>
      <w:bookmarkEnd w:id="307"/>
      <w:bookmarkEnd w:id="308"/>
      <w:bookmarkEnd w:id="309"/>
      <w:bookmarkEnd w:id="310"/>
      <w:bookmarkEnd w:id="311"/>
      <w:bookmarkEnd w:id="312"/>
      <w:bookmarkEnd w:id="313"/>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作业事故主要发生在卸油、量油、加油、维修和清罐五个环节，这五个环节都使油品暴露在空气中，如果在作业中违反操作规程，使油品或油品蒸气在空气中与火源接触，就可能导致爆炸燃烧事故的发生。</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（1）卸油</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加油站火灾事故的60%~70%发生在卸油作业中。常见事故有：</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罐满溢。卸油时对液位监测不及时易造成油品跑冒。油品溢出罐外后，周围空气中油蒸气的浓度迅速上升，达到爆炸极限范围，遇到点火源，随即可能发生爆炸燃烧。在油品漫溢时，使用金属容器刮舀，开启电灯照明观察，均可能产生火花引起着火。</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油品滴漏。由于卸油胶管破裂、密封垫破损、快速接头、紧固栓松动等原因，使油品滴漏至地面，遇火花可能燃烧。</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静电起火。由于油管无静电接地、采用喷溅式卸油、卸油中油罐车无静电接地等原因，造成静电积聚放电，点燃油蒸气。</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卸油中遇明火。在非密闭卸油过程中，大量油蒸气从卸油口溢出，当周围出现烟火、火花时，就可能产生爆炸燃烧。</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混油。由于计量员和司机未按操作规程核实所卸油品品种、卸油口等，造成混油的质量事故。</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（2）量油</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规定，油罐车送油到站后应静置稳油15分钟，待静电消除后方可开盖量油，如果车到立即开盖量油，就可能引起静电起火；如果油罐未安装量油孔或量油孔铝制（铜质）镶槽脱落，在储油量油时，量油尺与钢管口摩擦产生火花，就可能点燃罐内油蒸气，引起爆炸燃烧；在气压低、无风得情况下，穿化纤服装，摩擦产生静电火花也可能点燃油蒸气。</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（3）加油</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目前国内大部分加油站未采用封闭加油技术，加油时，大量油蒸气外泻，加之操作不当油品外溢等原因，在加油口附近形成了一个爆炸危险区域，遇烟火、使用手机或BP机、铁钉鞋摩擦、金属碰撞、电器打火、发动机排气管喷火等都可能导致火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（4）维修</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维修作业时由于维修人员不遵守操作规程，常常引起触电、高处坠落等安全事故，甚至引起火灾爆炸。</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（5）清罐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在加油站油罐清洗作业时，由于无法彻底清除油蒸气和沉淀物，残余油蒸气遇到静电、摩擦、点火花都可能导致火灾。</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14" w:name="_Toc25708_WPSOffice_Level3"/>
      <w:bookmarkStart w:id="315" w:name="_Toc21319_WPSOffice_Level3"/>
      <w:bookmarkStart w:id="316" w:name="_Toc28682"/>
      <w:bookmarkStart w:id="317" w:name="_Toc1450_WPSOffice_Level3"/>
      <w:bookmarkStart w:id="318" w:name="_Toc24487_WPSOffice_Level3"/>
      <w:bookmarkStart w:id="319" w:name="_Toc26583_WPSOffice_Level3"/>
      <w:bookmarkStart w:id="320" w:name="_Toc532817033"/>
      <w:bookmarkStart w:id="321" w:name="_Toc642"/>
      <w:r>
        <w:rPr>
          <w:rFonts w:ascii="Times New Roman" w:hAnsi="Times New Roman" w:cs="Times New Roman"/>
          <w:b/>
          <w:bCs/>
          <w:color w:val="000000" w:themeColor="text1"/>
          <w:kern w:val="44"/>
          <w:sz w:val="24"/>
          <w:szCs w:val="24"/>
        </w:rPr>
        <w:t>3.2.5 非作业事故分析</w:t>
      </w:r>
      <w:bookmarkEnd w:id="314"/>
      <w:bookmarkEnd w:id="315"/>
      <w:bookmarkEnd w:id="316"/>
      <w:bookmarkEnd w:id="317"/>
      <w:bookmarkEnd w:id="318"/>
      <w:bookmarkEnd w:id="319"/>
      <w:bookmarkEnd w:id="320"/>
      <w:bookmarkEnd w:id="321"/>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加油站非作业事故又可分为与油品相关的火灾和非油品火灾。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（1）与油品相关的火灾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蒸气沉淀。在作业过程中，会有大量油蒸气外泄，由于油蒸气密度比空气大，会沉淀于管沟、电缆沟、操作井等低洼处，积聚于室内角落处，一旦遇到火源就可能发生爆炸燃烧。油蒸气四处蔓延把加油站和作业区内外沟通起来，将站外火源引至站内，可能造成爆炸燃烧。</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油罐、管道渗漏。由于腐蚀、制造缺陷等原因，在非作业状态下，油品渗漏，遇明火可能燃烧。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雷击。雷电直接击中加油设施，或者雷电作用在加油机等处产生间接放电，都可能导致油品燃烧或油气爆炸。</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（2）非油品火灾</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常见非油品火灾有：因电气老化、绝缘破损、短路、超负荷用电、过载发热、接线不规范、电器使用管理不当等原因引起的电气火灾；因生产、生活用火失控，引燃站外火灾蔓延，殃及站内，明火管理不当引起火灾。</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322" w:name="_Toc532817034"/>
      <w:bookmarkStart w:id="323" w:name="_Toc3286_WPSOffice_Level2"/>
      <w:bookmarkStart w:id="324" w:name="_Toc18826_WPSOffice_Level2"/>
      <w:bookmarkStart w:id="325" w:name="_Toc289"/>
      <w:bookmarkStart w:id="326" w:name="_Toc32434_WPSOffice_Level2"/>
      <w:bookmarkStart w:id="327" w:name="_Toc7088_WPSOffice_Level2"/>
      <w:bookmarkStart w:id="328" w:name="_Toc105"/>
      <w:bookmarkStart w:id="329" w:name="_Toc23210_WPSOffice_Level2"/>
      <w:bookmarkStart w:id="330" w:name="_Toc30548"/>
      <w:r>
        <w:rPr>
          <w:rFonts w:ascii="Times New Roman" w:hAnsi="Times New Roman" w:cs="Times New Roman"/>
          <w:b/>
          <w:bCs/>
          <w:color w:val="000000" w:themeColor="text1"/>
          <w:kern w:val="44"/>
          <w:sz w:val="24"/>
          <w:szCs w:val="24"/>
        </w:rPr>
        <w:t>3.3风险事故环境影响评价</w:t>
      </w:r>
      <w:bookmarkEnd w:id="322"/>
      <w:bookmarkEnd w:id="323"/>
      <w:bookmarkEnd w:id="324"/>
      <w:bookmarkEnd w:id="325"/>
      <w:bookmarkEnd w:id="326"/>
      <w:bookmarkEnd w:id="327"/>
      <w:bookmarkEnd w:id="328"/>
      <w:bookmarkEnd w:id="329"/>
      <w:bookmarkEnd w:id="330"/>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31" w:name="_Toc24052_WPSOffice_Level3"/>
      <w:bookmarkStart w:id="332" w:name="_Toc22957_WPSOffice_Level3"/>
      <w:bookmarkStart w:id="333" w:name="_Toc23210_WPSOffice_Level3"/>
      <w:bookmarkStart w:id="334" w:name="_Toc19489"/>
      <w:bookmarkStart w:id="335" w:name="_Toc27962_WPSOffice_Level3"/>
      <w:bookmarkStart w:id="336" w:name="_Toc10518_WPSOffice_Level3"/>
      <w:bookmarkStart w:id="337" w:name="_Toc532817035"/>
      <w:bookmarkStart w:id="338" w:name="_Toc27965"/>
      <w:bookmarkStart w:id="339" w:name="OLE_LINK8"/>
      <w:r>
        <w:rPr>
          <w:rFonts w:ascii="Times New Roman" w:hAnsi="Times New Roman" w:cs="Times New Roman"/>
          <w:b/>
          <w:bCs/>
          <w:color w:val="000000" w:themeColor="text1"/>
          <w:kern w:val="44"/>
          <w:sz w:val="24"/>
          <w:szCs w:val="24"/>
        </w:rPr>
        <w:t>3.3.1油品泄漏引起的环境污染事故</w:t>
      </w:r>
      <w:bookmarkEnd w:id="331"/>
      <w:bookmarkEnd w:id="332"/>
      <w:bookmarkEnd w:id="333"/>
      <w:bookmarkEnd w:id="334"/>
      <w:bookmarkEnd w:id="335"/>
      <w:bookmarkEnd w:id="336"/>
      <w:bookmarkEnd w:id="337"/>
      <w:bookmarkEnd w:id="338"/>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1、事故类型</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本加油站可能发生的事故主要有储油罐破损油品渗漏引起土壤及地下水的污染；输油管线发生意外事故或工人操作失误时产生的泄漏以及由此引起的火灾及爆炸对人身安全及周围环境产生的危害。根据风险识别，本加油站主要存在的事故类型有：</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a、储罐破损油品渗漏引起土壤及地下水的污染；</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b、储油区油品溢出或泄漏后遇明火发生火灾、爆炸事故，从而引起对周边环境空气和地表水环境影响；</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2、事故原因</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（1）储油罐体泄露原因分析</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t>由于年限较长，储油罐体管壁腐蚀，致使油类泄漏；</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在加油过程中，由于操作失误，致使油类泄漏；</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t>各个管道接口不严，跑、冒、滴、漏现象的发生。</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（2）储油罐体溢出原因分析</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bookmarkStart w:id="340" w:name="_Toc219195846"/>
      <w:r>
        <w:rPr>
          <w:rFonts w:ascii="Times New Roman" w:hAnsi="Times New Roman" w:cs="Times New Roman"/>
          <w:color w:val="000000" w:themeColor="text1"/>
          <w:sz w:val="24"/>
          <w:szCs w:val="24"/>
        </w:rPr>
        <w:t>储油罐计量仪表失灵，至使储油罐加油过程中灌满溢出；</w:t>
      </w:r>
      <w:bookmarkEnd w:id="340"/>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为储油罐加油过程中，由于存在气障、气阻，至使油类溢出；</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t>在加油过程中，由于接口不同，衔接不严密，致使油类溢出。</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rPr>
        <w:t>项目在储罐区设置有检查井，加油站每天安排专人对项目区内油罐区进行检查，当地埋油罐发生泄漏时，采取倒罐或移库的方式将泄漏油罐油品转移；当发现油罐区和加油区发生油品泄漏时，设置围堰，用干消防沙对泄漏油品进行吸附回收，当泄漏量较大时用防爆油泵等器材回收。通过采取相应措施后油品泄露对地下水环</w:t>
      </w:r>
      <w:r>
        <w:rPr>
          <w:rFonts w:ascii="Times New Roman" w:hAnsi="Times New Roman" w:cs="Times New Roman"/>
          <w:color w:val="000000" w:themeColor="text1"/>
          <w:sz w:val="24"/>
          <w:szCs w:val="24"/>
          <w:lang w:val="zh-CN"/>
        </w:rPr>
        <w:t>境及土壤环境影响不大。</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41" w:name="_Toc3502_WPSOffice_Level3"/>
      <w:bookmarkStart w:id="342" w:name="_Toc5613_WPSOffice_Level3"/>
      <w:bookmarkStart w:id="343" w:name="_Toc10364_WPSOffice_Level3"/>
      <w:bookmarkStart w:id="344" w:name="_Toc22532_WPSOffice_Level3"/>
      <w:bookmarkStart w:id="345" w:name="_Toc8330_WPSOffice_Level3"/>
      <w:bookmarkStart w:id="346" w:name="_Toc532817036"/>
      <w:bookmarkStart w:id="347" w:name="_Toc18819"/>
      <w:bookmarkStart w:id="348" w:name="_Toc13716"/>
      <w:r>
        <w:rPr>
          <w:rFonts w:ascii="Times New Roman" w:hAnsi="Times New Roman" w:cs="Times New Roman"/>
          <w:b/>
          <w:bCs/>
          <w:color w:val="000000" w:themeColor="text1"/>
          <w:kern w:val="44"/>
          <w:sz w:val="24"/>
          <w:szCs w:val="24"/>
        </w:rPr>
        <w:t>3.3.2 火灾、爆炸事故环境影响</w:t>
      </w:r>
      <w:bookmarkEnd w:id="341"/>
      <w:bookmarkEnd w:id="342"/>
      <w:bookmarkEnd w:id="343"/>
      <w:bookmarkEnd w:id="344"/>
      <w:bookmarkEnd w:id="345"/>
      <w:bookmarkEnd w:id="346"/>
      <w:bookmarkEnd w:id="347"/>
      <w:bookmarkEnd w:id="348"/>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储油区油品溢出或泄漏后遇明火发生火灾、爆炸事故，从而引起对周边环境空气和地表水环境影响。</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火灾、爆炸事故原因分析：</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t>由于加油作业人员操作不当，其他人员不能遵守加油站的相关规定，导致油品发生火灾或爆炸事故；</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由于跑、冒、滴、漏等造成加油站局部空气周围汽油密度较大，达到爆炸极限，遇火源可能产生的事故；</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t>由于避雷系统缺陷产生的雷击火花，造成油品发生火灾或爆炸事故。</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油品发生火灾或爆炸后，汽油燃烧会产生NOx、CO等，呈无组织排放，造成周边环境空气污染。由于站区面积不大，当发生事故时，通过及时采取灭火措施后，火灾情况可以得到有效的控制，火灾产生的废气将得到有效的控制，对周边环境影响不大。</w:t>
      </w:r>
      <w:bookmarkEnd w:id="339"/>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49" w:name="_Toc19979_WPSOffice_Level3"/>
      <w:bookmarkStart w:id="350" w:name="_Toc21297_WPSOffice_Level3"/>
      <w:bookmarkStart w:id="351" w:name="_Toc27302"/>
      <w:bookmarkStart w:id="352" w:name="_Toc21341_WPSOffice_Level3"/>
      <w:bookmarkStart w:id="353" w:name="_Toc27543_WPSOffice_Level3"/>
      <w:bookmarkStart w:id="354" w:name="_Toc8032_WPSOffice_Level3"/>
      <w:bookmarkStart w:id="355" w:name="_Toc532817037"/>
      <w:bookmarkStart w:id="356" w:name="_Toc10446"/>
      <w:r>
        <w:rPr>
          <w:rFonts w:ascii="Times New Roman" w:hAnsi="Times New Roman" w:cs="Times New Roman"/>
          <w:b/>
          <w:bCs/>
          <w:color w:val="000000" w:themeColor="text1"/>
          <w:kern w:val="44"/>
          <w:sz w:val="24"/>
          <w:szCs w:val="24"/>
        </w:rPr>
        <w:t>3.3.3小结</w:t>
      </w:r>
      <w:bookmarkEnd w:id="349"/>
      <w:bookmarkEnd w:id="350"/>
      <w:bookmarkEnd w:id="351"/>
      <w:bookmarkEnd w:id="352"/>
      <w:bookmarkEnd w:id="353"/>
      <w:bookmarkEnd w:id="354"/>
      <w:bookmarkEnd w:id="355"/>
      <w:bookmarkEnd w:id="356"/>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根据各类突发环境事件情景及源强分析，从地表水、地下水、土壤、大气、人口及至社会等方面考虑，南昌中油瑶湖石油销售有限公司瑶湖加油站发生突发环境事件时可能产生的后果及其环境影响如下表3-5：</w:t>
      </w:r>
    </w:p>
    <w:p>
      <w:pPr>
        <w:widowControl/>
        <w:autoSpaceDE w:val="0"/>
        <w:autoSpaceDN w:val="0"/>
        <w:ind w:firstLine="482"/>
        <w:jc w:val="center"/>
        <w:rPr>
          <w:rFonts w:ascii="Times New Roman" w:hAnsi="Times New Roman" w:cs="Times New Roman"/>
          <w:b/>
          <w:color w:val="000000" w:themeColor="text1"/>
          <w:kern w:val="0"/>
          <w:szCs w:val="21"/>
        </w:rPr>
      </w:pPr>
      <w:r>
        <w:rPr>
          <w:rFonts w:ascii="Times New Roman" w:hAnsi="Times New Roman" w:cs="Times New Roman"/>
          <w:b/>
          <w:color w:val="000000" w:themeColor="text1"/>
          <w:kern w:val="0"/>
          <w:szCs w:val="21"/>
        </w:rPr>
        <w:t>表3-5 各类突发环境事件可能产生的后果及其环境影响汇总表</w:t>
      </w:r>
    </w:p>
    <w:tbl>
      <w:tblPr>
        <w:tblStyle w:val="16"/>
        <w:tblW w:w="1000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134"/>
        <w:gridCol w:w="6036"/>
        <w:gridCol w:w="141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blHeader/>
          <w:jc w:val="center"/>
        </w:trPr>
        <w:tc>
          <w:tcPr>
            <w:tcW w:w="1413" w:type="dxa"/>
            <w:vAlign w:val="center"/>
          </w:tcPr>
          <w:p>
            <w:pPr>
              <w:rPr>
                <w:rFonts w:ascii="Times New Roman" w:hAnsi="Times New Roman" w:cs="Times New Roman"/>
                <w:b/>
                <w:color w:val="000000" w:themeColor="text1"/>
                <w:szCs w:val="21"/>
              </w:rPr>
            </w:pPr>
            <w:r>
              <w:rPr>
                <w:rFonts w:ascii="Times New Roman" w:hAnsi="Times New Roman" w:cs="Times New Roman"/>
                <w:b/>
                <w:color w:val="000000" w:themeColor="text1"/>
                <w:szCs w:val="21"/>
              </w:rPr>
              <w:t>危险源</w:t>
            </w:r>
          </w:p>
        </w:tc>
        <w:tc>
          <w:tcPr>
            <w:tcW w:w="1134" w:type="dxa"/>
            <w:vAlign w:val="center"/>
          </w:tcPr>
          <w:p>
            <w:pPr>
              <w:rPr>
                <w:rFonts w:ascii="Times New Roman" w:hAnsi="Times New Roman" w:cs="Times New Roman"/>
                <w:b/>
                <w:color w:val="000000" w:themeColor="text1"/>
                <w:szCs w:val="21"/>
              </w:rPr>
            </w:pPr>
            <w:r>
              <w:rPr>
                <w:rFonts w:ascii="Times New Roman" w:hAnsi="Times New Roman" w:cs="Times New Roman"/>
                <w:b/>
                <w:color w:val="000000" w:themeColor="text1"/>
                <w:szCs w:val="21"/>
              </w:rPr>
              <w:t>突发环境事件类型</w:t>
            </w:r>
          </w:p>
        </w:tc>
        <w:tc>
          <w:tcPr>
            <w:tcW w:w="6036" w:type="dxa"/>
            <w:vAlign w:val="center"/>
          </w:tcPr>
          <w:p>
            <w:pPr>
              <w:ind w:firstLine="482"/>
              <w:rPr>
                <w:rFonts w:ascii="Times New Roman" w:hAnsi="Times New Roman" w:cs="Times New Roman"/>
                <w:b/>
                <w:color w:val="000000" w:themeColor="text1"/>
                <w:szCs w:val="21"/>
              </w:rPr>
            </w:pPr>
            <w:r>
              <w:rPr>
                <w:rFonts w:ascii="Times New Roman" w:hAnsi="Times New Roman" w:cs="Times New Roman"/>
                <w:b/>
                <w:color w:val="000000" w:themeColor="text1"/>
                <w:szCs w:val="21"/>
              </w:rPr>
              <w:t>影响程度及范围</w:t>
            </w:r>
          </w:p>
        </w:tc>
        <w:tc>
          <w:tcPr>
            <w:tcW w:w="1417" w:type="dxa"/>
            <w:vAlign w:val="center"/>
          </w:tcPr>
          <w:p>
            <w:pPr>
              <w:rPr>
                <w:rFonts w:ascii="Times New Roman" w:hAnsi="Times New Roman" w:cs="Times New Roman"/>
                <w:b/>
                <w:color w:val="000000" w:themeColor="text1"/>
                <w:szCs w:val="21"/>
              </w:rPr>
            </w:pPr>
            <w:r>
              <w:rPr>
                <w:rFonts w:ascii="Times New Roman" w:hAnsi="Times New Roman" w:cs="Times New Roman"/>
                <w:b/>
                <w:color w:val="000000" w:themeColor="text1"/>
                <w:szCs w:val="21"/>
              </w:rPr>
              <w:t>受影响环境要素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Merge w:val="restart"/>
            <w:vAlign w:val="center"/>
          </w:tcPr>
          <w:p>
            <w:pPr>
              <w:ind w:firstLine="480"/>
              <w:rPr>
                <w:rFonts w:ascii="Times New Roman" w:hAnsi="Times New Roman" w:cs="Times New Roman"/>
                <w:color w:val="000000" w:themeColor="text1"/>
                <w:szCs w:val="21"/>
              </w:rPr>
            </w:pPr>
            <w:r>
              <w:rPr>
                <w:rFonts w:ascii="Times New Roman" w:hAnsi="Times New Roman" w:cs="Times New Roman"/>
                <w:color w:val="000000" w:themeColor="text1"/>
                <w:szCs w:val="21"/>
              </w:rPr>
              <w:t>卸油区</w:t>
            </w:r>
          </w:p>
          <w:p>
            <w:pPr>
              <w:ind w:firstLine="480"/>
              <w:rPr>
                <w:rFonts w:ascii="Times New Roman" w:hAnsi="Times New Roman" w:cs="Times New Roman"/>
                <w:color w:val="000000" w:themeColor="text1"/>
                <w:szCs w:val="21"/>
              </w:rPr>
            </w:pPr>
          </w:p>
          <w:p>
            <w:pPr>
              <w:ind w:firstLine="480"/>
              <w:rPr>
                <w:rFonts w:ascii="Times New Roman" w:hAnsi="Times New Roman" w:cs="Times New Roman"/>
                <w:color w:val="000000" w:themeColor="text1"/>
                <w:szCs w:val="21"/>
              </w:rPr>
            </w:pPr>
            <w:r>
              <w:rPr>
                <w:rFonts w:ascii="Times New Roman" w:hAnsi="Times New Roman" w:cs="Times New Roman"/>
                <w:color w:val="000000" w:themeColor="text1"/>
                <w:szCs w:val="21"/>
              </w:rPr>
              <w:t>加油区</w:t>
            </w:r>
          </w:p>
          <w:p>
            <w:pPr>
              <w:ind w:firstLine="480"/>
              <w:rPr>
                <w:rFonts w:ascii="Times New Roman" w:hAnsi="Times New Roman" w:cs="Times New Roman"/>
                <w:color w:val="000000" w:themeColor="text1"/>
                <w:szCs w:val="21"/>
              </w:rPr>
            </w:pPr>
          </w:p>
          <w:p>
            <w:pPr>
              <w:ind w:firstLine="480"/>
              <w:rPr>
                <w:rFonts w:ascii="Times New Roman" w:hAnsi="Times New Roman" w:cs="Times New Roman"/>
                <w:color w:val="000000" w:themeColor="text1"/>
                <w:szCs w:val="21"/>
              </w:rPr>
            </w:pPr>
            <w:r>
              <w:rPr>
                <w:rFonts w:ascii="Times New Roman" w:hAnsi="Times New Roman" w:cs="Times New Roman"/>
                <w:color w:val="000000" w:themeColor="text1"/>
                <w:szCs w:val="21"/>
              </w:rPr>
              <w:t>油罐区</w:t>
            </w:r>
          </w:p>
        </w:tc>
        <w:tc>
          <w:tcPr>
            <w:tcW w:w="1134"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泄漏</w:t>
            </w:r>
          </w:p>
        </w:tc>
        <w:tc>
          <w:tcPr>
            <w:tcW w:w="6036" w:type="dxa"/>
            <w:vAlign w:val="center"/>
          </w:tcPr>
          <w:p>
            <w:pPr>
              <w:widowControl/>
              <w:rPr>
                <w:rFonts w:ascii="Times New Roman" w:hAnsi="Times New Roman" w:cs="Times New Roman"/>
                <w:bCs/>
                <w:color w:val="000000" w:themeColor="text1"/>
                <w:kern w:val="0"/>
                <w:szCs w:val="21"/>
              </w:rPr>
            </w:pPr>
            <w:r>
              <w:rPr>
                <w:rFonts w:ascii="Times New Roman" w:hAnsi="Times New Roman" w:cs="Times New Roman"/>
                <w:bCs/>
                <w:color w:val="000000" w:themeColor="text1"/>
                <w:kern w:val="0"/>
                <w:szCs w:val="21"/>
              </w:rPr>
              <w:t>1000d情况下最大浓度为1.55456mg/L，最远超标砖距离187.5m</w:t>
            </w:r>
          </w:p>
          <w:p>
            <w:pPr>
              <w:pStyle w:val="2"/>
              <w:spacing w:line="240" w:lineRule="auto"/>
              <w:ind w:firstLine="0" w:firstLineChars="0"/>
              <w:rPr>
                <w:rFonts w:ascii="Times New Roman" w:hAnsi="Times New Roman" w:eastAsiaTheme="minorEastAsia"/>
                <w:bCs/>
                <w:color w:val="000000" w:themeColor="text1"/>
                <w:spacing w:val="0"/>
                <w:kern w:val="0"/>
                <w:sz w:val="21"/>
                <w:szCs w:val="21"/>
              </w:rPr>
            </w:pPr>
            <w:r>
              <w:rPr>
                <w:rFonts w:ascii="Times New Roman" w:hAnsi="Times New Roman" w:eastAsiaTheme="minorEastAsia"/>
                <w:bCs/>
                <w:color w:val="000000" w:themeColor="text1"/>
                <w:spacing w:val="0"/>
                <w:kern w:val="0"/>
                <w:sz w:val="21"/>
                <w:szCs w:val="21"/>
              </w:rPr>
              <w:t>3560d情况下最大浓度为0.81372mg/L，最远超标砖距离508.2m，对区域地表水地下水土壤有明显影响</w:t>
            </w:r>
          </w:p>
        </w:tc>
        <w:tc>
          <w:tcPr>
            <w:tcW w:w="1417"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地下水</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土壤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Merge w:val="continue"/>
            <w:vAlign w:val="center"/>
          </w:tcPr>
          <w:p>
            <w:pPr>
              <w:ind w:firstLine="480"/>
              <w:rPr>
                <w:rFonts w:ascii="Times New Roman" w:hAnsi="Times New Roman" w:cs="Times New Roman"/>
                <w:color w:val="000000" w:themeColor="text1"/>
                <w:szCs w:val="21"/>
              </w:rPr>
            </w:pPr>
          </w:p>
        </w:tc>
        <w:tc>
          <w:tcPr>
            <w:tcW w:w="1134"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火灾爆炸</w:t>
            </w:r>
          </w:p>
        </w:tc>
        <w:tc>
          <w:tcPr>
            <w:tcW w:w="6036" w:type="dxa"/>
            <w:vAlign w:val="center"/>
          </w:tcPr>
          <w:p>
            <w:pPr>
              <w:ind w:firstLine="480"/>
              <w:rPr>
                <w:rFonts w:ascii="Times New Roman" w:hAnsi="Times New Roman" w:cs="Times New Roman"/>
                <w:bCs/>
                <w:color w:val="000000" w:themeColor="text1"/>
                <w:kern w:val="0"/>
                <w:szCs w:val="21"/>
              </w:rPr>
            </w:pPr>
            <w:r>
              <w:rPr>
                <w:rFonts w:ascii="Times New Roman" w:hAnsi="Times New Roman" w:cs="Times New Roman"/>
                <w:bCs/>
                <w:color w:val="000000" w:themeColor="text1"/>
                <w:kern w:val="0"/>
                <w:szCs w:val="21"/>
              </w:rPr>
              <w:t>发生环境风险火灾、爆炸等对周边的少春中学、江西制造职业技术学院等敏感点可能都将受到不同程度的影响和冲击。根据预測结果，发生上述事故的前提下，少春中学邻近本项目一侧将有42%范围受到破坏，江西制造职业技术学院也会受到一定程度的影响。本项目紧邻紫阳大道，根据上述预测结果来看，本项目暴露半径为26.13m，暴露面积为2143.92㎡，紫阳大道宽约为55米，因此如果一旦发生事故，会对紫阳大道靠近本项目的一侧车道产生影响，但是紫阳大道为城市主千道，往来车辆在其道路上为高速运动状态，基本不会发生车辆拥堵在本项目附近的状况，因此可以认为本项目对于紫阳大道临近一側的车道不会产生严重的影响。</w:t>
            </w:r>
          </w:p>
        </w:tc>
        <w:tc>
          <w:tcPr>
            <w:tcW w:w="1417"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大气</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地下水</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生态环境</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土壤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化粪池等污水处理设施</w:t>
            </w:r>
          </w:p>
        </w:tc>
        <w:tc>
          <w:tcPr>
            <w:tcW w:w="1134"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泄漏运行异常</w:t>
            </w:r>
          </w:p>
        </w:tc>
        <w:tc>
          <w:tcPr>
            <w:tcW w:w="6036" w:type="dxa"/>
            <w:vAlign w:val="center"/>
          </w:tcPr>
          <w:p>
            <w:pPr>
              <w:ind w:firstLine="480"/>
              <w:rPr>
                <w:rFonts w:ascii="Times New Roman" w:hAnsi="Times New Roman" w:cs="Times New Roman"/>
                <w:bCs/>
                <w:color w:val="000000" w:themeColor="text1"/>
                <w:kern w:val="0"/>
                <w:szCs w:val="21"/>
              </w:rPr>
            </w:pPr>
            <w:r>
              <w:rPr>
                <w:rFonts w:ascii="Times New Roman" w:hAnsi="Times New Roman" w:cs="Times New Roman"/>
                <w:bCs/>
                <w:color w:val="000000" w:themeColor="text1"/>
                <w:kern w:val="0"/>
                <w:szCs w:val="21"/>
              </w:rPr>
              <w:t>将影响加油站西面1.9km的瑶湖水质及沿途地下水与土壤造成严重污染。</w:t>
            </w:r>
          </w:p>
        </w:tc>
        <w:tc>
          <w:tcPr>
            <w:tcW w:w="1417"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p>
            <w:pPr>
              <w:rPr>
                <w:rFonts w:ascii="Times New Roman" w:hAnsi="Times New Roman" w:cs="Times New Roman"/>
                <w:color w:val="000000" w:themeColor="text1"/>
                <w:szCs w:val="21"/>
              </w:rPr>
            </w:pPr>
            <w:r>
              <w:rPr>
                <w:rFonts w:ascii="Times New Roman" w:hAnsi="Times New Roman" w:cs="Times New Roman"/>
                <w:color w:val="000000" w:themeColor="text1"/>
                <w:szCs w:val="21"/>
              </w:rPr>
              <w:t>地下水</w:t>
            </w:r>
          </w:p>
          <w:p>
            <w:pPr>
              <w:ind w:firstLine="480"/>
              <w:rPr>
                <w:rFonts w:ascii="Times New Roman" w:hAnsi="Times New Roman" w:cs="Times New Roman"/>
                <w:color w:val="000000" w:themeColor="text1"/>
                <w:szCs w:val="21"/>
              </w:rPr>
            </w:pPr>
            <w:r>
              <w:rPr>
                <w:rFonts w:ascii="Times New Roman" w:hAnsi="Times New Roman" w:cs="Times New Roman"/>
                <w:color w:val="000000" w:themeColor="text1"/>
                <w:szCs w:val="21"/>
              </w:rPr>
              <w:t>土壤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站内各用电单元</w:t>
            </w:r>
          </w:p>
        </w:tc>
        <w:tc>
          <w:tcPr>
            <w:tcW w:w="8587" w:type="dxa"/>
            <w:gridSpan w:val="3"/>
            <w:vAlign w:val="center"/>
          </w:tcPr>
          <w:p>
            <w:pPr>
              <w:ind w:firstLine="480"/>
              <w:rPr>
                <w:rFonts w:ascii="Times New Roman" w:hAnsi="Times New Roman" w:cs="Times New Roman"/>
                <w:color w:val="000000" w:themeColor="text1"/>
                <w:szCs w:val="21"/>
              </w:rPr>
            </w:pPr>
            <w:r>
              <w:rPr>
                <w:rFonts w:ascii="Times New Roman" w:hAnsi="Times New Roman" w:cs="Times New Roman"/>
                <w:color w:val="000000" w:themeColor="text1"/>
                <w:szCs w:val="21"/>
              </w:rPr>
              <w:t>同各危险源发生火灾、爆炸事故时的影响。</w:t>
            </w:r>
          </w:p>
        </w:tc>
      </w:tr>
    </w:tbl>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357" w:name="_Toc6108_WPSOffice_Level2"/>
      <w:bookmarkStart w:id="358" w:name="_Toc12429_WPSOffice_Level2"/>
      <w:bookmarkStart w:id="359" w:name="_Toc24083"/>
      <w:bookmarkStart w:id="360" w:name="_Toc532817038"/>
      <w:bookmarkStart w:id="361" w:name="_Toc653_WPSOffice_Level2"/>
      <w:bookmarkStart w:id="362" w:name="_Toc1190_WPSOffice_Level2"/>
      <w:bookmarkStart w:id="363" w:name="_Toc8889_WPSOffice_Level2"/>
      <w:bookmarkStart w:id="364" w:name="_Toc19214"/>
      <w:r>
        <w:rPr>
          <w:rFonts w:ascii="Times New Roman" w:hAnsi="Times New Roman" w:cs="Times New Roman"/>
          <w:b/>
          <w:bCs/>
          <w:color w:val="000000" w:themeColor="text1"/>
          <w:kern w:val="44"/>
          <w:sz w:val="24"/>
          <w:szCs w:val="24"/>
        </w:rPr>
        <w:t>3.4风险事故管理</w:t>
      </w:r>
      <w:bookmarkEnd w:id="357"/>
      <w:bookmarkEnd w:id="358"/>
      <w:bookmarkEnd w:id="359"/>
      <w:bookmarkEnd w:id="360"/>
      <w:bookmarkEnd w:id="361"/>
      <w:bookmarkEnd w:id="362"/>
      <w:bookmarkEnd w:id="363"/>
      <w:bookmarkEnd w:id="364"/>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公司制定了《安全生产管理制度》和《环境保护管理制度》，贯彻落实国家安全、环保法律法规的要求，不断的制定和完善生产、设备安全规程，做到管理防范在先，安全环保管理部门要按时按要求进行检查，使企业生产管理始终在正确的轨道上运行，对公司易发生风险事故的环节进行严格管理，强化各级责任制落实，严格环境风险源的控制管理，防止环境污染事件发生。</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65" w:name="_Toc22333"/>
      <w:bookmarkStart w:id="366" w:name="_Toc532817039"/>
      <w:bookmarkStart w:id="367" w:name="_Toc25951_WPSOffice_Level3"/>
      <w:bookmarkStart w:id="368" w:name="_Toc30116_WPSOffice_Level3"/>
      <w:bookmarkStart w:id="369" w:name="_Toc14017_WPSOffice_Level3"/>
      <w:bookmarkStart w:id="370" w:name="_Toc25316_WPSOffice_Level3"/>
      <w:bookmarkStart w:id="371" w:name="_Toc1190_WPSOffice_Level3"/>
      <w:bookmarkStart w:id="372" w:name="_Toc3699"/>
      <w:r>
        <w:rPr>
          <w:rFonts w:ascii="Times New Roman" w:hAnsi="Times New Roman" w:cs="Times New Roman"/>
          <w:b/>
          <w:bCs/>
          <w:color w:val="000000" w:themeColor="text1"/>
          <w:kern w:val="44"/>
          <w:sz w:val="24"/>
          <w:szCs w:val="24"/>
        </w:rPr>
        <w:t>3.4.1</w:t>
      </w:r>
      <w:bookmarkStart w:id="373" w:name="OLE_LINK9"/>
      <w:r>
        <w:rPr>
          <w:rFonts w:ascii="Times New Roman" w:hAnsi="Times New Roman" w:cs="Times New Roman"/>
          <w:b/>
          <w:bCs/>
          <w:color w:val="000000" w:themeColor="text1"/>
          <w:kern w:val="44"/>
          <w:sz w:val="24"/>
          <w:szCs w:val="24"/>
        </w:rPr>
        <w:t>环境事故预防措施</w:t>
      </w:r>
      <w:bookmarkEnd w:id="365"/>
      <w:bookmarkEnd w:id="366"/>
      <w:bookmarkEnd w:id="367"/>
      <w:bookmarkEnd w:id="368"/>
      <w:bookmarkEnd w:id="369"/>
      <w:bookmarkEnd w:id="370"/>
      <w:bookmarkEnd w:id="371"/>
      <w:bookmarkEnd w:id="372"/>
    </w:p>
    <w:p>
      <w:pPr>
        <w:spacing w:line="500" w:lineRule="exact"/>
        <w:ind w:firstLine="480" w:firstLineChars="200"/>
        <w:rPr>
          <w:rFonts w:ascii="Times New Roman" w:hAnsi="Times New Roman" w:cs="Times New Roman"/>
          <w:color w:val="000000" w:themeColor="text1"/>
          <w:sz w:val="24"/>
          <w:szCs w:val="24"/>
        </w:rPr>
      </w:pPr>
      <w:bookmarkStart w:id="374" w:name="OLE_LINK7"/>
      <w:r>
        <w:rPr>
          <w:rFonts w:ascii="Times New Roman" w:hAnsi="Times New Roman" w:cs="Times New Roman"/>
          <w:color w:val="000000" w:themeColor="text1"/>
          <w:sz w:val="24"/>
          <w:szCs w:val="24"/>
        </w:rPr>
        <w:t>由于加油站环境风险具有突发性和短暂性及危害较大等特点，必须采取相应有效预防措施加以防范，加强控制和管理，杜绝、减轻和避免环境风险。在项目运营过程中可采取以下安全防范措施：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（1）放置储油罐体的罐池内回填厚度大于0.3m的干净砂土，同时也防止回填土含酸碱的废渣，对储油罐体加剧腐蚀；</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（2）增加高液位报警系统，及时掌握储油罐情况，如果发生泄漏能够及时发现，及时采取措施；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（3）储油罐体的各接合管设在储油罐的顶部，便于平时的检修与管理，避免现场安装开孔，有可能出现焊接不良和接管受力大，容易发生断裂而造成的跑油、渗油等不安全事故；</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（4）加油站设置符合标准的灭火设施；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（5）加油站设置防雷防静电设施，并经过避雷装置检测站检测及复查合格；</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（6）加强对项目周围大气和水环境的监测，对油品的泄露要及时掌握，防止油品的泄露对周围大气、土壤、水环境造成危害；</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（7）建立一套完善的安全管理制度，执行工业安全卫生、劳动保护、环保、消防等相关规定；</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（8）加强对储油罐体渗漏事故的防护，对储油罐法兰、阀门等进行定期检测。一旦发生火灾爆炸，要尽快使用已有的消防设施扑救，疏散周围非急救人员，远离事故区；</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（9）加强对加油机灭火装置的日常管理，做到灭火装置完整有效，一旦发生加油机火灾、爆炸事故时能及时启动，进行灭火；</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（10）加油站电气设备和仪表均选用防爆型，灯具也应选防爆灯具，加强管理，严禁区内有明火出现；</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（11）加油站若出现意外撒油，立即用消防沙吸附清除地面的油污；</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为了避免油品事故泄漏对土壤环境和地下水环境的影响，加油站地下油罐罐池采用六胶三布防渗防腐防水处理，同时对埋地管线采取环氧煤沥青加强级防腐处理，并设有卸油、加油密闭油气回收装置。油罐设置在防腐防渗钢混水泥罐池内，池底壁内衬防腐防渗。为防止卸油时油罐溢满，已在卸油管立管处安装卸油防溢阀。为保护埋地敷设的防腐层，管底部做沙垫层，厚度大于200mm，管顶部及两侧填沙厚度均大于200mm。然后做硬化地面处理，建议安装监控设施，杜绝油品泄漏。</w:t>
      </w:r>
    </w:p>
    <w:bookmarkEnd w:id="373"/>
    <w:bookmarkEnd w:id="374"/>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375" w:name="_Toc10653"/>
      <w:bookmarkStart w:id="376" w:name="_Toc20861_WPSOffice_Level3"/>
      <w:bookmarkStart w:id="377" w:name="_Toc532817040"/>
      <w:bookmarkStart w:id="378" w:name="_Toc30192_WPSOffice_Level3"/>
      <w:bookmarkStart w:id="379" w:name="_Toc21902_WPSOffice_Level3"/>
      <w:bookmarkStart w:id="380" w:name="_Toc28228_WPSOffice_Level3"/>
      <w:bookmarkStart w:id="381" w:name="_Toc3780_WPSOffice_Level3"/>
      <w:bookmarkStart w:id="382" w:name="_Toc10599"/>
      <w:r>
        <w:rPr>
          <w:rFonts w:ascii="Times New Roman" w:hAnsi="Times New Roman" w:cs="Times New Roman"/>
          <w:b/>
          <w:bCs/>
          <w:color w:val="000000" w:themeColor="text1"/>
          <w:kern w:val="44"/>
          <w:sz w:val="24"/>
          <w:szCs w:val="24"/>
        </w:rPr>
        <w:t>3.4.2环境事故发生后措施</w:t>
      </w:r>
      <w:bookmarkEnd w:id="375"/>
      <w:bookmarkEnd w:id="376"/>
      <w:bookmarkEnd w:id="377"/>
      <w:bookmarkEnd w:id="378"/>
      <w:bookmarkEnd w:id="379"/>
      <w:bookmarkEnd w:id="380"/>
      <w:bookmarkEnd w:id="381"/>
      <w:bookmarkEnd w:id="382"/>
    </w:p>
    <w:p>
      <w:pPr>
        <w:spacing w:line="500" w:lineRule="exact"/>
        <w:ind w:firstLine="482" w:firstLineChars="200"/>
        <w:rPr>
          <w:rFonts w:ascii="Times New Roman" w:hAnsi="Times New Roman" w:cs="Times New Roman"/>
          <w:b/>
          <w:bCs/>
          <w:color w:val="000000" w:themeColor="text1"/>
          <w:sz w:val="24"/>
          <w:szCs w:val="24"/>
        </w:rPr>
      </w:pPr>
      <w:bookmarkStart w:id="383" w:name="OLE_LINK4"/>
      <w:r>
        <w:rPr>
          <w:rFonts w:ascii="Times New Roman" w:hAnsi="Times New Roman" w:cs="Times New Roman"/>
          <w:b/>
          <w:bCs/>
          <w:color w:val="000000" w:themeColor="text1"/>
          <w:sz w:val="24"/>
          <w:szCs w:val="24"/>
        </w:rPr>
        <w:t>（1）加油机跑油事故处理措施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加油员应立即停止加油，放空回油，关闭加油阀，切断加油机电源。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暂停所有加油活动，其他加油员将加油车辆推离加油站。现场站长或当班安全员负责疏散周围车辆和闲散人员，并指派一名加油员现场警戒。</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其他加油员用棉纱、拖把等进行必要的回收，严禁用铁制、塑料等易产生火花的器皿进行回收，回收后用沙土覆盖残留油面，待充分吸收残油后将沙土清除干净。</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地面油品处理干净后，现场班长宣布恢复加油作业。</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（2）罐车卸油冒罐处理措施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当罐车卸油冒罐时计量保管员及时关闭储油罐卸油阀，切断总电源，停止营业，并向站长（或现场班长）汇报。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必要时报告公安消防部门，以便临时封堵附近的交通道路，站长（或现场班长）及时组织人员进行现场警戒，疏散站内人员，推出站内车辆，检查并消除附近的一切火源；制止其他车辆和人员进入加油站。</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在溢油处上风向，布置消防器材。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对现场已冒油品用沙土、活性炭等围住、吸附，并进行必要的回收，禁止用铁制等易产生火花的器具作回收工具。回收后用沙土覆盖残留油品，待充分吸收残油后将沙土清除干净。</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5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⑤</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给被油品溅泼的人员提供援助；通知毗邻单位或居民，注意危险。</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检查井内是否有残油，若有残油应及时清理干净，并检查其他可能产生危险的区域是否有隐患存在。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7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⑦</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计量确定跑冒油损失数量，做好记录台帐。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8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⑧</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检查确认无其他隐患后，方可恢复营业。</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（3）加油站车辆火灾处理措施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如果是车辆的油箱口着火，加油员立即用石棉毯将油箱口盖住使其窒息，另外一名加油员用灭火器扑救。</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如果是摩托车发动机着火，加油站应立即停止加油，先设法将油箱盖盖上或用灭火毯盖住，再用灭火器扑灭。</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（4）油罐汽车火灾处理措施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加油员立即关闭罐车卸油阀，停止卸油。</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司机迅速将罐车驶离现场，将车开到开阔安全的地方再进行扑救。</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加油站工作人员应拨打119火警电话，请求外援。</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向所属地环保部门报告。电话：</w:t>
      </w:r>
      <w:r>
        <w:rPr>
          <w:rFonts w:ascii="Times New Roman" w:hAnsi="Times New Roman" w:eastAsia="仿宋" w:cs="Times New Roman"/>
          <w:sz w:val="24"/>
          <w:szCs w:val="24"/>
          <w:lang w:val="zh-CN"/>
        </w:rPr>
        <w:t>0791- 83751288</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5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⑤</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如油罐车罐口着火，可首先用石棉毯将罐口盖上，或使用其他覆盖物（如湿棉衣、湿麻袋等）堵严罐口将油火扑灭。当火势较猛时，应使用推车式及手提式干粉灭火器对准罐口将大火扑灭。</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当专业消防人员尚未到达，且火势无法控制时，放弃扑救，现场站长立即将人员撤离到安全场所。</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（5）站内大面积起火处理措施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一人负责向当地消防部门报警（报警电话119），说明火灾类型及地点。</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站长组织在场人员利用现有消防器材扑灭油火。灭火人员按照灭火器材的使用方法，占据有利地形，从上风向由近及远扑灭地面火灾。</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在灭火同时，立即停止加油，关闭闸阀，包裹在储油罐体通气管，关闭操作井口，切断电源。</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疏散现场无关人员及车辆，清理疏通站内、外消防通道。</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5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⑤</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消防车一到，加油站员工立即配合消防队按预定方案投入灭火救援。</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（6）电气火灾处理措施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发生电气火灾时，首先切断电源，然后用CO</w:t>
      </w:r>
      <w:r>
        <w:rPr>
          <w:rFonts w:ascii="Times New Roman" w:hAnsi="Times New Roman" w:cs="Times New Roman"/>
          <w:color w:val="000000" w:themeColor="text1"/>
          <w:sz w:val="24"/>
          <w:szCs w:val="24"/>
          <w:vertAlign w:val="subscript"/>
        </w:rPr>
        <w:t>2</w:t>
      </w:r>
      <w:r>
        <w:rPr>
          <w:rFonts w:ascii="Times New Roman" w:hAnsi="Times New Roman" w:cs="Times New Roman"/>
          <w:color w:val="000000" w:themeColor="text1"/>
          <w:sz w:val="24"/>
          <w:szCs w:val="24"/>
        </w:rPr>
        <w:t>或干粉灭火器扑灭。电气火灾严禁用泡沫灭火器对着火源喷射。</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无法切断电源时，灭火者身着耐火并绝缘的鞋靴、服装，防止触电。然后用CO</w:t>
      </w:r>
      <w:r>
        <w:rPr>
          <w:rFonts w:ascii="Times New Roman" w:hAnsi="Times New Roman" w:cs="Times New Roman"/>
          <w:color w:val="000000" w:themeColor="text1"/>
          <w:sz w:val="24"/>
          <w:szCs w:val="24"/>
          <w:vertAlign w:val="subscript"/>
        </w:rPr>
        <w:t>2</w:t>
      </w:r>
      <w:r>
        <w:rPr>
          <w:rFonts w:ascii="Times New Roman" w:hAnsi="Times New Roman" w:cs="Times New Roman"/>
          <w:color w:val="000000" w:themeColor="text1"/>
          <w:sz w:val="24"/>
          <w:szCs w:val="24"/>
        </w:rPr>
        <w:t>或干粉灭火器对着火源喷射。</w:t>
      </w:r>
      <w:bookmarkEnd w:id="383"/>
      <w:bookmarkStart w:id="384" w:name="_Toc14991"/>
    </w:p>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pStyle w:val="4"/>
        <w:spacing w:before="240" w:after="240" w:line="500" w:lineRule="exact"/>
        <w:ind w:firstLine="602"/>
        <w:jc w:val="center"/>
        <w:rPr>
          <w:rFonts w:eastAsiaTheme="minorEastAsia"/>
          <w:color w:val="000000" w:themeColor="text1"/>
          <w:sz w:val="30"/>
          <w:szCs w:val="30"/>
        </w:rPr>
      </w:pPr>
      <w:bookmarkStart w:id="385" w:name="_Toc29261_WPSOffice_Level1"/>
      <w:bookmarkStart w:id="386" w:name="_Toc3604_WPSOffice_Level1"/>
      <w:bookmarkStart w:id="387" w:name="_Toc24551_WPSOffice_Level1"/>
      <w:bookmarkStart w:id="388" w:name="_Toc1190_WPSOffice_Level1"/>
      <w:bookmarkStart w:id="389" w:name="_Toc14034_WPSOffice_Level1"/>
      <w:bookmarkStart w:id="390" w:name="_Toc532817041"/>
      <w:bookmarkStart w:id="391" w:name="_Toc4176"/>
      <w:bookmarkStart w:id="392" w:name="_Toc18072"/>
      <w:r>
        <w:rPr>
          <w:rFonts w:eastAsiaTheme="minorEastAsia"/>
          <w:color w:val="000000" w:themeColor="text1"/>
          <w:sz w:val="30"/>
          <w:szCs w:val="30"/>
        </w:rPr>
        <w:t>4、组织机构和职责</w:t>
      </w:r>
      <w:bookmarkEnd w:id="385"/>
      <w:bookmarkEnd w:id="386"/>
      <w:bookmarkEnd w:id="387"/>
      <w:bookmarkEnd w:id="388"/>
      <w:bookmarkEnd w:id="389"/>
      <w:bookmarkEnd w:id="390"/>
      <w:bookmarkEnd w:id="391"/>
      <w:bookmarkEnd w:id="392"/>
    </w:p>
    <w:p>
      <w:pPr>
        <w:pStyle w:val="5"/>
        <w:spacing w:before="240" w:after="240" w:line="500" w:lineRule="exact"/>
        <w:ind w:firstLine="482"/>
        <w:jc w:val="left"/>
        <w:rPr>
          <w:rFonts w:ascii="Times New Roman" w:hAnsi="Times New Roman" w:cs="Times New Roman" w:eastAsiaTheme="minorEastAsia"/>
          <w:color w:val="000000" w:themeColor="text1"/>
          <w:sz w:val="24"/>
          <w:szCs w:val="24"/>
        </w:rPr>
      </w:pPr>
      <w:bookmarkStart w:id="393" w:name="_Toc22415"/>
      <w:bookmarkStart w:id="394" w:name="_Toc11939_WPSOffice_Level2"/>
      <w:bookmarkStart w:id="395" w:name="_Toc532817042"/>
      <w:bookmarkStart w:id="396" w:name="_Toc13999"/>
      <w:bookmarkStart w:id="397" w:name="_Toc15473"/>
      <w:bookmarkStart w:id="398" w:name="_Toc14340_WPSOffice_Level2"/>
      <w:bookmarkStart w:id="399" w:name="_Toc14635_WPSOffice_Level2"/>
      <w:bookmarkStart w:id="400" w:name="_Toc28061_WPSOffice_Level2"/>
      <w:bookmarkStart w:id="401" w:name="_Toc582_WPSOffice_Level2"/>
      <w:bookmarkStart w:id="402" w:name="_Toc10264"/>
      <w:r>
        <w:rPr>
          <w:rFonts w:ascii="Times New Roman" w:hAnsi="Times New Roman" w:cs="Times New Roman" w:eastAsiaTheme="minorEastAsia"/>
          <w:color w:val="000000" w:themeColor="text1"/>
          <w:sz w:val="24"/>
          <w:szCs w:val="24"/>
        </w:rPr>
        <w:t>4.1应急组织机构</w:t>
      </w:r>
      <w:bookmarkEnd w:id="393"/>
      <w:r>
        <w:rPr>
          <w:rFonts w:ascii="Times New Roman" w:hAnsi="Times New Roman" w:cs="Times New Roman" w:eastAsiaTheme="minorEastAsia"/>
          <w:color w:val="000000" w:themeColor="text1"/>
          <w:sz w:val="24"/>
          <w:szCs w:val="24"/>
        </w:rPr>
        <w:t>体系</w:t>
      </w:r>
      <w:bookmarkEnd w:id="394"/>
      <w:bookmarkEnd w:id="395"/>
      <w:bookmarkEnd w:id="396"/>
      <w:bookmarkEnd w:id="397"/>
      <w:bookmarkEnd w:id="398"/>
      <w:bookmarkEnd w:id="399"/>
      <w:bookmarkEnd w:id="400"/>
      <w:bookmarkEnd w:id="401"/>
      <w:bookmarkEnd w:id="402"/>
    </w:p>
    <w:p>
      <w:pPr>
        <w:pStyle w:val="29"/>
        <w:widowControl w:val="0"/>
        <w:spacing w:beforeAutospacing="0" w:afterAutospacing="0" w:line="500" w:lineRule="exact"/>
        <w:rPr>
          <w:rFonts w:hint="default" w:ascii="Times New Roman" w:hAnsi="Times New Roman" w:eastAsiaTheme="minorEastAsia"/>
          <w:color w:val="000000" w:themeColor="text1"/>
          <w:szCs w:val="24"/>
        </w:rPr>
      </w:pPr>
      <w:r>
        <w:rPr>
          <w:rFonts w:hint="default" w:ascii="Times New Roman" w:hAnsi="Times New Roman" w:eastAsiaTheme="minorEastAsia"/>
          <w:color w:val="000000" w:themeColor="text1"/>
          <w:szCs w:val="24"/>
        </w:rPr>
        <w:t>加油站成立突发性环境事件应急救援“指挥领导小组”，由公司片区经理、加油站站长、安全员、加油岗位加油员等组成，下设应急救援办公室(设在加油站办公室)，日常工作由安全员兼管，并由营业室协助事故报警及事故处理工作。发生突发性环境污染事故时，以指挥领导小组为基础，公司总经理任总指挥，站长任副总指挥，负责加油站应急救援工作的组织和指挥，指挥部设在加油站办公室。</w:t>
      </w:r>
    </w:p>
    <w:p>
      <w:pPr>
        <w:pStyle w:val="29"/>
        <w:widowControl w:val="0"/>
        <w:spacing w:beforeAutospacing="0" w:afterAutospacing="0" w:line="500" w:lineRule="exact"/>
        <w:rPr>
          <w:rFonts w:hint="default" w:ascii="Times New Roman" w:hAnsi="Times New Roman" w:eastAsiaTheme="minorEastAsia"/>
          <w:color w:val="000000" w:themeColor="text1"/>
          <w:szCs w:val="24"/>
        </w:rPr>
      </w:pPr>
      <w:r>
        <w:rPr>
          <w:rFonts w:hint="default" w:ascii="Times New Roman" w:hAnsi="Times New Roman" w:eastAsiaTheme="minorEastAsia"/>
          <w:color w:val="000000" w:themeColor="text1"/>
          <w:szCs w:val="24"/>
        </w:rPr>
        <w:t>突发环境事件应急指挥部根据加油站环境污染源实际情况，分别设立应急救援办公室、物资后勤保障组。应急指挥领导小组主要成员及组织结构、联系方式见附件5。突发环境事件应急救援组织机构见下图</w:t>
      </w:r>
      <w:r>
        <w:rPr>
          <w:rFonts w:ascii="Times New Roman" w:hAnsi="Times New Roman" w:eastAsiaTheme="minorEastAsia"/>
          <w:color w:val="000000" w:themeColor="text1"/>
          <w:szCs w:val="24"/>
        </w:rPr>
        <w:t>4-1</w:t>
      </w:r>
      <w:r>
        <w:rPr>
          <w:rFonts w:hint="default" w:ascii="Times New Roman" w:hAnsi="Times New Roman" w:eastAsiaTheme="minorEastAsia"/>
          <w:color w:val="000000" w:themeColor="text1"/>
          <w:szCs w:val="24"/>
        </w:rPr>
        <w:t>：</w:t>
      </w:r>
    </w:p>
    <w:p>
      <w:pPr>
        <w:widowControl/>
        <w:spacing w:before="100" w:beforeAutospacing="1" w:after="100" w:afterAutospacing="1" w:line="336" w:lineRule="auto"/>
        <w:ind w:firstLine="480"/>
        <w:jc w:val="center"/>
        <w:rPr>
          <w:rFonts w:ascii="Times New Roman" w:hAnsi="Times New Roman" w:cs="Times New Roman"/>
          <w:b/>
          <w:color w:val="000000" w:themeColor="text1"/>
          <w:kern w:val="0"/>
          <w:sz w:val="24"/>
          <w:szCs w:val="24"/>
        </w:rPr>
      </w:pPr>
      <w:r>
        <w:rPr>
          <w:rFonts w:ascii="Times New Roman" w:hAnsi="Times New Roman" w:cs="Times New Roman"/>
        </w:rPr>
        <w:drawing>
          <wp:inline distT="0" distB="0" distL="0" distR="0">
            <wp:extent cx="4342765" cy="3239770"/>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342979" cy="3240000"/>
                    </a:xfrm>
                    <a:prstGeom prst="rect">
                      <a:avLst/>
                    </a:prstGeom>
                    <a:noFill/>
                    <a:ln>
                      <a:noFill/>
                    </a:ln>
                  </pic:spPr>
                </pic:pic>
              </a:graphicData>
            </a:graphic>
          </wp:inline>
        </w:drawing>
      </w:r>
    </w:p>
    <w:p>
      <w:pPr>
        <w:pStyle w:val="2"/>
        <w:ind w:firstLine="438"/>
        <w:jc w:val="center"/>
        <w:rPr>
          <w:b/>
          <w:sz w:val="21"/>
          <w:szCs w:val="21"/>
        </w:rPr>
      </w:pPr>
      <w:r>
        <w:rPr>
          <w:rFonts w:ascii="Times New Roman" w:hAnsi="Times New Roman" w:eastAsiaTheme="minorEastAsia"/>
          <w:b/>
          <w:color w:val="000000" w:themeColor="text1"/>
          <w:sz w:val="21"/>
          <w:szCs w:val="21"/>
        </w:rPr>
        <w:t>图</w:t>
      </w:r>
      <w:r>
        <w:rPr>
          <w:rFonts w:hint="eastAsia" w:ascii="Times New Roman" w:hAnsi="Times New Roman" w:eastAsiaTheme="minorEastAsia"/>
          <w:b/>
          <w:color w:val="000000" w:themeColor="text1"/>
          <w:sz w:val="21"/>
          <w:szCs w:val="21"/>
        </w:rPr>
        <w:t xml:space="preserve">4-1 </w:t>
      </w:r>
      <w:r>
        <w:rPr>
          <w:rFonts w:ascii="Times New Roman" w:hAnsi="Times New Roman" w:eastAsiaTheme="minorEastAsia"/>
          <w:b/>
          <w:color w:val="000000" w:themeColor="text1"/>
          <w:sz w:val="21"/>
          <w:szCs w:val="21"/>
        </w:rPr>
        <w:t>组织机构</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403" w:name="_Toc7502_WPSOffice_Level2"/>
      <w:bookmarkStart w:id="404" w:name="_Toc16749_WPSOffice_Level2"/>
      <w:bookmarkStart w:id="405" w:name="_Toc13494_WPSOffice_Level2"/>
      <w:bookmarkStart w:id="406" w:name="_Toc532817043"/>
      <w:bookmarkStart w:id="407" w:name="_Toc8148"/>
      <w:bookmarkStart w:id="408" w:name="_Toc27222"/>
      <w:bookmarkStart w:id="409" w:name="_Toc8749_WPSOffice_Level2"/>
      <w:bookmarkStart w:id="410" w:name="_Toc13324_WPSOffice_Level2"/>
      <w:bookmarkStart w:id="411" w:name="_Toc18113"/>
      <w:bookmarkStart w:id="412" w:name="_Toc11662"/>
      <w:r>
        <w:rPr>
          <w:rFonts w:ascii="Times New Roman" w:hAnsi="Times New Roman" w:cs="Times New Roman"/>
          <w:b/>
          <w:bCs/>
          <w:color w:val="000000" w:themeColor="text1"/>
          <w:kern w:val="44"/>
          <w:sz w:val="24"/>
          <w:szCs w:val="24"/>
        </w:rPr>
        <w:t>4.2指挥机构及职责</w:t>
      </w:r>
      <w:bookmarkEnd w:id="403"/>
      <w:bookmarkEnd w:id="404"/>
      <w:bookmarkEnd w:id="405"/>
      <w:bookmarkEnd w:id="406"/>
      <w:bookmarkEnd w:id="407"/>
      <w:bookmarkEnd w:id="408"/>
      <w:bookmarkEnd w:id="409"/>
      <w:bookmarkEnd w:id="410"/>
      <w:bookmarkEnd w:id="411"/>
      <w:bookmarkEnd w:id="412"/>
    </w:p>
    <w:p>
      <w:pPr>
        <w:spacing w:line="500" w:lineRule="exact"/>
        <w:ind w:firstLine="482"/>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公司内部指挥机构</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一级指挥（总指挥）：裘韦</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二级指挥（副总指挥）：许英英</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应急救援办公室部：加油站办公室</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物资、后勤保障组负责人：涂海英</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zh-CN"/>
        </w:rPr>
        <w:t>公司值班电话：</w:t>
      </w:r>
      <w:r>
        <w:rPr>
          <w:rStyle w:val="41"/>
          <w:rFonts w:hint="eastAsia" w:ascii="Times New Roman" w:hAnsi="Times New Roman"/>
          <w:color w:val="000000" w:themeColor="text1"/>
          <w:spacing w:val="4"/>
          <w:sz w:val="24"/>
          <w:szCs w:val="24"/>
        </w:rPr>
        <w:t>13807066080</w:t>
      </w:r>
    </w:p>
    <w:p>
      <w:pPr>
        <w:spacing w:line="360" w:lineRule="auto"/>
        <w:ind w:firstLine="482"/>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外部保障体系</w:t>
      </w:r>
    </w:p>
    <w:p>
      <w:pPr>
        <w:spacing w:line="360" w:lineRule="auto"/>
        <w:ind w:firstLine="482"/>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w:t>
      </w:r>
      <w:r>
        <w:rPr>
          <w:rFonts w:hint="eastAsia" w:ascii="Times New Roman" w:hAnsi="Times New Roman" w:cs="Times New Roman"/>
          <w:b/>
          <w:bCs/>
          <w:color w:val="000000" w:themeColor="text1"/>
          <w:szCs w:val="21"/>
        </w:rPr>
        <w:t>4</w:t>
      </w:r>
      <w:r>
        <w:rPr>
          <w:rFonts w:ascii="Times New Roman" w:hAnsi="Times New Roman" w:cs="Times New Roman"/>
          <w:b/>
          <w:bCs/>
          <w:color w:val="000000" w:themeColor="text1"/>
          <w:szCs w:val="21"/>
        </w:rPr>
        <w:t>-</w:t>
      </w:r>
      <w:r>
        <w:rPr>
          <w:rFonts w:hint="eastAsia" w:ascii="Times New Roman" w:hAnsi="Times New Roman" w:cs="Times New Roman"/>
          <w:b/>
          <w:bCs/>
          <w:color w:val="000000" w:themeColor="text1"/>
          <w:szCs w:val="21"/>
        </w:rPr>
        <w:t>2</w:t>
      </w:r>
      <w:r>
        <w:rPr>
          <w:rFonts w:ascii="Times New Roman" w:hAnsi="Times New Roman" w:cs="Times New Roman"/>
          <w:b/>
          <w:bCs/>
          <w:color w:val="000000" w:themeColor="text1"/>
          <w:szCs w:val="21"/>
        </w:rPr>
        <w:t xml:space="preserve">  外部通讯方式</w:t>
      </w:r>
    </w:p>
    <w:tbl>
      <w:tblPr>
        <w:tblStyle w:val="16"/>
        <w:tblW w:w="813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703"/>
        <w:gridCol w:w="4190"/>
        <w:gridCol w:w="1057"/>
        <w:gridCol w:w="218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03" w:type="dxa"/>
            <w:vAlign w:val="center"/>
          </w:tcPr>
          <w:p>
            <w:pPr>
              <w:widowControl/>
              <w:spacing w:line="360" w:lineRule="auto"/>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序号</w:t>
            </w:r>
          </w:p>
        </w:tc>
        <w:tc>
          <w:tcPr>
            <w:tcW w:w="4190" w:type="dxa"/>
            <w:vAlign w:val="center"/>
          </w:tcPr>
          <w:p>
            <w:pPr>
              <w:widowControl/>
              <w:spacing w:line="360" w:lineRule="auto"/>
              <w:ind w:firstLine="442"/>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部门/职务</w:t>
            </w:r>
          </w:p>
        </w:tc>
        <w:tc>
          <w:tcPr>
            <w:tcW w:w="1057" w:type="dxa"/>
            <w:vAlign w:val="center"/>
          </w:tcPr>
          <w:p>
            <w:pPr>
              <w:widowControl/>
              <w:spacing w:line="360" w:lineRule="auto"/>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联系人</w:t>
            </w:r>
          </w:p>
        </w:tc>
        <w:tc>
          <w:tcPr>
            <w:tcW w:w="2186" w:type="dxa"/>
            <w:vAlign w:val="center"/>
          </w:tcPr>
          <w:p>
            <w:pPr>
              <w:widowControl/>
              <w:spacing w:line="360" w:lineRule="auto"/>
              <w:ind w:firstLine="442"/>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92"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1</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南昌市安全生产应急指挥中心</w:t>
            </w:r>
          </w:p>
        </w:tc>
        <w:tc>
          <w:tcPr>
            <w:tcW w:w="1057" w:type="dxa"/>
            <w:vAlign w:val="center"/>
          </w:tcPr>
          <w:p>
            <w:pPr>
              <w:widowControl/>
              <w:spacing w:before="100" w:beforeAutospacing="1" w:after="100" w:afterAutospacing="1"/>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0791-8396140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南昌市应急救援中心</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戴晓望</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0791-83986153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3</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南昌市安监局副局长</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万平</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13507093311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4</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南昌市职业健康副局长</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卢瑾萍</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18079133835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5</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南昌安监局办公室</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0791-88161635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6</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南昌市安监局执法大队长</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0791-83839641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7</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南昌市消防大队大队长</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陈峰</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18970016631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8</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消防火灾报警电话</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119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9</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医疗急救电话</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10</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公安报警电话</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110</w:t>
            </w:r>
          </w:p>
        </w:tc>
      </w:tr>
    </w:tbl>
    <w:p>
      <w:pPr>
        <w:spacing w:line="500" w:lineRule="exact"/>
        <w:ind w:firstLine="42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指挥机构的职责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负责“预案”的制定、修订；组建应急救援专业队伍，组织实施和演练；检查督促做好重大事故的预防措施和应急救援的各项准备工作。发生突发性环境污染事故时，由指挥部发布和解除应急救援命令、信号；组织指挥救援队伍实施救援行动；向上级汇报和向友邻单位通报事故情况，必要时向有关单位发出救援请求，组织救援工作。</w:t>
      </w:r>
    </w:p>
    <w:p>
      <w:pPr>
        <w:spacing w:line="500" w:lineRule="exact"/>
        <w:ind w:firstLine="482"/>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指挥机构成员职责</w:t>
      </w:r>
    </w:p>
    <w:p>
      <w:pPr>
        <w:spacing w:line="500" w:lineRule="exact"/>
        <w:ind w:firstLine="482" w:firstLineChars="200"/>
        <w:rPr>
          <w:rFonts w:ascii="Times New Roman" w:hAnsi="Times New Roman" w:cs="Times New Roman"/>
          <w:b/>
          <w:bCs/>
          <w:color w:val="000000" w:themeColor="text1"/>
          <w:sz w:val="24"/>
          <w:szCs w:val="24"/>
        </w:rPr>
      </w:pPr>
      <w:bookmarkStart w:id="413" w:name="_Toc4116_WPSOffice_Level3"/>
      <w:bookmarkStart w:id="414" w:name="_Toc11939_WPSOffice_Level3"/>
      <w:bookmarkStart w:id="415" w:name="_Toc32611_WPSOffice_Level3"/>
      <w:bookmarkStart w:id="416" w:name="_Toc16749_WPSOffice_Level3"/>
      <w:bookmarkStart w:id="417" w:name="_Toc29421_WPSOffice_Level3"/>
      <w:r>
        <w:rPr>
          <w:rFonts w:ascii="Times New Roman" w:hAnsi="Times New Roman" w:cs="Times New Roman"/>
          <w:b/>
          <w:bCs/>
          <w:color w:val="000000" w:themeColor="text1"/>
          <w:sz w:val="24"/>
          <w:szCs w:val="24"/>
        </w:rPr>
        <w:t>（1）总指挥职责：</w:t>
      </w:r>
      <w:bookmarkEnd w:id="413"/>
      <w:bookmarkEnd w:id="414"/>
      <w:bookmarkEnd w:id="415"/>
      <w:bookmarkEnd w:id="416"/>
      <w:bookmarkEnd w:id="417"/>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t>组织制定突发环境事件应急预案；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组建突发环境事件应急救援队伍；</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t>负责启动与终止应急工作；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t>负责掌握突发环境事件状况，根据突发环境事件的发展，确定现场指挥人员，推动应急组织工作的发挥；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⑤</w:t>
      </w:r>
      <w:r>
        <w:rPr>
          <w:rFonts w:ascii="Times New Roman" w:hAnsi="Times New Roman" w:cs="Times New Roman"/>
          <w:color w:val="000000" w:themeColor="text1"/>
          <w:sz w:val="24"/>
          <w:szCs w:val="24"/>
        </w:rPr>
        <w:t>视突发环境事件状况和可能演化的趋势，判定是否需要外部救援或外借应急物资，接受上级应急救援指挥机构的指令和调动，协助事件的处理；</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⑥</w:t>
      </w:r>
      <w:r>
        <w:rPr>
          <w:rFonts w:ascii="Times New Roman" w:hAnsi="Times New Roman" w:cs="Times New Roman"/>
          <w:color w:val="000000" w:themeColor="text1"/>
          <w:sz w:val="24"/>
          <w:szCs w:val="24"/>
        </w:rPr>
        <w:t>组织内部和对政府的报告，配合有关部门对环境进行监测、修复、事件调查、经验教训总结；</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7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⑦</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每三年组织更新备案，每年组织演练，签署预案发布令等。</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⑧</w:t>
      </w:r>
      <w:r>
        <w:rPr>
          <w:rFonts w:ascii="Times New Roman" w:hAnsi="Times New Roman" w:cs="Times New Roman"/>
          <w:color w:val="000000" w:themeColor="text1"/>
          <w:sz w:val="24"/>
          <w:szCs w:val="24"/>
        </w:rPr>
        <w:t>政府介入后，负责将指挥权移交政府。</w:t>
      </w:r>
    </w:p>
    <w:p>
      <w:pPr>
        <w:spacing w:line="500" w:lineRule="exact"/>
        <w:ind w:firstLine="482" w:firstLineChars="200"/>
        <w:rPr>
          <w:rFonts w:ascii="Times New Roman" w:hAnsi="Times New Roman" w:cs="Times New Roman"/>
          <w:b/>
          <w:bCs/>
          <w:color w:val="000000" w:themeColor="text1"/>
          <w:sz w:val="24"/>
          <w:szCs w:val="24"/>
        </w:rPr>
      </w:pPr>
      <w:bookmarkStart w:id="418" w:name="_Toc13324_WPSOffice_Level3"/>
      <w:bookmarkStart w:id="419" w:name="_Toc13624_WPSOffice_Level3"/>
      <w:bookmarkStart w:id="420" w:name="_Toc20317_WPSOffice_Level3"/>
      <w:bookmarkStart w:id="421" w:name="_Toc25863_WPSOffice_Level3"/>
      <w:bookmarkStart w:id="422" w:name="_Toc25774_WPSOffice_Level3"/>
      <w:r>
        <w:rPr>
          <w:rFonts w:ascii="Times New Roman" w:hAnsi="Times New Roman" w:cs="Times New Roman"/>
          <w:b/>
          <w:bCs/>
          <w:color w:val="000000" w:themeColor="text1"/>
          <w:sz w:val="24"/>
          <w:szCs w:val="24"/>
        </w:rPr>
        <w:t>（2）副总指挥职责：</w:t>
      </w:r>
      <w:bookmarkEnd w:id="418"/>
      <w:bookmarkEnd w:id="419"/>
      <w:bookmarkEnd w:id="420"/>
      <w:bookmarkEnd w:id="421"/>
      <w:bookmarkEnd w:id="422"/>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t>协助总指挥负责应急救援的具体操作和实施步骤的协调工作。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总指挥不能到任时接替总指挥工作。</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应急救援办公室职责：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负责应急救援的日常工作。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t>负责人员、应急资源配置、应急队伍的调动；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协调和指挥事故现场处置救援工作；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t>对事故现场情况进行侦察、评估，协同现场指挥制定抢救方案；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t>组织本小组所有的力量严格按抢救方案实施现场抢救；</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⑤</w:t>
      </w:r>
      <w:r>
        <w:rPr>
          <w:rFonts w:ascii="Times New Roman" w:hAnsi="Times New Roman" w:cs="Times New Roman"/>
          <w:color w:val="000000" w:themeColor="text1"/>
          <w:sz w:val="24"/>
          <w:szCs w:val="24"/>
        </w:rPr>
        <w:t>监督本小组参与事故处置的应急人员执行有效的应急措施，保证小组内的应急人员的安全；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协助政府环保部门展开环境监测工作，</w:t>
      </w:r>
      <w:r>
        <w:rPr>
          <w:rFonts w:ascii="Times New Roman" w:hAnsi="Times New Roman" w:cs="Times New Roman"/>
          <w:color w:val="000000" w:themeColor="text1"/>
          <w:sz w:val="24"/>
          <w:szCs w:val="24"/>
          <w:lang w:val="zh-CN"/>
        </w:rPr>
        <w:t>处理事故发生后的环境遗留问题。</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物资后勤保障组职责：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sz w:val="24"/>
          <w:szCs w:val="24"/>
        </w:rPr>
        <w:t>负责站区内外应急救援物资的调配与发放；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负责做好应急资金的保障工作；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sz w:val="24"/>
          <w:szCs w:val="24"/>
        </w:rPr>
        <w:t>保证加油站内所有通讯处于畅通状态；</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④</w:t>
      </w:r>
      <w:r>
        <w:rPr>
          <w:rFonts w:ascii="Times New Roman" w:hAnsi="Times New Roman" w:cs="Times New Roman"/>
          <w:color w:val="000000" w:themeColor="text1"/>
          <w:sz w:val="24"/>
          <w:szCs w:val="24"/>
        </w:rPr>
        <w:t>负责布置安全警戒，禁止无关人员和车辆进入危险区域；</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sz w:val="24"/>
          <w:szCs w:val="24"/>
        </w:rPr>
        <w:t>⑤</w:t>
      </w:r>
      <w:r>
        <w:rPr>
          <w:rFonts w:ascii="Times New Roman" w:hAnsi="Times New Roman" w:cs="Times New Roman"/>
          <w:color w:val="000000" w:themeColor="text1"/>
          <w:sz w:val="24"/>
          <w:szCs w:val="24"/>
        </w:rPr>
        <w:t>交通疏导、交通管制，确保运送应急物资及人员的畅通；</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协助总指挥做好事故报警、情况通报及事故处置工作；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7 \* GB3 \* MERGEFORMAT </w:instrText>
      </w:r>
      <w:r>
        <w:rPr>
          <w:rFonts w:ascii="Times New Roman" w:hAnsi="Times New Roman" w:cs="Times New Roman"/>
          <w:color w:val="000000" w:themeColor="text1"/>
          <w:sz w:val="24"/>
          <w:szCs w:val="24"/>
        </w:rPr>
        <w:fldChar w:fldCharType="separate"/>
      </w:r>
      <w:r>
        <w:rPr>
          <w:rFonts w:ascii="Times New Roman" w:hAnsi="Times New Roman" w:eastAsia="宋体" w:cs="Times New Roman"/>
          <w:color w:val="000000" w:themeColor="text1"/>
          <w:sz w:val="24"/>
          <w:szCs w:val="24"/>
        </w:rPr>
        <w:t>⑦</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负责现场中毒、受伤人员分类抢救和护送工作；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加油站全体员工都负有事故应急救援的责任，为事故应急救援骨干力量，承担各类事故救援及处置。</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423" w:name="_Toc1167_WPSOffice_Level2"/>
      <w:bookmarkStart w:id="424" w:name="_Toc25774_WPSOffice_Level2"/>
      <w:bookmarkStart w:id="425" w:name="_Toc9024"/>
      <w:bookmarkStart w:id="426" w:name="_Toc22687_WPSOffice_Level2"/>
      <w:bookmarkStart w:id="427" w:name="_Toc4640_WPSOffice_Level2"/>
      <w:bookmarkStart w:id="428" w:name="_Toc532817044"/>
      <w:bookmarkStart w:id="429" w:name="_Toc4350"/>
      <w:bookmarkStart w:id="430" w:name="_Toc28984_WPSOffice_Level2"/>
      <w:bookmarkStart w:id="431" w:name="_Toc24509"/>
      <w:r>
        <w:rPr>
          <w:rFonts w:ascii="Times New Roman" w:hAnsi="Times New Roman" w:cs="Times New Roman"/>
          <w:b/>
          <w:bCs/>
          <w:color w:val="000000" w:themeColor="text1"/>
          <w:kern w:val="44"/>
          <w:sz w:val="24"/>
          <w:szCs w:val="24"/>
        </w:rPr>
        <w:t>4.3应急指挥运行机制</w:t>
      </w:r>
      <w:bookmarkEnd w:id="423"/>
      <w:bookmarkEnd w:id="424"/>
      <w:bookmarkEnd w:id="425"/>
      <w:bookmarkEnd w:id="426"/>
      <w:bookmarkEnd w:id="427"/>
      <w:bookmarkEnd w:id="428"/>
      <w:bookmarkEnd w:id="429"/>
      <w:bookmarkEnd w:id="430"/>
      <w:bookmarkEnd w:id="431"/>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突发环境事件不可能立即完全确定其属性时，使应急救援行动充满变数，如遇特殊情况下，应急救援行动都必须寻求内部与外部力量的救援。因此，</w:t>
      </w:r>
      <w:r>
        <w:rPr>
          <w:rFonts w:ascii="Times New Roman" w:hAnsi="Times New Roman" w:cs="Times New Roman"/>
          <w:color w:val="000000" w:themeColor="text1"/>
          <w:sz w:val="24"/>
          <w:szCs w:val="24"/>
        </w:rPr>
        <w:t>南昌中油瑶湖石油销售有限公司瑶湖加油站</w:t>
      </w:r>
      <w:r>
        <w:rPr>
          <w:rFonts w:ascii="Times New Roman" w:hAnsi="Times New Roman" w:cs="Times New Roman"/>
          <w:color w:val="000000" w:themeColor="text1"/>
          <w:kern w:val="0"/>
          <w:sz w:val="24"/>
          <w:szCs w:val="24"/>
        </w:rPr>
        <w:t>与各相关救援单位、政府部门间的联动就显得尤为重要。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（1）加油站一旦发生不可控级（</w:t>
      </w:r>
      <w:r>
        <w:rPr>
          <w:rFonts w:ascii="Times New Roman" w:hAnsi="Times New Roman" w:eastAsia="宋体" w:cs="Times New Roman"/>
          <w:color w:val="000000" w:themeColor="text1"/>
          <w:kern w:val="0"/>
          <w:sz w:val="24"/>
          <w:szCs w:val="24"/>
        </w:rPr>
        <w:t>Ⅰ</w:t>
      </w:r>
      <w:r>
        <w:rPr>
          <w:rFonts w:ascii="Times New Roman" w:hAnsi="Times New Roman" w:cs="Times New Roman"/>
          <w:color w:val="000000" w:themeColor="text1"/>
          <w:kern w:val="0"/>
          <w:sz w:val="24"/>
          <w:szCs w:val="24"/>
        </w:rPr>
        <w:t>级）突发环境事件，应急指挥部的总指挥应及时与南昌市政府、南昌市环境保护局以及相关的职能管理部门的应急指挥机构联系，及时将环境事件发生情况及最新进展向有关部门汇报，并将上级指挥机构的命令及时向公司加油站应急救援办公室传达。</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若政府及其有关部门介入后，加油站内的总指挥应为政府及其相关部门人员，加油站总指挥及应急救援办公室负责人应听从政府及其相关部门人员的统一指挥，企业应急救援总指挥应积极配合政府及其相关部门人员的工作，积极调动应急救援人员进行现场处置及救援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加油站发生不可控级（</w:t>
      </w:r>
      <w:r>
        <w:rPr>
          <w:rFonts w:ascii="Times New Roman" w:hAnsi="Times New Roman" w:eastAsia="宋体" w:cs="Times New Roman"/>
          <w:color w:val="000000" w:themeColor="text1"/>
          <w:kern w:val="0"/>
          <w:sz w:val="24"/>
          <w:szCs w:val="24"/>
        </w:rPr>
        <w:t>Ⅰ</w:t>
      </w:r>
      <w:r>
        <w:rPr>
          <w:rFonts w:ascii="Times New Roman" w:hAnsi="Times New Roman" w:cs="Times New Roman"/>
          <w:color w:val="000000" w:themeColor="text1"/>
          <w:kern w:val="0"/>
          <w:sz w:val="24"/>
          <w:szCs w:val="24"/>
        </w:rPr>
        <w:t>级）突发环境事件，需要借助外部救援力量，加油站可联系南昌市政府应急部门、环境保护局等相关部门，启动南昌市突发环境事件应急预案，当政府应急指挥部门到达现场后，加油站应急救援指挥领导小组移交指挥权，听从政府应急指挥部指挥，积极配合完成救援工作。</w:t>
      </w:r>
    </w:p>
    <w:p>
      <w:pPr>
        <w:numPr>
          <w:ilvl w:val="0"/>
          <w:numId w:val="3"/>
        </w:num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加油站发生可控级（</w:t>
      </w:r>
      <w:r>
        <w:rPr>
          <w:rFonts w:ascii="Times New Roman" w:hAnsi="Times New Roman" w:eastAsia="宋体" w:cs="Times New Roman"/>
          <w:color w:val="000000" w:themeColor="text1"/>
          <w:kern w:val="0"/>
          <w:sz w:val="24"/>
          <w:szCs w:val="24"/>
        </w:rPr>
        <w:t>Ⅱ</w:t>
      </w:r>
      <w:r>
        <w:rPr>
          <w:rFonts w:ascii="Times New Roman" w:hAnsi="Times New Roman" w:cs="Times New Roman"/>
          <w:color w:val="000000" w:themeColor="text1"/>
          <w:kern w:val="0"/>
          <w:sz w:val="24"/>
          <w:szCs w:val="24"/>
        </w:rPr>
        <w:t>级）突发环境事件，加油站内部救援力量能处置的，事故当事人，应立即向应急救援指挥部上报，应急救援总指挥立即启动应急救援，组织应急救援办公室展开现场救援，应急救援办公室负责人应听从总指挥的统一指挥。应急工作结束后，应向南昌市环境保护局报备；若加油站内部救援力量不能满足救援需求时，需借助外部救援力量，加油站应联系南昌市政府应急部门、环境保护局等相关部门，启动南昌市突发环境事件应急预案，当政府应急指挥部门到达现场后，加油站应急救援指挥领导小组移交指挥权，听从政府应急指挥部指挥，积极配合完成救援工作。</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432" w:name="_Toc21319_WPSOffice_Level2"/>
      <w:bookmarkStart w:id="433" w:name="_Toc25708_WPSOffice_Level2"/>
      <w:bookmarkStart w:id="434" w:name="_Toc31188_WPSOffice_Level2"/>
      <w:bookmarkStart w:id="435" w:name="_Toc30317"/>
      <w:bookmarkStart w:id="436" w:name="_Toc532817045"/>
      <w:bookmarkStart w:id="437" w:name="_Toc1450_WPSOffice_Level2"/>
      <w:bookmarkStart w:id="438" w:name="_Toc20556_WPSOffice_Level2"/>
      <w:bookmarkStart w:id="439" w:name="_Toc48"/>
      <w:r>
        <w:rPr>
          <w:rFonts w:ascii="Times New Roman" w:hAnsi="Times New Roman" w:cs="Times New Roman"/>
          <w:b/>
          <w:bCs/>
          <w:color w:val="000000" w:themeColor="text1"/>
          <w:kern w:val="44"/>
          <w:sz w:val="24"/>
          <w:szCs w:val="24"/>
        </w:rPr>
        <w:t>4.4加油站现场应急处理分级</w:t>
      </w:r>
      <w:bookmarkEnd w:id="432"/>
      <w:bookmarkEnd w:id="433"/>
      <w:bookmarkEnd w:id="434"/>
      <w:bookmarkEnd w:id="435"/>
      <w:bookmarkEnd w:id="436"/>
      <w:bookmarkEnd w:id="437"/>
      <w:bookmarkEnd w:id="438"/>
      <w:bookmarkEnd w:id="439"/>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加油站现场应急处理分两级，可控级为加油站应急办处理，不可控级为当地政府部门应急处理。</w:t>
      </w:r>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fldChar w:fldCharType="begin"/>
      </w:r>
      <w:r>
        <w:rPr>
          <w:rFonts w:ascii="Times New Roman" w:hAnsi="Times New Roman" w:cs="Times New Roman"/>
          <w:b/>
          <w:color w:val="000000" w:themeColor="text1"/>
          <w:kern w:val="0"/>
          <w:sz w:val="24"/>
          <w:szCs w:val="24"/>
        </w:rPr>
        <w:instrText xml:space="preserve"> = 1 \* GB2 \* MERGEFORMAT </w:instrText>
      </w:r>
      <w:r>
        <w:rPr>
          <w:rFonts w:ascii="Times New Roman" w:hAnsi="Times New Roman" w:cs="Times New Roman"/>
          <w:b/>
          <w:color w:val="000000" w:themeColor="text1"/>
          <w:kern w:val="0"/>
          <w:sz w:val="24"/>
          <w:szCs w:val="24"/>
        </w:rPr>
        <w:fldChar w:fldCharType="separate"/>
      </w:r>
      <w:r>
        <w:rPr>
          <w:rFonts w:ascii="Times New Roman" w:hAnsi="Times New Roman" w:eastAsia="宋体" w:cs="Times New Roman"/>
          <w:b/>
          <w:color w:val="000000" w:themeColor="text1"/>
          <w:kern w:val="0"/>
          <w:sz w:val="24"/>
          <w:szCs w:val="24"/>
        </w:rPr>
        <w:t>⑴</w:t>
      </w:r>
      <w:r>
        <w:rPr>
          <w:rFonts w:ascii="Times New Roman" w:hAnsi="Times New Roman" w:cs="Times New Roman"/>
          <w:b/>
          <w:color w:val="000000" w:themeColor="text1"/>
          <w:kern w:val="0"/>
          <w:sz w:val="24"/>
          <w:szCs w:val="24"/>
        </w:rPr>
        <w:fldChar w:fldCharType="end"/>
      </w:r>
      <w:r>
        <w:rPr>
          <w:rFonts w:ascii="Times New Roman" w:hAnsi="Times New Roman" w:cs="Times New Roman"/>
          <w:b/>
          <w:color w:val="000000" w:themeColor="text1"/>
          <w:kern w:val="0"/>
          <w:sz w:val="24"/>
          <w:szCs w:val="24"/>
        </w:rPr>
        <w:t>可控级预警：</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a、为已发生火灾、危险源大面积泄漏事故，但危险源没有流出或扩散到周边社区、企业，由加油站应急领导小组组织实施应急救援。</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b、为已发生火灾和危险源泄漏，在短时间内可以处置控制未对周边企业和社区产生影响的突发环境事故时，由加油站应急小组组织实施应急救援，及时报告加油站应急领导小组，做好协调工作。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c、</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1 \* GB3 \* MERGEFORMAT </w:instrText>
      </w:r>
      <w:r>
        <w:rPr>
          <w:rFonts w:ascii="Times New Roman" w:hAnsi="Times New Roman" w:cs="Times New Roman"/>
          <w:color w:val="000000" w:themeColor="text1"/>
          <w:kern w:val="0"/>
          <w:sz w:val="24"/>
          <w:szCs w:val="24"/>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加油站设备、设施故障，将会导致危险源泄漏、火灾等安全事故的；</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2 \* GB3 \* MERGEFORMAT </w:instrText>
      </w:r>
      <w:r>
        <w:rPr>
          <w:rFonts w:ascii="Times New Roman" w:hAnsi="Times New Roman" w:cs="Times New Roman"/>
          <w:color w:val="000000" w:themeColor="text1"/>
          <w:kern w:val="0"/>
          <w:sz w:val="24"/>
          <w:szCs w:val="24"/>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现场发现存在泄漏或火灾迹象的；</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3 \* GB3 \* MERGEFORMAT </w:instrText>
      </w:r>
      <w:r>
        <w:rPr>
          <w:rFonts w:ascii="Times New Roman" w:hAnsi="Times New Roman" w:cs="Times New Roman"/>
          <w:color w:val="000000" w:themeColor="text1"/>
          <w:kern w:val="0"/>
          <w:sz w:val="24"/>
          <w:szCs w:val="24"/>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遇雷雨、极端气候、汛涝等恶劣气候；</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4 \* GB3 \* MERGEFORMAT </w:instrText>
      </w:r>
      <w:r>
        <w:rPr>
          <w:rFonts w:ascii="Times New Roman" w:hAnsi="Times New Roman" w:cs="Times New Roman"/>
          <w:color w:val="000000" w:themeColor="text1"/>
          <w:kern w:val="0"/>
          <w:sz w:val="24"/>
          <w:szCs w:val="24"/>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其他异常现象等，由加油站及时应急处置，同时报告公司应急办，做好应急协调工作。</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fldChar w:fldCharType="begin"/>
      </w:r>
      <w:r>
        <w:rPr>
          <w:rFonts w:ascii="Times New Roman" w:hAnsi="Times New Roman" w:cs="Times New Roman"/>
          <w:b/>
          <w:color w:val="000000" w:themeColor="text1"/>
          <w:kern w:val="0"/>
          <w:sz w:val="24"/>
          <w:szCs w:val="24"/>
          <w:lang w:val="zh-CN"/>
        </w:rPr>
        <w:instrText xml:space="preserve"> = 2 \* GB2 \* MERGEFORMAT </w:instrText>
      </w:r>
      <w:r>
        <w:rPr>
          <w:rFonts w:ascii="Times New Roman" w:hAnsi="Times New Roman" w:cs="Times New Roman"/>
          <w:b/>
          <w:color w:val="000000" w:themeColor="text1"/>
          <w:kern w:val="0"/>
          <w:sz w:val="24"/>
          <w:szCs w:val="24"/>
          <w:lang w:val="zh-CN"/>
        </w:rPr>
        <w:fldChar w:fldCharType="separate"/>
      </w:r>
      <w:r>
        <w:rPr>
          <w:rFonts w:ascii="Times New Roman" w:hAnsi="Times New Roman" w:eastAsia="宋体" w:cs="Times New Roman"/>
          <w:b/>
          <w:color w:val="000000" w:themeColor="text1"/>
          <w:kern w:val="0"/>
          <w:sz w:val="24"/>
          <w:szCs w:val="24"/>
          <w:lang w:val="zh-CN"/>
        </w:rPr>
        <w:t>⑵</w:t>
      </w:r>
      <w:r>
        <w:rPr>
          <w:rFonts w:ascii="Times New Roman" w:hAnsi="Times New Roman" w:cs="Times New Roman"/>
          <w:b/>
          <w:color w:val="000000" w:themeColor="text1"/>
          <w:kern w:val="0"/>
          <w:sz w:val="24"/>
          <w:szCs w:val="24"/>
          <w:lang w:val="zh-CN"/>
        </w:rPr>
        <w:fldChar w:fldCharType="end"/>
      </w:r>
      <w:r>
        <w:rPr>
          <w:rFonts w:ascii="Times New Roman" w:hAnsi="Times New Roman" w:cs="Times New Roman"/>
          <w:b/>
          <w:color w:val="000000" w:themeColor="text1"/>
          <w:kern w:val="0"/>
          <w:sz w:val="24"/>
          <w:szCs w:val="24"/>
          <w:lang w:val="zh-CN"/>
        </w:rPr>
        <w:t>不可控级预警：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若危险源已流出或扩散到周边社区、企业，加油站没有能力控制时，立即报告当地相关政府部门，请求支援。</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440" w:name="_Toc3671_WPSOffice_Level1"/>
      <w:bookmarkStart w:id="441" w:name="_Toc16749_WPSOffice_Level1"/>
      <w:bookmarkStart w:id="442" w:name="_Toc22687_WPSOffice_Level1"/>
      <w:bookmarkStart w:id="443" w:name="_Toc532817046"/>
      <w:bookmarkStart w:id="444" w:name="_Toc7664_WPSOffice_Level1"/>
      <w:bookmarkStart w:id="445" w:name="_Toc14999"/>
      <w:bookmarkStart w:id="446" w:name="_Toc2112_WPSOffice_Level1"/>
      <w:bookmarkStart w:id="447" w:name="_Toc15813"/>
      <w:r>
        <w:rPr>
          <w:rFonts w:ascii="Times New Roman" w:hAnsi="Times New Roman" w:cs="Times New Roman"/>
          <w:b/>
          <w:bCs/>
          <w:color w:val="000000" w:themeColor="text1"/>
          <w:kern w:val="44"/>
          <w:sz w:val="30"/>
          <w:szCs w:val="30"/>
        </w:rPr>
        <w:t>5.预防和预警</w:t>
      </w:r>
      <w:bookmarkEnd w:id="440"/>
      <w:bookmarkEnd w:id="441"/>
      <w:bookmarkEnd w:id="442"/>
      <w:bookmarkEnd w:id="443"/>
      <w:bookmarkEnd w:id="444"/>
      <w:bookmarkEnd w:id="445"/>
      <w:bookmarkEnd w:id="446"/>
      <w:bookmarkEnd w:id="447"/>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448" w:name="_Toc21100"/>
      <w:bookmarkStart w:id="449" w:name="_Toc668_WPSOffice_Level2"/>
      <w:bookmarkStart w:id="450" w:name="_Toc27962_WPSOffice_Level2"/>
      <w:bookmarkStart w:id="451" w:name="_Toc20158_WPSOffice_Level2"/>
      <w:bookmarkStart w:id="452" w:name="_Toc20133"/>
      <w:bookmarkStart w:id="453" w:name="_Toc532817047"/>
      <w:bookmarkStart w:id="454" w:name="_Toc24052_WPSOffice_Level2"/>
      <w:bookmarkStart w:id="455" w:name="_Toc10518_WPSOffice_Level2"/>
      <w:bookmarkStart w:id="456" w:name="_Toc7273"/>
      <w:r>
        <w:rPr>
          <w:rFonts w:ascii="Times New Roman" w:hAnsi="Times New Roman" w:cs="Times New Roman"/>
          <w:b/>
          <w:bCs/>
          <w:color w:val="000000" w:themeColor="text1"/>
          <w:kern w:val="44"/>
          <w:sz w:val="24"/>
          <w:szCs w:val="24"/>
        </w:rPr>
        <w:t>5.1</w:t>
      </w:r>
      <w:bookmarkEnd w:id="448"/>
      <w:r>
        <w:rPr>
          <w:rFonts w:ascii="Times New Roman" w:hAnsi="Times New Roman" w:cs="Times New Roman"/>
          <w:b/>
          <w:bCs/>
          <w:color w:val="000000" w:themeColor="text1"/>
          <w:kern w:val="44"/>
          <w:sz w:val="24"/>
          <w:szCs w:val="24"/>
        </w:rPr>
        <w:t>预防</w:t>
      </w:r>
      <w:bookmarkEnd w:id="449"/>
      <w:bookmarkEnd w:id="450"/>
      <w:bookmarkEnd w:id="451"/>
      <w:bookmarkEnd w:id="452"/>
      <w:bookmarkEnd w:id="453"/>
      <w:bookmarkEnd w:id="454"/>
      <w:bookmarkEnd w:id="455"/>
      <w:bookmarkEnd w:id="456"/>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环境风险源分为安全生产事故可能引发突发环境事件的环境安全危险源、排污造成环境污染事故的环境污染源和自然灾害引发的突发环境事件风险源。</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针对公司存在的危险源，公司采取了相应的安全防范措施，具体详见“3.4 风险事故管理”。对重要设备的运行状况、重点区域安排专人进行巡检，在事故未发生前预先发现隐患或事故发生时及时发现异常情况；另外，通过相关报警系统的设立，能够及时发现事故隐患进行报警，以便第一时间采取相应的紧急措施，避免事故的发生或事态的扩大，避免环境安全事故的发生。</w:t>
      </w:r>
    </w:p>
    <w:p>
      <w:pPr>
        <w:spacing w:line="500" w:lineRule="exact"/>
        <w:ind w:firstLine="482" w:firstLineChars="200"/>
        <w:jc w:val="left"/>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工程技术及管理预防措施：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）按规定在站房、加油区、储罐区等设置灭火器、灭火毯、消防沙等消防器材。</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）采用防渗承重罐池，筏板基础，剪力墙罐池，过车顶板，罐池内采用玻璃钢防腐防渗。储油罐按有关规范做好防腐，防腐等级不低于加强级。</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）在油罐四周及上部回填中性沙，厚度不小于0.3m，罐顶低于加油区混凝土路面不小于0.9m。罐池上部采取防水措施。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）地下储油罐设置液位报警装置，防止罐内油品溢出；设观察孔，为及时发现地下油罐渗漏提供条件，防止成品油泄漏造成大面积的地下水污染。</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）油罐区观测井、加油机低槽等部位采取防渗措施。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6</w:t>
      </w:r>
      <w:r>
        <w:rPr>
          <w:rFonts w:ascii="Times New Roman" w:hAnsi="Times New Roman" w:cs="Times New Roman"/>
          <w:color w:val="000000" w:themeColor="text1"/>
          <w:kern w:val="0"/>
          <w:sz w:val="24"/>
          <w:szCs w:val="24"/>
          <w:lang w:val="zh-CN"/>
        </w:rPr>
        <w:t>）输油管线外表面做好防腐处理，防腐等级不低于加强级的防腐绝缘保护层。埋地部分的管线采用焊接，穿越车道的埋地管线应设钢管保护；管沟敷设管线的，沟内填满细沙。当油品管线与管沟、电缆沟和排水沟交叉时，采取相应的防渗漏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7</w:t>
      </w:r>
      <w:r>
        <w:rPr>
          <w:rFonts w:ascii="Times New Roman" w:hAnsi="Times New Roman" w:cs="Times New Roman"/>
          <w:color w:val="000000" w:themeColor="text1"/>
          <w:kern w:val="0"/>
          <w:sz w:val="24"/>
          <w:szCs w:val="24"/>
          <w:lang w:val="zh-CN"/>
        </w:rPr>
        <w:t>）加油站加油机、罩棚、站房、油罐等均采取有效防雷和接地措施，卸油口、加油区设置静电释放装置，避免静电积聚。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8</w:t>
      </w:r>
      <w:r>
        <w:rPr>
          <w:rFonts w:ascii="Times New Roman" w:hAnsi="Times New Roman" w:cs="Times New Roman"/>
          <w:color w:val="000000" w:themeColor="text1"/>
          <w:kern w:val="0"/>
          <w:sz w:val="24"/>
          <w:szCs w:val="24"/>
          <w:lang w:val="zh-CN"/>
        </w:rPr>
        <w:t>）绿化、房屋建构筑物占地以外的地面全部进行水泥地面硬化，防止滴漏于地面的油品污染地下水。</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9</w:t>
      </w:r>
      <w:r>
        <w:rPr>
          <w:rFonts w:ascii="Times New Roman" w:hAnsi="Times New Roman" w:cs="Times New Roman"/>
          <w:color w:val="000000" w:themeColor="text1"/>
          <w:kern w:val="0"/>
          <w:sz w:val="24"/>
          <w:szCs w:val="24"/>
          <w:lang w:val="zh-CN"/>
        </w:rPr>
        <w:t>）加油站设置醒目的防火、禁止吸烟及明火标志。</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10</w:t>
      </w:r>
      <w:r>
        <w:rPr>
          <w:rFonts w:ascii="Times New Roman" w:hAnsi="Times New Roman" w:cs="Times New Roman"/>
          <w:color w:val="000000" w:themeColor="text1"/>
          <w:kern w:val="0"/>
          <w:sz w:val="24"/>
          <w:szCs w:val="24"/>
          <w:lang w:val="zh-CN"/>
        </w:rPr>
        <w:t>）对加油站危险区域定时巡检，发现风险及时处理。</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457" w:name="_Toc5522"/>
      <w:bookmarkStart w:id="458" w:name="_Toc8330_WPSOffice_Level2"/>
      <w:bookmarkStart w:id="459" w:name="_Toc532817048"/>
      <w:bookmarkStart w:id="460" w:name="_Toc30474"/>
      <w:bookmarkStart w:id="461" w:name="_Toc22532_WPSOffice_Level2"/>
      <w:bookmarkStart w:id="462" w:name="_Toc5613_WPSOffice_Level2"/>
      <w:bookmarkStart w:id="463" w:name="_Toc11315"/>
      <w:bookmarkStart w:id="464" w:name="_Toc16284_WPSOffice_Level2"/>
      <w:bookmarkStart w:id="465" w:name="_Toc2870_WPSOffice_Level2"/>
      <w:bookmarkStart w:id="466" w:name="_Toc7624"/>
      <w:r>
        <w:rPr>
          <w:rFonts w:ascii="Times New Roman" w:hAnsi="Times New Roman" w:cs="Times New Roman"/>
          <w:b/>
          <w:bCs/>
          <w:color w:val="000000" w:themeColor="text1"/>
          <w:kern w:val="44"/>
          <w:sz w:val="24"/>
          <w:szCs w:val="24"/>
        </w:rPr>
        <w:t>5.2环境风险源监控</w:t>
      </w:r>
      <w:bookmarkEnd w:id="457"/>
      <w:bookmarkEnd w:id="458"/>
      <w:bookmarkEnd w:id="459"/>
      <w:bookmarkEnd w:id="460"/>
      <w:bookmarkEnd w:id="461"/>
      <w:bookmarkEnd w:id="462"/>
      <w:bookmarkEnd w:id="463"/>
      <w:bookmarkEnd w:id="464"/>
      <w:bookmarkEnd w:id="465"/>
      <w:bookmarkEnd w:id="466"/>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按照早发现、早报告、早处置的原则，根据南昌中油瑶湖石油销售有限公司瑶湖加油站储油区、加油区、生产废水、危险废物、污水收集预处理池布置情况，将环保危险源进行分区监管。</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467" w:name="_Toc32164"/>
      <w:bookmarkStart w:id="468" w:name="_Toc20556_WPSOffice_Level3"/>
      <w:bookmarkStart w:id="469" w:name="_Toc21777"/>
      <w:bookmarkStart w:id="470" w:name="_Toc302723354"/>
      <w:bookmarkStart w:id="471" w:name="_Toc532817049"/>
      <w:bookmarkStart w:id="472" w:name="_Toc668_WPSOffice_Level3"/>
      <w:bookmarkStart w:id="473" w:name="_Toc27503_WPSOffice_Level3"/>
      <w:bookmarkStart w:id="474" w:name="_Toc4553_WPSOffice_Level3"/>
      <w:bookmarkStart w:id="475" w:name="_Toc26522_WPSOffice_Level3"/>
      <w:bookmarkStart w:id="476" w:name="_Toc11274"/>
      <w:bookmarkStart w:id="477" w:name="_Toc22397"/>
      <w:r>
        <w:rPr>
          <w:rFonts w:ascii="Times New Roman" w:hAnsi="Times New Roman" w:cs="Times New Roman"/>
          <w:b/>
          <w:bCs/>
          <w:color w:val="000000" w:themeColor="text1"/>
          <w:kern w:val="44"/>
          <w:sz w:val="24"/>
          <w:szCs w:val="24"/>
        </w:rPr>
        <w:t>5.2.1主要危险源及监控</w:t>
      </w:r>
      <w:bookmarkEnd w:id="467"/>
      <w:bookmarkEnd w:id="468"/>
      <w:bookmarkEnd w:id="469"/>
      <w:bookmarkEnd w:id="470"/>
      <w:bookmarkEnd w:id="471"/>
      <w:bookmarkEnd w:id="472"/>
      <w:bookmarkEnd w:id="473"/>
      <w:bookmarkEnd w:id="474"/>
      <w:bookmarkEnd w:id="475"/>
      <w:bookmarkEnd w:id="476"/>
      <w:bookmarkEnd w:id="477"/>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对加油站汽油储存及输送管网、防渗罐池、加油机，含油污水和生活污水，油泥、油渣、沾油消防沙等危险废物等风险源进行监控。应急救援办公室、安全员负责突发环境事件信息接收、报告、处理、统计分析，以及预警信息监控，并根据应急能力情况及可能发生的突发环境事件级别，有针对性的开展应急监控和监测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478" w:name="_Toc14498"/>
      <w:r>
        <w:rPr>
          <w:rFonts w:ascii="Times New Roman" w:hAnsi="Times New Roman" w:cs="Times New Roman"/>
          <w:color w:val="000000" w:themeColor="text1"/>
          <w:kern w:val="0"/>
          <w:sz w:val="24"/>
          <w:szCs w:val="24"/>
          <w:lang w:val="zh-CN"/>
        </w:rPr>
        <w:t>（1）各部门在日常检查中发现，或经群众举报、新闻媒体报道等其它途径得到的重大环境事件隐患，必须立即报应急救援办公室以及时上报指挥领导小组。</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（2）对重大环境事件隐患，无论属于哪个部门主管，发现后应立即向应急救援办公室报告以及时上报指挥领导小组。</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（3）各部门应在上报信息的同时，指派有关人员对突发环境事件隐患的源头进行污染控制，以防止环境污染进一步扩大。</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479" w:name="_Toc20920"/>
      <w:bookmarkStart w:id="480" w:name="_Toc13699_WPSOffice_Level3"/>
      <w:bookmarkStart w:id="481" w:name="_Toc20158_WPSOffice_Level3"/>
      <w:bookmarkStart w:id="482" w:name="_Toc532817050"/>
      <w:bookmarkStart w:id="483" w:name="_Toc13664_WPSOffice_Level3"/>
      <w:bookmarkStart w:id="484" w:name="_Toc11416_WPSOffice_Level3"/>
      <w:bookmarkStart w:id="485" w:name="_Toc22725_WPSOffice_Level3"/>
      <w:bookmarkStart w:id="486" w:name="_Toc8742"/>
      <w:bookmarkStart w:id="487" w:name="_Toc28627"/>
      <w:r>
        <w:rPr>
          <w:rFonts w:ascii="Times New Roman" w:hAnsi="Times New Roman" w:cs="Times New Roman"/>
          <w:b/>
          <w:bCs/>
          <w:color w:val="000000" w:themeColor="text1"/>
          <w:kern w:val="44"/>
          <w:sz w:val="24"/>
          <w:szCs w:val="24"/>
        </w:rPr>
        <w:t>5.2.2危险目标周围可利用的安全、消防、个体防护的设备、器材</w:t>
      </w:r>
      <w:bookmarkEnd w:id="478"/>
      <w:bookmarkEnd w:id="479"/>
      <w:bookmarkEnd w:id="480"/>
      <w:bookmarkEnd w:id="481"/>
      <w:bookmarkEnd w:id="482"/>
      <w:bookmarkEnd w:id="483"/>
      <w:bookmarkEnd w:id="484"/>
      <w:bookmarkEnd w:id="485"/>
      <w:bookmarkEnd w:id="486"/>
      <w:bookmarkEnd w:id="487"/>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（1）加油站设置消防器材情况：设置的消防设施</w:t>
      </w:r>
      <w:r>
        <w:rPr>
          <w:rFonts w:ascii="Times New Roman" w:hAnsi="Times New Roman" w:cs="Times New Roman"/>
          <w:color w:val="000000" w:themeColor="text1"/>
          <w:sz w:val="24"/>
          <w:szCs w:val="24"/>
          <w:lang w:val="zh-CN"/>
        </w:rPr>
        <w:t>有手提式干粉灭火器</w:t>
      </w:r>
      <w:r>
        <w:rPr>
          <w:rFonts w:ascii="Times New Roman" w:hAnsi="Times New Roman" w:cs="Times New Roman"/>
          <w:color w:val="000000" w:themeColor="text1"/>
          <w:sz w:val="24"/>
          <w:szCs w:val="24"/>
        </w:rPr>
        <w:t>4具</w:t>
      </w:r>
      <w:r>
        <w:rPr>
          <w:rFonts w:ascii="Times New Roman" w:hAnsi="Times New Roman" w:cs="Times New Roman"/>
          <w:color w:val="000000" w:themeColor="text1"/>
          <w:sz w:val="24"/>
          <w:szCs w:val="24"/>
          <w:lang w:val="zh-CN"/>
        </w:rPr>
        <w:t>、推车式灭火器</w:t>
      </w:r>
      <w:r>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lang w:val="zh-CN"/>
        </w:rPr>
        <w:t>具，消防沙箱</w:t>
      </w:r>
      <w:r>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lang w:val="zh-CN"/>
        </w:rPr>
        <w:t>座、灭火毯</w:t>
      </w:r>
      <w:r>
        <w:rPr>
          <w:rFonts w:ascii="Times New Roman" w:hAnsi="Times New Roman" w:cs="Times New Roman"/>
          <w:color w:val="000000" w:themeColor="text1"/>
          <w:sz w:val="24"/>
          <w:szCs w:val="24"/>
        </w:rPr>
        <w:t>8块</w:t>
      </w:r>
      <w:r>
        <w:rPr>
          <w:rFonts w:ascii="Times New Roman" w:hAnsi="Times New Roman" w:cs="Times New Roman"/>
          <w:color w:val="000000" w:themeColor="text1"/>
          <w:sz w:val="24"/>
          <w:szCs w:val="24"/>
          <w:lang w:val="zh-CN"/>
        </w:rPr>
        <w:t>；</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加油人员劳动保护用品每月按规定进行发放。</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488" w:name="_Toc532817051"/>
      <w:bookmarkStart w:id="489" w:name="_Toc19979_WPSOffice_Level2"/>
      <w:bookmarkStart w:id="490" w:name="_Toc11416_WPSOffice_Level2"/>
      <w:bookmarkStart w:id="491" w:name="_Toc31572_WPSOffice_Level2"/>
      <w:bookmarkStart w:id="492" w:name="_Toc21297_WPSOffice_Level2"/>
      <w:bookmarkStart w:id="493" w:name="_Toc9372"/>
      <w:bookmarkStart w:id="494" w:name="_Toc23390"/>
      <w:bookmarkStart w:id="495" w:name="_Toc21341_WPSOffice_Level2"/>
      <w:bookmarkStart w:id="496" w:name="_Toc6558"/>
      <w:r>
        <w:rPr>
          <w:rFonts w:ascii="Times New Roman" w:hAnsi="Times New Roman" w:cs="Times New Roman"/>
          <w:b/>
          <w:bCs/>
          <w:color w:val="000000" w:themeColor="text1"/>
          <w:kern w:val="44"/>
          <w:sz w:val="24"/>
          <w:szCs w:val="24"/>
        </w:rPr>
        <w:t>5.3应急能力评估</w:t>
      </w:r>
      <w:bookmarkEnd w:id="488"/>
      <w:bookmarkEnd w:id="489"/>
      <w:bookmarkEnd w:id="490"/>
      <w:bookmarkEnd w:id="491"/>
      <w:bookmarkEnd w:id="492"/>
      <w:bookmarkEnd w:id="493"/>
      <w:bookmarkEnd w:id="494"/>
      <w:bookmarkEnd w:id="495"/>
      <w:bookmarkEnd w:id="496"/>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加油站主要危险装置和危险物质：油罐区、加油区，危险废物收集间，污水收集池；危险物质主要是加油站含油污水、油泥、油渣和生活污水、汽油。</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497" w:name="_Toc14989_WPSOffice_Level3"/>
      <w:bookmarkStart w:id="498" w:name="_Toc1786_WPSOffice_Level3"/>
      <w:bookmarkStart w:id="499" w:name="_Toc2823_WPSOffice_Level3"/>
      <w:bookmarkStart w:id="500" w:name="_Toc2870_WPSOffice_Level3"/>
      <w:bookmarkStart w:id="501" w:name="_Toc532817052"/>
      <w:bookmarkStart w:id="502" w:name="_Toc17015"/>
      <w:bookmarkStart w:id="503" w:name="_Toc27782"/>
      <w:bookmarkStart w:id="504" w:name="_Toc1381_WPSOffice_Level3"/>
      <w:bookmarkStart w:id="505" w:name="_Toc14923"/>
      <w:r>
        <w:rPr>
          <w:rFonts w:ascii="Times New Roman" w:hAnsi="Times New Roman" w:cs="Times New Roman"/>
          <w:b/>
          <w:bCs/>
          <w:color w:val="000000" w:themeColor="text1"/>
          <w:kern w:val="44"/>
          <w:sz w:val="24"/>
          <w:szCs w:val="24"/>
        </w:rPr>
        <w:t>5.3.1应急队伍、装备、物资</w:t>
      </w:r>
      <w:bookmarkEnd w:id="497"/>
      <w:bookmarkEnd w:id="498"/>
      <w:bookmarkEnd w:id="499"/>
      <w:bookmarkEnd w:id="500"/>
      <w:bookmarkEnd w:id="501"/>
      <w:bookmarkEnd w:id="502"/>
      <w:bookmarkEnd w:id="503"/>
      <w:bookmarkEnd w:id="504"/>
      <w:bookmarkEnd w:id="505"/>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南昌中油瑶湖石油销售有限公司瑶湖加油站成立了突发环境事件应急领导小组，小组办公室设在加油站办公室。由站长任组长，安全环保员为副组长，组员由加油站各部门负责人组成。</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突发环境事件应急领导小组根据加油站环境污染源实际情况，分别设立应急办公室、后勤物资保障组。</w:t>
      </w:r>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应急物资与装备配备情况：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（1）加油站设置消防器材情况：手提式灭火器17具，消防沙2.5m³、灭火毯5块、消防锹2把；</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（2）加油人员劳动保护用品每月按规定进行发放。</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通讯保障：加油站设有固定电话、移动电话。</w:t>
      </w:r>
    </w:p>
    <w:p>
      <w:pPr>
        <w:keepNext/>
        <w:keepLines/>
        <w:spacing w:before="240" w:beforeLines="100" w:after="240" w:afterLines="100" w:line="500" w:lineRule="exact"/>
        <w:ind w:firstLine="482"/>
        <w:jc w:val="left"/>
        <w:outlineLvl w:val="2"/>
        <w:rPr>
          <w:rFonts w:ascii="Times New Roman" w:hAnsi="Times New Roman" w:cs="Times New Roman"/>
          <w:b/>
          <w:bCs/>
          <w:color w:val="000000" w:themeColor="text1"/>
          <w:kern w:val="44"/>
          <w:sz w:val="24"/>
          <w:szCs w:val="24"/>
        </w:rPr>
      </w:pPr>
      <w:bookmarkStart w:id="506" w:name="_Toc17746_WPSOffice_Level3"/>
      <w:bookmarkStart w:id="507" w:name="_Toc31572_WPSOffice_Level3"/>
      <w:bookmarkStart w:id="508" w:name="_Toc9787_WPSOffice_Level3"/>
      <w:bookmarkStart w:id="509" w:name="_Toc22942"/>
      <w:bookmarkStart w:id="510" w:name="_Toc532817053"/>
      <w:bookmarkStart w:id="511" w:name="_Toc16787_WPSOffice_Level3"/>
      <w:bookmarkStart w:id="512" w:name="_Toc20896_WPSOffice_Level3"/>
      <w:bookmarkStart w:id="513" w:name="_Toc5166"/>
      <w:bookmarkStart w:id="514" w:name="_Toc23238"/>
      <w:r>
        <w:rPr>
          <w:rFonts w:ascii="Times New Roman" w:hAnsi="Times New Roman" w:cs="Times New Roman"/>
          <w:b/>
          <w:bCs/>
          <w:color w:val="000000" w:themeColor="text1"/>
          <w:kern w:val="44"/>
          <w:sz w:val="24"/>
          <w:szCs w:val="24"/>
        </w:rPr>
        <w:t>5.3.2评估结论</w:t>
      </w:r>
      <w:bookmarkEnd w:id="506"/>
      <w:bookmarkEnd w:id="507"/>
      <w:bookmarkEnd w:id="508"/>
      <w:bookmarkEnd w:id="509"/>
      <w:bookmarkEnd w:id="510"/>
      <w:bookmarkEnd w:id="511"/>
      <w:bookmarkEnd w:id="512"/>
      <w:bookmarkEnd w:id="513"/>
      <w:bookmarkEnd w:id="514"/>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在全面调查和客观分析加油站主要事故风险、应急队伍、装备、物资等应急资源状况的基础上，针对可能发生的事故类型，详细检查了应急能力，加油站管理人员和员工已从事加油业务经营多年，对加油站经营过程中危险因素及事故处理经验丰富，现应急能力可满足应急救援工作的需要。在今后的应急管理工作中应做好以下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加强组织建设。一是成立加油站应急管理办公室。明确具体负责人负责此项工作，并抽调专（兼）职工作人员，协调办理应急管理日常事务。加油员及相关部门明确承担应急管理工作的具体办事机构。同时，成立相应的应急队伍。二是建立健全了管理制度。加油站建立领导带班和值班制度，严格实行24小时值班。员工加强学习，熟悉预案内容和管理规程，进一步明确工作职责。</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做好突发环境事件预防和处置。一是强化信息报送工作。各班员工按照要求，及时上报信息。二是建立风险隐患排查责任制。定期组织力量开展风险隐患排查工作，全面掌握加油站区域各类风险隐患情况，建立分级、分类管理制度，层层落实责任制。</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加强应急演练和队伍建设。建立以安全环保员、应急救援办公室、物资保障后勤组为应急救援的骨干力量，加强培训和演练，增强应急意识，提高避险和应急自救能力。围绕重点区域和薄弱环节，推进应急管理建设，开展应急管理宣传教育、人员培训、预案演练，提高加油站领导干部指挥水平和管理人员应急救援的专业技能。加强应急体系建设工作的督促检查，确保各项工作规范运作，落实到位。重点加强对加油人员的宣传、教育与培训工作，通过宣传、教育与培训，让加油站全体加油人员了解预案内容，懂得应急程序，掌握相关知识，提高应急能力。</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（4）加强预案体系建设。继续高度重视应急预案的编制工作，注重提高预案质量，通过演练不断补充完善各类应急预案，增强预案的科学性、可操作性和实用性。</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加大资金投入，促进应急体系建设。从加强监测预警、应急指挥、应急队伍和后勤保障系统建设入手，加大资金投入，提高应急管理水平。一是从加强应急管理体制、人员、通讯、物资、装备、救援队伍等方面入手，建立健全应急资源信息库，强化基础，为应急管理工作提供组织、物资、装备保障；二是建立和完善具有快速反应能力的专业化救援队伍，提高救援装备水平，增强应急反应和抢险救援能力。</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（6）设置事故应急池，确保事故废水（含油废水、消防废水）安全收集。</w:t>
      </w:r>
    </w:p>
    <w:p>
      <w:pPr>
        <w:keepNext/>
        <w:keepLines/>
        <w:spacing w:before="240" w:beforeLines="100" w:after="240" w:afterLines="100" w:line="500" w:lineRule="exact"/>
        <w:ind w:firstLine="482"/>
        <w:jc w:val="left"/>
        <w:outlineLvl w:val="1"/>
        <w:rPr>
          <w:rFonts w:ascii="Times New Roman" w:hAnsi="Times New Roman" w:cs="Times New Roman"/>
          <w:b/>
          <w:bCs/>
          <w:color w:val="000000" w:themeColor="text1"/>
          <w:kern w:val="44"/>
          <w:sz w:val="24"/>
          <w:szCs w:val="24"/>
        </w:rPr>
      </w:pPr>
      <w:bookmarkStart w:id="515" w:name="_Toc532817054"/>
      <w:bookmarkStart w:id="516" w:name="_Toc14017_WPSOffice_Level2"/>
      <w:bookmarkStart w:id="517" w:name="_Toc22164_WPSOffice_Level2"/>
      <w:bookmarkStart w:id="518" w:name="_Toc25316_WPSOffice_Level2"/>
      <w:bookmarkStart w:id="519" w:name="_Toc24754"/>
      <w:bookmarkStart w:id="520" w:name="_Toc5021_WPSOffice_Level2"/>
      <w:bookmarkStart w:id="521" w:name="_Toc30116_WPSOffice_Level2"/>
      <w:bookmarkStart w:id="522" w:name="_Toc7104"/>
      <w:r>
        <w:rPr>
          <w:rFonts w:ascii="Times New Roman" w:hAnsi="Times New Roman" w:cs="Times New Roman"/>
          <w:b/>
          <w:bCs/>
          <w:color w:val="000000" w:themeColor="text1"/>
          <w:kern w:val="44"/>
          <w:sz w:val="24"/>
          <w:szCs w:val="24"/>
        </w:rPr>
        <w:t>5.4预警行动</w:t>
      </w:r>
      <w:bookmarkEnd w:id="515"/>
      <w:bookmarkEnd w:id="516"/>
      <w:bookmarkEnd w:id="517"/>
      <w:bookmarkEnd w:id="518"/>
      <w:bookmarkEnd w:id="519"/>
      <w:bookmarkEnd w:id="520"/>
      <w:bookmarkEnd w:id="521"/>
      <w:bookmarkEnd w:id="522"/>
    </w:p>
    <w:p>
      <w:pPr>
        <w:spacing w:line="500" w:lineRule="exact"/>
        <w:ind w:firstLine="480" w:firstLineChars="200"/>
        <w:jc w:val="left"/>
        <w:rPr>
          <w:rFonts w:ascii="Times New Roman" w:hAnsi="Times New Roman" w:cs="Times New Roman"/>
          <w:color w:val="000000" w:themeColor="text1"/>
          <w:kern w:val="0"/>
          <w:sz w:val="24"/>
          <w:szCs w:val="24"/>
        </w:rPr>
      </w:pPr>
      <w:bookmarkStart w:id="523" w:name="_Toc16676_WPSOffice_Level3"/>
      <w:bookmarkStart w:id="524" w:name="_Toc28860_WPSOffice_Level3"/>
      <w:bookmarkStart w:id="525" w:name="_Toc5021_WPSOffice_Level3"/>
      <w:bookmarkStart w:id="526" w:name="_Toc25798_WPSOffice_Level3"/>
      <w:bookmarkStart w:id="527" w:name="_Toc22164_WPSOffice_Level3"/>
      <w:bookmarkStart w:id="528" w:name="_Toc375668951"/>
      <w:r>
        <w:rPr>
          <w:rFonts w:ascii="Times New Roman" w:hAnsi="Times New Roman" w:cs="Times New Roman"/>
          <w:color w:val="000000" w:themeColor="text1"/>
          <w:kern w:val="0"/>
          <w:sz w:val="24"/>
          <w:szCs w:val="24"/>
        </w:rPr>
        <w:t>1、预警级别</w:t>
      </w:r>
      <w:bookmarkEnd w:id="523"/>
      <w:bookmarkEnd w:id="524"/>
      <w:bookmarkEnd w:id="525"/>
      <w:bookmarkEnd w:id="526"/>
      <w:bookmarkEnd w:id="527"/>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按照突发环境事件严重性、紧急程度和可能波及的范围，对突发环境污染事故的预警分为：不可控级预警（</w:t>
      </w:r>
      <w:r>
        <w:rPr>
          <w:rFonts w:ascii="Times New Roman" w:hAnsi="Times New Roman" w:eastAsia="宋体" w:cs="Times New Roman"/>
          <w:color w:val="000000" w:themeColor="text1"/>
          <w:kern w:val="0"/>
          <w:sz w:val="24"/>
          <w:szCs w:val="24"/>
        </w:rPr>
        <w:t>Ⅰ</w:t>
      </w:r>
      <w:r>
        <w:rPr>
          <w:rFonts w:ascii="Times New Roman" w:hAnsi="Times New Roman" w:cs="Times New Roman"/>
          <w:color w:val="000000" w:themeColor="text1"/>
          <w:kern w:val="0"/>
          <w:sz w:val="24"/>
          <w:szCs w:val="24"/>
        </w:rPr>
        <w:t>级-社会级）、可控级预警（</w:t>
      </w:r>
      <w:r>
        <w:rPr>
          <w:rFonts w:ascii="Times New Roman" w:hAnsi="Times New Roman" w:eastAsia="宋体" w:cs="Times New Roman"/>
          <w:color w:val="000000" w:themeColor="text1"/>
          <w:kern w:val="0"/>
          <w:sz w:val="24"/>
          <w:szCs w:val="24"/>
        </w:rPr>
        <w:t>Ⅱ</w:t>
      </w:r>
      <w:r>
        <w:rPr>
          <w:rFonts w:ascii="Times New Roman" w:hAnsi="Times New Roman" w:cs="Times New Roman"/>
          <w:color w:val="000000" w:themeColor="text1"/>
          <w:kern w:val="0"/>
          <w:sz w:val="24"/>
          <w:szCs w:val="24"/>
        </w:rPr>
        <w:t>级-加油站内部级）。根据事态的发展情况和采取措施的效果，预警可以升级、降级或解除。进入预警状态后，应当采取的措施：</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立即启动相关应急预案；</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t>发布预警公告；</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t>转移、撤离或者疏散可能受到危害的人员，并进行妥善安置；</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t>指令各环境应急救援队伍进入应急状态，应急总指挥随时掌握并报告事态进展情况，如有需要外委南昌市环境监测站或其他单位进行应急监测；</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t>针对突发环境事故可能造成的危害，封闭、隔离或者限制使用有关场所，中止可能导致危害扩大的行为和活动；</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t>调集环境应急所需物资和装备，确保应急保障工作。</w:t>
      </w:r>
    </w:p>
    <w:p>
      <w:pPr>
        <w:spacing w:line="500" w:lineRule="exact"/>
        <w:ind w:firstLine="480" w:firstLineChars="200"/>
        <w:jc w:val="left"/>
        <w:rPr>
          <w:rFonts w:ascii="Times New Roman" w:hAnsi="Times New Roman" w:cs="Times New Roman"/>
          <w:color w:val="000000" w:themeColor="text1"/>
          <w:kern w:val="0"/>
          <w:sz w:val="24"/>
          <w:szCs w:val="24"/>
        </w:rPr>
      </w:pPr>
      <w:bookmarkStart w:id="529" w:name="_Toc22106_WPSOffice_Level3"/>
      <w:bookmarkStart w:id="530" w:name="_Toc24276_WPSOffice_Level3"/>
      <w:bookmarkStart w:id="531" w:name="_Toc17738_WPSOffice_Level3"/>
      <w:bookmarkStart w:id="532" w:name="_Toc19245_WPSOffice_Level3"/>
      <w:bookmarkStart w:id="533" w:name="_Toc11036_WPSOffice_Level3"/>
      <w:r>
        <w:rPr>
          <w:rFonts w:ascii="Times New Roman" w:hAnsi="Times New Roman" w:cs="Times New Roman"/>
          <w:color w:val="000000" w:themeColor="text1"/>
          <w:kern w:val="0"/>
          <w:sz w:val="24"/>
          <w:szCs w:val="24"/>
        </w:rPr>
        <w:t>2、预警行动</w:t>
      </w:r>
      <w:bookmarkEnd w:id="528"/>
      <w:bookmarkEnd w:id="529"/>
      <w:bookmarkEnd w:id="530"/>
      <w:bookmarkEnd w:id="531"/>
      <w:bookmarkEnd w:id="532"/>
      <w:bookmarkEnd w:id="533"/>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应急救援指挥部接到可能事故信息后，按照分级响应的原则及时研究确定应对方案，并通知加油站人员采取有效措施预防事故发生；当应急救援指挥部认为事故较大，有可能超出加油站处置能力时，及时向南昌市应急办等报告，及时研究应对方案，采取预警行动。</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为能及时联系和尽快掌握发生事故的状况，组长、副组长的电话必须24h开机，以保持信息畅通，及时掌握事故动态，以便尽快赶赴事故现场进行指挥和做出正确的决策。</w:t>
      </w:r>
    </w:p>
    <w:p>
      <w:pPr>
        <w:spacing w:line="500" w:lineRule="exact"/>
        <w:ind w:firstLine="480" w:firstLineChars="200"/>
        <w:jc w:val="left"/>
        <w:rPr>
          <w:rFonts w:ascii="Times New Roman" w:hAnsi="Times New Roman" w:cs="Times New Roman"/>
          <w:color w:val="000000" w:themeColor="text1"/>
          <w:kern w:val="0"/>
          <w:sz w:val="24"/>
          <w:szCs w:val="24"/>
        </w:rPr>
      </w:pPr>
      <w:bookmarkStart w:id="534" w:name="_Toc145_WPSOffice_Level3"/>
      <w:bookmarkStart w:id="535" w:name="_Toc25432_WPSOffice_Level3"/>
      <w:bookmarkStart w:id="536" w:name="_Toc24668_WPSOffice_Level3"/>
      <w:bookmarkStart w:id="537" w:name="_Toc13894_WPSOffice_Level3"/>
      <w:bookmarkStart w:id="538" w:name="_Toc8805_WPSOffice_Level3"/>
      <w:r>
        <w:rPr>
          <w:rFonts w:ascii="Times New Roman" w:hAnsi="Times New Roman" w:cs="Times New Roman"/>
          <w:color w:val="000000" w:themeColor="text1"/>
          <w:kern w:val="0"/>
          <w:sz w:val="24"/>
          <w:szCs w:val="24"/>
        </w:rPr>
        <w:t>3、预警信息</w:t>
      </w:r>
      <w:bookmarkEnd w:id="534"/>
      <w:bookmarkEnd w:id="535"/>
      <w:bookmarkEnd w:id="536"/>
      <w:bookmarkEnd w:id="537"/>
      <w:bookmarkEnd w:id="538"/>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警信息包括突发环境事件的类型、预警级别、起始时间、可能影响范围、警示事项、应采取的措施和发布机关等。主要发布途径有电视台、广播、各类公共显示屏、短信息、互联网、内外部有线电话和无线通信等。预警公告内容详见表5-1。</w:t>
      </w:r>
    </w:p>
    <w:p>
      <w:pPr>
        <w:spacing w:line="360" w:lineRule="auto"/>
        <w:ind w:firstLine="482"/>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表5-1  公司突发事件预警公告</w:t>
      </w:r>
    </w:p>
    <w:tbl>
      <w:tblPr>
        <w:tblStyle w:val="16"/>
        <w:tblW w:w="9376"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3124"/>
        <w:gridCol w:w="3126"/>
        <w:gridCol w:w="312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2"/>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序号</w:t>
            </w:r>
          </w:p>
        </w:tc>
        <w:tc>
          <w:tcPr>
            <w:tcW w:w="3126" w:type="dxa"/>
            <w:vAlign w:val="center"/>
          </w:tcPr>
          <w:p>
            <w:pPr>
              <w:ind w:firstLine="482"/>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项目</w:t>
            </w:r>
          </w:p>
        </w:tc>
        <w:tc>
          <w:tcPr>
            <w:tcW w:w="3126" w:type="dxa"/>
            <w:vAlign w:val="center"/>
          </w:tcPr>
          <w:p>
            <w:pPr>
              <w:ind w:firstLine="482"/>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公告内容</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突发环境事件的类型</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预警级别</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3</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预警区域或场所</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4</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预警起始时间</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可能影响范围</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6</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警示事项</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7</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应采取的措施</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8</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发布机关</w:t>
            </w:r>
          </w:p>
        </w:tc>
        <w:tc>
          <w:tcPr>
            <w:tcW w:w="3126" w:type="dxa"/>
            <w:vAlign w:val="center"/>
          </w:tcPr>
          <w:p>
            <w:pPr>
              <w:ind w:firstLine="480"/>
              <w:jc w:val="center"/>
              <w:rPr>
                <w:rFonts w:ascii="Times New Roman" w:hAnsi="Times New Roman" w:cs="Times New Roman"/>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jc w:val="center"/>
        </w:trPr>
        <w:tc>
          <w:tcPr>
            <w:tcW w:w="3124"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9</w:t>
            </w:r>
          </w:p>
        </w:tc>
        <w:tc>
          <w:tcPr>
            <w:tcW w:w="3126" w:type="dxa"/>
            <w:vAlign w:val="center"/>
          </w:tcPr>
          <w:p>
            <w:pPr>
              <w:ind w:firstLine="480"/>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备注</w:t>
            </w:r>
          </w:p>
        </w:tc>
        <w:tc>
          <w:tcPr>
            <w:tcW w:w="3126" w:type="dxa"/>
            <w:vAlign w:val="center"/>
          </w:tcPr>
          <w:p>
            <w:pPr>
              <w:ind w:firstLine="480"/>
              <w:jc w:val="center"/>
              <w:rPr>
                <w:rFonts w:ascii="Times New Roman" w:hAnsi="Times New Roman" w:cs="Times New Roman"/>
                <w:color w:val="000000" w:themeColor="text1"/>
                <w:szCs w:val="21"/>
              </w:rPr>
            </w:pPr>
          </w:p>
        </w:tc>
      </w:tr>
    </w:tbl>
    <w:p>
      <w:pPr>
        <w:spacing w:line="500" w:lineRule="exact"/>
        <w:ind w:firstLine="480" w:firstLineChars="200"/>
        <w:jc w:val="left"/>
        <w:rPr>
          <w:rFonts w:ascii="Times New Roman" w:hAnsi="Times New Roman" w:cs="Times New Roman"/>
          <w:color w:val="000000" w:themeColor="text1"/>
          <w:kern w:val="0"/>
          <w:sz w:val="24"/>
          <w:szCs w:val="24"/>
        </w:rPr>
      </w:pPr>
      <w:bookmarkStart w:id="539" w:name="_Toc3603_WPSOffice_Level3"/>
      <w:bookmarkStart w:id="540" w:name="_Toc13933_WPSOffice_Level3"/>
      <w:bookmarkStart w:id="541" w:name="_Toc18397_WPSOffice_Level3"/>
      <w:bookmarkStart w:id="542" w:name="_Toc4341_WPSOffice_Level3"/>
      <w:bookmarkStart w:id="543" w:name="_Toc25049_WPSOffice_Level3"/>
      <w:r>
        <w:rPr>
          <w:rFonts w:ascii="Times New Roman" w:hAnsi="Times New Roman" w:cs="Times New Roman"/>
          <w:color w:val="000000" w:themeColor="text1"/>
          <w:kern w:val="0"/>
          <w:sz w:val="24"/>
          <w:szCs w:val="24"/>
        </w:rPr>
        <w:t>4、预警的发布和解除</w:t>
      </w:r>
      <w:bookmarkEnd w:id="539"/>
      <w:bookmarkEnd w:id="540"/>
      <w:bookmarkEnd w:id="541"/>
      <w:bookmarkEnd w:id="542"/>
      <w:bookmarkEnd w:id="543"/>
    </w:p>
    <w:p>
      <w:pPr>
        <w:spacing w:line="500" w:lineRule="exact"/>
        <w:ind w:firstLine="480" w:firstLineChars="200"/>
        <w:jc w:val="left"/>
        <w:rPr>
          <w:rFonts w:ascii="Times New Roman" w:hAnsi="Times New Roman" w:cs="Times New Roman"/>
          <w:color w:val="000000" w:themeColor="text1"/>
          <w:kern w:val="0"/>
          <w:sz w:val="24"/>
          <w:szCs w:val="24"/>
        </w:rPr>
      </w:pPr>
      <w:bookmarkStart w:id="544" w:name="_Toc256847798"/>
      <w:bookmarkStart w:id="545" w:name="_Toc256847697"/>
      <w:r>
        <w:rPr>
          <w:rFonts w:ascii="Times New Roman" w:hAnsi="Times New Roman" w:cs="Times New Roman"/>
          <w:color w:val="000000" w:themeColor="text1"/>
          <w:kern w:val="0"/>
          <w:sz w:val="24"/>
          <w:szCs w:val="24"/>
        </w:rPr>
        <w:t>预警信息的发布一般通过紧急会议、电话、短信系统、网络等方式进行，预警信息包括突发事件的类别、预警级别、起始时间、可能影响范围、警示事项、应采取的措施和发布单位等。</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达到</w:t>
      </w:r>
      <w:r>
        <w:rPr>
          <w:rFonts w:ascii="Times New Roman" w:hAnsi="Times New Roman" w:eastAsia="宋体" w:cs="Times New Roman"/>
          <w:color w:val="000000" w:themeColor="text1"/>
          <w:kern w:val="0"/>
          <w:sz w:val="24"/>
          <w:szCs w:val="24"/>
        </w:rPr>
        <w:t>Ⅰ</w:t>
      </w:r>
      <w:r>
        <w:rPr>
          <w:rFonts w:ascii="Times New Roman" w:hAnsi="Times New Roman" w:cs="Times New Roman"/>
          <w:color w:val="000000" w:themeColor="text1"/>
          <w:kern w:val="0"/>
          <w:sz w:val="24"/>
          <w:szCs w:val="24"/>
        </w:rPr>
        <w:t>级预警标准的，由应急总指挥部确认预警级别、预警范围，并发布预警信息；</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t>达到</w:t>
      </w:r>
      <w:r>
        <w:rPr>
          <w:rFonts w:ascii="Times New Roman" w:hAnsi="Times New Roman" w:eastAsia="宋体" w:cs="Times New Roman"/>
          <w:color w:val="000000" w:themeColor="text1"/>
          <w:kern w:val="0"/>
          <w:sz w:val="24"/>
          <w:szCs w:val="24"/>
        </w:rPr>
        <w:t>Ⅱ</w:t>
      </w:r>
      <w:r>
        <w:rPr>
          <w:rFonts w:ascii="Times New Roman" w:hAnsi="Times New Roman" w:cs="Times New Roman"/>
          <w:color w:val="000000" w:themeColor="text1"/>
          <w:kern w:val="0"/>
          <w:sz w:val="24"/>
          <w:szCs w:val="24"/>
        </w:rPr>
        <w:t>级预警标准的，由应急指挥组确认预警级别、预警范围，并发布预警信息；</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构成预警条件已经消除时，由公司应急总指挥部下达预警结束指令。</w:t>
      </w:r>
      <w:bookmarkEnd w:id="544"/>
      <w:bookmarkEnd w:id="545"/>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546" w:name="_Toc555"/>
      <w:bookmarkStart w:id="547" w:name="_Toc10893_WPSOffice_Level2"/>
      <w:bookmarkStart w:id="548" w:name="_Toc17738_WPSOffice_Level2"/>
      <w:bookmarkStart w:id="549" w:name="_Toc20861_WPSOffice_Level2"/>
      <w:bookmarkStart w:id="550" w:name="_Toc30192_WPSOffice_Level2"/>
      <w:bookmarkStart w:id="551" w:name="_Toc3780_WPSOffice_Level2"/>
      <w:bookmarkStart w:id="552" w:name="_Toc18893"/>
      <w:bookmarkStart w:id="553" w:name="_Toc13251"/>
      <w:r>
        <w:rPr>
          <w:rFonts w:ascii="Times New Roman" w:hAnsi="Times New Roman" w:cs="Times New Roman"/>
          <w:b/>
          <w:bCs/>
          <w:color w:val="000000" w:themeColor="text1"/>
          <w:sz w:val="24"/>
          <w:szCs w:val="24"/>
        </w:rPr>
        <w:t>5.5报警、通讯联络方式</w:t>
      </w:r>
      <w:bookmarkEnd w:id="546"/>
      <w:bookmarkEnd w:id="547"/>
      <w:bookmarkEnd w:id="548"/>
      <w:bookmarkEnd w:id="549"/>
      <w:bookmarkEnd w:id="550"/>
      <w:bookmarkEnd w:id="551"/>
      <w:bookmarkEnd w:id="552"/>
      <w:bookmarkEnd w:id="553"/>
    </w:p>
    <w:p>
      <w:pPr>
        <w:keepNext/>
        <w:keepLines/>
        <w:spacing w:before="120" w:beforeLines="50" w:after="120" w:afterLines="50" w:line="500" w:lineRule="exact"/>
        <w:ind w:firstLine="482"/>
        <w:jc w:val="left"/>
        <w:outlineLvl w:val="2"/>
        <w:rPr>
          <w:rFonts w:ascii="Times New Roman" w:hAnsi="Times New Roman" w:cs="Times New Roman"/>
          <w:b/>
          <w:color w:val="000000" w:themeColor="text1"/>
          <w:sz w:val="24"/>
          <w:szCs w:val="24"/>
        </w:rPr>
      </w:pPr>
      <w:bookmarkStart w:id="554" w:name="_Toc10893_WPSOffice_Level3"/>
      <w:bookmarkStart w:id="555" w:name="_Toc5742_WPSOffice_Level3"/>
      <w:bookmarkStart w:id="556" w:name="_Toc74_WPSOffice_Level3"/>
      <w:bookmarkStart w:id="557" w:name="_Toc26300"/>
      <w:bookmarkStart w:id="558" w:name="_Toc2964_WPSOffice_Level3"/>
      <w:bookmarkStart w:id="559" w:name="_Toc10151"/>
      <w:bookmarkStart w:id="560" w:name="_Toc25148_WPSOffice_Level3"/>
      <w:bookmarkStart w:id="561" w:name="_Toc21594"/>
      <w:r>
        <w:rPr>
          <w:rFonts w:ascii="Times New Roman" w:hAnsi="Times New Roman" w:cs="Times New Roman"/>
          <w:b/>
          <w:color w:val="000000" w:themeColor="text1"/>
          <w:sz w:val="24"/>
          <w:szCs w:val="24"/>
        </w:rPr>
        <w:t>5.5.1事故报警与救援程序</w:t>
      </w:r>
      <w:bookmarkEnd w:id="554"/>
      <w:bookmarkEnd w:id="555"/>
      <w:bookmarkEnd w:id="556"/>
      <w:bookmarkEnd w:id="557"/>
      <w:bookmarkEnd w:id="558"/>
      <w:bookmarkEnd w:id="559"/>
      <w:bookmarkEnd w:id="560"/>
      <w:bookmarkEnd w:id="561"/>
    </w:p>
    <w:p>
      <w:pPr>
        <w:spacing w:line="360" w:lineRule="auto"/>
        <w:ind w:firstLine="482"/>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drawing>
          <wp:anchor distT="0" distB="0" distL="114300" distR="114300" simplePos="0" relativeHeight="251621376" behindDoc="0" locked="0" layoutInCell="1" allowOverlap="1">
            <wp:simplePos x="0" y="0"/>
            <wp:positionH relativeFrom="column">
              <wp:posOffset>69850</wp:posOffset>
            </wp:positionH>
            <wp:positionV relativeFrom="paragraph">
              <wp:posOffset>25400</wp:posOffset>
            </wp:positionV>
            <wp:extent cx="5209540" cy="5846445"/>
            <wp:effectExtent l="0" t="0" r="10160" b="1905"/>
            <wp:wrapTopAndBottom/>
            <wp:docPr id="41" name="图片 4" descr="C:\Users\ADMINI~1\AppData\Local\Temp\ksohtml\wps316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descr="C:\Users\ADMINI~1\AppData\Local\Temp\ksohtml\wps3169.tmp.png"/>
                    <pic:cNvPicPr>
                      <a:picLocks noChangeAspect="1"/>
                    </pic:cNvPicPr>
                  </pic:nvPicPr>
                  <pic:blipFill>
                    <a:blip r:embed="rId22" cstate="print"/>
                    <a:srcRect l="-1450"/>
                    <a:stretch>
                      <a:fillRect/>
                    </a:stretch>
                  </pic:blipFill>
                  <pic:spPr>
                    <a:xfrm>
                      <a:off x="0" y="0"/>
                      <a:ext cx="5209540" cy="5846445"/>
                    </a:xfrm>
                    <a:prstGeom prst="rect">
                      <a:avLst/>
                    </a:prstGeom>
                    <a:noFill/>
                    <a:ln>
                      <a:noFill/>
                    </a:ln>
                  </pic:spPr>
                </pic:pic>
              </a:graphicData>
            </a:graphic>
          </wp:anchor>
        </w:drawing>
      </w:r>
      <w:r>
        <w:rPr>
          <w:rFonts w:ascii="Times New Roman" w:hAnsi="Times New Roman" w:cs="Times New Roman"/>
          <w:b/>
          <w:bCs/>
          <w:color w:val="000000" w:themeColor="text1"/>
          <w:szCs w:val="21"/>
        </w:rPr>
        <w:t>图5-1  应急响应工作流程图</w:t>
      </w:r>
    </w:p>
    <w:p>
      <w:pPr>
        <w:ind w:firstLine="560"/>
        <w:rPr>
          <w:rFonts w:ascii="Times New Roman" w:hAnsi="Times New Roman" w:cs="Times New Roman"/>
          <w:color w:val="000000" w:themeColor="text1"/>
          <w:sz w:val="28"/>
          <w:szCs w:val="20"/>
        </w:rPr>
      </w:pP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凡符合下列情况之一的，由应急领导小组组长宣布启动</w:t>
      </w:r>
      <w:r>
        <w:rPr>
          <w:rFonts w:ascii="Times New Roman" w:hAnsi="Times New Roman" w:cs="Times New Roman"/>
          <w:color w:val="000000" w:themeColor="text1"/>
          <w:spacing w:val="-10"/>
          <w:kern w:val="0"/>
          <w:sz w:val="24"/>
          <w:szCs w:val="24"/>
          <w:lang w:val="zh-CN"/>
        </w:rPr>
        <w:t>I</w:t>
      </w:r>
      <w:r>
        <w:rPr>
          <w:rFonts w:ascii="Times New Roman" w:hAnsi="Times New Roman" w:cs="Times New Roman"/>
          <w:color w:val="000000" w:themeColor="text1"/>
          <w:kern w:val="0"/>
          <w:sz w:val="24"/>
          <w:szCs w:val="24"/>
          <w:lang w:val="zh-CN"/>
        </w:rPr>
        <w:t>级应急预案：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t>发生或可能发生I级及以上突发环境事件；</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kern w:val="0"/>
          <w:sz w:val="24"/>
          <w:szCs w:val="24"/>
          <w:lang w:val="zh-CN"/>
        </w:rPr>
        <w:t>发生</w:t>
      </w:r>
      <w:r>
        <w:rPr>
          <w:rFonts w:ascii="Times New Roman" w:hAnsi="Times New Roman" w:cs="Times New Roman"/>
          <w:color w:val="000000" w:themeColor="text1"/>
          <w:spacing w:val="-10"/>
          <w:kern w:val="0"/>
          <w:sz w:val="24"/>
          <w:szCs w:val="24"/>
          <w:lang w:val="zh-CN"/>
        </w:rPr>
        <w:t>II</w:t>
      </w: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spacing w:val="-10"/>
          <w:kern w:val="0"/>
          <w:sz w:val="24"/>
          <w:szCs w:val="24"/>
          <w:lang w:val="zh-CN"/>
        </w:rPr>
        <w:t>III</w:t>
      </w:r>
      <w:r>
        <w:rPr>
          <w:rFonts w:ascii="Times New Roman" w:hAnsi="Times New Roman" w:cs="Times New Roman"/>
          <w:color w:val="000000" w:themeColor="text1"/>
          <w:kern w:val="0"/>
          <w:sz w:val="24"/>
          <w:szCs w:val="24"/>
          <w:lang w:val="zh-CN"/>
        </w:rPr>
        <w:t>级突发事件，事件部门请求全公司给予支援或帮助；</w:t>
      </w:r>
    </w:p>
    <w:p>
      <w:pPr>
        <w:spacing w:line="500" w:lineRule="exact"/>
        <w:ind w:firstLine="480" w:firstLineChars="200"/>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③</w:t>
      </w:r>
      <w:r>
        <w:rPr>
          <w:rFonts w:ascii="Times New Roman" w:hAnsi="Times New Roman" w:cs="Times New Roman"/>
          <w:color w:val="000000" w:themeColor="text1"/>
          <w:kern w:val="0"/>
          <w:sz w:val="24"/>
          <w:szCs w:val="24"/>
          <w:lang w:val="zh-CN"/>
        </w:rPr>
        <w:t>应地方政府应急联动要求。</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凡符合下列情况之一的，由部门经理宣布启动</w:t>
      </w:r>
      <w:r>
        <w:rPr>
          <w:rFonts w:ascii="Times New Roman" w:hAnsi="Times New Roman" w:cs="Times New Roman"/>
          <w:color w:val="000000" w:themeColor="text1"/>
          <w:spacing w:val="-10"/>
          <w:kern w:val="0"/>
          <w:sz w:val="24"/>
          <w:szCs w:val="24"/>
          <w:lang w:val="zh-CN"/>
        </w:rPr>
        <w:t>II</w:t>
      </w:r>
      <w:r>
        <w:rPr>
          <w:rFonts w:ascii="Times New Roman" w:hAnsi="Times New Roman" w:cs="Times New Roman"/>
          <w:color w:val="000000" w:themeColor="text1"/>
          <w:kern w:val="0"/>
          <w:sz w:val="24"/>
          <w:szCs w:val="24"/>
          <w:lang w:val="zh-CN"/>
        </w:rPr>
        <w:t>级应急预案：</w:t>
      </w:r>
    </w:p>
    <w:p>
      <w:pPr>
        <w:spacing w:line="500" w:lineRule="exact"/>
        <w:ind w:firstLine="480" w:firstLineChars="200"/>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t>发生</w:t>
      </w:r>
      <w:r>
        <w:rPr>
          <w:rFonts w:ascii="Times New Roman" w:hAnsi="Times New Roman" w:cs="Times New Roman"/>
          <w:color w:val="000000" w:themeColor="text1"/>
          <w:spacing w:val="-10"/>
          <w:kern w:val="0"/>
          <w:sz w:val="24"/>
          <w:szCs w:val="24"/>
          <w:lang w:val="zh-CN"/>
        </w:rPr>
        <w:t>II</w:t>
      </w: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spacing w:val="-10"/>
          <w:kern w:val="0"/>
          <w:sz w:val="24"/>
          <w:szCs w:val="24"/>
          <w:lang w:val="zh-CN"/>
        </w:rPr>
        <w:t>III</w:t>
      </w:r>
      <w:r>
        <w:rPr>
          <w:rFonts w:ascii="Times New Roman" w:hAnsi="Times New Roman" w:cs="Times New Roman"/>
          <w:color w:val="000000" w:themeColor="text1"/>
          <w:kern w:val="0"/>
          <w:sz w:val="24"/>
          <w:szCs w:val="24"/>
          <w:lang w:val="zh-CN"/>
        </w:rPr>
        <w:t>级突发事件；</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t>应公司应急联动要求。</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sz w:val="24"/>
          <w:szCs w:val="24"/>
        </w:rPr>
        <w:t>（4）</w:t>
      </w:r>
      <w:r>
        <w:rPr>
          <w:rFonts w:ascii="Times New Roman" w:hAnsi="Times New Roman" w:cs="Times New Roman"/>
          <w:color w:val="000000" w:themeColor="text1"/>
          <w:kern w:val="0"/>
          <w:sz w:val="24"/>
          <w:szCs w:val="24"/>
          <w:lang w:val="zh-CN"/>
        </w:rPr>
        <w:t>配合有关部门应急响应</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lang w:val="zh-CN"/>
        </w:rPr>
        <w:t>当公司启动</w:t>
      </w:r>
      <w:r>
        <w:rPr>
          <w:rFonts w:ascii="Times New Roman" w:hAnsi="Times New Roman" w:cs="Times New Roman"/>
          <w:color w:val="000000" w:themeColor="text1"/>
          <w:spacing w:val="-10"/>
          <w:kern w:val="0"/>
          <w:sz w:val="24"/>
          <w:szCs w:val="24"/>
          <w:lang w:val="zh-CN"/>
        </w:rPr>
        <w:t>I</w:t>
      </w:r>
      <w:r>
        <w:rPr>
          <w:rFonts w:ascii="Times New Roman" w:hAnsi="Times New Roman" w:cs="Times New Roman"/>
          <w:color w:val="000000" w:themeColor="text1"/>
          <w:kern w:val="0"/>
          <w:sz w:val="24"/>
          <w:szCs w:val="24"/>
          <w:lang w:val="zh-CN"/>
        </w:rPr>
        <w:t>级应急响应时，</w:t>
      </w:r>
      <w:r>
        <w:rPr>
          <w:rFonts w:ascii="Times New Roman" w:hAnsi="Times New Roman" w:cs="Times New Roman"/>
          <w:color w:val="000000" w:themeColor="text1"/>
          <w:kern w:val="0"/>
          <w:sz w:val="24"/>
          <w:szCs w:val="24"/>
        </w:rPr>
        <w:t>南昌</w:t>
      </w:r>
      <w:r>
        <w:rPr>
          <w:rFonts w:ascii="Times New Roman" w:hAnsi="Times New Roman" w:cs="Times New Roman"/>
          <w:color w:val="000000" w:themeColor="text1"/>
          <w:kern w:val="0"/>
          <w:sz w:val="24"/>
          <w:szCs w:val="24"/>
          <w:lang w:val="zh-CN"/>
        </w:rPr>
        <w:t>市环保局、</w:t>
      </w:r>
      <w:r>
        <w:rPr>
          <w:rFonts w:ascii="Times New Roman" w:hAnsi="Times New Roman" w:cs="Times New Roman"/>
          <w:color w:val="000000" w:themeColor="text1"/>
          <w:kern w:val="0"/>
          <w:sz w:val="24"/>
          <w:szCs w:val="24"/>
        </w:rPr>
        <w:t>南昌市</w:t>
      </w:r>
      <w:r>
        <w:rPr>
          <w:rFonts w:ascii="Times New Roman" w:hAnsi="Times New Roman" w:cs="Times New Roman"/>
          <w:color w:val="000000" w:themeColor="text1"/>
          <w:kern w:val="0"/>
          <w:sz w:val="24"/>
          <w:szCs w:val="24"/>
          <w:lang w:val="zh-CN"/>
        </w:rPr>
        <w:t>人民政府启动环境应急预案，派遣工作小组到达现场参与救援指挥，公司应急指挥权交由</w:t>
      </w:r>
      <w:r>
        <w:rPr>
          <w:rFonts w:ascii="Times New Roman" w:hAnsi="Times New Roman" w:cs="Times New Roman"/>
          <w:color w:val="000000" w:themeColor="text1"/>
          <w:kern w:val="0"/>
          <w:sz w:val="24"/>
          <w:szCs w:val="24"/>
        </w:rPr>
        <w:t>南昌</w:t>
      </w:r>
      <w:r>
        <w:rPr>
          <w:rFonts w:ascii="Times New Roman" w:hAnsi="Times New Roman" w:cs="Times New Roman"/>
          <w:color w:val="000000" w:themeColor="text1"/>
          <w:kern w:val="0"/>
          <w:sz w:val="24"/>
          <w:szCs w:val="24"/>
          <w:lang w:val="zh-CN"/>
        </w:rPr>
        <w:t>市环保局或</w:t>
      </w:r>
      <w:r>
        <w:rPr>
          <w:rFonts w:ascii="Times New Roman" w:hAnsi="Times New Roman" w:cs="Times New Roman"/>
          <w:color w:val="000000" w:themeColor="text1"/>
          <w:kern w:val="0"/>
          <w:sz w:val="24"/>
          <w:szCs w:val="24"/>
        </w:rPr>
        <w:t>南昌市</w:t>
      </w:r>
      <w:r>
        <w:rPr>
          <w:rFonts w:ascii="Times New Roman" w:hAnsi="Times New Roman" w:cs="Times New Roman"/>
          <w:color w:val="000000" w:themeColor="text1"/>
          <w:kern w:val="0"/>
          <w:sz w:val="24"/>
          <w:szCs w:val="24"/>
          <w:lang w:val="zh-CN"/>
        </w:rPr>
        <w:t>人民政府，公司应急小组成员应服从指挥，全力配合应急行动，应急物资也交由指挥部统一指挥调配。</w:t>
      </w:r>
    </w:p>
    <w:p>
      <w:pPr>
        <w:keepNext/>
        <w:keepLines/>
        <w:spacing w:after="120" w:afterLines="50" w:line="500" w:lineRule="exact"/>
        <w:ind w:firstLine="482"/>
        <w:jc w:val="left"/>
        <w:outlineLvl w:val="2"/>
        <w:rPr>
          <w:rFonts w:ascii="Times New Roman" w:hAnsi="Times New Roman" w:cs="Times New Roman"/>
          <w:b/>
          <w:color w:val="000000" w:themeColor="text1"/>
          <w:sz w:val="24"/>
          <w:szCs w:val="24"/>
        </w:rPr>
      </w:pPr>
      <w:bookmarkStart w:id="562" w:name="_Toc641_WPSOffice_Level3"/>
      <w:bookmarkStart w:id="563" w:name="_Toc15556_WPSOffice_Level3"/>
      <w:bookmarkStart w:id="564" w:name="_Toc1412_WPSOffice_Level3"/>
      <w:bookmarkStart w:id="565" w:name="_Toc19919_WPSOffice_Level3"/>
      <w:bookmarkStart w:id="566" w:name="_Toc22205_WPSOffice_Level3"/>
      <w:bookmarkStart w:id="567" w:name="_Toc17930"/>
      <w:bookmarkStart w:id="568" w:name="_Toc3170"/>
      <w:r>
        <w:rPr>
          <w:rFonts w:ascii="Times New Roman" w:hAnsi="Times New Roman" w:cs="Times New Roman"/>
          <w:b/>
          <w:color w:val="000000" w:themeColor="text1"/>
          <w:sz w:val="24"/>
          <w:szCs w:val="24"/>
        </w:rPr>
        <w:t>5.5.1 报警联络方式</w:t>
      </w:r>
      <w:bookmarkEnd w:id="562"/>
      <w:bookmarkEnd w:id="563"/>
      <w:bookmarkEnd w:id="564"/>
      <w:bookmarkEnd w:id="565"/>
      <w:bookmarkEnd w:id="566"/>
      <w:bookmarkEnd w:id="567"/>
      <w:bookmarkEnd w:id="568"/>
      <w:bookmarkStart w:id="569" w:name="_Toc330049734"/>
    </w:p>
    <w:p>
      <w:pPr>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电话或口头通知各部门及相关人员，实行电话值班制，现场人员要第一时间拨打值班长、站长和应急救援办公室电话。值班长接到报告后，应立即向应急救援指挥部领导汇报。相关人员联系方式详见附表：应急救援通信录。</w:t>
      </w:r>
    </w:p>
    <w:p>
      <w:pPr>
        <w:pStyle w:val="2"/>
        <w:ind w:firstLine="496"/>
      </w:pPr>
    </w:p>
    <w:p>
      <w:pPr>
        <w:keepNext/>
        <w:keepLines/>
        <w:spacing w:after="120" w:afterLines="50" w:line="500" w:lineRule="exact"/>
        <w:ind w:firstLine="482"/>
        <w:jc w:val="left"/>
        <w:outlineLvl w:val="2"/>
        <w:rPr>
          <w:rFonts w:ascii="Times New Roman" w:hAnsi="Times New Roman" w:cs="Times New Roman"/>
          <w:b/>
          <w:color w:val="000000" w:themeColor="text1"/>
          <w:sz w:val="24"/>
          <w:szCs w:val="24"/>
        </w:rPr>
      </w:pPr>
      <w:bookmarkStart w:id="570" w:name="_Toc25360"/>
      <w:bookmarkStart w:id="571" w:name="_Toc11026_WPSOffice_Level3"/>
      <w:bookmarkStart w:id="572" w:name="_Toc1353_WPSOffice_Level3"/>
      <w:bookmarkStart w:id="573" w:name="_Toc22280"/>
      <w:bookmarkStart w:id="574" w:name="_Toc12119_WPSOffice_Level3"/>
      <w:bookmarkStart w:id="575" w:name="_Toc21642_WPSOffice_Level3"/>
      <w:bookmarkStart w:id="576" w:name="_Toc14371_WPSOffice_Level3"/>
      <w:bookmarkStart w:id="577" w:name="_Toc30907"/>
      <w:bookmarkStart w:id="578" w:name="_Toc23507"/>
      <w:r>
        <w:rPr>
          <w:rFonts w:ascii="Times New Roman" w:hAnsi="Times New Roman" w:cs="Times New Roman"/>
          <w:b/>
          <w:color w:val="000000" w:themeColor="text1"/>
          <w:sz w:val="24"/>
          <w:szCs w:val="24"/>
        </w:rPr>
        <w:t>5.5.2 内部通讯方式</w:t>
      </w:r>
      <w:bookmarkEnd w:id="569"/>
      <w:bookmarkEnd w:id="570"/>
      <w:bookmarkEnd w:id="571"/>
      <w:bookmarkEnd w:id="572"/>
      <w:bookmarkEnd w:id="573"/>
      <w:bookmarkEnd w:id="574"/>
      <w:bookmarkEnd w:id="575"/>
      <w:bookmarkEnd w:id="576"/>
      <w:bookmarkEnd w:id="577"/>
      <w:bookmarkEnd w:id="578"/>
    </w:p>
    <w:p>
      <w:pPr>
        <w:widowControl/>
        <w:spacing w:line="360" w:lineRule="auto"/>
        <w:ind w:left="479" w:leftChars="228"/>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（1）加油站值班室24小时有人值班，要求值班人员熟悉危险目标位置和发生危险事故的应急处理方式。</w:t>
      </w:r>
      <w:r>
        <w:rPr>
          <w:rFonts w:ascii="Times New Roman" w:hAnsi="Times New Roman" w:cs="Times New Roman"/>
          <w:color w:val="000000" w:themeColor="text1"/>
          <w:sz w:val="24"/>
          <w:szCs w:val="24"/>
        </w:rPr>
        <w:t>加油站值班电话：</w:t>
      </w:r>
      <w:r>
        <w:rPr>
          <w:rStyle w:val="41"/>
          <w:rFonts w:hint="eastAsia" w:ascii="Times New Roman" w:hAnsi="Times New Roman"/>
          <w:color w:val="000000" w:themeColor="text1"/>
          <w:spacing w:val="4"/>
          <w:sz w:val="24"/>
          <w:szCs w:val="24"/>
        </w:rPr>
        <w:t>13807066080</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（2）24小时有效的内部通讯联络手段</w:t>
      </w:r>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内部联系电话：总经理电话：看附件5</w:t>
      </w:r>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加油站站长电话：看附件5</w:t>
      </w:r>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安全员、应急小组电话：看附件5</w:t>
      </w:r>
    </w:p>
    <w:p/>
    <w:p>
      <w:pPr>
        <w:keepNext/>
        <w:keepLines/>
        <w:spacing w:after="120" w:afterLines="50" w:line="500" w:lineRule="exact"/>
        <w:ind w:firstLine="482"/>
        <w:jc w:val="left"/>
        <w:outlineLvl w:val="2"/>
        <w:rPr>
          <w:rFonts w:ascii="Times New Roman" w:hAnsi="Times New Roman" w:cs="Times New Roman"/>
          <w:b/>
          <w:color w:val="000000" w:themeColor="text1"/>
          <w:sz w:val="24"/>
          <w:szCs w:val="24"/>
        </w:rPr>
      </w:pPr>
      <w:bookmarkStart w:id="579" w:name="_Toc14964_WPSOffice_Level3"/>
      <w:bookmarkStart w:id="580" w:name="_Toc6831_WPSOffice_Level3"/>
      <w:bookmarkStart w:id="581" w:name="_Toc8076_WPSOffice_Level3"/>
      <w:bookmarkStart w:id="582" w:name="_Toc7301_WPSOffice_Level3"/>
      <w:bookmarkStart w:id="583" w:name="_Toc7595_WPSOffice_Level3"/>
      <w:bookmarkStart w:id="584" w:name="_Toc22024"/>
      <w:bookmarkStart w:id="585" w:name="_Toc30736"/>
      <w:r>
        <w:rPr>
          <w:rFonts w:ascii="Times New Roman" w:hAnsi="Times New Roman" w:cs="Times New Roman"/>
          <w:b/>
          <w:color w:val="000000" w:themeColor="text1"/>
          <w:sz w:val="24"/>
          <w:szCs w:val="24"/>
        </w:rPr>
        <w:t>5.5.3 外部通讯方式</w:t>
      </w:r>
      <w:bookmarkEnd w:id="579"/>
      <w:bookmarkEnd w:id="580"/>
      <w:bookmarkEnd w:id="581"/>
      <w:bookmarkEnd w:id="582"/>
      <w:bookmarkEnd w:id="583"/>
      <w:bookmarkEnd w:id="584"/>
      <w:bookmarkEnd w:id="585"/>
    </w:p>
    <w:p>
      <w:pPr>
        <w:widowControl/>
        <w:spacing w:line="360" w:lineRule="auto"/>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当发生突发环境事件超出公司应急救援力量，需要外界支援时，在公司加油站应急办公室的统一安排下向南昌市</w:t>
      </w:r>
      <w:r>
        <w:rPr>
          <w:rFonts w:ascii="Times New Roman" w:hAnsi="Times New Roman" w:cs="Times New Roman"/>
          <w:color w:val="000000" w:themeColor="text1"/>
          <w:kern w:val="0"/>
          <w:sz w:val="24"/>
          <w:szCs w:val="24"/>
        </w:rPr>
        <w:t>环保局</w:t>
      </w:r>
      <w:r>
        <w:rPr>
          <w:rFonts w:ascii="Times New Roman" w:hAnsi="Times New Roman" w:cs="Times New Roman"/>
          <w:color w:val="000000" w:themeColor="text1"/>
          <w:kern w:val="0"/>
          <w:sz w:val="24"/>
          <w:szCs w:val="24"/>
          <w:lang w:val="zh-CN"/>
        </w:rPr>
        <w:t>、南昌市</w:t>
      </w:r>
      <w:r>
        <w:rPr>
          <w:rFonts w:ascii="Times New Roman" w:hAnsi="Times New Roman" w:cs="Times New Roman"/>
          <w:color w:val="000000" w:themeColor="text1"/>
          <w:kern w:val="0"/>
          <w:sz w:val="24"/>
          <w:szCs w:val="24"/>
        </w:rPr>
        <w:t>安监局</w:t>
      </w:r>
      <w:r>
        <w:rPr>
          <w:rFonts w:ascii="Times New Roman" w:hAnsi="Times New Roman" w:cs="Times New Roman"/>
          <w:color w:val="000000" w:themeColor="text1"/>
          <w:kern w:val="0"/>
          <w:sz w:val="24"/>
          <w:szCs w:val="24"/>
          <w:lang w:val="zh-CN"/>
        </w:rPr>
        <w:t>等相关单位求救，请求外界支援。</w:t>
      </w:r>
    </w:p>
    <w:p>
      <w:pPr>
        <w:spacing w:line="360" w:lineRule="auto"/>
        <w:ind w:firstLine="482"/>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表5-</w:t>
      </w:r>
      <w:r>
        <w:rPr>
          <w:rFonts w:hint="eastAsia" w:ascii="Times New Roman" w:hAnsi="Times New Roman" w:cs="Times New Roman"/>
          <w:b/>
          <w:bCs/>
          <w:color w:val="000000" w:themeColor="text1"/>
          <w:szCs w:val="21"/>
        </w:rPr>
        <w:t>2</w:t>
      </w:r>
      <w:r>
        <w:rPr>
          <w:rFonts w:ascii="Times New Roman" w:hAnsi="Times New Roman" w:cs="Times New Roman"/>
          <w:b/>
          <w:bCs/>
          <w:color w:val="000000" w:themeColor="text1"/>
          <w:szCs w:val="21"/>
        </w:rPr>
        <w:t xml:space="preserve">  外部通讯方式</w:t>
      </w:r>
    </w:p>
    <w:tbl>
      <w:tblPr>
        <w:tblStyle w:val="16"/>
        <w:tblW w:w="813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703"/>
        <w:gridCol w:w="4190"/>
        <w:gridCol w:w="1057"/>
        <w:gridCol w:w="218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03" w:type="dxa"/>
            <w:vAlign w:val="center"/>
          </w:tcPr>
          <w:p>
            <w:pPr>
              <w:widowControl/>
              <w:spacing w:line="360" w:lineRule="auto"/>
              <w:jc w:val="center"/>
              <w:rPr>
                <w:rFonts w:ascii="Times New Roman" w:hAnsi="Times New Roman" w:eastAsia="宋体" w:cs="Times New Roman"/>
                <w:b/>
                <w:bCs/>
                <w:kern w:val="0"/>
                <w:sz w:val="22"/>
              </w:rPr>
            </w:pPr>
            <w:r>
              <w:rPr>
                <w:rFonts w:ascii="Times New Roman" w:hAnsi="Times New Roman" w:eastAsia="宋体" w:cs="Times New Roman"/>
                <w:b/>
                <w:bCs/>
                <w:kern w:val="0"/>
                <w:sz w:val="22"/>
              </w:rPr>
              <w:t>序号</w:t>
            </w:r>
          </w:p>
        </w:tc>
        <w:tc>
          <w:tcPr>
            <w:tcW w:w="4190" w:type="dxa"/>
            <w:vAlign w:val="center"/>
          </w:tcPr>
          <w:p>
            <w:pPr>
              <w:widowControl/>
              <w:spacing w:line="360" w:lineRule="auto"/>
              <w:ind w:firstLine="442"/>
              <w:jc w:val="center"/>
              <w:rPr>
                <w:rFonts w:ascii="Times New Roman" w:hAnsi="Times New Roman" w:eastAsia="宋体" w:cs="Times New Roman"/>
                <w:b/>
                <w:bCs/>
                <w:kern w:val="0"/>
                <w:sz w:val="22"/>
              </w:rPr>
            </w:pPr>
            <w:r>
              <w:rPr>
                <w:rFonts w:ascii="Times New Roman" w:hAnsi="Times New Roman" w:eastAsia="宋体" w:cs="Times New Roman"/>
                <w:b/>
                <w:bCs/>
                <w:kern w:val="0"/>
                <w:sz w:val="22"/>
              </w:rPr>
              <w:t>部门/职务</w:t>
            </w:r>
          </w:p>
        </w:tc>
        <w:tc>
          <w:tcPr>
            <w:tcW w:w="1057" w:type="dxa"/>
            <w:vAlign w:val="center"/>
          </w:tcPr>
          <w:p>
            <w:pPr>
              <w:widowControl/>
              <w:spacing w:line="360" w:lineRule="auto"/>
              <w:jc w:val="center"/>
              <w:rPr>
                <w:rFonts w:ascii="Times New Roman" w:hAnsi="Times New Roman" w:eastAsia="宋体" w:cs="Times New Roman"/>
                <w:b/>
                <w:bCs/>
                <w:kern w:val="0"/>
                <w:sz w:val="22"/>
              </w:rPr>
            </w:pPr>
            <w:r>
              <w:rPr>
                <w:rFonts w:ascii="Times New Roman" w:hAnsi="Times New Roman" w:eastAsia="宋体" w:cs="Times New Roman"/>
                <w:b/>
                <w:bCs/>
                <w:kern w:val="0"/>
                <w:sz w:val="22"/>
              </w:rPr>
              <w:t>联系人</w:t>
            </w:r>
          </w:p>
        </w:tc>
        <w:tc>
          <w:tcPr>
            <w:tcW w:w="2186" w:type="dxa"/>
            <w:vAlign w:val="center"/>
          </w:tcPr>
          <w:p>
            <w:pPr>
              <w:widowControl/>
              <w:spacing w:line="360" w:lineRule="auto"/>
              <w:ind w:firstLine="442"/>
              <w:jc w:val="center"/>
              <w:rPr>
                <w:rFonts w:ascii="Times New Roman" w:hAnsi="Times New Roman" w:eastAsia="宋体" w:cs="Times New Roman"/>
                <w:b/>
                <w:bCs/>
                <w:kern w:val="0"/>
                <w:sz w:val="22"/>
              </w:rPr>
            </w:pPr>
            <w:r>
              <w:rPr>
                <w:rFonts w:ascii="Times New Roman" w:hAnsi="Times New Roman" w:eastAsia="宋体" w:cs="Times New Roman"/>
                <w:b/>
                <w:bCs/>
                <w:kern w:val="0"/>
                <w:sz w:val="22"/>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92"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1</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南昌市安全生产应急指挥中心</w:t>
            </w:r>
          </w:p>
        </w:tc>
        <w:tc>
          <w:tcPr>
            <w:tcW w:w="1057" w:type="dxa"/>
            <w:vAlign w:val="center"/>
          </w:tcPr>
          <w:p>
            <w:pPr>
              <w:widowControl/>
              <w:spacing w:before="100" w:beforeAutospacing="1" w:after="100" w:afterAutospacing="1"/>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0791-8396140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2</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南昌市应急救援中心</w:t>
            </w:r>
          </w:p>
        </w:tc>
        <w:tc>
          <w:tcPr>
            <w:tcW w:w="1057" w:type="dxa"/>
            <w:vAlign w:val="center"/>
          </w:tcPr>
          <w:p>
            <w:pPr>
              <w:widowControl/>
              <w:spacing w:line="360" w:lineRule="auto"/>
              <w:jc w:val="center"/>
              <w:rPr>
                <w:rFonts w:ascii="Times New Roman" w:hAnsi="Times New Roman" w:eastAsia="宋体" w:cs="Times New Roman"/>
                <w:sz w:val="22"/>
              </w:rPr>
            </w:pPr>
            <w:r>
              <w:rPr>
                <w:rFonts w:ascii="Times New Roman" w:hAnsi="Times New Roman" w:eastAsia="宋体" w:cs="Times New Roman"/>
                <w:sz w:val="22"/>
              </w:rPr>
              <w:t>戴晓望</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0791-83986153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3</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南昌市安监局副局长</w:t>
            </w:r>
          </w:p>
        </w:tc>
        <w:tc>
          <w:tcPr>
            <w:tcW w:w="1057" w:type="dxa"/>
            <w:vAlign w:val="center"/>
          </w:tcPr>
          <w:p>
            <w:pPr>
              <w:widowControl/>
              <w:spacing w:line="360" w:lineRule="auto"/>
              <w:jc w:val="center"/>
              <w:rPr>
                <w:rFonts w:ascii="Times New Roman" w:hAnsi="Times New Roman" w:eastAsia="宋体" w:cs="Times New Roman"/>
                <w:sz w:val="22"/>
              </w:rPr>
            </w:pPr>
            <w:r>
              <w:rPr>
                <w:rFonts w:ascii="Times New Roman" w:hAnsi="Times New Roman" w:eastAsia="宋体" w:cs="Times New Roman"/>
                <w:sz w:val="22"/>
              </w:rPr>
              <w:t>万平</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13507093311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4</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南昌市职业健康副局长</w:t>
            </w:r>
          </w:p>
        </w:tc>
        <w:tc>
          <w:tcPr>
            <w:tcW w:w="1057" w:type="dxa"/>
            <w:vAlign w:val="center"/>
          </w:tcPr>
          <w:p>
            <w:pPr>
              <w:widowControl/>
              <w:spacing w:line="360" w:lineRule="auto"/>
              <w:jc w:val="center"/>
              <w:rPr>
                <w:rFonts w:ascii="Times New Roman" w:hAnsi="Times New Roman" w:eastAsia="宋体" w:cs="Times New Roman"/>
                <w:sz w:val="22"/>
              </w:rPr>
            </w:pPr>
            <w:r>
              <w:rPr>
                <w:rFonts w:ascii="Times New Roman" w:hAnsi="Times New Roman" w:eastAsia="宋体" w:cs="Times New Roman"/>
                <w:sz w:val="22"/>
              </w:rPr>
              <w:t>卢瑾萍</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18079133835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5</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南昌安监局办公室</w:t>
            </w:r>
          </w:p>
        </w:tc>
        <w:tc>
          <w:tcPr>
            <w:tcW w:w="1057"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0791-88161635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6</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南昌市安监局执法大队长</w:t>
            </w:r>
          </w:p>
        </w:tc>
        <w:tc>
          <w:tcPr>
            <w:tcW w:w="1057"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0791-83839641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7</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南昌市消防大队大队长</w:t>
            </w:r>
          </w:p>
        </w:tc>
        <w:tc>
          <w:tcPr>
            <w:tcW w:w="1057" w:type="dxa"/>
            <w:vAlign w:val="center"/>
          </w:tcPr>
          <w:p>
            <w:pPr>
              <w:widowControl/>
              <w:spacing w:line="360" w:lineRule="auto"/>
              <w:jc w:val="center"/>
              <w:rPr>
                <w:rFonts w:ascii="Times New Roman" w:hAnsi="Times New Roman" w:eastAsia="宋体" w:cs="Times New Roman"/>
                <w:sz w:val="22"/>
              </w:rPr>
            </w:pPr>
            <w:r>
              <w:rPr>
                <w:rFonts w:ascii="Times New Roman" w:hAnsi="Times New Roman" w:eastAsia="宋体" w:cs="Times New Roman"/>
                <w:sz w:val="22"/>
              </w:rPr>
              <w:t>陈峰</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18970016631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8</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消防火灾报警电话</w:t>
            </w:r>
          </w:p>
        </w:tc>
        <w:tc>
          <w:tcPr>
            <w:tcW w:w="1057"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119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9</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医疗急救电话</w:t>
            </w:r>
          </w:p>
        </w:tc>
        <w:tc>
          <w:tcPr>
            <w:tcW w:w="1057"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120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 w:val="22"/>
              </w:rPr>
            </w:pPr>
            <w:r>
              <w:rPr>
                <w:rFonts w:ascii="Times New Roman" w:hAnsi="Times New Roman" w:eastAsia="宋体" w:cs="Times New Roman"/>
                <w:kern w:val="0"/>
                <w:sz w:val="22"/>
              </w:rPr>
              <w:t>10</w:t>
            </w:r>
          </w:p>
        </w:tc>
        <w:tc>
          <w:tcPr>
            <w:tcW w:w="4190"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公安报警电话</w:t>
            </w:r>
          </w:p>
        </w:tc>
        <w:tc>
          <w:tcPr>
            <w:tcW w:w="1057"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w:t>
            </w:r>
          </w:p>
        </w:tc>
        <w:tc>
          <w:tcPr>
            <w:tcW w:w="2186" w:type="dxa"/>
            <w:vAlign w:val="center"/>
          </w:tcPr>
          <w:p>
            <w:pPr>
              <w:widowControl/>
              <w:spacing w:line="360" w:lineRule="auto"/>
              <w:ind w:firstLine="440"/>
              <w:jc w:val="center"/>
              <w:rPr>
                <w:rFonts w:ascii="Times New Roman" w:hAnsi="Times New Roman" w:eastAsia="宋体" w:cs="Times New Roman"/>
                <w:sz w:val="22"/>
              </w:rPr>
            </w:pPr>
            <w:r>
              <w:rPr>
                <w:rFonts w:ascii="Times New Roman" w:hAnsi="Times New Roman" w:eastAsia="宋体" w:cs="Times New Roman"/>
                <w:sz w:val="22"/>
              </w:rPr>
              <w:t>110</w:t>
            </w:r>
          </w:p>
        </w:tc>
      </w:tr>
    </w:tbl>
    <w:p>
      <w:pPr>
        <w:pStyle w:val="2"/>
        <w:ind w:firstLine="496"/>
        <w:rPr>
          <w:rFonts w:ascii="Times New Roman" w:hAnsi="Times New Roman"/>
          <w:lang w:val="zh-CN"/>
        </w:rPr>
      </w:pPr>
    </w:p>
    <w:p>
      <w:pPr>
        <w:ind w:firstLine="482"/>
        <w:jc w:val="left"/>
        <w:rPr>
          <w:rFonts w:ascii="Times New Roman" w:hAnsi="Times New Roman" w:eastAsia="宋体" w:cs="Times New Roman"/>
          <w:b/>
          <w:sz w:val="24"/>
          <w:szCs w:val="24"/>
        </w:rPr>
      </w:pPr>
      <w:r>
        <w:rPr>
          <w:rFonts w:ascii="Times New Roman" w:hAnsi="Times New Roman" w:eastAsia="宋体" w:cs="Times New Roman"/>
          <w:b/>
          <w:sz w:val="24"/>
          <w:szCs w:val="24"/>
        </w:rPr>
        <w:t>周边通讯方式</w:t>
      </w:r>
    </w:p>
    <w:p>
      <w:pPr>
        <w:widowControl/>
        <w:spacing w:line="360" w:lineRule="auto"/>
        <w:ind w:firstLine="897" w:firstLineChars="374"/>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修车场范润华</w:t>
      </w:r>
      <w:r>
        <w:rPr>
          <w:rFonts w:hint="eastAsia" w:ascii="Times New Roman" w:hAnsi="Times New Roman" w:cs="Times New Roman"/>
          <w:color w:val="000000" w:themeColor="text1"/>
          <w:kern w:val="0"/>
          <w:sz w:val="24"/>
          <w:szCs w:val="24"/>
        </w:rPr>
        <w:tab/>
      </w:r>
      <w:r>
        <w:rPr>
          <w:rFonts w:hint="eastAsia" w:ascii="Times New Roman" w:hAnsi="Times New Roman" w:cs="Times New Roman"/>
          <w:color w:val="000000" w:themeColor="text1"/>
          <w:kern w:val="0"/>
          <w:sz w:val="24"/>
          <w:szCs w:val="24"/>
        </w:rPr>
        <w:tab/>
      </w:r>
      <w:r>
        <w:rPr>
          <w:rFonts w:ascii="Times New Roman" w:hAnsi="Times New Roman" w:cs="Times New Roman"/>
          <w:color w:val="000000" w:themeColor="text1"/>
          <w:kern w:val="0"/>
          <w:sz w:val="24"/>
          <w:szCs w:val="24"/>
          <w:lang w:val="zh-CN"/>
        </w:rPr>
        <w:t>17770028506</w:t>
      </w:r>
    </w:p>
    <w:p>
      <w:pPr>
        <w:widowControl/>
        <w:spacing w:line="360" w:lineRule="auto"/>
        <w:ind w:firstLine="897" w:firstLineChars="374"/>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瑶湖派出所</w:t>
      </w:r>
      <w:r>
        <w:rPr>
          <w:rFonts w:hint="eastAsia" w:ascii="Times New Roman" w:hAnsi="Times New Roman" w:cs="Times New Roman"/>
          <w:color w:val="000000" w:themeColor="text1"/>
          <w:kern w:val="0"/>
          <w:sz w:val="24"/>
          <w:szCs w:val="24"/>
        </w:rPr>
        <w:tab/>
      </w:r>
      <w:r>
        <w:rPr>
          <w:rFonts w:hint="eastAsia" w:ascii="Times New Roman" w:hAnsi="Times New Roman" w:cs="Times New Roman"/>
          <w:color w:val="000000" w:themeColor="text1"/>
          <w:kern w:val="0"/>
          <w:sz w:val="24"/>
          <w:szCs w:val="24"/>
        </w:rPr>
        <w:tab/>
      </w:r>
      <w:r>
        <w:rPr>
          <w:rFonts w:hint="eastAsia" w:ascii="Times New Roman" w:hAnsi="Times New Roman" w:cs="Times New Roman"/>
          <w:color w:val="000000" w:themeColor="text1"/>
          <w:kern w:val="0"/>
          <w:sz w:val="24"/>
          <w:szCs w:val="24"/>
        </w:rPr>
        <w:tab/>
      </w:r>
      <w:r>
        <w:rPr>
          <w:rFonts w:ascii="Times New Roman" w:hAnsi="Times New Roman" w:cs="Times New Roman"/>
          <w:color w:val="000000" w:themeColor="text1"/>
          <w:kern w:val="0"/>
          <w:sz w:val="24"/>
          <w:szCs w:val="24"/>
          <w:lang w:val="zh-CN"/>
        </w:rPr>
        <w:t>0791-88357711</w:t>
      </w:r>
    </w:p>
    <w:p>
      <w:pPr>
        <w:widowControl/>
        <w:spacing w:line="360" w:lineRule="auto"/>
        <w:ind w:firstLine="897" w:firstLineChars="374"/>
        <w:jc w:val="left"/>
        <w:rPr>
          <w:rFonts w:ascii="Times New Roman" w:hAnsi="Times New Roman" w:eastAsia="宋体" w:cs="Times New Roman"/>
          <w:szCs w:val="24"/>
        </w:rPr>
      </w:pPr>
      <w:r>
        <w:rPr>
          <w:rFonts w:ascii="Times New Roman" w:hAnsi="Times New Roman" w:cs="Times New Roman"/>
          <w:color w:val="000000" w:themeColor="text1"/>
          <w:kern w:val="0"/>
          <w:sz w:val="24"/>
          <w:szCs w:val="24"/>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586" w:name="_Toc32390_WPSOffice_Level1"/>
      <w:bookmarkStart w:id="587" w:name="_Toc16693"/>
      <w:bookmarkStart w:id="588" w:name="_Toc16384"/>
      <w:bookmarkStart w:id="589" w:name="_Toc23590_WPSOffice_Level1"/>
      <w:bookmarkStart w:id="590" w:name="_Toc30698"/>
      <w:bookmarkStart w:id="591" w:name="_Toc26023_WPSOffice_Level1"/>
      <w:bookmarkStart w:id="592" w:name="_Toc10055_WPSOffice_Level1"/>
      <w:bookmarkStart w:id="593" w:name="_Toc25774_WPSOffice_Level1"/>
      <w:bookmarkStart w:id="594" w:name="_Toc28698"/>
      <w:r>
        <w:rPr>
          <w:rFonts w:ascii="Times New Roman" w:hAnsi="Times New Roman" w:cs="Times New Roman"/>
          <w:b/>
          <w:bCs/>
          <w:color w:val="000000" w:themeColor="text1"/>
          <w:kern w:val="44"/>
          <w:sz w:val="30"/>
          <w:szCs w:val="30"/>
        </w:rPr>
        <w:t>6、信息报告与通报</w:t>
      </w:r>
      <w:bookmarkEnd w:id="586"/>
      <w:bookmarkEnd w:id="587"/>
      <w:bookmarkEnd w:id="588"/>
      <w:bookmarkEnd w:id="589"/>
      <w:bookmarkEnd w:id="590"/>
      <w:bookmarkEnd w:id="591"/>
      <w:bookmarkEnd w:id="592"/>
      <w:bookmarkEnd w:id="593"/>
      <w:bookmarkEnd w:id="594"/>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595" w:name="_Toc4116_WPSOffice_Level2"/>
      <w:bookmarkStart w:id="596" w:name="_Toc3301"/>
      <w:bookmarkStart w:id="597" w:name="_Toc32611_WPSOffice_Level2"/>
      <w:bookmarkStart w:id="598" w:name="_Toc32390_WPSOffice_Level2"/>
      <w:bookmarkStart w:id="599" w:name="_Toc10668"/>
      <w:bookmarkStart w:id="600" w:name="_Toc27634"/>
      <w:bookmarkStart w:id="601" w:name="_Toc2415"/>
      <w:bookmarkStart w:id="602" w:name="_Toc25432_WPSOffice_Level2"/>
      <w:bookmarkStart w:id="603" w:name="_Toc29421_WPSOffice_Level2"/>
      <w:bookmarkStart w:id="604" w:name="_Toc7280"/>
      <w:r>
        <w:rPr>
          <w:rFonts w:ascii="Times New Roman" w:hAnsi="Times New Roman" w:cs="Times New Roman"/>
          <w:b/>
          <w:bCs/>
          <w:color w:val="000000" w:themeColor="text1"/>
          <w:sz w:val="24"/>
          <w:szCs w:val="24"/>
        </w:rPr>
        <w:t>6.1信息报告</w:t>
      </w:r>
      <w:bookmarkEnd w:id="595"/>
      <w:bookmarkEnd w:id="596"/>
      <w:bookmarkEnd w:id="597"/>
      <w:bookmarkEnd w:id="598"/>
      <w:bookmarkEnd w:id="599"/>
      <w:bookmarkEnd w:id="600"/>
      <w:bookmarkEnd w:id="601"/>
      <w:bookmarkEnd w:id="602"/>
      <w:bookmarkEnd w:id="603"/>
      <w:bookmarkEnd w:id="604"/>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605" w:name="_Toc17886_WPSOffice_Level3"/>
      <w:bookmarkStart w:id="606" w:name="_Toc32390_WPSOffice_Level3"/>
      <w:bookmarkStart w:id="607" w:name="_Toc30549_WPSOffice_Level3"/>
      <w:bookmarkStart w:id="608" w:name="_Toc10182_WPSOffice_Level3"/>
      <w:bookmarkStart w:id="609" w:name="_Toc32479"/>
      <w:bookmarkStart w:id="610" w:name="_Toc11584"/>
      <w:bookmarkStart w:id="611" w:name="_Toc18827"/>
      <w:bookmarkStart w:id="612" w:name="_Toc21921_WPSOffice_Level3"/>
      <w:bookmarkStart w:id="613" w:name="_Toc10755"/>
      <w:r>
        <w:rPr>
          <w:rFonts w:ascii="Times New Roman" w:hAnsi="Times New Roman" w:cs="Times New Roman"/>
          <w:b/>
          <w:color w:val="000000" w:themeColor="text1"/>
          <w:sz w:val="24"/>
          <w:szCs w:val="24"/>
        </w:rPr>
        <w:t>6.1.1信息报告程序</w:t>
      </w:r>
      <w:bookmarkEnd w:id="605"/>
      <w:bookmarkEnd w:id="606"/>
      <w:bookmarkEnd w:id="607"/>
      <w:bookmarkEnd w:id="608"/>
      <w:bookmarkEnd w:id="609"/>
      <w:bookmarkEnd w:id="610"/>
      <w:bookmarkEnd w:id="611"/>
      <w:bookmarkEnd w:id="612"/>
      <w:bookmarkEnd w:id="613"/>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场操作人员或现场环保安全检查时如发现危险源出现异常情况，有可能导致事故发生，应立即以口头大声呼叫或拨打电话的方式向加油站负责人或公司应急领导小组办公室通报。应急领导小组办公室设立24小时应急值守电话：</w:t>
      </w:r>
      <w:r>
        <w:rPr>
          <w:rStyle w:val="41"/>
          <w:rFonts w:hint="eastAsia" w:ascii="Times New Roman" w:hAnsi="Times New Roman"/>
          <w:color w:val="000000" w:themeColor="text1"/>
          <w:spacing w:val="4"/>
          <w:sz w:val="24"/>
          <w:szCs w:val="24"/>
        </w:rPr>
        <w:t>13807066080</w:t>
      </w: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一旦环境事故发生，值守人员应做记录后，立即报告应急领导小组办公室主管领导。</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应急救援办公室对可能酿成环境污染事故的，应立即报告加油站应急指挥部，总指挥及时召集指挥部全体成员研究事件发展的可能程度及应对行动，并通知有关部门、各应急救援小组采取应急行动。</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应急指挥部接到可能导致环境事故的信息后，应按照分级响应的原则及时研究确定应对方案，并通知有关部门、现场人员采取有效措施预防事故发生。</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当应急指挥部认为事故较大，有可能超出本级应急处置能力时，应当在</w:t>
      </w:r>
      <w:r>
        <w:rPr>
          <w:rFonts w:ascii="Times New Roman" w:hAnsi="Times New Roman" w:cs="Times New Roman"/>
          <w:color w:val="000000" w:themeColor="text1"/>
          <w:kern w:val="0"/>
          <w:sz w:val="24"/>
          <w:szCs w:val="24"/>
          <w:u w:val="single"/>
        </w:rPr>
        <w:t>1小时内</w:t>
      </w:r>
      <w:r>
        <w:rPr>
          <w:rFonts w:ascii="Times New Roman" w:hAnsi="Times New Roman" w:cs="Times New Roman"/>
          <w:color w:val="000000" w:themeColor="text1"/>
          <w:kern w:val="0"/>
          <w:sz w:val="24"/>
          <w:szCs w:val="24"/>
        </w:rPr>
        <w:t>及时向南昌市环保局报告，及时研究应对方案，采取行动。</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614" w:name="_Toc10370_WPSOffice_Level3"/>
      <w:bookmarkStart w:id="615" w:name="_Toc17839"/>
      <w:bookmarkStart w:id="616" w:name="_Toc14482_WPSOffice_Level3"/>
      <w:bookmarkStart w:id="617" w:name="_Toc21623_WPSOffice_Level3"/>
      <w:bookmarkStart w:id="618" w:name="_Toc26484_WPSOffice_Level3"/>
      <w:bookmarkStart w:id="619" w:name="_Toc29635"/>
      <w:bookmarkStart w:id="620" w:name="_Toc25204_WPSOffice_Level3"/>
      <w:bookmarkStart w:id="621" w:name="_Toc23885"/>
      <w:bookmarkStart w:id="622" w:name="_Toc6582"/>
      <w:r>
        <w:rPr>
          <w:rFonts w:ascii="Times New Roman" w:hAnsi="Times New Roman" w:cs="Times New Roman"/>
          <w:b/>
          <w:color w:val="000000" w:themeColor="text1"/>
          <w:sz w:val="24"/>
          <w:szCs w:val="24"/>
        </w:rPr>
        <w:t>6.1.2事故报告内容</w:t>
      </w:r>
      <w:bookmarkEnd w:id="614"/>
      <w:bookmarkEnd w:id="615"/>
      <w:bookmarkEnd w:id="616"/>
      <w:bookmarkEnd w:id="617"/>
      <w:bookmarkEnd w:id="618"/>
      <w:bookmarkEnd w:id="619"/>
      <w:bookmarkEnd w:id="620"/>
      <w:bookmarkEnd w:id="621"/>
      <w:bookmarkEnd w:id="622"/>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突发环境事件的报告分为初报、续报和处理结果报告三类。初报从发现事件后起</w:t>
      </w:r>
      <w:r>
        <w:rPr>
          <w:rFonts w:ascii="Times New Roman" w:hAnsi="Times New Roman" w:cs="Times New Roman"/>
          <w:color w:val="000000" w:themeColor="text1"/>
          <w:kern w:val="0"/>
          <w:sz w:val="24"/>
          <w:szCs w:val="24"/>
          <w:u w:val="single"/>
        </w:rPr>
        <w:t>1小时内</w:t>
      </w:r>
      <w:r>
        <w:rPr>
          <w:rFonts w:ascii="Times New Roman" w:hAnsi="Times New Roman" w:cs="Times New Roman"/>
          <w:color w:val="000000" w:themeColor="text1"/>
          <w:kern w:val="0"/>
          <w:sz w:val="24"/>
          <w:szCs w:val="24"/>
        </w:rPr>
        <w:t>上报；续报在查清有关基本情况后随时上报；处理结果报告在事件处理完毕后立即上报。</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初报可用电话直接报告，主要内容包括：环境事件的类型、发生时间、地点、污染源、主要污染物质、人员受害情况、事件潜在的危害程度、转化方式趋向等初步情况。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续报可通过网络或书面报告，在初报的基础上报告有关确切数据，事件发生的原因、过程、进展情况及采取的应急措施等基本情况。</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处理结果报告采用书面报告，处理结果报告在初报和续报的基础上，报告处理事件的措施、过程和结果，事件潜在或间接的危害、社会影响、处理后的遗留问题，参加处理工作的有关部门和工作内容，出具有关危害与损失的证明文件等详细情况。</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内部信息报告的形式和要求，以及事件信息的通报流程。</w:t>
      </w:r>
    </w:p>
    <w:p>
      <w:pPr>
        <w:spacing w:line="500" w:lineRule="exact"/>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报告形式包括电话报告及书面报告，内部信息报告内容主要包括：</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（1）发生污染事故所属环保监控区域，具体地点、具体时间及设备、设施；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（2）事故类型：火灾爆炸、中毒、危险源泄漏；</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（3）发生污染事件原因及应急措施或方法；</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（4）有无人员伤亡及被困人员；</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（5）上报时限：立即上报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（6）污染事件通报流程：直接上报突发环境应急小组办公室。</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623" w:name="_Toc25863_WPSOffice_Level2"/>
      <w:bookmarkStart w:id="624" w:name="_Toc24638"/>
      <w:bookmarkStart w:id="625" w:name="_Toc3184"/>
      <w:bookmarkStart w:id="626" w:name="_Toc20317_WPSOffice_Level2"/>
      <w:bookmarkStart w:id="627" w:name="_Toc13624_WPSOffice_Level2"/>
      <w:bookmarkStart w:id="628" w:name="_Toc10370_WPSOffice_Level2"/>
      <w:bookmarkStart w:id="629" w:name="_Toc5838"/>
      <w:bookmarkStart w:id="630" w:name="_Toc18397_WPSOffice_Level2"/>
      <w:bookmarkStart w:id="631" w:name="_Toc20680"/>
      <w:r>
        <w:rPr>
          <w:rFonts w:ascii="Times New Roman" w:hAnsi="Times New Roman" w:cs="Times New Roman"/>
          <w:b/>
          <w:bCs/>
          <w:color w:val="000000" w:themeColor="text1"/>
          <w:sz w:val="24"/>
          <w:szCs w:val="24"/>
        </w:rPr>
        <w:t>6.2信息上报</w:t>
      </w:r>
      <w:bookmarkEnd w:id="623"/>
      <w:bookmarkEnd w:id="624"/>
      <w:bookmarkEnd w:id="625"/>
      <w:bookmarkEnd w:id="626"/>
      <w:bookmarkEnd w:id="627"/>
      <w:bookmarkEnd w:id="628"/>
      <w:bookmarkEnd w:id="629"/>
      <w:bookmarkEnd w:id="630"/>
      <w:bookmarkEnd w:id="631"/>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若发生重特大污染事件，突发环境事件应急领导小组必须在</w:t>
      </w:r>
      <w:r>
        <w:rPr>
          <w:rFonts w:ascii="Times New Roman" w:hAnsi="Times New Roman" w:cs="Times New Roman"/>
          <w:color w:val="000000" w:themeColor="text1"/>
          <w:kern w:val="0"/>
          <w:sz w:val="24"/>
          <w:szCs w:val="24"/>
          <w:u w:val="single"/>
          <w:lang w:val="zh-CN"/>
        </w:rPr>
        <w:t>1小时内</w:t>
      </w:r>
      <w:r>
        <w:rPr>
          <w:rFonts w:ascii="Times New Roman" w:hAnsi="Times New Roman" w:cs="Times New Roman"/>
          <w:color w:val="000000" w:themeColor="text1"/>
          <w:kern w:val="0"/>
          <w:sz w:val="24"/>
          <w:szCs w:val="24"/>
          <w:lang w:val="zh-CN"/>
        </w:rPr>
        <w:t>报告上级领导部门。</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632" w:name="_Toc23381"/>
      <w:bookmarkStart w:id="633" w:name="_Toc24996"/>
      <w:bookmarkStart w:id="634" w:name="_Toc5742_WPSOffice_Level2"/>
      <w:bookmarkStart w:id="635" w:name="_Toc21119_WPSOffice_Level2"/>
      <w:bookmarkStart w:id="636" w:name="_Toc26522_WPSOffice_Level2"/>
      <w:bookmarkStart w:id="637" w:name="_Toc27503_WPSOffice_Level2"/>
      <w:bookmarkStart w:id="638" w:name="_Toc16888"/>
      <w:bookmarkStart w:id="639" w:name="_Toc4553_WPSOffice_Level2"/>
      <w:bookmarkStart w:id="640" w:name="_Toc27336"/>
      <w:r>
        <w:rPr>
          <w:rFonts w:ascii="Times New Roman" w:hAnsi="Times New Roman" w:cs="Times New Roman"/>
          <w:b/>
          <w:bCs/>
          <w:color w:val="000000" w:themeColor="text1"/>
          <w:sz w:val="24"/>
          <w:szCs w:val="24"/>
        </w:rPr>
        <w:t>6.3信息传递</w:t>
      </w:r>
      <w:bookmarkEnd w:id="632"/>
      <w:bookmarkEnd w:id="633"/>
      <w:bookmarkEnd w:id="634"/>
      <w:bookmarkEnd w:id="635"/>
      <w:bookmarkEnd w:id="636"/>
      <w:bookmarkEnd w:id="637"/>
      <w:bookmarkEnd w:id="638"/>
      <w:bookmarkEnd w:id="639"/>
      <w:bookmarkEnd w:id="640"/>
    </w:p>
    <w:p>
      <w:pPr>
        <w:spacing w:before="100" w:after="100"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应急领导小组负责人启动本预案后，同时采取有效措施，防止事故扩大，减少人员伤亡和财产损失。在影响到加油站以外的相关村庄居民时，要在第一时间向周边村庄居民传递可能发生的灾害，通知周边居民疏散。加油站负责人负责信息传递和解释工作。</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641" w:name="_Toc22725_WPSOffice_Level2"/>
      <w:bookmarkStart w:id="642" w:name="_Toc13664_WPSOffice_Level2"/>
      <w:bookmarkStart w:id="643" w:name="_Toc19919_WPSOffice_Level2"/>
      <w:bookmarkStart w:id="644" w:name="_Toc13699_WPSOffice_Level2"/>
      <w:bookmarkStart w:id="645" w:name="_Toc28126_WPSOffice_Level2"/>
      <w:bookmarkStart w:id="646" w:name="_Toc11908"/>
      <w:bookmarkStart w:id="647" w:name="_Toc30541"/>
      <w:bookmarkStart w:id="648" w:name="_Toc10774"/>
      <w:bookmarkStart w:id="649" w:name="_Toc9944"/>
      <w:r>
        <w:rPr>
          <w:rFonts w:ascii="Times New Roman" w:hAnsi="Times New Roman" w:cs="Times New Roman"/>
          <w:b/>
          <w:bCs/>
          <w:color w:val="000000" w:themeColor="text1"/>
          <w:sz w:val="24"/>
          <w:szCs w:val="24"/>
        </w:rPr>
        <w:t>6.4 信息发布</w:t>
      </w:r>
      <w:bookmarkEnd w:id="641"/>
      <w:bookmarkEnd w:id="642"/>
      <w:bookmarkEnd w:id="643"/>
      <w:bookmarkEnd w:id="644"/>
      <w:bookmarkEnd w:id="645"/>
      <w:bookmarkEnd w:id="646"/>
      <w:bookmarkEnd w:id="647"/>
      <w:bookmarkEnd w:id="648"/>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（1）公司应急领导小组组织信息发布，负责说明有关事故处理完毕后的调查结果、采取的措施、善后处理的安排及预防改进措施等。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（2）在信息发布过程中，信息发布组应严格遵守国家法律法规规定，实事求是、客观公正、及时准确地报道事故发生、发展过程。</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（3）公司对外新闻发言人由应急救援指挥部指定。</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（4）所有对外发布的报道，须报请公司应急救援指挥部审定后方可在媒体上发布。</w:t>
      </w:r>
    </w:p>
    <w:p>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650" w:name="_Toc18206"/>
      <w:bookmarkStart w:id="651" w:name="_Toc31867_WPSOffice_Level1"/>
      <w:bookmarkStart w:id="652" w:name="_Toc14468_WPSOffice_Level1"/>
      <w:bookmarkStart w:id="653" w:name="_Toc20556_WPSOffice_Level1"/>
      <w:bookmarkStart w:id="654" w:name="_Toc20703"/>
      <w:bookmarkStart w:id="655" w:name="_Toc21536_WPSOffice_Level1"/>
      <w:bookmarkStart w:id="656" w:name="_Toc6079"/>
      <w:bookmarkStart w:id="657" w:name="_Toc2221_WPSOffice_Level1"/>
      <w:bookmarkStart w:id="658" w:name="_Toc9073"/>
      <w:r>
        <w:rPr>
          <w:rFonts w:ascii="Times New Roman" w:hAnsi="Times New Roman" w:cs="Times New Roman"/>
          <w:b/>
          <w:bCs/>
          <w:color w:val="000000" w:themeColor="text1"/>
          <w:kern w:val="44"/>
          <w:sz w:val="30"/>
          <w:szCs w:val="30"/>
        </w:rPr>
        <w:t>7、应急响应与措施</w:t>
      </w:r>
      <w:bookmarkEnd w:id="650"/>
      <w:bookmarkEnd w:id="651"/>
      <w:bookmarkEnd w:id="652"/>
      <w:bookmarkEnd w:id="653"/>
      <w:bookmarkEnd w:id="654"/>
      <w:bookmarkEnd w:id="655"/>
      <w:bookmarkEnd w:id="656"/>
      <w:bookmarkEnd w:id="657"/>
      <w:bookmarkEnd w:id="658"/>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659" w:name="_Toc13754"/>
      <w:bookmarkStart w:id="660" w:name="_Toc1786_WPSOffice_Level2"/>
      <w:bookmarkStart w:id="661" w:name="_Toc31867_WPSOffice_Level2"/>
      <w:bookmarkStart w:id="662" w:name="_Toc2823_WPSOffice_Level2"/>
      <w:bookmarkStart w:id="663" w:name="_Toc14989_WPSOffice_Level2"/>
      <w:bookmarkStart w:id="664" w:name="_Toc6730"/>
      <w:bookmarkStart w:id="665" w:name="_Toc1602"/>
      <w:bookmarkStart w:id="666" w:name="_Toc29833"/>
      <w:bookmarkStart w:id="667" w:name="_Toc14371_WPSOffice_Level2"/>
      <w:bookmarkStart w:id="668" w:name="_Toc13308"/>
      <w:bookmarkStart w:id="669" w:name="_Toc19885"/>
      <w:r>
        <w:rPr>
          <w:rFonts w:ascii="Times New Roman" w:hAnsi="Times New Roman" w:cs="Times New Roman"/>
          <w:b/>
          <w:bCs/>
          <w:color w:val="000000" w:themeColor="text1"/>
          <w:sz w:val="24"/>
          <w:szCs w:val="24"/>
        </w:rPr>
        <w:t>7.1分级响应</w:t>
      </w:r>
      <w:bookmarkEnd w:id="659"/>
      <w:r>
        <w:rPr>
          <w:rFonts w:ascii="Times New Roman" w:hAnsi="Times New Roman" w:cs="Times New Roman"/>
          <w:b/>
          <w:bCs/>
          <w:color w:val="000000" w:themeColor="text1"/>
          <w:sz w:val="24"/>
          <w:szCs w:val="24"/>
        </w:rPr>
        <w:t>机制</w:t>
      </w:r>
      <w:bookmarkEnd w:id="660"/>
      <w:bookmarkEnd w:id="661"/>
      <w:bookmarkEnd w:id="662"/>
      <w:bookmarkEnd w:id="663"/>
      <w:bookmarkEnd w:id="664"/>
      <w:bookmarkEnd w:id="665"/>
      <w:bookmarkEnd w:id="666"/>
      <w:bookmarkEnd w:id="667"/>
      <w:bookmarkEnd w:id="668"/>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突发环境事件应急响应坚持以突发环境事件应急领导小组统一领导，按照环境保护片区负责制，各个加油员、相关部门为单位支持的原则。按突发环境事件的可控性、严重程度和影响范围，突发环境事件的应急响应分不可控（不可控响应-当地政府）、可控（可控响应-加油站内部）两级。超出加油站应急处置能力时，应及时启动不可控应急响应、请求当地相关政府部门支援。</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hint="eastAsia" w:ascii="Times New Roman" w:hAnsi="Times New Roman" w:cs="Times New Roman"/>
          <w:b/>
          <w:color w:val="000000" w:themeColor="text1"/>
          <w:kern w:val="0"/>
          <w:sz w:val="24"/>
          <w:szCs w:val="24"/>
          <w:lang w:val="zh-CN"/>
        </w:rPr>
        <w:t>（1）</w:t>
      </w:r>
      <w:r>
        <w:rPr>
          <w:rFonts w:ascii="Times New Roman" w:hAnsi="Times New Roman" w:cs="Times New Roman"/>
          <w:b/>
          <w:color w:val="000000" w:themeColor="text1"/>
          <w:kern w:val="0"/>
          <w:sz w:val="24"/>
          <w:szCs w:val="24"/>
          <w:lang w:val="zh-CN"/>
        </w:rPr>
        <w:t>不可控预警：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为已发生火灾、爆炸和危险源大面积泄漏事故，且危险源流出或扩散到周边社区、企业，公司已没有能力控制，由加油站应急领导小组在1小时内报告当地相关政府部门，请求支援、启动</w:t>
      </w:r>
      <w:r>
        <w:rPr>
          <w:rFonts w:ascii="Times New Roman" w:hAnsi="Times New Roman" w:eastAsia="宋体" w:cs="Times New Roman"/>
          <w:color w:val="000000" w:themeColor="text1"/>
          <w:kern w:val="0"/>
          <w:sz w:val="24"/>
          <w:szCs w:val="24"/>
          <w:lang w:val="zh-CN"/>
        </w:rPr>
        <w:t>Ⅰ</w:t>
      </w:r>
      <w:r>
        <w:rPr>
          <w:rFonts w:ascii="Times New Roman" w:hAnsi="Times New Roman" w:cs="Times New Roman"/>
          <w:color w:val="000000" w:themeColor="text1"/>
          <w:kern w:val="0"/>
          <w:sz w:val="24"/>
          <w:szCs w:val="24"/>
          <w:lang w:val="zh-CN"/>
        </w:rPr>
        <w:t>级应急救援预案。</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hint="eastAsia" w:ascii="Times New Roman" w:hAnsi="Times New Roman" w:eastAsia="宋体"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可控预警：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a</w:t>
      </w:r>
      <w:r>
        <w:rPr>
          <w:rFonts w:ascii="Times New Roman" w:hAnsi="Times New Roman" w:cs="Times New Roman"/>
          <w:color w:val="000000" w:themeColor="text1"/>
          <w:kern w:val="0"/>
          <w:sz w:val="24"/>
          <w:szCs w:val="24"/>
          <w:lang w:val="zh-CN"/>
        </w:rPr>
        <w:t>、为已发生火灾、爆炸和危险源大面积泄漏事故，但危险源没有流出或扩散到周边社区、企业，由公司加油站应急领导小组组织实施应急救援，加油站内部各应急小组现场处置。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b</w:t>
      </w:r>
      <w:r>
        <w:rPr>
          <w:rFonts w:ascii="Times New Roman" w:hAnsi="Times New Roman" w:cs="Times New Roman"/>
          <w:color w:val="000000" w:themeColor="text1"/>
          <w:kern w:val="0"/>
          <w:sz w:val="24"/>
          <w:szCs w:val="24"/>
          <w:lang w:val="zh-CN"/>
        </w:rPr>
        <w:t>、为已发生火灾和危险源泄漏，在短时间内可以处置控制未对周边企业和社区产生影响的突发环境事故时，由班组应急小组组织实施应急救援，及时报告加油站应急领导小组，做好协调工作。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c、</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设备、设施故障，将会导致</w:t>
      </w:r>
      <w:r>
        <w:rPr>
          <w:rFonts w:ascii="Times New Roman" w:hAnsi="Times New Roman" w:cs="Times New Roman"/>
          <w:color w:val="000000" w:themeColor="text1"/>
          <w:kern w:val="0"/>
          <w:sz w:val="24"/>
          <w:szCs w:val="24"/>
        </w:rPr>
        <w:t>危险源</w:t>
      </w:r>
      <w:r>
        <w:rPr>
          <w:rFonts w:ascii="Times New Roman" w:hAnsi="Times New Roman" w:cs="Times New Roman"/>
          <w:color w:val="000000" w:themeColor="text1"/>
          <w:kern w:val="0"/>
          <w:sz w:val="24"/>
          <w:szCs w:val="24"/>
          <w:lang w:val="zh-CN"/>
        </w:rPr>
        <w:t>泄漏、火灾、爆炸等环境安全事故的；</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现场发现存在泄漏或火灾迹象的；</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lang w:val="zh-CN"/>
        </w:rPr>
        <w:t>③</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遇雷雨、极端气候、汛涝等恶劣气候；</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lang w:val="zh-CN"/>
        </w:rPr>
        <w:t>④</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其他异常现象等，由加油站班组及时应急处置，同时报告加油站应急办公室，做好应急协调工作。</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hint="eastAsia" w:ascii="Times New Roman" w:hAnsi="Times New Roman" w:eastAsia="宋体"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分级响应条件：</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加油站危险事故的类别主要有：油品泄漏、</w:t>
      </w:r>
      <w:r>
        <w:rPr>
          <w:rFonts w:ascii="Times New Roman" w:hAnsi="Times New Roman" w:cs="Times New Roman"/>
          <w:color w:val="000000" w:themeColor="text1"/>
          <w:kern w:val="0"/>
          <w:sz w:val="24"/>
          <w:szCs w:val="24"/>
        </w:rPr>
        <w:t>火灾中毒、环境污染等</w:t>
      </w:r>
      <w:r>
        <w:rPr>
          <w:rFonts w:ascii="Times New Roman" w:hAnsi="Times New Roman" w:cs="Times New Roman"/>
          <w:color w:val="000000" w:themeColor="text1"/>
          <w:kern w:val="0"/>
          <w:sz w:val="24"/>
          <w:szCs w:val="24"/>
          <w:lang w:val="zh-CN"/>
        </w:rPr>
        <w:t>。前一种多是由于操作人员在工作中操作不当引起，涉及范围较小，而后两种不发生则已，一旦发生引起几种共同发生的机率十分大，危害程度极高，波及范围十分广，必须在1小时内向南昌市环境保护局、当地政府相关部门请求应急救援。</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670" w:name="_Toc17746_WPSOffice_Level2"/>
      <w:bookmarkStart w:id="671" w:name="_Toc9787_WPSOffice_Level2"/>
      <w:bookmarkStart w:id="672" w:name="_Toc27495"/>
      <w:bookmarkStart w:id="673" w:name="_Toc6831_WPSOffice_Level2"/>
      <w:bookmarkStart w:id="674" w:name="_Toc20896_WPSOffice_Level2"/>
      <w:bookmarkStart w:id="675" w:name="_Toc2629"/>
      <w:bookmarkStart w:id="676" w:name="_Toc22434"/>
      <w:bookmarkStart w:id="677" w:name="_Toc9848_WPSOffice_Level2"/>
      <w:bookmarkStart w:id="678" w:name="_Toc25905"/>
      <w:r>
        <w:rPr>
          <w:rFonts w:ascii="Times New Roman" w:hAnsi="Times New Roman" w:cs="Times New Roman"/>
          <w:b/>
          <w:bCs/>
          <w:color w:val="000000" w:themeColor="text1"/>
          <w:sz w:val="24"/>
          <w:szCs w:val="24"/>
        </w:rPr>
        <w:t>7.2响应</w:t>
      </w:r>
      <w:bookmarkEnd w:id="669"/>
      <w:r>
        <w:rPr>
          <w:rFonts w:ascii="Times New Roman" w:hAnsi="Times New Roman" w:cs="Times New Roman"/>
          <w:b/>
          <w:bCs/>
          <w:color w:val="000000" w:themeColor="text1"/>
          <w:sz w:val="24"/>
          <w:szCs w:val="24"/>
        </w:rPr>
        <w:t>程序</w:t>
      </w:r>
      <w:bookmarkEnd w:id="670"/>
      <w:bookmarkEnd w:id="671"/>
      <w:bookmarkEnd w:id="672"/>
      <w:bookmarkEnd w:id="673"/>
      <w:bookmarkEnd w:id="674"/>
      <w:bookmarkEnd w:id="675"/>
      <w:bookmarkEnd w:id="676"/>
      <w:bookmarkEnd w:id="677"/>
      <w:bookmarkEnd w:id="678"/>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分区预警，分区重点控制，主要包括以下内容：</w:t>
      </w:r>
    </w:p>
    <w:p>
      <w:pPr>
        <w:pStyle w:val="14"/>
        <w:spacing w:before="0" w:beforeAutospacing="0" w:after="0" w:afterAutospacing="0" w:line="500" w:lineRule="exact"/>
        <w:ind w:firstLine="480" w:firstLineChars="200"/>
        <w:rPr>
          <w:rFonts w:ascii="Times New Roman" w:hAnsi="Times New Roman" w:eastAsiaTheme="minorEastAsia"/>
          <w:color w:val="000000" w:themeColor="text1"/>
          <w:szCs w:val="24"/>
          <w:lang w:val="zh-CN"/>
        </w:rPr>
      </w:pPr>
      <w:r>
        <w:rPr>
          <w:rFonts w:ascii="Times New Roman" w:hAnsi="Times New Roman" w:eastAsiaTheme="minorEastAsia"/>
          <w:color w:val="000000" w:themeColor="text1"/>
          <w:szCs w:val="24"/>
          <w:lang w:val="zh-CN"/>
        </w:rPr>
        <w:t>加油站突发环境事件主要包括汽油泄漏、含油废水泄漏、危险废物不安全处置等，响应流程如下：</w:t>
      </w:r>
    </w:p>
    <w:p>
      <w:pPr>
        <w:overflowPunct w:val="0"/>
        <w:topLinePunct/>
        <w:spacing w:line="360" w:lineRule="auto"/>
        <w:ind w:firstLine="496" w:firstLineChars="200"/>
        <w:rPr>
          <w:rFonts w:ascii="Times New Roman" w:hAnsi="Times New Roman" w:cs="Times New Roman"/>
          <w:color w:val="000000" w:themeColor="text1"/>
          <w:spacing w:val="4"/>
          <w:sz w:val="24"/>
          <w:szCs w:val="24"/>
        </w:rPr>
      </w:pPr>
      <w:r>
        <w:rPr>
          <w:rFonts w:ascii="Times New Roman" w:hAnsi="Times New Roman" w:cs="Times New Roman"/>
          <w:color w:val="000000" w:themeColor="text1"/>
          <w:spacing w:val="4"/>
          <w:sz w:val="24"/>
          <w:szCs w:val="24"/>
        </w:rPr>
        <w:pict>
          <v:group id="组合 42" o:spid="_x0000_s1037" o:spt="203" style="position:absolute;left:0pt;margin-left:126.85pt;margin-top:5.3pt;height:330.9pt;width:217.2pt;mso-wrap-distance-bottom:0pt;mso-wrap-distance-top:0pt;z-index:251623424;mso-width-relative:page;mso-height-relative:page;" coordsize="4344,6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">
            <o:lock v:ext="edit"/>
            <v:shape id="流程图: 过程 24" o:spid="_x0000_s1038" o:spt="109" type="#_x0000_t109" style="position:absolute;left:1398;top:0;height:870;width:152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">
              <v:path/>
              <v:fill focussize="0,0"/>
              <v:stroke joinstyle="miter"/>
              <v:imagedata o:title=""/>
              <o:lock v:ext="edit"/>
              <v:textbo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突发环境污染事件</w:t>
                    </w:r>
                  </w:p>
                </w:txbxContent>
              </v:textbox>
            </v:shape>
            <v:shape id="下箭头 25" o:spid="_x0000_s1039" o:spt="67" type="#_x0000_t67" style="position:absolute;left:2089;top:870;height:503;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" adj="16201">
              <v:path/>
              <v:fill focussize="0,0"/>
              <v:stroke joinstyle="miter"/>
              <v:imagedata o:title=""/>
              <o:lock v:ext="edit"/>
            </v:shape>
            <v:shape id="流程图: 过程 29" o:spid="_x0000_s1040" o:spt="109" type="#_x0000_t109" style="position:absolute;left:1340;top:1373;height:502;width:1641;"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">
              <v:path/>
              <v:fill focussize="0,0"/>
              <v:stroke joinstyle="miter"/>
              <v:imagedata o:title=""/>
              <o:lock v:ext="edit"/>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应急领导小组</w:t>
                    </w:r>
                  </w:p>
                </w:txbxContent>
              </v:textbox>
            </v:shape>
            <v:shape id="下箭头 32" o:spid="_x0000_s1041" o:spt="67" type="#_x0000_t67" style="position:absolute;left:2089;top:1875;height:502;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" adj="16201">
              <v:path/>
              <v:fill focussize="0,0"/>
              <v:stroke joinstyle="miter"/>
              <v:imagedata o:title=""/>
              <o:lock v:ext="edit"/>
            </v:shape>
            <v:shape id="流程图: 过程 33" o:spid="_x0000_s1042" o:spt="109" type="#_x0000_t109" style="position:absolute;left:3862;top:2848;height:1373;width:46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">
              <v:path/>
              <v:fill focussize="0,0"/>
              <v:stroke joinstyle="miter"/>
              <v:imagedata o:title=""/>
              <o:lock v:ext="edit"/>
              <v:textbo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应急监测</w:t>
                    </w:r>
                  </w:p>
                </w:txbxContent>
              </v:textbox>
            </v:shape>
            <v:shape id="直接箭头连接符 34" o:spid="_x0000_s1043" o:spt="32" type="#_x0000_t32" style="position:absolute;left:117;top:2395;height:0;width:4052;" o:connectortype="straight" fill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path arrowok="t"/>
              <v:fill on="f" focussize="0,0"/>
              <v:stroke/>
              <v:imagedata o:title=""/>
              <o:lock v:ext="edit"/>
            </v:shape>
            <v:shape id="下箭头 35" o:spid="_x0000_s1044" o:spt="67" type="#_x0000_t67" style="position:absolute;left:66;top:2369;height:486;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" adj="16201">
              <v:path/>
              <v:fill focussize="0,0"/>
              <v:stroke joinstyle="miter"/>
              <v:imagedata o:title=""/>
              <o:lock v:ext="edit"/>
            </v:shape>
            <v:shape id="流程图: 过程 36" o:spid="_x0000_s1045" o:spt="109" type="#_x0000_t109" style="position:absolute;left:0;top:2848;height:1373;width:46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">
              <v:path/>
              <v:fill focussize="0,0"/>
              <v:stroke joinstyle="miter"/>
              <v:imagedata o:title=""/>
              <o:lock v:ext="edit"/>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人员疏散</w:t>
                    </w:r>
                  </w:p>
                </w:txbxContent>
              </v:textbox>
            </v:shape>
            <v:shape id="下箭头 37" o:spid="_x0000_s1046" o:spt="67" type="#_x0000_t67" style="position:absolute;left:4064;top:2369;height:486;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" adj="16201">
              <v:path/>
              <v:fill focussize="0,0"/>
              <v:stroke joinstyle="miter"/>
              <v:imagedata o:title=""/>
              <o:lock v:ext="edit"/>
            </v:shape>
            <v:shape id="流程图: 合并 38" o:spid="_x0000_s1047" o:spt="128" type="#_x0000_t128" style="position:absolute;left:0;top:4214;height:790;width:434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">
              <v:path/>
              <v:fill focussize="0,0"/>
              <v:stroke joinstyle="miter"/>
              <v:imagedata o:title=""/>
              <o:lock v:ext="edit"/>
              <v:textbox>
                <w:txbxContent>
                  <w:p>
                    <w:pPr>
                      <w:jc w:val="center"/>
                      <w:rPr>
                        <w:rFonts w:ascii="Times New Roman" w:hAnsi="Times New Roman" w:eastAsia="Times New Roman" w:cs="Times New Roman"/>
                        <w:szCs w:val="20"/>
                      </w:rPr>
                    </w:pPr>
                    <w:r>
                      <w:rPr>
                        <w:rFonts w:hint="eastAsia" w:ascii="Times New Roman" w:hAnsi="Times New Roman" w:eastAsia="仿宋" w:cs="Times New Roman"/>
                        <w:szCs w:val="20"/>
                      </w:rPr>
                      <w:t>故障排除</w:t>
                    </w:r>
                  </w:p>
                </w:txbxContent>
              </v:textbox>
            </v:shape>
            <v:shape id="流程图: 过程 39" o:spid="_x0000_s1048" o:spt="109" type="#_x0000_t109" style="position:absolute;left:1553;top:5010;height:586;width:122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">
              <v:path/>
              <v:fill focussize="0,0"/>
              <v:stroke joinstyle="miter"/>
              <v:imagedata o:title=""/>
              <o:lock v:ext="edit"/>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解除预警</w:t>
                    </w:r>
                  </w:p>
                </w:txbxContent>
              </v:textbox>
            </v:shape>
            <v:shape id="下箭头 40" o:spid="_x0000_s1049" o:spt="67" type="#_x0000_t67" style="position:absolute;left:2109;top:5597;height:469;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" adj="16201">
              <v:path/>
              <v:fill focussize="0,0"/>
              <v:stroke joinstyle="miter"/>
              <v:imagedata o:title=""/>
              <o:lock v:ext="edit"/>
            </v:shape>
            <v:shape id="流程图: 过程 41" o:spid="_x0000_s1050" o:spt="109" type="#_x0000_t109" style="position:absolute;left:1540;top:6049;height:569;width:122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">
              <v:path/>
              <v:fill focussize="0,0"/>
              <v:stroke joinstyle="miter"/>
              <v:imagedata o:title=""/>
              <o:lock v:ext="edit"/>
              <v:textbox>
                <w:txbxContent>
                  <w:p>
                    <w:pPr>
                      <w:rPr>
                        <w:rFonts w:ascii="Times New Roman" w:hAnsi="Times New Roman" w:eastAsia="Times New Roman" w:cs="Times New Roman"/>
                        <w:szCs w:val="20"/>
                      </w:rPr>
                    </w:pPr>
                    <w:r>
                      <w:rPr>
                        <w:rFonts w:hint="eastAsia" w:ascii="Times New Roman" w:hAnsi="Times New Roman" w:eastAsia="仿宋" w:cs="Times New Roman"/>
                        <w:szCs w:val="20"/>
                      </w:rPr>
                      <w:t>建立台账</w:t>
                    </w:r>
                  </w:p>
                </w:txbxContent>
              </v:textbox>
            </v:shape>
            <w10:wrap type="topAndBottom"/>
          </v:group>
        </w:pict>
      </w:r>
      <w:bookmarkStart w:id="679" w:name="_Toc21791"/>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680" w:name="_Toc21921_WPSOffice_Level2"/>
      <w:bookmarkStart w:id="681" w:name="_Toc28860_WPSOffice_Level2"/>
      <w:bookmarkStart w:id="682" w:name="_Toc25798_WPSOffice_Level2"/>
      <w:bookmarkStart w:id="683" w:name="_Toc31086_WPSOffice_Level2"/>
      <w:bookmarkStart w:id="684" w:name="_Toc10109"/>
      <w:bookmarkStart w:id="685" w:name="_Toc16676_WPSOffice_Level2"/>
      <w:bookmarkStart w:id="686" w:name="_Toc31887"/>
      <w:bookmarkStart w:id="687" w:name="_Toc24326"/>
      <w:r>
        <w:rPr>
          <w:rFonts w:ascii="Times New Roman" w:hAnsi="Times New Roman" w:cs="Times New Roman"/>
          <w:b/>
          <w:bCs/>
          <w:color w:val="000000" w:themeColor="text1"/>
          <w:sz w:val="24"/>
          <w:szCs w:val="24"/>
        </w:rPr>
        <w:t>7.3应急措施</w:t>
      </w:r>
      <w:bookmarkEnd w:id="679"/>
      <w:bookmarkEnd w:id="680"/>
      <w:bookmarkEnd w:id="681"/>
      <w:bookmarkEnd w:id="682"/>
      <w:bookmarkEnd w:id="683"/>
      <w:bookmarkEnd w:id="684"/>
      <w:bookmarkEnd w:id="685"/>
      <w:bookmarkEnd w:id="686"/>
      <w:bookmarkEnd w:id="687"/>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688" w:name="_Toc304896938"/>
      <w:bookmarkStart w:id="689" w:name="_Toc1204"/>
      <w:r>
        <w:rPr>
          <w:rFonts w:ascii="Times New Roman" w:hAnsi="Times New Roman" w:cs="Times New Roman"/>
          <w:color w:val="000000" w:themeColor="text1"/>
          <w:kern w:val="0"/>
          <w:sz w:val="24"/>
          <w:szCs w:val="24"/>
          <w:lang w:val="zh-CN"/>
        </w:rPr>
        <w:t>发生环境污染事件现场处置：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要立即采取关闭、封堵、围挡、吸附、转移等措施，切断和控制污染源，防止污染蔓延扩散。做好有毒有害物质和消防废水、废液等的收集、清理和安全处置工作。定期组织对污染来源开展调查，确定污染物种类和污染范围，切断污染源。 </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应组织制订综合治污方案，采用监测和模拟等手段追踪污染气体扩散途径和范围；采取拦截、导流、疏浚等形式防止水体污染扩大；采取隔离、吸附、打捞、沉淀、消毒、去污洗消、临时收贮、微生物消解、转移异地处置、临时建设污染处置工程等方法处置污染物。</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加油站的危险废物经专用容器分类收集后，在收集间内暂存，全部委托有资质处置单位清运处置。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危险废物的管理应符合危险废物集中处置的技术规范及危险废物专用包装物、容器标准和警示标示规定。在对所产生的废弃物进行初步的分类收集，禁止危险废物和其他生活垃圾混杂。及时收集本单位产生的危险废物，并按照类别分置于“三防”收集间暂存，按照国家危险废物相关管理要求收集、暂存、处置。危险废物收集间门上设有明显的危险废物警示标识，防止非工作人员进出、偷盗及不安全处置等行为发生。</w:t>
      </w:r>
    </w:p>
    <w:bookmarkEnd w:id="688"/>
    <w:bookmarkEnd w:id="689"/>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加油站经营的油品汽油是易燃易爆炸物品，发生泄漏时应急措施应注意事项：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（1）实施控制事故发展的装备、资源。</w:t>
      </w: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t>通信设备应使用无线电通信设备，危险区内禁止使用移动电话和对讲机等非防爆型通信工具。</w:t>
      </w:r>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t>消防装备和器材：灭火砂箱、灭火毯、二氧化碳灭火器、干粉灭火器、应急照明设备等。</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（2）救护人员使用的装备：正压式空气呼吸器、全封闭防化服或防静电消防服、防静电工作服、防护隔热服、避火服、防冻衬纱橡胶手套等。</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（3）现场处置、检测用设备：风向仪、不同规格带压堵漏卡具、夹具、高压注胶枪、手动高压油泵、防火花的专业施工工具及防爆电筒等。</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690" w:name="_Toc13104"/>
      <w:bookmarkStart w:id="691" w:name="_Toc26465"/>
      <w:r>
        <w:rPr>
          <w:rFonts w:hint="eastAsia" w:ascii="Times New Roman" w:hAnsi="Times New Roman" w:cs="Times New Roman"/>
          <w:b/>
          <w:color w:val="000000" w:themeColor="text1"/>
          <w:sz w:val="24"/>
          <w:szCs w:val="24"/>
        </w:rPr>
        <w:t>7.3.1 预案启动</w:t>
      </w:r>
      <w:bookmarkEnd w:id="690"/>
      <w:bookmarkEnd w:id="691"/>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当加油站发生作业现场、油罐区跑、冒、滴、漏；</w:t>
      </w:r>
      <w:r>
        <w:rPr>
          <w:rFonts w:ascii="Times New Roman" w:hAnsi="Times New Roman" w:cs="Times New Roman"/>
          <w:color w:val="FF0000"/>
          <w:kern w:val="0"/>
          <w:sz w:val="24"/>
          <w:szCs w:val="24"/>
          <w:lang w:val="zh-CN"/>
        </w:rPr>
        <w:t>加油、卸油现场火灾</w:t>
      </w:r>
      <w:r>
        <w:rPr>
          <w:rFonts w:hint="eastAsia" w:ascii="Times New Roman" w:hAnsi="Times New Roman" w:cs="Times New Roman"/>
          <w:color w:val="FF0000"/>
          <w:kern w:val="0"/>
          <w:sz w:val="24"/>
          <w:szCs w:val="24"/>
          <w:lang w:val="zh-CN"/>
        </w:rPr>
        <w:t>；</w:t>
      </w:r>
      <w:r>
        <w:rPr>
          <w:rFonts w:ascii="Times New Roman" w:hAnsi="Times New Roman" w:cs="Times New Roman"/>
          <w:color w:val="FF0000"/>
          <w:kern w:val="0"/>
          <w:sz w:val="24"/>
          <w:szCs w:val="24"/>
          <w:lang w:val="zh-CN"/>
        </w:rPr>
        <w:t>车辆火灾</w:t>
      </w:r>
      <w:r>
        <w:rPr>
          <w:rFonts w:hint="eastAsia" w:ascii="Times New Roman" w:hAnsi="Times New Roman" w:cs="Times New Roman"/>
          <w:color w:val="FF0000"/>
          <w:kern w:val="0"/>
          <w:sz w:val="24"/>
          <w:szCs w:val="24"/>
          <w:lang w:val="zh-CN"/>
        </w:rPr>
        <w:t>；</w:t>
      </w:r>
      <w:r>
        <w:rPr>
          <w:rFonts w:ascii="Times New Roman" w:hAnsi="Times New Roman" w:cs="Times New Roman"/>
          <w:color w:val="FF0000"/>
          <w:kern w:val="0"/>
          <w:sz w:val="24"/>
          <w:szCs w:val="24"/>
          <w:lang w:val="zh-CN"/>
        </w:rPr>
        <w:t>电器火灾</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lang w:val="zh-CN"/>
        </w:rPr>
        <w:t>人员中毒</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lang w:val="zh-CN"/>
        </w:rPr>
        <w:t>混油</w:t>
      </w:r>
      <w:r>
        <w:rPr>
          <w:rFonts w:hint="eastAsia" w:ascii="Times New Roman" w:hAnsi="Times New Roman" w:cs="Times New Roman"/>
          <w:color w:val="FF0000"/>
          <w:kern w:val="0"/>
          <w:sz w:val="24"/>
          <w:szCs w:val="24"/>
        </w:rPr>
        <w:t>;危废污染及火灾爆炸时本预案开始启动。本预案涉及的时间要害部位、关键装置、储存设施、输送管线、在工作场所内的运输油品的汽车等交通工具发生的以上各类事件。当时太扩大，加油站应急小组无法控制且危及应急人员生命安全时，应立即指挥现场全部人员撤离至安全区域警戒，等待分公司应急指挥中心和政府救援机构的到来，配合好抢险工作。</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692" w:name="_Toc23529"/>
      <w:bookmarkStart w:id="693" w:name="_Toc23370_WPSOffice_Level3"/>
      <w:bookmarkStart w:id="694" w:name="_Toc8333_WPSOffice_Level3"/>
      <w:bookmarkStart w:id="695" w:name="_Toc27314_WPSOffice_Level3"/>
      <w:bookmarkStart w:id="696" w:name="_Toc18070_WPSOffice_Level3"/>
      <w:bookmarkStart w:id="697" w:name="_Toc2543"/>
      <w:bookmarkStart w:id="698" w:name="_Toc20596_WPSOffice_Level3"/>
      <w:bookmarkStart w:id="699" w:name="_Toc21039"/>
      <w:bookmarkStart w:id="700" w:name="_Toc8296"/>
      <w:r>
        <w:rPr>
          <w:rFonts w:ascii="Times New Roman" w:hAnsi="Times New Roman" w:cs="Times New Roman"/>
          <w:b/>
          <w:color w:val="000000" w:themeColor="text1"/>
          <w:sz w:val="24"/>
          <w:szCs w:val="24"/>
        </w:rPr>
        <w:t>7.3.2 作业现场、油罐区跑、冒、滴、漏应急处理</w:t>
      </w:r>
      <w:bookmarkEnd w:id="692"/>
      <w:bookmarkEnd w:id="693"/>
      <w:bookmarkEnd w:id="694"/>
      <w:bookmarkEnd w:id="695"/>
      <w:bookmarkEnd w:id="696"/>
      <w:bookmarkEnd w:id="697"/>
      <w:bookmarkEnd w:id="698"/>
      <w:bookmarkEnd w:id="699"/>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事故发现者马上关闭油罐闸阀和罐车阀门，并切断站内电源开关，同时通知值班经理。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如跑、冒、漏出的油品数量较少，则值班经理组织站内应急组对现场已跑、冒、漏出的油品用沙土覆盖，待油品被充分吸收后将附有油迹的沙土放至指定的场所进行专业处理。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对跑、冒、漏出的油品数量较多时，视情况按响警铃及停止营业，对现场实施监控，全站进入戒备状态，严禁现场所有危害行为。值班经理组织应急组用沙土将油品团团围住，防止油品进一步外溢，后勤保障岗位取来消防器材放至事故现场，作好警戒、疏散工作，其他岗位按职责分工作业。加油现场车辆全部推出。</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对能够回收的油品，由值班经理安排应急组用不产生静电的容器进行回收。</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回收后，对无法回收的油品用沙土覆盖其表面，待其充分被吸收后将沙土清除干净，待油品被充分吸收后将附有油迹的沙土放至指定的场所进行专业处理。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果量油口冒油，值班经理安排人员先将操作井周围用沙土围住，并取来消防器材放至周围，用不产生静电的容器将操作井内的油品进行回收到专业容器中，待沉淀2—10小时后，上层净油进行回罐，有杂质的油品放至专业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检查人孔操作井内及周围是否有残留油液，并检查是否有其他可能产生危险的隐患存在。</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8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⑧</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确认无误后，随即仔细查找跑、冒、漏油的事故根源，酌情处理：如属于计量失误，罐内油品数量已达到最大安全容量，须停止继续卸油作业。同时上报安全主管部门、联系公司总调度，由总调度安排将罐车内未卸完的油品进行移站处理；如属于管线与接卸油闸阀未密闭而造成的跑、冒、漏油应重新对管线进行连接，确保其密闭完好性。然后开启接卸油闸阀继续进行接卸油作业。如管线破损可用木楔、棉纱、纯棉拖把抹布等进行堵塞。</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跑、冒、漏油事故严重时，马上关闭站内电源开关停止加油作业。并报告公安、消防部门，以便及时封堵附近的交通道路。加油站负责人及时组织人员进行现场警戒，疏散站内人员，推出站内车辆，检查并清除附近的一切火源、电源，禁止其他人员及车辆进入站内。并通知毗邻单位或居民，注意危险，禁用火种。</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如在事故处理过程当中，有人员被油品沾染浸湿的时候，马上进行防火处理：夏天应立即用清水冲洗，更换衣物，避免附着在身体及衣物上的油品大量挥发成油蒸气从而引发明火，烧伤人员；冬天应脱下被浸湿的外套、鞋袜等衣物，过程中注意动作缓慢，以防产生静电和皮肤中毒，并及时更换衣服。</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4</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处理事故的同时，首先应保证绝对禁止产生明火、静电的行为。其次，对充分吸收了油品的沙土要严格按照规定进行放置、处理，以免造成环境污染和额外事故。事故发生后，必须依照“四不放过”原则，对事故认真分析、调查，并对事故责任人进行追究、对群众进行教育。</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701" w:name="_Toc16182_WPSOffice_Level3"/>
      <w:bookmarkStart w:id="702" w:name="_Toc5706_WPSOffice_Level3"/>
      <w:bookmarkStart w:id="703" w:name="_Toc27528_WPSOffice_Level3"/>
      <w:bookmarkStart w:id="704" w:name="_Toc29406_WPSOffice_Level3"/>
      <w:bookmarkStart w:id="705" w:name="_Toc17114"/>
      <w:bookmarkStart w:id="706" w:name="_Toc29892_WPSOffice_Level3"/>
      <w:bookmarkStart w:id="707" w:name="_Toc16069"/>
      <w:bookmarkStart w:id="708" w:name="_Toc5588"/>
      <w:r>
        <w:rPr>
          <w:rFonts w:ascii="Times New Roman" w:hAnsi="Times New Roman" w:cs="Times New Roman"/>
          <w:b/>
          <w:color w:val="000000" w:themeColor="text1"/>
          <w:sz w:val="24"/>
          <w:szCs w:val="24"/>
        </w:rPr>
        <w:t>7.3.3 加油、卸油现场火灾应急处理</w:t>
      </w:r>
      <w:bookmarkEnd w:id="701"/>
      <w:bookmarkEnd w:id="702"/>
      <w:bookmarkEnd w:id="703"/>
      <w:bookmarkEnd w:id="704"/>
      <w:bookmarkEnd w:id="705"/>
      <w:bookmarkEnd w:id="706"/>
      <w:bookmarkEnd w:id="707"/>
      <w:bookmarkEnd w:id="708"/>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事故发现者马上关闭油罐闸阀和罐车阀门，并通知值班经理。油站报警联络员及时按响警铃，应急组岗位人员在第一时间赶到现场，尽力扑灭初期火灾。</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值班经理要根据火势进行灭火指挥，当初期小火时，周边员工及驾驶员可迅速使用加油岛、卸油区放置的消防沙、消防毯等进行灭火。如火势扩大，后勤保障组员工及时取来手提式灭火器参加扑救。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值班经理指派当班应急组员维持站内加油车辆及人员的秩序（必要时进行疏散），核算员视火势扑救情况报火警，并将现金、账簿和重要凭证放至保险柜后参加扑救工作。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如火势继续扩大，灭火器无法扑灭，值班经理应该组织应急组员工撤离到消防栓处，连接好消防水带，用消防水枪远距离控制火势，以免造成人员烧伤。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如火势已到不可控制的局面，值班经理应马上组织全体人员撤离火场，禁止任何人员、车辆进入加油站并立即疏散人群，指挥车辆撤离现场，并在站外安全区域等候消防车辆及消防人员的进场。</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在消防灭火的同时，首先应保证自己的人身安全。当消防队赶到现场后，与消防队共同灭火，消防队按照灭火预定预案进行灭火。</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火灾扑灭后，迅速将有关情况上报安全主管部门。</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火灾时，要保持镇定。视火情大小：火情小时，现场指挥要立即组织应急组人员对火势进行控制，尽快灭火。火势大到无法扑灭时，全体人员应迅速撤离到安全区域并保证自身安全，并由现场指挥清点人数。</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4</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生跑冒油品时不准立即启动车辆；在上风处布置好消防器材；检查附近火源并消除；禁止使用易产生火花的铁器进行回收作业；警戒疏散组人员负责通知附近单位和居民注意危险。事故发生后，必须依照“四不放过”原则，对事故认真分析、调查，并对事故责任人进行追究、对群众进行教育。</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709" w:name="_Toc30790_WPSOffice_Level3"/>
      <w:bookmarkStart w:id="710" w:name="_Toc31344_WPSOffice_Level3"/>
      <w:bookmarkStart w:id="711" w:name="_Toc27359"/>
      <w:bookmarkStart w:id="712" w:name="_Toc21585_WPSOffice_Level3"/>
      <w:bookmarkStart w:id="713" w:name="_Toc8539_WPSOffice_Level3"/>
      <w:bookmarkStart w:id="714" w:name="_Toc28887"/>
      <w:bookmarkStart w:id="715" w:name="_Toc18540_WPSOffice_Level3"/>
      <w:bookmarkStart w:id="716" w:name="_Toc20392"/>
      <w:r>
        <w:rPr>
          <w:rFonts w:ascii="Times New Roman" w:hAnsi="Times New Roman" w:cs="Times New Roman"/>
          <w:b/>
          <w:color w:val="000000" w:themeColor="text1"/>
          <w:sz w:val="24"/>
          <w:szCs w:val="24"/>
        </w:rPr>
        <w:t>7.3.4车辆火灾应急处理</w:t>
      </w:r>
      <w:bookmarkEnd w:id="709"/>
      <w:bookmarkEnd w:id="710"/>
      <w:bookmarkEnd w:id="711"/>
      <w:bookmarkEnd w:id="712"/>
      <w:bookmarkEnd w:id="713"/>
      <w:bookmarkEnd w:id="714"/>
      <w:bookmarkEnd w:id="715"/>
      <w:bookmarkEnd w:id="716"/>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发生车辆着火时，应立即停止加油或卸油作业。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事故发现者马上取来加油岛上的手提式灭火器，对准车辆着火部位进行喷射，当班加油员马上通知值班经理前来现场指挥、决策，同时核算员马上报火警。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如火势扩大，其他员工应立即取来其他加油岛手提式灭火器参加应急。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继续扩大，灭火器无法减轻火势或扑灭时，值班经理应马上组织人员取来水枪、水带，连接好管线，使用消防水枪远距离控制火势，及早扑灭大火同时避免人员造成伤亡。如果大火无法扑灭，人员应立即撤离至安全地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在消防灭火的同时，首先应保证自己的人身安全。</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火灾扑灭后，迅速将有关情况上报安全主管部门。并将损坏车辆推至离加油机或油罐较远的安全地带，以免引起站内油品着火。</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对于事故起因明确的情况下，加油站经理在公平、公正地原则下调查、了解事故原因，分清责任后作出处理意见：若是驾驶员自身造成的事故，要求该驾驶员对加油站所损坏的设备、物品以及消耗的灭火器材进行赔偿；若是由本站员工操作失误或违章操作造成的事故，则应由当事人承担事故责任并对双方损失进行赔偿。</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8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⑧</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在事故起因不明确的情况下，应上报上级安全主管部门，听候处理意见。若须对事故进行技术鉴定、分析时，应积极配合相关部门人员进行调查。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9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⑨</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在消防灭火的同时，首先应保证自己的人身安全。当消防队赶到现场后，与消防队共同灭火，消防队按照灭火预定预案进行灭火。</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当发生火灾时，要保持镇定。视火情大小：火情小时，现场指挥要立即组织人员对火势进行控制，尽快灭火。火势大时，人员应迅速撤离并保证自身安全。</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keepNext/>
        <w:keepLines/>
        <w:spacing w:before="240" w:after="240" w:line="500" w:lineRule="exact"/>
        <w:ind w:firstLine="482"/>
        <w:jc w:val="left"/>
        <w:outlineLvl w:val="2"/>
        <w:rPr>
          <w:rFonts w:ascii="Times New Roman" w:hAnsi="Times New Roman" w:cs="Times New Roman"/>
          <w:b/>
          <w:color w:val="000000" w:themeColor="text1"/>
          <w:kern w:val="0"/>
          <w:sz w:val="24"/>
          <w:szCs w:val="24"/>
          <w:lang w:val="zh-CN"/>
        </w:rPr>
      </w:pPr>
      <w:bookmarkStart w:id="717" w:name="_Toc311902763"/>
      <w:bookmarkStart w:id="718" w:name="_Toc12319"/>
      <w:bookmarkStart w:id="719" w:name="_Toc31082"/>
      <w:bookmarkStart w:id="720" w:name="_Toc19267_WPSOffice_Level3"/>
      <w:bookmarkStart w:id="721" w:name="_Toc29914_WPSOffice_Level3"/>
      <w:bookmarkStart w:id="722" w:name="_Toc26783_WPSOffice_Level3"/>
      <w:bookmarkStart w:id="723" w:name="_Toc1279_WPSOffice_Level3"/>
      <w:bookmarkStart w:id="724" w:name="_Toc26028_WPSOffice_Level3"/>
      <w:bookmarkStart w:id="725" w:name="_Toc8470"/>
      <w:r>
        <w:rPr>
          <w:rFonts w:ascii="Times New Roman" w:hAnsi="Times New Roman" w:cs="Times New Roman"/>
          <w:b/>
          <w:color w:val="000000" w:themeColor="text1"/>
          <w:sz w:val="24"/>
          <w:szCs w:val="24"/>
        </w:rPr>
        <w:t>7.3.</w:t>
      </w:r>
      <w:bookmarkEnd w:id="717"/>
      <w:bookmarkEnd w:id="718"/>
      <w:bookmarkEnd w:id="719"/>
      <w:bookmarkEnd w:id="720"/>
      <w:bookmarkEnd w:id="721"/>
      <w:bookmarkEnd w:id="722"/>
      <w:bookmarkEnd w:id="723"/>
      <w:bookmarkEnd w:id="724"/>
      <w:r>
        <w:rPr>
          <w:rFonts w:ascii="Times New Roman" w:hAnsi="Times New Roman" w:cs="Times New Roman"/>
          <w:b/>
          <w:color w:val="000000" w:themeColor="text1"/>
          <w:sz w:val="24"/>
          <w:szCs w:val="24"/>
        </w:rPr>
        <w:t>5</w:t>
      </w:r>
      <w:r>
        <w:rPr>
          <w:rFonts w:ascii="Times New Roman" w:hAnsi="Times New Roman" w:cs="Times New Roman"/>
          <w:b/>
          <w:color w:val="000000" w:themeColor="text1"/>
          <w:kern w:val="0"/>
          <w:sz w:val="24"/>
          <w:szCs w:val="24"/>
          <w:lang w:val="zh-CN"/>
        </w:rPr>
        <w:t>处理措施</w:t>
      </w:r>
      <w:bookmarkEnd w:id="725"/>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发生电器火灾时，发现者马上取来离火场最近的手提式灭火器进行扑救。同时，大声疾呼，通知值班经理。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值班经理指派专人迅速跑至配电房切断电源。取来配电间放置的手提式二氧化碳灭火器或干粉灭火器，迅速回到火场并组织当班人员前来扑救。值班经理视如为二次配电则及时切断本站电源总闸，如是一次配电点着火，则与当地供电所联系，及时停止供电</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当班加油员和营业人员把火源周围的重要物品及可能引发更大火灾的可燃、易燃物移至安全地带。加油站经理指挥其他当班人员进行有效扑救，直到火情被完全控制。此时若火灾尚未扑灭，营业人员马上通知消防队前来救援。</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如火势继续扩大，用灭火器无法减轻或扑灭火势时，应将加油机、储油罐的量油口进行密闭处理，再疏散站内加油车辆、人员，禁止任何车辆、人员进站。</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如火势已到不可控制的局面，值班经理应马上组织人员撤离现场，并等候消防车辆及消防人员的进场。</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火灾扑灭后，迅速将有关情况上报安全主管部门。</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加油站负责人速派专业维修人员到站对电气线路进行维修，恢复其正常的生产、生活。</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在消防灭火的同时，首先应保证自己的人身安全。当消防队赶到现场后，与消防队共同灭火，消防队按照灭火预定预案进行灭火。</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当发生火灾时，要保持镇定。视火情大小：火情小时，现场指挥要立即组织人员对火势进行控制，尽快灭火。火势大时，人员应迅速撤离并保证自身安全。</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4</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726" w:name="_Toc311902765"/>
      <w:bookmarkStart w:id="727" w:name="_Toc9325_WPSOffice_Level3"/>
      <w:bookmarkStart w:id="728" w:name="_Toc3206_WPSOffice_Level3"/>
      <w:bookmarkStart w:id="729" w:name="_Toc25446_WPSOffice_Level3"/>
      <w:bookmarkStart w:id="730" w:name="_Toc32046"/>
      <w:bookmarkStart w:id="731" w:name="_Toc383"/>
      <w:bookmarkStart w:id="732" w:name="_Toc19541_WPSOffice_Level3"/>
      <w:bookmarkStart w:id="733" w:name="_Toc16426_WPSOffice_Level3"/>
      <w:bookmarkStart w:id="734" w:name="_Toc18555"/>
      <w:r>
        <w:rPr>
          <w:rFonts w:ascii="Times New Roman" w:hAnsi="Times New Roman" w:cs="Times New Roman"/>
          <w:b/>
          <w:color w:val="000000" w:themeColor="text1"/>
          <w:sz w:val="24"/>
          <w:szCs w:val="24"/>
        </w:rPr>
        <w:t>7.3.6人员中毒应急</w:t>
      </w:r>
      <w:bookmarkEnd w:id="726"/>
      <w:r>
        <w:rPr>
          <w:rFonts w:ascii="Times New Roman" w:hAnsi="Times New Roman" w:cs="Times New Roman"/>
          <w:b/>
          <w:color w:val="000000" w:themeColor="text1"/>
          <w:sz w:val="24"/>
          <w:szCs w:val="24"/>
        </w:rPr>
        <w:t>处理</w:t>
      </w:r>
      <w:bookmarkEnd w:id="727"/>
      <w:bookmarkEnd w:id="728"/>
      <w:bookmarkEnd w:id="729"/>
      <w:bookmarkEnd w:id="730"/>
      <w:bookmarkEnd w:id="731"/>
      <w:bookmarkEnd w:id="732"/>
      <w:bookmarkEnd w:id="733"/>
      <w:bookmarkEnd w:id="734"/>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现人员中毒，应立即组织员工进行救助。首先要打急救电话120给附近的医院。在等待医生来之前按急诊常规处理原则进行处理，以维持生命及避免毒物继续作用。尽可能的弄清楚所接触的毒物的情况：毒物种类、数量等。准确告诉医生，让医生能及时抢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⑴</w:t>
      </w:r>
      <w:r>
        <w:rPr>
          <w:rFonts w:ascii="Times New Roman" w:hAnsi="Times New Roman" w:cs="Times New Roman"/>
          <w:color w:val="000000" w:themeColor="text1"/>
          <w:kern w:val="0"/>
          <w:sz w:val="24"/>
          <w:szCs w:val="24"/>
          <w:lang w:val="zh-CN"/>
        </w:rPr>
        <w:t>死亡：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t>当发现者初步确定受伤人员已经死亡，应立即组织站内人员封锁现场，禁止一切人员破坏现场，同时停止营业并拨打报警电话和急救电话，等待警察和医护人员的到达，证实人员的合法死亡性。</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t>上报上级安全主管部门，协助警察和医护人员的现场、后续工作。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③</w:t>
      </w:r>
      <w:r>
        <w:rPr>
          <w:rFonts w:ascii="Times New Roman" w:hAnsi="Times New Roman" w:cs="Times New Roman"/>
          <w:color w:val="000000" w:themeColor="text1"/>
          <w:kern w:val="0"/>
          <w:sz w:val="24"/>
          <w:szCs w:val="24"/>
          <w:lang w:val="zh-CN"/>
        </w:rPr>
        <w:t>在救人的同时，应保护现场。当医护及公安人员赶到现场后，协助医护人员共同抢救，与公安人员积极合作。待妥善处理好事件后，向上级安全主管部门汇报，由领导协商医疗费用的承担金额及善后处理。</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当发生人员中毒时，要保持镇定，视伤情种类而进行急救。情况严重时，现场指挥要立即通知急救中心并组织人员稳住伤员，尽可能缓和中毒伤情。禁止无关人员破坏现场，禁止围观人员堵塞道路及进、出站口。</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735" w:name="_Toc311902766"/>
      <w:bookmarkStart w:id="736" w:name="_Toc32717_WPSOffice_Level3"/>
      <w:bookmarkStart w:id="737" w:name="_Toc24301"/>
      <w:bookmarkStart w:id="738" w:name="_Toc20073_WPSOffice_Level3"/>
      <w:bookmarkStart w:id="739" w:name="_Toc27623"/>
      <w:bookmarkStart w:id="740" w:name="_Toc4447_WPSOffice_Level3"/>
      <w:bookmarkStart w:id="741" w:name="_Toc6733_WPSOffice_Level3"/>
      <w:bookmarkStart w:id="742" w:name="_Toc3337_WPSOffice_Level3"/>
      <w:bookmarkStart w:id="743" w:name="_Toc30192"/>
      <w:r>
        <w:rPr>
          <w:rFonts w:ascii="Times New Roman" w:hAnsi="Times New Roman" w:cs="Times New Roman"/>
          <w:b/>
          <w:color w:val="000000" w:themeColor="text1"/>
          <w:sz w:val="24"/>
          <w:szCs w:val="24"/>
        </w:rPr>
        <w:t>7.3.7混油应急</w:t>
      </w:r>
      <w:bookmarkEnd w:id="735"/>
      <w:r>
        <w:rPr>
          <w:rFonts w:ascii="Times New Roman" w:hAnsi="Times New Roman" w:cs="Times New Roman"/>
          <w:b/>
          <w:color w:val="000000" w:themeColor="text1"/>
          <w:sz w:val="24"/>
          <w:szCs w:val="24"/>
        </w:rPr>
        <w:t>处理</w:t>
      </w:r>
      <w:bookmarkEnd w:id="736"/>
      <w:bookmarkEnd w:id="737"/>
      <w:bookmarkEnd w:id="738"/>
      <w:bookmarkEnd w:id="739"/>
      <w:bookmarkEnd w:id="740"/>
      <w:bookmarkEnd w:id="741"/>
      <w:bookmarkEnd w:id="742"/>
      <w:bookmarkEnd w:id="743"/>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油站计量员及监卸员发现卸油时混油，应马上关闭罐车卸油口闸阀及罐区卸油口闸阀，停止卸油作业。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由计量员通知值班主管，由值班经理将事故上报上级安全主管部门，听候处理意见。</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当班主管通知当班员工停止相应的加油机的加油作业，并向客户做出合理解释。</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上级安全主管部门立即与油库取得联系，旋即派出空油罐车到站准备倒罐。</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上级主管部门人员、油站值班经理及计量员同时对已混油数量进行计量并作好相应记录，公司维修人员携带抽油泵等工具到站参加倒罐工作。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抽出罐内混装油品后，应急组长依照公司指示安排对输油管线及加油机内的混装油品进行彻底清除。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事故处理完毕后，由公司业务管理部门监督、油站值班经理及计量员重新计量原罐车内尚未卸完的油品数量，按正常的卸油作业程序将剩余油品卸入倒空的油罐中。</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8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⑧</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计量油罐内的油品数量，如低于最低容量时，应报知在场的主管领导并随即联系公司调度室增运同种油品。</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9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⑨</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待增运的同种油品到站卸入罐中后，随即排除加油机管线内的空气，恢复正常的加油作业。</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事故期间，除停止与发生混油事故的油罐管线连接的加油机作业外，其他加油机在不影响处理事故的基础上必须维持正常的加油作业。事故发生后，必须依照“四不放过”原则，对事故认真分析、调查，并对事故责任人进行追究、对群众进行教育。</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lang w:val="zh-CN"/>
        </w:rPr>
      </w:pPr>
      <w:bookmarkStart w:id="744" w:name="_Toc21871_WPSOffice_Level3"/>
      <w:bookmarkStart w:id="745" w:name="_Toc9664_WPSOffice_Level3"/>
      <w:bookmarkStart w:id="746" w:name="_Toc22816"/>
      <w:bookmarkStart w:id="747" w:name="_Toc18459_WPSOffice_Level3"/>
      <w:bookmarkStart w:id="748" w:name="_Toc4239_WPSOffice_Level3"/>
      <w:bookmarkStart w:id="749" w:name="_Toc29972_WPSOffice_Level3"/>
      <w:bookmarkStart w:id="750" w:name="_Toc5225"/>
      <w:bookmarkStart w:id="751" w:name="_Toc24207"/>
      <w:r>
        <w:rPr>
          <w:rFonts w:ascii="Times New Roman" w:hAnsi="Times New Roman" w:cs="Times New Roman"/>
          <w:b/>
          <w:color w:val="000000" w:themeColor="text1"/>
          <w:sz w:val="24"/>
          <w:szCs w:val="24"/>
        </w:rPr>
        <w:t>7.3.8</w:t>
      </w:r>
      <w:r>
        <w:rPr>
          <w:rFonts w:ascii="Times New Roman" w:hAnsi="Times New Roman" w:cs="Times New Roman"/>
          <w:b/>
          <w:color w:val="000000" w:themeColor="text1"/>
          <w:sz w:val="24"/>
          <w:szCs w:val="24"/>
          <w:lang w:val="zh-CN"/>
        </w:rPr>
        <w:t>危险废物污染防范措施</w:t>
      </w:r>
      <w:bookmarkEnd w:id="744"/>
      <w:bookmarkEnd w:id="745"/>
      <w:bookmarkEnd w:id="746"/>
      <w:bookmarkEnd w:id="747"/>
      <w:bookmarkEnd w:id="748"/>
      <w:bookmarkEnd w:id="749"/>
      <w:bookmarkEnd w:id="750"/>
      <w:bookmarkEnd w:id="751"/>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危险废物主要环境风险为管理不当导致未按规范存贮、运输过程发生事故对地表水体造成污染。为避免危险废物管理、运输等活动处置不当导致的环境风险，提出如下措施：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）危险废物暂存间必须做到防雨、防渗、防流失；</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）危险废物暂存间须设置明显的警示标识，加强管理，防止不安全处置；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）危险废物应当标注废弃物标识，分类包装，分类堆放，并本着及时、方便、安全、快捷的原则，进行收集；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）禁止将危险废物混入其它废物或生活垃圾；</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依照危险废物转移联单制度填写和保存转移联单。</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（6）</w:t>
      </w:r>
      <w:r>
        <w:rPr>
          <w:rFonts w:ascii="Times New Roman" w:hAnsi="Times New Roman" w:cs="Times New Roman"/>
          <w:color w:val="000000" w:themeColor="text1"/>
          <w:kern w:val="0"/>
          <w:sz w:val="24"/>
          <w:szCs w:val="24"/>
          <w:lang w:val="zh-CN"/>
        </w:rPr>
        <w:t>危险废物运输车辆应符合相关规范、驾驶人员必须持证作业；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（7）</w:t>
      </w:r>
      <w:r>
        <w:rPr>
          <w:rFonts w:ascii="Times New Roman" w:hAnsi="Times New Roman" w:cs="Times New Roman"/>
          <w:color w:val="000000" w:themeColor="text1"/>
          <w:kern w:val="0"/>
          <w:sz w:val="24"/>
          <w:szCs w:val="24"/>
          <w:lang w:val="zh-CN"/>
        </w:rPr>
        <w:t>制定科学的运输路线，运输路线须避开水沟等地表水体；</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w:t>
      </w:r>
      <w:r>
        <w:rPr>
          <w:rFonts w:ascii="Times New Roman" w:hAnsi="Times New Roman" w:cs="Times New Roman"/>
          <w:color w:val="000000" w:themeColor="text1"/>
          <w:kern w:val="0"/>
          <w:sz w:val="24"/>
          <w:szCs w:val="24"/>
          <w:lang w:val="zh-CN"/>
        </w:rPr>
        <w:t>制定突发环境事件应急预案，将危险废物运输事故列入应急预案风险源中，并制定应急措施。</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752" w:name="_Toc12018"/>
      <w:bookmarkStart w:id="753" w:name="_Toc849"/>
      <w:bookmarkStart w:id="754" w:name="_Toc30822_WPSOffice_Level2"/>
      <w:bookmarkStart w:id="755" w:name="_Toc311902767"/>
      <w:bookmarkStart w:id="756" w:name="_Toc11036_WPSOffice_Level2"/>
      <w:bookmarkStart w:id="757" w:name="_Toc22106_WPSOffice_Level2"/>
      <w:bookmarkStart w:id="758" w:name="_Toc26484_WPSOffice_Level2"/>
      <w:bookmarkStart w:id="759" w:name="_Toc10805"/>
      <w:bookmarkStart w:id="760" w:name="_Toc24276_WPSOffice_Level2"/>
      <w:bookmarkStart w:id="761" w:name="_Toc32234"/>
      <w:r>
        <w:rPr>
          <w:rFonts w:ascii="Times New Roman" w:hAnsi="Times New Roman" w:cs="Times New Roman"/>
          <w:b/>
          <w:bCs/>
          <w:color w:val="000000" w:themeColor="text1"/>
          <w:sz w:val="24"/>
          <w:szCs w:val="24"/>
        </w:rPr>
        <w:t>7.4 应急监测</w:t>
      </w:r>
      <w:bookmarkEnd w:id="752"/>
      <w:bookmarkEnd w:id="753"/>
      <w:bookmarkEnd w:id="754"/>
      <w:bookmarkEnd w:id="755"/>
      <w:bookmarkEnd w:id="756"/>
      <w:bookmarkEnd w:id="757"/>
      <w:bookmarkEnd w:id="758"/>
      <w:bookmarkEnd w:id="759"/>
      <w:bookmarkEnd w:id="760"/>
      <w:bookmarkEnd w:id="761"/>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发生突发环境事件时，公司应立即委托南昌市环境监测站对事故污染情况进行监测。根据事故实际情况，迅速确定监测方案（包括监测布点、频次、项目和方法等），及时开展应急监测工作，在尽可能短的时间内，用小型、便携仪器对污染物种类、浓度、污染范围及可能的危害做出判断，以便对事件及时、正确进行处理。</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应急监测是环境监测人员在事故现场，用小型、便携、简易、快速检测仪器和装置，在尽可能短的时间内对事故叙述内容：</w:t>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污染物质的种类；</w:t>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t>污染物质的浓度；</w:t>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t>污染的范围及可能造成的危害等作出判断的过程。实施应急监测是做好突发污染事故处置、处理的前提和关键。只有对污染事故的类型和污染状况作出准确的判断，才能对污染事故进行及时、正确的处理、处置和制定恢复措施提供科学的决策依据。可以说应急监测是事故应急处置与善后处理中始终依赖的基础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在制定应急监测方案时，应遵循的基本原则是：现场应急监测与实验室分析相结合，应急监测技术的先进性和现实可行性相结合，定性与定量、快速与准确相结合，环境要素的优先顺序为空气、地表水、地下水、土壤。</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①</w:t>
      </w:r>
      <w:r>
        <w:rPr>
          <w:rFonts w:ascii="Times New Roman" w:hAnsi="Times New Roman" w:cs="Times New Roman"/>
          <w:color w:val="FF0000"/>
          <w:kern w:val="0"/>
          <w:sz w:val="24"/>
          <w:szCs w:val="24"/>
        </w:rPr>
        <w:t>空气：</w:t>
      </w:r>
      <w:r>
        <w:rPr>
          <w:rFonts w:hint="eastAsia" w:ascii="Times New Roman" w:hAnsi="Times New Roman" w:cs="Times New Roman"/>
          <w:color w:val="FF0000"/>
          <w:kern w:val="0"/>
          <w:sz w:val="24"/>
          <w:szCs w:val="24"/>
        </w:rPr>
        <w:t>采样及分析方法：按照国家环保局编制的《环境监测技术规范》有关规定进行。仪器设备：可燃气体检测器。</w:t>
      </w:r>
      <w:r>
        <w:rPr>
          <w:rFonts w:ascii="Times New Roman" w:hAnsi="Times New Roman" w:cs="Times New Roman"/>
          <w:color w:val="FF0000"/>
          <w:kern w:val="0"/>
          <w:sz w:val="24"/>
          <w:szCs w:val="24"/>
        </w:rPr>
        <w:t>评价因子为SO2、NO2、TSP、PM10。对于应急监测采样器，应经常予以校正，以免情况紧急时没有时间进行校正。</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②</w:t>
      </w:r>
      <w:r>
        <w:rPr>
          <w:rFonts w:ascii="Times New Roman" w:hAnsi="Times New Roman" w:cs="Times New Roman"/>
          <w:color w:val="FF0000"/>
          <w:kern w:val="0"/>
          <w:sz w:val="24"/>
          <w:szCs w:val="24"/>
        </w:rPr>
        <w:t>地表水：</w:t>
      </w:r>
      <w:r>
        <w:rPr>
          <w:rFonts w:hint="eastAsia" w:ascii="Times New Roman" w:hAnsi="Times New Roman" w:cs="Times New Roman"/>
          <w:color w:val="FF0000"/>
          <w:kern w:val="0"/>
          <w:sz w:val="24"/>
          <w:szCs w:val="24"/>
        </w:rPr>
        <w:t>检测因子：</w:t>
      </w:r>
      <w:r>
        <w:rPr>
          <w:rFonts w:ascii="Times New Roman" w:hAnsi="Times New Roman" w:cs="Times New Roman"/>
          <w:color w:val="FF0000"/>
          <w:kern w:val="0"/>
          <w:sz w:val="24"/>
          <w:szCs w:val="24"/>
        </w:rPr>
        <w:t>COD</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rPr>
        <w:t>BOD5</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rPr>
        <w:t>SS</w:t>
      </w:r>
      <w:r>
        <w:rPr>
          <w:rFonts w:hint="eastAsia" w:ascii="Times New Roman" w:hAnsi="Times New Roman" w:cs="Times New Roman"/>
          <w:color w:val="FF0000"/>
          <w:kern w:val="0"/>
          <w:sz w:val="24"/>
          <w:szCs w:val="24"/>
        </w:rPr>
        <w:t>、</w:t>
      </w:r>
      <w:r>
        <w:rPr>
          <w:rFonts w:ascii="Times New Roman" w:hAnsi="Times New Roman" w:cs="Times New Roman"/>
          <w:color w:val="FF0000"/>
          <w:kern w:val="0"/>
          <w:sz w:val="24"/>
          <w:szCs w:val="24"/>
        </w:rPr>
        <w:t>NH3-N</w:t>
      </w:r>
      <w:r>
        <w:rPr>
          <w:rFonts w:hint="eastAsia" w:ascii="Times New Roman" w:hAnsi="Times New Roman" w:cs="Times New Roman"/>
          <w:color w:val="FF0000"/>
          <w:kern w:val="0"/>
          <w:sz w:val="24"/>
          <w:szCs w:val="24"/>
        </w:rPr>
        <w:t>、石油类。</w:t>
      </w:r>
    </w:p>
    <w:p>
      <w:pPr>
        <w:spacing w:before="120" w:beforeLines="50"/>
        <w:ind w:firstLine="422"/>
        <w:rPr>
          <w:rFonts w:hAnsi="宋体"/>
          <w:b/>
          <w:color w:val="FF0000"/>
          <w:sz w:val="24"/>
        </w:rPr>
      </w:pPr>
      <w:r>
        <w:rPr>
          <w:rFonts w:hint="eastAsia" w:hAnsi="宋体"/>
          <w:b/>
          <w:color w:val="FF0000"/>
          <w:sz w:val="24"/>
        </w:rPr>
        <w:t>水质分析方法</w:t>
      </w:r>
    </w:p>
    <w:tbl>
      <w:tblPr>
        <w:tblStyle w:val="16"/>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070"/>
        <w:gridCol w:w="4141"/>
        <w:gridCol w:w="314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tcBorders>
              <w:top w:val="single" w:color="auto" w:sz="12" w:space="0"/>
            </w:tcBorders>
            <w:vAlign w:val="center"/>
          </w:tcPr>
          <w:p>
            <w:pPr>
              <w:adjustRightInd w:val="0"/>
              <w:snapToGrid w:val="0"/>
              <w:jc w:val="center"/>
              <w:rPr>
                <w:rFonts w:eastAsia="仿宋"/>
                <w:b/>
                <w:color w:val="FF0000"/>
                <w:szCs w:val="21"/>
              </w:rPr>
            </w:pPr>
            <w:r>
              <w:rPr>
                <w:rFonts w:eastAsia="仿宋"/>
                <w:b/>
                <w:color w:val="FF0000"/>
                <w:szCs w:val="21"/>
              </w:rPr>
              <w:t>监测项目</w:t>
            </w:r>
          </w:p>
        </w:tc>
        <w:tc>
          <w:tcPr>
            <w:tcW w:w="2213" w:type="pct"/>
            <w:tcBorders>
              <w:top w:val="single" w:color="auto" w:sz="12" w:space="0"/>
            </w:tcBorders>
            <w:vAlign w:val="center"/>
          </w:tcPr>
          <w:p>
            <w:pPr>
              <w:adjustRightInd w:val="0"/>
              <w:snapToGrid w:val="0"/>
              <w:jc w:val="center"/>
              <w:rPr>
                <w:rFonts w:eastAsia="仿宋"/>
                <w:b/>
                <w:color w:val="FF0000"/>
                <w:szCs w:val="21"/>
              </w:rPr>
            </w:pPr>
            <w:r>
              <w:rPr>
                <w:rFonts w:eastAsia="仿宋"/>
                <w:b/>
                <w:color w:val="FF0000"/>
                <w:szCs w:val="21"/>
              </w:rPr>
              <w:t>监测方法</w:t>
            </w:r>
          </w:p>
        </w:tc>
        <w:tc>
          <w:tcPr>
            <w:tcW w:w="1681" w:type="pct"/>
            <w:tcBorders>
              <w:top w:val="single" w:color="auto" w:sz="12" w:space="0"/>
            </w:tcBorders>
            <w:vAlign w:val="center"/>
          </w:tcPr>
          <w:p>
            <w:pPr>
              <w:adjustRightInd w:val="0"/>
              <w:snapToGrid w:val="0"/>
              <w:jc w:val="center"/>
              <w:rPr>
                <w:rFonts w:eastAsia="仿宋"/>
                <w:b/>
                <w:color w:val="FF0000"/>
                <w:szCs w:val="21"/>
              </w:rPr>
            </w:pPr>
            <w:r>
              <w:rPr>
                <w:rFonts w:eastAsia="仿宋"/>
                <w:b/>
                <w:color w:val="FF0000"/>
                <w:szCs w:val="21"/>
              </w:rPr>
              <w:t>最低检出限（mg/L）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pH</w:t>
            </w:r>
          </w:p>
        </w:tc>
        <w:tc>
          <w:tcPr>
            <w:tcW w:w="2213" w:type="pct"/>
            <w:vAlign w:val="center"/>
          </w:tcPr>
          <w:p>
            <w:pPr>
              <w:jc w:val="center"/>
              <w:rPr>
                <w:rFonts w:eastAsia="仿宋"/>
                <w:color w:val="FF0000"/>
                <w:szCs w:val="21"/>
              </w:rPr>
            </w:pPr>
            <w:r>
              <w:rPr>
                <w:rFonts w:eastAsia="仿宋"/>
                <w:color w:val="FF0000"/>
                <w:szCs w:val="21"/>
              </w:rPr>
              <w:t>GB/T 6920-1986玻璃电极法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eastAsia="仿宋"/>
                <w:color w:val="FF0000"/>
                <w:szCs w:val="21"/>
              </w:rPr>
              <w:t>COD</w:t>
            </w:r>
          </w:p>
        </w:tc>
        <w:tc>
          <w:tcPr>
            <w:tcW w:w="2213" w:type="pct"/>
            <w:vAlign w:val="center"/>
          </w:tcPr>
          <w:p>
            <w:pPr>
              <w:adjustRightInd w:val="0"/>
              <w:snapToGrid w:val="0"/>
              <w:jc w:val="center"/>
              <w:rPr>
                <w:rFonts w:eastAsia="仿宋"/>
                <w:color w:val="FF0000"/>
                <w:szCs w:val="21"/>
              </w:rPr>
            </w:pPr>
            <w:r>
              <w:rPr>
                <w:rFonts w:eastAsia="仿宋"/>
                <w:color w:val="FF0000"/>
                <w:szCs w:val="21"/>
              </w:rPr>
              <w:t>GB/T 11914-1989重铬酸盐法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eastAsia="仿宋"/>
                <w:color w:val="FF0000"/>
                <w:szCs w:val="21"/>
              </w:rPr>
              <w:t>氨氮</w:t>
            </w:r>
          </w:p>
        </w:tc>
        <w:tc>
          <w:tcPr>
            <w:tcW w:w="2213" w:type="pct"/>
            <w:vAlign w:val="center"/>
          </w:tcPr>
          <w:p>
            <w:pPr>
              <w:adjustRightInd w:val="0"/>
              <w:snapToGrid w:val="0"/>
              <w:jc w:val="center"/>
              <w:rPr>
                <w:rFonts w:eastAsia="仿宋"/>
                <w:color w:val="FF0000"/>
                <w:szCs w:val="21"/>
              </w:rPr>
            </w:pPr>
            <w:r>
              <w:rPr>
                <w:rFonts w:eastAsia="仿宋"/>
                <w:color w:val="FF0000"/>
                <w:szCs w:val="21"/>
              </w:rPr>
              <w:t>HJ 535-2009纳氏试剂分光光度法</w:t>
            </w:r>
          </w:p>
        </w:tc>
        <w:tc>
          <w:tcPr>
            <w:tcW w:w="1681" w:type="pct"/>
            <w:vAlign w:val="center"/>
          </w:tcPr>
          <w:p>
            <w:pPr>
              <w:adjustRightInd w:val="0"/>
              <w:snapToGrid w:val="0"/>
              <w:jc w:val="center"/>
              <w:rPr>
                <w:rFonts w:eastAsia="仿宋"/>
                <w:color w:val="FF0000"/>
                <w:szCs w:val="21"/>
              </w:rPr>
            </w:pPr>
            <w:r>
              <w:rPr>
                <w:rFonts w:eastAsia="仿宋"/>
                <w:color w:val="FF0000"/>
                <w:szCs w:val="21"/>
              </w:rPr>
              <w:t>0.025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氟化物</w:t>
            </w:r>
          </w:p>
        </w:tc>
        <w:tc>
          <w:tcPr>
            <w:tcW w:w="2213" w:type="pct"/>
            <w:vAlign w:val="center"/>
          </w:tcPr>
          <w:p>
            <w:pPr>
              <w:adjustRightInd w:val="0"/>
              <w:snapToGrid w:val="0"/>
              <w:jc w:val="center"/>
              <w:rPr>
                <w:rFonts w:eastAsia="仿宋"/>
                <w:color w:val="FF0000"/>
                <w:szCs w:val="21"/>
              </w:rPr>
            </w:pPr>
            <w:r>
              <w:rPr>
                <w:rFonts w:eastAsia="仿宋"/>
                <w:color w:val="FF0000"/>
                <w:szCs w:val="21"/>
              </w:rPr>
              <w:t>GB7484-87</w:t>
            </w:r>
            <w:r>
              <w:rPr>
                <w:rFonts w:hint="eastAsia" w:eastAsia="仿宋"/>
                <w:color w:val="FF0000"/>
                <w:szCs w:val="21"/>
              </w:rPr>
              <w:t>离子选择电极法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磷酸盐</w:t>
            </w:r>
          </w:p>
        </w:tc>
        <w:tc>
          <w:tcPr>
            <w:tcW w:w="2213" w:type="pct"/>
            <w:vAlign w:val="center"/>
          </w:tcPr>
          <w:p>
            <w:pPr>
              <w:adjustRightInd w:val="0"/>
              <w:snapToGrid w:val="0"/>
              <w:jc w:val="center"/>
              <w:rPr>
                <w:rFonts w:eastAsia="仿宋"/>
                <w:color w:val="FF0000"/>
                <w:szCs w:val="21"/>
              </w:rPr>
            </w:pPr>
            <w:r>
              <w:rPr>
                <w:rFonts w:eastAsia="仿宋"/>
                <w:color w:val="FF0000"/>
                <w:szCs w:val="21"/>
              </w:rPr>
              <w:t>GB11893-89</w:t>
            </w:r>
            <w:r>
              <w:rPr>
                <w:rFonts w:hint="eastAsia" w:eastAsia="仿宋"/>
                <w:color w:val="FF0000"/>
                <w:szCs w:val="21"/>
              </w:rPr>
              <w:t>钼酸铵分光光度法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eastAsia="仿宋"/>
                <w:color w:val="FF0000"/>
                <w:szCs w:val="21"/>
              </w:rPr>
            </w:pPr>
            <w:r>
              <w:rPr>
                <w:rFonts w:hint="eastAsia" w:eastAsia="仿宋"/>
                <w:color w:val="FF0000"/>
                <w:szCs w:val="21"/>
              </w:rPr>
              <w:t>总镍</w:t>
            </w:r>
          </w:p>
        </w:tc>
        <w:tc>
          <w:tcPr>
            <w:tcW w:w="2213" w:type="pct"/>
            <w:vAlign w:val="center"/>
          </w:tcPr>
          <w:p>
            <w:pPr>
              <w:adjustRightInd w:val="0"/>
              <w:snapToGrid w:val="0"/>
              <w:jc w:val="center"/>
              <w:rPr>
                <w:rFonts w:eastAsia="仿宋"/>
                <w:color w:val="FF0000"/>
                <w:szCs w:val="21"/>
              </w:rPr>
            </w:pPr>
            <w:r>
              <w:rPr>
                <w:rFonts w:eastAsia="仿宋"/>
                <w:color w:val="FF0000"/>
                <w:szCs w:val="21"/>
              </w:rPr>
              <w:t>HJ/T63.1-2001</w:t>
            </w:r>
            <w:r>
              <w:rPr>
                <w:rFonts w:hint="eastAsia" w:eastAsia="仿宋"/>
                <w:color w:val="FF0000"/>
                <w:szCs w:val="21"/>
              </w:rPr>
              <w:t>火焰原子吸收法</w:t>
            </w:r>
          </w:p>
        </w:tc>
        <w:tc>
          <w:tcPr>
            <w:tcW w:w="1681" w:type="pct"/>
            <w:vAlign w:val="center"/>
          </w:tcPr>
          <w:p>
            <w:pPr>
              <w:adjustRightInd w:val="0"/>
              <w:snapToGrid w:val="0"/>
              <w:jc w:val="center"/>
              <w:rPr>
                <w:rFonts w:eastAsia="仿宋"/>
                <w:color w:val="FF0000"/>
                <w:szCs w:val="21"/>
              </w:rPr>
            </w:pPr>
            <w:r>
              <w:rPr>
                <w:rFonts w:eastAsia="仿宋"/>
                <w:color w:val="FF0000"/>
                <w:szCs w:val="21"/>
              </w:rPr>
              <w:t>—</w:t>
            </w:r>
          </w:p>
        </w:tc>
      </w:tr>
    </w:tbl>
    <w:p>
      <w:pPr>
        <w:spacing w:line="500" w:lineRule="exact"/>
        <w:ind w:firstLine="480" w:firstLineChars="200"/>
        <w:jc w:val="left"/>
      </w:pPr>
      <w:r>
        <w:rPr>
          <w:rFonts w:hint="eastAsia" w:ascii="宋体" w:hAnsi="宋体" w:eastAsia="宋体" w:cs="宋体"/>
          <w:kern w:val="0"/>
          <w:sz w:val="24"/>
          <w:szCs w:val="24"/>
        </w:rPr>
        <w:t>③</w:t>
      </w:r>
      <w:r>
        <w:rPr>
          <w:rFonts w:ascii="Times New Roman" w:hAnsi="Times New Roman" w:cs="Times New Roman"/>
          <w:kern w:val="0"/>
          <w:sz w:val="24"/>
          <w:szCs w:val="24"/>
        </w:rPr>
        <w:t>地下水：</w:t>
      </w:r>
      <w:r>
        <w:rPr>
          <w:rFonts w:ascii="Times New Roman" w:hAnsi="Times New Roman" w:cs="Times New Roman"/>
          <w:color w:val="FF0000"/>
          <w:sz w:val="24"/>
          <w:szCs w:val="24"/>
        </w:rPr>
        <w:t>监测因子：pH、COD</w:t>
      </w:r>
      <w:r>
        <w:rPr>
          <w:rFonts w:ascii="Times New Roman" w:hAnsi="Times New Roman" w:cs="Times New Roman"/>
          <w:color w:val="FF0000"/>
          <w:sz w:val="24"/>
          <w:szCs w:val="24"/>
          <w:vertAlign w:val="subscript"/>
        </w:rPr>
        <w:t>Mn</w:t>
      </w:r>
      <w:r>
        <w:rPr>
          <w:rFonts w:ascii="Times New Roman" w:hAnsi="Times New Roman" w:cs="Times New Roman"/>
          <w:color w:val="FF0000"/>
          <w:sz w:val="24"/>
          <w:szCs w:val="24"/>
        </w:rPr>
        <w:t>、氨氮、总硬度、溶解性总固体、</w:t>
      </w:r>
      <w:r>
        <w:rPr>
          <w:rFonts w:hint="eastAsia" w:ascii="Times New Roman" w:hAnsi="Times New Roman" w:cs="Times New Roman"/>
          <w:color w:val="FF0000"/>
          <w:sz w:val="24"/>
          <w:szCs w:val="24"/>
        </w:rPr>
        <w:t>石油类</w:t>
      </w:r>
      <w:r>
        <w:rPr>
          <w:rFonts w:ascii="Times New Roman" w:hAnsi="Times New Roman" w:cs="Times New Roman"/>
          <w:color w:val="FF0000"/>
          <w:sz w:val="24"/>
          <w:szCs w:val="24"/>
        </w:rPr>
        <w:t>、</w:t>
      </w:r>
      <w:r>
        <w:rPr>
          <w:rFonts w:hint="eastAsia" w:ascii="Times New Roman" w:hAnsi="Times New Roman" w:cs="Times New Roman"/>
          <w:color w:val="FF0000"/>
          <w:sz w:val="24"/>
          <w:szCs w:val="24"/>
        </w:rPr>
        <w:t>悬浮物</w:t>
      </w:r>
      <w:r>
        <w:rPr>
          <w:rFonts w:ascii="Times New Roman" w:hAnsi="Times New Roman" w:cs="Times New Roman"/>
          <w:color w:val="FF0000"/>
          <w:sz w:val="24"/>
          <w:szCs w:val="24"/>
        </w:rPr>
        <w:t>。</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62" w:name="_Toc24711_WPSOffice_Level3"/>
      <w:bookmarkStart w:id="763" w:name="_Toc30822_WPSOffice_Level3"/>
      <w:bookmarkStart w:id="764" w:name="_Toc21957_WPSOffice_Level3"/>
      <w:bookmarkStart w:id="765" w:name="_Toc19427_WPSOffice_Level3"/>
      <w:bookmarkStart w:id="766" w:name="_Toc18104_WPSOffice_Level3"/>
      <w:r>
        <w:rPr>
          <w:rFonts w:ascii="Times New Roman" w:hAnsi="Times New Roman" w:cs="Times New Roman"/>
          <w:b/>
          <w:color w:val="000000" w:themeColor="text1"/>
          <w:kern w:val="0"/>
          <w:sz w:val="24"/>
          <w:szCs w:val="24"/>
        </w:rPr>
        <w:t>（1）应急监测的响应程序</w:t>
      </w:r>
      <w:bookmarkEnd w:id="762"/>
      <w:bookmarkEnd w:id="763"/>
      <w:bookmarkEnd w:id="764"/>
      <w:bookmarkEnd w:id="765"/>
      <w:bookmarkEnd w:id="766"/>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接受应急监测任务，启动应急监测响应预案。</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t>了解现场情况，确定应急监测方法，准备监测器材、试剂和防护用品，同时做好实验室分析的准备。</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t>实施现场监测，快速报告结果。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t>进行初步综合分析，编写监测报告，提出跟踪监测和污染控制建议。</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t>实施跟踪监测，及时报告结果。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t>进行深入的综合分析，编写总结报告上报。</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67" w:name="_Toc26203_WPSOffice_Level3"/>
      <w:bookmarkStart w:id="768" w:name="_Toc8802_WPSOffice_Level3"/>
      <w:bookmarkStart w:id="769" w:name="_Toc9099_WPSOffice_Level3"/>
      <w:bookmarkStart w:id="770" w:name="_Toc3320_WPSOffice_Level3"/>
      <w:bookmarkStart w:id="771" w:name="_Toc19091_WPSOffice_Level3"/>
      <w:r>
        <w:rPr>
          <w:rFonts w:ascii="Times New Roman" w:hAnsi="Times New Roman" w:cs="Times New Roman"/>
          <w:b/>
          <w:color w:val="000000" w:themeColor="text1"/>
          <w:kern w:val="0"/>
          <w:sz w:val="24"/>
          <w:szCs w:val="24"/>
        </w:rPr>
        <w:t>（2）布点原则</w:t>
      </w:r>
      <w:bookmarkEnd w:id="767"/>
      <w:bookmarkEnd w:id="768"/>
      <w:bookmarkEnd w:id="769"/>
      <w:bookmarkEnd w:id="770"/>
      <w:bookmarkEnd w:id="771"/>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由于危险废物污染事故发生时，污染物的分布极不均匀，时空变化大，对各环境要素的污染程度不同，因此采样点位的选择对于准确判断污染物浓度分布、分布范围和程度极为重要，因此，点位的确定应考虑以下因素：</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事故的类型（泄漏、火灾、爆炸等）、严重程度与影响范围。</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事故发生的地点与人口分布情况。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事故发生时的天气情况，尤其是风向、风速及其变化情况</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72" w:name="_Toc7199_WPSOffice_Level3"/>
      <w:bookmarkStart w:id="773" w:name="_Toc19191_WPSOffice_Level3"/>
      <w:bookmarkStart w:id="774" w:name="_Toc14492_WPSOffice_Level3"/>
      <w:bookmarkStart w:id="775" w:name="_Toc8887_WPSOffice_Level3"/>
      <w:bookmarkStart w:id="776" w:name="_Toc9104_WPSOffice_Level3"/>
      <w:r>
        <w:rPr>
          <w:rFonts w:ascii="Times New Roman" w:hAnsi="Times New Roman" w:cs="Times New Roman"/>
          <w:b/>
          <w:color w:val="000000" w:themeColor="text1"/>
          <w:kern w:val="0"/>
          <w:sz w:val="24"/>
          <w:szCs w:val="24"/>
        </w:rPr>
        <w:t>（3）布点方案</w:t>
      </w:r>
      <w:bookmarkEnd w:id="772"/>
      <w:bookmarkEnd w:id="773"/>
      <w:bookmarkEnd w:id="774"/>
      <w:bookmarkEnd w:id="775"/>
      <w:bookmarkEnd w:id="776"/>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本项目为加油站可以看出所涉及的危险化学品的泄漏会很大程度的危害到空气、地表水、地下水以及土壤，因此，可采用如下采样布点方案：</w:t>
      </w:r>
    </w:p>
    <w:p>
      <w:pPr>
        <w:spacing w:line="360" w:lineRule="auto"/>
        <w:ind w:firstLine="480" w:firstLineChars="200"/>
        <w:rPr>
          <w:rFonts w:ascii="Times New Roman" w:hAnsi="Times New Roman" w:cs="Times New Roman"/>
          <w:color w:val="FF0000"/>
          <w:kern w:val="0"/>
          <w:sz w:val="24"/>
          <w:szCs w:val="24"/>
        </w:rPr>
      </w:pPr>
      <w:r>
        <w:rPr>
          <w:rFonts w:hint="eastAsia" w:ascii="宋体" w:hAnsi="宋体" w:eastAsia="宋体" w:cs="宋体"/>
          <w:color w:val="FF0000"/>
          <w:kern w:val="0"/>
          <w:sz w:val="24"/>
          <w:szCs w:val="24"/>
        </w:rPr>
        <w:t>①</w:t>
      </w:r>
      <w:r>
        <w:rPr>
          <w:rFonts w:ascii="Times New Roman" w:hAnsi="Times New Roman" w:cs="Times New Roman"/>
          <w:color w:val="FF0000"/>
          <w:kern w:val="0"/>
          <w:sz w:val="24"/>
          <w:szCs w:val="24"/>
        </w:rPr>
        <w:t>空气：应尽可能在事故发生地就近采样，并以事故点为中心，根据事故发生地的地理特点、盛行风向及其他自然条件，在事故发生地下风向影响区域、掩体或低洼地等位置，按一定间隔的圆形布点采样，并根据污染物的特性在不同高度采样，同时在事故点的上风向适当位置布设对照点，在距事故发生地最近的居民住宅区布点采样，采样过程中应注意风向的变化，及时调整采样点位置。利用检气管快速监测污染物的种类和浓度范围，现场确定采样流量和采样时间。采样时，应同时记录气温、气压、风向和风速，采样总体积应换算成标准状态下的体积。</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②</w:t>
      </w:r>
      <w:r>
        <w:rPr>
          <w:rFonts w:ascii="Times New Roman" w:hAnsi="Times New Roman" w:cs="Times New Roman"/>
          <w:color w:val="FF0000"/>
          <w:kern w:val="0"/>
          <w:sz w:val="24"/>
          <w:szCs w:val="24"/>
        </w:rPr>
        <w:t>地表水：</w:t>
      </w:r>
      <w:r>
        <w:rPr>
          <w:rFonts w:hint="eastAsia" w:ascii="Times New Roman" w:hAnsi="Times New Roman" w:cs="Times New Roman"/>
          <w:color w:val="FF0000"/>
          <w:kern w:val="0"/>
          <w:sz w:val="24"/>
          <w:szCs w:val="24"/>
        </w:rPr>
        <w:t>监测点位：发生水污染事故时，加油站排污口上游</w:t>
      </w:r>
      <w:r>
        <w:rPr>
          <w:rFonts w:ascii="Times New Roman" w:hAnsi="Times New Roman" w:cs="Times New Roman"/>
          <w:color w:val="FF0000"/>
          <w:kern w:val="0"/>
          <w:sz w:val="24"/>
          <w:szCs w:val="24"/>
        </w:rPr>
        <w:t>500</w:t>
      </w:r>
      <w:r>
        <w:rPr>
          <w:rFonts w:hint="eastAsia" w:ascii="Times New Roman" w:hAnsi="Times New Roman" w:cs="Times New Roman"/>
          <w:color w:val="FF0000"/>
          <w:kern w:val="0"/>
          <w:sz w:val="24"/>
          <w:szCs w:val="24"/>
        </w:rPr>
        <w:t>米和下游</w:t>
      </w:r>
      <w:r>
        <w:rPr>
          <w:rFonts w:ascii="Times New Roman" w:hAnsi="Times New Roman" w:cs="Times New Roman"/>
          <w:color w:val="FF0000"/>
          <w:kern w:val="0"/>
          <w:sz w:val="24"/>
          <w:szCs w:val="24"/>
        </w:rPr>
        <w:t>500</w:t>
      </w:r>
      <w:r>
        <w:rPr>
          <w:rFonts w:hint="eastAsia" w:ascii="Times New Roman" w:hAnsi="Times New Roman" w:cs="Times New Roman"/>
          <w:color w:val="FF0000"/>
          <w:kern w:val="0"/>
          <w:sz w:val="24"/>
          <w:szCs w:val="24"/>
        </w:rPr>
        <w:t>米各设一个监测点。应急监测时间和监测频次：按照事故持续时间决定监测时间，根据事故严重性决定监测频次。事故发生后尽快进行监测，随事故控制减弱，适当减少监测频次。事故发生</w:t>
      </w:r>
      <w:r>
        <w:rPr>
          <w:rFonts w:ascii="Times New Roman" w:hAnsi="Times New Roman" w:cs="Times New Roman"/>
          <w:color w:val="FF0000"/>
          <w:kern w:val="0"/>
          <w:sz w:val="24"/>
          <w:szCs w:val="24"/>
        </w:rPr>
        <w:t>1</w:t>
      </w:r>
      <w:r>
        <w:rPr>
          <w:rFonts w:hint="eastAsia" w:ascii="Times New Roman" w:hAnsi="Times New Roman" w:cs="Times New Roman"/>
          <w:color w:val="FF0000"/>
          <w:kern w:val="0"/>
          <w:sz w:val="24"/>
          <w:szCs w:val="24"/>
        </w:rPr>
        <w:t>小时内每</w:t>
      </w:r>
      <w:r>
        <w:rPr>
          <w:rFonts w:ascii="Times New Roman" w:hAnsi="Times New Roman" w:cs="Times New Roman"/>
          <w:color w:val="FF0000"/>
          <w:kern w:val="0"/>
          <w:sz w:val="24"/>
          <w:szCs w:val="24"/>
        </w:rPr>
        <w:t>15</w:t>
      </w:r>
      <w:r>
        <w:rPr>
          <w:rFonts w:hint="eastAsia" w:ascii="Times New Roman" w:hAnsi="Times New Roman" w:cs="Times New Roman"/>
          <w:color w:val="FF0000"/>
          <w:kern w:val="0"/>
          <w:sz w:val="24"/>
          <w:szCs w:val="24"/>
        </w:rPr>
        <w:t>分钟取样进行监测，事故后</w:t>
      </w:r>
      <w:r>
        <w:rPr>
          <w:rFonts w:ascii="Times New Roman" w:hAnsi="Times New Roman" w:cs="Times New Roman"/>
          <w:color w:val="FF0000"/>
          <w:kern w:val="0"/>
          <w:sz w:val="24"/>
          <w:szCs w:val="24"/>
        </w:rPr>
        <w:t>4</w:t>
      </w:r>
      <w:r>
        <w:rPr>
          <w:rFonts w:hint="eastAsia" w:ascii="Times New Roman" w:hAnsi="Times New Roman" w:cs="Times New Roman"/>
          <w:color w:val="FF0000"/>
          <w:kern w:val="0"/>
          <w:sz w:val="24"/>
          <w:szCs w:val="24"/>
        </w:rPr>
        <w:t>小时、</w:t>
      </w:r>
      <w:r>
        <w:rPr>
          <w:rFonts w:ascii="Times New Roman" w:hAnsi="Times New Roman" w:cs="Times New Roman"/>
          <w:color w:val="FF0000"/>
          <w:kern w:val="0"/>
          <w:sz w:val="24"/>
          <w:szCs w:val="24"/>
        </w:rPr>
        <w:t>10</w:t>
      </w:r>
      <w:r>
        <w:rPr>
          <w:rFonts w:hint="eastAsia" w:ascii="Times New Roman" w:hAnsi="Times New Roman" w:cs="Times New Roman"/>
          <w:color w:val="FF0000"/>
          <w:kern w:val="0"/>
          <w:sz w:val="24"/>
          <w:szCs w:val="24"/>
        </w:rPr>
        <w:t>小时、</w:t>
      </w:r>
      <w:r>
        <w:rPr>
          <w:rFonts w:ascii="Times New Roman" w:hAnsi="Times New Roman" w:cs="Times New Roman"/>
          <w:color w:val="FF0000"/>
          <w:kern w:val="0"/>
          <w:sz w:val="24"/>
          <w:szCs w:val="24"/>
        </w:rPr>
        <w:t>24</w:t>
      </w:r>
      <w:r>
        <w:rPr>
          <w:rFonts w:hint="eastAsia" w:ascii="Times New Roman" w:hAnsi="Times New Roman" w:cs="Times New Roman"/>
          <w:color w:val="FF0000"/>
          <w:kern w:val="0"/>
          <w:sz w:val="24"/>
          <w:szCs w:val="24"/>
        </w:rPr>
        <w:t>小时各监测一次。</w:t>
      </w:r>
      <w:r>
        <w:rPr>
          <w:rFonts w:ascii="Times New Roman" w:hAnsi="Times New Roman" w:cs="Times New Roman"/>
          <w:color w:val="FF0000"/>
          <w:kern w:val="0"/>
          <w:sz w:val="24"/>
          <w:szCs w:val="24"/>
        </w:rPr>
        <w:t>采样器具应洁净并应避免交叉感染，现场可采集平行双样，一份供现场快速测定，另一份现场立即交入保护剂，尽快送至实验室进行分析。若需要，可同时用专用采泥器或塑料铲采集事故发生地的沉积物样品密封装入塑料广口瓶中。</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地下水：应以事故发生地为中心，根据本地区地下水流向采用网格法或辐射法在周围2km内布设监测井采样，同进视地下水主要补给来源，在垂直于地下水流的上方向，设置对照监测井采样，在以地下水为饮用水源的取水处必须设置采样点。</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采样应避开井壁，采样瓶以均匀的速度沉入水中，使整个垂直断面的各层水样进入采样瓶。</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若用泵或直接从取水管采集水样时，应先排尽管内的积水后采集水样，同时要在事故发生地的上游采样一个对照样品。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t>土壤：应以事故发生地为中心，在事故发生地及周围一定距离内的区域按一定的间隔圆形布点采样，并根据污染物的特性在不同深度采样，同时采集未受污染区域的样品作为对照样品。必要时还应采集事故地附近的作物样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在相对开阔的污染区域采取垂直深10cm的表层土。一般在10m×10m范围内，采用梅花形布点方法或根据地形采用蛇形布点方法（采样点不少于5个）。</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将多点采集的土壤样品除去石块、草根等杂物，现场混合后取1-2kg样品装在塑料袋内密封。</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77" w:name="_Toc27729_WPSOffice_Level3"/>
      <w:bookmarkStart w:id="778" w:name="_Toc11577_WPSOffice_Level3"/>
      <w:bookmarkStart w:id="779" w:name="_Toc5610_WPSOffice_Level3"/>
      <w:bookmarkStart w:id="780" w:name="_Toc6567_WPSOffice_Level3"/>
      <w:bookmarkStart w:id="781" w:name="_Toc19551_WPSOffice_Level3"/>
      <w:r>
        <w:rPr>
          <w:rFonts w:ascii="Times New Roman" w:hAnsi="Times New Roman" w:cs="Times New Roman"/>
          <w:b/>
          <w:color w:val="000000" w:themeColor="text1"/>
          <w:kern w:val="0"/>
          <w:sz w:val="24"/>
          <w:szCs w:val="24"/>
        </w:rPr>
        <w:t>（4）应急监测数据的统计处理</w:t>
      </w:r>
      <w:bookmarkEnd w:id="777"/>
      <w:bookmarkEnd w:id="778"/>
      <w:bookmarkEnd w:id="779"/>
      <w:bookmarkEnd w:id="780"/>
      <w:bookmarkEnd w:id="781"/>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现场的原始记录</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要绘制事故现场的位置示意图，标出采样点位，记录发生时间，事故发生现场性状描述事故原因，事故持续时间，采样时间，必要的水文、气象参数，事故企业名称，联系方法，可能存在的污染物种类、流失量和影响范围。应在记录中按规定格式进行详细填写，监测任务完成后归档保存。</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原始记录的数据有误需要修改时，应在错误的数据上划上横线，再在错误的数据上方写上正确的数据，并在右下方盖章或签字，不准在原始记录上涂改或撕页。原始记录应有统一编号，个人不准擅自销毁。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参加应急监测的人员必须持严肃认真的工作态度，对现场原始记录负责，做到及时记录信息，不应以回忆的方式填写。</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每次报出数据时前，原始记录上必须有测试人的签名。</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按常规的做法，监测数据汇总成表，经分析后编写成报告上报，需要一定的时间。为适应应急监测快速报告的需要，可采取边采样、边分析、边汇总、边报告的形式进行。</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场监测记录是报告应急监测结果的重要依据之一，应按规范格式记录，保证信息的完整性，主要包括环境条件、分析项目、分析方法、分析日期、样品类型、仪器名称、仪器型号、仪器编号、测定结果、分析人员、校核人员、审核人员签名等。</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82" w:name="_Toc30299_WPSOffice_Level3"/>
      <w:bookmarkStart w:id="783" w:name="_Toc2865_WPSOffice_Level3"/>
      <w:bookmarkStart w:id="784" w:name="_Toc26198_WPSOffice_Level3"/>
      <w:bookmarkStart w:id="785" w:name="_Toc14653_WPSOffice_Level3"/>
      <w:bookmarkStart w:id="786" w:name="_Toc2978_WPSOffice_Level3"/>
      <w:r>
        <w:rPr>
          <w:rFonts w:ascii="Times New Roman" w:hAnsi="Times New Roman" w:cs="Times New Roman"/>
          <w:b/>
          <w:color w:val="000000" w:themeColor="text1"/>
          <w:kern w:val="0"/>
          <w:sz w:val="24"/>
          <w:szCs w:val="24"/>
        </w:rPr>
        <w:t>（5）应急监测报告内容</w:t>
      </w:r>
      <w:bookmarkEnd w:id="782"/>
      <w:bookmarkEnd w:id="783"/>
      <w:bookmarkEnd w:id="784"/>
      <w:bookmarkEnd w:id="785"/>
      <w:bookmarkEnd w:id="786"/>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监测报告速报、确报、最终确报几种形式。报告的手段可采用电话、传真、电子邮件、监测快报、简报、应急监测报告等方式进行。应根据现场情况和监测结果，编写现场监测报告并迅速上报同级环境保护主管部门和现场应急指挥中心。重大、特大污染事故除报当地环境保护行政主管部门及上一级环境监测站外，还应直接报中国环境监测总站。应急监测报告的主要内容包括：</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事故发生的时间，接到通知的时间，到达现场监测时间；</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t>事故发生的具体地点及周边的自然环境；</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t>事故发生的性质与类型；</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t>采样断面（点位）、监测频次、监测方法；</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t>污染事故的性质，主要污染物的种类、排放量、浓度及影响范围；</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⑥</w:t>
      </w:r>
      <w:r>
        <w:rPr>
          <w:rFonts w:ascii="Times New Roman" w:hAnsi="Times New Roman" w:cs="Times New Roman"/>
          <w:color w:val="000000" w:themeColor="text1"/>
          <w:kern w:val="0"/>
          <w:sz w:val="24"/>
          <w:szCs w:val="24"/>
        </w:rPr>
        <w:t>污染事故的危害与损失，包括人员伤亡、事故原因等；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⑦</w:t>
      </w:r>
      <w:r>
        <w:rPr>
          <w:rFonts w:ascii="Times New Roman" w:hAnsi="Times New Roman" w:cs="Times New Roman"/>
          <w:color w:val="000000" w:themeColor="text1"/>
          <w:kern w:val="0"/>
          <w:sz w:val="24"/>
          <w:szCs w:val="24"/>
        </w:rPr>
        <w:t>简要说明污染物的危害特性及处理处置建议；</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eastAsia="宋体" w:cs="Times New Roman"/>
          <w:color w:val="000000" w:themeColor="text1"/>
          <w:kern w:val="0"/>
          <w:sz w:val="24"/>
          <w:szCs w:val="24"/>
        </w:rPr>
        <w:t>⑧</w:t>
      </w:r>
      <w:r>
        <w:rPr>
          <w:rFonts w:ascii="Times New Roman" w:hAnsi="Times New Roman" w:cs="Times New Roman"/>
          <w:color w:val="000000" w:themeColor="text1"/>
          <w:kern w:val="0"/>
          <w:sz w:val="24"/>
          <w:szCs w:val="24"/>
        </w:rPr>
        <w:t>应急监测现场负责人签字。</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787" w:name="_Toc27314_WPSOffice_Level2"/>
      <w:bookmarkStart w:id="788" w:name="_Toc8805_WPSOffice_Level2"/>
      <w:bookmarkStart w:id="789" w:name="_Toc24668_WPSOffice_Level2"/>
      <w:bookmarkStart w:id="790" w:name="_Toc24179"/>
      <w:bookmarkStart w:id="791" w:name="_Toc13894_WPSOffice_Level2"/>
      <w:bookmarkStart w:id="792" w:name="_Toc30299_WPSOffice_Level2"/>
      <w:bookmarkStart w:id="793" w:name="_Toc14329"/>
      <w:bookmarkStart w:id="794" w:name="_Toc29220"/>
      <w:bookmarkStart w:id="795" w:name="_Toc20387"/>
      <w:r>
        <w:rPr>
          <w:rFonts w:ascii="Times New Roman" w:hAnsi="Times New Roman" w:cs="Times New Roman"/>
          <w:b/>
          <w:bCs/>
          <w:color w:val="000000" w:themeColor="text1"/>
          <w:sz w:val="24"/>
          <w:szCs w:val="24"/>
        </w:rPr>
        <w:t>7.5应急</w:t>
      </w:r>
      <w:bookmarkEnd w:id="700"/>
      <w:r>
        <w:rPr>
          <w:rFonts w:ascii="Times New Roman" w:hAnsi="Times New Roman" w:cs="Times New Roman"/>
          <w:b/>
          <w:bCs/>
          <w:color w:val="000000" w:themeColor="text1"/>
          <w:sz w:val="24"/>
          <w:szCs w:val="24"/>
        </w:rPr>
        <w:t>终止</w:t>
      </w:r>
      <w:bookmarkEnd w:id="787"/>
      <w:bookmarkEnd w:id="788"/>
      <w:bookmarkEnd w:id="789"/>
      <w:bookmarkEnd w:id="790"/>
      <w:bookmarkEnd w:id="791"/>
      <w:bookmarkEnd w:id="792"/>
      <w:bookmarkEnd w:id="793"/>
      <w:bookmarkEnd w:id="794"/>
      <w:bookmarkEnd w:id="795"/>
    </w:p>
    <w:p>
      <w:pPr>
        <w:spacing w:line="500" w:lineRule="exact"/>
        <w:ind w:firstLine="482" w:firstLineChars="200"/>
        <w:jc w:val="left"/>
        <w:rPr>
          <w:rFonts w:ascii="Times New Roman" w:hAnsi="Times New Roman" w:cs="Times New Roman"/>
          <w:b/>
          <w:color w:val="000000" w:themeColor="text1"/>
          <w:kern w:val="0"/>
          <w:sz w:val="24"/>
          <w:szCs w:val="24"/>
        </w:rPr>
      </w:pPr>
      <w:bookmarkStart w:id="796" w:name="_Toc1655_WPSOffice_Level3"/>
      <w:bookmarkStart w:id="797" w:name="_Toc4323_WPSOffice_Level3"/>
      <w:bookmarkStart w:id="798" w:name="_Toc14712_WPSOffice_Level3"/>
      <w:bookmarkStart w:id="799" w:name="_Toc8279_WPSOffice_Level3"/>
      <w:bookmarkStart w:id="800" w:name="_Toc7943_WPSOffice_Level3"/>
      <w:r>
        <w:rPr>
          <w:rFonts w:ascii="Times New Roman" w:hAnsi="Times New Roman" w:cs="Times New Roman"/>
          <w:b/>
          <w:color w:val="000000" w:themeColor="text1"/>
          <w:kern w:val="0"/>
          <w:sz w:val="24"/>
          <w:szCs w:val="24"/>
        </w:rPr>
        <w:t>（1）应急终止条件</w:t>
      </w:r>
      <w:bookmarkEnd w:id="796"/>
      <w:bookmarkEnd w:id="797"/>
      <w:bookmarkEnd w:id="798"/>
      <w:bookmarkEnd w:id="799"/>
      <w:bookmarkEnd w:id="800"/>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符合下列条件之一的，即满足应急终止条件：</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事故现场得到控制，事故条件已经消除；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污染源的泄漏或释放已降至规定限值以内；</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事故所造成的危害已经被彻底消除，无继发可能；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事故现场的各种专业应急处置行动已无继续的必要；</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采取了必要的防护措施以保护公众免受再次危害，并使事件可能引起的中长期影响趋于合理且尽量低的水平。</w:t>
      </w:r>
    </w:p>
    <w:p>
      <w:pPr>
        <w:spacing w:line="500" w:lineRule="exact"/>
        <w:ind w:firstLine="482" w:firstLineChars="200"/>
        <w:jc w:val="left"/>
        <w:rPr>
          <w:rFonts w:ascii="Times New Roman" w:hAnsi="Times New Roman" w:cs="Times New Roman"/>
          <w:b/>
          <w:color w:val="000000" w:themeColor="text1"/>
          <w:kern w:val="0"/>
          <w:sz w:val="24"/>
          <w:szCs w:val="24"/>
        </w:rPr>
      </w:pPr>
      <w:bookmarkStart w:id="801" w:name="_Toc28169_WPSOffice_Level3"/>
      <w:bookmarkStart w:id="802" w:name="_Toc16140_WPSOffice_Level3"/>
      <w:bookmarkStart w:id="803" w:name="_Toc28024_WPSOffice_Level3"/>
      <w:bookmarkStart w:id="804" w:name="_Toc10158_WPSOffice_Level3"/>
      <w:bookmarkStart w:id="805" w:name="_Toc9024_WPSOffice_Level3"/>
      <w:r>
        <w:rPr>
          <w:rFonts w:ascii="Times New Roman" w:hAnsi="Times New Roman" w:cs="Times New Roman"/>
          <w:b/>
          <w:color w:val="000000" w:themeColor="text1"/>
          <w:kern w:val="0"/>
          <w:sz w:val="24"/>
          <w:szCs w:val="24"/>
        </w:rPr>
        <w:t>（2）应急终止程序</w:t>
      </w:r>
      <w:bookmarkEnd w:id="801"/>
      <w:bookmarkEnd w:id="802"/>
      <w:bookmarkEnd w:id="803"/>
      <w:bookmarkEnd w:id="804"/>
      <w:bookmarkEnd w:id="805"/>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现场救援指挥部确认终止时机，或事件责任单位提出，经现场救援指挥部批准；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现场救援指挥部向所属各专业应急救援队伍下达应急终止命令；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应急状态终止后，相关类别环境事件专业应急指挥部应根据公司有关指示和实际情况，继续进行环境监测和评价工作，直至其他补救措施无需继续进行为止。</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806" w:name="_Toc13933_WPSOffice_Level2"/>
      <w:bookmarkStart w:id="807" w:name="_Toc19028_WPSOffice_Level2"/>
      <w:bookmarkStart w:id="808" w:name="_Toc19554"/>
      <w:bookmarkStart w:id="809" w:name="_Toc25049_WPSOffice_Level2"/>
      <w:bookmarkStart w:id="810" w:name="_Toc5038"/>
      <w:bookmarkStart w:id="811" w:name="_Toc3603_WPSOffice_Level2"/>
      <w:bookmarkStart w:id="812" w:name="_Toc5278"/>
      <w:bookmarkStart w:id="813" w:name="_Toc29892_WPSOffice_Level2"/>
      <w:bookmarkStart w:id="814" w:name="_Toc22736"/>
      <w:r>
        <w:rPr>
          <w:rFonts w:ascii="Times New Roman" w:hAnsi="Times New Roman" w:cs="Times New Roman"/>
          <w:b/>
          <w:bCs/>
          <w:color w:val="000000" w:themeColor="text1"/>
          <w:sz w:val="24"/>
          <w:szCs w:val="24"/>
        </w:rPr>
        <w:t>7.6应急终止后的行动</w:t>
      </w:r>
      <w:bookmarkEnd w:id="806"/>
      <w:bookmarkEnd w:id="807"/>
      <w:bookmarkEnd w:id="808"/>
      <w:bookmarkEnd w:id="809"/>
      <w:bookmarkEnd w:id="810"/>
      <w:bookmarkEnd w:id="811"/>
      <w:bookmarkEnd w:id="812"/>
      <w:bookmarkEnd w:id="813"/>
      <w:bookmarkEnd w:id="814"/>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）环境应急指挥部指导有关部门及突发环境事件单位查找事件原因，防止类似问题的重复出现。</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）有关类别环境事件专业主管部门负责编制特别重大、重大环境事件总结报告，于应急终止后上报。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）应急过程评价。由加油站应急救援办公室或当地环保部门组织有关专家，会同事发地相关部门组织实施。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）根据实践经验，有关类别环境事件专业主管部门负责组织对应急预案进行评估，并及时修订环境应急预案。</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）参加应急行动的部门负责组织、指导环境应急队伍维护、保养应急仪器设备，使之始终保持良好的技术状态。</w:t>
      </w:r>
      <w:bookmarkStart w:id="815" w:name="_Toc20020"/>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lang w:val="zh-CN"/>
        </w:rPr>
      </w:pPr>
      <w:bookmarkStart w:id="816" w:name="_Toc4588"/>
      <w:bookmarkStart w:id="817" w:name="_Toc74_WPSOffice_Level2"/>
      <w:bookmarkStart w:id="818" w:name="_Toc8539_WPSOffice_Level2"/>
      <w:bookmarkStart w:id="819" w:name="_Toc2964_WPSOffice_Level2"/>
      <w:bookmarkStart w:id="820" w:name="_Toc31093"/>
      <w:bookmarkStart w:id="821" w:name="_Toc25148_WPSOffice_Level2"/>
      <w:bookmarkStart w:id="822" w:name="_Toc29776_WPSOffice_Level2"/>
      <w:bookmarkStart w:id="823" w:name="_Toc9606"/>
      <w:bookmarkStart w:id="824" w:name="_Toc22831"/>
      <w:r>
        <w:rPr>
          <w:rFonts w:ascii="Times New Roman" w:hAnsi="Times New Roman" w:cs="Times New Roman"/>
          <w:b/>
          <w:bCs/>
          <w:color w:val="000000" w:themeColor="text1"/>
          <w:sz w:val="24"/>
          <w:szCs w:val="24"/>
        </w:rPr>
        <w:t>7.7应急</w:t>
      </w:r>
      <w:bookmarkEnd w:id="816"/>
      <w:r>
        <w:rPr>
          <w:rFonts w:ascii="Times New Roman" w:hAnsi="Times New Roman" w:cs="Times New Roman"/>
          <w:b/>
          <w:bCs/>
          <w:color w:val="000000" w:themeColor="text1"/>
          <w:sz w:val="24"/>
          <w:szCs w:val="24"/>
        </w:rPr>
        <w:t>安全</w:t>
      </w:r>
      <w:bookmarkEnd w:id="817"/>
      <w:bookmarkEnd w:id="818"/>
      <w:bookmarkEnd w:id="819"/>
      <w:bookmarkEnd w:id="820"/>
      <w:bookmarkEnd w:id="821"/>
      <w:bookmarkEnd w:id="822"/>
      <w:bookmarkEnd w:id="823"/>
      <w:bookmarkEnd w:id="824"/>
    </w:p>
    <w:bookmarkEnd w:id="815"/>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825" w:name="_Toc27451_WPSOffice_Level3"/>
      <w:bookmarkStart w:id="826" w:name="_Toc4102_WPSOffice_Level3"/>
      <w:bookmarkStart w:id="827" w:name="_Toc2836"/>
      <w:bookmarkStart w:id="828" w:name="_Toc16150_WPSOffice_Level3"/>
      <w:bookmarkStart w:id="829" w:name="_Toc29776_WPSOffice_Level3"/>
      <w:bookmarkStart w:id="830" w:name="_Toc12542"/>
      <w:bookmarkStart w:id="831" w:name="_Toc24015"/>
      <w:bookmarkStart w:id="832" w:name="_Toc24098_WPSOffice_Level3"/>
      <w:bookmarkStart w:id="833" w:name="_Toc32659"/>
      <w:r>
        <w:rPr>
          <w:rFonts w:ascii="Times New Roman" w:hAnsi="Times New Roman" w:cs="Times New Roman"/>
          <w:b/>
          <w:color w:val="000000" w:themeColor="text1"/>
          <w:sz w:val="24"/>
          <w:szCs w:val="24"/>
        </w:rPr>
        <w:t>7.7.1应急人员的安全防护</w:t>
      </w:r>
      <w:bookmarkEnd w:id="825"/>
      <w:bookmarkEnd w:id="826"/>
      <w:bookmarkEnd w:id="827"/>
      <w:bookmarkEnd w:id="828"/>
      <w:bookmarkEnd w:id="829"/>
      <w:bookmarkEnd w:id="830"/>
      <w:bookmarkEnd w:id="831"/>
      <w:bookmarkEnd w:id="832"/>
      <w:bookmarkEnd w:id="833"/>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突发环境事件应急领导小组统一购置环保安全现场处置人员相应的专业防护装备，分发各个环保安全人员保管。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突发环境事件应急领导小组定期组织环保安全人员进行培训和演练，培训内容主要包括安全防护措施及现场处理，并对对应急人员出入事发现场程序进行演练。</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834" w:name="_Toc23752"/>
      <w:bookmarkStart w:id="835" w:name="_Toc3235_WPSOffice_Level3"/>
      <w:bookmarkStart w:id="836" w:name="_Toc14868"/>
      <w:bookmarkStart w:id="837" w:name="_Toc7757_WPSOffice_Level3"/>
      <w:bookmarkStart w:id="838" w:name="_Toc11037_WPSOffice_Level3"/>
      <w:bookmarkStart w:id="839" w:name="_Toc14134_WPSOffice_Level3"/>
      <w:bookmarkStart w:id="840" w:name="_Toc6595_WPSOffice_Level3"/>
      <w:bookmarkStart w:id="841" w:name="_Toc14826"/>
      <w:bookmarkStart w:id="842" w:name="_Toc25683"/>
      <w:r>
        <w:rPr>
          <w:rFonts w:ascii="Times New Roman" w:hAnsi="Times New Roman" w:cs="Times New Roman"/>
          <w:b/>
          <w:color w:val="000000" w:themeColor="text1"/>
          <w:sz w:val="24"/>
          <w:szCs w:val="24"/>
        </w:rPr>
        <w:t>7.7.2受灾群众的安全防护</w:t>
      </w:r>
      <w:bookmarkEnd w:id="834"/>
      <w:bookmarkEnd w:id="835"/>
      <w:bookmarkEnd w:id="836"/>
      <w:bookmarkEnd w:id="837"/>
      <w:bookmarkEnd w:id="838"/>
      <w:bookmarkEnd w:id="839"/>
      <w:bookmarkEnd w:id="840"/>
      <w:bookmarkEnd w:id="841"/>
      <w:bookmarkEnd w:id="84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根据突发重大环境事件的性质、特点，及时告知周围群众并采取相应安全防护措施，请求上级部门进行支援。</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根据事发时当地的气象、地理环境、人员密集度等，确定群众疏散的方式，指定有关部门组织群众安全疏散撤离；</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在事发地安全边界以外，设立紧急避难场所。</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843" w:name="_Toc14446"/>
      <w:bookmarkStart w:id="844" w:name="_Toc5273"/>
      <w:bookmarkStart w:id="845" w:name="_Toc30056_WPSOffice_Level1"/>
      <w:bookmarkStart w:id="846" w:name="_Toc2311"/>
      <w:bookmarkStart w:id="847" w:name="_Toc20158_WPSOffice_Level1"/>
      <w:bookmarkStart w:id="848" w:name="_Toc7757_WPSOffice_Level1"/>
      <w:bookmarkStart w:id="849" w:name="_Toc21755_WPSOffice_Level1"/>
      <w:bookmarkStart w:id="850" w:name="_Toc15176"/>
      <w:bookmarkStart w:id="851" w:name="_Toc18784_WPSOffice_Level1"/>
      <w:bookmarkStart w:id="852" w:name="_Toc762"/>
      <w:r>
        <w:rPr>
          <w:rFonts w:ascii="Times New Roman" w:hAnsi="Times New Roman" w:cs="Times New Roman"/>
          <w:b/>
          <w:bCs/>
          <w:color w:val="000000" w:themeColor="text1"/>
          <w:kern w:val="44"/>
          <w:sz w:val="30"/>
          <w:szCs w:val="30"/>
        </w:rPr>
        <w:t>8、保障</w:t>
      </w:r>
      <w:bookmarkEnd w:id="843"/>
      <w:r>
        <w:rPr>
          <w:rFonts w:ascii="Times New Roman" w:hAnsi="Times New Roman" w:cs="Times New Roman"/>
          <w:b/>
          <w:bCs/>
          <w:color w:val="000000" w:themeColor="text1"/>
          <w:kern w:val="44"/>
          <w:sz w:val="30"/>
          <w:szCs w:val="30"/>
        </w:rPr>
        <w:t>措施</w:t>
      </w:r>
      <w:bookmarkEnd w:id="844"/>
      <w:bookmarkEnd w:id="845"/>
      <w:bookmarkEnd w:id="846"/>
      <w:bookmarkEnd w:id="847"/>
      <w:bookmarkEnd w:id="848"/>
      <w:bookmarkEnd w:id="849"/>
      <w:bookmarkEnd w:id="850"/>
      <w:bookmarkEnd w:id="851"/>
      <w:bookmarkEnd w:id="852"/>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853" w:name="_Toc15556_WPSOffice_Level2"/>
      <w:bookmarkStart w:id="854" w:name="_Toc641_WPSOffice_Level2"/>
      <w:bookmarkStart w:id="855" w:name="_Toc17795"/>
      <w:bookmarkStart w:id="856" w:name="_Toc30564"/>
      <w:bookmarkStart w:id="857" w:name="_Toc26783_WPSOffice_Level2"/>
      <w:bookmarkStart w:id="858" w:name="_Toc1412_WPSOffice_Level2"/>
      <w:bookmarkStart w:id="859" w:name="_Toc18505_WPSOffice_Level2"/>
      <w:bookmarkStart w:id="860" w:name="_Toc30980"/>
      <w:bookmarkStart w:id="861" w:name="_Toc574"/>
      <w:bookmarkStart w:id="862" w:name="_Toc24065"/>
      <w:bookmarkStart w:id="863" w:name="_Toc304896961"/>
      <w:r>
        <w:rPr>
          <w:rFonts w:ascii="Times New Roman" w:hAnsi="Times New Roman" w:cs="Times New Roman"/>
          <w:b/>
          <w:bCs/>
          <w:color w:val="000000" w:themeColor="text1"/>
          <w:sz w:val="24"/>
          <w:szCs w:val="24"/>
        </w:rPr>
        <w:t>8.1通信与信息保障</w:t>
      </w:r>
      <w:bookmarkEnd w:id="853"/>
      <w:bookmarkEnd w:id="854"/>
      <w:bookmarkEnd w:id="855"/>
      <w:bookmarkEnd w:id="856"/>
      <w:bookmarkEnd w:id="857"/>
      <w:bookmarkEnd w:id="858"/>
      <w:bookmarkEnd w:id="859"/>
      <w:bookmarkEnd w:id="860"/>
      <w:bookmarkEnd w:id="861"/>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一旦发生事故，加油站内部使用加油站内部电话联系，外部使用移动电话、固定电话等。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应急领导小组设置24小时应急电话，并有专人值守，各个应急领导小组成员电话务必24小时处于可以接通状态。联系方式见附件</w:t>
      </w: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864" w:name="_Toc12250"/>
      <w:bookmarkStart w:id="865" w:name="_Toc12119_WPSOffice_Level2"/>
      <w:bookmarkStart w:id="866" w:name="_Toc25446_WPSOffice_Level2"/>
      <w:bookmarkStart w:id="867" w:name="_Toc11026_WPSOffice_Level2"/>
      <w:bookmarkStart w:id="868" w:name="_Toc29253_WPSOffice_Level2"/>
      <w:bookmarkStart w:id="869" w:name="_Toc28867"/>
      <w:bookmarkStart w:id="870" w:name="_Toc5121"/>
      <w:bookmarkStart w:id="871" w:name="_Toc1353_WPSOffice_Level2"/>
      <w:bookmarkStart w:id="872" w:name="_Toc27896"/>
      <w:r>
        <w:rPr>
          <w:rFonts w:ascii="Times New Roman" w:hAnsi="Times New Roman" w:cs="Times New Roman"/>
          <w:b/>
          <w:bCs/>
          <w:color w:val="000000" w:themeColor="text1"/>
          <w:sz w:val="24"/>
          <w:szCs w:val="24"/>
        </w:rPr>
        <w:t>8.2应急队伍保障</w:t>
      </w:r>
      <w:bookmarkEnd w:id="862"/>
      <w:bookmarkEnd w:id="863"/>
      <w:bookmarkEnd w:id="864"/>
      <w:bookmarkEnd w:id="865"/>
      <w:bookmarkEnd w:id="866"/>
      <w:bookmarkEnd w:id="867"/>
      <w:bookmarkEnd w:id="868"/>
      <w:bookmarkEnd w:id="869"/>
      <w:bookmarkEnd w:id="870"/>
      <w:bookmarkEnd w:id="871"/>
      <w:bookmarkEnd w:id="87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成立突发环境事件应急领导小组，分别对加油站废水、危险废物、汽油等储存区、加油区设立专门的环保管理队伍，设有环保应急后勤管理队伍；</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定期进行突发环保事件应急救援单项演练、综合演练；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及时传达上级环保、安全及其他相关部门的要求及法律法规精神；</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有计划的向相关专家进行环保安全咨询服务。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加大环保宣传力度。加油站为普及环境污染事件预防常识，编印、发放有毒有害物质污染公众防护宣传单，增强公众的防范意识和相关心理准备，提高公众的防范能力。</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873" w:name="_Toc19041_WPSOffice_Level2"/>
      <w:bookmarkStart w:id="874" w:name="_Toc9268"/>
      <w:bookmarkStart w:id="875" w:name="_Toc304896962"/>
      <w:bookmarkStart w:id="876" w:name="_Toc6733_WPSOffice_Level2"/>
      <w:bookmarkStart w:id="877" w:name="_Toc8076_WPSOffice_Level2"/>
      <w:bookmarkStart w:id="878" w:name="_Toc23787"/>
      <w:bookmarkStart w:id="879" w:name="_Toc14964_WPSOffice_Level2"/>
      <w:bookmarkStart w:id="880" w:name="_Toc2057"/>
      <w:bookmarkStart w:id="881" w:name="_Toc7595_WPSOffice_Level2"/>
      <w:bookmarkStart w:id="882" w:name="_Toc17206"/>
      <w:bookmarkStart w:id="883" w:name="_Toc17577"/>
      <w:r>
        <w:rPr>
          <w:rFonts w:ascii="Times New Roman" w:hAnsi="Times New Roman" w:cs="Times New Roman"/>
          <w:b/>
          <w:bCs/>
          <w:color w:val="000000" w:themeColor="text1"/>
          <w:sz w:val="24"/>
          <w:szCs w:val="24"/>
        </w:rPr>
        <w:t>8.3应急物资装备保障</w:t>
      </w:r>
      <w:bookmarkEnd w:id="873"/>
      <w:bookmarkEnd w:id="874"/>
      <w:bookmarkEnd w:id="875"/>
      <w:bookmarkEnd w:id="876"/>
      <w:bookmarkEnd w:id="877"/>
      <w:bookmarkEnd w:id="878"/>
      <w:bookmarkEnd w:id="879"/>
      <w:bookmarkEnd w:id="880"/>
      <w:bookmarkEnd w:id="881"/>
      <w:bookmarkEnd w:id="882"/>
      <w:bookmarkEnd w:id="883"/>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）各环保队配有专门的环保安全防护器材，并由环保后勤保障组负责统一采购和发放；</w:t>
      </w:r>
      <w:r>
        <w:rPr>
          <w:rFonts w:ascii="Times New Roman" w:hAnsi="Times New Roman" w:cs="Times New Roman"/>
          <w:color w:val="000000" w:themeColor="text1"/>
          <w:kern w:val="0"/>
          <w:sz w:val="24"/>
          <w:szCs w:val="24"/>
        </w:rPr>
        <w:t>应急救援装备，物资药品（包括危险废物运输车辆的安全）、到期药品，器材及时更换，不足救援物资及时补齐，失效过期消防器材及时更换。</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）按相关规范要求，加油站内配置消防沙、灭火器器材；加油人员配备的防护用品等。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（3）应急电源，照明，加油站自备照明：8个。</w:t>
      </w:r>
    </w:p>
    <w:p>
      <w:pPr>
        <w:spacing w:line="500" w:lineRule="exact"/>
        <w:ind w:firstLine="480" w:firstLineChars="200"/>
        <w:jc w:val="left"/>
        <w:rPr>
          <w:rFonts w:ascii="Times New Roman" w:hAnsi="Times New Roman" w:cs="Times New Roman"/>
          <w:color w:val="000000" w:themeColor="text1"/>
          <w:kern w:val="0"/>
          <w:sz w:val="24"/>
          <w:szCs w:val="24"/>
        </w:rPr>
      </w:pPr>
      <w:bookmarkStart w:id="884" w:name="_Toc30581_WPSOffice_Level3"/>
      <w:bookmarkStart w:id="885" w:name="_Toc3683_WPSOffice_Level3"/>
      <w:bookmarkStart w:id="886" w:name="_Toc7234_WPSOffice_Level3"/>
      <w:bookmarkStart w:id="887" w:name="_Toc24259_WPSOffice_Level3"/>
      <w:bookmarkStart w:id="888" w:name="_Toc26877_WPSOffice_Level3"/>
      <w:r>
        <w:rPr>
          <w:rFonts w:ascii="Times New Roman" w:hAnsi="Times New Roman" w:cs="Times New Roman"/>
          <w:color w:val="000000" w:themeColor="text1"/>
          <w:kern w:val="0"/>
          <w:sz w:val="24"/>
          <w:szCs w:val="24"/>
        </w:rPr>
        <w:t>（5）应急救援装备，物资，药品等。</w:t>
      </w:r>
      <w:bookmarkEnd w:id="884"/>
      <w:bookmarkEnd w:id="885"/>
      <w:bookmarkEnd w:id="886"/>
      <w:bookmarkEnd w:id="887"/>
      <w:bookmarkEnd w:id="888"/>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889" w:name="_Toc304896963"/>
      <w:bookmarkStart w:id="890" w:name="_Toc27581"/>
      <w:bookmarkStart w:id="891" w:name="_Toc17886_WPSOffice_Level2"/>
      <w:bookmarkStart w:id="892" w:name="_Toc29972_WPSOffice_Level2"/>
      <w:bookmarkStart w:id="893" w:name="_Toc17982_WPSOffice_Level2"/>
      <w:bookmarkStart w:id="894" w:name="_Toc10182_WPSOffice_Level2"/>
      <w:bookmarkStart w:id="895" w:name="_Toc9323"/>
      <w:bookmarkStart w:id="896" w:name="_Toc12589"/>
      <w:bookmarkStart w:id="897" w:name="_Toc20124"/>
      <w:bookmarkStart w:id="898" w:name="_Toc30549_WPSOffice_Level2"/>
      <w:bookmarkStart w:id="899" w:name="_Toc16810"/>
      <w:r>
        <w:rPr>
          <w:rFonts w:ascii="Times New Roman" w:hAnsi="Times New Roman" w:cs="Times New Roman"/>
          <w:b/>
          <w:bCs/>
          <w:color w:val="000000" w:themeColor="text1"/>
          <w:sz w:val="24"/>
          <w:szCs w:val="24"/>
        </w:rPr>
        <w:t>8.</w:t>
      </w:r>
      <w:bookmarkEnd w:id="889"/>
      <w:bookmarkEnd w:id="890"/>
      <w:r>
        <w:rPr>
          <w:rFonts w:ascii="Times New Roman" w:hAnsi="Times New Roman" w:cs="Times New Roman"/>
          <w:b/>
          <w:bCs/>
          <w:color w:val="000000" w:themeColor="text1"/>
          <w:sz w:val="24"/>
          <w:szCs w:val="24"/>
        </w:rPr>
        <w:t>4经费保障</w:t>
      </w:r>
      <w:bookmarkEnd w:id="891"/>
      <w:bookmarkEnd w:id="892"/>
      <w:bookmarkEnd w:id="893"/>
      <w:bookmarkEnd w:id="894"/>
      <w:bookmarkEnd w:id="895"/>
      <w:bookmarkEnd w:id="896"/>
      <w:bookmarkEnd w:id="897"/>
      <w:bookmarkEnd w:id="898"/>
      <w:bookmarkEnd w:id="899"/>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应急救援指挥部由公司加油站站长负责管理和协调，每年安排专项资金保障《突发环境事件应急预案》的实施；保证在事故应急救援中，交通运输、受伤人员医疗、现场事故处理和维修技术等各方面所需资金的充足和合理利用。</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900" w:name="_Toc7140"/>
      <w:bookmarkStart w:id="901" w:name="_Toc304896964"/>
      <w:bookmarkStart w:id="902" w:name="_Toc10390"/>
      <w:bookmarkStart w:id="903" w:name="_Toc727"/>
      <w:bookmarkStart w:id="904" w:name="_Toc25204_WPSOffice_Level2"/>
      <w:bookmarkStart w:id="905" w:name="_Toc14482_WPSOffice_Level2"/>
      <w:bookmarkStart w:id="906" w:name="_Toc18104_WPSOffice_Level2"/>
      <w:bookmarkStart w:id="907" w:name="_Toc21623_WPSOffice_Level2"/>
      <w:bookmarkStart w:id="908" w:name="_Toc22001_WPSOffice_Level2"/>
      <w:bookmarkStart w:id="909" w:name="_Toc32238"/>
      <w:bookmarkStart w:id="910" w:name="_Toc7008"/>
      <w:r>
        <w:rPr>
          <w:rFonts w:ascii="Times New Roman" w:hAnsi="Times New Roman" w:cs="Times New Roman"/>
          <w:b/>
          <w:bCs/>
          <w:color w:val="000000" w:themeColor="text1"/>
          <w:sz w:val="24"/>
          <w:szCs w:val="24"/>
        </w:rPr>
        <w:t>8.5应急技术</w:t>
      </w:r>
      <w:bookmarkEnd w:id="900"/>
      <w:bookmarkEnd w:id="901"/>
      <w:r>
        <w:rPr>
          <w:rFonts w:ascii="Times New Roman" w:hAnsi="Times New Roman" w:cs="Times New Roman"/>
          <w:b/>
          <w:bCs/>
          <w:color w:val="000000" w:themeColor="text1"/>
          <w:sz w:val="24"/>
          <w:szCs w:val="24"/>
        </w:rPr>
        <w:t>保障</w:t>
      </w:r>
      <w:bookmarkEnd w:id="902"/>
      <w:bookmarkEnd w:id="903"/>
      <w:bookmarkEnd w:id="904"/>
      <w:bookmarkEnd w:id="905"/>
      <w:bookmarkEnd w:id="906"/>
      <w:bookmarkEnd w:id="907"/>
      <w:bookmarkEnd w:id="908"/>
      <w:bookmarkEnd w:id="909"/>
      <w:bookmarkEnd w:id="910"/>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sz w:val="24"/>
          <w:szCs w:val="24"/>
        </w:rPr>
        <w:t>南昌中油瑶湖石油销售有限公司瑶湖加油站</w:t>
      </w:r>
      <w:r>
        <w:rPr>
          <w:rFonts w:ascii="Times New Roman" w:hAnsi="Times New Roman" w:cs="Times New Roman"/>
          <w:color w:val="000000" w:themeColor="text1"/>
          <w:kern w:val="0"/>
          <w:sz w:val="24"/>
          <w:szCs w:val="24"/>
          <w:lang w:val="zh-CN"/>
        </w:rPr>
        <w:t>突发环境事件应急领导小组主要处理单位内部突发环境事件，随时投入应急的后续支援和提供技术支援，确保在启动预警前、事件发生后相关环境专家能迅速到位，为指挥决策提供服务。</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911" w:name="_Toc23370_WPSOffice_Level2"/>
      <w:bookmarkStart w:id="912" w:name="_Toc20536"/>
      <w:bookmarkStart w:id="913" w:name="_Toc18070_WPSOffice_Level2"/>
      <w:bookmarkStart w:id="914" w:name="_Toc19091_WPSOffice_Level2"/>
      <w:bookmarkStart w:id="915" w:name="_Toc8333_WPSOffice_Level2"/>
      <w:bookmarkStart w:id="916" w:name="_Toc28731_WPSOffice_Level2"/>
      <w:bookmarkStart w:id="917" w:name="_Toc20562"/>
      <w:bookmarkStart w:id="918" w:name="_Toc21894"/>
      <w:bookmarkStart w:id="919" w:name="_Toc17732"/>
      <w:r>
        <w:rPr>
          <w:rFonts w:ascii="Times New Roman" w:hAnsi="Times New Roman" w:cs="Times New Roman"/>
          <w:b/>
          <w:bCs/>
          <w:color w:val="000000" w:themeColor="text1"/>
          <w:sz w:val="24"/>
          <w:szCs w:val="24"/>
        </w:rPr>
        <w:t>8.6应急救援保障</w:t>
      </w:r>
      <w:bookmarkEnd w:id="911"/>
      <w:bookmarkEnd w:id="912"/>
      <w:bookmarkEnd w:id="913"/>
      <w:bookmarkEnd w:id="914"/>
      <w:bookmarkEnd w:id="915"/>
      <w:bookmarkEnd w:id="916"/>
      <w:bookmarkEnd w:id="917"/>
      <w:bookmarkEnd w:id="918"/>
      <w:bookmarkEnd w:id="919"/>
    </w:p>
    <w:p>
      <w:pPr>
        <w:spacing w:line="500" w:lineRule="exact"/>
        <w:ind w:firstLine="482" w:firstLineChars="200"/>
        <w:jc w:val="left"/>
        <w:rPr>
          <w:rFonts w:ascii="Times New Roman" w:hAnsi="Times New Roman" w:cs="Times New Roman"/>
          <w:b/>
          <w:color w:val="000000" w:themeColor="text1"/>
          <w:kern w:val="0"/>
          <w:sz w:val="24"/>
          <w:szCs w:val="24"/>
        </w:rPr>
      </w:pPr>
      <w:bookmarkStart w:id="920" w:name="_Toc12178_WPSOffice_Level3"/>
      <w:bookmarkStart w:id="921" w:name="_Toc6017_WPSOffice_Level3"/>
      <w:bookmarkStart w:id="922" w:name="_Toc6711_WPSOffice_Level3"/>
      <w:bookmarkStart w:id="923" w:name="_Toc27419_WPSOffice_Level3"/>
      <w:bookmarkStart w:id="924" w:name="_Toc27762_WPSOffice_Level3"/>
      <w:r>
        <w:rPr>
          <w:rFonts w:ascii="Times New Roman" w:hAnsi="Times New Roman" w:cs="Times New Roman"/>
          <w:b/>
          <w:color w:val="000000" w:themeColor="text1"/>
          <w:kern w:val="0"/>
          <w:sz w:val="24"/>
          <w:szCs w:val="24"/>
        </w:rPr>
        <w:t>A、内部保障</w:t>
      </w:r>
      <w:bookmarkEnd w:id="920"/>
      <w:bookmarkEnd w:id="921"/>
      <w:bookmarkEnd w:id="922"/>
      <w:bookmarkEnd w:id="923"/>
      <w:bookmarkEnd w:id="924"/>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（1）确定应急救援队伍，包括抢修、现场救护、医疗、治安、消防、交通管理、通讯、供应、运输、后勤等人员。</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应急救援队伍以事故应急救援队办公室为龙头，安排各有关部门人员参加，针对事故现场设置应急办公室、物资后勤保障组等。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（2）现场平面布置图、消防设施配置图、危险化学品安全技术说明书、气象资料等由加油站办公室负责收集，原件由资料员统一保管，复印件交办公室和副指挥长分别留存。</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（3）应急通信系统</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以电话联系为主，并派专人落实和实施</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总经理、站长电话、应急救援办公室负责人电话、物资后勤保障组负责人电话：看附件5</w:t>
      </w:r>
    </w:p>
    <w:p>
      <w:pPr>
        <w:spacing w:line="500" w:lineRule="exact"/>
        <w:ind w:firstLine="482" w:firstLineChars="200"/>
        <w:jc w:val="left"/>
        <w:rPr>
          <w:rFonts w:ascii="Times New Roman" w:hAnsi="Times New Roman" w:cs="Times New Roman"/>
          <w:b/>
          <w:color w:val="000000" w:themeColor="text1"/>
          <w:kern w:val="0"/>
          <w:sz w:val="24"/>
          <w:szCs w:val="24"/>
        </w:rPr>
      </w:pPr>
      <w:bookmarkStart w:id="925" w:name="_Toc391_WPSOffice_Level3"/>
      <w:bookmarkStart w:id="926" w:name="_Toc20936_WPSOffice_Level3"/>
      <w:bookmarkStart w:id="927" w:name="_Toc4695_WPSOffice_Level3"/>
      <w:bookmarkStart w:id="928" w:name="_Toc17778_WPSOffice_Level3"/>
      <w:bookmarkStart w:id="929" w:name="_Toc24961_WPSOffice_Level3"/>
      <w:r>
        <w:rPr>
          <w:rFonts w:ascii="Times New Roman" w:hAnsi="Times New Roman" w:cs="Times New Roman"/>
          <w:b/>
          <w:color w:val="000000" w:themeColor="text1"/>
          <w:kern w:val="0"/>
          <w:sz w:val="24"/>
          <w:szCs w:val="24"/>
        </w:rPr>
        <w:t>B、保障制度</w:t>
      </w:r>
      <w:bookmarkEnd w:id="925"/>
      <w:bookmarkEnd w:id="926"/>
      <w:bookmarkEnd w:id="927"/>
      <w:bookmarkEnd w:id="928"/>
      <w:bookmarkEnd w:id="929"/>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为了能在事故发生后，迅速、准确、有效地进行处理，必须制定好“突发环境事件应急救援预案”，做好应急救援的各项准备工作，对加油站全体职工进行经常性的应急救援常识教育，落实岗位责任制和各项规章制度；同时还应建立以下相应制度：</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（1）值班制度：建立24小时值班制度，夜间由行政值班负责，遇有问题及时处理。每班由值班长负责巡视检查、记录，发现异常情况及时向安全员汇报，值班人员全天打开手机，应对各种异常情况。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（2）检查制度：每月由加油站应急救援指挥领导小组结合加油站环保工作，检查应急救援工作情况。发现问题及时整改。</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（3）例会制度：每季度由突发环境事件应急救援指挥领导小组组织召开一次指挥组成员和各救援队伍负责人会议，检查上季度工作，并针对存在的问题，积极采取有效措施，加以改进。</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（4）必须让每个班组的加油人员熟悉事故的处置方法，提高处置事故的能力，加油站综合性的演练由指挥部每年组织一次，对工作突出者要给予表彰和奖励。</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（5）培训制度</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事故应急救援队队员定期参加公司加油站内部同南昌市有关部门组织的应急救援培训，熟悉应急救援知识，熟练使用各种应急救援器材。</w:t>
      </w:r>
    </w:p>
    <w:p>
      <w:pPr>
        <w:spacing w:line="500" w:lineRule="exact"/>
        <w:ind w:firstLine="482" w:firstLineChars="200"/>
        <w:jc w:val="left"/>
        <w:rPr>
          <w:rFonts w:ascii="Times New Roman" w:hAnsi="Times New Roman" w:cs="Times New Roman"/>
          <w:b/>
          <w:color w:val="000000" w:themeColor="text1"/>
          <w:kern w:val="0"/>
          <w:sz w:val="24"/>
          <w:szCs w:val="24"/>
        </w:rPr>
      </w:pPr>
      <w:bookmarkStart w:id="930" w:name="_Toc17459_WPSOffice_Level3"/>
      <w:bookmarkStart w:id="931" w:name="_Toc10794_WPSOffice_Level3"/>
      <w:bookmarkStart w:id="932" w:name="_Toc24424_WPSOffice_Level3"/>
      <w:bookmarkStart w:id="933" w:name="_Toc13812_WPSOffice_Level3"/>
      <w:bookmarkStart w:id="934" w:name="_Toc11258_WPSOffice_Level3"/>
      <w:r>
        <w:rPr>
          <w:rFonts w:ascii="Times New Roman" w:hAnsi="Times New Roman" w:cs="Times New Roman"/>
          <w:b/>
          <w:color w:val="000000" w:themeColor="text1"/>
          <w:kern w:val="0"/>
          <w:sz w:val="24"/>
          <w:szCs w:val="24"/>
        </w:rPr>
        <w:t>C、外部救援</w:t>
      </w:r>
      <w:bookmarkEnd w:id="930"/>
      <w:bookmarkEnd w:id="931"/>
      <w:bookmarkEnd w:id="932"/>
      <w:bookmarkEnd w:id="933"/>
      <w:bookmarkEnd w:id="934"/>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当加油站的抢险抢救力量不足或有可能危及社会安全时，救援小组立即向上级和友邻单位通报，必要时请求社会力量援助，社会援助队伍进入站区时，由救援小组指定专人联络，引导并告知安全注意事项及单位互助的方式。</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（2）请求政府协调应急救援力量。</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（3）应急救援信息咨询。</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935" w:name="_Toc4615"/>
      <w:bookmarkStart w:id="936" w:name="_Toc29406_WPSOffice_Level2"/>
      <w:bookmarkStart w:id="937" w:name="_Toc13398"/>
      <w:bookmarkStart w:id="938" w:name="_Toc28208_WPSOffice_Level2"/>
      <w:bookmarkStart w:id="939" w:name="_Toc27528_WPSOffice_Level2"/>
      <w:bookmarkStart w:id="940" w:name="_Toc22499"/>
      <w:bookmarkStart w:id="941" w:name="_Toc5706_WPSOffice_Level2"/>
      <w:bookmarkStart w:id="942" w:name="_Toc14492_WPSOffice_Level2"/>
      <w:bookmarkStart w:id="943" w:name="_Toc26355"/>
      <w:r>
        <w:rPr>
          <w:rFonts w:ascii="Times New Roman" w:hAnsi="Times New Roman" w:cs="Times New Roman"/>
          <w:b/>
          <w:bCs/>
          <w:color w:val="000000" w:themeColor="text1"/>
          <w:sz w:val="24"/>
          <w:szCs w:val="24"/>
        </w:rPr>
        <w:t>8.7次生灾害安全防护</w:t>
      </w:r>
      <w:bookmarkEnd w:id="935"/>
      <w:bookmarkEnd w:id="936"/>
      <w:bookmarkEnd w:id="937"/>
      <w:bookmarkEnd w:id="938"/>
      <w:bookmarkEnd w:id="939"/>
      <w:bookmarkEnd w:id="940"/>
      <w:bookmarkEnd w:id="941"/>
      <w:bookmarkEnd w:id="942"/>
      <w:bookmarkEnd w:id="943"/>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944" w:name="_Toc9958"/>
      <w:bookmarkStart w:id="945" w:name="_Toc30419"/>
      <w:bookmarkStart w:id="946" w:name="_Toc10199_WPSOffice_Level3"/>
      <w:bookmarkStart w:id="947" w:name="_Toc3242"/>
      <w:bookmarkStart w:id="948" w:name="_Toc21701_WPSOffice_Level3"/>
      <w:bookmarkStart w:id="949" w:name="_Toc14141_WPSOffice_Level3"/>
      <w:bookmarkStart w:id="950" w:name="_Toc28208_WPSOffice_Level3"/>
      <w:bookmarkStart w:id="951" w:name="_Toc6008_WPSOffice_Level3"/>
      <w:bookmarkStart w:id="952" w:name="_Toc5758"/>
      <w:r>
        <w:rPr>
          <w:rFonts w:ascii="Times New Roman" w:hAnsi="Times New Roman" w:cs="Times New Roman"/>
          <w:b/>
          <w:color w:val="000000" w:themeColor="text1"/>
          <w:sz w:val="24"/>
          <w:szCs w:val="24"/>
        </w:rPr>
        <w:t>8.7.1次生灾害类别</w:t>
      </w:r>
      <w:bookmarkEnd w:id="944"/>
      <w:bookmarkEnd w:id="945"/>
      <w:bookmarkEnd w:id="946"/>
      <w:bookmarkEnd w:id="947"/>
      <w:bookmarkEnd w:id="948"/>
      <w:bookmarkEnd w:id="949"/>
      <w:bookmarkEnd w:id="950"/>
      <w:bookmarkEnd w:id="951"/>
      <w:bookmarkEnd w:id="95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由突发环境应急事件引起的次生灾害主要有：</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汽油、含油废水等泄漏引起的地表示、地下水水质污染、土壤污染；</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危险废物油泥、油渣、沾油消防沙等不安全处置或随意丢弃，造成环境污染。</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953" w:name="_Toc31083"/>
      <w:bookmarkStart w:id="954" w:name="_Toc6188_WPSOffice_Level3"/>
      <w:bookmarkStart w:id="955" w:name="_Toc18052_WPSOffice_Level3"/>
      <w:bookmarkStart w:id="956" w:name="_Toc28644"/>
      <w:bookmarkStart w:id="957" w:name="_Toc6791_WPSOffice_Level3"/>
      <w:bookmarkStart w:id="958" w:name="_Toc23728_WPSOffice_Level3"/>
      <w:bookmarkStart w:id="959" w:name="_Toc5001_WPSOffice_Level3"/>
      <w:bookmarkStart w:id="960" w:name="_Toc3316"/>
      <w:bookmarkStart w:id="961" w:name="_Toc12802"/>
      <w:r>
        <w:rPr>
          <w:rFonts w:ascii="Times New Roman" w:hAnsi="Times New Roman" w:cs="Times New Roman"/>
          <w:b/>
          <w:color w:val="000000" w:themeColor="text1"/>
          <w:sz w:val="24"/>
          <w:szCs w:val="24"/>
        </w:rPr>
        <w:t>8.7.2安全防护措施</w:t>
      </w:r>
      <w:bookmarkEnd w:id="953"/>
      <w:bookmarkEnd w:id="954"/>
      <w:bookmarkEnd w:id="955"/>
      <w:bookmarkEnd w:id="956"/>
      <w:bookmarkEnd w:id="957"/>
      <w:bookmarkEnd w:id="958"/>
      <w:bookmarkEnd w:id="959"/>
      <w:bookmarkEnd w:id="960"/>
      <w:bookmarkEnd w:id="961"/>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加强加油站危险源管理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t>定期对污水收集系统进行维护及检修；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t>定期对危险废物收集间防雨、防渗、防流失检查和管理；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③</w:t>
      </w:r>
      <w:r>
        <w:rPr>
          <w:rFonts w:ascii="Times New Roman" w:hAnsi="Times New Roman" w:cs="Times New Roman"/>
          <w:color w:val="000000" w:themeColor="text1"/>
          <w:kern w:val="0"/>
          <w:sz w:val="24"/>
          <w:szCs w:val="24"/>
          <w:lang w:val="zh-CN"/>
        </w:rPr>
        <w:t>定期对事故池、污水收集池防渗检查；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eastAsia="宋体" w:cs="Times New Roman"/>
          <w:color w:val="000000" w:themeColor="text1"/>
          <w:kern w:val="0"/>
          <w:sz w:val="24"/>
          <w:szCs w:val="24"/>
          <w:lang w:val="zh-CN"/>
        </w:rPr>
        <w:t>④</w:t>
      </w:r>
      <w:r>
        <w:rPr>
          <w:rFonts w:ascii="Times New Roman" w:hAnsi="Times New Roman" w:cs="Times New Roman"/>
          <w:color w:val="000000" w:themeColor="text1"/>
          <w:kern w:val="0"/>
          <w:sz w:val="24"/>
          <w:szCs w:val="24"/>
          <w:lang w:val="zh-CN"/>
        </w:rPr>
        <w:t>定期检查、检测油罐防渗层、输油管线、加油机，防止油品泄漏。</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制定加油站危险源管理制度、岗位责任制。</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定期组织应急预案演练。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加强加油人员应急相关知识培训。</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962" w:name="_Toc20176"/>
      <w:bookmarkStart w:id="963" w:name="_Toc16937_WPSOffice_Level2"/>
      <w:bookmarkStart w:id="964" w:name="_Toc5610_WPSOffice_Level2"/>
      <w:bookmarkStart w:id="965" w:name="_Toc18540_WPSOffice_Level2"/>
      <w:bookmarkStart w:id="966" w:name="_Toc21585_WPSOffice_Level2"/>
      <w:bookmarkStart w:id="967" w:name="_Toc688"/>
      <w:bookmarkStart w:id="968" w:name="_Toc30790_WPSOffice_Level2"/>
      <w:bookmarkStart w:id="969" w:name="_Toc1690"/>
      <w:bookmarkStart w:id="970" w:name="_Toc26937"/>
      <w:r>
        <w:rPr>
          <w:rFonts w:ascii="Times New Roman" w:hAnsi="Times New Roman" w:cs="Times New Roman"/>
          <w:b/>
          <w:bCs/>
          <w:color w:val="000000" w:themeColor="text1"/>
          <w:sz w:val="24"/>
          <w:szCs w:val="24"/>
        </w:rPr>
        <w:t>8.8后期处置</w:t>
      </w:r>
      <w:bookmarkEnd w:id="962"/>
      <w:bookmarkEnd w:id="963"/>
      <w:bookmarkEnd w:id="964"/>
      <w:bookmarkEnd w:id="965"/>
      <w:bookmarkEnd w:id="966"/>
      <w:bookmarkEnd w:id="967"/>
      <w:bookmarkEnd w:id="968"/>
      <w:bookmarkEnd w:id="969"/>
      <w:bookmarkEnd w:id="970"/>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971" w:name="_Toc18094"/>
      <w:bookmarkStart w:id="972" w:name="_Toc5648_WPSOffice_Level3"/>
      <w:bookmarkStart w:id="973" w:name="_Toc16937_WPSOffice_Level3"/>
      <w:bookmarkStart w:id="974" w:name="_Toc10256"/>
      <w:bookmarkStart w:id="975" w:name="_Toc26621_WPSOffice_Level3"/>
      <w:bookmarkStart w:id="976" w:name="_Toc1825_WPSOffice_Level3"/>
      <w:bookmarkStart w:id="977" w:name="_Toc12426_WPSOffice_Level3"/>
      <w:bookmarkStart w:id="978" w:name="_Toc19899"/>
      <w:r>
        <w:rPr>
          <w:rFonts w:ascii="Times New Roman" w:hAnsi="Times New Roman" w:cs="Times New Roman"/>
          <w:b/>
          <w:color w:val="000000" w:themeColor="text1"/>
          <w:sz w:val="24"/>
          <w:szCs w:val="24"/>
        </w:rPr>
        <w:t>8.8.1善后处置</w:t>
      </w:r>
      <w:bookmarkEnd w:id="971"/>
      <w:bookmarkEnd w:id="972"/>
      <w:bookmarkEnd w:id="973"/>
      <w:bookmarkEnd w:id="974"/>
      <w:bookmarkEnd w:id="975"/>
      <w:bookmarkEnd w:id="976"/>
      <w:bookmarkEnd w:id="977"/>
      <w:bookmarkEnd w:id="978"/>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（1）污染监测与治理</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事故得到控制后，由应急救援办公室协调组织对事故现场及周边进行污染监测，确定现场有无污染物预留。加油站要组织相关专家或技术人员处理、分类或处置所收集的废物、被污染的土壤或地表水或其它材料。</w:t>
      </w:r>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（2）生产恢复</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加油站应急办公室应组织相关部门人员完成下列工作，做好恢复生产工作。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（1）转移、处理、储存或以适当方式处置废弃材料；</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（2）做好应急设施、设备、器材污染消除、维护、更新等工作，以应对下次应急状态；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（3）维护或更换相关应急设备；</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（4）清理或修复被污染场地。</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979" w:name="_Toc22374"/>
      <w:bookmarkStart w:id="980" w:name="_Toc25276_WPSOffice_Level3"/>
      <w:bookmarkStart w:id="981" w:name="_Toc27072"/>
      <w:bookmarkStart w:id="982" w:name="_Toc20111_WPSOffice_Level3"/>
      <w:bookmarkStart w:id="983" w:name="_Toc10317"/>
      <w:bookmarkStart w:id="984" w:name="_Toc9715_WPSOffice_Level3"/>
      <w:bookmarkStart w:id="985" w:name="_Toc27685_WPSOffice_Level3"/>
      <w:bookmarkStart w:id="986" w:name="_Toc6850_WPSOffice_Level3"/>
      <w:bookmarkStart w:id="987" w:name="_Toc19315"/>
      <w:r>
        <w:rPr>
          <w:rFonts w:ascii="Times New Roman" w:hAnsi="Times New Roman" w:cs="Times New Roman"/>
          <w:b/>
          <w:color w:val="000000" w:themeColor="text1"/>
          <w:sz w:val="24"/>
          <w:szCs w:val="24"/>
        </w:rPr>
        <w:t>8.8.2保险</w:t>
      </w:r>
      <w:bookmarkEnd w:id="979"/>
      <w:bookmarkEnd w:id="980"/>
      <w:bookmarkEnd w:id="981"/>
      <w:bookmarkEnd w:id="982"/>
      <w:bookmarkEnd w:id="983"/>
      <w:bookmarkEnd w:id="984"/>
      <w:bookmarkEnd w:id="985"/>
      <w:bookmarkEnd w:id="986"/>
      <w:bookmarkEnd w:id="987"/>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建立突发环境事件社会保险机制。对环境应急工作人员办理意外伤害保险。</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988" w:name="_Toc18449"/>
      <w:bookmarkStart w:id="989" w:name="_Toc19924_WPSOffice_Level3"/>
      <w:bookmarkStart w:id="990" w:name="_Toc4464"/>
      <w:bookmarkStart w:id="991" w:name="_Toc17924"/>
      <w:bookmarkStart w:id="992" w:name="_Toc3538_WPSOffice_Level3"/>
      <w:bookmarkStart w:id="993" w:name="_Toc2489_WPSOffice_Level3"/>
      <w:bookmarkStart w:id="994" w:name="_Toc5665_WPSOffice_Level3"/>
      <w:bookmarkStart w:id="995" w:name="_Toc13658_WPSOffice_Level3"/>
      <w:bookmarkStart w:id="996" w:name="_Toc13190"/>
      <w:r>
        <w:rPr>
          <w:rFonts w:ascii="Times New Roman" w:hAnsi="Times New Roman" w:cs="Times New Roman"/>
          <w:b/>
          <w:color w:val="000000" w:themeColor="text1"/>
          <w:sz w:val="24"/>
          <w:szCs w:val="24"/>
        </w:rPr>
        <w:t>8.8.3工作总结与评价</w:t>
      </w:r>
      <w:bookmarkEnd w:id="988"/>
      <w:bookmarkEnd w:id="989"/>
      <w:bookmarkEnd w:id="990"/>
      <w:bookmarkEnd w:id="991"/>
      <w:bookmarkEnd w:id="992"/>
      <w:bookmarkEnd w:id="993"/>
      <w:bookmarkEnd w:id="994"/>
      <w:bookmarkEnd w:id="995"/>
      <w:bookmarkEnd w:id="996"/>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（1）调查污染事故的发生原因和性质，评估出污染事故的危害范围和危险程度，查明人员伤亡情况，影响和损失评估、遗留待解决问题等。</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应急过程的总结和改进建议：如应急预案是否科学合理，具有针对性、实用性；应急组织机构是否合理，应急队伍能力是否需要改进；响应程序是否与应急任务相匹配；采用的监测仪器、通信设备和车辆等能否满足应急响应工作的需要；采取的防护措施和方法是否得当；防护设备能否满足要求等。</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（3）对管理工作进行总结，防止以后不发生类似环境事件，提出管理、具体操作等方面的改进措施。</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（4）做好受灾人员的安置工作，组织有关专家对受灾范围进行中长期影响评估，并做出相应的补偿和对遭受污染的生态环境进行恢复的建议。</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997" w:name="_Toc9242_WPSOffice_Level1"/>
      <w:bookmarkStart w:id="998" w:name="_Toc23231_WPSOffice_Level1"/>
      <w:bookmarkStart w:id="999" w:name="_Toc16952"/>
      <w:bookmarkStart w:id="1000" w:name="_Toc2870_WPSOffice_Level1"/>
      <w:bookmarkStart w:id="1001" w:name="_Toc11689_WPSOffice_Level1"/>
      <w:bookmarkStart w:id="1002" w:name="_Toc5665_WPSOffice_Level1"/>
      <w:bookmarkStart w:id="1003" w:name="_Toc25405"/>
      <w:bookmarkStart w:id="1004" w:name="_Toc28360"/>
      <w:r>
        <w:rPr>
          <w:rFonts w:ascii="Times New Roman" w:hAnsi="Times New Roman" w:cs="Times New Roman"/>
          <w:b/>
          <w:bCs/>
          <w:color w:val="000000" w:themeColor="text1"/>
          <w:kern w:val="44"/>
          <w:sz w:val="30"/>
          <w:szCs w:val="30"/>
        </w:rPr>
        <w:t>9、培训与演练</w:t>
      </w:r>
      <w:bookmarkEnd w:id="997"/>
      <w:bookmarkEnd w:id="998"/>
      <w:bookmarkEnd w:id="999"/>
      <w:bookmarkEnd w:id="1000"/>
      <w:bookmarkEnd w:id="1001"/>
      <w:bookmarkEnd w:id="1002"/>
      <w:bookmarkEnd w:id="1003"/>
      <w:bookmarkEnd w:id="1004"/>
    </w:p>
    <w:p>
      <w:pPr>
        <w:keepNext/>
        <w:keepLines/>
        <w:spacing w:line="500" w:lineRule="exact"/>
        <w:ind w:firstLine="482"/>
        <w:jc w:val="left"/>
        <w:outlineLvl w:val="1"/>
        <w:rPr>
          <w:rFonts w:ascii="Times New Roman" w:hAnsi="Times New Roman" w:cs="Times New Roman"/>
          <w:b/>
          <w:bCs/>
          <w:color w:val="000000" w:themeColor="text1"/>
          <w:sz w:val="24"/>
          <w:szCs w:val="24"/>
        </w:rPr>
      </w:pPr>
      <w:bookmarkStart w:id="1005" w:name="_Toc29914_WPSOffice_Level2"/>
      <w:bookmarkStart w:id="1006" w:name="_Toc9041"/>
      <w:bookmarkStart w:id="1007" w:name="_Toc19267_WPSOffice_Level2"/>
      <w:bookmarkStart w:id="1008" w:name="_Toc16414_WPSOffice_Level2"/>
      <w:bookmarkStart w:id="1009" w:name="_Toc5143"/>
      <w:bookmarkStart w:id="1010" w:name="_Toc215"/>
      <w:bookmarkStart w:id="1011" w:name="_Toc2865_WPSOffice_Level2"/>
      <w:bookmarkStart w:id="1012" w:name="_Toc302723379"/>
      <w:bookmarkStart w:id="1013" w:name="_Toc26028_WPSOffice_Level2"/>
      <w:bookmarkStart w:id="1014" w:name="_Toc4451"/>
      <w:bookmarkStart w:id="1015" w:name="_Toc23809"/>
      <w:r>
        <w:rPr>
          <w:rFonts w:ascii="Times New Roman" w:hAnsi="Times New Roman" w:cs="Times New Roman"/>
          <w:b/>
          <w:bCs/>
          <w:color w:val="000000" w:themeColor="text1"/>
          <w:sz w:val="24"/>
          <w:szCs w:val="24"/>
        </w:rPr>
        <w:t>9.1培训</w:t>
      </w:r>
      <w:bookmarkEnd w:id="1005"/>
      <w:bookmarkEnd w:id="1006"/>
      <w:bookmarkEnd w:id="1007"/>
      <w:bookmarkEnd w:id="1008"/>
      <w:bookmarkEnd w:id="1009"/>
      <w:bookmarkEnd w:id="1010"/>
      <w:bookmarkEnd w:id="1011"/>
      <w:bookmarkEnd w:id="1012"/>
      <w:bookmarkEnd w:id="1013"/>
      <w:bookmarkEnd w:id="1014"/>
      <w:bookmarkEnd w:id="1015"/>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为普及环境污染事件预防常识，应编印、发放加油站有毒有害物质污染公众防护宣传单，增强公众的防范意识和相关心理准备，提高公众的防范能力。同时，应急领导小组及各部门环保安全负责人定期安排环境事件专业技术人员日常培训和管理知识，鼓励全体员工积极参与环保安全培训和应急预案演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应急救援办公室负责组织、指导应急预案的培训工作，各相关部门和应急救援专业组织负责人做好日常预案的学习培训，根据预案实施情况制定相应的培训计划，采取多种形式对应急预案人员进行应急知识和技能的培训。培训应做好记录和培训评估。</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培训时间为每半年进行一次。</w:t>
      </w:r>
    </w:p>
    <w:p>
      <w:pPr>
        <w:spacing w:line="500" w:lineRule="exact"/>
        <w:ind w:firstLine="532" w:firstLineChars="221"/>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应急人员的培训内容:</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16" w:name="_Toc3495_WPSOffice_Level3"/>
      <w:bookmarkStart w:id="1017" w:name="_Toc7833_WPSOffice_Level3"/>
      <w:bookmarkStart w:id="1018" w:name="_Toc24491_WPSOffice_Level3"/>
      <w:bookmarkStart w:id="1019" w:name="_Toc28274_WPSOffice_Level3"/>
      <w:bookmarkStart w:id="1020" w:name="_Toc11376_WPSOffice_Level3"/>
      <w:bookmarkStart w:id="1021" w:name="_Toc27162_WPSOffice_Level3"/>
      <w:r>
        <w:rPr>
          <w:rFonts w:ascii="Times New Roman" w:hAnsi="Times New Roman" w:cs="Times New Roman"/>
          <w:color w:val="000000" w:themeColor="text1"/>
          <w:kern w:val="0"/>
          <w:sz w:val="24"/>
          <w:szCs w:val="24"/>
          <w:lang w:val="zh-CN"/>
        </w:rPr>
        <w:t>a、危险源重点部位的分布与事故风险；</w:t>
      </w:r>
      <w:bookmarkEnd w:id="1016"/>
      <w:bookmarkEnd w:id="1017"/>
      <w:bookmarkEnd w:id="1018"/>
      <w:bookmarkEnd w:id="1019"/>
      <w:bookmarkEnd w:id="1020"/>
      <w:bookmarkEnd w:id="1021"/>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22" w:name="_Toc5143_WPSOffice_Level3"/>
      <w:bookmarkStart w:id="1023" w:name="_Toc2319_WPSOffice_Level3"/>
      <w:bookmarkStart w:id="1024" w:name="_Toc14183_WPSOffice_Level3"/>
      <w:bookmarkStart w:id="1025" w:name="_Toc25681_WPSOffice_Level3"/>
      <w:bookmarkStart w:id="1026" w:name="_Toc16754_WPSOffice_Level3"/>
      <w:bookmarkStart w:id="1027" w:name="_Toc10601_WPSOffice_Level3"/>
      <w:r>
        <w:rPr>
          <w:rFonts w:ascii="Times New Roman" w:hAnsi="Times New Roman" w:cs="Times New Roman"/>
          <w:color w:val="000000" w:themeColor="text1"/>
          <w:kern w:val="0"/>
          <w:sz w:val="24"/>
          <w:szCs w:val="24"/>
          <w:lang w:val="zh-CN"/>
        </w:rPr>
        <w:t>b、事故报警与报告程序、方式；</w:t>
      </w:r>
      <w:bookmarkEnd w:id="1022"/>
      <w:bookmarkEnd w:id="1023"/>
      <w:bookmarkEnd w:id="1024"/>
      <w:bookmarkEnd w:id="1025"/>
      <w:bookmarkEnd w:id="1026"/>
      <w:bookmarkEnd w:id="1027"/>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28" w:name="_Toc5892_WPSOffice_Level3"/>
      <w:bookmarkStart w:id="1029" w:name="_Toc21899_WPSOffice_Level3"/>
      <w:bookmarkStart w:id="1030" w:name="_Toc20153_WPSOffice_Level3"/>
      <w:bookmarkStart w:id="1031" w:name="_Toc19684_WPSOffice_Level3"/>
      <w:bookmarkStart w:id="1032" w:name="_Toc17071_WPSOffice_Level3"/>
      <w:bookmarkStart w:id="1033" w:name="_Toc10341_WPSOffice_Level3"/>
      <w:r>
        <w:rPr>
          <w:rFonts w:ascii="Times New Roman" w:hAnsi="Times New Roman" w:cs="Times New Roman"/>
          <w:color w:val="000000" w:themeColor="text1"/>
          <w:kern w:val="0"/>
          <w:sz w:val="24"/>
          <w:szCs w:val="24"/>
          <w:lang w:val="zh-CN"/>
        </w:rPr>
        <w:t>c、火灾、泄漏的抢险处置措施；</w:t>
      </w:r>
      <w:bookmarkEnd w:id="1028"/>
      <w:bookmarkEnd w:id="1029"/>
      <w:bookmarkEnd w:id="1030"/>
      <w:bookmarkEnd w:id="1031"/>
      <w:bookmarkEnd w:id="1032"/>
      <w:bookmarkEnd w:id="1033"/>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34" w:name="_Toc29588_WPSOffice_Level3"/>
      <w:bookmarkStart w:id="1035" w:name="_Toc15891_WPSOffice_Level3"/>
      <w:bookmarkStart w:id="1036" w:name="_Toc30119_WPSOffice_Level3"/>
      <w:bookmarkStart w:id="1037" w:name="_Toc23059_WPSOffice_Level3"/>
      <w:bookmarkStart w:id="1038" w:name="_Toc16132_WPSOffice_Level3"/>
      <w:bookmarkStart w:id="1039" w:name="_Toc29739_WPSOffice_Level3"/>
      <w:r>
        <w:rPr>
          <w:rFonts w:ascii="Times New Roman" w:hAnsi="Times New Roman" w:cs="Times New Roman"/>
          <w:color w:val="000000" w:themeColor="text1"/>
          <w:kern w:val="0"/>
          <w:sz w:val="24"/>
          <w:szCs w:val="24"/>
          <w:lang w:val="zh-CN"/>
        </w:rPr>
        <w:t>d、各种应急设备设施及防护用品的使用与正确佩戴；</w:t>
      </w:r>
      <w:bookmarkEnd w:id="1034"/>
      <w:bookmarkEnd w:id="1035"/>
      <w:bookmarkEnd w:id="1036"/>
      <w:bookmarkEnd w:id="1037"/>
      <w:bookmarkEnd w:id="1038"/>
      <w:bookmarkEnd w:id="1039"/>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40" w:name="_Toc5704_WPSOffice_Level3"/>
      <w:bookmarkStart w:id="1041" w:name="_Toc19888_WPSOffice_Level3"/>
      <w:bookmarkStart w:id="1042" w:name="_Toc6404_WPSOffice_Level3"/>
      <w:bookmarkStart w:id="1043" w:name="_Toc26639_WPSOffice_Level3"/>
      <w:bookmarkStart w:id="1044" w:name="_Toc25532_WPSOffice_Level3"/>
      <w:bookmarkStart w:id="1045" w:name="_Toc11350_WPSOffice_Level3"/>
      <w:r>
        <w:rPr>
          <w:rFonts w:ascii="Times New Roman" w:hAnsi="Times New Roman" w:cs="Times New Roman"/>
          <w:color w:val="000000" w:themeColor="text1"/>
          <w:kern w:val="0"/>
          <w:sz w:val="24"/>
          <w:szCs w:val="24"/>
          <w:lang w:val="zh-CN"/>
        </w:rPr>
        <w:t>e、应急疏散程序与事故现场的保护；</w:t>
      </w:r>
      <w:bookmarkEnd w:id="1040"/>
      <w:bookmarkEnd w:id="1041"/>
      <w:bookmarkEnd w:id="1042"/>
      <w:bookmarkEnd w:id="1043"/>
      <w:bookmarkEnd w:id="1044"/>
      <w:bookmarkEnd w:id="1045"/>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46" w:name="_Toc3720_WPSOffice_Level3"/>
      <w:bookmarkStart w:id="1047" w:name="_Toc4568_WPSOffice_Level3"/>
      <w:bookmarkStart w:id="1048" w:name="_Toc4174_WPSOffice_Level3"/>
      <w:bookmarkStart w:id="1049" w:name="_Toc11286_WPSOffice_Level3"/>
      <w:bookmarkStart w:id="1050" w:name="_Toc19464_WPSOffice_Level3"/>
      <w:bookmarkStart w:id="1051" w:name="_Toc24859_WPSOffice_Level3"/>
      <w:r>
        <w:rPr>
          <w:rFonts w:ascii="Times New Roman" w:hAnsi="Times New Roman" w:cs="Times New Roman"/>
          <w:color w:val="000000" w:themeColor="text1"/>
          <w:kern w:val="0"/>
          <w:sz w:val="24"/>
          <w:szCs w:val="24"/>
          <w:lang w:val="zh-CN"/>
        </w:rPr>
        <w:t>f、医疗急救知识与技能。</w:t>
      </w:r>
      <w:bookmarkEnd w:id="1046"/>
      <w:bookmarkEnd w:id="1047"/>
      <w:bookmarkEnd w:id="1048"/>
      <w:bookmarkEnd w:id="1049"/>
      <w:bookmarkEnd w:id="1050"/>
      <w:bookmarkEnd w:id="1051"/>
    </w:p>
    <w:p>
      <w:pPr>
        <w:spacing w:line="500" w:lineRule="exact"/>
        <w:ind w:firstLine="532" w:firstLineChars="221"/>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员工与公众的培训内容：</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52" w:name="_Toc990_WPSOffice_Level3"/>
      <w:bookmarkStart w:id="1053" w:name="_Toc9716_WPSOffice_Level3"/>
      <w:bookmarkStart w:id="1054" w:name="_Toc31229_WPSOffice_Level3"/>
      <w:bookmarkStart w:id="1055" w:name="_Toc4620_WPSOffice_Level3"/>
      <w:bookmarkStart w:id="1056" w:name="_Toc7021_WPSOffice_Level3"/>
      <w:bookmarkStart w:id="1057" w:name="_Toc29047_WPSOffice_Level3"/>
      <w:r>
        <w:rPr>
          <w:rFonts w:ascii="Times New Roman" w:hAnsi="Times New Roman" w:cs="Times New Roman"/>
          <w:color w:val="000000" w:themeColor="text1"/>
          <w:kern w:val="0"/>
          <w:sz w:val="24"/>
          <w:szCs w:val="24"/>
          <w:lang w:val="zh-CN"/>
        </w:rPr>
        <w:t>a、可能的重大危险事故及后果；</w:t>
      </w:r>
      <w:bookmarkEnd w:id="1052"/>
      <w:bookmarkEnd w:id="1053"/>
      <w:bookmarkEnd w:id="1054"/>
      <w:bookmarkEnd w:id="1055"/>
      <w:bookmarkEnd w:id="1056"/>
      <w:bookmarkEnd w:id="1057"/>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58" w:name="_Toc19101_WPSOffice_Level3"/>
      <w:bookmarkStart w:id="1059" w:name="_Toc28705_WPSOffice_Level3"/>
      <w:bookmarkStart w:id="1060" w:name="_Toc18661_WPSOffice_Level3"/>
      <w:bookmarkStart w:id="1061" w:name="_Toc26744_WPSOffice_Level3"/>
      <w:bookmarkStart w:id="1062" w:name="_Toc28464_WPSOffice_Level3"/>
      <w:bookmarkStart w:id="1063" w:name="_Toc15368_WPSOffice_Level3"/>
      <w:r>
        <w:rPr>
          <w:rFonts w:ascii="Times New Roman" w:hAnsi="Times New Roman" w:cs="Times New Roman"/>
          <w:color w:val="000000" w:themeColor="text1"/>
          <w:kern w:val="0"/>
          <w:sz w:val="24"/>
          <w:szCs w:val="24"/>
          <w:lang w:val="zh-CN"/>
        </w:rPr>
        <w:t>b、事故报警与报告；</w:t>
      </w:r>
      <w:bookmarkEnd w:id="1058"/>
      <w:bookmarkEnd w:id="1059"/>
      <w:bookmarkEnd w:id="1060"/>
      <w:bookmarkEnd w:id="1061"/>
      <w:bookmarkEnd w:id="1062"/>
      <w:bookmarkEnd w:id="1063"/>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64" w:name="_Toc9841_WPSOffice_Level3"/>
      <w:bookmarkStart w:id="1065" w:name="_Toc26117_WPSOffice_Level3"/>
      <w:bookmarkStart w:id="1066" w:name="_Toc4107_WPSOffice_Level3"/>
      <w:bookmarkStart w:id="1067" w:name="_Toc29831_WPSOffice_Level3"/>
      <w:bookmarkStart w:id="1068" w:name="_Toc12514_WPSOffice_Level3"/>
      <w:bookmarkStart w:id="1069" w:name="_Toc32167_WPSOffice_Level3"/>
      <w:r>
        <w:rPr>
          <w:rFonts w:ascii="Times New Roman" w:hAnsi="Times New Roman" w:cs="Times New Roman"/>
          <w:color w:val="000000" w:themeColor="text1"/>
          <w:kern w:val="0"/>
          <w:sz w:val="24"/>
          <w:szCs w:val="24"/>
          <w:lang w:val="zh-CN"/>
        </w:rPr>
        <w:t>c、灭火器的使用与基本灭火方法；</w:t>
      </w:r>
      <w:bookmarkEnd w:id="1064"/>
      <w:bookmarkEnd w:id="1065"/>
      <w:bookmarkEnd w:id="1066"/>
      <w:bookmarkEnd w:id="1067"/>
      <w:bookmarkEnd w:id="1068"/>
      <w:bookmarkEnd w:id="1069"/>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70" w:name="_Toc347_WPSOffice_Level3"/>
      <w:bookmarkStart w:id="1071" w:name="_Toc2509_WPSOffice_Level3"/>
      <w:bookmarkStart w:id="1072" w:name="_Toc4097_WPSOffice_Level3"/>
      <w:bookmarkStart w:id="1073" w:name="_Toc20582_WPSOffice_Level3"/>
      <w:bookmarkStart w:id="1074" w:name="_Toc18483_WPSOffice_Level3"/>
      <w:bookmarkStart w:id="1075" w:name="_Toc12821_WPSOffice_Level3"/>
      <w:r>
        <w:rPr>
          <w:rFonts w:ascii="Times New Roman" w:hAnsi="Times New Roman" w:cs="Times New Roman"/>
          <w:color w:val="000000" w:themeColor="text1"/>
          <w:kern w:val="0"/>
          <w:sz w:val="24"/>
          <w:szCs w:val="24"/>
          <w:lang w:val="zh-CN"/>
        </w:rPr>
        <w:t>d、泄漏处理与化学品基本防护知识；</w:t>
      </w:r>
      <w:bookmarkEnd w:id="1070"/>
      <w:bookmarkEnd w:id="1071"/>
      <w:bookmarkEnd w:id="1072"/>
      <w:bookmarkEnd w:id="1073"/>
      <w:bookmarkEnd w:id="1074"/>
      <w:bookmarkEnd w:id="1075"/>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76" w:name="_Toc14845_WPSOffice_Level3"/>
      <w:bookmarkStart w:id="1077" w:name="_Toc7460_WPSOffice_Level3"/>
      <w:bookmarkStart w:id="1078" w:name="_Toc29007_WPSOffice_Level3"/>
      <w:bookmarkStart w:id="1079" w:name="_Toc4963_WPSOffice_Level3"/>
      <w:bookmarkStart w:id="1080" w:name="_Toc30926_WPSOffice_Level3"/>
      <w:bookmarkStart w:id="1081" w:name="_Toc19861_WPSOffice_Level3"/>
      <w:r>
        <w:rPr>
          <w:rFonts w:ascii="Times New Roman" w:hAnsi="Times New Roman" w:cs="Times New Roman"/>
          <w:color w:val="000000" w:themeColor="text1"/>
          <w:kern w:val="0"/>
          <w:sz w:val="24"/>
          <w:szCs w:val="24"/>
          <w:lang w:val="zh-CN"/>
        </w:rPr>
        <w:t>e、疏散撤离的组织、方法和程序；</w:t>
      </w:r>
      <w:bookmarkEnd w:id="1076"/>
      <w:bookmarkEnd w:id="1077"/>
      <w:bookmarkEnd w:id="1078"/>
      <w:bookmarkEnd w:id="1079"/>
      <w:bookmarkEnd w:id="1080"/>
      <w:bookmarkEnd w:id="1081"/>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82" w:name="_Toc15876_WPSOffice_Level3"/>
      <w:bookmarkStart w:id="1083" w:name="_Toc25066_WPSOffice_Level3"/>
      <w:bookmarkStart w:id="1084" w:name="_Toc17521_WPSOffice_Level3"/>
      <w:bookmarkStart w:id="1085" w:name="_Toc12273_WPSOffice_Level3"/>
      <w:bookmarkStart w:id="1086" w:name="_Toc4411_WPSOffice_Level3"/>
      <w:bookmarkStart w:id="1087" w:name="_Toc11899_WPSOffice_Level3"/>
      <w:r>
        <w:rPr>
          <w:rFonts w:ascii="Times New Roman" w:hAnsi="Times New Roman" w:cs="Times New Roman"/>
          <w:color w:val="000000" w:themeColor="text1"/>
          <w:kern w:val="0"/>
          <w:sz w:val="24"/>
          <w:szCs w:val="24"/>
          <w:lang w:val="zh-CN"/>
        </w:rPr>
        <w:t>f、自救和互救的基本常识。</w:t>
      </w:r>
      <w:bookmarkEnd w:id="1082"/>
      <w:bookmarkEnd w:id="1083"/>
      <w:bookmarkEnd w:id="1084"/>
      <w:bookmarkEnd w:id="1085"/>
      <w:bookmarkEnd w:id="1086"/>
      <w:bookmarkEnd w:id="1087"/>
    </w:p>
    <w:p>
      <w:pPr>
        <w:spacing w:line="500" w:lineRule="exact"/>
        <w:ind w:firstLine="532" w:firstLineChars="221"/>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应急培训要求：</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88" w:name="_Toc12249_WPSOffice_Level3"/>
      <w:bookmarkStart w:id="1089" w:name="_Toc25594_WPSOffice_Level3"/>
      <w:bookmarkStart w:id="1090" w:name="_Toc29251_WPSOffice_Level3"/>
      <w:bookmarkStart w:id="1091" w:name="_Toc28710_WPSOffice_Level3"/>
      <w:bookmarkStart w:id="1092" w:name="_Toc23500_WPSOffice_Level3"/>
      <w:bookmarkStart w:id="1093" w:name="_Toc18179_WPSOffice_Level3"/>
      <w:r>
        <w:rPr>
          <w:rFonts w:ascii="Times New Roman" w:hAnsi="Times New Roman" w:cs="Times New Roman"/>
          <w:color w:val="000000" w:themeColor="text1"/>
          <w:kern w:val="0"/>
          <w:sz w:val="24"/>
          <w:szCs w:val="24"/>
          <w:lang w:val="zh-CN"/>
        </w:rPr>
        <w:t>a、针对性：针对可能的事故及承担的应急职责不同人员予以不同的培训内容；</w:t>
      </w:r>
      <w:bookmarkEnd w:id="1088"/>
      <w:bookmarkEnd w:id="1089"/>
      <w:bookmarkEnd w:id="1090"/>
      <w:bookmarkEnd w:id="1091"/>
      <w:bookmarkEnd w:id="1092"/>
      <w:bookmarkEnd w:id="1093"/>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94" w:name="_Toc1342_WPSOffice_Level3"/>
      <w:bookmarkStart w:id="1095" w:name="_Toc31561_WPSOffice_Level3"/>
      <w:bookmarkStart w:id="1096" w:name="_Toc765_WPSOffice_Level3"/>
      <w:bookmarkStart w:id="1097" w:name="_Toc19174_WPSOffice_Level3"/>
      <w:bookmarkStart w:id="1098" w:name="_Toc8234_WPSOffice_Level3"/>
      <w:bookmarkStart w:id="1099" w:name="_Toc3574_WPSOffice_Level3"/>
      <w:r>
        <w:rPr>
          <w:rFonts w:ascii="Times New Roman" w:hAnsi="Times New Roman" w:cs="Times New Roman"/>
          <w:color w:val="000000" w:themeColor="text1"/>
          <w:kern w:val="0"/>
          <w:sz w:val="24"/>
          <w:szCs w:val="24"/>
          <w:lang w:val="zh-CN"/>
        </w:rPr>
        <w:t>b、周期性：公司级的培训一般每年一次，部门与功能性培训每季度一次；</w:t>
      </w:r>
      <w:bookmarkEnd w:id="1094"/>
      <w:bookmarkEnd w:id="1095"/>
      <w:bookmarkEnd w:id="1096"/>
      <w:bookmarkEnd w:id="1097"/>
      <w:bookmarkEnd w:id="1098"/>
      <w:bookmarkEnd w:id="1099"/>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00" w:name="_Toc13259_WPSOffice_Level3"/>
      <w:bookmarkStart w:id="1101" w:name="_Toc2996_WPSOffice_Level3"/>
      <w:bookmarkStart w:id="1102" w:name="_Toc5329_WPSOffice_Level3"/>
      <w:bookmarkStart w:id="1103" w:name="_Toc17474_WPSOffice_Level3"/>
      <w:bookmarkStart w:id="1104" w:name="_Toc1858_WPSOffice_Level3"/>
      <w:bookmarkStart w:id="1105" w:name="_Toc14323_WPSOffice_Level3"/>
      <w:r>
        <w:rPr>
          <w:rFonts w:ascii="Times New Roman" w:hAnsi="Times New Roman" w:cs="Times New Roman"/>
          <w:color w:val="000000" w:themeColor="text1"/>
          <w:kern w:val="0"/>
          <w:sz w:val="24"/>
          <w:szCs w:val="24"/>
          <w:lang w:val="zh-CN"/>
        </w:rPr>
        <w:t>c、真实性:培训应贴近实际应急活动。</w:t>
      </w:r>
      <w:bookmarkEnd w:id="1100"/>
      <w:bookmarkEnd w:id="1101"/>
      <w:bookmarkEnd w:id="1102"/>
      <w:bookmarkEnd w:id="1103"/>
      <w:bookmarkEnd w:id="1104"/>
      <w:bookmarkEnd w:id="1105"/>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106" w:name="_Toc6244"/>
      <w:bookmarkStart w:id="1107" w:name="_Toc302723380"/>
      <w:bookmarkStart w:id="1108" w:name="_Toc28710_WPSOffice_Level2"/>
      <w:bookmarkStart w:id="1109" w:name="_Toc13359"/>
      <w:bookmarkStart w:id="1110" w:name="_Toc16426_WPSOffice_Level2"/>
      <w:bookmarkStart w:id="1111" w:name="_Toc10777"/>
      <w:bookmarkStart w:id="1112" w:name="_Toc14712_WPSOffice_Level2"/>
      <w:bookmarkStart w:id="1113" w:name="_Toc17229"/>
      <w:bookmarkStart w:id="1114" w:name="_Toc14323_WPSOffice_Level2"/>
      <w:bookmarkStart w:id="1115" w:name="_Toc3206_WPSOffice_Level2"/>
      <w:bookmarkStart w:id="1116" w:name="_Toc784"/>
      <w:r>
        <w:rPr>
          <w:rFonts w:ascii="Times New Roman" w:hAnsi="Times New Roman" w:cs="Times New Roman"/>
          <w:b/>
          <w:bCs/>
          <w:color w:val="000000" w:themeColor="text1"/>
          <w:sz w:val="24"/>
          <w:szCs w:val="24"/>
        </w:rPr>
        <w:t>9.2</w:t>
      </w:r>
      <w:bookmarkEnd w:id="1106"/>
      <w:bookmarkEnd w:id="1107"/>
      <w:r>
        <w:rPr>
          <w:rFonts w:ascii="Times New Roman" w:hAnsi="Times New Roman" w:cs="Times New Roman"/>
          <w:b/>
          <w:bCs/>
          <w:color w:val="000000" w:themeColor="text1"/>
          <w:sz w:val="24"/>
          <w:szCs w:val="24"/>
        </w:rPr>
        <w:t>演练</w:t>
      </w:r>
      <w:bookmarkEnd w:id="1108"/>
      <w:bookmarkEnd w:id="1109"/>
      <w:bookmarkEnd w:id="1110"/>
      <w:bookmarkEnd w:id="1111"/>
      <w:bookmarkEnd w:id="1112"/>
      <w:bookmarkEnd w:id="1113"/>
      <w:bookmarkEnd w:id="1114"/>
      <w:bookmarkEnd w:id="1115"/>
      <w:bookmarkEnd w:id="1116"/>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为检验应急计划的有效性、应急准备的完善性、应急响应能力的适应性和应急人员的协同性，定期对所涉及的内容和范围的不同，进行单项演练、综合演练和应急领导小组组织进行的联合演练。演练内容主要包括：</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单项演练：由部门负责人组织，对部门内部的突发环境污染事故进行专业培训及演练，演练内容为突发环境安全事件为可控级响应时采取的环保安全救援行动。每半年不低于一次。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联合演练：由应急领导小组组织实施，参与部门及人员包括部门、应急办公室全体人员，演练内容包括加油站内突发环境安全事件为可控级响应及不可控级响应时的环保安全救援行动。联合演练周期为每年不得少于一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具体演练内容：</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17" w:name="_Toc12887_WPSOffice_Level3"/>
      <w:bookmarkStart w:id="1118" w:name="_Toc17979_WPSOffice_Level3"/>
      <w:bookmarkStart w:id="1119" w:name="_Toc28463_WPSOffice_Level3"/>
      <w:bookmarkStart w:id="1120" w:name="_Toc20513_WPSOffice_Level3"/>
      <w:bookmarkStart w:id="1121" w:name="_Toc25071_WPSOffice_Level3"/>
      <w:bookmarkStart w:id="1122" w:name="_Toc9870_WPSOffice_Level3"/>
      <w:r>
        <w:rPr>
          <w:rFonts w:ascii="Times New Roman" w:hAnsi="Times New Roman" w:eastAsia="宋体" w:cs="Times New Roman"/>
          <w:color w:val="000000" w:themeColor="text1"/>
          <w:kern w:val="0"/>
          <w:sz w:val="24"/>
          <w:szCs w:val="24"/>
          <w:lang w:val="zh-CN"/>
        </w:rPr>
        <w:t>①</w:t>
      </w:r>
      <w:r>
        <w:rPr>
          <w:rFonts w:ascii="Times New Roman" w:hAnsi="Times New Roman" w:cs="Times New Roman"/>
          <w:color w:val="000000" w:themeColor="text1"/>
          <w:kern w:val="0"/>
          <w:sz w:val="24"/>
          <w:szCs w:val="24"/>
          <w:lang w:val="zh-CN"/>
        </w:rPr>
        <w:t>消防灭火演练；</w:t>
      </w:r>
      <w:bookmarkEnd w:id="1117"/>
      <w:bookmarkEnd w:id="1118"/>
      <w:bookmarkEnd w:id="1119"/>
      <w:bookmarkEnd w:id="1120"/>
      <w:bookmarkEnd w:id="1121"/>
      <w:bookmarkEnd w:id="1122"/>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23" w:name="_Toc27359_WPSOffice_Level3"/>
      <w:bookmarkStart w:id="1124" w:name="_Toc3052_WPSOffice_Level3"/>
      <w:bookmarkStart w:id="1125" w:name="_Toc19151_WPSOffice_Level3"/>
      <w:bookmarkStart w:id="1126" w:name="_Toc250_WPSOffice_Level3"/>
      <w:bookmarkStart w:id="1127" w:name="_Toc1624_WPSOffice_Level3"/>
      <w:bookmarkStart w:id="1128" w:name="_Toc27516_WPSOffice_Level3"/>
      <w:r>
        <w:rPr>
          <w:rFonts w:ascii="Times New Roman" w:hAnsi="Times New Roman" w:eastAsia="宋体" w:cs="Times New Roman"/>
          <w:color w:val="000000" w:themeColor="text1"/>
          <w:kern w:val="0"/>
          <w:sz w:val="24"/>
          <w:szCs w:val="24"/>
          <w:lang w:val="zh-CN"/>
        </w:rPr>
        <w:t>②</w:t>
      </w:r>
      <w:r>
        <w:rPr>
          <w:rFonts w:ascii="Times New Roman" w:hAnsi="Times New Roman" w:cs="Times New Roman"/>
          <w:color w:val="000000" w:themeColor="text1"/>
          <w:kern w:val="0"/>
          <w:sz w:val="24"/>
          <w:szCs w:val="24"/>
          <w:lang w:val="zh-CN"/>
        </w:rPr>
        <w:t>泄露事故演练；</w:t>
      </w:r>
      <w:bookmarkEnd w:id="1123"/>
      <w:bookmarkEnd w:id="1124"/>
      <w:bookmarkEnd w:id="1125"/>
      <w:bookmarkEnd w:id="1126"/>
      <w:bookmarkEnd w:id="1127"/>
      <w:bookmarkEnd w:id="1128"/>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29" w:name="_Toc17580_WPSOffice_Level3"/>
      <w:bookmarkStart w:id="1130" w:name="_Toc16650_WPSOffice_Level3"/>
      <w:bookmarkStart w:id="1131" w:name="_Toc26516_WPSOffice_Level3"/>
      <w:bookmarkStart w:id="1132" w:name="_Toc11526_WPSOffice_Level3"/>
      <w:bookmarkStart w:id="1133" w:name="_Toc26518_WPSOffice_Level3"/>
      <w:bookmarkStart w:id="1134" w:name="_Toc13800_WPSOffice_Level3"/>
      <w:r>
        <w:rPr>
          <w:rFonts w:ascii="Times New Roman" w:hAnsi="Times New Roman" w:eastAsia="宋体" w:cs="Times New Roman"/>
          <w:color w:val="000000" w:themeColor="text1"/>
          <w:kern w:val="0"/>
          <w:sz w:val="24"/>
          <w:szCs w:val="24"/>
          <w:lang w:val="zh-CN"/>
        </w:rPr>
        <w:t>③</w:t>
      </w:r>
      <w:r>
        <w:rPr>
          <w:rFonts w:ascii="Times New Roman" w:hAnsi="Times New Roman" w:cs="Times New Roman"/>
          <w:color w:val="000000" w:themeColor="text1"/>
          <w:kern w:val="0"/>
          <w:sz w:val="24"/>
          <w:szCs w:val="24"/>
          <w:lang w:val="zh-CN"/>
        </w:rPr>
        <w:t>报警及通信演练；</w:t>
      </w:r>
      <w:bookmarkEnd w:id="1129"/>
      <w:bookmarkEnd w:id="1130"/>
      <w:bookmarkEnd w:id="1131"/>
      <w:bookmarkEnd w:id="1132"/>
      <w:bookmarkEnd w:id="1133"/>
      <w:bookmarkEnd w:id="1134"/>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35" w:name="_Toc11718_WPSOffice_Level3"/>
      <w:bookmarkStart w:id="1136" w:name="_Toc6170_WPSOffice_Level3"/>
      <w:bookmarkStart w:id="1137" w:name="_Toc15856_WPSOffice_Level3"/>
      <w:bookmarkStart w:id="1138" w:name="_Toc24548_WPSOffice_Level3"/>
      <w:bookmarkStart w:id="1139" w:name="_Toc10260_WPSOffice_Level3"/>
      <w:bookmarkStart w:id="1140" w:name="_Toc1932_WPSOffice_Level3"/>
      <w:r>
        <w:rPr>
          <w:rFonts w:ascii="Times New Roman" w:hAnsi="Times New Roman" w:eastAsia="宋体" w:cs="Times New Roman"/>
          <w:color w:val="000000" w:themeColor="text1"/>
          <w:kern w:val="0"/>
          <w:sz w:val="24"/>
          <w:szCs w:val="24"/>
          <w:lang w:val="zh-CN"/>
        </w:rPr>
        <w:t>④</w:t>
      </w:r>
      <w:r>
        <w:rPr>
          <w:rFonts w:ascii="Times New Roman" w:hAnsi="Times New Roman" w:cs="Times New Roman"/>
          <w:color w:val="000000" w:themeColor="text1"/>
          <w:kern w:val="0"/>
          <w:sz w:val="24"/>
          <w:szCs w:val="24"/>
          <w:lang w:val="zh-CN"/>
        </w:rPr>
        <w:t>人员疏散和交通管制演练；</w:t>
      </w:r>
      <w:bookmarkEnd w:id="1135"/>
      <w:bookmarkEnd w:id="1136"/>
      <w:bookmarkEnd w:id="1137"/>
      <w:bookmarkEnd w:id="1138"/>
      <w:bookmarkEnd w:id="1139"/>
      <w:bookmarkEnd w:id="1140"/>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41" w:name="_Toc32185_WPSOffice_Level3"/>
      <w:bookmarkStart w:id="1142" w:name="_Toc18484_WPSOffice_Level3"/>
      <w:bookmarkStart w:id="1143" w:name="_Toc25753_WPSOffice_Level3"/>
      <w:bookmarkStart w:id="1144" w:name="_Toc17249_WPSOffice_Level3"/>
      <w:bookmarkStart w:id="1145" w:name="_Toc2529_WPSOffice_Level3"/>
      <w:bookmarkStart w:id="1146" w:name="_Toc2635_WPSOffice_Level3"/>
      <w:r>
        <w:rPr>
          <w:rFonts w:ascii="Times New Roman" w:hAnsi="Times New Roman" w:eastAsia="宋体" w:cs="Times New Roman"/>
          <w:color w:val="000000" w:themeColor="text1"/>
          <w:kern w:val="0"/>
          <w:sz w:val="24"/>
          <w:szCs w:val="24"/>
          <w:lang w:val="zh-CN"/>
        </w:rPr>
        <w:t>⑤</w:t>
      </w:r>
      <w:r>
        <w:rPr>
          <w:rFonts w:ascii="Times New Roman" w:hAnsi="Times New Roman" w:cs="Times New Roman"/>
          <w:color w:val="000000" w:themeColor="text1"/>
          <w:kern w:val="0"/>
          <w:sz w:val="24"/>
          <w:szCs w:val="24"/>
          <w:lang w:val="zh-CN"/>
        </w:rPr>
        <w:t>情况通报演练；</w:t>
      </w:r>
      <w:bookmarkEnd w:id="1141"/>
      <w:bookmarkEnd w:id="1142"/>
      <w:bookmarkEnd w:id="1143"/>
      <w:bookmarkEnd w:id="1144"/>
      <w:bookmarkEnd w:id="1145"/>
      <w:bookmarkEnd w:id="1146"/>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47" w:name="_Toc4628_WPSOffice_Level3"/>
      <w:bookmarkStart w:id="1148" w:name="_Toc5741_WPSOffice_Level3"/>
      <w:bookmarkStart w:id="1149" w:name="_Toc13277_WPSOffice_Level3"/>
      <w:bookmarkStart w:id="1150" w:name="_Toc4378_WPSOffice_Level3"/>
      <w:bookmarkStart w:id="1151" w:name="_Toc25773_WPSOffice_Level3"/>
      <w:bookmarkStart w:id="1152" w:name="_Toc1901_WPSOffice_Level3"/>
      <w:r>
        <w:rPr>
          <w:rFonts w:ascii="Times New Roman" w:hAnsi="Times New Roman" w:eastAsia="宋体" w:cs="Times New Roman"/>
          <w:color w:val="000000" w:themeColor="text1"/>
          <w:kern w:val="0"/>
          <w:sz w:val="24"/>
          <w:szCs w:val="24"/>
          <w:lang w:val="zh-CN"/>
        </w:rPr>
        <w:t>⑥</w:t>
      </w:r>
      <w:r>
        <w:rPr>
          <w:rFonts w:ascii="Times New Roman" w:hAnsi="Times New Roman" w:cs="Times New Roman"/>
          <w:color w:val="000000" w:themeColor="text1"/>
          <w:kern w:val="0"/>
          <w:sz w:val="24"/>
          <w:szCs w:val="24"/>
          <w:lang w:val="zh-CN"/>
        </w:rPr>
        <w:t>各类应急设施的使用技能演练；</w:t>
      </w:r>
      <w:bookmarkEnd w:id="1147"/>
      <w:bookmarkEnd w:id="1148"/>
      <w:bookmarkEnd w:id="1149"/>
      <w:bookmarkEnd w:id="1150"/>
      <w:bookmarkEnd w:id="1151"/>
      <w:bookmarkEnd w:id="1152"/>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53" w:name="_Toc13407_WPSOffice_Level3"/>
      <w:bookmarkStart w:id="1154" w:name="_Toc29965_WPSOffice_Level3"/>
      <w:bookmarkStart w:id="1155" w:name="_Toc23384_WPSOffice_Level3"/>
      <w:bookmarkStart w:id="1156" w:name="_Toc8088_WPSOffice_Level3"/>
      <w:bookmarkStart w:id="1157" w:name="_Toc24026_WPSOffice_Level3"/>
      <w:bookmarkStart w:id="1158" w:name="_Toc27318_WPSOffice_Level3"/>
      <w:r>
        <w:rPr>
          <w:rFonts w:ascii="Times New Roman" w:hAnsi="Times New Roman" w:eastAsia="宋体" w:cs="Times New Roman"/>
          <w:color w:val="000000" w:themeColor="text1"/>
          <w:kern w:val="0"/>
          <w:sz w:val="24"/>
          <w:szCs w:val="24"/>
          <w:lang w:val="zh-CN"/>
        </w:rPr>
        <w:t>⑦</w:t>
      </w:r>
      <w:r>
        <w:rPr>
          <w:rFonts w:ascii="Times New Roman" w:hAnsi="Times New Roman" w:cs="Times New Roman"/>
          <w:color w:val="000000" w:themeColor="text1"/>
          <w:kern w:val="0"/>
          <w:sz w:val="24"/>
          <w:szCs w:val="24"/>
          <w:lang w:val="zh-CN"/>
        </w:rPr>
        <w:t>模拟各类事件的快速反应演练等。</w:t>
      </w:r>
      <w:bookmarkEnd w:id="1153"/>
      <w:bookmarkEnd w:id="1154"/>
      <w:bookmarkEnd w:id="1155"/>
      <w:bookmarkEnd w:id="1156"/>
      <w:bookmarkEnd w:id="1157"/>
      <w:bookmarkEnd w:id="1158"/>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rPr>
          <w:lang w:val="zh-CN"/>
        </w:rPr>
      </w:pPr>
    </w:p>
    <w:p>
      <w:pPr>
        <w:pStyle w:val="2"/>
        <w:ind w:firstLine="496"/>
        <w:rPr>
          <w:lang w:val="zh-CN"/>
        </w:rPr>
      </w:pPr>
    </w:p>
    <w:p>
      <w:pPr>
        <w:pStyle w:val="2"/>
        <w:ind w:firstLine="480"/>
        <w:jc w:val="center"/>
        <w:rPr>
          <w:lang w:val="zh-CN"/>
        </w:rPr>
      </w:pPr>
      <w:r>
        <w:drawing>
          <wp:inline distT="0" distB="0" distL="0" distR="0">
            <wp:extent cx="3938905" cy="2625725"/>
            <wp:effectExtent l="0" t="0" r="0" b="0"/>
            <wp:docPr id="34" name="图片 34" descr="J:\加油站修改\演练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J:\加油站修改\演练0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948318" cy="2632212"/>
                    </a:xfrm>
                    <a:prstGeom prst="rect">
                      <a:avLst/>
                    </a:prstGeom>
                    <a:noFill/>
                    <a:ln>
                      <a:noFill/>
                    </a:ln>
                  </pic:spPr>
                </pic:pic>
              </a:graphicData>
            </a:graphic>
          </wp:inline>
        </w:drawing>
      </w:r>
    </w:p>
    <w:p>
      <w:pPr>
        <w:jc w:val="center"/>
        <w:rPr>
          <w:b/>
          <w:lang w:val="zh-CN"/>
        </w:rPr>
      </w:pPr>
      <w:r>
        <w:rPr>
          <w:rFonts w:hint="eastAsia"/>
          <w:b/>
          <w:lang w:val="zh-CN"/>
        </w:rPr>
        <w:t>图9-1应急演练</w:t>
      </w:r>
      <w:r>
        <w:rPr>
          <w:b/>
          <w:lang w:val="zh-CN"/>
        </w:rPr>
        <w:t>图</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159" w:name="_Toc3337_WPSOffice_Level2"/>
      <w:bookmarkStart w:id="1160" w:name="_Toc21906"/>
      <w:bookmarkStart w:id="1161" w:name="_Toc4447_WPSOffice_Level2"/>
      <w:bookmarkStart w:id="1162" w:name="_Toc29254"/>
      <w:bookmarkStart w:id="1163" w:name="_Toc27975"/>
      <w:bookmarkStart w:id="1164" w:name="_Toc32593"/>
      <w:bookmarkStart w:id="1165" w:name="_Toc765_WPSOffice_Level2"/>
      <w:bookmarkStart w:id="1166" w:name="_Toc302723381"/>
      <w:bookmarkStart w:id="1167" w:name="_Toc9024_WPSOffice_Level2"/>
      <w:bookmarkStart w:id="1168" w:name="_Toc2006_WPSOffice_Level2"/>
      <w:bookmarkStart w:id="1169" w:name="_Toc3233"/>
      <w:r>
        <w:rPr>
          <w:rFonts w:ascii="Times New Roman" w:hAnsi="Times New Roman" w:cs="Times New Roman"/>
          <w:b/>
          <w:bCs/>
          <w:color w:val="000000" w:themeColor="text1"/>
          <w:sz w:val="24"/>
          <w:szCs w:val="24"/>
        </w:rPr>
        <w:t>9.3记录与考核</w:t>
      </w:r>
      <w:bookmarkEnd w:id="1159"/>
      <w:bookmarkEnd w:id="1160"/>
      <w:bookmarkEnd w:id="1161"/>
      <w:bookmarkEnd w:id="1162"/>
      <w:bookmarkEnd w:id="1163"/>
      <w:bookmarkEnd w:id="1164"/>
      <w:bookmarkEnd w:id="1165"/>
      <w:bookmarkEnd w:id="1166"/>
      <w:bookmarkEnd w:id="1167"/>
      <w:bookmarkEnd w:id="1168"/>
      <w:bookmarkEnd w:id="1169"/>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随着应急救援相关法律法规的制定、修改和完善，或者应急过程中发现存在的问题和出现新的情况，要做好相关记录和考核，及时修订完善本预案。</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240" w:beforeLines="100" w:after="240" w:afterLines="100" w:line="460" w:lineRule="exact"/>
        <w:ind w:firstLine="602"/>
        <w:jc w:val="center"/>
        <w:outlineLvl w:val="0"/>
        <w:rPr>
          <w:rFonts w:ascii="Times New Roman" w:hAnsi="Times New Roman" w:cs="Times New Roman"/>
          <w:b/>
          <w:bCs/>
          <w:color w:val="000000" w:themeColor="text1"/>
          <w:kern w:val="44"/>
          <w:sz w:val="30"/>
          <w:szCs w:val="30"/>
        </w:rPr>
      </w:pPr>
      <w:bookmarkStart w:id="1170" w:name="_Toc28710_WPSOffice_Level1"/>
      <w:bookmarkStart w:id="1171" w:name="_Toc31572_WPSOffice_Level1"/>
      <w:bookmarkStart w:id="1172" w:name="_Toc12754_WPSOffice_Level1"/>
      <w:bookmarkStart w:id="1173" w:name="_Toc5642"/>
      <w:bookmarkStart w:id="1174" w:name="_Toc5400"/>
      <w:bookmarkStart w:id="1175" w:name="_Toc18959_WPSOffice_Level1"/>
      <w:bookmarkStart w:id="1176" w:name="_Toc5341_WPSOffice_Level1"/>
      <w:bookmarkStart w:id="1177" w:name="_Toc21214"/>
      <w:r>
        <w:rPr>
          <w:rFonts w:ascii="Times New Roman" w:hAnsi="Times New Roman" w:cs="Times New Roman"/>
          <w:b/>
          <w:bCs/>
          <w:color w:val="000000" w:themeColor="text1"/>
          <w:kern w:val="44"/>
          <w:sz w:val="30"/>
          <w:szCs w:val="30"/>
        </w:rPr>
        <w:t>10、奖惩</w:t>
      </w:r>
      <w:bookmarkEnd w:id="1170"/>
      <w:bookmarkEnd w:id="1171"/>
      <w:bookmarkEnd w:id="1172"/>
      <w:bookmarkEnd w:id="1173"/>
      <w:bookmarkEnd w:id="1174"/>
      <w:bookmarkEnd w:id="1175"/>
      <w:bookmarkEnd w:id="1176"/>
      <w:bookmarkEnd w:id="1177"/>
    </w:p>
    <w:p>
      <w:pPr>
        <w:keepNext/>
        <w:keepLines/>
        <w:spacing w:before="120" w:beforeLines="50" w:after="120" w:afterLines="50" w:line="460" w:lineRule="exact"/>
        <w:ind w:firstLine="482"/>
        <w:jc w:val="left"/>
        <w:outlineLvl w:val="1"/>
        <w:rPr>
          <w:rFonts w:ascii="Times New Roman" w:hAnsi="Times New Roman" w:cs="Times New Roman"/>
          <w:b/>
          <w:bCs/>
          <w:color w:val="000000" w:themeColor="text1"/>
          <w:sz w:val="24"/>
          <w:szCs w:val="24"/>
        </w:rPr>
      </w:pPr>
      <w:bookmarkStart w:id="1178" w:name="_Toc5329_WPSOffice_Level2"/>
      <w:bookmarkStart w:id="1179" w:name="_Toc23503_WPSOffice_Level2"/>
      <w:bookmarkStart w:id="1180" w:name="_Toc12311"/>
      <w:bookmarkStart w:id="1181" w:name="_Toc9664_WPSOffice_Level2"/>
      <w:bookmarkStart w:id="1182" w:name="_Toc12646"/>
      <w:bookmarkStart w:id="1183" w:name="_Toc29036"/>
      <w:bookmarkStart w:id="1184" w:name="_Toc27451_WPSOffice_Level2"/>
      <w:bookmarkStart w:id="1185" w:name="_Toc21871_WPSOffice_Level2"/>
      <w:bookmarkStart w:id="1186" w:name="_Toc5319"/>
      <w:r>
        <w:rPr>
          <w:rFonts w:ascii="Times New Roman" w:hAnsi="Times New Roman" w:cs="Times New Roman"/>
          <w:b/>
          <w:bCs/>
          <w:color w:val="000000" w:themeColor="text1"/>
          <w:sz w:val="24"/>
          <w:szCs w:val="24"/>
        </w:rPr>
        <w:t>10.1事故应急救援工作实行奖励制</w:t>
      </w:r>
      <w:bookmarkEnd w:id="1178"/>
      <w:bookmarkEnd w:id="1179"/>
      <w:bookmarkEnd w:id="1180"/>
      <w:bookmarkEnd w:id="1181"/>
      <w:bookmarkEnd w:id="1182"/>
      <w:bookmarkEnd w:id="1183"/>
      <w:bookmarkEnd w:id="1184"/>
      <w:bookmarkEnd w:id="1185"/>
      <w:bookmarkEnd w:id="1186"/>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在突发环境事件应急救援工作中，有下列事迹之一的单位和个人，应依据有关规定给予奖励：</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（1）出色完成突发环境事件应急处置任务，成绩显著的；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（2）对防止或挽救突发环境事件有功，使国家、集体、和人民群众的生命财产免受或者减少损失的；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（3）对事件应急准备与响应提出重大建议，实施效果显著的；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（4）有其他特殊贡献的。</w:t>
      </w:r>
    </w:p>
    <w:p>
      <w:pPr>
        <w:keepNext/>
        <w:keepLines/>
        <w:spacing w:before="120" w:beforeLines="50" w:after="120" w:afterLines="50" w:line="460" w:lineRule="exact"/>
        <w:ind w:firstLine="482"/>
        <w:jc w:val="left"/>
        <w:outlineLvl w:val="1"/>
        <w:rPr>
          <w:rFonts w:ascii="Times New Roman" w:hAnsi="Times New Roman" w:cs="Times New Roman"/>
          <w:b/>
          <w:bCs/>
          <w:color w:val="000000" w:themeColor="text1"/>
          <w:sz w:val="24"/>
          <w:szCs w:val="24"/>
        </w:rPr>
      </w:pPr>
      <w:bookmarkStart w:id="1187" w:name="_Toc24711_WPSOffice_Level2"/>
      <w:bookmarkStart w:id="1188" w:name="_Toc10702"/>
      <w:bookmarkStart w:id="1189" w:name="_Toc6595_WPSOffice_Level2"/>
      <w:bookmarkStart w:id="1190" w:name="_Toc17979_WPSOffice_Level2"/>
      <w:bookmarkStart w:id="1191" w:name="_Toc1483_WPSOffice_Level2"/>
      <w:bookmarkStart w:id="1192" w:name="_Toc19427_WPSOffice_Level2"/>
      <w:bookmarkStart w:id="1193" w:name="_Toc10451"/>
      <w:bookmarkStart w:id="1194" w:name="_Toc11110"/>
      <w:bookmarkStart w:id="1195" w:name="_Toc6369"/>
      <w:r>
        <w:rPr>
          <w:rFonts w:ascii="Times New Roman" w:hAnsi="Times New Roman" w:cs="Times New Roman"/>
          <w:b/>
          <w:bCs/>
          <w:color w:val="000000" w:themeColor="text1"/>
          <w:sz w:val="24"/>
          <w:szCs w:val="24"/>
        </w:rPr>
        <w:t>10.2事故应急救援工作实行责任追究制</w:t>
      </w:r>
      <w:bookmarkEnd w:id="1187"/>
      <w:bookmarkEnd w:id="1188"/>
      <w:bookmarkEnd w:id="1189"/>
      <w:bookmarkEnd w:id="1190"/>
      <w:bookmarkEnd w:id="1191"/>
      <w:bookmarkEnd w:id="1192"/>
      <w:bookmarkEnd w:id="1193"/>
      <w:bookmarkEnd w:id="1194"/>
      <w:bookmarkEnd w:id="1195"/>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在突发环境事件应急工作中，有下列行为之一的，按照有关法律和规定，对有关责任人员视情节和危害后果，由其所在单位或者上级机关给予行政处分；其中，对国家公务员和</w:t>
      </w:r>
      <w:r>
        <w:fldChar w:fldCharType="begin"/>
      </w:r>
      <w:r>
        <w:instrText xml:space="preserve"> HYPERLINK "http://baike.baidu.com/view/59836.htm" </w:instrText>
      </w:r>
      <w:r>
        <w:fldChar w:fldCharType="separate"/>
      </w:r>
      <w:r>
        <w:rPr>
          <w:rFonts w:ascii="Times New Roman" w:hAnsi="Times New Roman" w:cs="Times New Roman"/>
          <w:color w:val="000000" w:themeColor="text1"/>
          <w:kern w:val="0"/>
          <w:sz w:val="24"/>
          <w:szCs w:val="24"/>
          <w:lang w:val="zh-CN"/>
        </w:rPr>
        <w:t>国家行政机关</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任命的其他人员，分别由任免机关或者监察机关给予行政处分；构成犯罪的，由司法机关依法追究刑事责任：</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（1）不认真履行环保法律、法规，而引发环境事件的；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（2）不按照规定制定突发环境事件应急预案，拒绝承担突发环境事件应急准备义务的；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（3）不按规定报告、通报突发环境事件真实情况的；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（4）拒不执行突发环境事件应急预案，不服从命令和指挥，或者在事件应急响应时临阵脱逃的；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（5）盗窃、贪污、挪用环境事件应急工作资金、装备和物资的；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（6）阻碍环境事件应急工作人员依法执行职务或者进行破坏活动的；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（7）散布谣言，扰乱社会秩序的；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（8）有其他对环境事件应急工作造成危害行为的。</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1196" w:name="_Toc28012"/>
      <w:bookmarkStart w:id="1197" w:name="_Toc6417_WPSOffice_Level1"/>
      <w:bookmarkStart w:id="1198" w:name="_Toc5021_WPSOffice_Level1"/>
      <w:bookmarkStart w:id="1199" w:name="_Toc32460"/>
      <w:bookmarkStart w:id="1200" w:name="_Toc8689_WPSOffice_Level1"/>
      <w:bookmarkStart w:id="1201" w:name="_Toc12232_WPSOffice_Level1"/>
      <w:bookmarkStart w:id="1202" w:name="_Toc21948"/>
      <w:bookmarkStart w:id="1203" w:name="_Toc765_WPSOffice_Level1"/>
      <w:bookmarkStart w:id="1204" w:name="_Toc2484"/>
      <w:bookmarkStart w:id="1205" w:name="_Toc22530"/>
      <w:r>
        <w:rPr>
          <w:rFonts w:ascii="Times New Roman" w:hAnsi="Times New Roman" w:cs="Times New Roman"/>
          <w:b/>
          <w:bCs/>
          <w:color w:val="000000" w:themeColor="text1"/>
          <w:kern w:val="44"/>
          <w:sz w:val="30"/>
          <w:szCs w:val="30"/>
        </w:rPr>
        <w:t>11、预案的评审、备案、发布和更新</w:t>
      </w:r>
      <w:bookmarkEnd w:id="1196"/>
      <w:bookmarkEnd w:id="1197"/>
      <w:bookmarkEnd w:id="1198"/>
      <w:bookmarkEnd w:id="1199"/>
      <w:bookmarkEnd w:id="1200"/>
      <w:bookmarkEnd w:id="1201"/>
      <w:bookmarkEnd w:id="1202"/>
      <w:bookmarkEnd w:id="1203"/>
      <w:bookmarkEnd w:id="1204"/>
      <w:bookmarkEnd w:id="1205"/>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206" w:name="_Toc18661"/>
      <w:bookmarkStart w:id="1207" w:name="_Toc9099_WPSOffice_Level2"/>
      <w:bookmarkStart w:id="1208" w:name="_Toc27516_WPSOffice_Level2"/>
      <w:bookmarkStart w:id="1209" w:name="_Toc26826"/>
      <w:bookmarkStart w:id="1210" w:name="_Toc4771"/>
      <w:bookmarkStart w:id="1211" w:name="_Toc12232_WPSOffice_Level2"/>
      <w:bookmarkStart w:id="1212" w:name="_Toc30581_WPSOffice_Level2"/>
      <w:bookmarkStart w:id="1213" w:name="_Toc26203_WPSOffice_Level2"/>
      <w:bookmarkStart w:id="1214" w:name="_Toc32128"/>
      <w:bookmarkStart w:id="1215" w:name="_Toc302723384"/>
      <w:r>
        <w:rPr>
          <w:rFonts w:ascii="Times New Roman" w:hAnsi="Times New Roman" w:cs="Times New Roman"/>
          <w:b/>
          <w:bCs/>
          <w:color w:val="000000" w:themeColor="text1"/>
          <w:sz w:val="24"/>
          <w:szCs w:val="24"/>
        </w:rPr>
        <w:t>11.1预案评审</w:t>
      </w:r>
      <w:bookmarkEnd w:id="1206"/>
      <w:bookmarkEnd w:id="1207"/>
      <w:bookmarkEnd w:id="1208"/>
      <w:bookmarkEnd w:id="1209"/>
      <w:bookmarkEnd w:id="1210"/>
      <w:bookmarkEnd w:id="1211"/>
      <w:bookmarkEnd w:id="1212"/>
      <w:bookmarkEnd w:id="1213"/>
      <w:bookmarkEnd w:id="1214"/>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应急预案评审由加油站应急办公室根据演练结果及其他信息，每年组织一次内部评审，三年组织一次回顾性评估，进行修订，以确保预案的持续适宜性，评审时间和评审方式视具体情况而定。</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216" w:name="_Toc8887_WPSOffice_Level2"/>
      <w:bookmarkStart w:id="1217" w:name="_Toc17580_WPSOffice_Level2"/>
      <w:bookmarkStart w:id="1218" w:name="_Toc22980_WPSOffice_Level2"/>
      <w:bookmarkStart w:id="1219" w:name="_Toc27762_WPSOffice_Level2"/>
      <w:bookmarkStart w:id="1220" w:name="_Toc9104_WPSOffice_Level2"/>
      <w:bookmarkStart w:id="1221" w:name="_Toc30295"/>
      <w:bookmarkStart w:id="1222" w:name="_Toc15775"/>
      <w:bookmarkStart w:id="1223" w:name="_Toc23929"/>
      <w:bookmarkStart w:id="1224" w:name="_Toc21715"/>
      <w:r>
        <w:rPr>
          <w:rFonts w:ascii="Times New Roman" w:hAnsi="Times New Roman" w:cs="Times New Roman"/>
          <w:b/>
          <w:bCs/>
          <w:color w:val="000000" w:themeColor="text1"/>
          <w:sz w:val="24"/>
          <w:szCs w:val="24"/>
        </w:rPr>
        <w:t>11.2预案备案</w:t>
      </w:r>
      <w:bookmarkEnd w:id="1216"/>
      <w:bookmarkEnd w:id="1217"/>
      <w:bookmarkEnd w:id="1218"/>
      <w:bookmarkEnd w:id="1219"/>
      <w:bookmarkEnd w:id="1220"/>
      <w:bookmarkEnd w:id="1221"/>
      <w:bookmarkEnd w:id="1222"/>
      <w:bookmarkEnd w:id="1223"/>
      <w:bookmarkEnd w:id="1224"/>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加油站应将最新版本突发环境应急预案报当地政府环境保护局或应急管理部门备案。</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225" w:name="_Toc17778_WPSOffice_Level2"/>
      <w:bookmarkStart w:id="1226" w:name="_Toc15856_WPSOffice_Level2"/>
      <w:bookmarkStart w:id="1227" w:name="_Toc307"/>
      <w:bookmarkStart w:id="1228" w:name="_Toc11577_WPSOffice_Level2"/>
      <w:bookmarkStart w:id="1229" w:name="_Toc9855"/>
      <w:bookmarkStart w:id="1230" w:name="_Toc960_WPSOffice_Level2"/>
      <w:bookmarkStart w:id="1231" w:name="_Toc2501"/>
      <w:bookmarkStart w:id="1232" w:name="_Toc27729_WPSOffice_Level2"/>
      <w:bookmarkStart w:id="1233" w:name="_Toc26151"/>
      <w:r>
        <w:rPr>
          <w:rFonts w:ascii="Times New Roman" w:hAnsi="Times New Roman" w:cs="Times New Roman"/>
          <w:b/>
          <w:bCs/>
          <w:color w:val="000000" w:themeColor="text1"/>
          <w:sz w:val="24"/>
          <w:szCs w:val="24"/>
        </w:rPr>
        <w:t>11.3预案发布与发放</w:t>
      </w:r>
      <w:bookmarkEnd w:id="1225"/>
      <w:bookmarkEnd w:id="1226"/>
      <w:bookmarkEnd w:id="1227"/>
      <w:bookmarkEnd w:id="1228"/>
      <w:bookmarkEnd w:id="1229"/>
      <w:bookmarkEnd w:id="1230"/>
      <w:bookmarkEnd w:id="1231"/>
      <w:bookmarkEnd w:id="1232"/>
      <w:bookmarkEnd w:id="1233"/>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1）加油站突发环境应急预案经加油站应急办公室组织评审后，由总经理签署发布；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2）应急办公室负责对应急预案的统一管理；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3）办公室负责预案的管理发放，发放应建立发放记录，并及时对已发放预案进行更新，确保各部门获得最新版本的应急预案；</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4）应发放到应急指挥小组成员和各部门主要负责人及岗位。</w:t>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234" w:name="_Toc25927"/>
      <w:bookmarkStart w:id="1235" w:name="_Toc11709_WPSOffice_Level2"/>
      <w:bookmarkStart w:id="1236" w:name="_Toc11258_WPSOffice_Level2"/>
      <w:bookmarkStart w:id="1237" w:name="_Toc25753_WPSOffice_Level2"/>
      <w:bookmarkStart w:id="1238" w:name="_Toc2978_WPSOffice_Level2"/>
      <w:bookmarkStart w:id="1239" w:name="_Toc6510"/>
      <w:bookmarkStart w:id="1240" w:name="_Toc26198_WPSOffice_Level2"/>
      <w:bookmarkStart w:id="1241" w:name="_Toc27547"/>
      <w:bookmarkStart w:id="1242" w:name="_Toc24629"/>
      <w:r>
        <w:rPr>
          <w:rFonts w:ascii="Times New Roman" w:hAnsi="Times New Roman" w:cs="Times New Roman"/>
          <w:b/>
          <w:bCs/>
          <w:color w:val="000000" w:themeColor="text1"/>
          <w:sz w:val="24"/>
          <w:szCs w:val="24"/>
        </w:rPr>
        <w:t>11.4应急预案的修订</w:t>
      </w:r>
      <w:bookmarkEnd w:id="1234"/>
      <w:bookmarkEnd w:id="1235"/>
      <w:bookmarkEnd w:id="1236"/>
      <w:bookmarkEnd w:id="1237"/>
      <w:bookmarkEnd w:id="1238"/>
      <w:bookmarkEnd w:id="1239"/>
      <w:bookmarkEnd w:id="1240"/>
      <w:bookmarkEnd w:id="1241"/>
      <w:bookmarkEnd w:id="1242"/>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随着应急救援相关法律法规的制定、修改和完善，或者应急救援和演练过程中发现存在的问题和出现新的情况，及时修订完善本预案。</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应急预案评审由加油站应急办公室根据每年演练结果及其他信息，每年组织一次内部评审，三年组织一次回顾性评估，进行预案修订更新，以确保预案的持续适宜性，评审时间和评审方式视具体情况而定。</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1243" w:name="_Toc567_WPSOffice_Level3"/>
      <w:bookmarkStart w:id="1244" w:name="_Toc32167"/>
      <w:bookmarkStart w:id="1245" w:name="_Toc26932_WPSOffice_Level3"/>
      <w:bookmarkStart w:id="1246" w:name="_Toc10897_WPSOffice_Level3"/>
      <w:bookmarkStart w:id="1247" w:name="_Toc22457_WPSOffice_Level3"/>
      <w:bookmarkStart w:id="1248" w:name="_Toc29507"/>
      <w:bookmarkStart w:id="1249" w:name="_Toc17585_WPSOffice_Level3"/>
      <w:bookmarkStart w:id="1250" w:name="_Toc19482"/>
      <w:r>
        <w:rPr>
          <w:rFonts w:ascii="Times New Roman" w:hAnsi="Times New Roman" w:cs="Times New Roman"/>
          <w:b/>
          <w:color w:val="000000" w:themeColor="text1"/>
          <w:sz w:val="24"/>
          <w:szCs w:val="24"/>
        </w:rPr>
        <w:t>11.4.1应急预案在下列情况下，应对应急预案及时修订</w:t>
      </w:r>
      <w:bookmarkEnd w:id="1243"/>
      <w:bookmarkEnd w:id="1244"/>
      <w:bookmarkEnd w:id="1245"/>
      <w:bookmarkEnd w:id="1246"/>
      <w:bookmarkEnd w:id="1247"/>
      <w:bookmarkEnd w:id="1248"/>
      <w:bookmarkEnd w:id="1249"/>
      <w:bookmarkEnd w:id="1250"/>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lang w:val="zh-CN"/>
        </w:rPr>
        <w:t>）危险源发生变化（包括危险源种类、数量、位置）；</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lang w:val="zh-CN"/>
        </w:rPr>
        <w:t>）应急机构或人员发生变化；</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（3）环境应急监测预警及报告机制、应对流程和措施、应急保障措施发生重大变化的；</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4</w:t>
      </w:r>
      <w:r>
        <w:rPr>
          <w:rFonts w:ascii="Times New Roman" w:hAnsi="Times New Roman" w:cs="Times New Roman"/>
          <w:color w:val="000000" w:themeColor="text1"/>
          <w:sz w:val="24"/>
          <w:szCs w:val="24"/>
          <w:lang w:val="zh-CN"/>
        </w:rPr>
        <w:t>）应急装备、设施发生变化；</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5</w:t>
      </w:r>
      <w:r>
        <w:rPr>
          <w:rFonts w:ascii="Times New Roman" w:hAnsi="Times New Roman" w:cs="Times New Roman"/>
          <w:color w:val="000000" w:themeColor="text1"/>
          <w:sz w:val="24"/>
          <w:szCs w:val="24"/>
          <w:lang w:val="zh-CN"/>
        </w:rPr>
        <w:t>）应急演练评价中发生存在不符合项；</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lang w:val="zh-CN"/>
        </w:rPr>
        <w:t>）法律、法规发生变化。</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1251" w:name="_Toc15648_WPSOffice_Level3"/>
      <w:bookmarkStart w:id="1252" w:name="_Toc7372_WPSOffice_Level3"/>
      <w:bookmarkStart w:id="1253" w:name="_Toc16811"/>
      <w:bookmarkStart w:id="1254" w:name="_Toc17253_WPSOffice_Level3"/>
      <w:bookmarkStart w:id="1255" w:name="_Toc25272"/>
      <w:bookmarkStart w:id="1256" w:name="_Toc59_WPSOffice_Level3"/>
      <w:bookmarkStart w:id="1257" w:name="_Toc438_WPSOffice_Level3"/>
      <w:bookmarkStart w:id="1258" w:name="_Toc3504"/>
      <w:r>
        <w:rPr>
          <w:rFonts w:ascii="Times New Roman" w:hAnsi="Times New Roman" w:cs="Times New Roman"/>
          <w:b/>
          <w:color w:val="000000" w:themeColor="text1"/>
          <w:sz w:val="24"/>
          <w:szCs w:val="24"/>
        </w:rPr>
        <w:t>11.4.2应急预案更改、修订程序</w:t>
      </w:r>
      <w:bookmarkEnd w:id="1251"/>
      <w:bookmarkEnd w:id="1252"/>
      <w:bookmarkEnd w:id="1253"/>
      <w:bookmarkEnd w:id="1254"/>
      <w:bookmarkEnd w:id="1255"/>
      <w:bookmarkEnd w:id="1256"/>
      <w:bookmarkEnd w:id="1257"/>
      <w:bookmarkEnd w:id="1258"/>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应急预案的修订由加油站应急办公室根据上述情况的变化和原因向加油站上级公司提出申请，说明修改原因，经授权后组织修订，并将修改的文件传递给相关部门。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预案修订应建立修改记录（包括修改日期、页码、内容、修改人）</w:t>
      </w:r>
    </w:p>
    <w:p>
      <w:pPr>
        <w:keepNext/>
        <w:keepLines/>
        <w:spacing w:before="240" w:after="240" w:line="500" w:lineRule="exact"/>
        <w:ind w:firstLine="482"/>
        <w:jc w:val="left"/>
        <w:outlineLvl w:val="2"/>
        <w:rPr>
          <w:rFonts w:ascii="Times New Roman" w:hAnsi="Times New Roman" w:cs="Times New Roman"/>
          <w:b/>
          <w:color w:val="000000" w:themeColor="text1"/>
          <w:sz w:val="24"/>
          <w:szCs w:val="24"/>
        </w:rPr>
      </w:pPr>
      <w:bookmarkStart w:id="1259" w:name="_Toc6008_WPSOffice_Level2"/>
      <w:bookmarkStart w:id="1260" w:name="_Toc4323_WPSOffice_Level2"/>
      <w:bookmarkStart w:id="1261" w:name="_Toc11186_WPSOffice_Level2"/>
      <w:bookmarkStart w:id="1262" w:name="_Toc3757"/>
      <w:bookmarkStart w:id="1263" w:name="_Toc7943_WPSOffice_Level2"/>
      <w:bookmarkStart w:id="1264" w:name="_Toc32088"/>
      <w:bookmarkStart w:id="1265" w:name="_Toc5741_WPSOffice_Level2"/>
      <w:bookmarkStart w:id="1266" w:name="_Toc5963"/>
      <w:bookmarkStart w:id="1267" w:name="_Toc16078"/>
      <w:r>
        <w:rPr>
          <w:rFonts w:ascii="Times New Roman" w:hAnsi="Times New Roman" w:cs="Times New Roman"/>
          <w:b/>
          <w:color w:val="000000" w:themeColor="text1"/>
          <w:sz w:val="24"/>
          <w:szCs w:val="24"/>
        </w:rPr>
        <w:t>11.5 预案签署和解释</w:t>
      </w:r>
      <w:bookmarkEnd w:id="1259"/>
      <w:bookmarkEnd w:id="1260"/>
      <w:bookmarkEnd w:id="1261"/>
      <w:bookmarkEnd w:id="1262"/>
      <w:bookmarkEnd w:id="1263"/>
      <w:bookmarkEnd w:id="1264"/>
      <w:bookmarkEnd w:id="1265"/>
      <w:bookmarkEnd w:id="1266"/>
      <w:bookmarkEnd w:id="1267"/>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南昌中油瑶湖石油销售有限公司瑶湖加油站编制并实施的《突发环境事件应急预案》是依据环保要求及相关法律法规编制，由南昌中油瑶湖石油销售有限公司瑶湖加油站分公司总经理签署，实施部门为南昌中油瑶湖石油销售有限公司瑶湖加油站突发环境事件应急领导小组，最总解释权归属南昌中油瑶湖石油销售有限公司瑶湖加油站突发环境事件应急领导小组。</w:t>
      </w:r>
    </w:p>
    <w:bookmarkEnd w:id="1215"/>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268" w:name="_Toc10158_WPSOffice_Level2"/>
      <w:bookmarkStart w:id="1269" w:name="_Toc4248"/>
      <w:bookmarkStart w:id="1270" w:name="_Toc302723385"/>
      <w:bookmarkStart w:id="1271" w:name="_Toc17197"/>
      <w:bookmarkStart w:id="1272" w:name="_Toc21934_WPSOffice_Level2"/>
      <w:bookmarkStart w:id="1273" w:name="_Toc17082"/>
      <w:bookmarkStart w:id="1274" w:name="_Toc16140_WPSOffice_Level2"/>
      <w:bookmarkStart w:id="1275" w:name="_Toc23728_WPSOffice_Level2"/>
      <w:bookmarkStart w:id="1276" w:name="_Toc14049"/>
      <w:bookmarkStart w:id="1277" w:name="_Toc29965_WPSOffice_Level2"/>
      <w:bookmarkStart w:id="1278" w:name="_Toc30918"/>
      <w:r>
        <w:rPr>
          <w:rFonts w:ascii="Times New Roman" w:hAnsi="Times New Roman" w:cs="Times New Roman"/>
          <w:b/>
          <w:bCs/>
          <w:color w:val="000000" w:themeColor="text1"/>
          <w:sz w:val="24"/>
          <w:szCs w:val="24"/>
        </w:rPr>
        <w:t>11.6预案的实施</w:t>
      </w:r>
      <w:bookmarkEnd w:id="1268"/>
      <w:bookmarkEnd w:id="1269"/>
      <w:bookmarkEnd w:id="1270"/>
      <w:bookmarkEnd w:id="1271"/>
      <w:bookmarkEnd w:id="1272"/>
      <w:bookmarkEnd w:id="1273"/>
      <w:bookmarkEnd w:id="1274"/>
      <w:bookmarkEnd w:id="1275"/>
      <w:bookmarkEnd w:id="1276"/>
      <w:bookmarkEnd w:id="1277"/>
      <w:bookmarkEnd w:id="1278"/>
    </w:p>
    <w:p>
      <w:pPr>
        <w:widowControl/>
        <w:spacing w:line="500" w:lineRule="exact"/>
        <w:ind w:firstLine="480" w:firstLineChars="200"/>
        <w:jc w:val="left"/>
        <w:rPr>
          <w:rFonts w:ascii="Times New Roman" w:hAnsi="Times New Roman" w:cs="Times New Roman"/>
          <w:color w:val="000000" w:themeColor="text1"/>
          <w:kern w:val="0"/>
          <w:sz w:val="24"/>
          <w:szCs w:val="24"/>
        </w:rPr>
      </w:pPr>
      <w:bookmarkStart w:id="1279" w:name="_Toc13712"/>
      <w:r>
        <w:rPr>
          <w:rFonts w:ascii="Times New Roman" w:hAnsi="Times New Roman" w:cs="Times New Roman"/>
          <w:color w:val="000000" w:themeColor="text1"/>
          <w:kern w:val="0"/>
          <w:sz w:val="24"/>
          <w:szCs w:val="24"/>
        </w:rPr>
        <w:t>南昌中油瑶湖石油销售有限公司瑶湖加油站编制并实施的《南昌中油瑶湖石油销售有限公司瑶湖加油站突发环境事件应急预案》具体实施部门为南昌中油瑶湖石油销售有限公司瑶湖加油站突发环境事件应急领导小组。由公司总经理签署发布之日实施。</w:t>
      </w:r>
      <w:bookmarkEnd w:id="1279"/>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预案签署人：</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实施时间：2019年</w:t>
      </w:r>
      <w:r>
        <w:rPr>
          <w:rFonts w:hint="eastAsia" w:ascii="Times New Roman" w:hAnsi="Times New Roman" w:cs="Times New Roman"/>
          <w:color w:val="000000" w:themeColor="text1"/>
          <w:kern w:val="0"/>
          <w:sz w:val="24"/>
          <w:szCs w:val="24"/>
        </w:rPr>
        <w:t>11</w:t>
      </w:r>
      <w:r>
        <w:rPr>
          <w:rFonts w:ascii="Times New Roman" w:hAnsi="Times New Roman" w:cs="Times New Roman"/>
          <w:color w:val="000000" w:themeColor="text1"/>
          <w:kern w:val="0"/>
          <w:sz w:val="24"/>
          <w:szCs w:val="24"/>
        </w:rPr>
        <w:t>月</w:t>
      </w:r>
      <w:r>
        <w:rPr>
          <w:rFonts w:hint="eastAsia"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rPr>
        <w:t>日</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实施部门：突发环境事件应急领导小组</w:t>
      </w:r>
    </w:p>
    <w:p>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br w:type="page"/>
      </w:r>
    </w:p>
    <w:p>
      <w:pPr>
        <w:keepNext/>
        <w:keepLines/>
        <w:spacing w:before="240" w:beforeLines="100" w:after="240" w:afterLines="100" w:line="500" w:lineRule="exact"/>
        <w:ind w:firstLine="602"/>
        <w:jc w:val="center"/>
        <w:outlineLvl w:val="0"/>
        <w:rPr>
          <w:rFonts w:ascii="Times New Roman" w:hAnsi="Times New Roman" w:cs="Times New Roman"/>
          <w:b/>
          <w:bCs/>
          <w:color w:val="000000" w:themeColor="text1"/>
          <w:kern w:val="44"/>
          <w:sz w:val="30"/>
          <w:szCs w:val="30"/>
        </w:rPr>
      </w:pPr>
      <w:bookmarkStart w:id="1280" w:name="_Toc11189"/>
      <w:bookmarkStart w:id="1281" w:name="_Toc5329_WPSOffice_Level1"/>
      <w:bookmarkStart w:id="1282" w:name="_Toc9309_WPSOffice_Level1"/>
      <w:bookmarkStart w:id="1283" w:name="_Toc11112"/>
      <w:bookmarkStart w:id="1284" w:name="_Toc17738_WPSOffice_Level1"/>
      <w:bookmarkStart w:id="1285" w:name="_Toc32683_WPSOffice_Level1"/>
      <w:bookmarkStart w:id="1286" w:name="_Toc14967"/>
      <w:bookmarkStart w:id="1287" w:name="_Toc12126_WPSOffice_Level1"/>
      <w:bookmarkStart w:id="1288" w:name="_Toc5652"/>
      <w:r>
        <w:rPr>
          <w:rFonts w:ascii="Times New Roman" w:hAnsi="Times New Roman" w:cs="Times New Roman"/>
          <w:b/>
          <w:bCs/>
          <w:color w:val="000000" w:themeColor="text1"/>
          <w:kern w:val="44"/>
          <w:sz w:val="30"/>
          <w:szCs w:val="30"/>
        </w:rPr>
        <w:t>12、附则-名词术语、定义</w:t>
      </w:r>
      <w:bookmarkEnd w:id="1280"/>
      <w:bookmarkEnd w:id="1281"/>
      <w:bookmarkEnd w:id="1282"/>
      <w:bookmarkEnd w:id="1283"/>
      <w:bookmarkEnd w:id="1284"/>
      <w:bookmarkEnd w:id="1285"/>
      <w:bookmarkEnd w:id="1286"/>
      <w:bookmarkEnd w:id="1287"/>
      <w:bookmarkEnd w:id="1288"/>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环境事件：</w:t>
      </w:r>
      <w:r>
        <w:rPr>
          <w:rFonts w:ascii="Times New Roman" w:hAnsi="Times New Roman" w:cs="Times New Roman"/>
          <w:color w:val="000000" w:themeColor="text1"/>
          <w:kern w:val="0"/>
          <w:sz w:val="24"/>
          <w:szCs w:val="24"/>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突发环境事件：</w:t>
      </w:r>
      <w:r>
        <w:rPr>
          <w:rFonts w:ascii="Times New Roman" w:hAnsi="Times New Roman" w:cs="Times New Roman"/>
          <w:color w:val="000000" w:themeColor="text1"/>
          <w:kern w:val="0"/>
          <w:sz w:val="24"/>
          <w:szCs w:val="24"/>
        </w:rPr>
        <w:t>是指由于污染物排放或自然灾害、</w:t>
      </w:r>
      <w:r>
        <w:fldChar w:fldCharType="begin"/>
      </w:r>
      <w:r>
        <w:instrText xml:space="preserve"> HYPERLINK "http://baike.sogou.com/lemma/ShowInnerLink.htm?lemmaId=72563125&amp;ss_c=ssc.citiao.link" \t "http://baike.sogou.com/_blank" </w:instrText>
      </w:r>
      <w:r>
        <w:fldChar w:fldCharType="separate"/>
      </w:r>
      <w:r>
        <w:rPr>
          <w:rFonts w:ascii="Times New Roman" w:hAnsi="Times New Roman" w:cs="Times New Roman"/>
          <w:color w:val="000000" w:themeColor="text1"/>
          <w:kern w:val="0"/>
          <w:sz w:val="24"/>
          <w:szCs w:val="24"/>
        </w:rPr>
        <w:t>生产安全事故</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等因素，导致污染物或</w:t>
      </w:r>
      <w:r>
        <w:fldChar w:fldCharType="begin"/>
      </w:r>
      <w:r>
        <w:instrText xml:space="preserve"> HYPERLINK "http://baike.sogou.com/lemma/ShowInnerLink.htm?lemmaId=19915&amp;ss_c=ssc.citiao.link" \t "http://baike.sogou.com/_blank" </w:instrText>
      </w:r>
      <w:r>
        <w:fldChar w:fldCharType="separate"/>
      </w:r>
      <w:r>
        <w:rPr>
          <w:rFonts w:ascii="Times New Roman" w:hAnsi="Times New Roman" w:cs="Times New Roman"/>
          <w:color w:val="000000" w:themeColor="text1"/>
          <w:kern w:val="0"/>
          <w:sz w:val="24"/>
          <w:szCs w:val="24"/>
        </w:rPr>
        <w:t>放射性物质</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等有毒有害物质进入大气、水体、土壤等环境介质，突然造成或可能造成</w:t>
      </w:r>
      <w:r>
        <w:fldChar w:fldCharType="begin"/>
      </w:r>
      <w:r>
        <w:instrText xml:space="preserve"> HYPERLINK "http://baike.sogou.com/lemma/ShowInnerLink.htm?lemmaId=6555677&amp;ss_c=ssc.citiao.link" \t "http://baike.sogou.com/_blank" </w:instrText>
      </w:r>
      <w:r>
        <w:fldChar w:fldCharType="separate"/>
      </w:r>
      <w:r>
        <w:rPr>
          <w:rFonts w:ascii="Times New Roman" w:hAnsi="Times New Roman" w:cs="Times New Roman"/>
          <w:color w:val="000000" w:themeColor="text1"/>
          <w:kern w:val="0"/>
          <w:sz w:val="24"/>
          <w:szCs w:val="24"/>
        </w:rPr>
        <w:t>环境质量</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下降，危及公众身体健康和财产安全，或造成生态环境破坏，或造成重大社会影响，需要采取紧急措施予以应对的事件，主要包括</w:t>
      </w:r>
      <w:r>
        <w:fldChar w:fldCharType="begin"/>
      </w:r>
      <w:r>
        <w:instrText xml:space="preserve"> HYPERLINK "http://baike.sogou.com/lemma/ShowInnerLink.htm?lemmaId=37146&amp;ss_c=ssc.citiao.link" \t "http://baike.sogou.com/_blank" </w:instrText>
      </w:r>
      <w:r>
        <w:fldChar w:fldCharType="separate"/>
      </w:r>
      <w:r>
        <w:rPr>
          <w:rFonts w:ascii="Times New Roman" w:hAnsi="Times New Roman" w:cs="Times New Roman"/>
          <w:color w:val="000000" w:themeColor="text1"/>
          <w:kern w:val="0"/>
          <w:sz w:val="24"/>
          <w:szCs w:val="24"/>
        </w:rPr>
        <w:t>大气污染</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w:t>
      </w:r>
      <w:r>
        <w:fldChar w:fldCharType="begin"/>
      </w:r>
      <w:r>
        <w:instrText xml:space="preserve"> HYPERLINK "http://baike.sogou.com/lemma/ShowInnerLink.htm?lemmaId=310679&amp;ss_c=ssc.citiao.link" \t "http://baike.sogou.com/_blank" </w:instrText>
      </w:r>
      <w:r>
        <w:fldChar w:fldCharType="separate"/>
      </w:r>
      <w:r>
        <w:rPr>
          <w:rFonts w:ascii="Times New Roman" w:hAnsi="Times New Roman" w:cs="Times New Roman"/>
          <w:color w:val="000000" w:themeColor="text1"/>
          <w:kern w:val="0"/>
          <w:sz w:val="24"/>
          <w:szCs w:val="24"/>
        </w:rPr>
        <w:t>水体污染</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w:t>
      </w:r>
      <w:r>
        <w:fldChar w:fldCharType="begin"/>
      </w:r>
      <w:r>
        <w:instrText xml:space="preserve"> HYPERLINK "http://baike.sogou.com/lemma/ShowInnerLink.htm?lemmaId=259400&amp;ss_c=ssc.citiao.link" \t "http://baike.sogou.com/_blank" </w:instrText>
      </w:r>
      <w:r>
        <w:fldChar w:fldCharType="separate"/>
      </w:r>
      <w:r>
        <w:rPr>
          <w:rFonts w:ascii="Times New Roman" w:hAnsi="Times New Roman" w:cs="Times New Roman"/>
          <w:color w:val="000000" w:themeColor="text1"/>
          <w:kern w:val="0"/>
          <w:sz w:val="24"/>
          <w:szCs w:val="24"/>
        </w:rPr>
        <w:t>土壤污染</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等突发性环境污染事件和辐射污染事件。</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环境应急：</w:t>
      </w:r>
      <w:r>
        <w:rPr>
          <w:rFonts w:ascii="Times New Roman" w:hAnsi="Times New Roman" w:cs="Times New Roman"/>
          <w:color w:val="000000" w:themeColor="text1"/>
          <w:kern w:val="0"/>
          <w:sz w:val="24"/>
          <w:szCs w:val="24"/>
        </w:rPr>
        <w:t>针对可能或已发生的突发环境事件需要立即采取某些超出正常工作程序的行动，以避免事件发生或减轻事件后果的状态，也称为紧急状态；同时也泛指立即采取超出正常工作程序的行动。</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预案分类：</w:t>
      </w:r>
      <w:r>
        <w:rPr>
          <w:rFonts w:ascii="Times New Roman" w:hAnsi="Times New Roman" w:cs="Times New Roman"/>
          <w:color w:val="000000" w:themeColor="text1"/>
          <w:kern w:val="0"/>
          <w:sz w:val="24"/>
          <w:szCs w:val="24"/>
        </w:rPr>
        <w:t>根据突发环境事件的发生过程、性质和机理，突发环境事件主要分为三类：突发环境污染事件、生物物种安全环境事件和辐射环境污染事件。突发环境污染事件包括重点流域、敏感水域水环境污染事件；重点城市光化学烟雾污染事件；危险化学品、废弃化学品污染事件；海上石油勘探开发溢油事件；突发船舶污染事件等。生物物种安全环境事件主要是指生物物种受到不当采集、猎杀、走私、非法携带出入境或合作交换、工程建设危害以及</w:t>
      </w:r>
      <w:r>
        <w:fldChar w:fldCharType="begin"/>
      </w:r>
      <w:r>
        <w:instrText xml:space="preserve"> HYPERLINK "http://baike.baidu.com/view/264755.htm" </w:instrText>
      </w:r>
      <w:r>
        <w:fldChar w:fldCharType="separate"/>
      </w:r>
      <w:r>
        <w:rPr>
          <w:rFonts w:ascii="Times New Roman" w:hAnsi="Times New Roman" w:cs="Times New Roman"/>
          <w:color w:val="000000" w:themeColor="text1"/>
          <w:kern w:val="0"/>
          <w:sz w:val="24"/>
          <w:szCs w:val="24"/>
        </w:rPr>
        <w:t>外来入侵物种</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对生物多样性造成损失和对生态环境造成威胁和危害事件；辐射环境污染事件包括</w:t>
      </w:r>
      <w:r>
        <w:fldChar w:fldCharType="begin"/>
      </w:r>
      <w:r>
        <w:instrText xml:space="preserve"> HYPERLINK "http://baike.baidu.com/view/357582.htm" </w:instrText>
      </w:r>
      <w:r>
        <w:fldChar w:fldCharType="separate"/>
      </w:r>
      <w:r>
        <w:rPr>
          <w:rFonts w:ascii="Times New Roman" w:hAnsi="Times New Roman" w:cs="Times New Roman"/>
          <w:color w:val="000000" w:themeColor="text1"/>
          <w:kern w:val="0"/>
          <w:sz w:val="24"/>
          <w:szCs w:val="24"/>
        </w:rPr>
        <w:t>放射性同位素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、放射源、辐射装置、放射性废物辐射污染事件。</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泄漏处理：</w:t>
      </w:r>
      <w:r>
        <w:rPr>
          <w:rFonts w:ascii="Times New Roman" w:hAnsi="Times New Roman" w:cs="Times New Roman"/>
          <w:color w:val="000000" w:themeColor="text1"/>
          <w:kern w:val="0"/>
          <w:sz w:val="24"/>
          <w:szCs w:val="24"/>
        </w:rPr>
        <w:t>泄漏处理是指对危险化学品、危险废物、放射性物质、有毒气体等污染源因事件发生泄漏时的所采取的应急处置措施。泄漏处理要及时、得当，避免重大事件的发生。泄漏处理一般分为泄漏源控制和泄漏物处置两部分。</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应急监测：</w:t>
      </w:r>
      <w:r>
        <w:rPr>
          <w:rFonts w:ascii="Times New Roman" w:hAnsi="Times New Roman" w:cs="Times New Roman"/>
          <w:color w:val="000000" w:themeColor="text1"/>
          <w:kern w:val="0"/>
          <w:sz w:val="24"/>
          <w:szCs w:val="24"/>
        </w:rPr>
        <w:t>环境应急情况下，为发现和查明环境污染情况和污染范围而进行的环境监测。包括定点监测和动态监测。</w:t>
      </w:r>
    </w:p>
    <w:p>
      <w:pPr>
        <w:widowControl/>
        <w:spacing w:line="500" w:lineRule="exact"/>
        <w:ind w:firstLine="482" w:firstLineChars="200"/>
        <w:jc w:val="left"/>
        <w:rPr>
          <w:rFonts w:ascii="Times New Roman" w:hAnsi="Times New Roman" w:cs="Times New Roman"/>
          <w:color w:val="000000" w:themeColor="text1"/>
          <w:kern w:val="0"/>
          <w:sz w:val="24"/>
          <w:szCs w:val="24"/>
        </w:rPr>
        <w:sectPr>
          <w:footerReference r:id="rId5" w:type="default"/>
          <w:pgSz w:w="11920" w:h="16840"/>
          <w:pgMar w:top="1100" w:right="1200" w:bottom="280" w:left="1580" w:header="878" w:footer="1081" w:gutter="0"/>
          <w:pgNumType w:start="1"/>
          <w:cols w:space="720" w:num="1"/>
        </w:sectPr>
      </w:pPr>
      <w:r>
        <w:rPr>
          <w:rFonts w:ascii="Times New Roman" w:hAnsi="Times New Roman" w:cs="Times New Roman"/>
          <w:b/>
          <w:color w:val="000000" w:themeColor="text1"/>
          <w:kern w:val="0"/>
          <w:sz w:val="24"/>
          <w:szCs w:val="24"/>
        </w:rPr>
        <w:t>应急演习：</w:t>
      </w:r>
      <w:r>
        <w:rPr>
          <w:rFonts w:ascii="Times New Roman" w:hAnsi="Times New Roman" w:cs="Times New Roman"/>
          <w:color w:val="000000" w:themeColor="text1"/>
          <w:kern w:val="0"/>
          <w:sz w:val="24"/>
          <w:szCs w:val="24"/>
        </w:rPr>
        <w:t>为检验应急计划的有效性、应急准备的完善性、应急响应能力的适应性和应急人员的协同性而进行的一种模拟应急响应的实践活动，根据所涉及的内容和范围</w:t>
      </w:r>
    </w:p>
    <w:p>
      <w:pPr>
        <w:widowControl/>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的不同，可分为单项演习（演练）、综合演习和指挥中心、现场应急组织联合进行的联合演习。</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突发环境事件应急预案：</w:t>
      </w:r>
      <w:r>
        <w:rPr>
          <w:rFonts w:ascii="Times New Roman" w:hAnsi="Times New Roman" w:cs="Times New Roman"/>
          <w:color w:val="000000" w:themeColor="text1"/>
          <w:kern w:val="0"/>
          <w:sz w:val="24"/>
          <w:szCs w:val="24"/>
        </w:rPr>
        <w:t>是指针对可能发生的突发环境事件，为确保迅速、有序、高效地开展应急处置，减少人员伤亡和经济损失而预先制定的计划或方案。</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环境风险：</w:t>
      </w:r>
      <w:r>
        <w:rPr>
          <w:rFonts w:ascii="Times New Roman" w:hAnsi="Times New Roman" w:cs="Times New Roman"/>
          <w:color w:val="000000" w:themeColor="text1"/>
          <w:kern w:val="0"/>
          <w:sz w:val="24"/>
          <w:szCs w:val="24"/>
        </w:rPr>
        <w:t>是指突发环境事件对环境（或健康）的危险程度。</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危险源：</w:t>
      </w:r>
      <w:r>
        <w:rPr>
          <w:rFonts w:ascii="Times New Roman" w:hAnsi="Times New Roman" w:cs="Times New Roman"/>
          <w:color w:val="000000" w:themeColor="text1"/>
          <w:kern w:val="0"/>
          <w:sz w:val="24"/>
          <w:szCs w:val="24"/>
        </w:rPr>
        <w:t>是指可能导致伤害或疾病、财产损失、环境破坏或这些情况组合的根源或状态。</w:t>
      </w:r>
    </w:p>
    <w:p>
      <w:pPr>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环境敏感点：</w:t>
      </w:r>
      <w:r>
        <w:rPr>
          <w:rFonts w:ascii="Times New Roman" w:hAnsi="Times New Roman" w:cs="Times New Roman"/>
          <w:color w:val="000000" w:themeColor="text1"/>
          <w:kern w:val="0"/>
          <w:sz w:val="24"/>
          <w:szCs w:val="24"/>
        </w:rPr>
        <w:t>参照《建设项目环境影响评价分类管理名录》中“环境敏感区”的定义。</w:t>
      </w:r>
    </w:p>
    <w:p>
      <w:pPr>
        <w:pStyle w:val="2"/>
        <w:ind w:firstLine="496"/>
        <w:rPr>
          <w:rFonts w:ascii="Times New Roman" w:hAnsi="Times New Roman"/>
        </w:rPr>
      </w:pPr>
    </w:p>
    <w:p>
      <w:pPr>
        <w:keepNext/>
        <w:keepLines/>
        <w:spacing w:before="360" w:beforeLines="150" w:line="320" w:lineRule="exact"/>
        <w:ind w:left="608" w:hanging="608" w:hangingChars="202"/>
        <w:outlineLvl w:val="0"/>
        <w:rPr>
          <w:rFonts w:ascii="Times New Roman" w:hAnsi="Times New Roman" w:cs="Times New Roman"/>
          <w:b/>
          <w:bCs/>
          <w:color w:val="000000" w:themeColor="text1"/>
          <w:kern w:val="44"/>
          <w:sz w:val="30"/>
          <w:szCs w:val="30"/>
        </w:rPr>
        <w:sectPr>
          <w:footerReference r:id="rId6" w:type="default"/>
          <w:pgSz w:w="11920" w:h="16840"/>
          <w:pgMar w:top="1100" w:right="1200" w:bottom="280" w:left="1580" w:header="878" w:footer="1081" w:gutter="0"/>
          <w:cols w:space="720" w:num="1"/>
        </w:sectPr>
      </w:pPr>
      <w:bookmarkStart w:id="1289" w:name="_Toc21391"/>
      <w:bookmarkStart w:id="1290" w:name="_Toc29772_WPSOffice_Level1"/>
      <w:bookmarkStart w:id="1291" w:name="_Toc9398"/>
      <w:bookmarkStart w:id="1292" w:name="_Toc10663_WPSOffice_Level1"/>
    </w:p>
    <w:p>
      <w:pPr>
        <w:keepNext/>
        <w:keepLines/>
        <w:spacing w:before="360" w:beforeLines="150" w:line="320" w:lineRule="exact"/>
        <w:ind w:left="608" w:hanging="608" w:hangingChars="202"/>
        <w:outlineLvl w:val="0"/>
        <w:rPr>
          <w:rFonts w:ascii="Times New Roman" w:hAnsi="Times New Roman" w:cs="Times New Roman"/>
          <w:b/>
          <w:bCs/>
          <w:color w:val="000000" w:themeColor="text1"/>
          <w:kern w:val="44"/>
          <w:sz w:val="30"/>
          <w:szCs w:val="30"/>
        </w:rPr>
      </w:pPr>
      <w:bookmarkStart w:id="1293" w:name="_Toc17979_WPSOffice_Level1"/>
      <w:bookmarkStart w:id="1294" w:name="_Toc25432_WPSOffice_Level1"/>
      <w:bookmarkStart w:id="1295" w:name="_Toc10928_WPSOffice_Level1"/>
      <w:bookmarkStart w:id="1296" w:name="_Toc758"/>
      <w:r>
        <w:rPr>
          <w:rFonts w:ascii="Times New Roman" w:hAnsi="Times New Roman" w:cs="Times New Roman"/>
          <w:b/>
          <w:bCs/>
          <w:color w:val="000000" w:themeColor="text1"/>
          <w:kern w:val="44"/>
          <w:sz w:val="30"/>
          <w:szCs w:val="30"/>
        </w:rPr>
        <w:t>附件</w:t>
      </w:r>
      <w:bookmarkEnd w:id="1289"/>
      <w:bookmarkEnd w:id="1290"/>
      <w:bookmarkEnd w:id="1291"/>
      <w:bookmarkEnd w:id="1292"/>
      <w:bookmarkEnd w:id="1293"/>
      <w:bookmarkEnd w:id="1294"/>
      <w:bookmarkEnd w:id="1295"/>
      <w:bookmarkEnd w:id="1296"/>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297" w:name="_Toc32634"/>
      <w:bookmarkStart w:id="1298" w:name="_Toc12377"/>
      <w:bookmarkStart w:id="1299" w:name="_Toc16347"/>
      <w:bookmarkStart w:id="1300" w:name="_Toc15007"/>
      <w:r>
        <w:rPr>
          <w:rFonts w:ascii="Times New Roman" w:hAnsi="Times New Roman" w:cs="Times New Roman"/>
        </w:rPr>
        <w:drawing>
          <wp:anchor distT="0" distB="0" distL="114300" distR="114300" simplePos="0" relativeHeight="251625472" behindDoc="0" locked="0" layoutInCell="1" allowOverlap="1">
            <wp:simplePos x="0" y="0"/>
            <wp:positionH relativeFrom="margin">
              <wp:posOffset>4919980</wp:posOffset>
            </wp:positionH>
            <wp:positionV relativeFrom="paragraph">
              <wp:posOffset>461010</wp:posOffset>
            </wp:positionV>
            <wp:extent cx="1073150" cy="954405"/>
            <wp:effectExtent l="0" t="0" r="0" b="0"/>
            <wp:wrapNone/>
            <wp:docPr id="63" name="Picture 128"/>
            <wp:cNvGraphicFramePr/>
            <a:graphic xmlns:a="http://schemas.openxmlformats.org/drawingml/2006/main">
              <a:graphicData uri="http://schemas.openxmlformats.org/drawingml/2006/picture">
                <pic:pic xmlns:pic="http://schemas.openxmlformats.org/drawingml/2006/picture">
                  <pic:nvPicPr>
                    <pic:cNvPr id="63" name="Picture 128"/>
                    <pic:cNvPicPr/>
                  </pic:nvPicPr>
                  <pic:blipFill>
                    <a:blip r:embed="rId24"/>
                    <a:stretch>
                      <a:fillRect/>
                    </a:stretch>
                  </pic:blipFill>
                  <pic:spPr>
                    <a:xfrm flipV="1">
                      <a:off x="0" y="0"/>
                      <a:ext cx="1073150" cy="954405"/>
                    </a:xfrm>
                    <a:prstGeom prst="rect">
                      <a:avLst/>
                    </a:prstGeom>
                  </pic:spPr>
                </pic:pic>
              </a:graphicData>
            </a:graphic>
          </wp:anchor>
        </w:drawing>
      </w:r>
      <w:r>
        <w:rPr>
          <w:rFonts w:ascii="Times New Roman" w:hAnsi="Times New Roman" w:cs="Times New Roman"/>
          <w:b/>
          <w:bCs/>
          <w:color w:val="000000" w:themeColor="text1"/>
          <w:sz w:val="24"/>
          <w:szCs w:val="24"/>
        </w:rPr>
        <w:t>附件一：南昌中油瑶湖石油销售有限公司瑶湖加油站地理位置图</w:t>
      </w:r>
      <w:bookmarkEnd w:id="1297"/>
      <w:bookmarkEnd w:id="1298"/>
      <w:bookmarkEnd w:id="1299"/>
      <w:bookmarkEnd w:id="1300"/>
    </w:p>
    <w:p>
      <w:pPr>
        <w:jc w:val="left"/>
        <w:rPr>
          <w:rFonts w:ascii="Times New Roman" w:hAnsi="Times New Roman" w:cs="Times New Roman"/>
          <w:color w:val="000000" w:themeColor="text1"/>
          <w:kern w:val="0"/>
          <w:sz w:val="24"/>
          <w:szCs w:val="24"/>
          <w:lang w:val="zh-CN"/>
        </w:rPr>
      </w:pPr>
      <w:r>
        <w:rPr>
          <w:rFonts w:ascii="Times New Roman" w:hAnsi="Times New Roman" w:cs="Times New Roman"/>
        </w:rPr>
        <w:drawing>
          <wp:inline distT="0" distB="0" distL="0" distR="0">
            <wp:extent cx="6012180" cy="5098415"/>
            <wp:effectExtent l="0" t="0" r="762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2180" cy="5098415"/>
                    </a:xfrm>
                    <a:prstGeom prst="rect">
                      <a:avLst/>
                    </a:prstGeom>
                    <a:noFill/>
                  </pic:spPr>
                </pic:pic>
              </a:graphicData>
            </a:graphic>
          </wp:inline>
        </w:drawing>
      </w:r>
    </w:p>
    <w:p>
      <w:pPr>
        <w:widowControl/>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lang w:val="zh-CN"/>
        </w:rPr>
      </w:pPr>
      <w:bookmarkStart w:id="1301" w:name="_Toc27743"/>
      <w:bookmarkStart w:id="1302" w:name="_Toc24497"/>
      <w:bookmarkStart w:id="1303" w:name="_Toc1981"/>
      <w:bookmarkStart w:id="1304" w:name="_Toc29353"/>
      <w:r>
        <w:rPr>
          <w:rFonts w:ascii="Times New Roman" w:hAnsi="Times New Roman" w:cs="Times New Roman"/>
          <w:b/>
          <w:bCs/>
          <w:color w:val="000000" w:themeColor="text1"/>
          <w:sz w:val="24"/>
          <w:szCs w:val="24"/>
        </w:rPr>
        <w:t>附件二：加油站平面布置图</w:t>
      </w:r>
      <w:bookmarkEnd w:id="1301"/>
      <w:bookmarkEnd w:id="1302"/>
      <w:bookmarkEnd w:id="1303"/>
      <w:bookmarkEnd w:id="1304"/>
    </w:p>
    <w:p>
      <w:pPr>
        <w:rPr>
          <w:rFonts w:ascii="Times New Roman" w:hAnsi="Times New Roman" w:cs="Times New Roman"/>
        </w:rPr>
      </w:pPr>
      <w:r>
        <w:rPr>
          <w:rFonts w:ascii="Times New Roman" w:hAnsi="Times New Roman" w:cs="Times New Roman"/>
        </w:rPr>
        <w:drawing>
          <wp:inline distT="0" distB="0" distL="0" distR="0">
            <wp:extent cx="5838825" cy="4805680"/>
            <wp:effectExtent l="0" t="0" r="13335" b="1016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838825" cy="4805680"/>
                    </a:xfrm>
                    <a:prstGeom prst="rect">
                      <a:avLst/>
                    </a:prstGeom>
                    <a:noFill/>
                  </pic:spPr>
                </pic:pic>
              </a:graphicData>
            </a:graphic>
          </wp:inline>
        </w:drawing>
      </w:r>
    </w:p>
    <w:bookmarkEnd w:id="649"/>
    <w:p>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br w:type="page"/>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rPr>
      </w:pPr>
      <w:bookmarkStart w:id="1305" w:name="_Toc30519"/>
      <w:bookmarkStart w:id="1306" w:name="_Toc31655"/>
      <w:bookmarkStart w:id="1307" w:name="_Toc24487"/>
      <w:r>
        <w:rPr>
          <w:rFonts w:ascii="Times New Roman" w:hAnsi="Times New Roman" w:cs="Times New Roman"/>
          <w:b/>
          <w:bCs/>
          <w:color w:val="000000" w:themeColor="text1"/>
          <w:sz w:val="24"/>
          <w:szCs w:val="24"/>
        </w:rPr>
        <w:t>附件三：加油站周边环境“环境敏感点”示意图</w:t>
      </w:r>
      <w:bookmarkEnd w:id="1305"/>
      <w:bookmarkEnd w:id="1306"/>
      <w:bookmarkEnd w:id="1307"/>
    </w:p>
    <w:p>
      <w:pPr>
        <w:widowControl/>
        <w:spacing w:line="360" w:lineRule="auto"/>
        <w:jc w:val="left"/>
        <w:rPr>
          <w:rFonts w:ascii="Times New Roman" w:hAnsi="Times New Roman" w:cs="Times New Roman"/>
          <w:color w:val="000000" w:themeColor="text1"/>
          <w:kern w:val="0"/>
          <w:sz w:val="24"/>
          <w:szCs w:val="24"/>
        </w:rPr>
      </w:pPr>
      <w:r>
        <w:rPr>
          <w:rFonts w:ascii="Times New Roman" w:hAnsi="Times New Roman" w:eastAsia="Calibri" w:cs="Times New Roman"/>
          <w:color w:val="000000"/>
          <w:sz w:val="22"/>
        </w:rPr>
        <w:drawing>
          <wp:anchor distT="0" distB="0" distL="114300" distR="114300" simplePos="0" relativeHeight="251650048" behindDoc="0" locked="0" layoutInCell="1" allowOverlap="1">
            <wp:simplePos x="0" y="0"/>
            <wp:positionH relativeFrom="column">
              <wp:posOffset>3710305</wp:posOffset>
            </wp:positionH>
            <wp:positionV relativeFrom="paragraph">
              <wp:posOffset>5080</wp:posOffset>
            </wp:positionV>
            <wp:extent cx="802005" cy="960120"/>
            <wp:effectExtent l="0" t="0" r="0" b="0"/>
            <wp:wrapNone/>
            <wp:docPr id="159" name="Picture 10"/>
            <wp:cNvGraphicFramePr/>
            <a:graphic xmlns:a="http://schemas.openxmlformats.org/drawingml/2006/main">
              <a:graphicData uri="http://schemas.openxmlformats.org/drawingml/2006/picture">
                <pic:pic xmlns:pic="http://schemas.openxmlformats.org/drawingml/2006/picture">
                  <pic:nvPicPr>
                    <pic:cNvPr id="159" name="Picture 10"/>
                    <pic:cNvPicPr/>
                  </pic:nvPicPr>
                  <pic:blipFill>
                    <a:blip r:embed="rId24"/>
                    <a:stretch>
                      <a:fillRect/>
                    </a:stretch>
                  </pic:blipFill>
                  <pic:spPr>
                    <a:xfrm flipV="1">
                      <a:off x="0" y="0"/>
                      <a:ext cx="802005" cy="960120"/>
                    </a:xfrm>
                    <a:prstGeom prst="rect">
                      <a:avLst/>
                    </a:prstGeom>
                  </pic:spPr>
                </pic:pic>
              </a:graphicData>
            </a:graphic>
          </wp:anchor>
        </w:drawing>
      </w:r>
      <w:r>
        <w:rPr>
          <w:rFonts w:ascii="Times New Roman" w:hAnsi="Times New Roman" w:cs="Times New Roman"/>
        </w:rPr>
        <w:drawing>
          <wp:inline distT="0" distB="0" distL="0" distR="0">
            <wp:extent cx="6092825" cy="4864100"/>
            <wp:effectExtent l="0" t="0" r="3175" b="1270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7"/>
                    <a:stretch>
                      <a:fillRect/>
                    </a:stretch>
                  </pic:blipFill>
                  <pic:spPr>
                    <a:xfrm>
                      <a:off x="0" y="0"/>
                      <a:ext cx="6092825" cy="4864100"/>
                    </a:xfrm>
                    <a:prstGeom prst="rect">
                      <a:avLst/>
                    </a:prstGeom>
                  </pic:spPr>
                </pic:pic>
              </a:graphicData>
            </a:graphic>
          </wp:inline>
        </w:drawing>
      </w:r>
    </w:p>
    <w:p>
      <w:pPr>
        <w:ind w:firstLine="480"/>
        <w:rPr>
          <w:rFonts w:ascii="Times New Roman" w:hAnsi="Times New Roman" w:cs="Times New Roman"/>
          <w:color w:val="000000" w:themeColor="text1"/>
        </w:rPr>
      </w:pPr>
      <w:r>
        <w:rPr>
          <w:rFonts w:ascii="Times New Roman" w:hAnsi="Times New Roman" w:cs="Times New Roman"/>
          <w:color w:val="000000" w:themeColor="text1"/>
        </w:rPr>
        <w:br w:type="page"/>
      </w:r>
    </w:p>
    <w:p>
      <w:pPr>
        <w:keepNext/>
        <w:keepLines/>
        <w:spacing w:before="120" w:beforeLines="50" w:after="120" w:afterLines="50" w:line="500" w:lineRule="exact"/>
        <w:ind w:firstLine="482"/>
        <w:jc w:val="left"/>
        <w:outlineLvl w:val="1"/>
        <w:rPr>
          <w:rFonts w:ascii="Times New Roman" w:hAnsi="Times New Roman" w:cs="Times New Roman"/>
          <w:b/>
          <w:bCs/>
          <w:color w:val="000000" w:themeColor="text1"/>
          <w:sz w:val="24"/>
          <w:szCs w:val="24"/>
          <w:lang w:val="zh-CN"/>
        </w:rPr>
      </w:pPr>
      <w:bookmarkStart w:id="1308" w:name="_Toc19204"/>
      <w:bookmarkStart w:id="1309" w:name="_Toc9028"/>
      <w:bookmarkStart w:id="1310" w:name="_Toc715"/>
      <w:r>
        <w:rPr>
          <w:rFonts w:ascii="Times New Roman" w:hAnsi="Times New Roman" w:cs="Times New Roman"/>
          <w:b/>
          <w:bCs/>
          <w:color w:val="000000" w:themeColor="text1"/>
          <w:sz w:val="24"/>
          <w:szCs w:val="24"/>
          <w:lang w:val="zh-CN"/>
        </w:rPr>
        <w:t>附件四、加油站应急疏散线路图</w:t>
      </w:r>
      <w:bookmarkEnd w:id="1308"/>
      <w:bookmarkEnd w:id="1309"/>
      <w:bookmarkEnd w:id="1310"/>
    </w:p>
    <w:p>
      <w:pPr>
        <w:rPr>
          <w:rFonts w:ascii="Times New Roman" w:hAnsi="Times New Roman" w:cs="Times New Roman"/>
          <w:color w:val="000000" w:themeColor="text1"/>
        </w:rPr>
      </w:pPr>
      <w:r>
        <w:rPr>
          <w:rFonts w:ascii="Times New Roman" w:hAnsi="Times New Roman" w:cs="Times New Roman"/>
          <w:color w:val="000000" w:themeColor="text1"/>
        </w:rPr>
        <w:drawing>
          <wp:inline distT="0" distB="0" distL="0" distR="0">
            <wp:extent cx="6112510" cy="4589780"/>
            <wp:effectExtent l="0" t="0" r="13970" b="1270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12510" cy="4589780"/>
                    </a:xfrm>
                    <a:prstGeom prst="rect">
                      <a:avLst/>
                    </a:prstGeom>
                    <a:noFill/>
                  </pic:spPr>
                </pic:pic>
              </a:graphicData>
            </a:graphic>
          </wp:inline>
        </w:drawing>
      </w:r>
    </w:p>
    <w:p>
      <w:pPr>
        <w:pStyle w:val="2"/>
        <w:ind w:firstLine="496"/>
        <w:rPr>
          <w:rFonts w:ascii="Times New Roman" w:hAnsi="Times New Roman"/>
        </w:rPr>
      </w:pPr>
      <w:r>
        <w:rPr>
          <w:rFonts w:ascii="Times New Roman" w:hAnsi="Times New Roman"/>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kern w:val="0"/>
          <w:sz w:val="24"/>
          <w:szCs w:val="24"/>
        </w:rPr>
      </w:pPr>
      <w:bookmarkStart w:id="1311" w:name="_Toc8030"/>
      <w:bookmarkStart w:id="1312" w:name="_Toc12354"/>
      <w:bookmarkStart w:id="1313" w:name="_Toc7863"/>
      <w:r>
        <w:rPr>
          <w:rFonts w:ascii="Times New Roman" w:hAnsi="Times New Roman" w:cs="Times New Roman"/>
          <w:b/>
          <w:bCs/>
          <w:color w:val="000000" w:themeColor="text1"/>
          <w:sz w:val="24"/>
          <w:szCs w:val="24"/>
        </w:rPr>
        <w:t>附件五: 突发环境事件应急领导小组成员及联系方式</w:t>
      </w:r>
      <w:bookmarkEnd w:id="1311"/>
      <w:bookmarkEnd w:id="1312"/>
      <w:bookmarkEnd w:id="1313"/>
    </w:p>
    <w:tbl>
      <w:tblPr>
        <w:tblStyle w:val="16"/>
        <w:tblW w:w="8060"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287"/>
        <w:gridCol w:w="1960"/>
        <w:gridCol w:w="2036"/>
        <w:gridCol w:w="1777"/>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50"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应急机构名称</w:t>
            </w:r>
          </w:p>
        </w:tc>
        <w:tc>
          <w:tcPr>
            <w:tcW w:w="1960" w:type="dxa"/>
            <w:vAlign w:val="center"/>
          </w:tcPr>
          <w:p>
            <w:pPr>
              <w:jc w:val="center"/>
              <w:rPr>
                <w:rFonts w:ascii="Times New Roman" w:hAnsi="Times New Roman" w:cs="Times New Roman"/>
                <w:sz w:val="24"/>
                <w:szCs w:val="24"/>
              </w:rPr>
            </w:pPr>
            <w:r>
              <w:rPr>
                <w:rFonts w:ascii="Times New Roman" w:hAnsi="Times New Roman" w:cs="Times New Roman"/>
                <w:sz w:val="24"/>
                <w:szCs w:val="24"/>
              </w:rPr>
              <w:t>姓名</w:t>
            </w:r>
          </w:p>
        </w:tc>
        <w:tc>
          <w:tcPr>
            <w:tcW w:w="2036" w:type="dxa"/>
            <w:vAlign w:val="center"/>
          </w:tcPr>
          <w:p>
            <w:pPr>
              <w:jc w:val="center"/>
              <w:rPr>
                <w:rFonts w:ascii="Times New Roman" w:hAnsi="Times New Roman" w:cs="Times New Roman"/>
                <w:sz w:val="24"/>
                <w:szCs w:val="24"/>
              </w:rPr>
            </w:pPr>
            <w:r>
              <w:rPr>
                <w:rFonts w:ascii="Times New Roman" w:hAnsi="Times New Roman" w:cs="Times New Roman"/>
                <w:sz w:val="24"/>
                <w:szCs w:val="24"/>
              </w:rPr>
              <w:t>公司职务</w:t>
            </w:r>
          </w:p>
        </w:tc>
        <w:tc>
          <w:tcPr>
            <w:tcW w:w="1777" w:type="dxa"/>
            <w:vAlign w:val="center"/>
          </w:tcPr>
          <w:p>
            <w:pPr>
              <w:rPr>
                <w:rFonts w:ascii="Times New Roman" w:hAnsi="Times New Roman" w:cs="Times New Roman"/>
                <w:sz w:val="24"/>
                <w:szCs w:val="24"/>
              </w:rPr>
            </w:pPr>
            <w:r>
              <w:rPr>
                <w:rFonts w:ascii="Times New Roman" w:hAnsi="Times New Roman" w:cs="Times New Roman"/>
                <w:sz w:val="24"/>
                <w:szCs w:val="24"/>
              </w:rPr>
              <w:t>联系方式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总指挥</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裘韦</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站经理</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13807066080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副总指挥</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许英英</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前庭主管</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13767106612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5"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应急指挥部办公室</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加油站办公室</w:t>
            </w:r>
          </w:p>
        </w:tc>
        <w:tc>
          <w:tcPr>
            <w:tcW w:w="2036" w:type="dxa"/>
            <w:vAlign w:val="center"/>
          </w:tcPr>
          <w:p>
            <w:pPr>
              <w:jc w:val="center"/>
              <w:rPr>
                <w:rFonts w:ascii="Times New Roman" w:hAnsi="Times New Roman" w:cs="Times New Roman"/>
                <w:sz w:val="24"/>
                <w:szCs w:val="24"/>
              </w:rPr>
            </w:pPr>
          </w:p>
        </w:tc>
        <w:tc>
          <w:tcPr>
            <w:tcW w:w="1777" w:type="dxa"/>
            <w:vAlign w:val="center"/>
          </w:tcPr>
          <w:p>
            <w:pPr>
              <w:jc w:val="center"/>
              <w:rPr>
                <w:rFonts w:ascii="Times New Roman" w:hAnsi="Times New Roman" w:cs="Times New Roman"/>
                <w:sz w:val="24"/>
                <w:szCs w:val="24"/>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抢险救灾队</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王辉，谢庆</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加油员</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18770053005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警戒疏散队</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曾花香，胡翠花</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加油员</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15879050092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环境监测队</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彭小群，邓小清</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加油员</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15970655097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5"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通讯及后勤保障队</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涂海英</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便利店主管</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13699501994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88" w:hRule="atLeast"/>
          <w:jc w:val="center"/>
        </w:trPr>
        <w:tc>
          <w:tcPr>
            <w:tcW w:w="2287" w:type="dxa"/>
            <w:vAlign w:val="center"/>
          </w:tcPr>
          <w:p>
            <w:pPr>
              <w:jc w:val="center"/>
              <w:rPr>
                <w:rFonts w:ascii="Times New Roman" w:hAnsi="Times New Roman" w:cs="Times New Roman"/>
                <w:sz w:val="24"/>
                <w:szCs w:val="24"/>
              </w:rPr>
            </w:pPr>
            <w:r>
              <w:rPr>
                <w:rFonts w:ascii="Times New Roman" w:hAnsi="Times New Roman" w:cs="Times New Roman"/>
                <w:sz w:val="24"/>
                <w:szCs w:val="24"/>
              </w:rPr>
              <w:t>医疗救护与善后处理队</w:t>
            </w:r>
          </w:p>
        </w:tc>
        <w:tc>
          <w:tcPr>
            <w:tcW w:w="1960" w:type="dxa"/>
            <w:vAlign w:val="center"/>
          </w:tcPr>
          <w:p>
            <w:pPr>
              <w:jc w:val="center"/>
              <w:rPr>
                <w:rFonts w:ascii="Times New Roman" w:hAnsi="Times New Roman" w:cs="Times New Roman"/>
                <w:sz w:val="24"/>
                <w:szCs w:val="24"/>
              </w:rPr>
            </w:pPr>
            <w:r>
              <w:rPr>
                <w:rStyle w:val="41"/>
                <w:rFonts w:ascii="Times New Roman" w:hAnsi="Times New Roman" w:cs="Times New Roman"/>
                <w:spacing w:val="4"/>
                <w:szCs w:val="21"/>
              </w:rPr>
              <w:t>肖子奕，金凯锋</w:t>
            </w:r>
          </w:p>
        </w:tc>
        <w:tc>
          <w:tcPr>
            <w:tcW w:w="2036" w:type="dxa"/>
            <w:vAlign w:val="center"/>
          </w:tcPr>
          <w:p>
            <w:pPr>
              <w:ind w:firstLine="496"/>
              <w:rPr>
                <w:rFonts w:ascii="Times New Roman" w:hAnsi="Times New Roman" w:cs="Times New Roman"/>
                <w:sz w:val="24"/>
                <w:szCs w:val="24"/>
              </w:rPr>
            </w:pPr>
            <w:r>
              <w:rPr>
                <w:rStyle w:val="41"/>
                <w:rFonts w:ascii="Times New Roman" w:hAnsi="Times New Roman" w:cs="Times New Roman"/>
                <w:spacing w:val="4"/>
                <w:szCs w:val="21"/>
              </w:rPr>
              <w:t>收银员</w:t>
            </w:r>
          </w:p>
        </w:tc>
        <w:tc>
          <w:tcPr>
            <w:tcW w:w="1777" w:type="dxa"/>
            <w:vAlign w:val="center"/>
          </w:tcPr>
          <w:p>
            <w:pPr>
              <w:rPr>
                <w:rFonts w:ascii="Times New Roman" w:hAnsi="Times New Roman" w:cs="Times New Roman"/>
                <w:sz w:val="24"/>
                <w:szCs w:val="24"/>
              </w:rPr>
            </w:pPr>
            <w:r>
              <w:rPr>
                <w:rStyle w:val="41"/>
                <w:rFonts w:ascii="Times New Roman" w:hAnsi="Times New Roman" w:cs="Times New Roman"/>
                <w:spacing w:val="4"/>
                <w:szCs w:val="21"/>
              </w:rPr>
              <w:t>15979117304</w:t>
            </w:r>
          </w:p>
        </w:tc>
      </w:tr>
    </w:tbl>
    <w:p>
      <w:pPr>
        <w:ind w:firstLine="562"/>
        <w:jc w:val="left"/>
        <w:rPr>
          <w:rFonts w:ascii="Times New Roman" w:hAnsi="Times New Roman" w:cs="Times New Roman"/>
          <w:b/>
          <w:color w:val="000000" w:themeColor="text1"/>
          <w:sz w:val="28"/>
          <w:szCs w:val="20"/>
        </w:rPr>
      </w:pPr>
      <w:bookmarkStart w:id="1314" w:name="_Toc18397_WPSOffice_Level1"/>
      <w:bookmarkStart w:id="1315" w:name="_Toc23615_WPSOffice_Level1"/>
      <w:bookmarkStart w:id="1316" w:name="_Toc31825_WPSOffice_Level1"/>
      <w:bookmarkStart w:id="1317" w:name="_Toc21412_WPSOffice_Level1"/>
      <w:bookmarkStart w:id="1318" w:name="_Toc27516_WPSOffice_Level1"/>
      <w:bookmarkStart w:id="1319" w:name="_Toc11135_WPSOffice_Level1"/>
    </w:p>
    <w:p>
      <w:pPr>
        <w:ind w:firstLine="562"/>
        <w:jc w:val="left"/>
        <w:rPr>
          <w:rFonts w:ascii="Times New Roman" w:hAnsi="Times New Roman" w:cs="Times New Roman"/>
          <w:b/>
          <w:color w:val="000000" w:themeColor="text1"/>
          <w:sz w:val="28"/>
          <w:szCs w:val="20"/>
        </w:rPr>
      </w:pPr>
      <w:r>
        <w:rPr>
          <w:rFonts w:ascii="Times New Roman" w:hAnsi="Times New Roman" w:cs="Times New Roman"/>
          <w:b/>
          <w:color w:val="000000" w:themeColor="text1"/>
          <w:sz w:val="28"/>
          <w:szCs w:val="20"/>
        </w:rPr>
        <w:t>外部救援通讯方式</w:t>
      </w:r>
      <w:bookmarkEnd w:id="1314"/>
      <w:bookmarkEnd w:id="1315"/>
      <w:bookmarkEnd w:id="1316"/>
      <w:bookmarkEnd w:id="1317"/>
      <w:bookmarkEnd w:id="1318"/>
      <w:bookmarkEnd w:id="1319"/>
    </w:p>
    <w:tbl>
      <w:tblPr>
        <w:tblStyle w:val="16"/>
        <w:tblW w:w="813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703"/>
        <w:gridCol w:w="4190"/>
        <w:gridCol w:w="1057"/>
        <w:gridCol w:w="218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703" w:type="dxa"/>
            <w:vAlign w:val="center"/>
          </w:tcPr>
          <w:p>
            <w:pPr>
              <w:widowControl/>
              <w:spacing w:line="360" w:lineRule="auto"/>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序号</w:t>
            </w:r>
          </w:p>
        </w:tc>
        <w:tc>
          <w:tcPr>
            <w:tcW w:w="4190" w:type="dxa"/>
            <w:vAlign w:val="center"/>
          </w:tcPr>
          <w:p>
            <w:pPr>
              <w:widowControl/>
              <w:spacing w:line="360" w:lineRule="auto"/>
              <w:ind w:firstLine="442"/>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部门/职务</w:t>
            </w:r>
          </w:p>
        </w:tc>
        <w:tc>
          <w:tcPr>
            <w:tcW w:w="1057" w:type="dxa"/>
            <w:vAlign w:val="center"/>
          </w:tcPr>
          <w:p>
            <w:pPr>
              <w:widowControl/>
              <w:spacing w:line="360" w:lineRule="auto"/>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联系人</w:t>
            </w:r>
          </w:p>
        </w:tc>
        <w:tc>
          <w:tcPr>
            <w:tcW w:w="2186" w:type="dxa"/>
            <w:vAlign w:val="center"/>
          </w:tcPr>
          <w:p>
            <w:pPr>
              <w:widowControl/>
              <w:spacing w:line="360" w:lineRule="auto"/>
              <w:ind w:firstLine="442"/>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92"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1</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南昌市安全生产应急指挥中心</w:t>
            </w:r>
          </w:p>
        </w:tc>
        <w:tc>
          <w:tcPr>
            <w:tcW w:w="1057" w:type="dxa"/>
            <w:vAlign w:val="center"/>
          </w:tcPr>
          <w:p>
            <w:pPr>
              <w:widowControl/>
              <w:spacing w:before="100" w:beforeAutospacing="1" w:after="100" w:afterAutospacing="1"/>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0791-8396140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南昌市应急救援中心</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戴晓望</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0791-83986153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3</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南昌市安监局副局长</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万平</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13507093311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4</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南昌市职业健康副局长</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卢瑾萍</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18079133835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5</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南昌安监局办公室</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0791-88161635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6</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南昌市安监局执法大队长</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0791-83839641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7</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南昌市消防大队大队长</w:t>
            </w:r>
          </w:p>
        </w:tc>
        <w:tc>
          <w:tcPr>
            <w:tcW w:w="1057" w:type="dxa"/>
            <w:vAlign w:val="center"/>
          </w:tcPr>
          <w:p>
            <w:pPr>
              <w:widowControl/>
              <w:spacing w:line="360" w:lineRule="auto"/>
              <w:jc w:val="center"/>
              <w:rPr>
                <w:rFonts w:ascii="Times New Roman" w:hAnsi="Times New Roman" w:eastAsia="宋体" w:cs="Times New Roman"/>
                <w:szCs w:val="21"/>
              </w:rPr>
            </w:pPr>
            <w:r>
              <w:rPr>
                <w:rFonts w:ascii="Times New Roman" w:hAnsi="Times New Roman" w:eastAsia="宋体" w:cs="Times New Roman"/>
                <w:szCs w:val="21"/>
              </w:rPr>
              <w:t>陈峰</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18970016631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8</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消防火灾报警电话</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119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9</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医疗急救电话</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75" w:hRule="atLeast"/>
          <w:jc w:val="center"/>
        </w:trPr>
        <w:tc>
          <w:tcPr>
            <w:tcW w:w="703" w:type="dxa"/>
            <w:vAlign w:val="center"/>
          </w:tcPr>
          <w:p>
            <w:pPr>
              <w:widowControl/>
              <w:spacing w:line="360" w:lineRule="auto"/>
              <w:ind w:firstLine="440"/>
              <w:jc w:val="center"/>
              <w:rPr>
                <w:rFonts w:ascii="Times New Roman" w:hAnsi="Times New Roman" w:eastAsia="宋体" w:cs="Times New Roman"/>
                <w:kern w:val="0"/>
                <w:szCs w:val="21"/>
              </w:rPr>
            </w:pPr>
            <w:r>
              <w:rPr>
                <w:rFonts w:ascii="Times New Roman" w:hAnsi="Times New Roman" w:eastAsia="宋体" w:cs="Times New Roman"/>
                <w:kern w:val="0"/>
                <w:szCs w:val="21"/>
              </w:rPr>
              <w:t>10</w:t>
            </w:r>
          </w:p>
        </w:tc>
        <w:tc>
          <w:tcPr>
            <w:tcW w:w="4190"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公安报警电话</w:t>
            </w:r>
          </w:p>
        </w:tc>
        <w:tc>
          <w:tcPr>
            <w:tcW w:w="1057"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w:t>
            </w:r>
          </w:p>
        </w:tc>
        <w:tc>
          <w:tcPr>
            <w:tcW w:w="2186" w:type="dxa"/>
            <w:vAlign w:val="center"/>
          </w:tcPr>
          <w:p>
            <w:pPr>
              <w:widowControl/>
              <w:spacing w:line="360" w:lineRule="auto"/>
              <w:ind w:firstLine="440"/>
              <w:jc w:val="center"/>
              <w:rPr>
                <w:rFonts w:ascii="Times New Roman" w:hAnsi="Times New Roman" w:eastAsia="宋体" w:cs="Times New Roman"/>
                <w:szCs w:val="21"/>
              </w:rPr>
            </w:pPr>
            <w:r>
              <w:rPr>
                <w:rFonts w:ascii="Times New Roman" w:hAnsi="Times New Roman" w:eastAsia="宋体" w:cs="Times New Roman"/>
                <w:szCs w:val="21"/>
              </w:rPr>
              <w:t>110</w:t>
            </w:r>
          </w:p>
        </w:tc>
      </w:tr>
    </w:tbl>
    <w:p>
      <w:pPr>
        <w:pStyle w:val="2"/>
        <w:ind w:firstLine="496"/>
        <w:rPr>
          <w:rFonts w:ascii="Times New Roman" w:hAnsi="Times New Roman"/>
        </w:rPr>
      </w:pPr>
    </w:p>
    <w:p>
      <w:pPr>
        <w:ind w:firstLine="482"/>
        <w:jc w:val="left"/>
        <w:rPr>
          <w:rFonts w:ascii="Times New Roman" w:hAnsi="Times New Roman" w:eastAsia="宋体" w:cs="Times New Roman"/>
          <w:b/>
          <w:sz w:val="24"/>
          <w:szCs w:val="24"/>
        </w:rPr>
      </w:pPr>
      <w:r>
        <w:rPr>
          <w:rFonts w:ascii="Times New Roman" w:hAnsi="Times New Roman" w:eastAsia="宋体" w:cs="Times New Roman"/>
          <w:b/>
          <w:sz w:val="24"/>
          <w:szCs w:val="24"/>
        </w:rPr>
        <w:t>周边通讯方式</w:t>
      </w:r>
    </w:p>
    <w:p>
      <w:pPr>
        <w:pStyle w:val="2"/>
        <w:ind w:firstLine="480"/>
        <w:rPr>
          <w:rFonts w:ascii="Times New Roman" w:hAnsi="Times New Roman" w:eastAsiaTheme="minorEastAsia"/>
          <w:spacing w:val="0"/>
          <w:szCs w:val="24"/>
        </w:rPr>
      </w:pPr>
      <w:r>
        <w:rPr>
          <w:rFonts w:ascii="Times New Roman" w:hAnsi="Times New Roman" w:eastAsiaTheme="minorEastAsia"/>
          <w:spacing w:val="0"/>
          <w:szCs w:val="24"/>
        </w:rPr>
        <w:t>修车场范润华    17770028506</w:t>
      </w:r>
    </w:p>
    <w:p>
      <w:pPr>
        <w:pStyle w:val="2"/>
        <w:ind w:firstLine="480"/>
        <w:rPr>
          <w:rFonts w:ascii="Times New Roman" w:hAnsi="Times New Roman" w:eastAsiaTheme="minorEastAsia"/>
          <w:spacing w:val="0"/>
          <w:szCs w:val="24"/>
        </w:rPr>
      </w:pPr>
      <w:r>
        <w:rPr>
          <w:rFonts w:ascii="Times New Roman" w:hAnsi="Times New Roman" w:eastAsiaTheme="minorEastAsia"/>
          <w:spacing w:val="0"/>
          <w:szCs w:val="24"/>
        </w:rPr>
        <w:t>瑶湖派出所      0791-88357711</w:t>
      </w:r>
    </w:p>
    <w:p>
      <w:pPr>
        <w:widowControl/>
        <w:ind w:firstLine="480"/>
        <w:jc w:val="left"/>
        <w:rPr>
          <w:rFonts w:ascii="Times New Roman" w:hAnsi="Times New Roman" w:eastAsia="宋体" w:cs="Times New Roman"/>
          <w:szCs w:val="24"/>
        </w:rPr>
      </w:pPr>
      <w:r>
        <w:rPr>
          <w:rFonts w:ascii="Times New Roman" w:hAnsi="Times New Roman" w:eastAsia="宋体" w:cs="Times New Roman"/>
          <w:szCs w:val="24"/>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kern w:val="0"/>
          <w:sz w:val="24"/>
          <w:szCs w:val="24"/>
        </w:rPr>
      </w:pPr>
      <w:bookmarkStart w:id="1320" w:name="_Toc20416"/>
      <w:bookmarkStart w:id="1321" w:name="_Toc12598"/>
      <w:bookmarkStart w:id="1322" w:name="_Toc12249"/>
      <w:r>
        <w:rPr>
          <w:rFonts w:ascii="Times New Roman" w:hAnsi="Times New Roman" w:cs="Times New Roman"/>
          <w:b/>
          <w:bCs/>
          <w:color w:val="000000" w:themeColor="text1"/>
          <w:sz w:val="24"/>
          <w:szCs w:val="24"/>
        </w:rPr>
        <w:t>附件六: 加油站配备消防器材及应急装备物资</w:t>
      </w:r>
      <w:bookmarkEnd w:id="1320"/>
      <w:bookmarkEnd w:id="1321"/>
      <w:bookmarkEnd w:id="1322"/>
    </w:p>
    <w:p>
      <w:pPr>
        <w:spacing w:beforeAutospacing="1" w:afterAutospacing="1" w:line="360" w:lineRule="auto"/>
        <w:jc w:val="left"/>
        <w:rPr>
          <w:rFonts w:ascii="Times New Roman" w:hAnsi="Times New Roman" w:cs="Times New Roman"/>
          <w:b/>
          <w:color w:val="000000" w:themeColor="text1"/>
          <w:kern w:val="0"/>
          <w:sz w:val="24"/>
          <w:szCs w:val="24"/>
        </w:rPr>
      </w:pPr>
      <w:bookmarkStart w:id="1323" w:name="_Toc14455_WPSOffice_Level1"/>
      <w:bookmarkStart w:id="1324" w:name="_Toc17580_WPSOffice_Level1"/>
      <w:bookmarkStart w:id="1325" w:name="_Toc32160_WPSOffice_Level1"/>
      <w:bookmarkStart w:id="1326" w:name="_Toc5742_WPSOffice_Level1"/>
      <w:bookmarkStart w:id="1327" w:name="_Toc2157_WPSOffice_Level1"/>
      <w:bookmarkStart w:id="1328" w:name="_Toc17534_WPSOffice_Level1"/>
      <w:r>
        <w:rPr>
          <w:rFonts w:ascii="Times New Roman" w:hAnsi="Times New Roman" w:cs="Times New Roman"/>
          <w:b/>
          <w:color w:val="000000" w:themeColor="text1"/>
          <w:kern w:val="0"/>
          <w:sz w:val="24"/>
          <w:szCs w:val="24"/>
        </w:rPr>
        <w:t>一、配置的主要消防器材</w:t>
      </w:r>
      <w:bookmarkEnd w:id="1323"/>
      <w:bookmarkEnd w:id="1324"/>
      <w:bookmarkEnd w:id="1325"/>
      <w:bookmarkEnd w:id="1326"/>
      <w:bookmarkEnd w:id="1327"/>
      <w:bookmarkEnd w:id="1328"/>
    </w:p>
    <w:tbl>
      <w:tblPr>
        <w:tblStyle w:val="16"/>
        <w:tblW w:w="8946"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761"/>
        <w:gridCol w:w="1561"/>
        <w:gridCol w:w="3668"/>
        <w:gridCol w:w="811"/>
        <w:gridCol w:w="749"/>
        <w:gridCol w:w="139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61"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序号</w:t>
            </w:r>
          </w:p>
        </w:tc>
        <w:tc>
          <w:tcPr>
            <w:tcW w:w="156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名称</w:t>
            </w:r>
          </w:p>
        </w:tc>
        <w:tc>
          <w:tcPr>
            <w:tcW w:w="3668"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规格</w:t>
            </w:r>
          </w:p>
        </w:tc>
        <w:tc>
          <w:tcPr>
            <w:tcW w:w="811"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单位</w:t>
            </w:r>
          </w:p>
        </w:tc>
        <w:tc>
          <w:tcPr>
            <w:tcW w:w="749"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数量</w:t>
            </w:r>
          </w:p>
        </w:tc>
        <w:tc>
          <w:tcPr>
            <w:tcW w:w="1396"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是否有效</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8" w:hRule="atLeast"/>
          <w:jc w:val="center"/>
        </w:trPr>
        <w:tc>
          <w:tcPr>
            <w:tcW w:w="761"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1</w:t>
            </w:r>
          </w:p>
        </w:tc>
        <w:tc>
          <w:tcPr>
            <w:tcW w:w="1561" w:type="dxa"/>
            <w:vAlign w:val="center"/>
          </w:tcPr>
          <w:p>
            <w:pPr>
              <w:rPr>
                <w:rStyle w:val="41"/>
                <w:rFonts w:ascii="Times New Roman" w:hAnsi="Times New Roman" w:cs="Times New Roman"/>
                <w:spacing w:val="4"/>
                <w:szCs w:val="21"/>
              </w:rPr>
            </w:pPr>
            <w:r>
              <w:rPr>
                <w:rStyle w:val="41"/>
                <w:rFonts w:ascii="Times New Roman" w:hAnsi="Times New Roman" w:cs="Times New Roman"/>
                <w:spacing w:val="4"/>
                <w:szCs w:val="21"/>
              </w:rPr>
              <w:t>手提式灭火器</w:t>
            </w:r>
          </w:p>
        </w:tc>
        <w:tc>
          <w:tcPr>
            <w:tcW w:w="3668" w:type="dxa"/>
            <w:vAlign w:val="center"/>
          </w:tcPr>
          <w:p>
            <w:pPr>
              <w:rPr>
                <w:rStyle w:val="41"/>
                <w:rFonts w:ascii="Times New Roman" w:hAnsi="Times New Roman" w:cs="Times New Roman"/>
                <w:spacing w:val="4"/>
                <w:szCs w:val="21"/>
              </w:rPr>
            </w:pPr>
            <w:r>
              <w:rPr>
                <w:rStyle w:val="41"/>
                <w:rFonts w:ascii="Times New Roman" w:hAnsi="Times New Roman" w:cs="Times New Roman"/>
                <w:spacing w:val="4"/>
                <w:szCs w:val="21"/>
              </w:rPr>
              <w:t>MJPZ6、MFTABC/50、MF/ABC4</w:t>
            </w:r>
          </w:p>
        </w:tc>
        <w:tc>
          <w:tcPr>
            <w:tcW w:w="81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具</w:t>
            </w:r>
          </w:p>
        </w:tc>
        <w:tc>
          <w:tcPr>
            <w:tcW w:w="749"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17</w:t>
            </w:r>
          </w:p>
        </w:tc>
        <w:tc>
          <w:tcPr>
            <w:tcW w:w="1396"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有效</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4" w:hRule="atLeast"/>
          <w:jc w:val="center"/>
        </w:trPr>
        <w:tc>
          <w:tcPr>
            <w:tcW w:w="761"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56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消防沙</w:t>
            </w:r>
          </w:p>
        </w:tc>
        <w:tc>
          <w:tcPr>
            <w:tcW w:w="3668"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2.5m³</w:t>
            </w:r>
          </w:p>
        </w:tc>
        <w:tc>
          <w:tcPr>
            <w:tcW w:w="81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w:t>
            </w:r>
          </w:p>
        </w:tc>
        <w:tc>
          <w:tcPr>
            <w:tcW w:w="749"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w:t>
            </w:r>
          </w:p>
        </w:tc>
        <w:tc>
          <w:tcPr>
            <w:tcW w:w="1396"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有效</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4" w:hRule="atLeast"/>
          <w:jc w:val="center"/>
        </w:trPr>
        <w:tc>
          <w:tcPr>
            <w:tcW w:w="761"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3</w:t>
            </w:r>
          </w:p>
        </w:tc>
        <w:tc>
          <w:tcPr>
            <w:tcW w:w="156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灭火毯</w:t>
            </w:r>
          </w:p>
        </w:tc>
        <w:tc>
          <w:tcPr>
            <w:tcW w:w="3668"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w:t>
            </w:r>
          </w:p>
        </w:tc>
        <w:tc>
          <w:tcPr>
            <w:tcW w:w="81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块</w:t>
            </w:r>
          </w:p>
        </w:tc>
        <w:tc>
          <w:tcPr>
            <w:tcW w:w="749"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5</w:t>
            </w:r>
          </w:p>
        </w:tc>
        <w:tc>
          <w:tcPr>
            <w:tcW w:w="1396"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有效</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24" w:hRule="atLeast"/>
          <w:jc w:val="center"/>
        </w:trPr>
        <w:tc>
          <w:tcPr>
            <w:tcW w:w="761"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4</w:t>
            </w:r>
          </w:p>
        </w:tc>
        <w:tc>
          <w:tcPr>
            <w:tcW w:w="156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消防锹</w:t>
            </w:r>
          </w:p>
        </w:tc>
        <w:tc>
          <w:tcPr>
            <w:tcW w:w="3668"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w:t>
            </w:r>
          </w:p>
        </w:tc>
        <w:tc>
          <w:tcPr>
            <w:tcW w:w="811" w:type="dxa"/>
            <w:vAlign w:val="center"/>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把</w:t>
            </w:r>
          </w:p>
        </w:tc>
        <w:tc>
          <w:tcPr>
            <w:tcW w:w="749"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396" w:type="dxa"/>
            <w:vAlign w:val="center"/>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有效</w:t>
            </w:r>
          </w:p>
        </w:tc>
      </w:tr>
    </w:tbl>
    <w:p>
      <w:pPr>
        <w:spacing w:beforeAutospacing="1" w:afterAutospacing="1" w:line="360" w:lineRule="auto"/>
        <w:jc w:val="left"/>
        <w:rPr>
          <w:rFonts w:ascii="Times New Roman" w:hAnsi="Times New Roman" w:cs="Times New Roman"/>
          <w:b/>
          <w:color w:val="000000" w:themeColor="text1"/>
          <w:kern w:val="0"/>
          <w:sz w:val="24"/>
          <w:szCs w:val="24"/>
        </w:rPr>
      </w:pPr>
      <w:bookmarkStart w:id="1329" w:name="_Toc23861_WPSOffice_Level1"/>
      <w:bookmarkStart w:id="1330" w:name="_Toc17283_WPSOffice_Level1"/>
      <w:bookmarkStart w:id="1331" w:name="_Toc10140_WPSOffice_Level1"/>
      <w:bookmarkStart w:id="1332" w:name="_Toc15856_WPSOffice_Level1"/>
      <w:bookmarkStart w:id="1333" w:name="_Toc19919_WPSOffice_Level1"/>
      <w:bookmarkStart w:id="1334" w:name="_Toc23303_WPSOffice_Level1"/>
      <w:r>
        <w:rPr>
          <w:rFonts w:ascii="Times New Roman" w:hAnsi="Times New Roman" w:cs="Times New Roman"/>
          <w:b/>
          <w:color w:val="000000" w:themeColor="text1"/>
          <w:kern w:val="0"/>
          <w:sz w:val="24"/>
          <w:szCs w:val="24"/>
        </w:rPr>
        <w:t>二、应急物资装备</w:t>
      </w:r>
      <w:bookmarkEnd w:id="1329"/>
      <w:bookmarkEnd w:id="1330"/>
      <w:bookmarkEnd w:id="1331"/>
      <w:bookmarkEnd w:id="1332"/>
      <w:bookmarkEnd w:id="1333"/>
      <w:bookmarkEnd w:id="1334"/>
    </w:p>
    <w:tbl>
      <w:tblPr>
        <w:tblStyle w:val="16"/>
        <w:tblpPr w:leftFromText="180" w:rightFromText="180" w:vertAnchor="text" w:tblpXSpec="center" w:tblpY="238"/>
        <w:tblOverlap w:val="never"/>
        <w:tblW w:w="8785"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694"/>
        <w:gridCol w:w="2593"/>
        <w:gridCol w:w="1529"/>
        <w:gridCol w:w="709"/>
        <w:gridCol w:w="1275"/>
        <w:gridCol w:w="1985"/>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22" w:hRule="atLeast"/>
        </w:trPr>
        <w:tc>
          <w:tcPr>
            <w:tcW w:w="694"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序号</w:t>
            </w:r>
          </w:p>
        </w:tc>
        <w:tc>
          <w:tcPr>
            <w:tcW w:w="2593"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装备名称</w:t>
            </w:r>
          </w:p>
        </w:tc>
        <w:tc>
          <w:tcPr>
            <w:tcW w:w="1529"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技术要求或功能要求</w:t>
            </w:r>
          </w:p>
        </w:tc>
        <w:tc>
          <w:tcPr>
            <w:tcW w:w="709"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数量</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存放位置</w:t>
            </w:r>
          </w:p>
        </w:tc>
        <w:tc>
          <w:tcPr>
            <w:tcW w:w="198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管理人及联系电话</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70" w:hRule="atLeast"/>
        </w:trPr>
        <w:tc>
          <w:tcPr>
            <w:tcW w:w="694"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1</w:t>
            </w:r>
          </w:p>
        </w:tc>
        <w:tc>
          <w:tcPr>
            <w:tcW w:w="2593"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消防服</w:t>
            </w:r>
          </w:p>
        </w:tc>
        <w:tc>
          <w:tcPr>
            <w:tcW w:w="1529"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消防灭火，耐火</w:t>
            </w:r>
          </w:p>
        </w:tc>
        <w:tc>
          <w:tcPr>
            <w:tcW w:w="709"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微型消防站</w:t>
            </w:r>
          </w:p>
        </w:tc>
        <w:tc>
          <w:tcPr>
            <w:tcW w:w="1985"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76" w:hRule="atLeast"/>
        </w:trPr>
        <w:tc>
          <w:tcPr>
            <w:tcW w:w="694"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2593"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消防靴</w:t>
            </w:r>
          </w:p>
        </w:tc>
        <w:tc>
          <w:tcPr>
            <w:tcW w:w="1529"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消防灭火，耐火</w:t>
            </w:r>
          </w:p>
        </w:tc>
        <w:tc>
          <w:tcPr>
            <w:tcW w:w="709"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微型消防站</w:t>
            </w:r>
          </w:p>
        </w:tc>
        <w:tc>
          <w:tcPr>
            <w:tcW w:w="1985"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24" w:hRule="atLeast"/>
        </w:trPr>
        <w:tc>
          <w:tcPr>
            <w:tcW w:w="694"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3</w:t>
            </w:r>
          </w:p>
        </w:tc>
        <w:tc>
          <w:tcPr>
            <w:tcW w:w="2593"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消防手套</w:t>
            </w:r>
          </w:p>
        </w:tc>
        <w:tc>
          <w:tcPr>
            <w:tcW w:w="1529"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消防灭火，耐火</w:t>
            </w:r>
          </w:p>
        </w:tc>
        <w:tc>
          <w:tcPr>
            <w:tcW w:w="709"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微型消防站</w:t>
            </w:r>
          </w:p>
        </w:tc>
        <w:tc>
          <w:tcPr>
            <w:tcW w:w="1985"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37" w:hRule="atLeast"/>
        </w:trPr>
        <w:tc>
          <w:tcPr>
            <w:tcW w:w="694"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4</w:t>
            </w:r>
          </w:p>
        </w:tc>
        <w:tc>
          <w:tcPr>
            <w:tcW w:w="2593"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安全带</w:t>
            </w:r>
          </w:p>
        </w:tc>
        <w:tc>
          <w:tcPr>
            <w:tcW w:w="1529"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高空作业防护保护</w:t>
            </w:r>
          </w:p>
        </w:tc>
        <w:tc>
          <w:tcPr>
            <w:tcW w:w="709"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微型消防站</w:t>
            </w:r>
          </w:p>
        </w:tc>
        <w:tc>
          <w:tcPr>
            <w:tcW w:w="1985"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50" w:hRule="atLeast"/>
        </w:trPr>
        <w:tc>
          <w:tcPr>
            <w:tcW w:w="694"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5</w:t>
            </w:r>
          </w:p>
        </w:tc>
        <w:tc>
          <w:tcPr>
            <w:tcW w:w="2593"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安全帽</w:t>
            </w:r>
          </w:p>
        </w:tc>
        <w:tc>
          <w:tcPr>
            <w:tcW w:w="1529"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头部防砸防撞</w:t>
            </w:r>
          </w:p>
        </w:tc>
        <w:tc>
          <w:tcPr>
            <w:tcW w:w="709"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微型消防站</w:t>
            </w:r>
          </w:p>
        </w:tc>
        <w:tc>
          <w:tcPr>
            <w:tcW w:w="1985"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21" w:hRule="atLeast"/>
        </w:trPr>
        <w:tc>
          <w:tcPr>
            <w:tcW w:w="694"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6</w:t>
            </w:r>
          </w:p>
        </w:tc>
        <w:tc>
          <w:tcPr>
            <w:tcW w:w="2593"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消防沙</w:t>
            </w:r>
          </w:p>
        </w:tc>
        <w:tc>
          <w:tcPr>
            <w:tcW w:w="1529" w:type="dxa"/>
          </w:tcPr>
          <w:p>
            <w:pPr>
              <w:ind w:firstLine="496"/>
              <w:jc w:val="center"/>
              <w:rPr>
                <w:rStyle w:val="41"/>
                <w:rFonts w:ascii="Times New Roman" w:hAnsi="Times New Roman" w:cs="Times New Roman"/>
                <w:spacing w:val="4"/>
                <w:szCs w:val="21"/>
              </w:rPr>
            </w:pPr>
          </w:p>
        </w:tc>
        <w:tc>
          <w:tcPr>
            <w:tcW w:w="709" w:type="dxa"/>
          </w:tcPr>
          <w:p>
            <w:pPr>
              <w:jc w:val="center"/>
              <w:rPr>
                <w:rStyle w:val="41"/>
                <w:rFonts w:ascii="Times New Roman" w:hAnsi="Times New Roman" w:cs="Times New Roman"/>
                <w:spacing w:val="4"/>
                <w:szCs w:val="21"/>
              </w:rPr>
            </w:pPr>
            <w:r>
              <w:rPr>
                <w:rStyle w:val="41"/>
                <w:rFonts w:ascii="Times New Roman" w:hAnsi="Times New Roman" w:cs="Times New Roman"/>
                <w:spacing w:val="4"/>
                <w:szCs w:val="21"/>
              </w:rPr>
              <w:t>2.5</w:t>
            </w:r>
          </w:p>
        </w:tc>
        <w:tc>
          <w:tcPr>
            <w:tcW w:w="1275" w:type="dxa"/>
          </w:tcPr>
          <w:p>
            <w:pPr>
              <w:rPr>
                <w:rStyle w:val="41"/>
                <w:rFonts w:ascii="Times New Roman" w:hAnsi="Times New Roman" w:cs="Times New Roman"/>
                <w:spacing w:val="4"/>
                <w:szCs w:val="21"/>
              </w:rPr>
            </w:pPr>
            <w:r>
              <w:rPr>
                <w:rStyle w:val="41"/>
                <w:rFonts w:ascii="Times New Roman" w:hAnsi="Times New Roman" w:cs="Times New Roman"/>
                <w:spacing w:val="4"/>
                <w:szCs w:val="21"/>
              </w:rPr>
              <w:t>卸油口旁</w:t>
            </w:r>
          </w:p>
        </w:tc>
        <w:tc>
          <w:tcPr>
            <w:tcW w:w="1985" w:type="dxa"/>
          </w:tcPr>
          <w:p>
            <w:pPr>
              <w:ind w:firstLine="496"/>
              <w:jc w:val="center"/>
              <w:rPr>
                <w:rStyle w:val="41"/>
                <w:rFonts w:ascii="Times New Roman" w:hAnsi="Times New Roman" w:cs="Times New Roman"/>
                <w:spacing w:val="4"/>
                <w:szCs w:val="21"/>
              </w:rPr>
            </w:pPr>
            <w:r>
              <w:rPr>
                <w:rStyle w:val="41"/>
                <w:rFonts w:ascii="Times New Roman" w:hAnsi="Times New Roman" w:cs="Times New Roman"/>
                <w:spacing w:val="4"/>
                <w:szCs w:val="21"/>
              </w:rPr>
              <w:t>裘韦13807066080</w:t>
            </w:r>
          </w:p>
        </w:tc>
      </w:tr>
    </w:tbl>
    <w:p>
      <w:pPr>
        <w:pStyle w:val="2"/>
        <w:ind w:firstLine="496"/>
        <w:rPr>
          <w:rFonts w:ascii="Times New Roman" w:hAnsi="Times New Roman" w:eastAsiaTheme="minorEastAsia"/>
          <w:color w:val="000000" w:themeColor="text1"/>
          <w:szCs w:val="24"/>
        </w:rPr>
      </w:pPr>
      <w:r>
        <w:rPr>
          <w:rFonts w:ascii="Times New Roman" w:hAnsi="Times New Roman" w:eastAsiaTheme="minorEastAsia"/>
          <w:color w:val="000000" w:themeColor="text1"/>
          <w:szCs w:val="24"/>
        </w:rPr>
        <w:t>根据加油站现有应急物质情况：应适当增加补充防毒面具、安全防护眼镜、覆盖泡沫、担架、移动式潜污泵及塑料软水管、应急药箱、事故应急池等。</w:t>
      </w:r>
    </w:p>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35" w:name="_Toc30659"/>
      <w:bookmarkStart w:id="1336" w:name="_Toc8247"/>
      <w:bookmarkStart w:id="1337" w:name="_Toc23617"/>
      <w:bookmarkStart w:id="1338" w:name="_Toc12015"/>
      <w:r>
        <w:rPr>
          <w:rFonts w:ascii="Times New Roman" w:hAnsi="Times New Roman" w:cs="Times New Roman"/>
          <w:b/>
          <w:bCs/>
          <w:color w:val="000000" w:themeColor="text1"/>
          <w:sz w:val="24"/>
          <w:szCs w:val="24"/>
        </w:rPr>
        <w:t>附件七：</w:t>
      </w:r>
      <w:bookmarkEnd w:id="1335"/>
      <w:bookmarkEnd w:id="1336"/>
      <w:bookmarkEnd w:id="1337"/>
      <w:r>
        <w:rPr>
          <w:rFonts w:ascii="Times New Roman" w:hAnsi="Times New Roman" w:cs="Times New Roman"/>
          <w:b/>
          <w:bCs/>
          <w:color w:val="000000" w:themeColor="text1"/>
          <w:sz w:val="24"/>
          <w:szCs w:val="24"/>
        </w:rPr>
        <w:t>固体废物处置合同</w:t>
      </w:r>
      <w:bookmarkEnd w:id="1338"/>
    </w:p>
    <w:p>
      <w:pPr>
        <w:pStyle w:val="2"/>
        <w:ind w:firstLine="480"/>
        <w:rPr>
          <w:rFonts w:ascii="Times New Roman" w:hAnsi="Times New Roman"/>
        </w:rPr>
      </w:pPr>
      <w:r>
        <w:rPr>
          <w:rFonts w:hint="eastAsia" w:ascii="Times New Roman" w:hAnsi="Times New Roman"/>
        </w:rPr>
        <w:drawing>
          <wp:inline distT="0" distB="0" distL="114300" distR="114300">
            <wp:extent cx="5801360" cy="8313420"/>
            <wp:effectExtent l="0" t="0" r="5080" b="7620"/>
            <wp:docPr id="30" name="图片 30" descr="HSE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HSE合同1"/>
                    <pic:cNvPicPr>
                      <a:picLocks noChangeAspect="1"/>
                    </pic:cNvPicPr>
                  </pic:nvPicPr>
                  <pic:blipFill>
                    <a:blip r:embed="rId29"/>
                    <a:stretch>
                      <a:fillRect/>
                    </a:stretch>
                  </pic:blipFill>
                  <pic:spPr>
                    <a:xfrm>
                      <a:off x="0" y="0"/>
                      <a:ext cx="5801360" cy="8313420"/>
                    </a:xfrm>
                    <a:prstGeom prst="rect">
                      <a:avLst/>
                    </a:prstGeom>
                  </pic:spPr>
                </pic:pic>
              </a:graphicData>
            </a:graphic>
          </wp:inline>
        </w:drawing>
      </w:r>
      <w:r>
        <w:rPr>
          <w:rFonts w:hint="eastAsia" w:ascii="Times New Roman" w:hAnsi="Times New Roman"/>
        </w:rPr>
        <w:drawing>
          <wp:inline distT="0" distB="0" distL="114300" distR="114300">
            <wp:extent cx="5794375" cy="8632190"/>
            <wp:effectExtent l="0" t="0" r="12065" b="8890"/>
            <wp:docPr id="29" name="图片 29" descr="HSE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HSE合同2"/>
                    <pic:cNvPicPr>
                      <a:picLocks noChangeAspect="1"/>
                    </pic:cNvPicPr>
                  </pic:nvPicPr>
                  <pic:blipFill>
                    <a:blip r:embed="rId30"/>
                    <a:stretch>
                      <a:fillRect/>
                    </a:stretch>
                  </pic:blipFill>
                  <pic:spPr>
                    <a:xfrm>
                      <a:off x="0" y="0"/>
                      <a:ext cx="5794375" cy="8632190"/>
                    </a:xfrm>
                    <a:prstGeom prst="rect">
                      <a:avLst/>
                    </a:prstGeom>
                  </pic:spPr>
                </pic:pic>
              </a:graphicData>
            </a:graphic>
          </wp:inline>
        </w:drawing>
      </w:r>
      <w:r>
        <w:rPr>
          <w:rFonts w:hint="eastAsia" w:ascii="Times New Roman" w:hAnsi="Times New Roman"/>
        </w:rPr>
        <w:drawing>
          <wp:inline distT="0" distB="0" distL="114300" distR="114300">
            <wp:extent cx="5799455" cy="8644255"/>
            <wp:effectExtent l="0" t="0" r="6985" b="12065"/>
            <wp:docPr id="28" name="图片 28" descr="HSE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HSE合同3"/>
                    <pic:cNvPicPr>
                      <a:picLocks noChangeAspect="1"/>
                    </pic:cNvPicPr>
                  </pic:nvPicPr>
                  <pic:blipFill>
                    <a:blip r:embed="rId31"/>
                    <a:stretch>
                      <a:fillRect/>
                    </a:stretch>
                  </pic:blipFill>
                  <pic:spPr>
                    <a:xfrm>
                      <a:off x="0" y="0"/>
                      <a:ext cx="5799455" cy="8644255"/>
                    </a:xfrm>
                    <a:prstGeom prst="rect">
                      <a:avLst/>
                    </a:prstGeom>
                  </pic:spPr>
                </pic:pic>
              </a:graphicData>
            </a:graphic>
          </wp:inline>
        </w:drawing>
      </w:r>
      <w:r>
        <w:rPr>
          <w:rFonts w:hint="eastAsia" w:ascii="Times New Roman" w:hAnsi="Times New Roman"/>
        </w:rPr>
        <w:drawing>
          <wp:inline distT="0" distB="0" distL="114300" distR="114300">
            <wp:extent cx="5791200" cy="8720455"/>
            <wp:effectExtent l="0" t="0" r="0" b="12065"/>
            <wp:docPr id="27" name="图片 27" descr="HSE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HSE合同4"/>
                    <pic:cNvPicPr>
                      <a:picLocks noChangeAspect="1"/>
                    </pic:cNvPicPr>
                  </pic:nvPicPr>
                  <pic:blipFill>
                    <a:blip r:embed="rId32"/>
                    <a:stretch>
                      <a:fillRect/>
                    </a:stretch>
                  </pic:blipFill>
                  <pic:spPr>
                    <a:xfrm>
                      <a:off x="0" y="0"/>
                      <a:ext cx="5791200" cy="8720455"/>
                    </a:xfrm>
                    <a:prstGeom prst="rect">
                      <a:avLst/>
                    </a:prstGeom>
                  </pic:spPr>
                </pic:pic>
              </a:graphicData>
            </a:graphic>
          </wp:inline>
        </w:drawing>
      </w:r>
      <w:r>
        <w:rPr>
          <w:rFonts w:hint="eastAsia" w:ascii="Times New Roman" w:hAnsi="Times New Roman"/>
        </w:rPr>
        <w:drawing>
          <wp:inline distT="0" distB="0" distL="114300" distR="114300">
            <wp:extent cx="5796915" cy="8717280"/>
            <wp:effectExtent l="0" t="0" r="9525" b="0"/>
            <wp:docPr id="26" name="图片 26" descr="HSE合同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HSE合同5"/>
                    <pic:cNvPicPr>
                      <a:picLocks noChangeAspect="1"/>
                    </pic:cNvPicPr>
                  </pic:nvPicPr>
                  <pic:blipFill>
                    <a:blip r:embed="rId33"/>
                    <a:stretch>
                      <a:fillRect/>
                    </a:stretch>
                  </pic:blipFill>
                  <pic:spPr>
                    <a:xfrm>
                      <a:off x="0" y="0"/>
                      <a:ext cx="5796915" cy="8717280"/>
                    </a:xfrm>
                    <a:prstGeom prst="rect">
                      <a:avLst/>
                    </a:prstGeom>
                  </pic:spPr>
                </pic:pic>
              </a:graphicData>
            </a:graphic>
          </wp:inline>
        </w:drawing>
      </w:r>
      <w:r>
        <w:rPr>
          <w:rFonts w:hint="eastAsia" w:ascii="Times New Roman" w:hAnsi="Times New Roman"/>
        </w:rPr>
        <w:drawing>
          <wp:inline distT="0" distB="0" distL="114300" distR="114300">
            <wp:extent cx="5788660" cy="8710295"/>
            <wp:effectExtent l="0" t="0" r="2540" b="6985"/>
            <wp:docPr id="25" name="图片 25" descr="HSE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HSE合同6"/>
                    <pic:cNvPicPr>
                      <a:picLocks noChangeAspect="1"/>
                    </pic:cNvPicPr>
                  </pic:nvPicPr>
                  <pic:blipFill>
                    <a:blip r:embed="rId34"/>
                    <a:stretch>
                      <a:fillRect/>
                    </a:stretch>
                  </pic:blipFill>
                  <pic:spPr>
                    <a:xfrm>
                      <a:off x="0" y="0"/>
                      <a:ext cx="5788660" cy="8710295"/>
                    </a:xfrm>
                    <a:prstGeom prst="rect">
                      <a:avLst/>
                    </a:prstGeom>
                  </pic:spPr>
                </pic:pic>
              </a:graphicData>
            </a:graphic>
          </wp:inline>
        </w:drawing>
      </w:r>
      <w:r>
        <w:rPr>
          <w:rFonts w:hint="eastAsia" w:ascii="Times New Roman" w:hAnsi="Times New Roman"/>
        </w:rPr>
        <w:drawing>
          <wp:inline distT="0" distB="0" distL="114300" distR="114300">
            <wp:extent cx="5788025" cy="8526780"/>
            <wp:effectExtent l="0" t="0" r="3175" b="7620"/>
            <wp:docPr id="24" name="图片 24" descr="HSE合同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SE合同7"/>
                    <pic:cNvPicPr>
                      <a:picLocks noChangeAspect="1"/>
                    </pic:cNvPicPr>
                  </pic:nvPicPr>
                  <pic:blipFill>
                    <a:blip r:embed="rId35"/>
                    <a:stretch>
                      <a:fillRect/>
                    </a:stretch>
                  </pic:blipFill>
                  <pic:spPr>
                    <a:xfrm>
                      <a:off x="0" y="0"/>
                      <a:ext cx="5788025" cy="8526780"/>
                    </a:xfrm>
                    <a:prstGeom prst="rect">
                      <a:avLst/>
                    </a:prstGeom>
                  </pic:spPr>
                </pic:pic>
              </a:graphicData>
            </a:graphic>
          </wp:inline>
        </w:drawing>
      </w:r>
      <w:r>
        <w:rPr>
          <w:rFonts w:hint="eastAsia" w:ascii="Times New Roman" w:hAnsi="Times New Roman"/>
        </w:rPr>
        <w:drawing>
          <wp:inline distT="0" distB="0" distL="114300" distR="114300">
            <wp:extent cx="5795645" cy="8609330"/>
            <wp:effectExtent l="0" t="0" r="10795" b="1270"/>
            <wp:docPr id="23" name="图片 23" descr="HSE合同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HSE合同8 "/>
                    <pic:cNvPicPr>
                      <a:picLocks noChangeAspect="1"/>
                    </pic:cNvPicPr>
                  </pic:nvPicPr>
                  <pic:blipFill>
                    <a:blip r:embed="rId36"/>
                    <a:stretch>
                      <a:fillRect/>
                    </a:stretch>
                  </pic:blipFill>
                  <pic:spPr>
                    <a:xfrm>
                      <a:off x="0" y="0"/>
                      <a:ext cx="5795645" cy="8609330"/>
                    </a:xfrm>
                    <a:prstGeom prst="rect">
                      <a:avLst/>
                    </a:prstGeom>
                  </pic:spPr>
                </pic:pic>
              </a:graphicData>
            </a:graphic>
          </wp:inline>
        </w:drawing>
      </w:r>
      <w:r>
        <w:rPr>
          <w:rFonts w:hint="eastAsia" w:ascii="Times New Roman" w:hAnsi="Times New Roman"/>
        </w:rPr>
        <w:drawing>
          <wp:inline distT="0" distB="0" distL="114300" distR="114300">
            <wp:extent cx="5798820" cy="8792210"/>
            <wp:effectExtent l="0" t="0" r="7620" b="1270"/>
            <wp:docPr id="22" name="图片 22" descr="HSE合同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SE合同9"/>
                    <pic:cNvPicPr>
                      <a:picLocks noChangeAspect="1"/>
                    </pic:cNvPicPr>
                  </pic:nvPicPr>
                  <pic:blipFill>
                    <a:blip r:embed="rId37"/>
                    <a:stretch>
                      <a:fillRect/>
                    </a:stretch>
                  </pic:blipFill>
                  <pic:spPr>
                    <a:xfrm>
                      <a:off x="0" y="0"/>
                      <a:ext cx="5798820" cy="8792210"/>
                    </a:xfrm>
                    <a:prstGeom prst="rect">
                      <a:avLst/>
                    </a:prstGeom>
                  </pic:spPr>
                </pic:pic>
              </a:graphicData>
            </a:graphic>
          </wp:inline>
        </w:drawing>
      </w:r>
      <w:r>
        <w:rPr>
          <w:rFonts w:hint="eastAsia" w:ascii="Times New Roman" w:hAnsi="Times New Roman"/>
        </w:rPr>
        <w:drawing>
          <wp:inline distT="0" distB="0" distL="114300" distR="114300">
            <wp:extent cx="5800090" cy="7995920"/>
            <wp:effectExtent l="0" t="0" r="6350" b="5080"/>
            <wp:docPr id="18" name="图片 18" descr="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合同1"/>
                    <pic:cNvPicPr>
                      <a:picLocks noChangeAspect="1"/>
                    </pic:cNvPicPr>
                  </pic:nvPicPr>
                  <pic:blipFill>
                    <a:blip r:embed="rId38"/>
                    <a:stretch>
                      <a:fillRect/>
                    </a:stretch>
                  </pic:blipFill>
                  <pic:spPr>
                    <a:xfrm>
                      <a:off x="0" y="0"/>
                      <a:ext cx="5800090" cy="7995920"/>
                    </a:xfrm>
                    <a:prstGeom prst="rect">
                      <a:avLst/>
                    </a:prstGeom>
                  </pic:spPr>
                </pic:pic>
              </a:graphicData>
            </a:graphic>
          </wp:inline>
        </w:drawing>
      </w:r>
      <w:r>
        <w:rPr>
          <w:rFonts w:hint="eastAsia" w:ascii="Times New Roman" w:hAnsi="Times New Roman"/>
        </w:rPr>
        <w:drawing>
          <wp:inline distT="0" distB="0" distL="114300" distR="114300">
            <wp:extent cx="5794375" cy="8664575"/>
            <wp:effectExtent l="0" t="0" r="12065" b="6985"/>
            <wp:docPr id="17" name="图片 17" descr="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合同2"/>
                    <pic:cNvPicPr>
                      <a:picLocks noChangeAspect="1"/>
                    </pic:cNvPicPr>
                  </pic:nvPicPr>
                  <pic:blipFill>
                    <a:blip r:embed="rId39"/>
                    <a:stretch>
                      <a:fillRect/>
                    </a:stretch>
                  </pic:blipFill>
                  <pic:spPr>
                    <a:xfrm>
                      <a:off x="0" y="0"/>
                      <a:ext cx="5794375" cy="8664575"/>
                    </a:xfrm>
                    <a:prstGeom prst="rect">
                      <a:avLst/>
                    </a:prstGeom>
                  </pic:spPr>
                </pic:pic>
              </a:graphicData>
            </a:graphic>
          </wp:inline>
        </w:drawing>
      </w:r>
      <w:r>
        <w:rPr>
          <w:rFonts w:hint="eastAsia" w:ascii="Times New Roman" w:hAnsi="Times New Roman"/>
        </w:rPr>
        <w:drawing>
          <wp:inline distT="0" distB="0" distL="114300" distR="114300">
            <wp:extent cx="5797550" cy="7874635"/>
            <wp:effectExtent l="0" t="0" r="8890" b="4445"/>
            <wp:docPr id="16" name="图片 16" descr="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合同3"/>
                    <pic:cNvPicPr>
                      <a:picLocks noChangeAspect="1"/>
                    </pic:cNvPicPr>
                  </pic:nvPicPr>
                  <pic:blipFill>
                    <a:blip r:embed="rId40"/>
                    <a:stretch>
                      <a:fillRect/>
                    </a:stretch>
                  </pic:blipFill>
                  <pic:spPr>
                    <a:xfrm>
                      <a:off x="0" y="0"/>
                      <a:ext cx="5797550" cy="7874635"/>
                    </a:xfrm>
                    <a:prstGeom prst="rect">
                      <a:avLst/>
                    </a:prstGeom>
                  </pic:spPr>
                </pic:pic>
              </a:graphicData>
            </a:graphic>
          </wp:inline>
        </w:drawing>
      </w:r>
      <w:r>
        <w:rPr>
          <w:rFonts w:hint="eastAsia" w:ascii="Times New Roman" w:hAnsi="Times New Roman"/>
        </w:rPr>
        <w:drawing>
          <wp:inline distT="0" distB="0" distL="114300" distR="114300">
            <wp:extent cx="5788660" cy="8623935"/>
            <wp:effectExtent l="0" t="0" r="2540" b="1905"/>
            <wp:docPr id="15" name="图片 15" descr="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合同4"/>
                    <pic:cNvPicPr>
                      <a:picLocks noChangeAspect="1"/>
                    </pic:cNvPicPr>
                  </pic:nvPicPr>
                  <pic:blipFill>
                    <a:blip r:embed="rId41"/>
                    <a:stretch>
                      <a:fillRect/>
                    </a:stretch>
                  </pic:blipFill>
                  <pic:spPr>
                    <a:xfrm>
                      <a:off x="0" y="0"/>
                      <a:ext cx="5788660" cy="8623935"/>
                    </a:xfrm>
                    <a:prstGeom prst="rect">
                      <a:avLst/>
                    </a:prstGeom>
                  </pic:spPr>
                </pic:pic>
              </a:graphicData>
            </a:graphic>
          </wp:inline>
        </w:drawing>
      </w:r>
      <w:r>
        <w:rPr>
          <w:rFonts w:hint="eastAsia" w:ascii="Times New Roman" w:hAnsi="Times New Roman"/>
        </w:rPr>
        <w:drawing>
          <wp:inline distT="0" distB="0" distL="114300" distR="114300">
            <wp:extent cx="5802630" cy="8583295"/>
            <wp:effectExtent l="0" t="0" r="3810" b="12065"/>
            <wp:docPr id="14" name="图片 14" descr="合同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合同5"/>
                    <pic:cNvPicPr>
                      <a:picLocks noChangeAspect="1"/>
                    </pic:cNvPicPr>
                  </pic:nvPicPr>
                  <pic:blipFill>
                    <a:blip r:embed="rId42"/>
                    <a:stretch>
                      <a:fillRect/>
                    </a:stretch>
                  </pic:blipFill>
                  <pic:spPr>
                    <a:xfrm>
                      <a:off x="0" y="0"/>
                      <a:ext cx="5802630" cy="8583295"/>
                    </a:xfrm>
                    <a:prstGeom prst="rect">
                      <a:avLst/>
                    </a:prstGeom>
                  </pic:spPr>
                </pic:pic>
              </a:graphicData>
            </a:graphic>
          </wp:inline>
        </w:drawing>
      </w:r>
      <w:r>
        <w:rPr>
          <w:rFonts w:hint="eastAsia" w:ascii="Times New Roman" w:hAnsi="Times New Roman"/>
        </w:rPr>
        <w:drawing>
          <wp:inline distT="0" distB="0" distL="114300" distR="114300">
            <wp:extent cx="5788025" cy="8601710"/>
            <wp:effectExtent l="0" t="0" r="3175" b="8890"/>
            <wp:docPr id="13" name="图片 13" descr="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合同6"/>
                    <pic:cNvPicPr>
                      <a:picLocks noChangeAspect="1"/>
                    </pic:cNvPicPr>
                  </pic:nvPicPr>
                  <pic:blipFill>
                    <a:blip r:embed="rId43"/>
                    <a:stretch>
                      <a:fillRect/>
                    </a:stretch>
                  </pic:blipFill>
                  <pic:spPr>
                    <a:xfrm>
                      <a:off x="0" y="0"/>
                      <a:ext cx="5788025" cy="8601710"/>
                    </a:xfrm>
                    <a:prstGeom prst="rect">
                      <a:avLst/>
                    </a:prstGeom>
                  </pic:spPr>
                </pic:pic>
              </a:graphicData>
            </a:graphic>
          </wp:inline>
        </w:drawing>
      </w:r>
      <w:r>
        <w:rPr>
          <w:rFonts w:hint="eastAsia" w:ascii="Times New Roman" w:hAnsi="Times New Roman"/>
        </w:rPr>
        <w:drawing>
          <wp:inline distT="0" distB="0" distL="114300" distR="114300">
            <wp:extent cx="5801995" cy="8559800"/>
            <wp:effectExtent l="0" t="0" r="4445" b="5080"/>
            <wp:docPr id="12" name="图片 12" descr="合同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合同7"/>
                    <pic:cNvPicPr>
                      <a:picLocks noChangeAspect="1"/>
                    </pic:cNvPicPr>
                  </pic:nvPicPr>
                  <pic:blipFill>
                    <a:blip r:embed="rId44"/>
                    <a:stretch>
                      <a:fillRect/>
                    </a:stretch>
                  </pic:blipFill>
                  <pic:spPr>
                    <a:xfrm>
                      <a:off x="0" y="0"/>
                      <a:ext cx="5801995" cy="8559800"/>
                    </a:xfrm>
                    <a:prstGeom prst="rect">
                      <a:avLst/>
                    </a:prstGeom>
                  </pic:spPr>
                </pic:pic>
              </a:graphicData>
            </a:graphic>
          </wp:inline>
        </w:drawing>
      </w:r>
      <w:r>
        <w:rPr>
          <w:rFonts w:hint="eastAsia" w:ascii="Times New Roman" w:hAnsi="Times New Roman"/>
        </w:rPr>
        <w:drawing>
          <wp:inline distT="0" distB="0" distL="114300" distR="114300">
            <wp:extent cx="5798185" cy="8419465"/>
            <wp:effectExtent l="0" t="0" r="8255" b="8255"/>
            <wp:docPr id="11" name="图片 11" descr="合同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合同8"/>
                    <pic:cNvPicPr>
                      <a:picLocks noChangeAspect="1"/>
                    </pic:cNvPicPr>
                  </pic:nvPicPr>
                  <pic:blipFill>
                    <a:blip r:embed="rId45"/>
                    <a:stretch>
                      <a:fillRect/>
                    </a:stretch>
                  </pic:blipFill>
                  <pic:spPr>
                    <a:xfrm>
                      <a:off x="0" y="0"/>
                      <a:ext cx="5798185" cy="8419465"/>
                    </a:xfrm>
                    <a:prstGeom prst="rect">
                      <a:avLst/>
                    </a:prstGeom>
                  </pic:spPr>
                </pic:pic>
              </a:graphicData>
            </a:graphic>
          </wp:inline>
        </w:drawing>
      </w:r>
      <w:r>
        <w:rPr>
          <w:rFonts w:hint="eastAsia" w:ascii="Times New Roman" w:hAnsi="Times New Roman"/>
        </w:rPr>
        <w:drawing>
          <wp:inline distT="0" distB="0" distL="114300" distR="114300">
            <wp:extent cx="5799455" cy="8481060"/>
            <wp:effectExtent l="0" t="0" r="6985" b="7620"/>
            <wp:docPr id="10" name="图片 10" descr="合同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合同9"/>
                    <pic:cNvPicPr>
                      <a:picLocks noChangeAspect="1"/>
                    </pic:cNvPicPr>
                  </pic:nvPicPr>
                  <pic:blipFill>
                    <a:blip r:embed="rId46"/>
                    <a:stretch>
                      <a:fillRect/>
                    </a:stretch>
                  </pic:blipFill>
                  <pic:spPr>
                    <a:xfrm>
                      <a:off x="0" y="0"/>
                      <a:ext cx="5799455" cy="8481060"/>
                    </a:xfrm>
                    <a:prstGeom prst="rect">
                      <a:avLst/>
                    </a:prstGeom>
                  </pic:spPr>
                </pic:pic>
              </a:graphicData>
            </a:graphic>
          </wp:inline>
        </w:drawing>
      </w:r>
      <w:r>
        <w:rPr>
          <w:rFonts w:hint="eastAsia" w:ascii="Times New Roman" w:hAnsi="Times New Roman"/>
        </w:rPr>
        <w:drawing>
          <wp:inline distT="0" distB="0" distL="114300" distR="114300">
            <wp:extent cx="5798185" cy="8670925"/>
            <wp:effectExtent l="0" t="0" r="8255" b="635"/>
            <wp:docPr id="3" name="图片 3" descr="合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合同10"/>
                    <pic:cNvPicPr>
                      <a:picLocks noChangeAspect="1"/>
                    </pic:cNvPicPr>
                  </pic:nvPicPr>
                  <pic:blipFill>
                    <a:blip r:embed="rId47"/>
                    <a:stretch>
                      <a:fillRect/>
                    </a:stretch>
                  </pic:blipFill>
                  <pic:spPr>
                    <a:xfrm>
                      <a:off x="0" y="0"/>
                      <a:ext cx="5798185" cy="8670925"/>
                    </a:xfrm>
                    <a:prstGeom prst="rect">
                      <a:avLst/>
                    </a:prstGeom>
                  </pic:spPr>
                </pic:pic>
              </a:graphicData>
            </a:graphic>
          </wp:inline>
        </w:drawing>
      </w:r>
      <w:r>
        <w:rPr>
          <w:rFonts w:hint="eastAsia" w:ascii="Times New Roman" w:hAnsi="Times New Roman"/>
        </w:rPr>
        <w:drawing>
          <wp:inline distT="0" distB="0" distL="114300" distR="114300">
            <wp:extent cx="5793105" cy="8695055"/>
            <wp:effectExtent l="0" t="0" r="13335" b="6985"/>
            <wp:docPr id="2" name="图片 2" descr="合同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合同11"/>
                    <pic:cNvPicPr>
                      <a:picLocks noChangeAspect="1"/>
                    </pic:cNvPicPr>
                  </pic:nvPicPr>
                  <pic:blipFill>
                    <a:blip r:embed="rId48"/>
                    <a:stretch>
                      <a:fillRect/>
                    </a:stretch>
                  </pic:blipFill>
                  <pic:spPr>
                    <a:xfrm>
                      <a:off x="0" y="0"/>
                      <a:ext cx="5793105" cy="8695055"/>
                    </a:xfrm>
                    <a:prstGeom prst="rect">
                      <a:avLst/>
                    </a:prstGeom>
                  </pic:spPr>
                </pic:pic>
              </a:graphicData>
            </a:graphic>
          </wp:inline>
        </w:drawing>
      </w:r>
    </w:p>
    <w:p>
      <w:pPr>
        <w:ind w:firstLine="482"/>
        <w:rPr>
          <w:rFonts w:ascii="Times New Roman" w:hAnsi="Times New Roman" w:cs="Times New Roman"/>
          <w:b/>
          <w:bCs/>
          <w:color w:val="000000" w:themeColor="text1"/>
          <w:kern w:val="44"/>
          <w:sz w:val="24"/>
          <w:szCs w:val="24"/>
        </w:rPr>
      </w:pPr>
      <w:r>
        <w:rPr>
          <w:rFonts w:ascii="Times New Roman" w:hAnsi="Times New Roman" w:cs="Times New Roman"/>
          <w:b/>
          <w:bCs/>
          <w:color w:val="000000" w:themeColor="text1"/>
          <w:kern w:val="44"/>
          <w:sz w:val="24"/>
          <w:szCs w:val="24"/>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39" w:name="_Toc3121"/>
      <w:bookmarkStart w:id="1340" w:name="_Toc8283"/>
      <w:bookmarkStart w:id="1341" w:name="_Toc13994"/>
      <w:r>
        <w:rPr>
          <w:rFonts w:ascii="Times New Roman" w:hAnsi="Times New Roman" w:cs="Times New Roman"/>
          <w:b/>
          <w:bCs/>
          <w:color w:val="000000" w:themeColor="text1"/>
          <w:sz w:val="24"/>
          <w:szCs w:val="24"/>
        </w:rPr>
        <w:t>附件八：《南昌中油瑶湖石油销售有限公司瑶湖加油站关于成立突发环境预案资料编制领导小组的通知》</w:t>
      </w:r>
      <w:bookmarkEnd w:id="1339"/>
      <w:bookmarkEnd w:id="1340"/>
      <w:bookmarkEnd w:id="1341"/>
    </w:p>
    <w:p>
      <w:pPr>
        <w:spacing w:line="600" w:lineRule="exact"/>
        <w:ind w:firstLine="482"/>
        <w:jc w:val="center"/>
        <w:rPr>
          <w:rFonts w:ascii="Times New Roman" w:hAnsi="Times New Roman" w:cs="Times New Roman"/>
          <w:b/>
          <w:bCs/>
          <w:color w:val="000000" w:themeColor="text1"/>
          <w:sz w:val="24"/>
          <w:szCs w:val="24"/>
        </w:rPr>
      </w:pPr>
      <w:bookmarkStart w:id="1342" w:name="_Toc3286_WPSOffice_Level1"/>
      <w:bookmarkStart w:id="1343" w:name="_Toc18826_WPSOffice_Level1"/>
      <w:bookmarkStart w:id="1344" w:name="_Toc25753_WPSOffice_Level1"/>
      <w:bookmarkStart w:id="1345" w:name="_Toc20889_WPSOffice_Level1"/>
      <w:bookmarkStart w:id="1346" w:name="_Toc14371_WPSOffice_Level1"/>
      <w:bookmarkStart w:id="1347" w:name="_Toc992_WPSOffice_Level1"/>
      <w:r>
        <w:rPr>
          <w:rFonts w:ascii="Times New Roman" w:hAnsi="Times New Roman" w:cs="Times New Roman"/>
          <w:b/>
          <w:bCs/>
          <w:color w:val="000000" w:themeColor="text1"/>
          <w:sz w:val="24"/>
          <w:szCs w:val="24"/>
        </w:rPr>
        <w:t>关于成立南昌中油瑶湖石油销售有限公司瑶湖加油站</w:t>
      </w:r>
      <w:bookmarkEnd w:id="1342"/>
      <w:bookmarkEnd w:id="1343"/>
      <w:bookmarkEnd w:id="1344"/>
      <w:bookmarkEnd w:id="1345"/>
      <w:bookmarkEnd w:id="1346"/>
      <w:bookmarkEnd w:id="1347"/>
    </w:p>
    <w:p>
      <w:pPr>
        <w:spacing w:line="600" w:lineRule="exact"/>
        <w:ind w:firstLine="482"/>
        <w:jc w:val="center"/>
        <w:rPr>
          <w:rFonts w:ascii="Times New Roman" w:hAnsi="Times New Roman" w:cs="Times New Roman"/>
          <w:b/>
          <w:bCs/>
          <w:color w:val="000000" w:themeColor="text1"/>
          <w:sz w:val="24"/>
          <w:szCs w:val="24"/>
        </w:rPr>
      </w:pPr>
      <w:bookmarkStart w:id="1348" w:name="_Toc29995_WPSOffice_Level1"/>
      <w:bookmarkStart w:id="1349" w:name="_Toc12429_WPSOffice_Level1"/>
      <w:bookmarkStart w:id="1350" w:name="_Toc6831_WPSOffice_Level1"/>
      <w:bookmarkStart w:id="1351" w:name="_Toc5741_WPSOffice_Level1"/>
      <w:bookmarkStart w:id="1352" w:name="_Toc31637_WPSOffice_Level1"/>
      <w:bookmarkStart w:id="1353" w:name="_Toc653_WPSOffice_Level1"/>
      <w:r>
        <w:rPr>
          <w:rFonts w:ascii="Times New Roman" w:hAnsi="Times New Roman" w:cs="Times New Roman"/>
          <w:b/>
          <w:bCs/>
          <w:color w:val="000000" w:themeColor="text1"/>
          <w:sz w:val="24"/>
          <w:szCs w:val="24"/>
        </w:rPr>
        <w:t>突发环境事件应急预案编制领导小组的通知</w:t>
      </w:r>
      <w:bookmarkEnd w:id="1348"/>
      <w:bookmarkEnd w:id="1349"/>
      <w:bookmarkEnd w:id="1350"/>
      <w:bookmarkEnd w:id="1351"/>
      <w:bookmarkEnd w:id="1352"/>
      <w:bookmarkEnd w:id="1353"/>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为了高效、实用、完整地编制本加油站突发环境事件应急预案，特成立编制领导小组，根据编制工作需要，各成员按组长工作安排，共同配合组长完成编制《南昌中油瑶湖石油销售有限公司瑶湖加油站突发环境事件应急预案》。</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组长：</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副组长：</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成员：</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审核：</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应急预案编写完成后，须内部进行评审，内部评审完成后。聘请外部专家评估，经专家评估合格后发布实施，并报送南昌市环境保护局备案。</w:t>
      </w:r>
    </w:p>
    <w:p>
      <w:pPr>
        <w:spacing w:line="600" w:lineRule="exact"/>
        <w:rPr>
          <w:rFonts w:ascii="Times New Roman" w:hAnsi="Times New Roman" w:cs="Times New Roman"/>
          <w:color w:val="000000" w:themeColor="text1"/>
          <w:sz w:val="24"/>
          <w:szCs w:val="24"/>
        </w:rPr>
      </w:pPr>
    </w:p>
    <w:p>
      <w:pPr>
        <w:overflowPunct w:val="0"/>
        <w:topLinePunct/>
        <w:spacing w:line="360" w:lineRule="auto"/>
        <w:ind w:firstLine="496" w:firstLineChars="200"/>
        <w:rPr>
          <w:rFonts w:ascii="Times New Roman" w:hAnsi="Times New Roman" w:cs="Times New Roman"/>
          <w:color w:val="000000" w:themeColor="text1"/>
          <w:spacing w:val="4"/>
          <w:sz w:val="24"/>
          <w:szCs w:val="24"/>
        </w:rPr>
      </w:pPr>
    </w:p>
    <w:p>
      <w:pPr>
        <w:spacing w:line="600" w:lineRule="exact"/>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南昌中油瑶湖石油销售有限公司瑶湖加油站</w:t>
      </w:r>
    </w:p>
    <w:p>
      <w:pPr>
        <w:spacing w:line="600" w:lineRule="exact"/>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2019年</w:t>
      </w:r>
      <w:r>
        <w:rPr>
          <w:rFonts w:hint="eastAsia" w:ascii="Times New Roman" w:hAnsi="Times New Roman" w:cs="Times New Roman"/>
          <w:color w:val="000000" w:themeColor="text1"/>
          <w:sz w:val="24"/>
          <w:szCs w:val="24"/>
        </w:rPr>
        <w:t>11</w:t>
      </w:r>
      <w:r>
        <w:rPr>
          <w:rFonts w:ascii="Times New Roman" w:hAnsi="Times New Roman" w:cs="Times New Roman"/>
          <w:color w:val="000000" w:themeColor="text1"/>
          <w:sz w:val="24"/>
          <w:szCs w:val="24"/>
        </w:rPr>
        <w:t>月</w:t>
      </w:r>
      <w:r>
        <w:rPr>
          <w:rFonts w:hint="eastAsia" w:ascii="Times New Roman" w:hAnsi="Times New Roman" w:cs="Times New Roman"/>
          <w:color w:val="000000" w:themeColor="text1"/>
          <w:sz w:val="24"/>
          <w:szCs w:val="24"/>
        </w:rPr>
        <w:t>4</w:t>
      </w:r>
      <w:r>
        <w:rPr>
          <w:rFonts w:ascii="Times New Roman" w:hAnsi="Times New Roman" w:cs="Times New Roman"/>
          <w:color w:val="000000" w:themeColor="text1"/>
          <w:sz w:val="24"/>
          <w:szCs w:val="24"/>
        </w:rPr>
        <w:t>日</w:t>
      </w:r>
    </w:p>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54" w:name="_Toc27028"/>
      <w:bookmarkStart w:id="1355" w:name="_Toc22413"/>
      <w:bookmarkStart w:id="1356" w:name="_Toc31544"/>
      <w:r>
        <w:rPr>
          <w:rFonts w:ascii="Times New Roman" w:hAnsi="Times New Roman" w:cs="Times New Roman"/>
          <w:b/>
          <w:bCs/>
          <w:color w:val="000000" w:themeColor="text1"/>
          <w:sz w:val="24"/>
          <w:szCs w:val="24"/>
        </w:rPr>
        <w:t>附件九：环保应急处置卡</w:t>
      </w:r>
      <w:bookmarkEnd w:id="1354"/>
      <w:bookmarkEnd w:id="1355"/>
      <w:bookmarkEnd w:id="1356"/>
    </w:p>
    <w:p>
      <w:pPr>
        <w:ind w:firstLine="482"/>
        <w:jc w:val="center"/>
        <w:rPr>
          <w:rFonts w:ascii="Times New Roman" w:hAnsi="Times New Roman" w:cs="Times New Roman"/>
          <w:color w:val="000000" w:themeColor="text1"/>
          <w:sz w:val="24"/>
          <w:szCs w:val="24"/>
        </w:rPr>
      </w:pPr>
      <w:bookmarkStart w:id="1357" w:name="_Toc21921_WPSOffice_Level1"/>
      <w:bookmarkStart w:id="1358" w:name="_Toc14635_WPSOffice_Level1"/>
      <w:bookmarkStart w:id="1359" w:name="_Toc14340_WPSOffice_Level1"/>
      <w:bookmarkStart w:id="1360" w:name="_Toc14323_WPSOffice_Level1"/>
      <w:bookmarkStart w:id="1361" w:name="_Toc9618_WPSOffice_Level1"/>
      <w:bookmarkStart w:id="1362" w:name="_Toc17781_WPSOffice_Level1"/>
      <w:r>
        <w:rPr>
          <w:rFonts w:ascii="Times New Roman" w:hAnsi="Times New Roman" w:cs="Times New Roman"/>
          <w:b/>
          <w:color w:val="000000" w:themeColor="text1"/>
          <w:sz w:val="24"/>
          <w:szCs w:val="24"/>
        </w:rPr>
        <w:t>×××岗位应急卡</w:t>
      </w:r>
      <w:bookmarkEnd w:id="1357"/>
      <w:bookmarkEnd w:id="1358"/>
      <w:bookmarkEnd w:id="1359"/>
      <w:bookmarkEnd w:id="1360"/>
      <w:bookmarkEnd w:id="1361"/>
      <w:bookmarkEnd w:id="1362"/>
    </w:p>
    <w:tbl>
      <w:tblPr>
        <w:tblStyle w:val="16"/>
        <w:tblW w:w="910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1"/>
        <w:gridCol w:w="334"/>
        <w:gridCol w:w="2112"/>
        <w:gridCol w:w="2709"/>
        <w:gridCol w:w="21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2095" w:type="dxa"/>
            <w:gridSpan w:val="2"/>
            <w:vAlign w:val="center"/>
          </w:tcPr>
          <w:p>
            <w:pPr>
              <w:widowControl/>
              <w:ind w:firstLine="482"/>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岗位名称</w:t>
            </w:r>
          </w:p>
        </w:tc>
        <w:tc>
          <w:tcPr>
            <w:tcW w:w="7005" w:type="dxa"/>
            <w:gridSpan w:val="3"/>
            <w:vAlign w:val="bottom"/>
          </w:tcPr>
          <w:p>
            <w:pPr>
              <w:widowControl/>
              <w:jc w:val="center"/>
              <w:rPr>
                <w:rFonts w:ascii="Times New Roman" w:hAnsi="Times New Roman" w:cs="Times New Roman"/>
                <w:color w:val="000000" w:themeColor="text1"/>
                <w:kern w:val="0"/>
                <w:sz w:val="24"/>
                <w:szCs w:val="24"/>
              </w:rPr>
            </w:pPr>
            <w:r>
              <w:rPr>
                <w:rFonts w:ascii="Times New Roman" w:hAnsi="Times New Roman" w:cs="Times New Roman"/>
                <w:bCs/>
                <w:color w:val="000000" w:themeColor="text1"/>
                <w:kern w:val="0"/>
                <w:sz w:val="24"/>
                <w:szCs w:val="24"/>
              </w:rPr>
              <w:t>×××操作岗位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095" w:type="dxa"/>
            <w:gridSpan w:val="2"/>
            <w:vAlign w:val="center"/>
          </w:tcPr>
          <w:p>
            <w:pPr>
              <w:widowControl/>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关键工艺参数</w:t>
            </w:r>
          </w:p>
        </w:tc>
        <w:tc>
          <w:tcPr>
            <w:tcW w:w="7005" w:type="dxa"/>
            <w:gridSpan w:val="3"/>
            <w:vAlign w:val="bottom"/>
          </w:tcPr>
          <w:p>
            <w:pPr>
              <w:widowControl/>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操作压力、温度等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095" w:type="dxa"/>
            <w:gridSpan w:val="2"/>
            <w:vAlign w:val="center"/>
          </w:tcPr>
          <w:p>
            <w:pPr>
              <w:widowControl/>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岗位操作要点</w:t>
            </w:r>
          </w:p>
        </w:tc>
        <w:tc>
          <w:tcPr>
            <w:tcW w:w="7005" w:type="dxa"/>
            <w:gridSpan w:val="3"/>
            <w:vAlign w:val="bottom"/>
          </w:tcPr>
          <w:p>
            <w:pPr>
              <w:widowControl/>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操作压力、温度、反应时间等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095" w:type="dxa"/>
            <w:gridSpan w:val="2"/>
            <w:vAlign w:val="center"/>
          </w:tcPr>
          <w:p>
            <w:pPr>
              <w:widowControl/>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岗位应急处置装备</w:t>
            </w:r>
          </w:p>
        </w:tc>
        <w:tc>
          <w:tcPr>
            <w:tcW w:w="7005" w:type="dxa"/>
            <w:gridSpan w:val="3"/>
            <w:vAlign w:val="bottom"/>
          </w:tcPr>
          <w:p>
            <w:pPr>
              <w:widowControl/>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防毒面具、防护手套、灭火器、应急药品等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84" w:hRule="atLeast"/>
        </w:trPr>
        <w:tc>
          <w:tcPr>
            <w:tcW w:w="9100" w:type="dxa"/>
            <w:gridSpan w:val="5"/>
          </w:tcPr>
          <w:p>
            <w:pPr>
              <w:ind w:firstLine="482"/>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应急处置注意事项：</w:t>
            </w:r>
          </w:p>
          <w:p>
            <w:pPr>
              <w:numPr>
                <w:ilvl w:val="0"/>
                <w:numId w:val="4"/>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掌握风向：观察风向，注意上风向撤离路线和地点。</w:t>
            </w:r>
          </w:p>
          <w:p>
            <w:pPr>
              <w:numPr>
                <w:ilvl w:val="0"/>
                <w:numId w:val="4"/>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上报时限：发生异常情况，立即报告公司主管。</w:t>
            </w:r>
          </w:p>
          <w:p>
            <w:pPr>
              <w:numPr>
                <w:ilvl w:val="0"/>
                <w:numId w:val="4"/>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应急联络：</w:t>
            </w:r>
            <w:r>
              <w:rPr>
                <w:rFonts w:ascii="Times New Roman" w:hAnsi="Times New Roman" w:eastAsia="宋体" w:cs="Times New Roman"/>
                <w:color w:val="000000" w:themeColor="text1"/>
                <w:kern w:val="0"/>
                <w:sz w:val="24"/>
                <w:szCs w:val="24"/>
              </w:rPr>
              <w:t>①</w:t>
            </w:r>
            <w:r>
              <w:rPr>
                <w:rFonts w:ascii="Times New Roman" w:hAnsi="Times New Roman" w:cs="Times New Roman"/>
                <w:bCs/>
                <w:color w:val="000000" w:themeColor="text1"/>
                <w:kern w:val="0"/>
                <w:sz w:val="24"/>
                <w:szCs w:val="24"/>
              </w:rPr>
              <w:t>前后工序联系确认，</w:t>
            </w:r>
            <w:r>
              <w:rPr>
                <w:rFonts w:ascii="Times New Roman" w:hAnsi="Times New Roman" w:eastAsia="宋体" w:cs="Times New Roman"/>
                <w:bCs/>
                <w:color w:val="000000" w:themeColor="text1"/>
                <w:kern w:val="0"/>
                <w:sz w:val="24"/>
                <w:szCs w:val="24"/>
              </w:rPr>
              <w:t>②</w:t>
            </w:r>
            <w:r>
              <w:rPr>
                <w:rFonts w:ascii="Times New Roman" w:hAnsi="Times New Roman" w:cs="Times New Roman"/>
                <w:bCs/>
                <w:color w:val="000000" w:themeColor="text1"/>
                <w:kern w:val="0"/>
                <w:sz w:val="24"/>
                <w:szCs w:val="24"/>
              </w:rPr>
              <w:t>按照公司内部联络网联络，</w:t>
            </w:r>
            <w:r>
              <w:rPr>
                <w:rFonts w:ascii="Times New Roman" w:hAnsi="Times New Roman" w:eastAsia="宋体" w:cs="Times New Roman"/>
                <w:bCs/>
                <w:color w:val="000000" w:themeColor="text1"/>
                <w:kern w:val="0"/>
                <w:sz w:val="24"/>
                <w:szCs w:val="24"/>
              </w:rPr>
              <w:t>③</w:t>
            </w:r>
            <w:r>
              <w:rPr>
                <w:rFonts w:ascii="Times New Roman" w:hAnsi="Times New Roman" w:cs="Times New Roman"/>
                <w:bCs/>
                <w:color w:val="000000" w:themeColor="text1"/>
                <w:kern w:val="0"/>
                <w:sz w:val="24"/>
                <w:szCs w:val="24"/>
              </w:rPr>
              <w:t>根据指令进行外部联络</w:t>
            </w:r>
            <w:r>
              <w:rPr>
                <w:rFonts w:ascii="Times New Roman" w:hAnsi="Times New Roman" w:cs="Times New Roman"/>
                <w:color w:val="000000" w:themeColor="text1"/>
                <w:kern w:val="0"/>
                <w:sz w:val="24"/>
                <w:szCs w:val="24"/>
              </w:rPr>
              <w:t>110；119；120。</w:t>
            </w:r>
          </w:p>
          <w:p>
            <w:pPr>
              <w:numPr>
                <w:ilvl w:val="0"/>
                <w:numId w:val="4"/>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清点人员：到达撤离现场后，要相互清点人数。</w:t>
            </w:r>
          </w:p>
          <w:p>
            <w:pPr>
              <w:numPr>
                <w:ilvl w:val="0"/>
                <w:numId w:val="4"/>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异常确认：判断异常情况的起因，影响程度等。</w:t>
            </w:r>
          </w:p>
          <w:p>
            <w:pPr>
              <w:numPr>
                <w:ilvl w:val="0"/>
                <w:numId w:val="4"/>
              </w:numPr>
              <w:ind w:firstLine="480"/>
              <w:rPr>
                <w:rFonts w:ascii="Times New Roman" w:hAnsi="Times New Roman" w:cs="Times New Roman"/>
                <w:color w:val="000000" w:themeColor="text1"/>
                <w:sz w:val="24"/>
                <w:szCs w:val="24"/>
              </w:rPr>
            </w:pPr>
            <w:r>
              <w:rPr>
                <w:rFonts w:ascii="Times New Roman" w:hAnsi="Times New Roman" w:cs="Times New Roman"/>
                <w:bCs/>
                <w:color w:val="000000" w:themeColor="text1"/>
                <w:kern w:val="0"/>
                <w:sz w:val="24"/>
                <w:szCs w:val="24"/>
              </w:rPr>
              <w:t>处置事项：避免产生各类火种、个体防护等。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4" w:hRule="atLeast"/>
        </w:trPr>
        <w:tc>
          <w:tcPr>
            <w:tcW w:w="9100" w:type="dxa"/>
            <w:gridSpan w:val="5"/>
          </w:tcPr>
          <w:p>
            <w:pPr>
              <w:ind w:firstLine="482"/>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岗位存在危险因素应对措施：</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反应温度异常处置措施：</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反应压力异常处置措施：</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突然停水处置措施：</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突然停电处置措施：</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物料泄漏处置措施：</w:t>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kern w:val="0"/>
                <w:sz w:val="24"/>
                <w:szCs w:val="24"/>
              </w:rPr>
              <w:t>关闭正在工作的打料泵上的关闭按钮；</w:t>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sz w:val="24"/>
                <w:szCs w:val="24"/>
              </w:rPr>
              <w:t>查找泄漏源，关</w:t>
            </w:r>
            <w:r>
              <w:rPr>
                <w:rFonts w:ascii="Times New Roman" w:hAnsi="Times New Roman" w:cs="Times New Roman"/>
                <w:color w:val="000000" w:themeColor="text1"/>
                <w:kern w:val="0"/>
                <w:sz w:val="24"/>
                <w:szCs w:val="24"/>
              </w:rPr>
              <w:t>闭泄漏点所在管线前后阀门，若无法关闭的情况下，用干布、木塞等进行堵漏；</w:t>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t>用沙袋围堵泄漏区域，防止进入雨水管网，若进入，关闭区域雨水排水井阀门；</w:t>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t>小量泄漏：用砂土、蛭石或其它惰性材料吸收；</w:t>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t>大量泄漏：启动应急救援预案，同时构筑围堤或挖坑收容，用喷雾水稀释或泡沫覆盖，降低蒸汽引发的灾害。用泵转移至槽车或专用收集器内，回收或运至废物处理场所处置。</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火灾爆炸处置措施：</w:t>
            </w:r>
            <w:r>
              <w:rPr>
                <w:rFonts w:ascii="Times New Roman" w:hAnsi="Times New Roman" w:cs="Times New Roman"/>
                <w:color w:val="000000" w:themeColor="text1"/>
                <w:kern w:val="0"/>
                <w:sz w:val="24"/>
                <w:szCs w:val="24"/>
              </w:rPr>
              <w:t>立即报告部门主管，部门主管报告公司领导，公司领导报告当地安监局、消防等相关职能部门，启动应急救援预案，并通知周边社区。</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中毒灼伤处置措施：</w:t>
            </w:r>
            <w:r>
              <w:rPr>
                <w:rFonts w:ascii="Times New Roman" w:hAnsi="Times New Roman" w:eastAsia="宋体" w:cs="Times New Roman"/>
                <w:color w:val="000000" w:themeColor="text1"/>
                <w:sz w:val="24"/>
                <w:szCs w:val="24"/>
              </w:rPr>
              <w:t>①</w:t>
            </w:r>
            <w:r>
              <w:rPr>
                <w:rFonts w:ascii="Times New Roman" w:hAnsi="Times New Roman" w:cs="Times New Roman"/>
                <w:color w:val="000000" w:themeColor="text1"/>
                <w:kern w:val="0"/>
                <w:sz w:val="24"/>
                <w:szCs w:val="24"/>
              </w:rPr>
              <w:t>皮肤或眼睛接触，立即脱去污染的衣着或提起眼睑，用大量流动清水冲洗至少15分钟，并送至专业医院救治；</w:t>
            </w:r>
            <w:r>
              <w:rPr>
                <w:rFonts w:ascii="Times New Roman" w:hAnsi="Times New Roman" w:eastAsia="宋体" w:cs="Times New Roman"/>
                <w:color w:val="000000" w:themeColor="text1"/>
                <w:kern w:val="0"/>
                <w:sz w:val="24"/>
                <w:szCs w:val="24"/>
              </w:rPr>
              <w:t>②</w:t>
            </w:r>
            <w:r>
              <w:rPr>
                <w:rFonts w:ascii="Times New Roman" w:hAnsi="Times New Roman" w:cs="Times New Roman"/>
                <w:color w:val="000000" w:themeColor="text1"/>
                <w:kern w:val="0"/>
                <w:sz w:val="24"/>
                <w:szCs w:val="24"/>
              </w:rPr>
              <w:t>若吸入，迅速脱离现场至空气新鲜处，保持呼吸道通畅，如心跳停止，立即进行胸外挤压，如呼吸停止，立即进行人工呼吸，并送至专业医院救治；</w:t>
            </w:r>
            <w:r>
              <w:rPr>
                <w:rFonts w:ascii="Times New Roman" w:hAnsi="Times New Roman" w:eastAsia="宋体" w:cs="Times New Roman"/>
                <w:color w:val="000000" w:themeColor="text1"/>
                <w:kern w:val="0"/>
                <w:sz w:val="24"/>
                <w:szCs w:val="24"/>
              </w:rPr>
              <w:t>③</w:t>
            </w:r>
            <w:r>
              <w:rPr>
                <w:rFonts w:ascii="Times New Roman" w:hAnsi="Times New Roman" w:cs="Times New Roman"/>
                <w:color w:val="000000" w:themeColor="text1"/>
                <w:kern w:val="0"/>
                <w:sz w:val="24"/>
                <w:szCs w:val="24"/>
              </w:rPr>
              <w:t>若食入，饮足量温水，催吐，并送至专业医院救治；</w:t>
            </w:r>
          </w:p>
          <w:p>
            <w:pPr>
              <w:numPr>
                <w:ilvl w:val="0"/>
                <w:numId w:val="5"/>
              </w:numPr>
              <w:ind w:firstLine="48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人员受伤处置措施：</w:t>
            </w:r>
            <w:r>
              <w:rPr>
                <w:rFonts w:ascii="Times New Roman" w:hAnsi="Times New Roman" w:cs="Times New Roman"/>
                <w:color w:val="000000" w:themeColor="text1"/>
                <w:kern w:val="0"/>
                <w:sz w:val="24"/>
                <w:szCs w:val="24"/>
              </w:rPr>
              <w:t>立即报告部门主管，并联系专业医院，安排人员进行初步处理，</w:t>
            </w:r>
            <w:r>
              <w:rPr>
                <w:rFonts w:ascii="Times New Roman" w:hAnsi="Times New Roman" w:eastAsia="宋体" w:cs="Times New Roman"/>
                <w:color w:val="000000" w:themeColor="text1"/>
                <w:kern w:val="0"/>
                <w:sz w:val="24"/>
                <w:szCs w:val="24"/>
              </w:rPr>
              <w:t>①</w:t>
            </w:r>
            <w:r>
              <w:rPr>
                <w:rFonts w:ascii="Times New Roman" w:hAnsi="Times New Roman" w:cs="Times New Roman"/>
                <w:color w:val="000000" w:themeColor="text1"/>
                <w:kern w:val="0"/>
                <w:sz w:val="24"/>
                <w:szCs w:val="24"/>
              </w:rPr>
              <w:t>对伤口进行消毒止血包扎；</w:t>
            </w:r>
            <w:r>
              <w:rPr>
                <w:rFonts w:ascii="Times New Roman" w:hAnsi="Times New Roman" w:eastAsia="宋体" w:cs="Times New Roman"/>
                <w:color w:val="000000" w:themeColor="text1"/>
                <w:sz w:val="24"/>
                <w:szCs w:val="24"/>
              </w:rPr>
              <w:t>②</w:t>
            </w:r>
            <w:r>
              <w:rPr>
                <w:rFonts w:ascii="Times New Roman" w:hAnsi="Times New Roman" w:cs="Times New Roman"/>
                <w:color w:val="000000" w:themeColor="text1"/>
                <w:sz w:val="24"/>
                <w:szCs w:val="24"/>
              </w:rPr>
              <w:t>对骨折部门进行固定；</w:t>
            </w:r>
            <w:r>
              <w:rPr>
                <w:rFonts w:ascii="Times New Roman" w:hAnsi="Times New Roman" w:eastAsia="宋体" w:cs="Times New Roman"/>
                <w:color w:val="000000" w:themeColor="text1"/>
                <w:sz w:val="24"/>
                <w:szCs w:val="24"/>
              </w:rPr>
              <w:t>③</w:t>
            </w:r>
            <w:r>
              <w:rPr>
                <w:rFonts w:ascii="Times New Roman" w:hAnsi="Times New Roman" w:cs="Times New Roman"/>
                <w:color w:val="000000" w:themeColor="text1"/>
                <w:kern w:val="0"/>
                <w:sz w:val="24"/>
                <w:szCs w:val="24"/>
              </w:rPr>
              <w:t>如心跳停止，立即进行胸外挤压；</w:t>
            </w:r>
            <w:r>
              <w:rPr>
                <w:rFonts w:ascii="Times New Roman" w:hAnsi="Times New Roman" w:eastAsia="宋体" w:cs="Times New Roman"/>
                <w:color w:val="000000" w:themeColor="text1"/>
                <w:kern w:val="0"/>
                <w:sz w:val="24"/>
                <w:szCs w:val="24"/>
              </w:rPr>
              <w:t>④</w:t>
            </w:r>
            <w:r>
              <w:rPr>
                <w:rFonts w:ascii="Times New Roman" w:hAnsi="Times New Roman" w:cs="Times New Roman"/>
                <w:color w:val="000000" w:themeColor="text1"/>
                <w:kern w:val="0"/>
                <w:sz w:val="24"/>
                <w:szCs w:val="24"/>
              </w:rPr>
              <w:t>如呼吸停止，立即进行人工呼吸；</w:t>
            </w:r>
            <w:r>
              <w:rPr>
                <w:rFonts w:ascii="Times New Roman" w:hAnsi="Times New Roman" w:eastAsia="宋体" w:cs="Times New Roman"/>
                <w:color w:val="000000" w:themeColor="text1"/>
                <w:kern w:val="0"/>
                <w:sz w:val="24"/>
                <w:szCs w:val="24"/>
              </w:rPr>
              <w:t>⑤</w:t>
            </w:r>
            <w:r>
              <w:rPr>
                <w:rFonts w:ascii="Times New Roman" w:hAnsi="Times New Roman" w:cs="Times New Roman"/>
                <w:color w:val="000000" w:themeColor="text1"/>
                <w:kern w:val="0"/>
                <w:sz w:val="24"/>
                <w:szCs w:val="24"/>
              </w:rPr>
              <w:t>若是不能处理的伤势，不要盲目救治，等待专业医务人员处理。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100" w:type="dxa"/>
            <w:gridSpan w:val="5"/>
          </w:tcPr>
          <w:p>
            <w:pPr>
              <w:ind w:firstLine="482"/>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应急联系方式（电话号码）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761" w:type="dxa"/>
            <w:vMerge w:val="restart"/>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厂内</w:t>
            </w:r>
          </w:p>
        </w:tc>
        <w:tc>
          <w:tcPr>
            <w:tcW w:w="2446" w:type="dxa"/>
            <w:gridSpan w:val="2"/>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岗位负责人</w:t>
            </w:r>
          </w:p>
        </w:tc>
        <w:tc>
          <w:tcPr>
            <w:tcW w:w="2709"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加油站负责人</w:t>
            </w:r>
          </w:p>
        </w:tc>
        <w:tc>
          <w:tcPr>
            <w:tcW w:w="2184"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公司负责人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761" w:type="dxa"/>
            <w:vMerge w:val="continue"/>
            <w:vAlign w:val="center"/>
          </w:tcPr>
          <w:p>
            <w:pPr>
              <w:rPr>
                <w:rFonts w:ascii="Times New Roman" w:hAnsi="Times New Roman" w:cs="Times New Roman"/>
                <w:color w:val="000000" w:themeColor="text1"/>
                <w:sz w:val="24"/>
                <w:szCs w:val="24"/>
              </w:rPr>
            </w:pPr>
          </w:p>
        </w:tc>
        <w:tc>
          <w:tcPr>
            <w:tcW w:w="2446" w:type="dxa"/>
            <w:gridSpan w:val="2"/>
            <w:vAlign w:val="bottom"/>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w:t>
            </w:r>
          </w:p>
        </w:tc>
        <w:tc>
          <w:tcPr>
            <w:tcW w:w="2709" w:type="dxa"/>
            <w:vAlign w:val="bottom"/>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w:t>
            </w:r>
          </w:p>
        </w:tc>
        <w:tc>
          <w:tcPr>
            <w:tcW w:w="2184" w:type="dxa"/>
            <w:vAlign w:val="bottom"/>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761" w:type="dxa"/>
            <w:vMerge w:val="restart"/>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公共</w:t>
            </w:r>
          </w:p>
        </w:tc>
        <w:tc>
          <w:tcPr>
            <w:tcW w:w="2446" w:type="dxa"/>
            <w:gridSpan w:val="2"/>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报警电话</w:t>
            </w:r>
          </w:p>
        </w:tc>
        <w:tc>
          <w:tcPr>
            <w:tcW w:w="2709"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火警电话</w:t>
            </w:r>
          </w:p>
        </w:tc>
        <w:tc>
          <w:tcPr>
            <w:tcW w:w="2184"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急救电话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1761" w:type="dxa"/>
            <w:vMerge w:val="continue"/>
          </w:tcPr>
          <w:p>
            <w:pPr>
              <w:rPr>
                <w:rFonts w:ascii="Times New Roman" w:hAnsi="Times New Roman" w:cs="Times New Roman"/>
                <w:color w:val="000000" w:themeColor="text1"/>
                <w:sz w:val="24"/>
                <w:szCs w:val="24"/>
              </w:rPr>
            </w:pPr>
          </w:p>
        </w:tc>
        <w:tc>
          <w:tcPr>
            <w:tcW w:w="2446" w:type="dxa"/>
            <w:gridSpan w:val="2"/>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110</w:t>
            </w:r>
          </w:p>
        </w:tc>
        <w:tc>
          <w:tcPr>
            <w:tcW w:w="2709" w:type="dxa"/>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119</w:t>
            </w:r>
          </w:p>
        </w:tc>
        <w:tc>
          <w:tcPr>
            <w:tcW w:w="2184" w:type="dxa"/>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120</w:t>
            </w:r>
          </w:p>
        </w:tc>
      </w:tr>
    </w:tbl>
    <w:p>
      <w:pPr>
        <w:ind w:firstLine="482"/>
        <w:rPr>
          <w:rFonts w:ascii="Times New Roman" w:hAnsi="Times New Roman" w:cs="Times New Roman"/>
          <w:b/>
          <w:bCs/>
          <w:color w:val="000000" w:themeColor="text1"/>
          <w:kern w:val="44"/>
          <w:sz w:val="24"/>
          <w:szCs w:val="24"/>
        </w:rPr>
      </w:pPr>
      <w:bookmarkStart w:id="1363" w:name="_Toc294"/>
      <w:r>
        <w:rPr>
          <w:rFonts w:ascii="Times New Roman" w:hAnsi="Times New Roman" w:cs="Times New Roman"/>
          <w:b/>
          <w:bCs/>
          <w:color w:val="000000" w:themeColor="text1"/>
          <w:kern w:val="44"/>
          <w:sz w:val="24"/>
          <w:szCs w:val="24"/>
        </w:rPr>
        <w:br w:type="page"/>
      </w:r>
    </w:p>
    <w:p>
      <w:pPr>
        <w:keepNext/>
        <w:keepLines/>
        <w:spacing w:before="360"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64" w:name="_Toc28139"/>
      <w:bookmarkStart w:id="1365" w:name="_Toc6720"/>
      <w:r>
        <w:rPr>
          <w:rFonts w:ascii="Times New Roman" w:hAnsi="Times New Roman" w:cs="Times New Roman"/>
          <w:b/>
          <w:bCs/>
          <w:color w:val="000000" w:themeColor="text1"/>
          <w:sz w:val="24"/>
          <w:szCs w:val="24"/>
        </w:rPr>
        <w:t>附件十：突发环境事件报告表</w:t>
      </w:r>
      <w:bookmarkEnd w:id="1363"/>
      <w:bookmarkEnd w:id="1364"/>
      <w:bookmarkEnd w:id="1365"/>
    </w:p>
    <w:p>
      <w:pPr>
        <w:autoSpaceDN w:val="0"/>
        <w:ind w:firstLine="482" w:firstLineChars="200"/>
        <w:jc w:val="center"/>
        <w:rPr>
          <w:rFonts w:ascii="Times New Roman" w:hAnsi="Times New Roman" w:cs="Times New Roman"/>
          <w:b/>
          <w:bCs/>
          <w:color w:val="000000" w:themeColor="text1"/>
          <w:sz w:val="24"/>
          <w:szCs w:val="24"/>
        </w:rPr>
      </w:pPr>
      <w:bookmarkStart w:id="1366" w:name="_Toc29965_WPSOffice_Level1"/>
      <w:bookmarkStart w:id="1367" w:name="_Toc13494_WPSOffice_Level1"/>
      <w:bookmarkStart w:id="1368" w:name="_Toc20366_WPSOffice_Level1"/>
      <w:bookmarkStart w:id="1369" w:name="_Toc28927_WPSOffice_Level1"/>
      <w:bookmarkStart w:id="1370" w:name="_Toc26484_WPSOffice_Level1"/>
      <w:bookmarkStart w:id="1371" w:name="_Toc7502_WPSOffice_Level1"/>
      <w:r>
        <w:rPr>
          <w:rFonts w:ascii="Times New Roman" w:hAnsi="Times New Roman" w:cs="Times New Roman"/>
          <w:b/>
          <w:bCs/>
          <w:color w:val="000000" w:themeColor="text1"/>
          <w:sz w:val="24"/>
          <w:szCs w:val="24"/>
        </w:rPr>
        <w:t>表1  企业突发环境事件报告表（初报）</w:t>
      </w:r>
      <w:bookmarkEnd w:id="1366"/>
      <w:bookmarkEnd w:id="1367"/>
      <w:bookmarkEnd w:id="1368"/>
      <w:bookmarkEnd w:id="1369"/>
      <w:bookmarkEnd w:id="1370"/>
      <w:bookmarkEnd w:id="1371"/>
    </w:p>
    <w:p>
      <w:pPr>
        <w:spacing w:before="10" w:line="60" w:lineRule="exact"/>
        <w:rPr>
          <w:rFonts w:ascii="Times New Roman" w:hAnsi="Times New Roman" w:cs="Times New Roman"/>
          <w:color w:val="000000" w:themeColor="text1"/>
          <w:sz w:val="24"/>
          <w:szCs w:val="24"/>
        </w:rPr>
      </w:pPr>
    </w:p>
    <w:tbl>
      <w:tblPr>
        <w:tblStyle w:val="16"/>
        <w:tblW w:w="8914" w:type="dxa"/>
        <w:jc w:val="center"/>
        <w:tblLayout w:type="fixed"/>
        <w:tblCellMar>
          <w:top w:w="0" w:type="dxa"/>
          <w:left w:w="0" w:type="dxa"/>
          <w:bottom w:w="0" w:type="dxa"/>
          <w:right w:w="0" w:type="dxa"/>
        </w:tblCellMar>
      </w:tblPr>
      <w:tblGrid>
        <w:gridCol w:w="1951"/>
        <w:gridCol w:w="1136"/>
        <w:gridCol w:w="1843"/>
        <w:gridCol w:w="1048"/>
        <w:gridCol w:w="302"/>
        <w:gridCol w:w="1229"/>
        <w:gridCol w:w="1405"/>
      </w:tblGrid>
      <w:tr>
        <w:tblPrEx>
          <w:tblCellMar>
            <w:top w:w="0" w:type="dxa"/>
            <w:left w:w="0" w:type="dxa"/>
            <w:bottom w:w="0" w:type="dxa"/>
            <w:right w:w="0" w:type="dxa"/>
          </w:tblCellMar>
        </w:tblPrEx>
        <w:trPr>
          <w:trHeight w:val="400" w:hRule="exact"/>
          <w:jc w:val="center"/>
        </w:trPr>
        <w:tc>
          <w:tcPr>
            <w:tcW w:w="1951" w:type="dxa"/>
            <w:vMerge w:val="restart"/>
            <w:tcBorders>
              <w:top w:val="single" w:color="000000" w:sz="4" w:space="0"/>
              <w:left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报告方式</w:t>
            </w:r>
          </w:p>
        </w:tc>
        <w:tc>
          <w:tcPr>
            <w:tcW w:w="113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1</w:t>
            </w:r>
          </w:p>
        </w:tc>
        <w:tc>
          <w:tcPr>
            <w:tcW w:w="1843"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电话报告</w:t>
            </w:r>
          </w:p>
        </w:tc>
        <w:tc>
          <w:tcPr>
            <w:tcW w:w="1350" w:type="dxa"/>
            <w:gridSpan w:val="2"/>
            <w:vMerge w:val="restart"/>
            <w:tcBorders>
              <w:top w:val="single" w:color="000000" w:sz="4" w:space="0"/>
              <w:left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w:t>
            </w:r>
            <w:r>
              <w:rPr>
                <w:rFonts w:ascii="Times New Roman" w:hAnsi="Times New Roman" w:cs="Times New Roman"/>
                <w:color w:val="000000" w:themeColor="text1"/>
                <w:sz w:val="24"/>
                <w:szCs w:val="24"/>
              </w:rPr>
              <w:t>人</w:t>
            </w:r>
          </w:p>
        </w:tc>
        <w:tc>
          <w:tcPr>
            <w:tcW w:w="1229"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内部</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65" w:hRule="exact"/>
          <w:jc w:val="center"/>
        </w:trPr>
        <w:tc>
          <w:tcPr>
            <w:tcW w:w="1951" w:type="dxa"/>
            <w:vMerge w:val="continue"/>
            <w:tcBorders>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113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2</w:t>
            </w:r>
          </w:p>
        </w:tc>
        <w:tc>
          <w:tcPr>
            <w:tcW w:w="1843"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书面报告</w:t>
            </w:r>
          </w:p>
        </w:tc>
        <w:tc>
          <w:tcPr>
            <w:tcW w:w="1350" w:type="dxa"/>
            <w:gridSpan w:val="2"/>
            <w:vMerge w:val="continue"/>
            <w:tcBorders>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1229"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外部</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53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报告时间</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年月日时分</w:t>
            </w: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单位名称</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地址</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法人代表</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联系电话</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传真</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Email</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发生位置</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设备设施名称</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物料名称</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35"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类型</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泄漏火灾爆炸其它</w:t>
            </w: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污染物名称</w:t>
            </w: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数量</w:t>
            </w: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排放去向</w:t>
            </w: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已污染的范围</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101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position w:val="-1"/>
                <w:sz w:val="24"/>
                <w:szCs w:val="24"/>
              </w:rPr>
            </w:pPr>
            <w:r>
              <w:rPr>
                <w:rFonts w:ascii="Times New Roman" w:hAnsi="Times New Roman" w:cs="Times New Roman"/>
                <w:color w:val="000000" w:themeColor="text1"/>
                <w:position w:val="-1"/>
                <w:sz w:val="24"/>
                <w:szCs w:val="24"/>
              </w:rPr>
              <w:t>可能受影</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响区</w:t>
            </w:r>
            <w:r>
              <w:rPr>
                <w:rFonts w:ascii="Times New Roman" w:hAnsi="Times New Roman" w:cs="Times New Roman"/>
                <w:color w:val="000000" w:themeColor="text1"/>
                <w:sz w:val="24"/>
                <w:szCs w:val="24"/>
              </w:rPr>
              <w:t>域</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118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潜在的危害程</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度转化方式</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趋向</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79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position w:val="-1"/>
                <w:sz w:val="24"/>
                <w:szCs w:val="24"/>
              </w:rPr>
            </w:pPr>
            <w:r>
              <w:rPr>
                <w:rFonts w:ascii="Times New Roman" w:hAnsi="Times New Roman" w:cs="Times New Roman"/>
                <w:color w:val="000000" w:themeColor="text1"/>
                <w:position w:val="-1"/>
                <w:sz w:val="24"/>
                <w:szCs w:val="24"/>
              </w:rPr>
              <w:t>已采取的</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应急</w:t>
            </w:r>
            <w:r>
              <w:rPr>
                <w:rFonts w:ascii="Times New Roman" w:hAnsi="Times New Roman" w:cs="Times New Roman"/>
                <w:color w:val="000000" w:themeColor="text1"/>
                <w:sz w:val="24"/>
                <w:szCs w:val="24"/>
              </w:rPr>
              <w:t>措施</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56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建议采取措施</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1180" w:hRule="exact"/>
          <w:jc w:val="center"/>
        </w:trPr>
        <w:tc>
          <w:tcPr>
            <w:tcW w:w="1951"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直接人员伤亡</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和财产经济</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损失</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bl>
    <w:p>
      <w:pPr>
        <w:pStyle w:val="2"/>
        <w:ind w:firstLine="496"/>
        <w:rPr>
          <w:rFonts w:ascii="Times New Roman" w:hAnsi="Times New Roman" w:eastAsiaTheme="minorEastAsia"/>
          <w:color w:val="000000" w:themeColor="text1"/>
        </w:rPr>
      </w:pPr>
    </w:p>
    <w:p>
      <w:pPr>
        <w:ind w:firstLine="560"/>
        <w:rPr>
          <w:rFonts w:ascii="Times New Roman" w:hAnsi="Times New Roman" w:cs="Times New Roman"/>
          <w:color w:val="000000" w:themeColor="text1"/>
          <w:sz w:val="28"/>
          <w:szCs w:val="20"/>
        </w:rPr>
      </w:pPr>
      <w:r>
        <w:rPr>
          <w:rFonts w:ascii="Times New Roman" w:hAnsi="Times New Roman" w:cs="Times New Roman"/>
          <w:color w:val="000000" w:themeColor="text1"/>
          <w:sz w:val="28"/>
          <w:szCs w:val="20"/>
        </w:rPr>
        <w:br w:type="page"/>
      </w:r>
    </w:p>
    <w:p>
      <w:pPr>
        <w:spacing w:line="200" w:lineRule="exact"/>
        <w:ind w:firstLine="482"/>
        <w:rPr>
          <w:rFonts w:ascii="Times New Roman" w:hAnsi="Times New Roman" w:cs="Times New Roman"/>
          <w:b/>
          <w:bCs/>
          <w:color w:val="000000" w:themeColor="text1"/>
          <w:sz w:val="24"/>
          <w:szCs w:val="24"/>
        </w:rPr>
      </w:pPr>
    </w:p>
    <w:p>
      <w:pPr>
        <w:spacing w:line="320" w:lineRule="exact"/>
        <w:ind w:left="2282" w:firstLine="482"/>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表</w:t>
      </w:r>
      <w:r>
        <w:rPr>
          <w:rFonts w:ascii="Times New Roman" w:hAnsi="Times New Roman" w:cs="Times New Roman"/>
          <w:b/>
          <w:bCs/>
          <w:color w:val="000000" w:themeColor="text1"/>
          <w:spacing w:val="2"/>
          <w:sz w:val="24"/>
          <w:szCs w:val="24"/>
        </w:rPr>
        <w:t xml:space="preserve">2 </w:t>
      </w:r>
      <w:r>
        <w:rPr>
          <w:rFonts w:ascii="Times New Roman" w:hAnsi="Times New Roman" w:cs="Times New Roman"/>
          <w:b/>
          <w:bCs/>
          <w:color w:val="000000" w:themeColor="text1"/>
          <w:sz w:val="24"/>
          <w:szCs w:val="24"/>
        </w:rPr>
        <w:t>公</w:t>
      </w:r>
      <w:r>
        <w:rPr>
          <w:rFonts w:ascii="Times New Roman" w:hAnsi="Times New Roman" w:cs="Times New Roman"/>
          <w:b/>
          <w:bCs/>
          <w:color w:val="000000" w:themeColor="text1"/>
          <w:spacing w:val="2"/>
          <w:sz w:val="24"/>
          <w:szCs w:val="24"/>
        </w:rPr>
        <w:t>司</w:t>
      </w:r>
      <w:r>
        <w:rPr>
          <w:rFonts w:ascii="Times New Roman" w:hAnsi="Times New Roman" w:cs="Times New Roman"/>
          <w:b/>
          <w:bCs/>
          <w:color w:val="000000" w:themeColor="text1"/>
          <w:sz w:val="24"/>
          <w:szCs w:val="24"/>
        </w:rPr>
        <w:t>突</w:t>
      </w:r>
      <w:r>
        <w:rPr>
          <w:rFonts w:ascii="Times New Roman" w:hAnsi="Times New Roman" w:cs="Times New Roman"/>
          <w:b/>
          <w:bCs/>
          <w:color w:val="000000" w:themeColor="text1"/>
          <w:spacing w:val="2"/>
          <w:sz w:val="24"/>
          <w:szCs w:val="24"/>
        </w:rPr>
        <w:t>发</w:t>
      </w:r>
      <w:r>
        <w:rPr>
          <w:rFonts w:ascii="Times New Roman" w:hAnsi="Times New Roman" w:cs="Times New Roman"/>
          <w:b/>
          <w:bCs/>
          <w:color w:val="000000" w:themeColor="text1"/>
          <w:sz w:val="24"/>
          <w:szCs w:val="24"/>
        </w:rPr>
        <w:t>环境</w:t>
      </w:r>
      <w:r>
        <w:rPr>
          <w:rFonts w:ascii="Times New Roman" w:hAnsi="Times New Roman" w:cs="Times New Roman"/>
          <w:b/>
          <w:bCs/>
          <w:color w:val="000000" w:themeColor="text1"/>
          <w:spacing w:val="2"/>
          <w:sz w:val="24"/>
          <w:szCs w:val="24"/>
        </w:rPr>
        <w:t>事</w:t>
      </w:r>
      <w:r>
        <w:rPr>
          <w:rFonts w:ascii="Times New Roman" w:hAnsi="Times New Roman" w:cs="Times New Roman"/>
          <w:b/>
          <w:bCs/>
          <w:color w:val="000000" w:themeColor="text1"/>
          <w:sz w:val="24"/>
          <w:szCs w:val="24"/>
        </w:rPr>
        <w:t>件</w:t>
      </w:r>
      <w:r>
        <w:rPr>
          <w:rFonts w:ascii="Times New Roman" w:hAnsi="Times New Roman" w:cs="Times New Roman"/>
          <w:b/>
          <w:bCs/>
          <w:color w:val="000000" w:themeColor="text1"/>
          <w:spacing w:val="2"/>
          <w:sz w:val="24"/>
          <w:szCs w:val="24"/>
        </w:rPr>
        <w:t>报</w:t>
      </w:r>
      <w:r>
        <w:rPr>
          <w:rFonts w:ascii="Times New Roman" w:hAnsi="Times New Roman" w:cs="Times New Roman"/>
          <w:b/>
          <w:bCs/>
          <w:color w:val="000000" w:themeColor="text1"/>
          <w:sz w:val="24"/>
          <w:szCs w:val="24"/>
        </w:rPr>
        <w:t>告表</w:t>
      </w:r>
      <w:r>
        <w:rPr>
          <w:rFonts w:ascii="Times New Roman" w:hAnsi="Times New Roman" w:cs="Times New Roman"/>
          <w:b/>
          <w:bCs/>
          <w:color w:val="000000" w:themeColor="text1"/>
          <w:spacing w:val="2"/>
          <w:sz w:val="24"/>
          <w:szCs w:val="24"/>
        </w:rPr>
        <w:t>（</w:t>
      </w:r>
      <w:r>
        <w:rPr>
          <w:rFonts w:ascii="Times New Roman" w:hAnsi="Times New Roman" w:cs="Times New Roman"/>
          <w:b/>
          <w:bCs/>
          <w:color w:val="000000" w:themeColor="text1"/>
          <w:sz w:val="24"/>
          <w:szCs w:val="24"/>
        </w:rPr>
        <w:t>续报）</w:t>
      </w:r>
    </w:p>
    <w:p>
      <w:pPr>
        <w:spacing w:before="10" w:line="60" w:lineRule="exact"/>
        <w:rPr>
          <w:rFonts w:ascii="Times New Roman" w:hAnsi="Times New Roman" w:cs="Times New Roman"/>
          <w:color w:val="000000" w:themeColor="text1"/>
          <w:sz w:val="24"/>
          <w:szCs w:val="24"/>
        </w:rPr>
      </w:pPr>
    </w:p>
    <w:tbl>
      <w:tblPr>
        <w:tblStyle w:val="16"/>
        <w:tblW w:w="8907" w:type="dxa"/>
        <w:jc w:val="center"/>
        <w:tblLayout w:type="fixed"/>
        <w:tblCellMar>
          <w:top w:w="0" w:type="dxa"/>
          <w:left w:w="0" w:type="dxa"/>
          <w:bottom w:w="0" w:type="dxa"/>
          <w:right w:w="0" w:type="dxa"/>
        </w:tblCellMar>
      </w:tblPr>
      <w:tblGrid>
        <w:gridCol w:w="1950"/>
        <w:gridCol w:w="2505"/>
        <w:gridCol w:w="1484"/>
        <w:gridCol w:w="1484"/>
        <w:gridCol w:w="1484"/>
      </w:tblGrid>
      <w:tr>
        <w:tblPrEx>
          <w:tblCellMar>
            <w:top w:w="0" w:type="dxa"/>
            <w:left w:w="0" w:type="dxa"/>
            <w:bottom w:w="0" w:type="dxa"/>
            <w:right w:w="0" w:type="dxa"/>
          </w:tblCellMar>
        </w:tblPrEx>
        <w:trPr>
          <w:trHeight w:val="728"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报告方式</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电话报告或网络报</w:t>
            </w:r>
            <w:r>
              <w:rPr>
                <w:rFonts w:ascii="Times New Roman" w:hAnsi="Times New Roman" w:cs="Times New Roman"/>
                <w:color w:val="000000" w:themeColor="text1"/>
                <w:sz w:val="24"/>
                <w:szCs w:val="24"/>
              </w:rPr>
              <w:t>告</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报告人</w:t>
            </w: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报告时间</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年月日时分</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单位名称</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地址</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法人代表</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联系电话</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传真</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Email</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发生位置</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设备设施名称</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物料名称</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类型</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泄漏火灾爆炸其它</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污染物名称</w:t>
            </w: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数量</w:t>
            </w: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排放去向</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事件发生原因</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事件发生过程</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事件进展情况</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72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采取的应急措</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2"/>
                <w:sz w:val="24"/>
                <w:szCs w:val="24"/>
              </w:rPr>
              <w:t>施</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bl>
    <w:p>
      <w:pPr>
        <w:rPr>
          <w:rFonts w:ascii="Times New Roman" w:hAnsi="Times New Roman" w:cs="Times New Roman"/>
          <w:color w:val="000000" w:themeColor="text1"/>
          <w:sz w:val="24"/>
          <w:szCs w:val="24"/>
        </w:rPr>
        <w:sectPr>
          <w:footerReference r:id="rId7" w:type="default"/>
          <w:pgSz w:w="11920" w:h="16840"/>
          <w:pgMar w:top="1100" w:right="1200" w:bottom="280" w:left="1580" w:header="878" w:footer="1081" w:gutter="0"/>
          <w:pgNumType w:fmt="upperRoman" w:start="1"/>
          <w:cols w:space="720" w:num="1"/>
        </w:sectPr>
      </w:pPr>
    </w:p>
    <w:p>
      <w:pPr>
        <w:spacing w:line="320" w:lineRule="exact"/>
        <w:ind w:firstLine="482"/>
        <w:jc w:val="center"/>
        <w:rPr>
          <w:rFonts w:ascii="Times New Roman" w:hAnsi="Times New Roman" w:cs="Times New Roman"/>
          <w:b/>
          <w:bCs/>
          <w:color w:val="000000" w:themeColor="text1"/>
          <w:sz w:val="24"/>
          <w:szCs w:val="24"/>
        </w:rPr>
      </w:pPr>
      <w:bookmarkStart w:id="1372" w:name="_Toc1167_WPSOffice_Level1"/>
      <w:bookmarkStart w:id="1373" w:name="_Toc4640_WPSOffice_Level1"/>
      <w:bookmarkStart w:id="1374" w:name="_Toc15964_WPSOffice_Level1"/>
      <w:bookmarkStart w:id="1375" w:name="_Toc27314_WPSOffice_Level1"/>
      <w:bookmarkStart w:id="1376" w:name="_Toc17585_WPSOffice_Level1"/>
      <w:bookmarkStart w:id="1377" w:name="_Toc31114_WPSOffice_Level1"/>
      <w:r>
        <w:rPr>
          <w:rFonts w:ascii="Times New Roman" w:hAnsi="Times New Roman" w:cs="Times New Roman"/>
          <w:b/>
          <w:bCs/>
          <w:color w:val="000000" w:themeColor="text1"/>
          <w:sz w:val="24"/>
          <w:szCs w:val="24"/>
        </w:rPr>
        <w:t>表</w:t>
      </w:r>
      <w:r>
        <w:rPr>
          <w:rFonts w:ascii="Times New Roman" w:hAnsi="Times New Roman" w:cs="Times New Roman"/>
          <w:b/>
          <w:bCs/>
          <w:color w:val="000000" w:themeColor="text1"/>
          <w:spacing w:val="49"/>
          <w:sz w:val="24"/>
          <w:szCs w:val="24"/>
        </w:rPr>
        <w:t>3</w:t>
      </w:r>
      <w:r>
        <w:rPr>
          <w:rFonts w:ascii="Times New Roman" w:hAnsi="Times New Roman" w:cs="Times New Roman"/>
          <w:b/>
          <w:bCs/>
          <w:color w:val="000000" w:themeColor="text1"/>
          <w:sz w:val="24"/>
          <w:szCs w:val="24"/>
        </w:rPr>
        <w:t>公</w:t>
      </w:r>
      <w:r>
        <w:rPr>
          <w:rFonts w:ascii="Times New Roman" w:hAnsi="Times New Roman" w:cs="Times New Roman"/>
          <w:b/>
          <w:bCs/>
          <w:color w:val="000000" w:themeColor="text1"/>
          <w:spacing w:val="2"/>
          <w:sz w:val="24"/>
          <w:szCs w:val="24"/>
        </w:rPr>
        <w:t>司</w:t>
      </w:r>
      <w:r>
        <w:rPr>
          <w:rFonts w:ascii="Times New Roman" w:hAnsi="Times New Roman" w:cs="Times New Roman"/>
          <w:b/>
          <w:bCs/>
          <w:color w:val="000000" w:themeColor="text1"/>
          <w:sz w:val="24"/>
          <w:szCs w:val="24"/>
        </w:rPr>
        <w:t>突</w:t>
      </w:r>
      <w:r>
        <w:rPr>
          <w:rFonts w:ascii="Times New Roman" w:hAnsi="Times New Roman" w:cs="Times New Roman"/>
          <w:b/>
          <w:bCs/>
          <w:color w:val="000000" w:themeColor="text1"/>
          <w:spacing w:val="2"/>
          <w:sz w:val="24"/>
          <w:szCs w:val="24"/>
        </w:rPr>
        <w:t>发</w:t>
      </w:r>
      <w:r>
        <w:rPr>
          <w:rFonts w:ascii="Times New Roman" w:hAnsi="Times New Roman" w:cs="Times New Roman"/>
          <w:b/>
          <w:bCs/>
          <w:color w:val="000000" w:themeColor="text1"/>
          <w:sz w:val="24"/>
          <w:szCs w:val="24"/>
        </w:rPr>
        <w:t>环境</w:t>
      </w:r>
      <w:r>
        <w:rPr>
          <w:rFonts w:ascii="Times New Roman" w:hAnsi="Times New Roman" w:cs="Times New Roman"/>
          <w:b/>
          <w:bCs/>
          <w:color w:val="000000" w:themeColor="text1"/>
          <w:spacing w:val="2"/>
          <w:sz w:val="24"/>
          <w:szCs w:val="24"/>
        </w:rPr>
        <w:t>事</w:t>
      </w:r>
      <w:r>
        <w:rPr>
          <w:rFonts w:ascii="Times New Roman" w:hAnsi="Times New Roman" w:cs="Times New Roman"/>
          <w:b/>
          <w:bCs/>
          <w:color w:val="000000" w:themeColor="text1"/>
          <w:sz w:val="24"/>
          <w:szCs w:val="24"/>
        </w:rPr>
        <w:t>件</w:t>
      </w:r>
      <w:r>
        <w:rPr>
          <w:rFonts w:ascii="Times New Roman" w:hAnsi="Times New Roman" w:cs="Times New Roman"/>
          <w:b/>
          <w:bCs/>
          <w:color w:val="000000" w:themeColor="text1"/>
          <w:spacing w:val="2"/>
          <w:sz w:val="24"/>
          <w:szCs w:val="24"/>
        </w:rPr>
        <w:t>报</w:t>
      </w:r>
      <w:r>
        <w:rPr>
          <w:rFonts w:ascii="Times New Roman" w:hAnsi="Times New Roman" w:cs="Times New Roman"/>
          <w:b/>
          <w:bCs/>
          <w:color w:val="000000" w:themeColor="text1"/>
          <w:sz w:val="24"/>
          <w:szCs w:val="24"/>
        </w:rPr>
        <w:t>告表</w:t>
      </w:r>
      <w:r>
        <w:rPr>
          <w:rFonts w:ascii="Times New Roman" w:hAnsi="Times New Roman" w:cs="Times New Roman"/>
          <w:b/>
          <w:bCs/>
          <w:color w:val="000000" w:themeColor="text1"/>
          <w:spacing w:val="2"/>
          <w:sz w:val="24"/>
          <w:szCs w:val="24"/>
        </w:rPr>
        <w:t>（</w:t>
      </w:r>
      <w:r>
        <w:rPr>
          <w:rFonts w:ascii="Times New Roman" w:hAnsi="Times New Roman" w:cs="Times New Roman"/>
          <w:b/>
          <w:bCs/>
          <w:color w:val="000000" w:themeColor="text1"/>
          <w:sz w:val="24"/>
          <w:szCs w:val="24"/>
        </w:rPr>
        <w:t>处理</w:t>
      </w:r>
      <w:r>
        <w:rPr>
          <w:rFonts w:ascii="Times New Roman" w:hAnsi="Times New Roman" w:cs="Times New Roman"/>
          <w:b/>
          <w:bCs/>
          <w:color w:val="000000" w:themeColor="text1"/>
          <w:spacing w:val="2"/>
          <w:sz w:val="24"/>
          <w:szCs w:val="24"/>
        </w:rPr>
        <w:t>结</w:t>
      </w:r>
      <w:r>
        <w:rPr>
          <w:rFonts w:ascii="Times New Roman" w:hAnsi="Times New Roman" w:cs="Times New Roman"/>
          <w:b/>
          <w:bCs/>
          <w:color w:val="000000" w:themeColor="text1"/>
          <w:sz w:val="24"/>
          <w:szCs w:val="24"/>
        </w:rPr>
        <w:t>果</w:t>
      </w:r>
      <w:r>
        <w:rPr>
          <w:rFonts w:ascii="Times New Roman" w:hAnsi="Times New Roman" w:cs="Times New Roman"/>
          <w:b/>
          <w:bCs/>
          <w:color w:val="000000" w:themeColor="text1"/>
          <w:spacing w:val="2"/>
          <w:sz w:val="24"/>
          <w:szCs w:val="24"/>
        </w:rPr>
        <w:t>报</w:t>
      </w:r>
      <w:r>
        <w:rPr>
          <w:rFonts w:ascii="Times New Roman" w:hAnsi="Times New Roman" w:cs="Times New Roman"/>
          <w:b/>
          <w:bCs/>
          <w:color w:val="000000" w:themeColor="text1"/>
          <w:sz w:val="24"/>
          <w:szCs w:val="24"/>
        </w:rPr>
        <w:t>告）</w:t>
      </w:r>
      <w:bookmarkEnd w:id="1372"/>
      <w:bookmarkEnd w:id="1373"/>
      <w:bookmarkEnd w:id="1374"/>
      <w:bookmarkEnd w:id="1375"/>
      <w:bookmarkEnd w:id="1376"/>
      <w:bookmarkEnd w:id="1377"/>
    </w:p>
    <w:tbl>
      <w:tblPr>
        <w:tblStyle w:val="16"/>
        <w:tblW w:w="8907" w:type="dxa"/>
        <w:jc w:val="center"/>
        <w:tblLayout w:type="fixed"/>
        <w:tblCellMar>
          <w:top w:w="0" w:type="dxa"/>
          <w:left w:w="0" w:type="dxa"/>
          <w:bottom w:w="0" w:type="dxa"/>
          <w:right w:w="0" w:type="dxa"/>
        </w:tblCellMar>
      </w:tblPr>
      <w:tblGrid>
        <w:gridCol w:w="1482"/>
        <w:gridCol w:w="2970"/>
        <w:gridCol w:w="1484"/>
        <w:gridCol w:w="1484"/>
        <w:gridCol w:w="1487"/>
      </w:tblGrid>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报告方</w:t>
            </w:r>
            <w:r>
              <w:rPr>
                <w:rFonts w:ascii="Times New Roman" w:hAnsi="Times New Roman" w:cs="Times New Roman"/>
                <w:color w:val="000000" w:themeColor="text1"/>
                <w:sz w:val="24"/>
                <w:szCs w:val="24"/>
              </w:rPr>
              <w:t>式</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电</w:t>
            </w:r>
            <w:r>
              <w:rPr>
                <w:rFonts w:ascii="Times New Roman" w:hAnsi="Times New Roman" w:cs="Times New Roman"/>
                <w:color w:val="000000" w:themeColor="text1"/>
                <w:spacing w:val="2"/>
                <w:sz w:val="24"/>
                <w:szCs w:val="24"/>
              </w:rPr>
              <w:t>话</w:t>
            </w:r>
            <w:r>
              <w:rPr>
                <w:rFonts w:ascii="Times New Roman" w:hAnsi="Times New Roman" w:cs="Times New Roman"/>
                <w:color w:val="000000" w:themeColor="text1"/>
                <w:sz w:val="24"/>
                <w:szCs w:val="24"/>
              </w:rPr>
              <w:t>报</w:t>
            </w:r>
            <w:r>
              <w:rPr>
                <w:rFonts w:ascii="Times New Roman" w:hAnsi="Times New Roman" w:cs="Times New Roman"/>
                <w:color w:val="000000" w:themeColor="text1"/>
                <w:spacing w:val="2"/>
                <w:sz w:val="24"/>
                <w:szCs w:val="24"/>
              </w:rPr>
              <w:t>告</w:t>
            </w:r>
            <w:r>
              <w:rPr>
                <w:rFonts w:ascii="Times New Roman" w:hAnsi="Times New Roman" w:cs="Times New Roman"/>
                <w:color w:val="000000" w:themeColor="text1"/>
                <w:sz w:val="24"/>
                <w:szCs w:val="24"/>
              </w:rPr>
              <w:t>或</w:t>
            </w:r>
            <w:r>
              <w:rPr>
                <w:rFonts w:ascii="Times New Roman" w:hAnsi="Times New Roman" w:cs="Times New Roman"/>
                <w:color w:val="000000" w:themeColor="text1"/>
                <w:spacing w:val="2"/>
                <w:sz w:val="24"/>
                <w:szCs w:val="24"/>
              </w:rPr>
              <w:t>网</w:t>
            </w:r>
            <w:r>
              <w:rPr>
                <w:rFonts w:ascii="Times New Roman" w:hAnsi="Times New Roman" w:cs="Times New Roman"/>
                <w:color w:val="000000" w:themeColor="text1"/>
                <w:sz w:val="24"/>
                <w:szCs w:val="24"/>
              </w:rPr>
              <w:t>络</w:t>
            </w:r>
            <w:r>
              <w:rPr>
                <w:rFonts w:ascii="Times New Roman" w:hAnsi="Times New Roman" w:cs="Times New Roman"/>
                <w:color w:val="000000" w:themeColor="text1"/>
                <w:spacing w:val="2"/>
                <w:sz w:val="24"/>
                <w:szCs w:val="24"/>
              </w:rPr>
              <w:t>报</w:t>
            </w:r>
            <w:r>
              <w:rPr>
                <w:rFonts w:ascii="Times New Roman" w:hAnsi="Times New Roman" w:cs="Times New Roman"/>
                <w:color w:val="000000" w:themeColor="text1"/>
                <w:sz w:val="24"/>
                <w:szCs w:val="24"/>
              </w:rPr>
              <w:t>告</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报</w:t>
            </w:r>
            <w:r>
              <w:rPr>
                <w:rFonts w:ascii="Times New Roman" w:hAnsi="Times New Roman" w:cs="Times New Roman"/>
                <w:color w:val="000000" w:themeColor="text1"/>
                <w:spacing w:val="2"/>
                <w:sz w:val="24"/>
                <w:szCs w:val="24"/>
              </w:rPr>
              <w:t>告</w:t>
            </w:r>
            <w:r>
              <w:rPr>
                <w:rFonts w:ascii="Times New Roman" w:hAnsi="Times New Roman" w:cs="Times New Roman"/>
                <w:color w:val="000000" w:themeColor="text1"/>
                <w:sz w:val="24"/>
                <w:szCs w:val="24"/>
              </w:rPr>
              <w:t>人</w:t>
            </w: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报告时</w:t>
            </w:r>
            <w:r>
              <w:rPr>
                <w:rFonts w:ascii="Times New Roman" w:hAnsi="Times New Roman" w:cs="Times New Roman"/>
                <w:color w:val="000000" w:themeColor="text1"/>
                <w:sz w:val="24"/>
                <w:szCs w:val="24"/>
              </w:rPr>
              <w:t>间</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年月日时分</w:t>
            </w: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单位名</w:t>
            </w:r>
            <w:r>
              <w:rPr>
                <w:rFonts w:ascii="Times New Roman" w:hAnsi="Times New Roman" w:cs="Times New Roman"/>
                <w:color w:val="000000" w:themeColor="text1"/>
                <w:sz w:val="24"/>
                <w:szCs w:val="24"/>
              </w:rPr>
              <w:t>称</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地址</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法人代</w:t>
            </w:r>
            <w:r>
              <w:rPr>
                <w:rFonts w:ascii="Times New Roman" w:hAnsi="Times New Roman" w:cs="Times New Roman"/>
                <w:color w:val="000000" w:themeColor="text1"/>
                <w:sz w:val="24"/>
                <w:szCs w:val="24"/>
              </w:rPr>
              <w:t>表</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联系电话</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562"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传真</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Email</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发生位</w:t>
            </w:r>
            <w:r>
              <w:rPr>
                <w:rFonts w:ascii="Times New Roman" w:hAnsi="Times New Roman" w:cs="Times New Roman"/>
                <w:color w:val="000000" w:themeColor="text1"/>
                <w:sz w:val="24"/>
                <w:szCs w:val="24"/>
              </w:rPr>
              <w:t>置</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设备设</w:t>
            </w:r>
            <w:r>
              <w:rPr>
                <w:rFonts w:ascii="Times New Roman" w:hAnsi="Times New Roman" w:cs="Times New Roman"/>
                <w:color w:val="000000" w:themeColor="text1"/>
                <w:sz w:val="24"/>
                <w:szCs w:val="24"/>
              </w:rPr>
              <w:t>施</w:t>
            </w:r>
            <w:r>
              <w:rPr>
                <w:rFonts w:ascii="Times New Roman" w:hAnsi="Times New Roman" w:cs="Times New Roman"/>
                <w:color w:val="000000" w:themeColor="text1"/>
                <w:spacing w:val="2"/>
                <w:sz w:val="24"/>
                <w:szCs w:val="24"/>
              </w:rPr>
              <w:t>名</w:t>
            </w:r>
            <w:r>
              <w:rPr>
                <w:rFonts w:ascii="Times New Roman" w:hAnsi="Times New Roman" w:cs="Times New Roman"/>
                <w:color w:val="000000" w:themeColor="text1"/>
                <w:sz w:val="24"/>
                <w:szCs w:val="24"/>
              </w:rPr>
              <w:t>称</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物料名</w:t>
            </w:r>
            <w:r>
              <w:rPr>
                <w:rFonts w:ascii="Times New Roman" w:hAnsi="Times New Roman" w:cs="Times New Roman"/>
                <w:color w:val="000000" w:themeColor="text1"/>
                <w:sz w:val="24"/>
                <w:szCs w:val="24"/>
              </w:rPr>
              <w:t>称</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类型</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泄漏火灾爆炸其它</w:t>
            </w:r>
          </w:p>
        </w:tc>
      </w:tr>
      <w:tr>
        <w:tblPrEx>
          <w:tblCellMar>
            <w:top w:w="0" w:type="dxa"/>
            <w:left w:w="0" w:type="dxa"/>
            <w:bottom w:w="0" w:type="dxa"/>
            <w:right w:w="0" w:type="dxa"/>
          </w:tblCellMar>
        </w:tblPrEx>
        <w:trPr>
          <w:trHeight w:val="634"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污染物名称</w:t>
            </w: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数量</w:t>
            </w: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ind w:firstLine="488"/>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排放去向</w:t>
            </w: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ind w:firstLine="473"/>
              <w:jc w:val="center"/>
              <w:rPr>
                <w:rFonts w:ascii="Times New Roman" w:hAnsi="Times New Roman" w:cs="Times New Roman"/>
                <w:color w:val="000000" w:themeColor="text1"/>
                <w:sz w:val="24"/>
                <w:szCs w:val="24"/>
              </w:rPr>
            </w:pPr>
            <w:r>
              <w:rPr>
                <w:rFonts w:ascii="Times New Roman" w:hAnsi="Times New Roman" w:cs="Times New Roman"/>
                <w:color w:val="000000" w:themeColor="text1"/>
                <w:w w:val="99"/>
                <w:sz w:val="24"/>
                <w:szCs w:val="24"/>
              </w:rPr>
              <w:t>（报</w:t>
            </w:r>
            <w:r>
              <w:rPr>
                <w:rFonts w:ascii="Times New Roman" w:hAnsi="Times New Roman" w:cs="Times New Roman"/>
                <w:color w:val="000000" w:themeColor="text1"/>
                <w:spacing w:val="2"/>
                <w:w w:val="99"/>
                <w:sz w:val="24"/>
                <w:szCs w:val="24"/>
              </w:rPr>
              <w:t>告</w:t>
            </w:r>
            <w:r>
              <w:rPr>
                <w:rFonts w:ascii="Times New Roman" w:hAnsi="Times New Roman" w:cs="Times New Roman"/>
                <w:color w:val="000000" w:themeColor="text1"/>
                <w:w w:val="99"/>
                <w:sz w:val="24"/>
                <w:szCs w:val="24"/>
              </w:rPr>
              <w:t>正</w:t>
            </w:r>
            <w:r>
              <w:rPr>
                <w:rFonts w:ascii="Times New Roman" w:hAnsi="Times New Roman" w:cs="Times New Roman"/>
                <w:color w:val="000000" w:themeColor="text1"/>
                <w:spacing w:val="2"/>
                <w:w w:val="99"/>
                <w:sz w:val="24"/>
                <w:szCs w:val="24"/>
              </w:rPr>
              <w:t>文</w:t>
            </w:r>
            <w:r>
              <w:rPr>
                <w:rFonts w:ascii="Times New Roman" w:hAnsi="Times New Roman" w:cs="Times New Roman"/>
                <w:color w:val="000000" w:themeColor="text1"/>
                <w:w w:val="99"/>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一</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处</w:t>
            </w:r>
            <w:r>
              <w:rPr>
                <w:rFonts w:ascii="Times New Roman" w:hAnsi="Times New Roman" w:cs="Times New Roman"/>
                <w:color w:val="000000" w:themeColor="text1"/>
                <w:spacing w:val="2"/>
                <w:sz w:val="24"/>
                <w:szCs w:val="24"/>
              </w:rPr>
              <w:t>理</w:t>
            </w:r>
            <w:r>
              <w:rPr>
                <w:rFonts w:ascii="Times New Roman" w:hAnsi="Times New Roman" w:cs="Times New Roman"/>
                <w:color w:val="000000" w:themeColor="text1"/>
                <w:sz w:val="24"/>
                <w:szCs w:val="24"/>
              </w:rPr>
              <w:t>事</w:t>
            </w:r>
            <w:r>
              <w:rPr>
                <w:rFonts w:ascii="Times New Roman" w:hAnsi="Times New Roman" w:cs="Times New Roman"/>
                <w:color w:val="000000" w:themeColor="text1"/>
                <w:spacing w:val="2"/>
                <w:sz w:val="24"/>
                <w:szCs w:val="24"/>
              </w:rPr>
              <w:t>件</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措</w:t>
            </w:r>
            <w:r>
              <w:rPr>
                <w:rFonts w:ascii="Times New Roman" w:hAnsi="Times New Roman" w:cs="Times New Roman"/>
                <w:color w:val="000000" w:themeColor="text1"/>
                <w:sz w:val="24"/>
                <w:szCs w:val="24"/>
              </w:rPr>
              <w:t>施</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过</w:t>
            </w:r>
            <w:r>
              <w:rPr>
                <w:rFonts w:ascii="Times New Roman" w:hAnsi="Times New Roman" w:cs="Times New Roman"/>
                <w:color w:val="000000" w:themeColor="text1"/>
                <w:spacing w:val="2"/>
                <w:sz w:val="24"/>
                <w:szCs w:val="24"/>
              </w:rPr>
              <w:t>程</w:t>
            </w:r>
            <w:r>
              <w:rPr>
                <w:rFonts w:ascii="Times New Roman" w:hAnsi="Times New Roman" w:cs="Times New Roman"/>
                <w:color w:val="000000" w:themeColor="text1"/>
                <w:sz w:val="24"/>
                <w:szCs w:val="24"/>
              </w:rPr>
              <w:t>和</w:t>
            </w:r>
            <w:r>
              <w:rPr>
                <w:rFonts w:ascii="Times New Roman" w:hAnsi="Times New Roman" w:cs="Times New Roman"/>
                <w:color w:val="000000" w:themeColor="text1"/>
                <w:spacing w:val="2"/>
                <w:sz w:val="24"/>
                <w:szCs w:val="24"/>
              </w:rPr>
              <w:t>结</w:t>
            </w:r>
            <w:r>
              <w:rPr>
                <w:rFonts w:ascii="Times New Roman" w:hAnsi="Times New Roman" w:cs="Times New Roman"/>
                <w:color w:val="000000" w:themeColor="text1"/>
                <w:sz w:val="24"/>
                <w:szCs w:val="24"/>
              </w:rPr>
              <w:t>果：</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二</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污</w:t>
            </w:r>
            <w:r>
              <w:rPr>
                <w:rFonts w:ascii="Times New Roman" w:hAnsi="Times New Roman" w:cs="Times New Roman"/>
                <w:color w:val="000000" w:themeColor="text1"/>
                <w:spacing w:val="2"/>
                <w:sz w:val="24"/>
                <w:szCs w:val="24"/>
              </w:rPr>
              <w:t>染</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范</w:t>
            </w:r>
            <w:r>
              <w:rPr>
                <w:rFonts w:ascii="Times New Roman" w:hAnsi="Times New Roman" w:cs="Times New Roman"/>
                <w:color w:val="000000" w:themeColor="text1"/>
                <w:sz w:val="24"/>
                <w:szCs w:val="24"/>
              </w:rPr>
              <w:t>围</w:t>
            </w:r>
            <w:r>
              <w:rPr>
                <w:rFonts w:ascii="Times New Roman" w:hAnsi="Times New Roman" w:cs="Times New Roman"/>
                <w:color w:val="000000" w:themeColor="text1"/>
                <w:spacing w:val="2"/>
                <w:sz w:val="24"/>
                <w:szCs w:val="24"/>
              </w:rPr>
              <w:t>和</w:t>
            </w:r>
            <w:r>
              <w:rPr>
                <w:rFonts w:ascii="Times New Roman" w:hAnsi="Times New Roman" w:cs="Times New Roman"/>
                <w:color w:val="000000" w:themeColor="text1"/>
                <w:sz w:val="24"/>
                <w:szCs w:val="24"/>
              </w:rPr>
              <w:t>程</w:t>
            </w:r>
            <w:r>
              <w:rPr>
                <w:rFonts w:ascii="Times New Roman" w:hAnsi="Times New Roman" w:cs="Times New Roman"/>
                <w:color w:val="000000" w:themeColor="text1"/>
                <w:spacing w:val="2"/>
                <w:sz w:val="24"/>
                <w:szCs w:val="24"/>
              </w:rPr>
              <w:t>度</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三</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事</w:t>
            </w:r>
            <w:r>
              <w:rPr>
                <w:rFonts w:ascii="Times New Roman" w:hAnsi="Times New Roman" w:cs="Times New Roman"/>
                <w:color w:val="000000" w:themeColor="text1"/>
                <w:spacing w:val="2"/>
                <w:sz w:val="24"/>
                <w:szCs w:val="24"/>
              </w:rPr>
              <w:t>件</w:t>
            </w:r>
            <w:r>
              <w:rPr>
                <w:rFonts w:ascii="Times New Roman" w:hAnsi="Times New Roman" w:cs="Times New Roman"/>
                <w:color w:val="000000" w:themeColor="text1"/>
                <w:sz w:val="24"/>
                <w:szCs w:val="24"/>
              </w:rPr>
              <w:t>潜</w:t>
            </w:r>
            <w:r>
              <w:rPr>
                <w:rFonts w:ascii="Times New Roman" w:hAnsi="Times New Roman" w:cs="Times New Roman"/>
                <w:color w:val="000000" w:themeColor="text1"/>
                <w:spacing w:val="2"/>
                <w:sz w:val="24"/>
                <w:szCs w:val="24"/>
              </w:rPr>
              <w:t>在</w:t>
            </w:r>
            <w:r>
              <w:rPr>
                <w:rFonts w:ascii="Times New Roman" w:hAnsi="Times New Roman" w:cs="Times New Roman"/>
                <w:color w:val="000000" w:themeColor="text1"/>
                <w:sz w:val="24"/>
                <w:szCs w:val="24"/>
              </w:rPr>
              <w:t>或</w:t>
            </w:r>
            <w:r>
              <w:rPr>
                <w:rFonts w:ascii="Times New Roman" w:hAnsi="Times New Roman" w:cs="Times New Roman"/>
                <w:color w:val="000000" w:themeColor="text1"/>
                <w:spacing w:val="2"/>
                <w:sz w:val="24"/>
                <w:szCs w:val="24"/>
              </w:rPr>
              <w:t>间</w:t>
            </w:r>
            <w:r>
              <w:rPr>
                <w:rFonts w:ascii="Times New Roman" w:hAnsi="Times New Roman" w:cs="Times New Roman"/>
                <w:color w:val="000000" w:themeColor="text1"/>
                <w:sz w:val="24"/>
                <w:szCs w:val="24"/>
              </w:rPr>
              <w:t>接</w:t>
            </w:r>
            <w:r>
              <w:rPr>
                <w:rFonts w:ascii="Times New Roman" w:hAnsi="Times New Roman" w:cs="Times New Roman"/>
                <w:color w:val="000000" w:themeColor="text1"/>
                <w:spacing w:val="2"/>
                <w:sz w:val="24"/>
                <w:szCs w:val="24"/>
              </w:rPr>
              <w:t>的</w:t>
            </w:r>
            <w:r>
              <w:rPr>
                <w:rFonts w:ascii="Times New Roman" w:hAnsi="Times New Roman" w:cs="Times New Roman"/>
                <w:color w:val="000000" w:themeColor="text1"/>
                <w:sz w:val="24"/>
                <w:szCs w:val="24"/>
              </w:rPr>
              <w:t>危</w:t>
            </w:r>
            <w:r>
              <w:rPr>
                <w:rFonts w:ascii="Times New Roman" w:hAnsi="Times New Roman" w:cs="Times New Roman"/>
                <w:color w:val="000000" w:themeColor="text1"/>
                <w:spacing w:val="2"/>
                <w:sz w:val="24"/>
                <w:szCs w:val="24"/>
              </w:rPr>
              <w:t>害</w:t>
            </w:r>
            <w:r>
              <w:rPr>
                <w:rFonts w:ascii="Times New Roman" w:hAnsi="Times New Roman" w:cs="Times New Roman"/>
                <w:color w:val="000000" w:themeColor="text1"/>
                <w:sz w:val="24"/>
                <w:szCs w:val="24"/>
              </w:rPr>
              <w:t>、</w:t>
            </w:r>
            <w:r>
              <w:rPr>
                <w:rFonts w:ascii="Times New Roman" w:hAnsi="Times New Roman" w:cs="Times New Roman"/>
                <w:color w:val="000000" w:themeColor="text1"/>
                <w:spacing w:val="2"/>
                <w:sz w:val="24"/>
                <w:szCs w:val="24"/>
              </w:rPr>
              <w:t>社</w:t>
            </w:r>
            <w:r>
              <w:rPr>
                <w:rFonts w:ascii="Times New Roman" w:hAnsi="Times New Roman" w:cs="Times New Roman"/>
                <w:color w:val="000000" w:themeColor="text1"/>
                <w:sz w:val="24"/>
                <w:szCs w:val="24"/>
              </w:rPr>
              <w:t>会</w:t>
            </w:r>
            <w:r>
              <w:rPr>
                <w:rFonts w:ascii="Times New Roman" w:hAnsi="Times New Roman" w:cs="Times New Roman"/>
                <w:color w:val="000000" w:themeColor="text1"/>
                <w:spacing w:val="2"/>
                <w:sz w:val="24"/>
                <w:szCs w:val="24"/>
              </w:rPr>
              <w:t>影</w:t>
            </w:r>
            <w:r>
              <w:rPr>
                <w:rFonts w:ascii="Times New Roman" w:hAnsi="Times New Roman" w:cs="Times New Roman"/>
                <w:color w:val="000000" w:themeColor="text1"/>
                <w:sz w:val="24"/>
                <w:szCs w:val="24"/>
              </w:rPr>
              <w:t>响：</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四</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处</w:t>
            </w:r>
            <w:r>
              <w:rPr>
                <w:rFonts w:ascii="Times New Roman" w:hAnsi="Times New Roman" w:cs="Times New Roman"/>
                <w:color w:val="000000" w:themeColor="text1"/>
                <w:spacing w:val="2"/>
                <w:sz w:val="24"/>
                <w:szCs w:val="24"/>
              </w:rPr>
              <w:t>理</w:t>
            </w:r>
            <w:r>
              <w:rPr>
                <w:rFonts w:ascii="Times New Roman" w:hAnsi="Times New Roman" w:cs="Times New Roman"/>
                <w:color w:val="000000" w:themeColor="text1"/>
                <w:sz w:val="24"/>
                <w:szCs w:val="24"/>
              </w:rPr>
              <w:t>后</w:t>
            </w:r>
            <w:r>
              <w:rPr>
                <w:rFonts w:ascii="Times New Roman" w:hAnsi="Times New Roman" w:cs="Times New Roman"/>
                <w:color w:val="000000" w:themeColor="text1"/>
                <w:spacing w:val="2"/>
                <w:sz w:val="24"/>
                <w:szCs w:val="24"/>
              </w:rPr>
              <w:t>的</w:t>
            </w:r>
            <w:r>
              <w:rPr>
                <w:rFonts w:ascii="Times New Roman" w:hAnsi="Times New Roman" w:cs="Times New Roman"/>
                <w:color w:val="000000" w:themeColor="text1"/>
                <w:sz w:val="24"/>
                <w:szCs w:val="24"/>
              </w:rPr>
              <w:t>遗</w:t>
            </w:r>
            <w:r>
              <w:rPr>
                <w:rFonts w:ascii="Times New Roman" w:hAnsi="Times New Roman" w:cs="Times New Roman"/>
                <w:color w:val="000000" w:themeColor="text1"/>
                <w:spacing w:val="2"/>
                <w:sz w:val="24"/>
                <w:szCs w:val="24"/>
              </w:rPr>
              <w:t>留</w:t>
            </w:r>
            <w:r>
              <w:rPr>
                <w:rFonts w:ascii="Times New Roman" w:hAnsi="Times New Roman" w:cs="Times New Roman"/>
                <w:color w:val="000000" w:themeColor="text1"/>
                <w:sz w:val="24"/>
                <w:szCs w:val="24"/>
              </w:rPr>
              <w:t>问</w:t>
            </w:r>
            <w:r>
              <w:rPr>
                <w:rFonts w:ascii="Times New Roman" w:hAnsi="Times New Roman" w:cs="Times New Roman"/>
                <w:color w:val="000000" w:themeColor="text1"/>
                <w:spacing w:val="2"/>
                <w:sz w:val="24"/>
                <w:szCs w:val="24"/>
              </w:rPr>
              <w:t>题</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五</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参</w:t>
            </w:r>
            <w:r>
              <w:rPr>
                <w:rFonts w:ascii="Times New Roman" w:hAnsi="Times New Roman" w:cs="Times New Roman"/>
                <w:color w:val="000000" w:themeColor="text1"/>
                <w:spacing w:val="2"/>
                <w:sz w:val="24"/>
                <w:szCs w:val="24"/>
              </w:rPr>
              <w:t>加</w:t>
            </w:r>
            <w:r>
              <w:rPr>
                <w:rFonts w:ascii="Times New Roman" w:hAnsi="Times New Roman" w:cs="Times New Roman"/>
                <w:color w:val="000000" w:themeColor="text1"/>
                <w:sz w:val="24"/>
                <w:szCs w:val="24"/>
              </w:rPr>
              <w:t>处</w:t>
            </w:r>
            <w:r>
              <w:rPr>
                <w:rFonts w:ascii="Times New Roman" w:hAnsi="Times New Roman" w:cs="Times New Roman"/>
                <w:color w:val="000000" w:themeColor="text1"/>
                <w:spacing w:val="2"/>
                <w:sz w:val="24"/>
                <w:szCs w:val="24"/>
              </w:rPr>
              <w:t>理</w:t>
            </w:r>
            <w:r>
              <w:rPr>
                <w:rFonts w:ascii="Times New Roman" w:hAnsi="Times New Roman" w:cs="Times New Roman"/>
                <w:color w:val="000000" w:themeColor="text1"/>
                <w:sz w:val="24"/>
                <w:szCs w:val="24"/>
              </w:rPr>
              <w:t>工</w:t>
            </w:r>
            <w:r>
              <w:rPr>
                <w:rFonts w:ascii="Times New Roman" w:hAnsi="Times New Roman" w:cs="Times New Roman"/>
                <w:color w:val="000000" w:themeColor="text1"/>
                <w:spacing w:val="2"/>
                <w:sz w:val="24"/>
                <w:szCs w:val="24"/>
              </w:rPr>
              <w:t>作</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有</w:t>
            </w:r>
            <w:r>
              <w:rPr>
                <w:rFonts w:ascii="Times New Roman" w:hAnsi="Times New Roman" w:cs="Times New Roman"/>
                <w:color w:val="000000" w:themeColor="text1"/>
                <w:sz w:val="24"/>
                <w:szCs w:val="24"/>
              </w:rPr>
              <w:t>关</w:t>
            </w:r>
            <w:r>
              <w:rPr>
                <w:rFonts w:ascii="Times New Roman" w:hAnsi="Times New Roman" w:cs="Times New Roman"/>
                <w:color w:val="000000" w:themeColor="text1"/>
                <w:spacing w:val="2"/>
                <w:sz w:val="24"/>
                <w:szCs w:val="24"/>
              </w:rPr>
              <w:t>部</w:t>
            </w:r>
            <w:r>
              <w:rPr>
                <w:rFonts w:ascii="Times New Roman" w:hAnsi="Times New Roman" w:cs="Times New Roman"/>
                <w:color w:val="000000" w:themeColor="text1"/>
                <w:sz w:val="24"/>
                <w:szCs w:val="24"/>
              </w:rPr>
              <w:t>门</w:t>
            </w:r>
            <w:r>
              <w:rPr>
                <w:rFonts w:ascii="Times New Roman" w:hAnsi="Times New Roman" w:cs="Times New Roman"/>
                <w:color w:val="000000" w:themeColor="text1"/>
                <w:spacing w:val="2"/>
                <w:sz w:val="24"/>
                <w:szCs w:val="24"/>
              </w:rPr>
              <w:t>和</w:t>
            </w:r>
            <w:r>
              <w:rPr>
                <w:rFonts w:ascii="Times New Roman" w:hAnsi="Times New Roman" w:cs="Times New Roman"/>
                <w:color w:val="000000" w:themeColor="text1"/>
                <w:sz w:val="24"/>
                <w:szCs w:val="24"/>
              </w:rPr>
              <w:t>工</w:t>
            </w:r>
            <w:r>
              <w:rPr>
                <w:rFonts w:ascii="Times New Roman" w:hAnsi="Times New Roman" w:cs="Times New Roman"/>
                <w:color w:val="000000" w:themeColor="text1"/>
                <w:spacing w:val="2"/>
                <w:sz w:val="24"/>
                <w:szCs w:val="24"/>
              </w:rPr>
              <w:t>作</w:t>
            </w:r>
            <w:r>
              <w:rPr>
                <w:rFonts w:ascii="Times New Roman" w:hAnsi="Times New Roman" w:cs="Times New Roman"/>
                <w:color w:val="000000" w:themeColor="text1"/>
                <w:sz w:val="24"/>
                <w:szCs w:val="24"/>
              </w:rPr>
              <w:t>内</w:t>
            </w:r>
            <w:r>
              <w:rPr>
                <w:rFonts w:ascii="Times New Roman" w:hAnsi="Times New Roman" w:cs="Times New Roman"/>
                <w:color w:val="000000" w:themeColor="text1"/>
                <w:spacing w:val="2"/>
                <w:sz w:val="24"/>
                <w:szCs w:val="24"/>
              </w:rPr>
              <w:t>容</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634"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ind w:firstLine="488"/>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六</w:t>
            </w:r>
            <w:r>
              <w:rPr>
                <w:rFonts w:ascii="Times New Roman" w:hAnsi="Times New Roman" w:cs="Times New Roman"/>
                <w:color w:val="000000" w:themeColor="text1"/>
                <w:sz w:val="24"/>
                <w:szCs w:val="24"/>
              </w:rPr>
              <w:t>、</w:t>
            </w:r>
            <w:r>
              <w:rPr>
                <w:rFonts w:ascii="Times New Roman" w:hAnsi="Times New Roman" w:cs="Times New Roman"/>
                <w:color w:val="000000" w:themeColor="text1"/>
                <w:spacing w:val="2"/>
                <w:sz w:val="24"/>
                <w:szCs w:val="24"/>
              </w:rPr>
              <w:t>有</w:t>
            </w:r>
            <w:r>
              <w:rPr>
                <w:rFonts w:ascii="Times New Roman" w:hAnsi="Times New Roman" w:cs="Times New Roman"/>
                <w:color w:val="000000" w:themeColor="text1"/>
                <w:sz w:val="24"/>
                <w:szCs w:val="24"/>
              </w:rPr>
              <w:t>关</w:t>
            </w:r>
            <w:r>
              <w:rPr>
                <w:rFonts w:ascii="Times New Roman" w:hAnsi="Times New Roman" w:cs="Times New Roman"/>
                <w:color w:val="000000" w:themeColor="text1"/>
                <w:spacing w:val="2"/>
                <w:sz w:val="24"/>
                <w:szCs w:val="24"/>
              </w:rPr>
              <w:t>危</w:t>
            </w:r>
            <w:r>
              <w:rPr>
                <w:rFonts w:ascii="Times New Roman" w:hAnsi="Times New Roman" w:cs="Times New Roman"/>
                <w:color w:val="000000" w:themeColor="text1"/>
                <w:sz w:val="24"/>
                <w:szCs w:val="24"/>
              </w:rPr>
              <w:t>害</w:t>
            </w:r>
            <w:r>
              <w:rPr>
                <w:rFonts w:ascii="Times New Roman" w:hAnsi="Times New Roman" w:cs="Times New Roman"/>
                <w:color w:val="000000" w:themeColor="text1"/>
                <w:spacing w:val="2"/>
                <w:sz w:val="24"/>
                <w:szCs w:val="24"/>
              </w:rPr>
              <w:t>与</w:t>
            </w:r>
            <w:r>
              <w:rPr>
                <w:rFonts w:ascii="Times New Roman" w:hAnsi="Times New Roman" w:cs="Times New Roman"/>
                <w:color w:val="000000" w:themeColor="text1"/>
                <w:sz w:val="24"/>
                <w:szCs w:val="24"/>
              </w:rPr>
              <w:t>损</w:t>
            </w:r>
            <w:r>
              <w:rPr>
                <w:rFonts w:ascii="Times New Roman" w:hAnsi="Times New Roman" w:cs="Times New Roman"/>
                <w:color w:val="000000" w:themeColor="text1"/>
                <w:spacing w:val="2"/>
                <w:sz w:val="24"/>
                <w:szCs w:val="24"/>
              </w:rPr>
              <w:t>失</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证</w:t>
            </w:r>
            <w:r>
              <w:rPr>
                <w:rFonts w:ascii="Times New Roman" w:hAnsi="Times New Roman" w:cs="Times New Roman"/>
                <w:color w:val="000000" w:themeColor="text1"/>
                <w:sz w:val="24"/>
                <w:szCs w:val="24"/>
              </w:rPr>
              <w:t>明</w:t>
            </w:r>
            <w:r>
              <w:rPr>
                <w:rFonts w:ascii="Times New Roman" w:hAnsi="Times New Roman" w:cs="Times New Roman"/>
                <w:color w:val="000000" w:themeColor="text1"/>
                <w:spacing w:val="2"/>
                <w:sz w:val="24"/>
                <w:szCs w:val="24"/>
              </w:rPr>
              <w:t>文</w:t>
            </w:r>
            <w:r>
              <w:rPr>
                <w:rFonts w:ascii="Times New Roman" w:hAnsi="Times New Roman" w:cs="Times New Roman"/>
                <w:color w:val="000000" w:themeColor="text1"/>
                <w:sz w:val="24"/>
                <w:szCs w:val="24"/>
              </w:rPr>
              <w:t>件</w:t>
            </w:r>
            <w:r>
              <w:rPr>
                <w:rFonts w:ascii="Times New Roman" w:hAnsi="Times New Roman" w:cs="Times New Roman"/>
                <w:color w:val="000000" w:themeColor="text1"/>
                <w:spacing w:val="2"/>
                <w:sz w:val="24"/>
                <w:szCs w:val="24"/>
              </w:rPr>
              <w:t>等</w:t>
            </w:r>
            <w:r>
              <w:rPr>
                <w:rFonts w:ascii="Times New Roman" w:hAnsi="Times New Roman" w:cs="Times New Roman"/>
                <w:color w:val="000000" w:themeColor="text1"/>
                <w:sz w:val="24"/>
                <w:szCs w:val="24"/>
              </w:rPr>
              <w:t>详</w:t>
            </w:r>
            <w:r>
              <w:rPr>
                <w:rFonts w:ascii="Times New Roman" w:hAnsi="Times New Roman" w:cs="Times New Roman"/>
                <w:color w:val="000000" w:themeColor="text1"/>
                <w:spacing w:val="2"/>
                <w:sz w:val="24"/>
                <w:szCs w:val="24"/>
              </w:rPr>
              <w:t>细</w:t>
            </w:r>
            <w:r>
              <w:rPr>
                <w:rFonts w:ascii="Times New Roman" w:hAnsi="Times New Roman" w:cs="Times New Roman"/>
                <w:color w:val="000000" w:themeColor="text1"/>
                <w:sz w:val="24"/>
                <w:szCs w:val="24"/>
              </w:rPr>
              <w:t>情</w:t>
            </w:r>
            <w:r>
              <w:rPr>
                <w:rFonts w:ascii="Times New Roman" w:hAnsi="Times New Roman" w:cs="Times New Roman"/>
                <w:color w:val="000000" w:themeColor="text1"/>
                <w:spacing w:val="2"/>
                <w:sz w:val="24"/>
                <w:szCs w:val="24"/>
              </w:rPr>
              <w:t>况</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ind w:firstLine="473"/>
              <w:jc w:val="right"/>
              <w:rPr>
                <w:rFonts w:ascii="Times New Roman" w:hAnsi="Times New Roman" w:cs="Times New Roman"/>
                <w:color w:val="000000" w:themeColor="text1"/>
                <w:sz w:val="24"/>
                <w:szCs w:val="24"/>
              </w:rPr>
            </w:pPr>
            <w:r>
              <w:rPr>
                <w:rFonts w:ascii="Times New Roman" w:hAnsi="Times New Roman" w:cs="Times New Roman"/>
                <w:color w:val="000000" w:themeColor="text1"/>
                <w:w w:val="99"/>
                <w:sz w:val="24"/>
                <w:szCs w:val="24"/>
              </w:rPr>
              <w:t>（</w:t>
            </w:r>
            <w:r>
              <w:rPr>
                <w:rFonts w:ascii="Times New Roman" w:hAnsi="Times New Roman" w:cs="Times New Roman"/>
                <w:color w:val="000000" w:themeColor="text1"/>
                <w:spacing w:val="2"/>
                <w:w w:val="99"/>
                <w:sz w:val="24"/>
                <w:szCs w:val="24"/>
              </w:rPr>
              <w:t>不</w:t>
            </w:r>
            <w:r>
              <w:rPr>
                <w:rFonts w:ascii="Times New Roman" w:hAnsi="Times New Roman" w:cs="Times New Roman"/>
                <w:color w:val="000000" w:themeColor="text1"/>
                <w:w w:val="99"/>
                <w:sz w:val="24"/>
                <w:szCs w:val="24"/>
              </w:rPr>
              <w:t>够</w:t>
            </w:r>
            <w:r>
              <w:rPr>
                <w:rFonts w:ascii="Times New Roman" w:hAnsi="Times New Roman" w:cs="Times New Roman"/>
                <w:color w:val="000000" w:themeColor="text1"/>
                <w:spacing w:val="2"/>
                <w:w w:val="99"/>
                <w:sz w:val="24"/>
                <w:szCs w:val="24"/>
              </w:rPr>
              <w:t>可</w:t>
            </w:r>
            <w:r>
              <w:rPr>
                <w:rFonts w:ascii="Times New Roman" w:hAnsi="Times New Roman" w:cs="Times New Roman"/>
                <w:color w:val="000000" w:themeColor="text1"/>
                <w:w w:val="99"/>
                <w:sz w:val="24"/>
                <w:szCs w:val="24"/>
              </w:rPr>
              <w:t>附</w:t>
            </w:r>
            <w:r>
              <w:rPr>
                <w:rFonts w:ascii="Times New Roman" w:hAnsi="Times New Roman" w:cs="Times New Roman"/>
                <w:color w:val="000000" w:themeColor="text1"/>
                <w:spacing w:val="2"/>
                <w:w w:val="99"/>
                <w:sz w:val="24"/>
                <w:szCs w:val="24"/>
              </w:rPr>
              <w:t>页</w:t>
            </w:r>
            <w:r>
              <w:rPr>
                <w:rFonts w:ascii="Times New Roman" w:hAnsi="Times New Roman" w:cs="Times New Roman"/>
                <w:color w:val="000000" w:themeColor="text1"/>
                <w:w w:val="99"/>
                <w:sz w:val="24"/>
                <w:szCs w:val="24"/>
              </w:rPr>
              <w:t>）</w:t>
            </w:r>
          </w:p>
        </w:tc>
      </w:tr>
      <w:bookmarkEnd w:id="384"/>
    </w:tbl>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468" w:beforeLines="150" w:line="360" w:lineRule="auto"/>
        <w:ind w:left="424" w:hanging="424" w:hangingChars="202"/>
        <w:jc w:val="left"/>
        <w:outlineLvl w:val="1"/>
        <w:rPr>
          <w:rFonts w:ascii="Times New Roman" w:hAnsi="Times New Roman" w:cs="Times New Roman"/>
          <w:b/>
          <w:bCs/>
          <w:color w:val="000000" w:themeColor="text1"/>
          <w:sz w:val="24"/>
          <w:szCs w:val="24"/>
        </w:rPr>
      </w:pPr>
      <w:bookmarkStart w:id="1378" w:name="_Toc25509"/>
      <w:bookmarkStart w:id="1379" w:name="_Toc14145"/>
      <w:r>
        <w:rPr>
          <w:rFonts w:ascii="Times New Roman" w:hAnsi="Times New Roman" w:cs="Times New Roman"/>
          <w:color w:val="000000" w:themeColor="text1"/>
        </w:rPr>
        <w:drawing>
          <wp:anchor distT="0" distB="0" distL="114300" distR="114300" simplePos="0" relativeHeight="251651072" behindDoc="1" locked="0" layoutInCell="1" allowOverlap="1">
            <wp:simplePos x="0" y="0"/>
            <wp:positionH relativeFrom="column">
              <wp:posOffset>-180340</wp:posOffset>
            </wp:positionH>
            <wp:positionV relativeFrom="paragraph">
              <wp:posOffset>274320</wp:posOffset>
            </wp:positionV>
            <wp:extent cx="5661660" cy="7894320"/>
            <wp:effectExtent l="0" t="0" r="0" b="0"/>
            <wp:wrapTight wrapText="bothSides">
              <wp:wrapPolygon>
                <wp:start x="0" y="0"/>
                <wp:lineTo x="0" y="21527"/>
                <wp:lineTo x="21513" y="21527"/>
                <wp:lineTo x="21513" y="0"/>
                <wp:lineTo x="0" y="0"/>
              </wp:wrapPolygon>
            </wp:wrapTight>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49">
                      <a:extLst>
                        <a:ext uri="{28A0092B-C50C-407E-A947-70E740481C1C}">
                          <a14:useLocalDpi xmlns:a14="http://schemas.microsoft.com/office/drawing/2010/main" val="0"/>
                        </a:ext>
                      </a:extLst>
                    </a:blip>
                    <a:srcRect r="8413" b="4222"/>
                    <a:stretch>
                      <a:fillRect/>
                    </a:stretch>
                  </pic:blipFill>
                  <pic:spPr>
                    <a:xfrm>
                      <a:off x="0" y="0"/>
                      <a:ext cx="5661660" cy="7894320"/>
                    </a:xfrm>
                    <a:prstGeom prst="rect">
                      <a:avLst/>
                    </a:prstGeom>
                    <a:noFill/>
                    <a:ln>
                      <a:noFill/>
                    </a:ln>
                  </pic:spPr>
                </pic:pic>
              </a:graphicData>
            </a:graphic>
          </wp:anchor>
        </w:drawing>
      </w:r>
      <w:r>
        <w:rPr>
          <w:rFonts w:ascii="Times New Roman" w:hAnsi="Times New Roman" w:cs="Times New Roman"/>
          <w:b/>
          <w:bCs/>
          <w:color w:val="000000" w:themeColor="text1"/>
          <w:sz w:val="24"/>
          <w:szCs w:val="24"/>
        </w:rPr>
        <w:t>附件十一：营业执照</w:t>
      </w:r>
      <w:bookmarkEnd w:id="1378"/>
      <w:bookmarkEnd w:id="1379"/>
    </w:p>
    <w:p>
      <w:pPr>
        <w:ind w:firstLine="482"/>
        <w:rPr>
          <w:rFonts w:ascii="Times New Roman" w:hAnsi="Times New Roman" w:cs="Times New Roman"/>
          <w:b/>
          <w:bCs/>
          <w:color w:val="000000" w:themeColor="text1"/>
          <w:kern w:val="44"/>
          <w:sz w:val="24"/>
          <w:szCs w:val="24"/>
        </w:rPr>
      </w:pPr>
      <w:r>
        <w:rPr>
          <w:rFonts w:ascii="Times New Roman" w:hAnsi="Times New Roman" w:cs="Times New Roman"/>
          <w:b/>
          <w:bCs/>
          <w:color w:val="000000" w:themeColor="text1"/>
          <w:kern w:val="44"/>
          <w:sz w:val="24"/>
          <w:szCs w:val="24"/>
        </w:rPr>
        <w:br w:type="page"/>
      </w:r>
    </w:p>
    <w:p>
      <w:pPr>
        <w:keepNext/>
        <w:keepLines/>
        <w:spacing w:before="468" w:beforeLines="150" w:line="360" w:lineRule="auto"/>
        <w:ind w:left="424" w:hanging="424" w:hangingChars="202"/>
        <w:jc w:val="left"/>
        <w:outlineLvl w:val="1"/>
        <w:rPr>
          <w:rFonts w:ascii="Times New Roman" w:hAnsi="Times New Roman" w:cs="Times New Roman"/>
          <w:b/>
          <w:bCs/>
          <w:color w:val="000000" w:themeColor="text1"/>
          <w:sz w:val="24"/>
          <w:szCs w:val="24"/>
        </w:rPr>
      </w:pPr>
      <w:bookmarkStart w:id="1380" w:name="_Toc20965"/>
      <w:bookmarkStart w:id="1381" w:name="_Toc29027"/>
      <w:r>
        <w:rPr>
          <w:rFonts w:ascii="Times New Roman" w:hAnsi="Times New Roman" w:cs="Times New Roman"/>
          <w:color w:val="000000" w:themeColor="text1"/>
        </w:rPr>
        <w:drawing>
          <wp:anchor distT="0" distB="0" distL="114300" distR="114300" simplePos="0" relativeHeight="251654144" behindDoc="1" locked="0" layoutInCell="1" allowOverlap="1">
            <wp:simplePos x="0" y="0"/>
            <wp:positionH relativeFrom="column">
              <wp:posOffset>609600</wp:posOffset>
            </wp:positionH>
            <wp:positionV relativeFrom="paragraph">
              <wp:posOffset>-503555</wp:posOffset>
            </wp:positionV>
            <wp:extent cx="4203700" cy="5734050"/>
            <wp:effectExtent l="0" t="3175" r="3175" b="3175"/>
            <wp:wrapTight wrapText="bothSides">
              <wp:wrapPolygon>
                <wp:start x="-16" y="21588"/>
                <wp:lineTo x="21518" y="21588"/>
                <wp:lineTo x="21518" y="60"/>
                <wp:lineTo x="-16" y="60"/>
                <wp:lineTo x="-16" y="21588"/>
              </wp:wrapPolygon>
            </wp:wrapTigh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0">
                      <a:extLst>
                        <a:ext uri="{28A0092B-C50C-407E-A947-70E740481C1C}">
                          <a14:useLocalDpi xmlns:a14="http://schemas.microsoft.com/office/drawing/2010/main" val="0"/>
                        </a:ext>
                      </a:extLst>
                    </a:blip>
                    <a:srcRect l="3205" t="1571" r="2003" b="1448"/>
                    <a:stretch>
                      <a:fillRect/>
                    </a:stretch>
                  </pic:blipFill>
                  <pic:spPr>
                    <a:xfrm rot="5400000">
                      <a:off x="0" y="0"/>
                      <a:ext cx="4203700" cy="5734050"/>
                    </a:xfrm>
                    <a:prstGeom prst="rect">
                      <a:avLst/>
                    </a:prstGeom>
                    <a:noFill/>
                    <a:ln>
                      <a:noFill/>
                    </a:ln>
                  </pic:spPr>
                </pic:pic>
              </a:graphicData>
            </a:graphic>
          </wp:anchor>
        </w:drawing>
      </w:r>
      <w:r>
        <w:rPr>
          <w:rFonts w:ascii="Times New Roman" w:hAnsi="Times New Roman" w:cs="Times New Roman"/>
          <w:b/>
          <w:bCs/>
          <w:color w:val="000000" w:themeColor="text1"/>
          <w:sz w:val="24"/>
          <w:szCs w:val="24"/>
        </w:rPr>
        <w:t>附件十二：危险化学品经营许可证</w:t>
      </w:r>
      <w:bookmarkEnd w:id="1380"/>
      <w:bookmarkEnd w:id="1381"/>
    </w:p>
    <w:p>
      <w:pPr>
        <w:rPr>
          <w:rFonts w:ascii="Times New Roman" w:hAnsi="Times New Roman" w:cs="Times New Roman"/>
          <w:color w:val="000000" w:themeColor="text1"/>
        </w:rPr>
      </w:pPr>
      <w:r>
        <w:rPr>
          <w:rFonts w:ascii="Times New Roman" w:hAnsi="Times New Roman" w:cs="Times New Roman"/>
          <w:color w:val="000000" w:themeColor="text1"/>
        </w:rPr>
        <w:br w:type="page"/>
      </w:r>
    </w:p>
    <w:p>
      <w:pPr>
        <w:keepNext/>
        <w:keepLines/>
        <w:spacing w:before="468" w:beforeLines="150" w:line="360" w:lineRule="auto"/>
        <w:ind w:left="487" w:hanging="487" w:hangingChars="202"/>
        <w:jc w:val="left"/>
        <w:outlineLvl w:val="1"/>
        <w:rPr>
          <w:rFonts w:ascii="Times New Roman" w:hAnsi="Times New Roman"/>
        </w:rPr>
      </w:pPr>
      <w:bookmarkStart w:id="1382" w:name="_Toc27403"/>
      <w:bookmarkStart w:id="1383" w:name="_Toc20798"/>
      <w:r>
        <w:rPr>
          <w:rFonts w:ascii="Times New Roman" w:hAnsi="Times New Roman" w:cs="Times New Roman"/>
          <w:b/>
          <w:bCs/>
          <w:color w:val="000000" w:themeColor="text1"/>
          <w:sz w:val="24"/>
          <w:szCs w:val="24"/>
        </w:rPr>
        <w:t>附件十三：成品油零售经营批准证书</w:t>
      </w:r>
      <w:bookmarkEnd w:id="1382"/>
      <w:r>
        <w:rPr>
          <w:rFonts w:hint="eastAsia" w:ascii="Times New Roman" w:hAnsi="Times New Roman"/>
          <w:color w:val="000000" w:themeColor="text1"/>
        </w:rPr>
        <w:drawing>
          <wp:inline distT="0" distB="0" distL="114300" distR="114300">
            <wp:extent cx="4975225" cy="6745605"/>
            <wp:effectExtent l="0" t="0" r="5715" b="8255"/>
            <wp:docPr id="31" name="图片 31" descr="16406196196418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64061961964188305"/>
                    <pic:cNvPicPr>
                      <a:picLocks noChangeAspect="1"/>
                    </pic:cNvPicPr>
                  </pic:nvPicPr>
                  <pic:blipFill>
                    <a:blip r:embed="rId51"/>
                    <a:stretch>
                      <a:fillRect/>
                    </a:stretch>
                  </pic:blipFill>
                  <pic:spPr>
                    <a:xfrm rot="16200000">
                      <a:off x="0" y="0"/>
                      <a:ext cx="4975225" cy="6745605"/>
                    </a:xfrm>
                    <a:prstGeom prst="rect">
                      <a:avLst/>
                    </a:prstGeom>
                  </pic:spPr>
                </pic:pic>
              </a:graphicData>
            </a:graphic>
          </wp:inline>
        </w:drawing>
      </w:r>
      <w:r>
        <w:rPr>
          <w:rFonts w:ascii="Times New Roman" w:hAnsi="Times New Roman"/>
        </w:rPr>
        <w:br w:type="page"/>
      </w:r>
      <w:bookmarkEnd w:id="1383"/>
    </w:p>
    <w:p>
      <w:pPr>
        <w:keepNext/>
        <w:keepLines/>
        <w:spacing w:before="468" w:beforeLines="150" w:line="360" w:lineRule="auto"/>
        <w:ind w:left="424" w:hanging="487" w:hangingChars="202"/>
        <w:jc w:val="left"/>
        <w:outlineLvl w:val="1"/>
        <w:rPr>
          <w:rFonts w:ascii="Times New Roman" w:hAnsi="Times New Roman" w:cs="Times New Roman"/>
          <w:b/>
          <w:bCs/>
          <w:color w:val="000000" w:themeColor="text1"/>
          <w:sz w:val="24"/>
          <w:szCs w:val="24"/>
        </w:rPr>
      </w:pPr>
      <w:bookmarkStart w:id="1384" w:name="_Toc471"/>
      <w:r>
        <w:rPr>
          <w:rFonts w:ascii="Times New Roman" w:hAnsi="Times New Roman" w:cs="Times New Roman"/>
          <w:b/>
          <w:bCs/>
          <w:color w:val="000000" w:themeColor="text1"/>
          <w:sz w:val="24"/>
          <w:szCs w:val="24"/>
        </w:rPr>
        <w:t>附件十四：环评批复</w:t>
      </w:r>
      <w:bookmarkEnd w:id="1384"/>
    </w:p>
    <w:p>
      <w:pPr>
        <w:pStyle w:val="2"/>
        <w:ind w:firstLine="480"/>
        <w:rPr>
          <w:rFonts w:ascii="Times New Roman" w:hAnsi="Times New Roman" w:eastAsiaTheme="minorEastAsia"/>
          <w:color w:val="000000" w:themeColor="text1"/>
        </w:rPr>
      </w:pPr>
      <w:r>
        <w:rPr>
          <w:rFonts w:ascii="Times New Roman" w:hAnsi="Times New Roman" w:eastAsiaTheme="minorEastAsia"/>
          <w:color w:val="000000" w:themeColor="text1"/>
        </w:rPr>
        <w:drawing>
          <wp:inline distT="0" distB="0" distL="0" distR="0">
            <wp:extent cx="4286250" cy="7620000"/>
            <wp:effectExtent l="0" t="0" r="0" b="0"/>
            <wp:docPr id="1" name="图片 1" descr="I:\愉颖资料\愉颖资料\2-环评批复\瑶湖加油站\mmexport1511509908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愉颖资料\愉颖资料\2-环评批复\瑶湖加油站\mmexport151150990858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286250" cy="7620000"/>
                    </a:xfrm>
                    <a:prstGeom prst="rect">
                      <a:avLst/>
                    </a:prstGeom>
                    <a:noFill/>
                    <a:ln>
                      <a:noFill/>
                    </a:ln>
                  </pic:spPr>
                </pic:pic>
              </a:graphicData>
            </a:graphic>
          </wp:inline>
        </w:drawing>
      </w:r>
    </w:p>
    <w:p>
      <w:r>
        <w:br w:type="page"/>
      </w:r>
    </w:p>
    <w:p>
      <w:pPr>
        <w:jc w:val="center"/>
      </w:pPr>
      <w:r>
        <w:drawing>
          <wp:inline distT="0" distB="0" distL="0" distR="0">
            <wp:extent cx="5206365" cy="77851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06365" cy="7785100"/>
                    </a:xfrm>
                    <a:prstGeom prst="rect">
                      <a:avLst/>
                    </a:prstGeom>
                    <a:noFill/>
                  </pic:spPr>
                </pic:pic>
              </a:graphicData>
            </a:graphic>
          </wp:inline>
        </w:drawing>
      </w:r>
    </w:p>
    <w:p>
      <w:pPr>
        <w:jc w:val="center"/>
      </w:pPr>
    </w:p>
    <w:p>
      <w:pPr>
        <w:jc w:val="center"/>
      </w:pPr>
    </w:p>
    <w:p>
      <w:pPr>
        <w:pStyle w:val="2"/>
        <w:ind w:left="0" w:leftChars="0" w:firstLine="0" w:firstLineChars="0"/>
      </w:pPr>
      <w:r>
        <w:drawing>
          <wp:anchor distT="0" distB="0" distL="114300" distR="114300" simplePos="0" relativeHeight="251655168" behindDoc="0" locked="0" layoutInCell="1" allowOverlap="1">
            <wp:simplePos x="0" y="0"/>
            <wp:positionH relativeFrom="column">
              <wp:posOffset>-1070610</wp:posOffset>
            </wp:positionH>
            <wp:positionV relativeFrom="paragraph">
              <wp:posOffset>1526540</wp:posOffset>
            </wp:positionV>
            <wp:extent cx="7800340" cy="4848860"/>
            <wp:effectExtent l="0" t="0" r="12700" b="2540"/>
            <wp:wrapTopAndBottom/>
            <wp:docPr id="9" name="图片 9" descr="I:\愉颖资料\愉颖资料\2-环评批复\瑶湖加油站\mmexport1511509977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愉颖资料\愉颖资料\2-环评批复\瑶湖加油站\mmexport1511509977986.jpg"/>
                    <pic:cNvPicPr>
                      <a:picLocks noChangeAspect="1" noChangeArrowheads="1"/>
                    </pic:cNvPicPr>
                  </pic:nvPicPr>
                  <pic:blipFill>
                    <a:blip r:embed="rId54">
                      <a:extLst>
                        <a:ext uri="{28A0092B-C50C-407E-A947-70E740481C1C}">
                          <a14:useLocalDpi xmlns:a14="http://schemas.microsoft.com/office/drawing/2010/main" val="0"/>
                        </a:ext>
                      </a:extLst>
                    </a:blip>
                    <a:srcRect r="9912"/>
                    <a:stretch>
                      <a:fillRect/>
                    </a:stretch>
                  </pic:blipFill>
                  <pic:spPr>
                    <a:xfrm rot="5400000">
                      <a:off x="0" y="0"/>
                      <a:ext cx="7800340" cy="4848860"/>
                    </a:xfrm>
                    <a:prstGeom prst="rect">
                      <a:avLst/>
                    </a:prstGeom>
                    <a:noFill/>
                    <a:ln>
                      <a:noFill/>
                    </a:ln>
                  </pic:spPr>
                </pic:pic>
              </a:graphicData>
            </a:graphic>
          </wp:anchor>
        </w:drawing>
      </w:r>
    </w:p>
    <w:p/>
    <w:p>
      <w:pPr>
        <w:pStyle w:val="2"/>
        <w:ind w:left="0" w:leftChars="0" w:firstLine="0" w:firstLineChars="0"/>
      </w:pPr>
    </w:p>
    <w:p/>
    <w:p>
      <w:pPr>
        <w:pStyle w:val="2"/>
        <w:ind w:left="0" w:leftChars="0" w:firstLine="0" w:firstLineChars="0"/>
      </w:pPr>
    </w:p>
    <w:p/>
    <w:p>
      <w:pPr>
        <w:pStyle w:val="2"/>
        <w:ind w:left="0" w:leftChars="0" w:firstLine="0" w:firstLineChars="0"/>
      </w:pPr>
    </w:p>
    <w:p/>
    <w:p/>
    <w:p/>
    <w:p/>
    <w:p/>
    <w:p/>
    <w:p>
      <w: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85" w:name="_Toc16550"/>
      <w:bookmarkStart w:id="1386" w:name="_Toc3662"/>
      <w:bookmarkStart w:id="1387" w:name="_Toc20158"/>
      <w:r>
        <w:rPr>
          <w:rFonts w:ascii="Times New Roman" w:hAnsi="Times New Roman" w:cs="Times New Roman"/>
          <w:b/>
          <w:bCs/>
          <w:color w:val="000000" w:themeColor="text1"/>
          <w:sz w:val="24"/>
          <w:szCs w:val="24"/>
        </w:rPr>
        <w:t>附件十</w:t>
      </w:r>
      <w:r>
        <w:rPr>
          <w:rFonts w:hint="eastAsia" w:ascii="Times New Roman" w:hAnsi="Times New Roman" w:cs="Times New Roman"/>
          <w:b/>
          <w:bCs/>
          <w:color w:val="000000" w:themeColor="text1"/>
          <w:sz w:val="24"/>
          <w:szCs w:val="24"/>
          <w:lang w:val="en-US" w:eastAsia="zh-CN"/>
        </w:rPr>
        <w:t>五</w:t>
      </w:r>
      <w:r>
        <w:rPr>
          <w:rFonts w:ascii="Times New Roman" w:hAnsi="Times New Roman" w:cs="Times New Roman"/>
          <w:b/>
          <w:bCs/>
          <w:color w:val="000000" w:themeColor="text1"/>
          <w:sz w:val="24"/>
          <w:szCs w:val="24"/>
        </w:rPr>
        <w:t>：</w:t>
      </w:r>
      <w:r>
        <w:rPr>
          <w:rFonts w:hint="eastAsia" w:ascii="Times New Roman" w:hAnsi="Times New Roman" w:cs="Times New Roman"/>
          <w:b/>
          <w:bCs/>
          <w:color w:val="000000" w:themeColor="text1"/>
          <w:sz w:val="24"/>
          <w:szCs w:val="24"/>
        </w:rPr>
        <w:t>危险废物处置单位处置资质</w:t>
      </w:r>
      <w:bookmarkEnd w:id="1385"/>
      <w:bookmarkEnd w:id="1386"/>
      <w:bookmarkEnd w:id="1387"/>
    </w:p>
    <w:p>
      <w:pPr>
        <w:rPr>
          <w:rFonts w:hint="eastAsia"/>
        </w:rPr>
      </w:pPr>
      <w:r>
        <w:rPr>
          <w:rFonts w:hint="eastAsia"/>
        </w:rPr>
        <w:drawing>
          <wp:inline distT="0" distB="0" distL="114300" distR="114300">
            <wp:extent cx="5269230" cy="7489825"/>
            <wp:effectExtent l="0" t="0" r="3810" b="8255"/>
            <wp:docPr id="38" name="图片 2" descr="QQ图片2018082914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QQ图片20180829144646"/>
                    <pic:cNvPicPr>
                      <a:picLocks noChangeAspect="1"/>
                    </pic:cNvPicPr>
                  </pic:nvPicPr>
                  <pic:blipFill>
                    <a:blip r:embed="rId55"/>
                    <a:stretch>
                      <a:fillRect/>
                    </a:stretch>
                  </pic:blipFill>
                  <pic:spPr>
                    <a:xfrm>
                      <a:off x="0" y="0"/>
                      <a:ext cx="5269230" cy="7489825"/>
                    </a:xfrm>
                    <a:prstGeom prst="rect">
                      <a:avLst/>
                    </a:prstGeom>
                    <a:noFill/>
                    <a:ln>
                      <a:noFill/>
                    </a:ln>
                  </pic:spPr>
                </pic:pic>
              </a:graphicData>
            </a:graphic>
          </wp:inline>
        </w:drawing>
      </w:r>
    </w:p>
    <w:p>
      <w:pPr>
        <w:rPr>
          <w:rFonts w:hint="eastAsia"/>
        </w:rPr>
      </w:pPr>
      <w:r>
        <w:rPr>
          <w:rFonts w:hint="eastAsia"/>
        </w:rPr>
        <w:drawing>
          <wp:inline distT="0" distB="0" distL="114300" distR="114300">
            <wp:extent cx="5258435" cy="7795260"/>
            <wp:effectExtent l="0" t="0" r="14605" b="7620"/>
            <wp:docPr id="39" name="图片 3" descr="QQ图片2018082914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descr="QQ图片20180829144655"/>
                    <pic:cNvPicPr>
                      <a:picLocks noChangeAspect="1"/>
                    </pic:cNvPicPr>
                  </pic:nvPicPr>
                  <pic:blipFill>
                    <a:blip r:embed="rId56"/>
                    <a:stretch>
                      <a:fillRect/>
                    </a:stretch>
                  </pic:blipFill>
                  <pic:spPr>
                    <a:xfrm>
                      <a:off x="0" y="0"/>
                      <a:ext cx="5258435" cy="7795260"/>
                    </a:xfrm>
                    <a:prstGeom prst="rect">
                      <a:avLst/>
                    </a:prstGeom>
                    <a:noFill/>
                    <a:ln>
                      <a:noFill/>
                    </a:ln>
                  </pic:spPr>
                </pic:pic>
              </a:graphicData>
            </a:graphic>
          </wp:inline>
        </w:drawing>
      </w:r>
    </w:p>
    <w:p>
      <w:pPr>
        <w:rPr>
          <w:rFonts w:hint="eastAsia"/>
        </w:rPr>
      </w:pPr>
      <w:r>
        <w:drawing>
          <wp:inline distT="0" distB="0" distL="114300" distR="114300">
            <wp:extent cx="5379085" cy="8965565"/>
            <wp:effectExtent l="0" t="0" r="635" b="10795"/>
            <wp:docPr id="40" name="图片 4" descr="QQ图片20180829144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descr="QQ图片201808291446520"/>
                    <pic:cNvPicPr>
                      <a:picLocks noChangeAspect="1"/>
                    </pic:cNvPicPr>
                  </pic:nvPicPr>
                  <pic:blipFill>
                    <a:blip r:embed="rId57"/>
                    <a:stretch>
                      <a:fillRect/>
                    </a:stretch>
                  </pic:blipFill>
                  <pic:spPr>
                    <a:xfrm>
                      <a:off x="0" y="0"/>
                      <a:ext cx="5379085" cy="8965565"/>
                    </a:xfrm>
                    <a:prstGeom prst="rect">
                      <a:avLst/>
                    </a:prstGeom>
                    <a:noFill/>
                    <a:ln>
                      <a:noFill/>
                    </a:ln>
                  </pic:spPr>
                </pic:pic>
              </a:graphicData>
            </a:graphic>
          </wp:inline>
        </w:drawing>
      </w:r>
    </w:p>
    <w:p>
      <w:pPr>
        <w:rPr>
          <w:rFonts w:hint="eastAsia"/>
        </w:rPr>
      </w:pPr>
      <w:r>
        <w:rPr>
          <w:rFonts w:hint="eastAsia"/>
        </w:rPr>
        <w:drawing>
          <wp:inline distT="0" distB="0" distL="114300" distR="114300">
            <wp:extent cx="5253355" cy="7292975"/>
            <wp:effectExtent l="0" t="0" r="4445" b="6985"/>
            <wp:docPr id="42" name="图片 5" descr="QQ图片2018082914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descr="QQ图片20180829144638"/>
                    <pic:cNvPicPr>
                      <a:picLocks noChangeAspect="1"/>
                    </pic:cNvPicPr>
                  </pic:nvPicPr>
                  <pic:blipFill>
                    <a:blip r:embed="rId58"/>
                    <a:stretch>
                      <a:fillRect/>
                    </a:stretch>
                  </pic:blipFill>
                  <pic:spPr>
                    <a:xfrm>
                      <a:off x="0" y="0"/>
                      <a:ext cx="5253355" cy="7292975"/>
                    </a:xfrm>
                    <a:prstGeom prst="rect">
                      <a:avLst/>
                    </a:prstGeom>
                    <a:noFill/>
                    <a:ln>
                      <a:noFill/>
                    </a:ln>
                  </pic:spPr>
                </pic:pic>
              </a:graphicData>
            </a:graphic>
          </wp:inline>
        </w:drawing>
      </w:r>
    </w:p>
    <w:p>
      <w:pPr>
        <w:rPr>
          <w:rFonts w:hint="eastAsia"/>
        </w:rPr>
      </w:pPr>
      <w:r>
        <w:rPr>
          <w:rFonts w:hint="eastAsia"/>
        </w:rPr>
        <w:drawing>
          <wp:inline distT="0" distB="0" distL="114300" distR="114300">
            <wp:extent cx="5257800" cy="7507605"/>
            <wp:effectExtent l="0" t="0" r="0" b="5715"/>
            <wp:docPr id="43" name="图片 6" descr="QQ图片2018082914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descr="QQ图片20180829144634"/>
                    <pic:cNvPicPr>
                      <a:picLocks noChangeAspect="1"/>
                    </pic:cNvPicPr>
                  </pic:nvPicPr>
                  <pic:blipFill>
                    <a:blip r:embed="rId59"/>
                    <a:stretch>
                      <a:fillRect/>
                    </a:stretch>
                  </pic:blipFill>
                  <pic:spPr>
                    <a:xfrm>
                      <a:off x="0" y="0"/>
                      <a:ext cx="5257800" cy="7507605"/>
                    </a:xfrm>
                    <a:prstGeom prst="rect">
                      <a:avLst/>
                    </a:prstGeom>
                    <a:noFill/>
                    <a:ln>
                      <a:noFill/>
                    </a:ln>
                  </pic:spPr>
                </pic:pic>
              </a:graphicData>
            </a:graphic>
          </wp:inline>
        </w:drawing>
      </w:r>
    </w:p>
    <w:p>
      <w:pPr>
        <w:rPr>
          <w:rFonts w:hint="eastAsia" w:eastAsia="宋体"/>
          <w:lang w:eastAsia="zh-CN"/>
        </w:rPr>
      </w:pPr>
      <w:r>
        <w:rPr>
          <w:rFonts w:hint="eastAsia"/>
        </w:rPr>
        <w:drawing>
          <wp:inline distT="0" distB="0" distL="114300" distR="114300">
            <wp:extent cx="5264150" cy="7513320"/>
            <wp:effectExtent l="0" t="0" r="8890" b="0"/>
            <wp:docPr id="44" name="图片 44" descr="QQ图片2018082914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QQ图片20180829144642"/>
                    <pic:cNvPicPr>
                      <a:picLocks noChangeAspect="1"/>
                    </pic:cNvPicPr>
                  </pic:nvPicPr>
                  <pic:blipFill>
                    <a:blip r:embed="rId60"/>
                    <a:stretch>
                      <a:fillRect/>
                    </a:stretch>
                  </pic:blipFill>
                  <pic:spPr>
                    <a:xfrm>
                      <a:off x="0" y="0"/>
                      <a:ext cx="5264150" cy="7513320"/>
                    </a:xfrm>
                    <a:prstGeom prst="rect">
                      <a:avLst/>
                    </a:prstGeom>
                    <a:noFill/>
                    <a:ln>
                      <a:noFill/>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0975" cy="7761605"/>
            <wp:effectExtent l="0" t="0" r="12065" b="10795"/>
            <wp:docPr id="45" name="图片 8" descr="QQ图片2018082914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descr="QQ图片20180829144649"/>
                    <pic:cNvPicPr>
                      <a:picLocks noChangeAspect="1"/>
                    </pic:cNvPicPr>
                  </pic:nvPicPr>
                  <pic:blipFill>
                    <a:blip r:embed="rId61"/>
                    <a:stretch>
                      <a:fillRect/>
                    </a:stretch>
                  </pic:blipFill>
                  <pic:spPr>
                    <a:xfrm>
                      <a:off x="0" y="0"/>
                      <a:ext cx="5260975" cy="7761605"/>
                    </a:xfrm>
                    <a:prstGeom prst="rect">
                      <a:avLst/>
                    </a:prstGeom>
                    <a:noFill/>
                    <a:ln>
                      <a:noFill/>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6690" cy="3825875"/>
            <wp:effectExtent l="0" t="0" r="6350" b="14605"/>
            <wp:docPr id="46" name="图片 9" descr="QQ图片2018082914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descr="QQ图片20180829144619"/>
                    <pic:cNvPicPr>
                      <a:picLocks noChangeAspect="1"/>
                    </pic:cNvPicPr>
                  </pic:nvPicPr>
                  <pic:blipFill>
                    <a:blip r:embed="rId62"/>
                    <a:stretch>
                      <a:fillRect/>
                    </a:stretch>
                  </pic:blipFill>
                  <pic:spPr>
                    <a:xfrm>
                      <a:off x="0" y="0"/>
                      <a:ext cx="5266690" cy="3825875"/>
                    </a:xfrm>
                    <a:prstGeom prst="rect">
                      <a:avLst/>
                    </a:prstGeom>
                    <a:noFill/>
                    <a:ln>
                      <a:noFill/>
                    </a:ln>
                  </pic:spPr>
                </pic:pic>
              </a:graphicData>
            </a:graphic>
          </wp:inline>
        </w:drawing>
      </w:r>
    </w:p>
    <w:p>
      <w:pPr>
        <w:rPr>
          <w:rFonts w:hint="eastAsia"/>
        </w:rPr>
      </w:pPr>
      <w:r>
        <w:drawing>
          <wp:inline distT="0" distB="0" distL="0" distR="0">
            <wp:extent cx="5274310" cy="7251700"/>
            <wp:effectExtent l="0" t="0" r="13970" b="2540"/>
            <wp:docPr id="47" name="图片 47" descr="C:\Users\jxdz\Desktop\2017.12清罐合同\河南省防腐\资质\黑白营业执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jxdz\Desktop\2017.12清罐合同\河南省防腐\资质\黑白营业执照.jpg"/>
                    <pic:cNvPicPr>
                      <a:picLocks noChangeAspect="1" noChangeArrowheads="1"/>
                    </pic:cNvPicPr>
                  </pic:nvPicPr>
                  <pic:blipFill>
                    <a:blip r:embed="rId63" cstate="print"/>
                    <a:srcRect/>
                    <a:stretch>
                      <a:fillRect/>
                    </a:stretch>
                  </pic:blipFill>
                  <pic:spPr>
                    <a:xfrm>
                      <a:off x="0" y="0"/>
                      <a:ext cx="5274310" cy="7252176"/>
                    </a:xfrm>
                    <a:prstGeom prst="rect">
                      <a:avLst/>
                    </a:prstGeom>
                    <a:noFill/>
                    <a:ln w="9525">
                      <a:noFill/>
                      <a:miter lim="800000"/>
                      <a:headEnd/>
                      <a:tailEnd/>
                    </a:ln>
                  </pic:spPr>
                </pic:pic>
              </a:graphicData>
            </a:graphic>
          </wp:inline>
        </w:drawing>
      </w:r>
    </w:p>
    <w:p>
      <w:pPr>
        <w:rPr>
          <w:rFonts w:hint="eastAsia"/>
        </w:rPr>
      </w:pPr>
      <w:r>
        <w:drawing>
          <wp:inline distT="0" distB="0" distL="0" distR="0">
            <wp:extent cx="5274310" cy="7198360"/>
            <wp:effectExtent l="0" t="0" r="13970" b="10160"/>
            <wp:docPr id="48" name="图片 48" descr="C:\Users\jxdz\Desktop\2017.12清罐合同\河南省防腐\资质\安全生产许可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C:\Users\jxdz\Desktop\2017.12清罐合同\河南省防腐\资质\安全生产许可证.jpg"/>
                    <pic:cNvPicPr>
                      <a:picLocks noChangeAspect="1" noChangeArrowheads="1"/>
                    </pic:cNvPicPr>
                  </pic:nvPicPr>
                  <pic:blipFill>
                    <a:blip r:embed="rId64" cstate="print"/>
                    <a:srcRect/>
                    <a:stretch>
                      <a:fillRect/>
                    </a:stretch>
                  </pic:blipFill>
                  <pic:spPr>
                    <a:xfrm>
                      <a:off x="0" y="0"/>
                      <a:ext cx="5274310" cy="7198900"/>
                    </a:xfrm>
                    <a:prstGeom prst="rect">
                      <a:avLst/>
                    </a:prstGeom>
                    <a:noFill/>
                    <a:ln w="9525">
                      <a:noFill/>
                      <a:miter lim="800000"/>
                      <a:headEnd/>
                      <a:tailEnd/>
                    </a:ln>
                  </pic:spPr>
                </pic:pic>
              </a:graphicData>
            </a:graphic>
          </wp:inline>
        </w:drawing>
      </w:r>
    </w:p>
    <w:p>
      <w:pPr>
        <w:rPr>
          <w:rFonts w:hint="eastAsia"/>
        </w:rPr>
      </w:pPr>
      <w:r>
        <w:drawing>
          <wp:inline distT="0" distB="0" distL="0" distR="0">
            <wp:extent cx="5274310" cy="7360285"/>
            <wp:effectExtent l="0" t="0" r="13970" b="635"/>
            <wp:docPr id="49" name="图片 49" descr="C:\Users\jxdz\Desktop\2017.12清罐合同\河南省防腐\资质\资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jxdz\Desktop\2017.12清罐合同\河南省防腐\资质\资质.jpg"/>
                    <pic:cNvPicPr>
                      <a:picLocks noChangeAspect="1" noChangeArrowheads="1"/>
                    </pic:cNvPicPr>
                  </pic:nvPicPr>
                  <pic:blipFill>
                    <a:blip r:embed="rId65" cstate="print"/>
                    <a:srcRect/>
                    <a:stretch>
                      <a:fillRect/>
                    </a:stretch>
                  </pic:blipFill>
                  <pic:spPr>
                    <a:xfrm>
                      <a:off x="0" y="0"/>
                      <a:ext cx="5274310" cy="7360418"/>
                    </a:xfrm>
                    <a:prstGeom prst="rect">
                      <a:avLst/>
                    </a:prstGeom>
                    <a:noFill/>
                    <a:ln w="9525">
                      <a:noFill/>
                      <a:miter lim="800000"/>
                      <a:headEnd/>
                      <a:tailEnd/>
                    </a:ln>
                  </pic:spPr>
                </pic:pic>
              </a:graphicData>
            </a:graphic>
          </wp:inline>
        </w:drawing>
      </w:r>
    </w:p>
    <w:p>
      <w:r>
        <w:drawing>
          <wp:inline distT="0" distB="0" distL="0" distR="0">
            <wp:extent cx="5274310" cy="7235190"/>
            <wp:effectExtent l="0" t="0" r="13970" b="3810"/>
            <wp:docPr id="50" name="图片 50" descr="C:\Users\jxdz\Desktop\2017.12清罐合同\河南省防腐\资质\资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jxdz\Desktop\2017.12清罐合同\河南省防腐\资质\资质2.jpg"/>
                    <pic:cNvPicPr>
                      <a:picLocks noChangeAspect="1" noChangeArrowheads="1"/>
                    </pic:cNvPicPr>
                  </pic:nvPicPr>
                  <pic:blipFill>
                    <a:blip r:embed="rId66" cstate="print"/>
                    <a:srcRect/>
                    <a:stretch>
                      <a:fillRect/>
                    </a:stretch>
                  </pic:blipFill>
                  <pic:spPr>
                    <a:xfrm>
                      <a:off x="0" y="0"/>
                      <a:ext cx="5274310" cy="7235776"/>
                    </a:xfrm>
                    <a:prstGeom prst="rect">
                      <a:avLst/>
                    </a:prstGeom>
                    <a:noFill/>
                    <a:ln w="9525">
                      <a:noFill/>
                      <a:miter lim="800000"/>
                      <a:headEnd/>
                      <a:tailEnd/>
                    </a:ln>
                  </pic:spPr>
                </pic:pic>
              </a:graphicData>
            </a:graphic>
          </wp:inline>
        </w:drawing>
      </w:r>
    </w:p>
    <w:p>
      <w:pPr>
        <w:rPr>
          <w:rFonts w:hint="eastAsia"/>
          <w:lang w:eastAsia="zh-CN"/>
        </w:rPr>
      </w:pPr>
      <w:r>
        <w:rPr>
          <w:rFonts w:hint="eastAsia"/>
          <w:lang w:eastAsia="zh-CN"/>
        </w:rPr>
        <w:drawing>
          <wp:inline distT="0" distB="0" distL="114300" distR="114300">
            <wp:extent cx="6171565" cy="4639945"/>
            <wp:effectExtent l="0" t="0" r="635" b="8255"/>
            <wp:docPr id="52" name="图片 52" descr="危险废物运输处置合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危险废物运输处置合同"/>
                    <pic:cNvPicPr>
                      <a:picLocks noChangeAspect="1"/>
                    </pic:cNvPicPr>
                  </pic:nvPicPr>
                  <pic:blipFill>
                    <a:blip r:embed="rId67"/>
                    <a:stretch>
                      <a:fillRect/>
                    </a:stretch>
                  </pic:blipFill>
                  <pic:spPr>
                    <a:xfrm>
                      <a:off x="0" y="0"/>
                      <a:ext cx="6171565" cy="4639945"/>
                    </a:xfrm>
                    <a:prstGeom prst="rect">
                      <a:avLst/>
                    </a:prstGeom>
                  </pic:spPr>
                </pic:pic>
              </a:graphicData>
            </a:graphic>
          </wp:inline>
        </w:drawing>
      </w:r>
    </w:p>
    <w:p>
      <w:pPr>
        <w:jc w:val="both"/>
      </w:pPr>
    </w:p>
    <w:sectPr>
      <w:pgSz w:w="11906" w:h="16838"/>
      <w:pgMar w:top="1440" w:right="1800" w:bottom="1440" w:left="1800" w:header="851" w:footer="992" w:gutter="0"/>
      <w:pgNumType w:fmt="upperRoma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5891"/>
    </w:sdtPr>
    <w:sdtContent>
      <w:p>
        <w:pPr>
          <w:pStyle w:val="10"/>
          <w:ind w:firstLine="360"/>
          <w:jc w:val="center"/>
        </w:pPr>
        <w:r>
          <w:fldChar w:fldCharType="begin"/>
        </w:r>
        <w:r>
          <w:instrText xml:space="preserve">PAGE   \* MERGEFORMAT</w:instrText>
        </w:r>
        <w:r>
          <w:fldChar w:fldCharType="separate"/>
        </w:r>
        <w:r>
          <w:rPr>
            <w:lang w:val="zh-CN"/>
          </w:rPr>
          <w:t>6</w:t>
        </w:r>
        <w:r>
          <w:rPr>
            <w:lang w:val="zh-CN"/>
          </w:rPr>
          <w:fldChar w:fldCharType="end"/>
        </w:r>
      </w:p>
    </w:sdtContent>
  </w:sdt>
  <w:p>
    <w:pPr>
      <w:pStyle w:val="1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r>
      <w:pict>
        <v:shape id="文本框 65" o:spid="_x0000_s18434" o:spt="202" type="#_x0000_t202" style="position:absolute;left:0pt;margin-top:0pt;height:144pt;width:144pt;mso-position-horizontal:center;mso-position-horizontal-relative:margin;mso-wrap-style:none;z-index:251657216;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BUZzitYgIAAAwFAAAOAAAAAAAAAAAAAAAAAC4CAABkcnMvZTJvRG9jLnht&#10;bFBLAQItABQABgAIAAAAIQBxqtG51wAAAAUBAAAPAAAAAAAAAAAAAAAAALwEAABkcnMvZG93bnJl&#10;di54bWxQSwUGAAAAAAQABADzAAAAwAUAAAAA&#10;">
          <v:path/>
          <v:fill on="f" focussize="0,0"/>
          <v:stroke on="f" weight="0.5pt" joinstyle="miter"/>
          <v:imagedata o:title=""/>
          <o:lock v:ext="edit"/>
          <v:textbox inset="0mm,0mm,0mm,0mm" style="mso-fit-shape-to-text:t;">
            <w:txbxContent>
              <w:p>
                <w:pPr>
                  <w:pStyle w:val="10"/>
                  <w:ind w:firstLine="360"/>
                </w:pPr>
                <w:r>
                  <w:fldChar w:fldCharType="begin"/>
                </w:r>
                <w:r>
                  <w:instrText xml:space="preserve"> PAGE  \* MERGEFORMAT </w:instrText>
                </w:r>
                <w:r>
                  <w:fldChar w:fldCharType="separate"/>
                </w:r>
                <w:r>
                  <w:t>72</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r>
      <w:pict>
        <v:shape id="文本框 66" o:spid="_x0000_s18433" o:spt="202" type="#_x0000_t202" style="position:absolute;left:0pt;margin-top:0pt;height:144pt;width:144pt;mso-position-horizontal:center;mso-position-horizontal-relative:margin;mso-wrap-style:none;z-index:251658240;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EIl9+pkAgAAEwUAAA4AAAAAAAAAAAAAAAAALgIAAGRycy9lMm9Eb2Mu&#10;eG1sUEsBAi0AFAAGAAgAAAAhAHGq0bnXAAAABQEAAA8AAAAAAAAAAAAAAAAAvgQAAGRycy9kb3du&#10;cmV2LnhtbFBLBQYAAAAABAAEAPMAAADCBQAAAAA=&#10;">
          <v:path/>
          <v:fill on="f" focussize="0,0"/>
          <v:stroke on="f" weight="0.5pt" joinstyle="miter"/>
          <v:imagedata o:title=""/>
          <o:lock v:ext="edit"/>
          <v:textbox inset="0mm,0mm,0mm,0mm" style="mso-fit-shape-to-text:t;">
            <w:txbxContent>
              <w:p>
                <w:pPr>
                  <w:pStyle w:val="10"/>
                  <w:ind w:firstLine="360"/>
                </w:pPr>
                <w:r>
                  <w:fldChar w:fldCharType="begin"/>
                </w:r>
                <w:r>
                  <w:instrText xml:space="preserve"> PAGE  \* MERGEFORMAT </w:instrText>
                </w:r>
                <w:r>
                  <w:fldChar w:fldCharType="separate"/>
                </w:r>
                <w:r>
                  <w:t>XXXVII</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仿宋" w:hAnsi="仿宋" w:eastAsia="仿宋" w:cs="仿宋"/>
        <w:bCs/>
        <w:szCs w:val="21"/>
      </w:rPr>
      <w:t>南昌中油瑶湖石油销售有限公司瑶湖加油站突发环境事件应急预案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C529A"/>
    <w:multiLevelType w:val="multilevel"/>
    <w:tmpl w:val="007C529A"/>
    <w:lvl w:ilvl="0" w:tentative="0">
      <w:start w:val="1"/>
      <w:numFmt w:val="decimal"/>
      <w:lvlText w:val="%1、"/>
      <w:lvlJc w:val="left"/>
      <w:pPr>
        <w:tabs>
          <w:tab w:val="left" w:pos="567"/>
        </w:tabs>
        <w:ind w:left="567" w:hanging="567"/>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1A91FC95"/>
    <w:multiLevelType w:val="singleLevel"/>
    <w:tmpl w:val="1A91FC95"/>
    <w:lvl w:ilvl="0" w:tentative="0">
      <w:start w:val="2"/>
      <w:numFmt w:val="decimal"/>
      <w:suff w:val="nothing"/>
      <w:lvlText w:val="（%1）"/>
      <w:lvlJc w:val="left"/>
    </w:lvl>
  </w:abstractNum>
  <w:abstractNum w:abstractNumId="2">
    <w:nsid w:val="1B357E7E"/>
    <w:multiLevelType w:val="multilevel"/>
    <w:tmpl w:val="1B357E7E"/>
    <w:lvl w:ilvl="0" w:tentative="0">
      <w:start w:val="1"/>
      <w:numFmt w:val="decimal"/>
      <w:lvlText w:val="%1、"/>
      <w:lvlJc w:val="left"/>
      <w:pPr>
        <w:tabs>
          <w:tab w:val="left" w:pos="567"/>
        </w:tabs>
        <w:ind w:left="567" w:hanging="567"/>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3971606A"/>
    <w:multiLevelType w:val="multilevel"/>
    <w:tmpl w:val="3971606A"/>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77CE7A53"/>
    <w:multiLevelType w:val="multilevel"/>
    <w:tmpl w:val="77CE7A53"/>
    <w:lvl w:ilvl="0" w:tentative="0">
      <w:start w:val="1"/>
      <w:numFmt w:val="decimal"/>
      <w:pStyle w:val="31"/>
      <w:lvlText w:val="%1."/>
      <w:lvlJc w:val="left"/>
      <w:pPr>
        <w:ind w:left="425" w:hanging="425"/>
      </w:pPr>
      <w:rPr>
        <w:rFonts w:hint="default" w:ascii="Times New Roman" w:hAnsi="Times New Roman" w:eastAsia="宋体"/>
        <w:u w:val="none"/>
      </w:rPr>
    </w:lvl>
    <w:lvl w:ilvl="1" w:tentative="0">
      <w:start w:val="0"/>
      <w:numFmt w:val="none"/>
      <w:lvlText w:val=""/>
      <w:lvlJc w:val="left"/>
      <w:pPr>
        <w:tabs>
          <w:tab w:val="left" w:pos="360"/>
        </w:tabs>
      </w:pPr>
      <w:rPr>
        <w:rFonts w:hint="default" w:ascii="Times New Roman" w:hAnsi="Times New Roman" w:eastAsia="宋体"/>
        <w:u w:val="none"/>
      </w:rPr>
    </w:lvl>
    <w:lvl w:ilvl="2" w:tentative="0">
      <w:start w:val="0"/>
      <w:numFmt w:val="none"/>
      <w:lvlText w:val=""/>
      <w:lvlJc w:val="left"/>
      <w:pPr>
        <w:tabs>
          <w:tab w:val="left" w:pos="360"/>
        </w:tabs>
      </w:pPr>
      <w:rPr>
        <w:rFonts w:hint="default" w:ascii="Times New Roman" w:hAnsi="Times New Roman" w:eastAsia="宋体"/>
        <w:u w:val="none"/>
      </w:rPr>
    </w:lvl>
    <w:lvl w:ilvl="3" w:tentative="0">
      <w:start w:val="0"/>
      <w:numFmt w:val="none"/>
      <w:lvlText w:val=""/>
      <w:lvlJc w:val="left"/>
      <w:pPr>
        <w:tabs>
          <w:tab w:val="left" w:pos="360"/>
        </w:tabs>
      </w:pPr>
      <w:rPr>
        <w:rFonts w:hint="default" w:ascii="Times New Roman" w:hAnsi="Times New Roman" w:eastAsia="宋体"/>
        <w:u w:val="none"/>
      </w:rPr>
    </w:lvl>
    <w:lvl w:ilvl="4" w:tentative="0">
      <w:start w:val="1"/>
      <w:numFmt w:val="decimal"/>
      <w:lvlText w:val=""/>
      <w:lvlJc w:val="left"/>
      <w:pPr>
        <w:ind w:left="992" w:hanging="992"/>
      </w:pPr>
      <w:rPr>
        <w:rFonts w:hint="default" w:ascii="Times New Roman" w:hAnsi="Times New Roman" w:eastAsia="宋体"/>
        <w:u w:val="none"/>
      </w:rPr>
    </w:lvl>
    <w:lvl w:ilvl="5" w:tentative="0">
      <w:start w:val="0"/>
      <w:numFmt w:val="none"/>
      <w:lvlText w:val=""/>
      <w:lvlJc w:val="left"/>
      <w:pPr>
        <w:tabs>
          <w:tab w:val="left" w:pos="360"/>
        </w:tabs>
      </w:pPr>
      <w:rPr>
        <w:rFonts w:hint="default" w:ascii="Times New Roman" w:hAnsi="Times New Roman" w:eastAsia="宋体"/>
        <w:u w:val="none"/>
      </w:rPr>
    </w:lvl>
    <w:lvl w:ilvl="6" w:tentative="0">
      <w:start w:val="0"/>
      <w:numFmt w:val="none"/>
      <w:lvlText w:val=""/>
      <w:lvlJc w:val="left"/>
      <w:pPr>
        <w:tabs>
          <w:tab w:val="left" w:pos="360"/>
        </w:tabs>
      </w:pPr>
      <w:rPr>
        <w:rFonts w:hint="default" w:ascii="Times New Roman" w:hAnsi="Times New Roman" w:eastAsia="宋体"/>
        <w:u w:val="none"/>
      </w:rPr>
    </w:lvl>
    <w:lvl w:ilvl="7" w:tentative="0">
      <w:start w:val="0"/>
      <w:numFmt w:val="none"/>
      <w:lvlText w:val=""/>
      <w:lvlJc w:val="left"/>
      <w:pPr>
        <w:tabs>
          <w:tab w:val="left" w:pos="360"/>
        </w:tabs>
      </w:pPr>
      <w:rPr>
        <w:rFonts w:hint="default" w:ascii="Times New Roman" w:hAnsi="Times New Roman" w:eastAsia="宋体"/>
        <w:u w:val="none"/>
      </w:rPr>
    </w:lvl>
    <w:lvl w:ilvl="8" w:tentative="0">
      <w:start w:val="0"/>
      <w:numFmt w:val="none"/>
      <w:lvlText w:val=""/>
      <w:lvlJc w:val="left"/>
      <w:pPr>
        <w:tabs>
          <w:tab w:val="left" w:pos="360"/>
        </w:tabs>
      </w:pPr>
      <w:rPr>
        <w:rFonts w:hint="default" w:ascii="Times New Roman" w:hAnsi="Times New Roman" w:eastAsia="宋体"/>
        <w:u w:val="none"/>
      </w:rPr>
    </w:lvl>
  </w:abstractNum>
  <w:num w:numId="1">
    <w:abstractNumId w:val="4"/>
  </w:num>
  <w:num w:numId="2">
    <w:abstractNumId w:val="3"/>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18"/>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42F58"/>
    <w:rsid w:val="0000021B"/>
    <w:rsid w:val="00000AEA"/>
    <w:rsid w:val="00004310"/>
    <w:rsid w:val="00014559"/>
    <w:rsid w:val="00017946"/>
    <w:rsid w:val="000222CF"/>
    <w:rsid w:val="00025B61"/>
    <w:rsid w:val="000306D3"/>
    <w:rsid w:val="00031DAC"/>
    <w:rsid w:val="00043653"/>
    <w:rsid w:val="00054562"/>
    <w:rsid w:val="00060575"/>
    <w:rsid w:val="000614E9"/>
    <w:rsid w:val="00072601"/>
    <w:rsid w:val="0007516D"/>
    <w:rsid w:val="000811FB"/>
    <w:rsid w:val="00094A97"/>
    <w:rsid w:val="00095A3B"/>
    <w:rsid w:val="00096B3B"/>
    <w:rsid w:val="000A62A3"/>
    <w:rsid w:val="000B4260"/>
    <w:rsid w:val="000C11BB"/>
    <w:rsid w:val="000C23D5"/>
    <w:rsid w:val="000D1713"/>
    <w:rsid w:val="000D359F"/>
    <w:rsid w:val="000D7CBE"/>
    <w:rsid w:val="000E2DB1"/>
    <w:rsid w:val="000E7A94"/>
    <w:rsid w:val="000F3837"/>
    <w:rsid w:val="000F7254"/>
    <w:rsid w:val="0010652B"/>
    <w:rsid w:val="00111939"/>
    <w:rsid w:val="001226A3"/>
    <w:rsid w:val="001311FA"/>
    <w:rsid w:val="0013787D"/>
    <w:rsid w:val="00142F58"/>
    <w:rsid w:val="0014569D"/>
    <w:rsid w:val="00170EEE"/>
    <w:rsid w:val="00174AAA"/>
    <w:rsid w:val="00175B00"/>
    <w:rsid w:val="00186A05"/>
    <w:rsid w:val="00191C35"/>
    <w:rsid w:val="001A2E7B"/>
    <w:rsid w:val="001B1127"/>
    <w:rsid w:val="001B6C38"/>
    <w:rsid w:val="001B7A2E"/>
    <w:rsid w:val="001C1714"/>
    <w:rsid w:val="001C72CF"/>
    <w:rsid w:val="001E168D"/>
    <w:rsid w:val="001E569C"/>
    <w:rsid w:val="001F2C7E"/>
    <w:rsid w:val="00230985"/>
    <w:rsid w:val="00231E40"/>
    <w:rsid w:val="00254181"/>
    <w:rsid w:val="002626B4"/>
    <w:rsid w:val="00274A78"/>
    <w:rsid w:val="00280BDA"/>
    <w:rsid w:val="002A0CA0"/>
    <w:rsid w:val="002A69D4"/>
    <w:rsid w:val="002B4F07"/>
    <w:rsid w:val="002C3F52"/>
    <w:rsid w:val="002D1939"/>
    <w:rsid w:val="002E7AC1"/>
    <w:rsid w:val="002F25AA"/>
    <w:rsid w:val="002F6B2D"/>
    <w:rsid w:val="00304146"/>
    <w:rsid w:val="003265AA"/>
    <w:rsid w:val="0033172D"/>
    <w:rsid w:val="003350DF"/>
    <w:rsid w:val="00347260"/>
    <w:rsid w:val="003514C4"/>
    <w:rsid w:val="00357626"/>
    <w:rsid w:val="00366592"/>
    <w:rsid w:val="003740E6"/>
    <w:rsid w:val="00387E97"/>
    <w:rsid w:val="00395454"/>
    <w:rsid w:val="003A2E4D"/>
    <w:rsid w:val="003A4B32"/>
    <w:rsid w:val="003B387C"/>
    <w:rsid w:val="003C1426"/>
    <w:rsid w:val="003C35EA"/>
    <w:rsid w:val="003D770A"/>
    <w:rsid w:val="003F0DAB"/>
    <w:rsid w:val="003F6210"/>
    <w:rsid w:val="00401428"/>
    <w:rsid w:val="00405F38"/>
    <w:rsid w:val="004112C3"/>
    <w:rsid w:val="00420537"/>
    <w:rsid w:val="004309C6"/>
    <w:rsid w:val="00432311"/>
    <w:rsid w:val="00433D44"/>
    <w:rsid w:val="00435D2D"/>
    <w:rsid w:val="00442E78"/>
    <w:rsid w:val="00453560"/>
    <w:rsid w:val="00456002"/>
    <w:rsid w:val="00457BAE"/>
    <w:rsid w:val="004676E9"/>
    <w:rsid w:val="004857F0"/>
    <w:rsid w:val="00491073"/>
    <w:rsid w:val="0049792C"/>
    <w:rsid w:val="004C16B4"/>
    <w:rsid w:val="004E12A6"/>
    <w:rsid w:val="004E7733"/>
    <w:rsid w:val="004F2ED6"/>
    <w:rsid w:val="004F699B"/>
    <w:rsid w:val="00502039"/>
    <w:rsid w:val="00510696"/>
    <w:rsid w:val="00512594"/>
    <w:rsid w:val="00512DC5"/>
    <w:rsid w:val="005206E8"/>
    <w:rsid w:val="00531A08"/>
    <w:rsid w:val="0054068B"/>
    <w:rsid w:val="0054765B"/>
    <w:rsid w:val="00561265"/>
    <w:rsid w:val="00561E8B"/>
    <w:rsid w:val="00570191"/>
    <w:rsid w:val="005720B5"/>
    <w:rsid w:val="005837B6"/>
    <w:rsid w:val="00585E08"/>
    <w:rsid w:val="00596383"/>
    <w:rsid w:val="005969C9"/>
    <w:rsid w:val="005A77B1"/>
    <w:rsid w:val="005B1ABE"/>
    <w:rsid w:val="005C285C"/>
    <w:rsid w:val="005C38A6"/>
    <w:rsid w:val="005C43EB"/>
    <w:rsid w:val="005C765D"/>
    <w:rsid w:val="005D601F"/>
    <w:rsid w:val="005E1805"/>
    <w:rsid w:val="005E3C3A"/>
    <w:rsid w:val="005E5248"/>
    <w:rsid w:val="005F4680"/>
    <w:rsid w:val="005F6F83"/>
    <w:rsid w:val="00624AB9"/>
    <w:rsid w:val="00635309"/>
    <w:rsid w:val="0064177C"/>
    <w:rsid w:val="00641A1B"/>
    <w:rsid w:val="00641B8A"/>
    <w:rsid w:val="00665FAA"/>
    <w:rsid w:val="00667B17"/>
    <w:rsid w:val="00667FB4"/>
    <w:rsid w:val="00687543"/>
    <w:rsid w:val="006876AF"/>
    <w:rsid w:val="00695954"/>
    <w:rsid w:val="00696488"/>
    <w:rsid w:val="006A5524"/>
    <w:rsid w:val="006A58EB"/>
    <w:rsid w:val="006B5C4E"/>
    <w:rsid w:val="006C0C8C"/>
    <w:rsid w:val="006C43CE"/>
    <w:rsid w:val="006F0BB7"/>
    <w:rsid w:val="006F3492"/>
    <w:rsid w:val="006F7ADB"/>
    <w:rsid w:val="00711BC0"/>
    <w:rsid w:val="00713808"/>
    <w:rsid w:val="00715A30"/>
    <w:rsid w:val="0071650E"/>
    <w:rsid w:val="007306F2"/>
    <w:rsid w:val="007630EB"/>
    <w:rsid w:val="00767013"/>
    <w:rsid w:val="0079472A"/>
    <w:rsid w:val="00796604"/>
    <w:rsid w:val="00796E3D"/>
    <w:rsid w:val="00796F90"/>
    <w:rsid w:val="007A04B3"/>
    <w:rsid w:val="007A1CCC"/>
    <w:rsid w:val="007B18E0"/>
    <w:rsid w:val="007B58AE"/>
    <w:rsid w:val="007C0EFA"/>
    <w:rsid w:val="007C7269"/>
    <w:rsid w:val="007D43BF"/>
    <w:rsid w:val="007D59CC"/>
    <w:rsid w:val="007E2AC8"/>
    <w:rsid w:val="007E4584"/>
    <w:rsid w:val="00801EFC"/>
    <w:rsid w:val="00802CBD"/>
    <w:rsid w:val="00814139"/>
    <w:rsid w:val="0082243E"/>
    <w:rsid w:val="008254B4"/>
    <w:rsid w:val="0082792B"/>
    <w:rsid w:val="00836727"/>
    <w:rsid w:val="00840321"/>
    <w:rsid w:val="00844655"/>
    <w:rsid w:val="00860982"/>
    <w:rsid w:val="00861B60"/>
    <w:rsid w:val="008633F8"/>
    <w:rsid w:val="00865EDC"/>
    <w:rsid w:val="00867378"/>
    <w:rsid w:val="00881433"/>
    <w:rsid w:val="00881AF4"/>
    <w:rsid w:val="00883960"/>
    <w:rsid w:val="00883E23"/>
    <w:rsid w:val="00885CEC"/>
    <w:rsid w:val="008C6C83"/>
    <w:rsid w:val="008D3C3D"/>
    <w:rsid w:val="008E3DA3"/>
    <w:rsid w:val="008E552E"/>
    <w:rsid w:val="00903B42"/>
    <w:rsid w:val="009055D4"/>
    <w:rsid w:val="00906D77"/>
    <w:rsid w:val="00933AD0"/>
    <w:rsid w:val="0094393F"/>
    <w:rsid w:val="0094552E"/>
    <w:rsid w:val="00947982"/>
    <w:rsid w:val="00950268"/>
    <w:rsid w:val="00956DA9"/>
    <w:rsid w:val="009707F9"/>
    <w:rsid w:val="0098446D"/>
    <w:rsid w:val="0099085A"/>
    <w:rsid w:val="009935DE"/>
    <w:rsid w:val="00997C86"/>
    <w:rsid w:val="009B1A28"/>
    <w:rsid w:val="009B2D43"/>
    <w:rsid w:val="009C265A"/>
    <w:rsid w:val="009C29A1"/>
    <w:rsid w:val="009C33DD"/>
    <w:rsid w:val="009E384A"/>
    <w:rsid w:val="009F16C2"/>
    <w:rsid w:val="009F67F2"/>
    <w:rsid w:val="00A03B42"/>
    <w:rsid w:val="00A30FFB"/>
    <w:rsid w:val="00A4139F"/>
    <w:rsid w:val="00A76773"/>
    <w:rsid w:val="00A80D20"/>
    <w:rsid w:val="00A918A0"/>
    <w:rsid w:val="00A95D73"/>
    <w:rsid w:val="00AA4C06"/>
    <w:rsid w:val="00AD51B8"/>
    <w:rsid w:val="00AF09AA"/>
    <w:rsid w:val="00B06B71"/>
    <w:rsid w:val="00B1221D"/>
    <w:rsid w:val="00B21633"/>
    <w:rsid w:val="00B237AE"/>
    <w:rsid w:val="00B241DA"/>
    <w:rsid w:val="00B415AF"/>
    <w:rsid w:val="00B458EF"/>
    <w:rsid w:val="00B64BE4"/>
    <w:rsid w:val="00B65899"/>
    <w:rsid w:val="00B703A9"/>
    <w:rsid w:val="00B71817"/>
    <w:rsid w:val="00B7300A"/>
    <w:rsid w:val="00B813E8"/>
    <w:rsid w:val="00B85FA7"/>
    <w:rsid w:val="00B936B1"/>
    <w:rsid w:val="00B95496"/>
    <w:rsid w:val="00B97404"/>
    <w:rsid w:val="00BA7C73"/>
    <w:rsid w:val="00BB7B93"/>
    <w:rsid w:val="00BC02E7"/>
    <w:rsid w:val="00BC52E8"/>
    <w:rsid w:val="00BD7E54"/>
    <w:rsid w:val="00C0051A"/>
    <w:rsid w:val="00C105B7"/>
    <w:rsid w:val="00C22B96"/>
    <w:rsid w:val="00C242DC"/>
    <w:rsid w:val="00C31306"/>
    <w:rsid w:val="00C35F06"/>
    <w:rsid w:val="00C448C8"/>
    <w:rsid w:val="00C452B4"/>
    <w:rsid w:val="00C47FBE"/>
    <w:rsid w:val="00C50AEA"/>
    <w:rsid w:val="00C747C2"/>
    <w:rsid w:val="00C80351"/>
    <w:rsid w:val="00C85E89"/>
    <w:rsid w:val="00CA67E1"/>
    <w:rsid w:val="00CB397D"/>
    <w:rsid w:val="00CB43F6"/>
    <w:rsid w:val="00CB5609"/>
    <w:rsid w:val="00CC126D"/>
    <w:rsid w:val="00CF44A9"/>
    <w:rsid w:val="00CF5999"/>
    <w:rsid w:val="00D0035C"/>
    <w:rsid w:val="00D05D19"/>
    <w:rsid w:val="00D24B0D"/>
    <w:rsid w:val="00D250EE"/>
    <w:rsid w:val="00D51994"/>
    <w:rsid w:val="00D559D7"/>
    <w:rsid w:val="00D61B94"/>
    <w:rsid w:val="00D67A6E"/>
    <w:rsid w:val="00D7079D"/>
    <w:rsid w:val="00D7544B"/>
    <w:rsid w:val="00D77C24"/>
    <w:rsid w:val="00D80188"/>
    <w:rsid w:val="00D96513"/>
    <w:rsid w:val="00DA67D3"/>
    <w:rsid w:val="00DA68C1"/>
    <w:rsid w:val="00DB16A0"/>
    <w:rsid w:val="00DC46B0"/>
    <w:rsid w:val="00DC4A1E"/>
    <w:rsid w:val="00DC4A95"/>
    <w:rsid w:val="00DE567E"/>
    <w:rsid w:val="00DE7916"/>
    <w:rsid w:val="00DF158D"/>
    <w:rsid w:val="00E037B5"/>
    <w:rsid w:val="00E03D53"/>
    <w:rsid w:val="00E10FF4"/>
    <w:rsid w:val="00E13537"/>
    <w:rsid w:val="00E14E10"/>
    <w:rsid w:val="00E17A7E"/>
    <w:rsid w:val="00E21871"/>
    <w:rsid w:val="00E22A2D"/>
    <w:rsid w:val="00E22C34"/>
    <w:rsid w:val="00E255A3"/>
    <w:rsid w:val="00E255E1"/>
    <w:rsid w:val="00E3445F"/>
    <w:rsid w:val="00E344AD"/>
    <w:rsid w:val="00E436F0"/>
    <w:rsid w:val="00E55358"/>
    <w:rsid w:val="00E567B9"/>
    <w:rsid w:val="00E64831"/>
    <w:rsid w:val="00E71A74"/>
    <w:rsid w:val="00E74028"/>
    <w:rsid w:val="00E754F2"/>
    <w:rsid w:val="00E7666A"/>
    <w:rsid w:val="00E77761"/>
    <w:rsid w:val="00E8296C"/>
    <w:rsid w:val="00E861F1"/>
    <w:rsid w:val="00E93E24"/>
    <w:rsid w:val="00E94BEB"/>
    <w:rsid w:val="00E9507C"/>
    <w:rsid w:val="00E97756"/>
    <w:rsid w:val="00EA30A9"/>
    <w:rsid w:val="00EB6638"/>
    <w:rsid w:val="00EC2292"/>
    <w:rsid w:val="00EC2AD1"/>
    <w:rsid w:val="00EC4402"/>
    <w:rsid w:val="00EC682E"/>
    <w:rsid w:val="00EC7AA7"/>
    <w:rsid w:val="00ED7B68"/>
    <w:rsid w:val="00EE6A54"/>
    <w:rsid w:val="00EF0F3D"/>
    <w:rsid w:val="00EF7E65"/>
    <w:rsid w:val="00F03479"/>
    <w:rsid w:val="00F0354B"/>
    <w:rsid w:val="00F12119"/>
    <w:rsid w:val="00F12961"/>
    <w:rsid w:val="00F2061B"/>
    <w:rsid w:val="00F24EED"/>
    <w:rsid w:val="00F253C0"/>
    <w:rsid w:val="00F25E05"/>
    <w:rsid w:val="00F35675"/>
    <w:rsid w:val="00F40297"/>
    <w:rsid w:val="00F40907"/>
    <w:rsid w:val="00F43600"/>
    <w:rsid w:val="00F441F2"/>
    <w:rsid w:val="00F46CE1"/>
    <w:rsid w:val="00F56330"/>
    <w:rsid w:val="00F60589"/>
    <w:rsid w:val="00F6739D"/>
    <w:rsid w:val="00F75FB7"/>
    <w:rsid w:val="00F842E2"/>
    <w:rsid w:val="00F87271"/>
    <w:rsid w:val="00F9105E"/>
    <w:rsid w:val="00F93CB3"/>
    <w:rsid w:val="00F94E5E"/>
    <w:rsid w:val="00F97965"/>
    <w:rsid w:val="00FA3A90"/>
    <w:rsid w:val="00FA6455"/>
    <w:rsid w:val="00FB7507"/>
    <w:rsid w:val="00FC4409"/>
    <w:rsid w:val="00FC6E3B"/>
    <w:rsid w:val="00FC7441"/>
    <w:rsid w:val="00FD2D8A"/>
    <w:rsid w:val="00FD43D0"/>
    <w:rsid w:val="00FD7FDC"/>
    <w:rsid w:val="00FF1571"/>
    <w:rsid w:val="00FF5996"/>
    <w:rsid w:val="021423FD"/>
    <w:rsid w:val="03E05B07"/>
    <w:rsid w:val="044728F8"/>
    <w:rsid w:val="05915EA1"/>
    <w:rsid w:val="06130CAB"/>
    <w:rsid w:val="073057C5"/>
    <w:rsid w:val="08BC5FC8"/>
    <w:rsid w:val="09CB74E9"/>
    <w:rsid w:val="0A900B12"/>
    <w:rsid w:val="0B994DDB"/>
    <w:rsid w:val="0D7F5917"/>
    <w:rsid w:val="0DCC7EF4"/>
    <w:rsid w:val="0E0872CA"/>
    <w:rsid w:val="0E520303"/>
    <w:rsid w:val="108D41A6"/>
    <w:rsid w:val="139B4AAA"/>
    <w:rsid w:val="15900B9C"/>
    <w:rsid w:val="159557C4"/>
    <w:rsid w:val="15B62705"/>
    <w:rsid w:val="15F4338F"/>
    <w:rsid w:val="16646104"/>
    <w:rsid w:val="18595085"/>
    <w:rsid w:val="18902DEA"/>
    <w:rsid w:val="18DF772D"/>
    <w:rsid w:val="1ADE6696"/>
    <w:rsid w:val="1B9B36B0"/>
    <w:rsid w:val="1BEA5432"/>
    <w:rsid w:val="1D320E63"/>
    <w:rsid w:val="1F4D11B4"/>
    <w:rsid w:val="1F4E4B64"/>
    <w:rsid w:val="21965B3E"/>
    <w:rsid w:val="21C51F2B"/>
    <w:rsid w:val="220E561F"/>
    <w:rsid w:val="22367B56"/>
    <w:rsid w:val="228F5855"/>
    <w:rsid w:val="23243252"/>
    <w:rsid w:val="241D162E"/>
    <w:rsid w:val="247C1F2C"/>
    <w:rsid w:val="25B345FB"/>
    <w:rsid w:val="260554A3"/>
    <w:rsid w:val="281A24CD"/>
    <w:rsid w:val="28354A4B"/>
    <w:rsid w:val="28E543B1"/>
    <w:rsid w:val="2956056B"/>
    <w:rsid w:val="2974652B"/>
    <w:rsid w:val="2B4C1AFF"/>
    <w:rsid w:val="2DE27FA3"/>
    <w:rsid w:val="2E593ED3"/>
    <w:rsid w:val="2F735C8C"/>
    <w:rsid w:val="2FD327FF"/>
    <w:rsid w:val="321E0118"/>
    <w:rsid w:val="322068F2"/>
    <w:rsid w:val="32D448AF"/>
    <w:rsid w:val="338D0BDF"/>
    <w:rsid w:val="33E73897"/>
    <w:rsid w:val="34621730"/>
    <w:rsid w:val="348172E1"/>
    <w:rsid w:val="34941606"/>
    <w:rsid w:val="35EC4F34"/>
    <w:rsid w:val="361450F8"/>
    <w:rsid w:val="36A856E9"/>
    <w:rsid w:val="37A20EC0"/>
    <w:rsid w:val="37EE23EB"/>
    <w:rsid w:val="37F426C4"/>
    <w:rsid w:val="3C012B8E"/>
    <w:rsid w:val="3F9153B8"/>
    <w:rsid w:val="401C7AA6"/>
    <w:rsid w:val="419066B5"/>
    <w:rsid w:val="41B229C0"/>
    <w:rsid w:val="425E541C"/>
    <w:rsid w:val="428F2EDB"/>
    <w:rsid w:val="42CC44CB"/>
    <w:rsid w:val="430E1F72"/>
    <w:rsid w:val="43D64159"/>
    <w:rsid w:val="46381FD4"/>
    <w:rsid w:val="47B313B3"/>
    <w:rsid w:val="47F6069F"/>
    <w:rsid w:val="47F70D57"/>
    <w:rsid w:val="47F74151"/>
    <w:rsid w:val="4A3E1619"/>
    <w:rsid w:val="4A530872"/>
    <w:rsid w:val="4A6C75C6"/>
    <w:rsid w:val="4A7229BD"/>
    <w:rsid w:val="4A7679A6"/>
    <w:rsid w:val="4AA37465"/>
    <w:rsid w:val="4AB758ED"/>
    <w:rsid w:val="4AC947C4"/>
    <w:rsid w:val="4B431A85"/>
    <w:rsid w:val="4B955FEA"/>
    <w:rsid w:val="4BE078DC"/>
    <w:rsid w:val="4C042251"/>
    <w:rsid w:val="4C4D476A"/>
    <w:rsid w:val="4C8165B1"/>
    <w:rsid w:val="4CB07709"/>
    <w:rsid w:val="4D2927D8"/>
    <w:rsid w:val="4DF8629F"/>
    <w:rsid w:val="4E335017"/>
    <w:rsid w:val="4E5E7CEE"/>
    <w:rsid w:val="4EFD5662"/>
    <w:rsid w:val="508F0153"/>
    <w:rsid w:val="50DB4BE8"/>
    <w:rsid w:val="52291D40"/>
    <w:rsid w:val="52DB28BE"/>
    <w:rsid w:val="52DD31D2"/>
    <w:rsid w:val="54785E27"/>
    <w:rsid w:val="55451C7B"/>
    <w:rsid w:val="55B87C73"/>
    <w:rsid w:val="563351CA"/>
    <w:rsid w:val="574B5256"/>
    <w:rsid w:val="57CE3C3B"/>
    <w:rsid w:val="58C0082B"/>
    <w:rsid w:val="5C563A5C"/>
    <w:rsid w:val="5C64677F"/>
    <w:rsid w:val="5E075B69"/>
    <w:rsid w:val="5E8F5E87"/>
    <w:rsid w:val="5F22006D"/>
    <w:rsid w:val="5F930BEE"/>
    <w:rsid w:val="61C379B8"/>
    <w:rsid w:val="63A90FBB"/>
    <w:rsid w:val="63C30F94"/>
    <w:rsid w:val="63DE363C"/>
    <w:rsid w:val="64AC285B"/>
    <w:rsid w:val="65092586"/>
    <w:rsid w:val="662F3469"/>
    <w:rsid w:val="66867E39"/>
    <w:rsid w:val="66C31B5F"/>
    <w:rsid w:val="672D6487"/>
    <w:rsid w:val="68B652F7"/>
    <w:rsid w:val="6A502DD2"/>
    <w:rsid w:val="6A7F0735"/>
    <w:rsid w:val="6ACE69AE"/>
    <w:rsid w:val="6B4253E5"/>
    <w:rsid w:val="6B6D3880"/>
    <w:rsid w:val="6B7812CE"/>
    <w:rsid w:val="6C017D0F"/>
    <w:rsid w:val="6C500378"/>
    <w:rsid w:val="6D4361AD"/>
    <w:rsid w:val="6D846015"/>
    <w:rsid w:val="6EAA33B1"/>
    <w:rsid w:val="6EBE35F2"/>
    <w:rsid w:val="6F0E2EBE"/>
    <w:rsid w:val="6F780C58"/>
    <w:rsid w:val="6FED4883"/>
    <w:rsid w:val="701941EC"/>
    <w:rsid w:val="72161C3C"/>
    <w:rsid w:val="727F3798"/>
    <w:rsid w:val="72A27B89"/>
    <w:rsid w:val="731B751E"/>
    <w:rsid w:val="739C68E8"/>
    <w:rsid w:val="74CF680E"/>
    <w:rsid w:val="756B22EF"/>
    <w:rsid w:val="762D0CED"/>
    <w:rsid w:val="774758DD"/>
    <w:rsid w:val="781F2ED3"/>
    <w:rsid w:val="795343FE"/>
    <w:rsid w:val="79D57166"/>
    <w:rsid w:val="7B123BA8"/>
    <w:rsid w:val="7BBC5000"/>
    <w:rsid w:val="7CE9591E"/>
    <w:rsid w:val="7D891852"/>
    <w:rsid w:val="7DF7338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rules v:ext="edit">
        <o:r id="V:Rule1" type="connector" idref="#自选图形 185"/>
        <o:r id="V:Rule2" type="connector" idref="#自选图形 186"/>
        <o:r id="V:Rule3" type="connector" idref="#直接箭头连接符 3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qFormat/>
    <w:uiPriority w:val="0"/>
    <w:pPr>
      <w:keepNext/>
      <w:keepLines/>
      <w:spacing w:beforeLines="100" w:afterLines="100" w:line="360" w:lineRule="auto"/>
      <w:outlineLvl w:val="0"/>
    </w:pPr>
    <w:rPr>
      <w:rFonts w:ascii="Times New Roman" w:hAnsi="Times New Roman" w:eastAsia="宋体" w:cs="Times New Roman"/>
      <w:b/>
      <w:bCs/>
      <w:kern w:val="44"/>
      <w:sz w:val="28"/>
      <w:szCs w:val="44"/>
    </w:rPr>
  </w:style>
  <w:style w:type="paragraph" w:styleId="5">
    <w:name w:val="heading 2"/>
    <w:basedOn w:val="1"/>
    <w:next w:val="1"/>
    <w:semiHidden/>
    <w:unhideWhenUsed/>
    <w:qFormat/>
    <w:uiPriority w:val="9"/>
    <w:pPr>
      <w:keepNext/>
      <w:keepLines/>
      <w:spacing w:before="260" w:after="260" w:line="413" w:lineRule="auto"/>
      <w:outlineLvl w:val="1"/>
    </w:pPr>
    <w:rPr>
      <w:rFonts w:ascii="Arial" w:hAnsi="Arial" w:eastAsia="黑体"/>
      <w:b/>
      <w:sz w:val="32"/>
    </w:rPr>
  </w:style>
  <w:style w:type="character" w:default="1" w:styleId="17">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1"/>
    <w:qFormat/>
    <w:uiPriority w:val="0"/>
    <w:pPr>
      <w:overflowPunct w:val="0"/>
      <w:topLinePunct/>
      <w:spacing w:line="360" w:lineRule="auto"/>
      <w:ind w:firstLine="200" w:firstLineChars="200"/>
    </w:pPr>
    <w:rPr>
      <w:spacing w:val="4"/>
      <w:sz w:val="24"/>
      <w:szCs w:val="28"/>
    </w:rPr>
  </w:style>
  <w:style w:type="paragraph" w:styleId="3">
    <w:name w:val="Body Text Indent"/>
    <w:basedOn w:val="1"/>
    <w:qFormat/>
    <w:uiPriority w:val="0"/>
    <w:pPr>
      <w:ind w:firstLine="720" w:firstLineChars="257"/>
    </w:pPr>
    <w:rPr>
      <w:rFonts w:ascii="宋体" w:hAnsi="宋体" w:eastAsia="仿宋" w:cs="Times New Roman"/>
      <w:sz w:val="28"/>
      <w:szCs w:val="20"/>
    </w:rPr>
  </w:style>
  <w:style w:type="paragraph" w:styleId="6">
    <w:name w:val="Normal Indent"/>
    <w:basedOn w:val="1"/>
    <w:link w:val="37"/>
    <w:qFormat/>
    <w:uiPriority w:val="0"/>
    <w:pPr>
      <w:ind w:firstLine="420" w:firstLineChars="200"/>
    </w:pPr>
    <w:rPr>
      <w:rFonts w:ascii="Times New Roman" w:hAnsi="Times New Roman" w:eastAsia="宋体" w:cs="Times New Roman"/>
      <w:szCs w:val="24"/>
    </w:rPr>
  </w:style>
  <w:style w:type="paragraph" w:styleId="7">
    <w:name w:val="annotation text"/>
    <w:basedOn w:val="1"/>
    <w:link w:val="38"/>
    <w:semiHidden/>
    <w:unhideWhenUsed/>
    <w:qFormat/>
    <w:uiPriority w:val="99"/>
    <w:pPr>
      <w:jc w:val="left"/>
    </w:pPr>
  </w:style>
  <w:style w:type="paragraph" w:styleId="8">
    <w:name w:val="toc 3"/>
    <w:basedOn w:val="1"/>
    <w:next w:val="1"/>
    <w:unhideWhenUsed/>
    <w:qFormat/>
    <w:uiPriority w:val="39"/>
    <w:pPr>
      <w:ind w:left="840" w:leftChars="400"/>
    </w:pPr>
  </w:style>
  <w:style w:type="paragraph" w:styleId="9">
    <w:name w:val="Balloon Text"/>
    <w:basedOn w:val="1"/>
    <w:link w:val="40"/>
    <w:semiHidden/>
    <w:unhideWhenUsed/>
    <w:qFormat/>
    <w:uiPriority w:val="99"/>
    <w:rPr>
      <w:sz w:val="18"/>
      <w:szCs w:val="18"/>
    </w:rPr>
  </w:style>
  <w:style w:type="paragraph" w:styleId="10">
    <w:name w:val="footer"/>
    <w:basedOn w:val="1"/>
    <w:link w:val="22"/>
    <w:unhideWhenUsed/>
    <w:qFormat/>
    <w:uiPriority w:val="0"/>
    <w:pPr>
      <w:tabs>
        <w:tab w:val="center" w:pos="4153"/>
        <w:tab w:val="right" w:pos="8306"/>
      </w:tabs>
      <w:snapToGrid w:val="0"/>
      <w:jc w:val="left"/>
    </w:pPr>
    <w:rPr>
      <w:sz w:val="18"/>
      <w:szCs w:val="18"/>
    </w:rPr>
  </w:style>
  <w:style w:type="paragraph" w:styleId="11">
    <w:name w:val="header"/>
    <w:basedOn w:val="1"/>
    <w:link w:val="21"/>
    <w:unhideWhenUsed/>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style>
  <w:style w:type="paragraph" w:styleId="13">
    <w:name w:val="toc 2"/>
    <w:basedOn w:val="1"/>
    <w:next w:val="1"/>
    <w:unhideWhenUsed/>
    <w:qFormat/>
    <w:uiPriority w:val="39"/>
    <w:pPr>
      <w:ind w:left="420" w:leftChars="200"/>
    </w:pPr>
  </w:style>
  <w:style w:type="paragraph" w:styleId="14">
    <w:name w:val="Normal (Web)"/>
    <w:basedOn w:val="1"/>
    <w:qFormat/>
    <w:uiPriority w:val="99"/>
    <w:pPr>
      <w:spacing w:before="100" w:beforeAutospacing="1" w:after="100" w:afterAutospacing="1"/>
    </w:pPr>
    <w:rPr>
      <w:rFonts w:ascii="宋体" w:hAnsi="宋体" w:eastAsia="仿宋" w:cs="Times New Roman"/>
      <w:color w:val="000000"/>
      <w:sz w:val="24"/>
    </w:rPr>
  </w:style>
  <w:style w:type="paragraph" w:styleId="15">
    <w:name w:val="annotation subject"/>
    <w:basedOn w:val="7"/>
    <w:next w:val="7"/>
    <w:link w:val="39"/>
    <w:semiHidden/>
    <w:unhideWhenUsed/>
    <w:qFormat/>
    <w:uiPriority w:val="99"/>
    <w:rPr>
      <w:b/>
      <w:bCs/>
    </w:rPr>
  </w:style>
  <w:style w:type="character" w:styleId="18">
    <w:name w:val="Strong"/>
    <w:qFormat/>
    <w:uiPriority w:val="0"/>
    <w:rPr>
      <w:rFonts w:ascii="Verdana" w:hAnsi="Verdana" w:eastAsia="仿宋_GB2312" w:cs="Verdana"/>
      <w:b/>
      <w:kern w:val="0"/>
      <w:sz w:val="24"/>
      <w:lang w:eastAsia="en-US"/>
    </w:rPr>
  </w:style>
  <w:style w:type="character" w:styleId="19">
    <w:name w:val="Hyperlink"/>
    <w:basedOn w:val="17"/>
    <w:unhideWhenUsed/>
    <w:qFormat/>
    <w:uiPriority w:val="99"/>
    <w:rPr>
      <w:color w:val="0000FF" w:themeColor="hyperlink"/>
      <w:u w:val="single"/>
    </w:rPr>
  </w:style>
  <w:style w:type="character" w:styleId="20">
    <w:name w:val="annotation reference"/>
    <w:basedOn w:val="17"/>
    <w:semiHidden/>
    <w:unhideWhenUsed/>
    <w:qFormat/>
    <w:uiPriority w:val="99"/>
    <w:rPr>
      <w:sz w:val="21"/>
      <w:szCs w:val="21"/>
    </w:rPr>
  </w:style>
  <w:style w:type="character" w:customStyle="1" w:styleId="21">
    <w:name w:val="页眉 字符"/>
    <w:basedOn w:val="17"/>
    <w:link w:val="11"/>
    <w:qFormat/>
    <w:uiPriority w:val="99"/>
    <w:rPr>
      <w:sz w:val="18"/>
      <w:szCs w:val="18"/>
    </w:rPr>
  </w:style>
  <w:style w:type="character" w:customStyle="1" w:styleId="22">
    <w:name w:val="页脚 字符"/>
    <w:basedOn w:val="17"/>
    <w:link w:val="10"/>
    <w:qFormat/>
    <w:uiPriority w:val="99"/>
    <w:rPr>
      <w:sz w:val="18"/>
      <w:szCs w:val="18"/>
    </w:rPr>
  </w:style>
  <w:style w:type="character" w:customStyle="1" w:styleId="23">
    <w:name w:val="未处理的提及1"/>
    <w:basedOn w:val="17"/>
    <w:semiHidden/>
    <w:unhideWhenUsed/>
    <w:qFormat/>
    <w:uiPriority w:val="99"/>
    <w:rPr>
      <w:color w:val="605E5C"/>
      <w:shd w:val="clear" w:color="auto" w:fill="E1DFDD"/>
    </w:rPr>
  </w:style>
  <w:style w:type="paragraph" w:customStyle="1" w:styleId="24">
    <w:name w:val="Char Char Char Char"/>
    <w:basedOn w:val="1"/>
    <w:qFormat/>
    <w:uiPriority w:val="0"/>
    <w:rPr>
      <w:rFonts w:ascii="Times New Roman" w:hAnsi="Times New Roman" w:eastAsia="宋体" w:cs="Times New Roman"/>
      <w:szCs w:val="24"/>
    </w:rPr>
  </w:style>
  <w:style w:type="paragraph" w:customStyle="1" w:styleId="25">
    <w:name w:val="标题小四"/>
    <w:basedOn w:val="1"/>
    <w:qFormat/>
    <w:uiPriority w:val="0"/>
    <w:pPr>
      <w:spacing w:line="500" w:lineRule="exact"/>
      <w:jc w:val="center"/>
    </w:pPr>
    <w:rPr>
      <w:rFonts w:ascii="宋体" w:hAnsi="宋体" w:eastAsia="宋体" w:cs="Times New Roman"/>
      <w:sz w:val="24"/>
      <w:szCs w:val="24"/>
    </w:rPr>
  </w:style>
  <w:style w:type="character" w:customStyle="1" w:styleId="26">
    <w:name w:val="表格正文 Char Char"/>
    <w:link w:val="27"/>
    <w:qFormat/>
    <w:uiPriority w:val="0"/>
    <w:rPr>
      <w:rFonts w:ascii="宋体"/>
      <w:snapToGrid w:val="0"/>
      <w:spacing w:val="4"/>
      <w:szCs w:val="21"/>
    </w:rPr>
  </w:style>
  <w:style w:type="paragraph" w:customStyle="1" w:styleId="27">
    <w:name w:val="表格正文"/>
    <w:basedOn w:val="1"/>
    <w:next w:val="1"/>
    <w:link w:val="26"/>
    <w:qFormat/>
    <w:uiPriority w:val="0"/>
    <w:pPr>
      <w:adjustRightInd w:val="0"/>
      <w:snapToGrid w:val="0"/>
      <w:jc w:val="center"/>
      <w:textAlignment w:val="baseline"/>
    </w:pPr>
    <w:rPr>
      <w:rFonts w:ascii="宋体"/>
      <w:snapToGrid w:val="0"/>
      <w:spacing w:val="4"/>
      <w:szCs w:val="21"/>
    </w:rPr>
  </w:style>
  <w:style w:type="paragraph" w:customStyle="1" w:styleId="28">
    <w:name w:val="Char Char Char Char1"/>
    <w:basedOn w:val="1"/>
    <w:qFormat/>
    <w:uiPriority w:val="0"/>
    <w:rPr>
      <w:rFonts w:ascii="Times New Roman" w:hAnsi="Times New Roman" w:eastAsia="宋体" w:cs="Times New Roman"/>
      <w:szCs w:val="24"/>
    </w:rPr>
  </w:style>
  <w:style w:type="paragraph" w:customStyle="1" w:styleId="29">
    <w:name w:val="样式5"/>
    <w:unhideWhenUsed/>
    <w:qFormat/>
    <w:uiPriority w:val="99"/>
    <w:pPr>
      <w:spacing w:beforeAutospacing="1" w:afterAutospacing="1" w:line="360" w:lineRule="auto"/>
      <w:ind w:firstLine="480" w:firstLineChars="200"/>
    </w:pPr>
    <w:rPr>
      <w:rFonts w:hint="eastAsia" w:ascii="宋体" w:hAnsi="宋体" w:eastAsia="仿宋" w:cs="Times New Roman"/>
      <w:color w:val="000000"/>
      <w:sz w:val="24"/>
      <w:lang w:val="en-US" w:eastAsia="zh-CN" w:bidi="ar-SA"/>
    </w:rPr>
  </w:style>
  <w:style w:type="paragraph" w:customStyle="1" w:styleId="30">
    <w:name w:val="填表5中"/>
    <w:next w:val="1"/>
    <w:qFormat/>
    <w:uiPriority w:val="0"/>
    <w:pPr>
      <w:widowControl w:val="0"/>
      <w:spacing w:line="240" w:lineRule="exact"/>
      <w:jc w:val="center"/>
    </w:pPr>
    <w:rPr>
      <w:rFonts w:ascii="宋体" w:hAnsi="Times New Roman" w:eastAsia="宋体" w:cs="Times New Roman"/>
      <w:kern w:val="2"/>
      <w:sz w:val="21"/>
      <w:szCs w:val="21"/>
      <w:lang w:val="en-US" w:eastAsia="zh-CN" w:bidi="ar-SA"/>
    </w:rPr>
  </w:style>
  <w:style w:type="paragraph" w:customStyle="1" w:styleId="31">
    <w:name w:val="样式1"/>
    <w:basedOn w:val="4"/>
    <w:unhideWhenUsed/>
    <w:qFormat/>
    <w:uiPriority w:val="99"/>
    <w:pPr>
      <w:numPr>
        <w:ilvl w:val="0"/>
        <w:numId w:val="1"/>
      </w:numPr>
      <w:spacing w:beforeLines="150" w:afterLines="0"/>
      <w:ind w:hanging="202" w:hangingChars="202"/>
      <w:jc w:val="center"/>
    </w:pPr>
    <w:rPr>
      <w:rFonts w:hint="eastAsia" w:ascii="宋体" w:hAnsi="宋体"/>
    </w:rPr>
  </w:style>
  <w:style w:type="paragraph" w:customStyle="1" w:styleId="32">
    <w:name w:val="WPSOffice手动目录 1"/>
    <w:qFormat/>
    <w:uiPriority w:val="0"/>
    <w:rPr>
      <w:rFonts w:ascii="Times New Roman" w:hAnsi="Times New Roman" w:eastAsia="宋体" w:cs="Times New Roman"/>
      <w:lang w:val="en-US" w:eastAsia="zh-CN" w:bidi="ar-SA"/>
    </w:rPr>
  </w:style>
  <w:style w:type="paragraph" w:customStyle="1" w:styleId="33">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34">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35">
    <w:name w:val="Char Char Char Char2"/>
    <w:basedOn w:val="1"/>
    <w:qFormat/>
    <w:uiPriority w:val="0"/>
    <w:rPr>
      <w:rFonts w:ascii="Times New Roman" w:hAnsi="Times New Roman" w:eastAsia="宋体" w:cs="Times New Roman"/>
      <w:szCs w:val="24"/>
    </w:rPr>
  </w:style>
  <w:style w:type="paragraph" w:styleId="36">
    <w:name w:val="List Paragraph"/>
    <w:basedOn w:val="1"/>
    <w:qFormat/>
    <w:uiPriority w:val="99"/>
    <w:pPr>
      <w:ind w:firstLine="420" w:firstLineChars="200"/>
    </w:pPr>
  </w:style>
  <w:style w:type="character" w:customStyle="1" w:styleId="37">
    <w:name w:val="正文缩进 字符"/>
    <w:basedOn w:val="17"/>
    <w:link w:val="6"/>
    <w:qFormat/>
    <w:uiPriority w:val="0"/>
    <w:rPr>
      <w:kern w:val="2"/>
      <w:sz w:val="21"/>
      <w:szCs w:val="24"/>
    </w:rPr>
  </w:style>
  <w:style w:type="character" w:customStyle="1" w:styleId="38">
    <w:name w:val="批注文字 字符"/>
    <w:basedOn w:val="17"/>
    <w:link w:val="7"/>
    <w:semiHidden/>
    <w:qFormat/>
    <w:uiPriority w:val="99"/>
    <w:rPr>
      <w:rFonts w:asciiTheme="minorHAnsi" w:hAnsiTheme="minorHAnsi" w:eastAsiaTheme="minorEastAsia" w:cstheme="minorBidi"/>
      <w:kern w:val="2"/>
      <w:sz w:val="21"/>
      <w:szCs w:val="22"/>
    </w:rPr>
  </w:style>
  <w:style w:type="character" w:customStyle="1" w:styleId="39">
    <w:name w:val="批注主题 字符"/>
    <w:basedOn w:val="38"/>
    <w:link w:val="15"/>
    <w:semiHidden/>
    <w:qFormat/>
    <w:uiPriority w:val="99"/>
    <w:rPr>
      <w:rFonts w:asciiTheme="minorHAnsi" w:hAnsiTheme="minorHAnsi" w:eastAsiaTheme="minorEastAsia" w:cstheme="minorBidi"/>
      <w:b/>
      <w:bCs/>
      <w:kern w:val="2"/>
      <w:sz w:val="21"/>
      <w:szCs w:val="22"/>
    </w:rPr>
  </w:style>
  <w:style w:type="character" w:customStyle="1" w:styleId="40">
    <w:name w:val="批注框文本 字符"/>
    <w:basedOn w:val="17"/>
    <w:link w:val="9"/>
    <w:semiHidden/>
    <w:qFormat/>
    <w:uiPriority w:val="99"/>
    <w:rPr>
      <w:rFonts w:asciiTheme="minorHAnsi" w:hAnsiTheme="minorHAnsi" w:eastAsiaTheme="minorEastAsia" w:cstheme="minorBidi"/>
      <w:kern w:val="2"/>
      <w:sz w:val="18"/>
      <w:szCs w:val="18"/>
    </w:rPr>
  </w:style>
  <w:style w:type="character" w:customStyle="1" w:styleId="41">
    <w:name w:val="NormalCharacter"/>
    <w:qFormat/>
    <w:uiPriority w:val="0"/>
  </w:style>
  <w:style w:type="paragraph" w:customStyle="1" w:styleId="42">
    <w:name w:val="HtmlNormal"/>
    <w:basedOn w:val="1"/>
    <w:qFormat/>
    <w:uiPriority w:val="0"/>
    <w:pPr>
      <w:widowControl/>
      <w:spacing w:before="100" w:beforeAutospacing="1" w:after="100" w:afterAutospacing="1" w:line="360" w:lineRule="auto"/>
      <w:ind w:firstLine="200" w:firstLineChars="200"/>
      <w:jc w:val="left"/>
    </w:pPr>
    <w:rPr>
      <w:rFonts w:ascii="宋体" w:hAnsi="宋体" w:eastAsia="宋体" w:cs="Times New Roman"/>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1" Type="http://schemas.openxmlformats.org/officeDocument/2006/relationships/fontTable" Target="fontTable.xml"/><Relationship Id="rId70" Type="http://schemas.openxmlformats.org/officeDocument/2006/relationships/customXml" Target="../customXml/item2.xml"/><Relationship Id="rId7" Type="http://schemas.openxmlformats.org/officeDocument/2006/relationships/footer" Target="footer3.xml"/><Relationship Id="rId69" Type="http://schemas.openxmlformats.org/officeDocument/2006/relationships/numbering" Target="numbering.xml"/><Relationship Id="rId68" Type="http://schemas.openxmlformats.org/officeDocument/2006/relationships/customXml" Target="../customXml/item1.xml"/><Relationship Id="rId67" Type="http://schemas.openxmlformats.org/officeDocument/2006/relationships/image" Target="media/image56.jpeg"/><Relationship Id="rId66" Type="http://schemas.openxmlformats.org/officeDocument/2006/relationships/image" Target="media/image55.jpeg"/><Relationship Id="rId65" Type="http://schemas.openxmlformats.org/officeDocument/2006/relationships/image" Target="media/image54.jpeg"/><Relationship Id="rId64" Type="http://schemas.openxmlformats.org/officeDocument/2006/relationships/image" Target="media/image53.jpeg"/><Relationship Id="rId63" Type="http://schemas.openxmlformats.org/officeDocument/2006/relationships/image" Target="media/image52.jpeg"/><Relationship Id="rId62" Type="http://schemas.openxmlformats.org/officeDocument/2006/relationships/image" Target="media/image51.png"/><Relationship Id="rId61" Type="http://schemas.openxmlformats.org/officeDocument/2006/relationships/image" Target="media/image50.jpeg"/><Relationship Id="rId60" Type="http://schemas.openxmlformats.org/officeDocument/2006/relationships/image" Target="media/image49.jpeg"/><Relationship Id="rId6" Type="http://schemas.openxmlformats.org/officeDocument/2006/relationships/footer" Target="footer2.xml"/><Relationship Id="rId59" Type="http://schemas.openxmlformats.org/officeDocument/2006/relationships/image" Target="media/image48.jpeg"/><Relationship Id="rId58" Type="http://schemas.openxmlformats.org/officeDocument/2006/relationships/image" Target="media/image47.jpeg"/><Relationship Id="rId57" Type="http://schemas.openxmlformats.org/officeDocument/2006/relationships/image" Target="media/image46.jpeg"/><Relationship Id="rId56" Type="http://schemas.openxmlformats.org/officeDocument/2006/relationships/image" Target="media/image45.jpeg"/><Relationship Id="rId55" Type="http://schemas.openxmlformats.org/officeDocument/2006/relationships/image" Target="media/image44.jpeg"/><Relationship Id="rId54" Type="http://schemas.openxmlformats.org/officeDocument/2006/relationships/image" Target="media/image43.jpeg"/><Relationship Id="rId53" Type="http://schemas.openxmlformats.org/officeDocument/2006/relationships/image" Target="media/image42.png"/><Relationship Id="rId52" Type="http://schemas.openxmlformats.org/officeDocument/2006/relationships/image" Target="media/image41.jpeg"/><Relationship Id="rId51" Type="http://schemas.openxmlformats.org/officeDocument/2006/relationships/image" Target="media/image40.jpeg"/><Relationship Id="rId50" Type="http://schemas.openxmlformats.org/officeDocument/2006/relationships/image" Target="media/image39.png"/><Relationship Id="rId5" Type="http://schemas.openxmlformats.org/officeDocument/2006/relationships/footer" Target="footer1.xml"/><Relationship Id="rId49" Type="http://schemas.openxmlformats.org/officeDocument/2006/relationships/image" Target="media/image38.png"/><Relationship Id="rId48" Type="http://schemas.openxmlformats.org/officeDocument/2006/relationships/image" Target="media/image37.jpeg"/><Relationship Id="rId47" Type="http://schemas.openxmlformats.org/officeDocument/2006/relationships/image" Target="media/image36.jpeg"/><Relationship Id="rId46" Type="http://schemas.openxmlformats.org/officeDocument/2006/relationships/image" Target="media/image35.jpeg"/><Relationship Id="rId45" Type="http://schemas.openxmlformats.org/officeDocument/2006/relationships/image" Target="media/image34.jpeg"/><Relationship Id="rId44" Type="http://schemas.openxmlformats.org/officeDocument/2006/relationships/image" Target="media/image33.jpeg"/><Relationship Id="rId43" Type="http://schemas.openxmlformats.org/officeDocument/2006/relationships/image" Target="media/image32.jpeg"/><Relationship Id="rId42" Type="http://schemas.openxmlformats.org/officeDocument/2006/relationships/image" Target="media/image31.jpeg"/><Relationship Id="rId41" Type="http://schemas.openxmlformats.org/officeDocument/2006/relationships/image" Target="media/image30.jpeg"/><Relationship Id="rId40" Type="http://schemas.openxmlformats.org/officeDocument/2006/relationships/image" Target="media/image29.jpeg"/><Relationship Id="rId4" Type="http://schemas.openxmlformats.org/officeDocument/2006/relationships/header" Target="header2.xml"/><Relationship Id="rId39" Type="http://schemas.openxmlformats.org/officeDocument/2006/relationships/image" Target="media/image28.jpeg"/><Relationship Id="rId38" Type="http://schemas.openxmlformats.org/officeDocument/2006/relationships/image" Target="media/image27.jpeg"/><Relationship Id="rId37" Type="http://schemas.openxmlformats.org/officeDocument/2006/relationships/image" Target="media/image26.jpeg"/><Relationship Id="rId36" Type="http://schemas.openxmlformats.org/officeDocument/2006/relationships/image" Target="media/image25.jpeg"/><Relationship Id="rId35" Type="http://schemas.openxmlformats.org/officeDocument/2006/relationships/image" Target="media/image24.jpeg"/><Relationship Id="rId34" Type="http://schemas.openxmlformats.org/officeDocument/2006/relationships/image" Target="media/image23.jpeg"/><Relationship Id="rId33" Type="http://schemas.openxmlformats.org/officeDocument/2006/relationships/image" Target="media/image22.jpeg"/><Relationship Id="rId32" Type="http://schemas.openxmlformats.org/officeDocument/2006/relationships/image" Target="media/image21.jpeg"/><Relationship Id="rId31" Type="http://schemas.openxmlformats.org/officeDocument/2006/relationships/image" Target="media/image20.jpeg"/><Relationship Id="rId30" Type="http://schemas.openxmlformats.org/officeDocument/2006/relationships/image" Target="media/image19.jpeg"/><Relationship Id="rId3" Type="http://schemas.openxmlformats.org/officeDocument/2006/relationships/header" Target="header1.xml"/><Relationship Id="rId29" Type="http://schemas.openxmlformats.org/officeDocument/2006/relationships/image" Target="media/image18.jpeg"/><Relationship Id="rId28" Type="http://schemas.openxmlformats.org/officeDocument/2006/relationships/image" Target="media/image17.png"/><Relationship Id="rId27" Type="http://schemas.openxmlformats.org/officeDocument/2006/relationships/image" Target="media/image16.jpe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emf"/><Relationship Id="rId16" Type="http://schemas.openxmlformats.org/officeDocument/2006/relationships/oleObject" Target="embeddings/oleObject3.bin"/><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wmf"/><Relationship Id="rId11" Type="http://schemas.openxmlformats.org/officeDocument/2006/relationships/oleObject" Target="embeddings/oleObject2.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8434"/>
    <customShpInfo spid="_x0000_s18433"/>
    <customShpInfo spid="_x0000_s1027"/>
    <customShpInfo spid="_x0000_s1028"/>
    <customShpInfo spid="_x0000_s1029"/>
    <customShpInfo spid="_x0000_s1030"/>
    <customShpInfo spid="_x0000_s1031"/>
    <customShpInfo spid="_x0000_s1032"/>
    <customShpInfo spid="_x0000_s1033"/>
    <customShpInfo spid="_x0000_s1034"/>
    <customShpInfo spid="_x0000_s1026"/>
    <customShpInfo spid="_x0000_s1036"/>
    <customShpInfo spid="_x0000_s1053"/>
    <customShpInfo spid="_x0000_s1052"/>
    <customShpInfo spid="_x0000_s1035"/>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97ED28D-9ED1-4352-B40E-D3BB898D810C}">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116</Pages>
  <Words>9099</Words>
  <Characters>51866</Characters>
  <Lines>432</Lines>
  <Paragraphs>121</Paragraphs>
  <TotalTime>3</TotalTime>
  <ScaleCrop>false</ScaleCrop>
  <LinksUpToDate>false</LinksUpToDate>
  <CharactersWithSpaces>60844</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2019-06-13T08:00:00Z</dcterms:created>
  <dc:creator>User</dc:creator>
  <cp:lastModifiedBy>东望洋</cp:lastModifiedBy>
  <cp:lastPrinted>2019-06-28T09:10:00Z</cp:lastPrinted>
  <dcterms:modified xsi:type="dcterms:W3CDTF">2019-12-01T12:08:47Z</dcterms:modified>
  <cp:revision>152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