
<file path=[Content_Types].xml><?xml version="1.0" encoding="utf-8"?>
<Types xmlns="http://schemas.openxmlformats.org/package/2006/content-types">
  <Override PartName="/word/footnotes.xml" ContentType="application/vnd.openxmlformats-officedocument.wordprocessingml.footnotes+xml"/>
  <Override PartName="/word/footer9.xml" ContentType="application/vnd.openxmlformats-officedocument.wordprocessingml.footer+xml"/>
  <Override PartName="/word/footer7.xml" ContentType="application/vnd.openxmlformats-officedocument.wordprocessingml.footer+xml"/>
  <Override PartName="/word/footer19.xml" ContentType="application/vnd.openxmlformats-officedocument.wordprocessingml.footer+xml"/>
  <Override PartName="/word/footer28.xml" ContentType="application/vnd.openxmlformats-officedocument.wordprocessingml.footer+xml"/>
  <Override PartName="/word/header1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3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footer8.xml" ContentType="application/vnd.openxmlformats-officedocument.wordprocessingml.footer+xml"/>
  <Override PartName="/word/footer29.xml" ContentType="application/vnd.openxmlformats-officedocument.wordprocessingml.footer+xml"/>
  <Override PartName="/word/footer6.xml" ContentType="application/vnd.openxmlformats-officedocument.wordprocessingml.footer+xml"/>
  <Default Extension="jpeg" ContentType="image/jpeg"/>
  <Override PartName="/word/footer18.xml" ContentType="application/vnd.openxmlformats-officedocument.wordprocessingml.footer+xml"/>
  <Override PartName="/word/footer27.xml" ContentType="application/vnd.openxmlformats-officedocument.wordprocessingml.footer+xml"/>
  <Override PartName="/word/header15.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4AE3" w:rsidRDefault="00B04AE3">
      <w:pPr>
        <w:pStyle w:val="BodyText"/>
        <w:spacing w:before="4"/>
        <w:rPr>
          <w:rFonts w:ascii="Times New Roman"/>
          <w:sz w:val="17"/>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rsidP="003446E2">
      <w:pPr>
        <w:spacing w:before="172" w:line="336" w:lineRule="auto"/>
        <w:ind w:right="2296" w:firstLineChars="100" w:firstLine="31680"/>
        <w:jc w:val="right"/>
        <w:rPr>
          <w:b/>
          <w:spacing w:val="-1"/>
          <w:sz w:val="52"/>
        </w:rPr>
      </w:pPr>
      <w:r>
        <w:rPr>
          <w:rFonts w:hint="eastAsia"/>
          <w:b/>
          <w:sz w:val="52"/>
        </w:rPr>
        <w:t>南昌海立电器有限公司</w:t>
      </w:r>
      <w:r>
        <w:rPr>
          <w:rFonts w:hint="eastAsia"/>
          <w:b/>
          <w:spacing w:val="-1"/>
          <w:sz w:val="52"/>
        </w:rPr>
        <w:t>突发环境事件</w:t>
      </w:r>
    </w:p>
    <w:p w:rsidR="00B04AE3" w:rsidRDefault="00B04AE3" w:rsidP="003446E2">
      <w:pPr>
        <w:spacing w:before="172" w:line="336" w:lineRule="auto"/>
        <w:ind w:right="2296" w:firstLineChars="100" w:firstLine="31680"/>
        <w:jc w:val="center"/>
        <w:rPr>
          <w:b/>
          <w:sz w:val="52"/>
        </w:rPr>
      </w:pPr>
      <w:r>
        <w:rPr>
          <w:rFonts w:hint="eastAsia"/>
          <w:b/>
          <w:spacing w:val="-1"/>
          <w:sz w:val="52"/>
        </w:rPr>
        <w:t>应急预案编制说明</w:t>
      </w: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64"/>
        </w:rPr>
      </w:pPr>
    </w:p>
    <w:p w:rsidR="00B04AE3" w:rsidRDefault="00B04AE3">
      <w:pPr>
        <w:pStyle w:val="BodyText"/>
        <w:rPr>
          <w:b/>
          <w:sz w:val="64"/>
        </w:rPr>
      </w:pPr>
    </w:p>
    <w:p w:rsidR="00B04AE3" w:rsidRDefault="00B04AE3">
      <w:pPr>
        <w:pStyle w:val="BodyText"/>
        <w:rPr>
          <w:b/>
          <w:sz w:val="64"/>
        </w:rPr>
      </w:pPr>
    </w:p>
    <w:p w:rsidR="00B04AE3" w:rsidRDefault="00B04AE3">
      <w:pPr>
        <w:jc w:val="center"/>
        <w:rPr>
          <w:b/>
          <w:sz w:val="36"/>
        </w:rPr>
      </w:pPr>
      <w:r>
        <w:rPr>
          <w:rFonts w:hint="eastAsia"/>
          <w:b/>
          <w:sz w:val="36"/>
        </w:rPr>
        <w:t>二〇一八年十二月</w:t>
      </w:r>
    </w:p>
    <w:p w:rsidR="00B04AE3" w:rsidRDefault="00B04AE3">
      <w:pPr>
        <w:spacing w:before="44"/>
        <w:ind w:left="1800"/>
        <w:rPr>
          <w:b/>
          <w:sz w:val="28"/>
        </w:rPr>
      </w:pPr>
      <w:bookmarkStart w:id="0" w:name="一、预案编制目的"/>
      <w:bookmarkEnd w:id="0"/>
      <w:r>
        <w:rPr>
          <w:rFonts w:hint="eastAsia"/>
          <w:b/>
          <w:sz w:val="28"/>
        </w:rPr>
        <w:t>一、预案编制目的</w:t>
      </w:r>
    </w:p>
    <w:p w:rsidR="00B04AE3" w:rsidRDefault="00B04AE3">
      <w:pPr>
        <w:pStyle w:val="BodyText"/>
        <w:spacing w:before="185" w:line="364" w:lineRule="auto"/>
        <w:ind w:left="1800" w:right="1677" w:firstLine="480"/>
      </w:pPr>
      <w:r>
        <w:rPr>
          <w:rFonts w:hint="eastAsia"/>
          <w:spacing w:val="-4"/>
        </w:rPr>
        <w:t>为规范和加强公司对突发环境污染事故的综合处置能力，贯彻落实“安全第</w:t>
      </w:r>
      <w:r>
        <w:rPr>
          <w:rFonts w:hint="eastAsia"/>
          <w:spacing w:val="-11"/>
        </w:rPr>
        <w:t>一、预防为主、综合治理”方针，促进公司应急预案体系建设，充分发挥应急预</w:t>
      </w:r>
      <w:r>
        <w:rPr>
          <w:rFonts w:hint="eastAsia"/>
          <w:spacing w:val="-16"/>
        </w:rPr>
        <w:t>案在事故预防和应急处置中的作用，切实提高公司的应急处置能力，明确公司各</w:t>
      </w:r>
      <w:r>
        <w:rPr>
          <w:rFonts w:hint="eastAsia"/>
          <w:spacing w:val="-17"/>
        </w:rPr>
        <w:t>个部门的应急工作职能，及时、科学、有效地指挥、协调应急救援工作，提高应</w:t>
      </w:r>
      <w:r>
        <w:rPr>
          <w:rFonts w:hint="eastAsia"/>
          <w:spacing w:val="-20"/>
        </w:rPr>
        <w:t>急救援反应速度，确保迅速有效地处理各类环境污染事故，实现应急救援“快速、</w:t>
      </w:r>
      <w:r>
        <w:rPr>
          <w:rFonts w:hint="eastAsia"/>
          <w:spacing w:val="-10"/>
        </w:rPr>
        <w:t>有序、有效”，将事故对人员、财产和环境造成的损失降至最小程度，最大限度地减少对环境的影响，达到防止和控制对空气、土壤、地表水及地下水的污染，制定本预案。</w:t>
      </w:r>
    </w:p>
    <w:p w:rsidR="00B04AE3" w:rsidRDefault="00B04AE3">
      <w:pPr>
        <w:spacing w:line="355" w:lineRule="exact"/>
        <w:ind w:left="1800"/>
        <w:rPr>
          <w:b/>
          <w:sz w:val="28"/>
        </w:rPr>
      </w:pPr>
      <w:bookmarkStart w:id="1" w:name="二、预案编制过程概述"/>
      <w:bookmarkEnd w:id="1"/>
      <w:r>
        <w:rPr>
          <w:rFonts w:hint="eastAsia"/>
          <w:b/>
          <w:sz w:val="28"/>
        </w:rPr>
        <w:t>二、预案编制过程概述</w:t>
      </w:r>
    </w:p>
    <w:p w:rsidR="00B04AE3" w:rsidRDefault="00B04AE3">
      <w:pPr>
        <w:pStyle w:val="BodyText"/>
        <w:spacing w:before="185" w:line="364" w:lineRule="auto"/>
        <w:ind w:left="1800" w:right="1677" w:firstLine="480"/>
        <w:rPr>
          <w:spacing w:val="-4"/>
        </w:rPr>
      </w:pPr>
      <w:r>
        <w:rPr>
          <w:rFonts w:hint="eastAsia"/>
          <w:spacing w:val="-4"/>
        </w:rPr>
        <w:t>为确保公司应急预案编制工作顺利实施，特成立了以总经理金云峰任总指，技术总工程师廖欣任副总指挥，以各部室、车间负责人为成员的应急预案编制小组，并对编制小组成员制定了明确的职责和工作计划。</w:t>
      </w:r>
    </w:p>
    <w:p w:rsidR="00B04AE3" w:rsidRDefault="00B04AE3">
      <w:pPr>
        <w:pStyle w:val="BodyText"/>
        <w:spacing w:before="185" w:line="364" w:lineRule="auto"/>
        <w:ind w:left="1800" w:right="1677" w:firstLine="480"/>
        <w:rPr>
          <w:spacing w:val="-4"/>
        </w:rPr>
      </w:pPr>
      <w:r>
        <w:rPr>
          <w:rFonts w:hint="eastAsia"/>
          <w:spacing w:val="-4"/>
        </w:rPr>
        <w:t>编制小组为确保编制内容的真实、有效，首先对公司存在的环境风险源、周边环境状况及环境保护目标的基本情况进行了全面的调查，具体的内容包括：公司的主要产品及公司原材物料的日消耗量；公司的生产工艺流程及各节点污染物排放种类、目前的控制措施；主要生产设备，雨、清、污水收集、排放管网，应急设施（备）平面布置；公司主要排放污染物及污染治理设施处理后废物产量；</w:t>
      </w:r>
      <w:r>
        <w:rPr>
          <w:spacing w:val="-4"/>
        </w:rPr>
        <w:t xml:space="preserve"> </w:t>
      </w:r>
      <w:r>
        <w:rPr>
          <w:rFonts w:hint="eastAsia"/>
          <w:spacing w:val="-4"/>
        </w:rPr>
        <w:t>公司周边</w:t>
      </w:r>
      <w:smartTag w:uri="urn:schemas-microsoft-com:office:smarttags" w:element="chmetcnv">
        <w:smartTagPr>
          <w:attr w:name="TCSC" w:val="0"/>
          <w:attr w:name="NumberType" w:val="1"/>
          <w:attr w:name="Negative" w:val="False"/>
          <w:attr w:name="HasSpace" w:val="False"/>
          <w:attr w:name="SourceValue" w:val="5"/>
          <w:attr w:name="UnitName" w:val="公里"/>
        </w:smartTagPr>
        <w:r>
          <w:rPr>
            <w:spacing w:val="-4"/>
          </w:rPr>
          <w:t>5</w:t>
        </w:r>
        <w:r>
          <w:rPr>
            <w:rFonts w:hint="eastAsia"/>
            <w:spacing w:val="-4"/>
          </w:rPr>
          <w:t>公里</w:t>
        </w:r>
      </w:smartTag>
      <w:r>
        <w:rPr>
          <w:rFonts w:hint="eastAsia"/>
          <w:spacing w:val="-4"/>
        </w:rPr>
        <w:t>范围内人口集中居住区名称、联系方式、人数；周边企业、重要基础设施、道路等基本情况；周边环境敏感点与公司的距离和方位图；公司产生污水排放去向，接纳水体情况及执行的环境标准，区域地下水执行的环境标准；</w:t>
      </w:r>
      <w:r>
        <w:rPr>
          <w:spacing w:val="-4"/>
        </w:rPr>
        <w:t xml:space="preserve"> </w:t>
      </w:r>
      <w:r>
        <w:rPr>
          <w:rFonts w:hint="eastAsia"/>
          <w:spacing w:val="-4"/>
        </w:rPr>
        <w:t>公司下游水体河流及饮用水源保护区情况，区域空气执行的环境标准等内容。</w:t>
      </w:r>
    </w:p>
    <w:p w:rsidR="00B04AE3" w:rsidRDefault="00B04AE3">
      <w:pPr>
        <w:pStyle w:val="BodyText"/>
        <w:spacing w:before="185" w:line="364" w:lineRule="auto"/>
        <w:ind w:left="1800" w:right="1677" w:firstLine="480"/>
        <w:rPr>
          <w:spacing w:val="-4"/>
        </w:rPr>
      </w:pPr>
      <w:r>
        <w:rPr>
          <w:rFonts w:hint="eastAsia"/>
          <w:spacing w:val="-4"/>
        </w:rPr>
        <w:t>通过对公司及周边情况调查，确定了公司的环境风险源有以下几个方面，公司在生产及原材物料的储存过程中，将产生废气、废水、固废、噪声以及突发环境事件造成污染物排放等。对公司及附近的生态环境与人群生活有一定影响，根据公司生产工艺流程，生产过程中主要有水污染，火灾、爆炸、中毒和泄漏等污染事故。</w:t>
      </w:r>
    </w:p>
    <w:p w:rsidR="00B04AE3" w:rsidRDefault="00B04AE3">
      <w:pPr>
        <w:pStyle w:val="BodyText"/>
        <w:spacing w:before="185" w:line="364" w:lineRule="auto"/>
        <w:ind w:left="1800" w:right="1677" w:firstLine="480"/>
        <w:rPr>
          <w:spacing w:val="-4"/>
        </w:rPr>
      </w:pPr>
      <w:r>
        <w:rPr>
          <w:rFonts w:hint="eastAsia"/>
          <w:spacing w:val="-4"/>
        </w:rPr>
        <w:t>根据环境风险源辨识结果和目前公司现有应急能力的评估结果，公司成立了突发环境事件应急救援指挥机构和应急救援小组。明确了应急指挥机构和各救援</w:t>
      </w:r>
    </w:p>
    <w:p w:rsidR="00B04AE3" w:rsidRDefault="00B04AE3">
      <w:pPr>
        <w:pStyle w:val="BodyText"/>
        <w:spacing w:before="185" w:line="364" w:lineRule="auto"/>
        <w:ind w:left="1800" w:right="1677" w:firstLine="480"/>
        <w:rPr>
          <w:spacing w:val="-4"/>
        </w:rPr>
      </w:pPr>
      <w:r>
        <w:rPr>
          <w:rFonts w:hint="eastAsia"/>
          <w:spacing w:val="-4"/>
        </w:rPr>
        <w:t>小组的应急职责，建立了预警机制，并根据突发环境事故的严重性、紧急程度和可能涉及的范围，将突发环境事故的预警级别分为三级，预警级别由高到低，依次为公司级、车间级、班组级。根据事态的发展情况和采取措施的效果，预警级别可以升级、降级或解除。</w:t>
      </w:r>
    </w:p>
    <w:p w:rsidR="00B04AE3" w:rsidRDefault="00B04AE3">
      <w:pPr>
        <w:pStyle w:val="BodyText"/>
        <w:spacing w:before="185" w:line="364" w:lineRule="auto"/>
        <w:ind w:left="1800" w:right="1677" w:firstLine="480"/>
        <w:rPr>
          <w:spacing w:val="-4"/>
        </w:rPr>
      </w:pPr>
      <w:r>
        <w:rPr>
          <w:rFonts w:hint="eastAsia"/>
          <w:spacing w:val="-4"/>
        </w:rPr>
        <w:t>预案编制小组在建立了预警机制后，根据可能发生的环境突发事故的严重程度和紧急程度，将突发环境事件分为三级。并根据事件的等级制定了相应的应急响应流程、应急处置措施、危险区域的隔离与安全区的设定。关于事故的报告，编制组根据事故的影响范围，确定了等级上报程序及在什么情况下需要向公司周边环境风险受体进行通报。</w:t>
      </w:r>
    </w:p>
    <w:p w:rsidR="00B04AE3" w:rsidRDefault="00B04AE3">
      <w:pPr>
        <w:pStyle w:val="BodyText"/>
        <w:spacing w:before="185" w:line="364" w:lineRule="auto"/>
        <w:ind w:left="1800" w:right="1677" w:firstLine="480"/>
        <w:rPr>
          <w:spacing w:val="-4"/>
        </w:rPr>
      </w:pPr>
      <w:r>
        <w:rPr>
          <w:rFonts w:hint="eastAsia"/>
          <w:spacing w:val="-4"/>
        </w:rPr>
        <w:t>为确保整个事故救援过程顺利、有效的开展，编制组在预案中明确了公司的整个保障体系，具体包括：通讯与信息保障、应急队伍保障、应急物资装备保障、交通运输保障、救援医疗保障、治安保障等。预案的主要内容编制完成后，编制组为确保预案达到编制目的，降低事故损失，对预案的培训和演练做了详细的规定。</w:t>
      </w:r>
    </w:p>
    <w:p w:rsidR="00B04AE3" w:rsidRDefault="00B04AE3">
      <w:pPr>
        <w:pStyle w:val="BodyText"/>
        <w:spacing w:before="185" w:line="364" w:lineRule="auto"/>
        <w:ind w:left="1800" w:right="1677" w:firstLine="480"/>
        <w:rPr>
          <w:spacing w:val="-4"/>
        </w:rPr>
      </w:pPr>
      <w:r>
        <w:rPr>
          <w:rFonts w:hint="eastAsia"/>
          <w:spacing w:val="-4"/>
        </w:rPr>
        <w:t>预案编制完成后以总经理为组长的应急预案编制小组对预案的主要内容进行了内部审核，对审核中提出的问题，预案编制组对其进行了完善。预案的内部编制工作已基本完成。</w:t>
      </w:r>
    </w:p>
    <w:p w:rsidR="00B04AE3" w:rsidRDefault="00B04AE3">
      <w:pPr>
        <w:spacing w:line="357" w:lineRule="exact"/>
        <w:ind w:left="1800"/>
        <w:rPr>
          <w:b/>
          <w:sz w:val="28"/>
        </w:rPr>
      </w:pPr>
      <w:bookmarkStart w:id="2" w:name="三、重点内容说明"/>
      <w:bookmarkEnd w:id="2"/>
      <w:r>
        <w:rPr>
          <w:rFonts w:hint="eastAsia"/>
          <w:b/>
          <w:sz w:val="28"/>
        </w:rPr>
        <w:t>三、重点内容说明</w:t>
      </w:r>
    </w:p>
    <w:p w:rsidR="00B04AE3" w:rsidRDefault="00B04AE3">
      <w:pPr>
        <w:pStyle w:val="BodyText"/>
        <w:spacing w:before="179"/>
        <w:ind w:left="2280"/>
      </w:pPr>
      <w:r>
        <w:rPr>
          <w:rFonts w:ascii="Calibri" w:eastAsia="Times New Roman"/>
        </w:rPr>
        <w:t>1</w:t>
      </w:r>
      <w:r>
        <w:rPr>
          <w:rFonts w:hint="eastAsia"/>
        </w:rPr>
        <w:t>、预案构成</w:t>
      </w:r>
    </w:p>
    <w:p w:rsidR="00B04AE3" w:rsidRDefault="00B04AE3">
      <w:pPr>
        <w:pStyle w:val="BodyText"/>
        <w:spacing w:before="160" w:line="364" w:lineRule="auto"/>
        <w:ind w:left="1800" w:right="1677" w:firstLine="480"/>
      </w:pPr>
      <w:r>
        <w:rPr>
          <w:rFonts w:hint="eastAsia"/>
          <w:spacing w:val="-9"/>
        </w:rPr>
        <w:t>《预案》共分十四部分，具体包括：总则、基本情况、环境风险源与风险分</w:t>
      </w:r>
      <w:r>
        <w:rPr>
          <w:rFonts w:hint="eastAsia"/>
          <w:spacing w:val="-11"/>
        </w:rPr>
        <w:t>析、环境应急能力评估、组织机构及职责、预防与预警、信息通告与通报、应急</w:t>
      </w:r>
      <w:r>
        <w:rPr>
          <w:rFonts w:hint="eastAsia"/>
          <w:spacing w:val="-17"/>
        </w:rPr>
        <w:t>响应与措施、后期处置、应急培训与演练、奖惩、保障措施、预案的评审、备案、</w:t>
      </w:r>
      <w:r>
        <w:rPr>
          <w:rFonts w:hint="eastAsia"/>
        </w:rPr>
        <w:t>发布和更新、附则。</w:t>
      </w:r>
    </w:p>
    <w:p w:rsidR="00B04AE3" w:rsidRDefault="00B04AE3">
      <w:pPr>
        <w:pStyle w:val="BodyText"/>
        <w:spacing w:line="305" w:lineRule="exact"/>
        <w:ind w:left="2280"/>
      </w:pPr>
      <w:r>
        <w:rPr>
          <w:rFonts w:ascii="Calibri" w:eastAsia="Times New Roman"/>
        </w:rPr>
        <w:t>2</w:t>
      </w:r>
      <w:r>
        <w:rPr>
          <w:rFonts w:hint="eastAsia"/>
        </w:rPr>
        <w:t>、环境风险源</w:t>
      </w:r>
    </w:p>
    <w:p w:rsidR="00B04AE3" w:rsidRDefault="00B04AE3">
      <w:pPr>
        <w:pStyle w:val="BodyText"/>
        <w:spacing w:before="159" w:line="364" w:lineRule="auto"/>
        <w:ind w:left="1800" w:right="1797" w:firstLine="480"/>
      </w:pPr>
      <w:r>
        <w:rPr>
          <w:rFonts w:hint="eastAsia"/>
          <w:spacing w:val="-6"/>
        </w:rPr>
        <w:t>公司在生产及原材物料的储存过程中，会产生固废、废气、废水、噪声及突</w:t>
      </w:r>
      <w:r>
        <w:rPr>
          <w:rFonts w:hint="eastAsia"/>
        </w:rPr>
        <w:t>发事件时产生的环境污染物等。对公司及附近的生态环境与人群生活有一定影</w:t>
      </w:r>
      <w:r>
        <w:rPr>
          <w:rFonts w:hint="eastAsia"/>
          <w:spacing w:val="-10"/>
        </w:rPr>
        <w:t>响，根据公司生产工艺流程，生产过程中主要有水污染，火灾、爆炸和泄漏等污</w:t>
      </w:r>
      <w:r>
        <w:rPr>
          <w:rFonts w:hint="eastAsia"/>
        </w:rPr>
        <w:t>染事故。针对以上可能发生的环境污染事故，采取了有效的预前管控措施。</w:t>
      </w:r>
    </w:p>
    <w:p w:rsidR="00B04AE3" w:rsidRDefault="00B04AE3">
      <w:pPr>
        <w:pStyle w:val="BodyText"/>
        <w:ind w:left="2280"/>
      </w:pPr>
      <w:r>
        <w:rPr>
          <w:rFonts w:ascii="Calibri" w:eastAsia="Times New Roman"/>
        </w:rPr>
        <w:t>3</w:t>
      </w:r>
      <w:r>
        <w:rPr>
          <w:rFonts w:hint="eastAsia"/>
        </w:rPr>
        <w:t>、污染因素控制</w:t>
      </w:r>
    </w:p>
    <w:p w:rsidR="00B04AE3" w:rsidRDefault="00B04AE3">
      <w:pPr>
        <w:pStyle w:val="ListParagraph"/>
        <w:numPr>
          <w:ilvl w:val="0"/>
          <w:numId w:val="1"/>
        </w:numPr>
        <w:tabs>
          <w:tab w:val="left" w:pos="2881"/>
        </w:tabs>
        <w:spacing w:before="158"/>
        <w:rPr>
          <w:sz w:val="24"/>
        </w:rPr>
      </w:pPr>
      <w:r>
        <w:rPr>
          <w:rFonts w:hint="eastAsia"/>
          <w:sz w:val="24"/>
        </w:rPr>
        <w:t>废水</w:t>
      </w:r>
    </w:p>
    <w:p w:rsidR="00B04AE3" w:rsidRDefault="00B04AE3">
      <w:pPr>
        <w:pStyle w:val="BodyText"/>
        <w:spacing w:before="43" w:line="364" w:lineRule="auto"/>
        <w:ind w:left="1800" w:right="1797" w:firstLine="480"/>
        <w:jc w:val="both"/>
      </w:pPr>
      <w:r>
        <w:rPr>
          <w:rFonts w:hint="eastAsia"/>
        </w:rPr>
        <w:t>废水主要是生产废水和生活污水，生产废水包括为：槽液废水、乳化液、清洗废水。乳化液废液为危险固废，送江西省危险废物处置中心厂区，槽液废水采用间歇式化学法先进行预处理，再与清洗废水混合经絮凝</w:t>
      </w:r>
      <w:r>
        <w:t>+</w:t>
      </w:r>
      <w:r>
        <w:rPr>
          <w:rFonts w:hint="eastAsia"/>
        </w:rPr>
        <w:t>气浮</w:t>
      </w:r>
      <w:r>
        <w:t>+</w:t>
      </w:r>
      <w:r>
        <w:rPr>
          <w:rFonts w:hint="eastAsia"/>
        </w:rPr>
        <w:t>生物接触氧化等处理措施处理后排入白水湖污水处理厂；生活污水经微动力生化处理措施处理后达白水湖污水处理厂接管标准进入白水湖污水处理厂，经污水处理厂处理达相关标准后排入赣江。</w:t>
      </w:r>
    </w:p>
    <w:p w:rsidR="00B04AE3" w:rsidRDefault="00B04AE3">
      <w:pPr>
        <w:pStyle w:val="ListParagraph"/>
        <w:numPr>
          <w:ilvl w:val="0"/>
          <w:numId w:val="1"/>
        </w:numPr>
        <w:tabs>
          <w:tab w:val="left" w:pos="2881"/>
        </w:tabs>
        <w:spacing w:line="305" w:lineRule="exact"/>
        <w:rPr>
          <w:sz w:val="24"/>
        </w:rPr>
      </w:pPr>
      <w:r>
        <w:rPr>
          <w:rFonts w:hint="eastAsia"/>
          <w:sz w:val="24"/>
        </w:rPr>
        <w:t>废气</w:t>
      </w:r>
    </w:p>
    <w:p w:rsidR="00B04AE3" w:rsidRDefault="00B04AE3">
      <w:pPr>
        <w:pStyle w:val="BodyText"/>
        <w:spacing w:before="160" w:line="362" w:lineRule="auto"/>
        <w:ind w:left="1800" w:right="1797" w:firstLine="480"/>
      </w:pPr>
      <w:r>
        <w:rPr>
          <w:rFonts w:hint="eastAsia"/>
        </w:rPr>
        <w:t>工艺废气主要是设备烟气</w:t>
      </w:r>
      <w:r>
        <w:t>(</w:t>
      </w:r>
      <w:r>
        <w:rPr>
          <w:rFonts w:hint="eastAsia"/>
        </w:rPr>
        <w:t>设备用天然气燃烧产生的烟气</w:t>
      </w:r>
      <w:r>
        <w:t>)</w:t>
      </w:r>
      <w:r>
        <w:rPr>
          <w:rFonts w:hint="eastAsia"/>
        </w:rPr>
        <w:t>，来自机加工车间内高速磨削机床的油雾，来自焊接机的焊接烟气</w:t>
      </w:r>
      <w:r>
        <w:t>(</w:t>
      </w:r>
      <w:r>
        <w:rPr>
          <w:rFonts w:hint="eastAsia"/>
        </w:rPr>
        <w:t>项目油雾气、烟气排放口主要集中在主厂房楼顶，位于厂区的东北角</w:t>
      </w:r>
      <w:r>
        <w:t>)</w:t>
      </w:r>
      <w:r>
        <w:rPr>
          <w:rFonts w:hint="eastAsia"/>
        </w:rPr>
        <w:t>，来自于清洗机的弱碱性和弱酸性槽液蒸发的酸碱蒸汽和来自总成、涂装线区的废热气。</w:t>
      </w:r>
    </w:p>
    <w:p w:rsidR="00B04AE3" w:rsidRDefault="00B04AE3" w:rsidP="003446E2">
      <w:pPr>
        <w:pStyle w:val="BodyText"/>
        <w:spacing w:before="82" w:line="364" w:lineRule="auto"/>
        <w:ind w:right="1677" w:firstLineChars="1000" w:firstLine="31680"/>
        <w:rPr>
          <w:spacing w:val="-5"/>
        </w:rPr>
      </w:pPr>
      <w:r>
        <w:rPr>
          <w:rFonts w:hint="eastAsia"/>
          <w:spacing w:val="-5"/>
        </w:rPr>
        <w:t>设备烟气由排风机抽出，烟气直接经</w:t>
      </w:r>
      <w:smartTag w:uri="urn:schemas-microsoft-com:office:smarttags" w:element="chmetcnv">
        <w:smartTagPr>
          <w:attr w:name="TCSC" w:val="0"/>
          <w:attr w:name="NumberType" w:val="1"/>
          <w:attr w:name="Negative" w:val="False"/>
          <w:attr w:name="HasSpace" w:val="False"/>
          <w:attr w:name="SourceValue" w:val="15"/>
          <w:attr w:name="UnitName" w:val="米"/>
        </w:smartTagPr>
        <w:r>
          <w:rPr>
            <w:spacing w:val="-5"/>
          </w:rPr>
          <w:t>15</w:t>
        </w:r>
        <w:r>
          <w:rPr>
            <w:rFonts w:hint="eastAsia"/>
            <w:spacing w:val="-5"/>
          </w:rPr>
          <w:t>米</w:t>
        </w:r>
      </w:smartTag>
      <w:r>
        <w:rPr>
          <w:rFonts w:hint="eastAsia"/>
          <w:spacing w:val="-5"/>
        </w:rPr>
        <w:t>高排气筒排放，设备烟气污染物产</w:t>
      </w:r>
    </w:p>
    <w:p w:rsidR="00B04AE3" w:rsidRDefault="00B04AE3" w:rsidP="003446E2">
      <w:pPr>
        <w:pStyle w:val="BodyText"/>
        <w:spacing w:before="82" w:line="364" w:lineRule="auto"/>
        <w:ind w:right="1677" w:firstLineChars="800" w:firstLine="31680"/>
        <w:rPr>
          <w:spacing w:val="-5"/>
        </w:rPr>
      </w:pPr>
      <w:r>
        <w:rPr>
          <w:rFonts w:hint="eastAsia"/>
          <w:spacing w:val="-5"/>
        </w:rPr>
        <w:t>生浓度</w:t>
      </w:r>
      <w:r>
        <w:rPr>
          <w:rFonts w:hint="eastAsia"/>
          <w:spacing w:val="-4"/>
        </w:rPr>
        <w:t>符合</w:t>
      </w:r>
      <w:r>
        <w:rPr>
          <w:spacing w:val="-5"/>
        </w:rPr>
        <w:t>GB16297-1996</w:t>
      </w:r>
      <w:r>
        <w:rPr>
          <w:rFonts w:hint="eastAsia"/>
          <w:spacing w:val="-5"/>
        </w:rPr>
        <w:t>《大气污染物综合排放标准》表</w:t>
      </w:r>
      <w:r>
        <w:rPr>
          <w:spacing w:val="-5"/>
        </w:rPr>
        <w:t>2</w:t>
      </w:r>
      <w:r>
        <w:rPr>
          <w:rFonts w:hint="eastAsia"/>
          <w:spacing w:val="-5"/>
        </w:rPr>
        <w:t>中二级要求内。</w:t>
      </w:r>
    </w:p>
    <w:p w:rsidR="00B04AE3" w:rsidRDefault="00B04AE3">
      <w:pPr>
        <w:pStyle w:val="BodyText"/>
        <w:spacing w:before="82" w:line="364" w:lineRule="auto"/>
        <w:ind w:left="1800" w:right="1677" w:firstLine="480"/>
        <w:rPr>
          <w:spacing w:val="-5"/>
        </w:rPr>
      </w:pPr>
      <w:r>
        <w:rPr>
          <w:rFonts w:hint="eastAsia"/>
        </w:rPr>
        <w:t>项目油雾采用油雾处理装置就地捕捉油雾，使其不散发在车间内，该油雾处理装置净化效率可达</w:t>
      </w:r>
      <w:r>
        <w:t>90%</w:t>
      </w:r>
      <w:r>
        <w:rPr>
          <w:rFonts w:hint="eastAsia"/>
        </w:rPr>
        <w:t>，采用离心机和排风罩把烟气排至室外，</w:t>
      </w:r>
      <w:r>
        <w:rPr>
          <w:rFonts w:hint="eastAsia"/>
          <w:spacing w:val="-5"/>
        </w:rPr>
        <w:t>烟气直接经</w:t>
      </w:r>
      <w:smartTag w:uri="urn:schemas-microsoft-com:office:smarttags" w:element="chmetcnv">
        <w:smartTagPr>
          <w:attr w:name="TCSC" w:val="0"/>
          <w:attr w:name="NumberType" w:val="1"/>
          <w:attr w:name="Negative" w:val="False"/>
          <w:attr w:name="HasSpace" w:val="False"/>
          <w:attr w:name="SourceValue" w:val="15"/>
          <w:attr w:name="UnitName" w:val="米"/>
        </w:smartTagPr>
        <w:r>
          <w:rPr>
            <w:spacing w:val="-5"/>
          </w:rPr>
          <w:t>15</w:t>
        </w:r>
        <w:r>
          <w:rPr>
            <w:rFonts w:hint="eastAsia"/>
            <w:spacing w:val="-5"/>
          </w:rPr>
          <w:t>米</w:t>
        </w:r>
      </w:smartTag>
      <w:r>
        <w:rPr>
          <w:rFonts w:hint="eastAsia"/>
          <w:spacing w:val="-5"/>
        </w:rPr>
        <w:t>高排气筒排放，</w:t>
      </w:r>
      <w:r>
        <w:rPr>
          <w:rFonts w:hint="eastAsia"/>
        </w:rPr>
        <w:t>满足《大气污染物综合排放标准》</w:t>
      </w:r>
      <w:r>
        <w:t>(GB16297-1996)</w:t>
      </w:r>
      <w:r>
        <w:rPr>
          <w:rFonts w:hint="eastAsia"/>
        </w:rPr>
        <w:t>表</w:t>
      </w:r>
      <w:r>
        <w:t>2</w:t>
      </w:r>
      <w:r>
        <w:rPr>
          <w:rFonts w:hint="eastAsia"/>
        </w:rPr>
        <w:t>中二级要求。</w:t>
      </w:r>
    </w:p>
    <w:p w:rsidR="00B04AE3" w:rsidRDefault="00B04AE3">
      <w:pPr>
        <w:pStyle w:val="BodyText"/>
        <w:spacing w:before="82" w:line="364" w:lineRule="auto"/>
        <w:ind w:left="1800" w:right="1677" w:firstLine="480"/>
      </w:pPr>
      <w:r>
        <w:rPr>
          <w:rFonts w:hint="eastAsia"/>
        </w:rPr>
        <w:t>清洗机的弱酸性和弱碱性槽液蒸发废气，采用吸风罩抽吸至室外高点稀释排放，排气出口离地高度</w:t>
      </w:r>
      <w:smartTag w:uri="urn:schemas-microsoft-com:office:smarttags" w:element="chmetcnv">
        <w:smartTagPr>
          <w:attr w:name="TCSC" w:val="0"/>
          <w:attr w:name="NumberType" w:val="1"/>
          <w:attr w:name="Negative" w:val="False"/>
          <w:attr w:name="HasSpace" w:val="False"/>
          <w:attr w:name="SourceValue" w:val="15"/>
          <w:attr w:name="UnitName" w:val="m"/>
        </w:smartTagPr>
        <w:r>
          <w:t>15m</w:t>
        </w:r>
      </w:smartTag>
      <w:r>
        <w:rPr>
          <w:rFonts w:hint="eastAsia"/>
        </w:rPr>
        <w:t>，满足《大气污染物综合排放标准》</w:t>
      </w:r>
      <w:r>
        <w:t>(GB16297-1996)</w:t>
      </w:r>
      <w:r>
        <w:rPr>
          <w:rFonts w:hint="eastAsia"/>
        </w:rPr>
        <w:t>表</w:t>
      </w:r>
      <w:r>
        <w:t>2</w:t>
      </w:r>
      <w:r>
        <w:rPr>
          <w:rFonts w:hint="eastAsia"/>
        </w:rPr>
        <w:t>中二级要求。</w:t>
      </w:r>
    </w:p>
    <w:p w:rsidR="00B04AE3" w:rsidRDefault="00B04AE3">
      <w:pPr>
        <w:pStyle w:val="BodyText"/>
        <w:spacing w:before="82" w:line="364" w:lineRule="auto"/>
        <w:ind w:left="1800" w:right="1677" w:firstLine="480"/>
      </w:pPr>
      <w:r>
        <w:rPr>
          <w:rFonts w:hint="eastAsia"/>
        </w:rPr>
        <w:t>在总成、涂装线区的废热气在车间屋顶安装风机，对车间进行换气以降低车间温度。各类废气经处理后满足《大气污染物综合排放标准》</w:t>
      </w:r>
      <w:r>
        <w:t>(GB16297-1996)</w:t>
      </w:r>
      <w:r>
        <w:rPr>
          <w:rFonts w:hint="eastAsia"/>
        </w:rPr>
        <w:t>表</w:t>
      </w:r>
      <w:r>
        <w:t>2</w:t>
      </w:r>
      <w:r>
        <w:rPr>
          <w:rFonts w:hint="eastAsia"/>
        </w:rPr>
        <w:t>中二级要求。</w:t>
      </w:r>
    </w:p>
    <w:p w:rsidR="00B04AE3" w:rsidRDefault="00B04AE3">
      <w:pPr>
        <w:pStyle w:val="BodyText"/>
        <w:spacing w:before="82" w:line="364" w:lineRule="auto"/>
        <w:ind w:left="1800" w:right="1677" w:firstLine="480"/>
      </w:pPr>
      <w:r>
        <w:rPr>
          <w:rFonts w:hint="eastAsia"/>
        </w:rPr>
        <w:t>项目食堂油烟采用</w:t>
      </w:r>
      <w:r>
        <w:rPr>
          <w:rFonts w:hint="eastAsia"/>
          <w:bCs/>
        </w:rPr>
        <w:t>静电式油烟净化器对食堂油烟进行治理</w:t>
      </w:r>
      <w:r>
        <w:rPr>
          <w:rFonts w:hint="eastAsia"/>
        </w:rPr>
        <w:t>，满足</w:t>
      </w:r>
      <w:r>
        <w:t>GB18483-2001</w:t>
      </w:r>
      <w:r>
        <w:rPr>
          <w:rFonts w:hint="eastAsia"/>
        </w:rPr>
        <w:t>《饮食业油烟排放标准</w:t>
      </w:r>
      <w:r>
        <w:t>(</w:t>
      </w:r>
      <w:r>
        <w:rPr>
          <w:rFonts w:hint="eastAsia"/>
        </w:rPr>
        <w:t>试行</w:t>
      </w:r>
      <w:r>
        <w:t>)</w:t>
      </w:r>
      <w:r>
        <w:rPr>
          <w:rFonts w:hint="eastAsia"/>
        </w:rPr>
        <w:t>》要求，对项目周围环境空气质量影响不大。</w:t>
      </w:r>
    </w:p>
    <w:p w:rsidR="00B04AE3" w:rsidRDefault="00B04AE3">
      <w:pPr>
        <w:pStyle w:val="ListParagraph"/>
        <w:numPr>
          <w:ilvl w:val="0"/>
          <w:numId w:val="1"/>
        </w:numPr>
        <w:tabs>
          <w:tab w:val="left" w:pos="2881"/>
        </w:tabs>
        <w:rPr>
          <w:sz w:val="24"/>
        </w:rPr>
      </w:pPr>
      <w:r>
        <w:rPr>
          <w:rFonts w:hint="eastAsia"/>
          <w:sz w:val="24"/>
        </w:rPr>
        <w:t>固废</w:t>
      </w:r>
    </w:p>
    <w:p w:rsidR="00B04AE3" w:rsidRDefault="00B04AE3">
      <w:pPr>
        <w:pStyle w:val="BodyText"/>
        <w:spacing w:before="160" w:line="364" w:lineRule="auto"/>
        <w:ind w:left="1800" w:right="1768" w:firstLine="480"/>
      </w:pPr>
      <w:r>
        <w:rPr>
          <w:rFonts w:hint="eastAsia"/>
        </w:rPr>
        <w:t>项目固废主要有边角料、生活垃圾、废水处理污泥、乳化液废液。</w:t>
      </w:r>
    </w:p>
    <w:p w:rsidR="00B04AE3" w:rsidRDefault="00B04AE3" w:rsidP="003446E2">
      <w:pPr>
        <w:tabs>
          <w:tab w:val="left" w:pos="2895"/>
        </w:tabs>
        <w:snapToGrid w:val="0"/>
        <w:spacing w:line="360" w:lineRule="auto"/>
        <w:ind w:firstLineChars="900" w:firstLine="31680"/>
        <w:rPr>
          <w:sz w:val="24"/>
        </w:rPr>
      </w:pPr>
      <w:r>
        <w:rPr>
          <w:rFonts w:hint="eastAsia"/>
          <w:sz w:val="24"/>
        </w:rPr>
        <w:t>边角料，由厂家回收利用。</w:t>
      </w:r>
    </w:p>
    <w:p w:rsidR="00B04AE3" w:rsidRDefault="00B04AE3" w:rsidP="003446E2">
      <w:pPr>
        <w:tabs>
          <w:tab w:val="left" w:pos="2895"/>
        </w:tabs>
        <w:snapToGrid w:val="0"/>
        <w:spacing w:line="360" w:lineRule="auto"/>
        <w:ind w:leftChars="654" w:left="31680" w:firstLineChars="300" w:firstLine="31680"/>
        <w:rPr>
          <w:sz w:val="24"/>
        </w:rPr>
      </w:pPr>
      <w:r>
        <w:rPr>
          <w:rFonts w:hint="eastAsia"/>
          <w:sz w:val="24"/>
        </w:rPr>
        <w:t>乳化液废液，根据国家危险废物名录，为危险废物</w:t>
      </w:r>
      <w:r>
        <w:rPr>
          <w:sz w:val="24"/>
        </w:rPr>
        <w:t>(</w:t>
      </w:r>
      <w:r>
        <w:rPr>
          <w:rFonts w:hint="eastAsia"/>
          <w:sz w:val="24"/>
        </w:rPr>
        <w:t>编号为</w:t>
      </w:r>
      <w:r>
        <w:rPr>
          <w:sz w:val="24"/>
        </w:rPr>
        <w:t>HW09)</w:t>
      </w:r>
      <w:r>
        <w:rPr>
          <w:rFonts w:hint="eastAsia"/>
          <w:sz w:val="24"/>
        </w:rPr>
        <w:t>，由厂家用容</w:t>
      </w:r>
    </w:p>
    <w:p w:rsidR="00B04AE3" w:rsidRDefault="00B04AE3" w:rsidP="003446E2">
      <w:pPr>
        <w:tabs>
          <w:tab w:val="left" w:pos="2895"/>
        </w:tabs>
        <w:snapToGrid w:val="0"/>
        <w:spacing w:line="360" w:lineRule="auto"/>
        <w:ind w:firstLineChars="800" w:firstLine="31680"/>
        <w:rPr>
          <w:sz w:val="24"/>
        </w:rPr>
      </w:pPr>
      <w:r>
        <w:rPr>
          <w:rFonts w:hint="eastAsia"/>
          <w:sz w:val="24"/>
        </w:rPr>
        <w:t>器收集后定期送江西省危险废物处置中心。</w:t>
      </w:r>
    </w:p>
    <w:p w:rsidR="00B04AE3" w:rsidRDefault="00B04AE3" w:rsidP="003446E2">
      <w:pPr>
        <w:tabs>
          <w:tab w:val="left" w:pos="2895"/>
        </w:tabs>
        <w:snapToGrid w:val="0"/>
        <w:spacing w:line="360" w:lineRule="auto"/>
        <w:ind w:firstLineChars="900" w:firstLine="31680"/>
        <w:rPr>
          <w:sz w:val="24"/>
        </w:rPr>
      </w:pPr>
      <w:r>
        <w:rPr>
          <w:rFonts w:hint="eastAsia"/>
          <w:sz w:val="24"/>
        </w:rPr>
        <w:t>废水处理污泥，经收集后运往垃圾填埋场。</w:t>
      </w:r>
    </w:p>
    <w:p w:rsidR="00B04AE3" w:rsidRDefault="00B04AE3" w:rsidP="003446E2">
      <w:pPr>
        <w:tabs>
          <w:tab w:val="left" w:pos="2895"/>
        </w:tabs>
        <w:snapToGrid w:val="0"/>
        <w:spacing w:line="360" w:lineRule="auto"/>
        <w:ind w:firstLineChars="900" w:firstLine="31680"/>
        <w:rPr>
          <w:sz w:val="24"/>
        </w:rPr>
      </w:pPr>
      <w:r>
        <w:rPr>
          <w:rFonts w:hint="eastAsia"/>
          <w:sz w:val="24"/>
        </w:rPr>
        <w:t>生活垃圾，经分类收集后运往垃圾填埋场。</w:t>
      </w:r>
    </w:p>
    <w:p w:rsidR="00B04AE3" w:rsidRDefault="00B04AE3">
      <w:pPr>
        <w:pStyle w:val="ListParagraph"/>
        <w:numPr>
          <w:ilvl w:val="0"/>
          <w:numId w:val="1"/>
        </w:numPr>
        <w:tabs>
          <w:tab w:val="left" w:pos="2881"/>
        </w:tabs>
        <w:spacing w:before="82"/>
        <w:rPr>
          <w:sz w:val="24"/>
        </w:rPr>
      </w:pPr>
      <w:r>
        <w:rPr>
          <w:rFonts w:hint="eastAsia"/>
          <w:sz w:val="24"/>
        </w:rPr>
        <w:t>噪声</w:t>
      </w:r>
    </w:p>
    <w:p w:rsidR="00B04AE3" w:rsidRDefault="00B04AE3">
      <w:pPr>
        <w:pStyle w:val="BodyText"/>
        <w:spacing w:before="160" w:line="364" w:lineRule="auto"/>
        <w:ind w:left="1800" w:right="1672" w:firstLine="480"/>
      </w:pPr>
      <w:r>
        <w:rPr>
          <w:rFonts w:hint="eastAsia"/>
          <w:spacing w:val="-4"/>
        </w:rPr>
        <w:t>企业主要噪声来源于机械设备营运期产生的噪声，噪声源强为</w:t>
      </w:r>
      <w:r>
        <w:rPr>
          <w:spacing w:val="-4"/>
        </w:rPr>
        <w:t xml:space="preserve"> </w:t>
      </w:r>
      <w:r>
        <w:rPr>
          <w:rFonts w:ascii="Calibri" w:eastAsia="Times New Roman"/>
        </w:rPr>
        <w:t xml:space="preserve">75~90 </w:t>
      </w:r>
      <w:r>
        <w:rPr>
          <w:rFonts w:ascii="Calibri" w:eastAsia="Times New Roman"/>
          <w:spacing w:val="-4"/>
        </w:rPr>
        <w:t>dB(A)</w:t>
      </w:r>
      <w:r>
        <w:rPr>
          <w:rFonts w:hint="eastAsia"/>
          <w:spacing w:val="-4"/>
        </w:rPr>
        <w:t>，</w:t>
      </w:r>
      <w:r>
        <w:rPr>
          <w:spacing w:val="-4"/>
        </w:rPr>
        <w:t xml:space="preserve"> </w:t>
      </w:r>
      <w:r>
        <w:rPr>
          <w:rFonts w:hint="eastAsia"/>
          <w:spacing w:val="-5"/>
        </w:rPr>
        <w:t>目前企业厂区通过选用低噪音设备、合理布置厂区及设备位置，针对噪声源位置</w:t>
      </w:r>
      <w:r>
        <w:rPr>
          <w:rFonts w:hint="eastAsia"/>
          <w:spacing w:val="-11"/>
        </w:rPr>
        <w:t>及特点分别采取隔音、减震、消声等措施，昼夜厂界噪声均符合《工业企业厂界</w:t>
      </w:r>
      <w:r>
        <w:rPr>
          <w:rFonts w:hint="eastAsia"/>
          <w:spacing w:val="-18"/>
        </w:rPr>
        <w:t>环境噪声排放标准》</w:t>
      </w:r>
      <w:r>
        <w:rPr>
          <w:rFonts w:hint="eastAsia"/>
        </w:rPr>
        <w:t>（</w:t>
      </w:r>
      <w:r>
        <w:rPr>
          <w:rFonts w:ascii="Calibri" w:eastAsia="Times New Roman"/>
        </w:rPr>
        <w:t>GB12348-2008</w:t>
      </w:r>
      <w:r>
        <w:rPr>
          <w:rFonts w:hint="eastAsia"/>
        </w:rPr>
        <w:t>）</w:t>
      </w:r>
      <w:r>
        <w:rPr>
          <w:rFonts w:ascii="Calibri" w:eastAsia="Times New Roman"/>
        </w:rPr>
        <w:t xml:space="preserve">3 </w:t>
      </w:r>
      <w:r>
        <w:rPr>
          <w:rFonts w:hint="eastAsia"/>
        </w:rPr>
        <w:t>类功能区标准要求，对周围环境产生的影响较小。</w:t>
      </w:r>
    </w:p>
    <w:p w:rsidR="00B04AE3" w:rsidRDefault="00B04AE3">
      <w:pPr>
        <w:pStyle w:val="BodyText"/>
        <w:spacing w:before="140"/>
        <w:ind w:left="2280"/>
      </w:pPr>
      <w:r>
        <w:rPr>
          <w:rFonts w:ascii="Calibri" w:eastAsia="Times New Roman"/>
        </w:rPr>
        <w:t>4</w:t>
      </w:r>
      <w:r>
        <w:rPr>
          <w:rFonts w:hint="eastAsia"/>
        </w:rPr>
        <w:t>、应急组织机构</w:t>
      </w:r>
    </w:p>
    <w:p w:rsidR="00B04AE3" w:rsidRDefault="00B04AE3">
      <w:pPr>
        <w:pStyle w:val="BodyText"/>
        <w:spacing w:before="172" w:line="374" w:lineRule="auto"/>
        <w:ind w:left="1800" w:right="1677" w:firstLine="480"/>
      </w:pPr>
      <w:r>
        <w:rPr>
          <w:rFonts w:hint="eastAsia"/>
          <w:spacing w:val="-16"/>
        </w:rPr>
        <w:t>公司设立应急指挥部，由总经理金云峰任总指挥，技术总工程师廖欣任副总指挥，</w:t>
      </w:r>
      <w:r>
        <w:rPr>
          <w:rFonts w:hint="eastAsia"/>
          <w:spacing w:val="-6"/>
        </w:rPr>
        <w:t>下设环境事件处置应急办公室、环境应急抢险救援组、通讯联络组、警戒保卫组</w:t>
      </w:r>
      <w:r>
        <w:rPr>
          <w:rFonts w:hint="eastAsia"/>
          <w:spacing w:val="-12"/>
        </w:rPr>
        <w:t>和环境监测组等应急小组。各个部门人员日常在各自的工作岗位上工作，当发生异常情况时各小组均应迅速到达各自的应急岗位履行各自的职责。</w:t>
      </w:r>
    </w:p>
    <w:p w:rsidR="00B04AE3" w:rsidRDefault="00B04AE3">
      <w:pPr>
        <w:pStyle w:val="BodyText"/>
        <w:spacing w:before="2" w:line="374" w:lineRule="auto"/>
        <w:ind w:left="1800" w:right="1797" w:firstLine="480"/>
      </w:pPr>
      <w:r>
        <w:rPr>
          <w:rFonts w:hint="eastAsia"/>
          <w:spacing w:val="-6"/>
        </w:rPr>
        <w:t>公司聘请当地环境应急专家库专家组成技术专家组，对突发环境事件应急救</w:t>
      </w:r>
      <w:r>
        <w:rPr>
          <w:rFonts w:hint="eastAsia"/>
        </w:rPr>
        <w:t>援提出科学合理建议，为现场指挥救援提供技术咨询。</w:t>
      </w:r>
    </w:p>
    <w:p w:rsidR="00B04AE3" w:rsidRDefault="00B04AE3">
      <w:pPr>
        <w:pStyle w:val="BodyText"/>
        <w:ind w:left="2280"/>
      </w:pPr>
      <w:r>
        <w:rPr>
          <w:rFonts w:ascii="Calibri" w:eastAsia="Times New Roman"/>
        </w:rPr>
        <w:t>5</w:t>
      </w:r>
      <w:r>
        <w:rPr>
          <w:rFonts w:hint="eastAsia"/>
        </w:rPr>
        <w:t>、预案分级</w:t>
      </w:r>
    </w:p>
    <w:p w:rsidR="00B04AE3" w:rsidRDefault="00B04AE3">
      <w:pPr>
        <w:pStyle w:val="BodyText"/>
        <w:spacing w:before="173" w:line="374" w:lineRule="auto"/>
        <w:ind w:left="1800" w:right="1797" w:firstLine="480"/>
        <w:jc w:val="both"/>
      </w:pPr>
      <w:r>
        <w:rPr>
          <w:rFonts w:hint="eastAsia"/>
          <w:spacing w:val="-7"/>
        </w:rPr>
        <w:t>按照突发环境事故的严重性、紧急程度和可能涉及的范围，将突发环境事故</w:t>
      </w:r>
      <w:r>
        <w:rPr>
          <w:rFonts w:hint="eastAsia"/>
          <w:spacing w:val="-9"/>
        </w:rPr>
        <w:t>的预警级别分为三级，预警级别由高到低。根据事态的发展情况和采取措施的效</w:t>
      </w:r>
      <w:r>
        <w:rPr>
          <w:rFonts w:hint="eastAsia"/>
        </w:rPr>
        <w:t>果，预警级别可以升级、降级或解除。</w:t>
      </w:r>
    </w:p>
    <w:p w:rsidR="00B04AE3" w:rsidRDefault="00B04AE3">
      <w:pPr>
        <w:pStyle w:val="BodyText"/>
        <w:spacing w:before="1"/>
        <w:ind w:left="2280"/>
      </w:pPr>
      <w:r>
        <w:rPr>
          <w:rFonts w:ascii="Calibri" w:eastAsia="Times New Roman"/>
        </w:rPr>
        <w:t>6</w:t>
      </w:r>
      <w:r>
        <w:rPr>
          <w:rFonts w:hint="eastAsia"/>
        </w:rPr>
        <w:t>、事故报告与信息上报</w:t>
      </w:r>
    </w:p>
    <w:p w:rsidR="00B04AE3" w:rsidRDefault="00B04AE3">
      <w:pPr>
        <w:pStyle w:val="BodyText"/>
        <w:spacing w:before="172" w:line="374" w:lineRule="auto"/>
        <w:ind w:left="1800" w:right="1797" w:firstLine="480"/>
        <w:jc w:val="both"/>
      </w:pPr>
      <w:r>
        <w:rPr>
          <w:rFonts w:hint="eastAsia"/>
          <w:spacing w:val="-7"/>
        </w:rPr>
        <w:t>当公司发生突发环境事故时，第一发现者应立即报告班长、事故发生部门负</w:t>
      </w:r>
      <w:r>
        <w:rPr>
          <w:rFonts w:hint="eastAsia"/>
          <w:spacing w:val="-11"/>
        </w:rPr>
        <w:t>责人，班长、事故发生部门负责人报告值班副经理，紧急情况时第一发现者可直</w:t>
      </w:r>
      <w:r>
        <w:rPr>
          <w:rFonts w:hint="eastAsia"/>
        </w:rPr>
        <w:t>接报告值班副经理。</w:t>
      </w:r>
    </w:p>
    <w:p w:rsidR="00B04AE3" w:rsidRDefault="00B04AE3">
      <w:pPr>
        <w:pStyle w:val="BodyText"/>
        <w:spacing w:before="1" w:line="374" w:lineRule="auto"/>
        <w:ind w:left="1800" w:right="1797" w:firstLine="480"/>
      </w:pPr>
      <w:r>
        <w:rPr>
          <w:rFonts w:hint="eastAsia"/>
          <w:spacing w:val="-8"/>
        </w:rPr>
        <w:t>值班人员接到报告后，应迅速通知有关部门，报告应急指挥部，启动应急救</w:t>
      </w:r>
      <w:r>
        <w:rPr>
          <w:rFonts w:hint="eastAsia"/>
        </w:rPr>
        <w:t>援程序，通知救援小组迅速赶赴事故现场。</w:t>
      </w:r>
    </w:p>
    <w:p w:rsidR="00B04AE3" w:rsidRDefault="00B04AE3">
      <w:pPr>
        <w:pStyle w:val="BodyText"/>
        <w:spacing w:before="1"/>
        <w:ind w:left="2280"/>
      </w:pPr>
      <w:r>
        <w:rPr>
          <w:rFonts w:hint="eastAsia"/>
        </w:rPr>
        <w:t>事故发生部门负责人向上级部门汇报的同时，立即组织现场人员在保证自身</w:t>
      </w:r>
    </w:p>
    <w:p w:rsidR="00B04AE3" w:rsidRDefault="00B04AE3">
      <w:pPr>
        <w:pStyle w:val="BodyText"/>
        <w:spacing w:before="47"/>
        <w:ind w:left="1800"/>
      </w:pPr>
      <w:r>
        <w:rPr>
          <w:rFonts w:hint="eastAsia"/>
        </w:rPr>
        <w:t>安全的前提下采取控制措施，最大程度降低事故危害，组织自救。</w:t>
      </w:r>
    </w:p>
    <w:p w:rsidR="00B04AE3" w:rsidRDefault="00B04AE3">
      <w:pPr>
        <w:pStyle w:val="BodyText"/>
        <w:spacing w:before="172" w:line="374" w:lineRule="auto"/>
        <w:ind w:left="1800" w:right="1797" w:firstLine="480"/>
      </w:pPr>
      <w:r>
        <w:rPr>
          <w:rFonts w:hint="eastAsia"/>
        </w:rPr>
        <w:t>公司发生</w:t>
      </w:r>
      <w:r>
        <w:rPr>
          <w:rFonts w:ascii="Calibri" w:eastAsia="Times New Roman"/>
        </w:rPr>
        <w:t>I</w:t>
      </w:r>
      <w:r>
        <w:rPr>
          <w:rFonts w:hint="eastAsia"/>
        </w:rPr>
        <w:t>级突发环境事件难以自行处理，除执行内部报告外，还须在半小</w:t>
      </w:r>
      <w:r>
        <w:rPr>
          <w:rFonts w:hint="eastAsia"/>
          <w:spacing w:val="-5"/>
        </w:rPr>
        <w:t>时之内将事件的详细情况汇报给经济技术开发区环保局监察大队，请求援助以控制事故的</w:t>
      </w:r>
      <w:r>
        <w:rPr>
          <w:rFonts w:hint="eastAsia"/>
          <w:spacing w:val="-12"/>
        </w:rPr>
        <w:t>发展扩大。紧急情况下，可以越级上报，隐瞒不报将受到相应的行政处罚或刑事</w:t>
      </w:r>
      <w:r>
        <w:rPr>
          <w:rFonts w:hint="eastAsia"/>
          <w:spacing w:val="-11"/>
        </w:rPr>
        <w:t>处罚。需要向社会和周边发布警报时，由指挥部人员向政府以及周边单位通报警报消息。总指挥根据现场应急情况，及时发现事故可能影响公司周边村庄居民的</w:t>
      </w:r>
      <w:r>
        <w:rPr>
          <w:rFonts w:hint="eastAsia"/>
          <w:spacing w:val="-10"/>
        </w:rPr>
        <w:t>安全时，指挥部直接联系政府以及周边单位负责人，发布消息，提出组织撤离或</w:t>
      </w:r>
      <w:r>
        <w:rPr>
          <w:rFonts w:hint="eastAsia"/>
        </w:rPr>
        <w:t>者请求援助要求。</w:t>
      </w:r>
    </w:p>
    <w:p w:rsidR="00B04AE3" w:rsidRDefault="00B04AE3">
      <w:pPr>
        <w:pStyle w:val="BodyText"/>
        <w:spacing w:before="2"/>
        <w:ind w:left="2280"/>
      </w:pPr>
      <w:r>
        <w:rPr>
          <w:rFonts w:ascii="Calibri" w:eastAsia="Times New Roman"/>
        </w:rPr>
        <w:t>7</w:t>
      </w:r>
      <w:r>
        <w:rPr>
          <w:rFonts w:hint="eastAsia"/>
        </w:rPr>
        <w:t>、应急保障</w:t>
      </w:r>
    </w:p>
    <w:p w:rsidR="00B04AE3" w:rsidRDefault="00B04AE3">
      <w:pPr>
        <w:pStyle w:val="BodyText"/>
        <w:spacing w:before="173" w:line="374" w:lineRule="auto"/>
        <w:ind w:left="1800" w:right="1677" w:firstLine="480"/>
      </w:pPr>
      <w:r>
        <w:rPr>
          <w:rFonts w:hint="eastAsia"/>
          <w:spacing w:val="-6"/>
        </w:rPr>
        <w:t>公司建立了较完善的应急保障体系，完全可以满足突发事件发生时各方面的</w:t>
      </w:r>
      <w:r>
        <w:rPr>
          <w:rFonts w:hint="eastAsia"/>
          <w:spacing w:val="-17"/>
        </w:rPr>
        <w:t>保障能力。保障体系包括：通信与信息保障、应急队伍保障、应急物资装备保障、</w:t>
      </w:r>
      <w:r>
        <w:rPr>
          <w:rFonts w:hint="eastAsia"/>
        </w:rPr>
        <w:t>经费保障、交通运输保障、救援医疗保障、治安保障。</w:t>
      </w:r>
    </w:p>
    <w:p w:rsidR="00B04AE3" w:rsidRDefault="00B04AE3">
      <w:pPr>
        <w:spacing w:before="25"/>
        <w:ind w:left="1800"/>
        <w:rPr>
          <w:b/>
          <w:sz w:val="28"/>
        </w:rPr>
      </w:pPr>
      <w:bookmarkStart w:id="3" w:name="四、征求意见及采纳情况说明"/>
      <w:bookmarkEnd w:id="3"/>
      <w:r>
        <w:rPr>
          <w:rFonts w:hint="eastAsia"/>
          <w:b/>
          <w:sz w:val="28"/>
        </w:rPr>
        <w:t>四、征求意见及采纳情况说明</w:t>
      </w:r>
    </w:p>
    <w:p w:rsidR="00B04AE3" w:rsidRDefault="00B04AE3">
      <w:pPr>
        <w:pStyle w:val="BodyText"/>
        <w:spacing w:before="176" w:line="374" w:lineRule="auto"/>
        <w:ind w:left="1800" w:right="1797" w:firstLine="480"/>
        <w:jc w:val="both"/>
      </w:pPr>
      <w:r>
        <w:rPr>
          <w:rFonts w:hint="eastAsia"/>
          <w:spacing w:val="-11"/>
        </w:rPr>
        <w:t>为确保《预案》的编制更加全面、具体，在进行预案编制和内部审核时，邀</w:t>
      </w:r>
      <w:r>
        <w:rPr>
          <w:rFonts w:hint="eastAsia"/>
          <w:spacing w:val="-5"/>
        </w:rPr>
        <w:t>请了员工代表和当地居民参与到编制和审核的工作中，并征求了他们的意见和建</w:t>
      </w:r>
      <w:r>
        <w:rPr>
          <w:rFonts w:hint="eastAsia"/>
        </w:rPr>
        <w:t>议。编制小组对提出的建议进行了汇总，主要集中在以下几点：</w:t>
      </w:r>
    </w:p>
    <w:p w:rsidR="00B04AE3" w:rsidRDefault="00B04AE3">
      <w:pPr>
        <w:pStyle w:val="ListParagraph"/>
        <w:numPr>
          <w:ilvl w:val="0"/>
          <w:numId w:val="2"/>
        </w:numPr>
        <w:tabs>
          <w:tab w:val="left" w:pos="2761"/>
        </w:tabs>
        <w:spacing w:before="1"/>
        <w:rPr>
          <w:sz w:val="24"/>
        </w:rPr>
      </w:pPr>
      <w:r>
        <w:rPr>
          <w:rFonts w:hint="eastAsia"/>
          <w:sz w:val="24"/>
        </w:rPr>
        <w:t>预案中对事故发生时的应急处置措施制定的不够具体。</w:t>
      </w:r>
    </w:p>
    <w:p w:rsidR="00B04AE3" w:rsidRDefault="00B04AE3">
      <w:pPr>
        <w:pStyle w:val="ListParagraph"/>
        <w:numPr>
          <w:ilvl w:val="0"/>
          <w:numId w:val="2"/>
        </w:numPr>
        <w:tabs>
          <w:tab w:val="left" w:pos="2761"/>
        </w:tabs>
        <w:spacing w:before="173"/>
        <w:rPr>
          <w:sz w:val="24"/>
        </w:rPr>
      </w:pPr>
      <w:r>
        <w:rPr>
          <w:rFonts w:hint="eastAsia"/>
          <w:sz w:val="24"/>
        </w:rPr>
        <w:t>预案对周边环境风险分析不够全面。</w:t>
      </w:r>
    </w:p>
    <w:p w:rsidR="00B04AE3" w:rsidRDefault="00B04AE3">
      <w:pPr>
        <w:pStyle w:val="ListParagraph"/>
        <w:numPr>
          <w:ilvl w:val="0"/>
          <w:numId w:val="2"/>
        </w:numPr>
        <w:tabs>
          <w:tab w:val="left" w:pos="2761"/>
        </w:tabs>
        <w:spacing w:before="172"/>
        <w:rPr>
          <w:sz w:val="24"/>
        </w:rPr>
      </w:pPr>
      <w:r>
        <w:rPr>
          <w:rFonts w:hint="eastAsia"/>
          <w:sz w:val="24"/>
        </w:rPr>
        <w:t>应急救援物资配备不足。</w:t>
      </w:r>
    </w:p>
    <w:p w:rsidR="00B04AE3" w:rsidRDefault="00B04AE3">
      <w:pPr>
        <w:pStyle w:val="ListParagraph"/>
        <w:numPr>
          <w:ilvl w:val="0"/>
          <w:numId w:val="2"/>
        </w:numPr>
        <w:tabs>
          <w:tab w:val="left" w:pos="2761"/>
        </w:tabs>
        <w:spacing w:before="173"/>
        <w:rPr>
          <w:sz w:val="24"/>
        </w:rPr>
      </w:pPr>
      <w:r>
        <w:rPr>
          <w:rFonts w:hint="eastAsia"/>
          <w:sz w:val="24"/>
        </w:rPr>
        <w:t>预案中未规定在公司组织应急预案演练时通知当地居民参加。</w:t>
      </w:r>
    </w:p>
    <w:p w:rsidR="00B04AE3" w:rsidRDefault="00B04AE3">
      <w:pPr>
        <w:pStyle w:val="BodyText"/>
        <w:spacing w:before="172" w:line="374" w:lineRule="auto"/>
        <w:ind w:left="1800" w:right="1797" w:firstLine="480"/>
      </w:pPr>
      <w:r>
        <w:rPr>
          <w:rFonts w:hint="eastAsia"/>
          <w:spacing w:val="-5"/>
        </w:rPr>
        <w:t>编制小组对以上建议进行了认真的梳理和反复的研究，决定对所有建议予以</w:t>
      </w:r>
      <w:r>
        <w:rPr>
          <w:rFonts w:hint="eastAsia"/>
        </w:rPr>
        <w:t>采纳并编制到预案中。</w:t>
      </w:r>
    </w:p>
    <w:p w:rsidR="00B04AE3" w:rsidRDefault="00B04AE3">
      <w:pPr>
        <w:spacing w:line="374" w:lineRule="auto"/>
        <w:sectPr w:rsidR="00B04AE3">
          <w:footerReference w:type="default" r:id="rId7"/>
          <w:pgSz w:w="11910" w:h="16840"/>
          <w:pgMar w:top="1520" w:right="0" w:bottom="1160" w:left="0" w:header="0" w:footer="975" w:gutter="0"/>
          <w:cols w:space="720"/>
        </w:sectPr>
      </w:pPr>
    </w:p>
    <w:p w:rsidR="00B04AE3" w:rsidRDefault="00B04AE3">
      <w:pPr>
        <w:pStyle w:val="BodyText"/>
        <w:rPr>
          <w:sz w:val="20"/>
        </w:rPr>
      </w:pPr>
    </w:p>
    <w:p w:rsidR="00B04AE3" w:rsidRDefault="00B04AE3">
      <w:pPr>
        <w:pStyle w:val="BodyText"/>
        <w:rPr>
          <w:sz w:val="20"/>
        </w:rPr>
      </w:pPr>
    </w:p>
    <w:p w:rsidR="00B04AE3" w:rsidRDefault="00B04AE3">
      <w:pPr>
        <w:pStyle w:val="BodyText"/>
        <w:rPr>
          <w:sz w:val="20"/>
        </w:rPr>
      </w:pPr>
    </w:p>
    <w:p w:rsidR="00B04AE3" w:rsidRDefault="00B04AE3">
      <w:pPr>
        <w:pStyle w:val="BodyText"/>
        <w:rPr>
          <w:sz w:val="20"/>
        </w:rPr>
      </w:pPr>
    </w:p>
    <w:p w:rsidR="00B04AE3" w:rsidRDefault="00B04AE3">
      <w:pPr>
        <w:pStyle w:val="BodyText"/>
        <w:rPr>
          <w:sz w:val="20"/>
        </w:rPr>
      </w:pPr>
    </w:p>
    <w:p w:rsidR="00B04AE3" w:rsidRDefault="00B04AE3">
      <w:pPr>
        <w:pStyle w:val="BodyText"/>
        <w:spacing w:before="9"/>
        <w:rPr>
          <w:sz w:val="22"/>
        </w:rPr>
      </w:pPr>
    </w:p>
    <w:p w:rsidR="00B04AE3" w:rsidRDefault="00B04AE3">
      <w:pPr>
        <w:spacing w:before="28" w:line="242" w:lineRule="auto"/>
        <w:ind w:left="2560" w:right="2558" w:firstLine="259"/>
        <w:jc w:val="center"/>
        <w:rPr>
          <w:b/>
          <w:sz w:val="52"/>
        </w:rPr>
      </w:pPr>
      <w:r>
        <w:rPr>
          <w:rFonts w:hint="eastAsia"/>
          <w:b/>
          <w:sz w:val="52"/>
        </w:rPr>
        <w:t>南昌海立电器有限公司</w:t>
      </w:r>
    </w:p>
    <w:p w:rsidR="00B04AE3" w:rsidRDefault="00B04AE3">
      <w:pPr>
        <w:spacing w:before="28" w:line="242" w:lineRule="auto"/>
        <w:ind w:left="2560" w:right="2558" w:firstLine="259"/>
        <w:jc w:val="center"/>
        <w:rPr>
          <w:b/>
          <w:sz w:val="52"/>
        </w:rPr>
      </w:pPr>
      <w:r>
        <w:rPr>
          <w:rFonts w:hint="eastAsia"/>
          <w:b/>
          <w:sz w:val="52"/>
        </w:rPr>
        <w:t>突发环境事件应急预案</w:t>
      </w: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rPr>
          <w:b/>
          <w:sz w:val="52"/>
        </w:rPr>
      </w:pPr>
    </w:p>
    <w:p w:rsidR="00B04AE3" w:rsidRDefault="00B04AE3">
      <w:pPr>
        <w:pStyle w:val="BodyText"/>
        <w:spacing w:before="3"/>
        <w:rPr>
          <w:b/>
          <w:sz w:val="63"/>
        </w:rPr>
      </w:pPr>
    </w:p>
    <w:p w:rsidR="00B04AE3" w:rsidRDefault="00B04AE3">
      <w:pPr>
        <w:pStyle w:val="BodyText"/>
        <w:spacing w:before="3"/>
        <w:rPr>
          <w:b/>
          <w:sz w:val="63"/>
        </w:rPr>
      </w:pPr>
    </w:p>
    <w:p w:rsidR="00B04AE3" w:rsidRDefault="00B04AE3">
      <w:pPr>
        <w:pStyle w:val="BodyText"/>
        <w:spacing w:before="3"/>
        <w:rPr>
          <w:b/>
          <w:sz w:val="63"/>
        </w:rPr>
      </w:pPr>
    </w:p>
    <w:p w:rsidR="00B04AE3" w:rsidRDefault="00B04AE3">
      <w:pPr>
        <w:pStyle w:val="BodyText"/>
        <w:spacing w:before="3"/>
        <w:rPr>
          <w:b/>
          <w:sz w:val="63"/>
        </w:rPr>
      </w:pPr>
    </w:p>
    <w:p w:rsidR="00B04AE3" w:rsidRDefault="00B04AE3">
      <w:pPr>
        <w:pStyle w:val="BodyText"/>
        <w:spacing w:before="3"/>
        <w:rPr>
          <w:b/>
          <w:sz w:val="63"/>
        </w:rPr>
      </w:pPr>
    </w:p>
    <w:p w:rsidR="00B04AE3" w:rsidRDefault="00B04AE3">
      <w:pPr>
        <w:pStyle w:val="BodyText"/>
        <w:spacing w:before="3"/>
        <w:rPr>
          <w:b/>
          <w:sz w:val="63"/>
        </w:rPr>
      </w:pPr>
    </w:p>
    <w:p w:rsidR="00B04AE3" w:rsidRDefault="00B04AE3" w:rsidP="003446E2">
      <w:pPr>
        <w:ind w:firstLineChars="900" w:firstLine="31680"/>
        <w:rPr>
          <w:sz w:val="32"/>
        </w:rPr>
      </w:pPr>
      <w:r>
        <w:rPr>
          <w:rFonts w:hint="eastAsia"/>
          <w:sz w:val="32"/>
        </w:rPr>
        <w:t>编制：</w:t>
      </w:r>
      <w:r>
        <w:rPr>
          <w:rFonts w:ascii="Times New Roman" w:eastAsia="Times New Roman"/>
          <w:sz w:val="32"/>
        </w:rPr>
        <w:t>2018</w:t>
      </w:r>
      <w:r>
        <w:rPr>
          <w:rFonts w:ascii="Times New Roman" w:eastAsia="Times New Roman"/>
          <w:spacing w:val="-2"/>
          <w:sz w:val="32"/>
        </w:rPr>
        <w:t xml:space="preserve"> </w:t>
      </w:r>
      <w:r>
        <w:rPr>
          <w:rFonts w:hint="eastAsia"/>
          <w:spacing w:val="-41"/>
          <w:sz w:val="32"/>
        </w:rPr>
        <w:t>年</w:t>
      </w:r>
      <w:r>
        <w:rPr>
          <w:spacing w:val="-41"/>
          <w:sz w:val="32"/>
        </w:rPr>
        <w:t xml:space="preserve"> </w:t>
      </w:r>
      <w:r>
        <w:rPr>
          <w:rFonts w:ascii="Times New Roman"/>
          <w:sz w:val="32"/>
          <w:lang w:val="en-US"/>
        </w:rPr>
        <w:t>12</w:t>
      </w:r>
      <w:r>
        <w:rPr>
          <w:rFonts w:ascii="Times New Roman" w:eastAsia="Times New Roman"/>
          <w:spacing w:val="-1"/>
          <w:sz w:val="32"/>
        </w:rPr>
        <w:t xml:space="preserve"> </w:t>
      </w:r>
      <w:r>
        <w:rPr>
          <w:rFonts w:hint="eastAsia"/>
          <w:spacing w:val="-40"/>
          <w:sz w:val="32"/>
        </w:rPr>
        <w:t>月</w:t>
      </w:r>
      <w:r>
        <w:rPr>
          <w:spacing w:val="-40"/>
          <w:sz w:val="32"/>
        </w:rPr>
        <w:t xml:space="preserve"> </w:t>
      </w:r>
      <w:r>
        <w:rPr>
          <w:rFonts w:ascii="Times New Roman"/>
          <w:sz w:val="32"/>
          <w:lang w:val="en-US"/>
        </w:rPr>
        <w:t>03</w:t>
      </w:r>
      <w:r>
        <w:rPr>
          <w:rFonts w:hint="eastAsia"/>
          <w:sz w:val="32"/>
        </w:rPr>
        <w:t>日</w:t>
      </w:r>
    </w:p>
    <w:p w:rsidR="00B04AE3" w:rsidRDefault="00B04AE3">
      <w:pPr>
        <w:pStyle w:val="BodyText"/>
        <w:spacing w:before="1"/>
        <w:rPr>
          <w:sz w:val="46"/>
        </w:rPr>
      </w:pPr>
    </w:p>
    <w:p w:rsidR="00B04AE3" w:rsidRDefault="00B04AE3">
      <w:pPr>
        <w:rPr>
          <w:sz w:val="32"/>
        </w:rPr>
        <w:sectPr w:rsidR="00B04AE3">
          <w:footerReference w:type="default" r:id="rId8"/>
          <w:pgSz w:w="11910" w:h="16840"/>
          <w:pgMar w:top="1580" w:right="0" w:bottom="280" w:left="0" w:header="0" w:footer="0" w:gutter="0"/>
          <w:cols w:space="720"/>
        </w:sectPr>
      </w:pPr>
    </w:p>
    <w:p w:rsidR="00B04AE3" w:rsidRDefault="00B04AE3">
      <w:pPr>
        <w:pStyle w:val="BodyText"/>
        <w:spacing w:before="10"/>
        <w:rPr>
          <w:sz w:val="18"/>
        </w:rPr>
      </w:pPr>
    </w:p>
    <w:p w:rsidR="00B04AE3" w:rsidRDefault="00B04AE3">
      <w:pPr>
        <w:spacing w:before="49"/>
        <w:jc w:val="center"/>
        <w:rPr>
          <w:sz w:val="36"/>
        </w:rPr>
      </w:pPr>
      <w:r>
        <w:rPr>
          <w:rFonts w:hint="eastAsia"/>
          <w:sz w:val="36"/>
        </w:rPr>
        <w:t>目</w:t>
      </w:r>
      <w:r>
        <w:rPr>
          <w:sz w:val="36"/>
        </w:rPr>
        <w:t xml:space="preserve"> </w:t>
      </w:r>
      <w:r>
        <w:rPr>
          <w:rFonts w:hint="eastAsia"/>
          <w:sz w:val="36"/>
        </w:rPr>
        <w:t>录</w:t>
      </w:r>
    </w:p>
    <w:p w:rsidR="00B04AE3" w:rsidRDefault="00B04AE3">
      <w:pPr>
        <w:pStyle w:val="ListParagraph"/>
        <w:numPr>
          <w:ilvl w:val="0"/>
          <w:numId w:val="3"/>
        </w:numPr>
        <w:tabs>
          <w:tab w:val="left" w:pos="2043"/>
          <w:tab w:val="right" w:leader="dot" w:pos="10103"/>
        </w:tabs>
        <w:spacing w:before="77"/>
        <w:rPr>
          <w:rFonts w:ascii="Times New Roman" w:eastAsia="Times New Roman"/>
          <w:sz w:val="24"/>
        </w:rPr>
      </w:pPr>
      <w:hyperlink w:anchor="_bookmark1" w:history="1">
        <w:r>
          <w:rPr>
            <w:rFonts w:hint="eastAsia"/>
            <w:sz w:val="24"/>
          </w:rPr>
          <w:t>总则</w:t>
        </w:r>
        <w:r>
          <w:rPr>
            <w:sz w:val="24"/>
          </w:rPr>
          <w:tab/>
        </w:r>
        <w:r>
          <w:rPr>
            <w:rFonts w:ascii="Times New Roman" w:eastAsia="Times New Roman"/>
            <w:sz w:val="24"/>
          </w:rPr>
          <w:t>1</w:t>
        </w:r>
      </w:hyperlink>
    </w:p>
    <w:p w:rsidR="00B04AE3" w:rsidRDefault="00B04AE3">
      <w:pPr>
        <w:pStyle w:val="ListParagraph"/>
        <w:numPr>
          <w:ilvl w:val="1"/>
          <w:numId w:val="3"/>
        </w:numPr>
        <w:tabs>
          <w:tab w:val="left" w:pos="2638"/>
          <w:tab w:val="right" w:leader="dot" w:pos="10099"/>
        </w:tabs>
        <w:spacing w:before="158"/>
        <w:rPr>
          <w:rFonts w:ascii="Times New Roman" w:eastAsia="Times New Roman"/>
          <w:sz w:val="24"/>
        </w:rPr>
      </w:pPr>
      <w:hyperlink w:anchor="_bookmark2" w:history="1">
        <w:r>
          <w:rPr>
            <w:rFonts w:hint="eastAsia"/>
            <w:sz w:val="24"/>
          </w:rPr>
          <w:t>编制目的</w:t>
        </w:r>
        <w:r>
          <w:rPr>
            <w:sz w:val="24"/>
          </w:rPr>
          <w:tab/>
        </w:r>
        <w:r>
          <w:rPr>
            <w:rFonts w:ascii="Times New Roman" w:eastAsia="Times New Roman"/>
            <w:sz w:val="24"/>
          </w:rPr>
          <w:t>1</w:t>
        </w:r>
      </w:hyperlink>
    </w:p>
    <w:p w:rsidR="00B04AE3" w:rsidRDefault="00B04AE3">
      <w:pPr>
        <w:pStyle w:val="ListParagraph"/>
        <w:numPr>
          <w:ilvl w:val="1"/>
          <w:numId w:val="3"/>
        </w:numPr>
        <w:tabs>
          <w:tab w:val="left" w:pos="2638"/>
          <w:tab w:val="right" w:leader="dot" w:pos="10099"/>
        </w:tabs>
        <w:spacing w:before="160"/>
        <w:rPr>
          <w:rFonts w:ascii="Times New Roman" w:eastAsia="Times New Roman"/>
          <w:sz w:val="24"/>
        </w:rPr>
      </w:pPr>
      <w:hyperlink w:anchor="_bookmark3" w:history="1">
        <w:r>
          <w:rPr>
            <w:rFonts w:hint="eastAsia"/>
            <w:sz w:val="24"/>
          </w:rPr>
          <w:t>编制依据</w:t>
        </w:r>
        <w:r>
          <w:rPr>
            <w:sz w:val="24"/>
          </w:rPr>
          <w:tab/>
        </w:r>
        <w:r>
          <w:rPr>
            <w:rFonts w:ascii="Times New Roman" w:eastAsia="Times New Roman"/>
            <w:sz w:val="24"/>
          </w:rPr>
          <w:t>1</w:t>
        </w:r>
      </w:hyperlink>
    </w:p>
    <w:p w:rsidR="00B04AE3" w:rsidRDefault="00B04AE3">
      <w:pPr>
        <w:pStyle w:val="ListParagraph"/>
        <w:numPr>
          <w:ilvl w:val="1"/>
          <w:numId w:val="3"/>
        </w:numPr>
        <w:tabs>
          <w:tab w:val="left" w:pos="2638"/>
          <w:tab w:val="right" w:leader="dot" w:pos="10099"/>
        </w:tabs>
        <w:spacing w:before="158"/>
        <w:rPr>
          <w:rFonts w:ascii="Times New Roman" w:eastAsia="Times New Roman"/>
          <w:sz w:val="24"/>
        </w:rPr>
      </w:pPr>
      <w:hyperlink w:anchor="_bookmark4" w:history="1">
        <w:r>
          <w:rPr>
            <w:rFonts w:hint="eastAsia"/>
            <w:sz w:val="24"/>
          </w:rPr>
          <w:t>适用范围</w:t>
        </w:r>
        <w:r>
          <w:rPr>
            <w:sz w:val="24"/>
          </w:rPr>
          <w:tab/>
        </w:r>
        <w:r>
          <w:rPr>
            <w:rFonts w:ascii="Times New Roman" w:eastAsia="Times New Roman"/>
            <w:sz w:val="24"/>
          </w:rPr>
          <w:t>4</w:t>
        </w:r>
      </w:hyperlink>
    </w:p>
    <w:p w:rsidR="00B04AE3" w:rsidRDefault="00B04AE3">
      <w:pPr>
        <w:pStyle w:val="ListParagraph"/>
        <w:numPr>
          <w:ilvl w:val="1"/>
          <w:numId w:val="3"/>
        </w:numPr>
        <w:tabs>
          <w:tab w:val="left" w:pos="2638"/>
          <w:tab w:val="right" w:leader="dot" w:pos="10099"/>
        </w:tabs>
        <w:spacing w:before="161"/>
        <w:rPr>
          <w:rFonts w:ascii="Times New Roman" w:eastAsia="Times New Roman"/>
          <w:sz w:val="24"/>
        </w:rPr>
      </w:pPr>
      <w:hyperlink w:anchor="_bookmark5" w:history="1">
        <w:r>
          <w:rPr>
            <w:rFonts w:hint="eastAsia"/>
            <w:sz w:val="24"/>
          </w:rPr>
          <w:t>事件分级</w:t>
        </w:r>
        <w:r>
          <w:rPr>
            <w:sz w:val="24"/>
          </w:rPr>
          <w:tab/>
        </w:r>
        <w:r>
          <w:rPr>
            <w:rFonts w:ascii="Times New Roman" w:eastAsia="Times New Roman"/>
            <w:sz w:val="24"/>
          </w:rPr>
          <w:t>4</w:t>
        </w:r>
      </w:hyperlink>
    </w:p>
    <w:p w:rsidR="00B04AE3" w:rsidRDefault="00B04AE3">
      <w:pPr>
        <w:pStyle w:val="ListParagraph"/>
        <w:numPr>
          <w:ilvl w:val="1"/>
          <w:numId w:val="3"/>
        </w:numPr>
        <w:tabs>
          <w:tab w:val="left" w:pos="2698"/>
          <w:tab w:val="right" w:leader="dot" w:pos="10099"/>
        </w:tabs>
        <w:spacing w:before="160"/>
        <w:ind w:left="2697" w:hanging="420"/>
        <w:rPr>
          <w:rFonts w:ascii="Times New Roman" w:eastAsia="Times New Roman"/>
          <w:sz w:val="24"/>
        </w:rPr>
      </w:pPr>
      <w:hyperlink w:anchor="_bookmark6" w:history="1">
        <w:r>
          <w:rPr>
            <w:rFonts w:hint="eastAsia"/>
            <w:sz w:val="24"/>
          </w:rPr>
          <w:t>应急预案体系</w:t>
        </w:r>
        <w:r>
          <w:rPr>
            <w:sz w:val="24"/>
          </w:rPr>
          <w:tab/>
        </w:r>
        <w:r>
          <w:rPr>
            <w:rFonts w:ascii="Times New Roman" w:eastAsia="Times New Roman"/>
            <w:sz w:val="24"/>
          </w:rPr>
          <w:t>6</w:t>
        </w:r>
      </w:hyperlink>
    </w:p>
    <w:p w:rsidR="00B04AE3" w:rsidRDefault="00B04AE3">
      <w:pPr>
        <w:pStyle w:val="ListParagraph"/>
        <w:numPr>
          <w:ilvl w:val="1"/>
          <w:numId w:val="3"/>
        </w:numPr>
        <w:tabs>
          <w:tab w:val="left" w:pos="2638"/>
          <w:tab w:val="right" w:leader="dot" w:pos="10099"/>
        </w:tabs>
        <w:spacing w:before="158"/>
        <w:rPr>
          <w:rFonts w:ascii="Times New Roman" w:eastAsia="Times New Roman"/>
          <w:sz w:val="24"/>
        </w:rPr>
      </w:pPr>
      <w:hyperlink w:anchor="_bookmark7" w:history="1">
        <w:r>
          <w:rPr>
            <w:rFonts w:hint="eastAsia"/>
            <w:sz w:val="24"/>
          </w:rPr>
          <w:t>工作原则</w:t>
        </w:r>
        <w:r>
          <w:rPr>
            <w:sz w:val="24"/>
          </w:rPr>
          <w:tab/>
        </w:r>
        <w:r>
          <w:rPr>
            <w:rFonts w:ascii="Times New Roman" w:eastAsia="Times New Roman"/>
            <w:sz w:val="24"/>
          </w:rPr>
          <w:t>9</w:t>
        </w:r>
      </w:hyperlink>
    </w:p>
    <w:p w:rsidR="00B04AE3" w:rsidRDefault="00B04AE3">
      <w:pPr>
        <w:pStyle w:val="ListParagraph"/>
        <w:numPr>
          <w:ilvl w:val="0"/>
          <w:numId w:val="3"/>
        </w:numPr>
        <w:tabs>
          <w:tab w:val="left" w:pos="2043"/>
          <w:tab w:val="right" w:leader="dot" w:pos="10103"/>
        </w:tabs>
        <w:spacing w:before="161"/>
        <w:rPr>
          <w:rFonts w:ascii="Times New Roman" w:eastAsia="Times New Roman"/>
          <w:sz w:val="24"/>
        </w:rPr>
      </w:pPr>
      <w:hyperlink w:anchor="_bookmark8" w:history="1">
        <w:r>
          <w:rPr>
            <w:rFonts w:hint="eastAsia"/>
            <w:sz w:val="24"/>
          </w:rPr>
          <w:t>基本情况</w:t>
        </w:r>
        <w:r>
          <w:rPr>
            <w:sz w:val="24"/>
          </w:rPr>
          <w:tab/>
        </w:r>
        <w:r>
          <w:rPr>
            <w:rFonts w:ascii="Times New Roman" w:eastAsia="Times New Roman"/>
            <w:sz w:val="24"/>
          </w:rPr>
          <w:t>10</w:t>
        </w:r>
      </w:hyperlink>
    </w:p>
    <w:p w:rsidR="00B04AE3" w:rsidRDefault="00B04AE3">
      <w:pPr>
        <w:pStyle w:val="ListParagraph"/>
        <w:numPr>
          <w:ilvl w:val="1"/>
          <w:numId w:val="3"/>
        </w:numPr>
        <w:tabs>
          <w:tab w:val="left" w:pos="2638"/>
          <w:tab w:val="right" w:leader="dot" w:pos="10099"/>
        </w:tabs>
        <w:spacing w:before="158"/>
        <w:rPr>
          <w:rFonts w:ascii="Times New Roman" w:eastAsia="Times New Roman"/>
          <w:sz w:val="24"/>
        </w:rPr>
      </w:pPr>
      <w:hyperlink w:anchor="_bookmark9" w:history="1">
        <w:r>
          <w:rPr>
            <w:rFonts w:hint="eastAsia"/>
            <w:sz w:val="24"/>
          </w:rPr>
          <w:t>公司基本情况</w:t>
        </w:r>
        <w:r>
          <w:rPr>
            <w:sz w:val="24"/>
          </w:rPr>
          <w:tab/>
        </w:r>
        <w:r>
          <w:rPr>
            <w:rFonts w:ascii="Times New Roman" w:eastAsia="Times New Roman"/>
            <w:sz w:val="24"/>
          </w:rPr>
          <w:t>10</w:t>
        </w:r>
      </w:hyperlink>
    </w:p>
    <w:p w:rsidR="00B04AE3" w:rsidRDefault="00B04AE3">
      <w:pPr>
        <w:pStyle w:val="ListParagraph"/>
        <w:numPr>
          <w:ilvl w:val="1"/>
          <w:numId w:val="3"/>
        </w:numPr>
        <w:tabs>
          <w:tab w:val="left" w:pos="2698"/>
          <w:tab w:val="right" w:leader="dot" w:pos="10101"/>
        </w:tabs>
        <w:spacing w:before="160"/>
        <w:ind w:left="2697" w:hanging="420"/>
        <w:rPr>
          <w:rFonts w:ascii="Times New Roman" w:eastAsia="Times New Roman"/>
          <w:sz w:val="24"/>
        </w:rPr>
      </w:pPr>
      <w:hyperlink w:anchor="_bookmark10" w:history="1">
        <w:r>
          <w:rPr>
            <w:rFonts w:hint="eastAsia"/>
            <w:sz w:val="24"/>
          </w:rPr>
          <w:t>公司产品生产工艺概述</w:t>
        </w:r>
        <w:r>
          <w:rPr>
            <w:sz w:val="24"/>
          </w:rPr>
          <w:tab/>
        </w:r>
        <w:r>
          <w:rPr>
            <w:rFonts w:ascii="Times New Roman" w:eastAsia="Times New Roman"/>
            <w:spacing w:val="-4"/>
            <w:sz w:val="24"/>
          </w:rPr>
          <w:t>11</w:t>
        </w:r>
      </w:hyperlink>
    </w:p>
    <w:p w:rsidR="00B04AE3" w:rsidRDefault="00B04AE3">
      <w:pPr>
        <w:pStyle w:val="ListParagraph"/>
        <w:numPr>
          <w:ilvl w:val="1"/>
          <w:numId w:val="3"/>
        </w:numPr>
        <w:tabs>
          <w:tab w:val="left" w:pos="2698"/>
          <w:tab w:val="right" w:leader="dot" w:pos="10099"/>
        </w:tabs>
        <w:spacing w:before="159"/>
        <w:ind w:left="2697" w:hanging="420"/>
        <w:rPr>
          <w:rFonts w:ascii="Times New Roman" w:eastAsia="Times New Roman"/>
          <w:sz w:val="24"/>
        </w:rPr>
      </w:pPr>
      <w:hyperlink w:anchor="_bookmark11" w:history="1">
        <w:r>
          <w:rPr>
            <w:rFonts w:hint="eastAsia"/>
            <w:sz w:val="24"/>
          </w:rPr>
          <w:t>主要污染物及其污染治理设施</w:t>
        </w:r>
        <w:r>
          <w:rPr>
            <w:sz w:val="24"/>
          </w:rPr>
          <w:tab/>
        </w:r>
        <w:r>
          <w:rPr>
            <w:rFonts w:ascii="Times New Roman" w:eastAsia="Times New Roman"/>
            <w:sz w:val="24"/>
          </w:rPr>
          <w:t>13</w:t>
        </w:r>
      </w:hyperlink>
    </w:p>
    <w:p w:rsidR="00B04AE3" w:rsidRDefault="00B04AE3">
      <w:pPr>
        <w:pStyle w:val="ListParagraph"/>
        <w:numPr>
          <w:ilvl w:val="1"/>
          <w:numId w:val="3"/>
        </w:numPr>
        <w:tabs>
          <w:tab w:val="left" w:pos="2698"/>
          <w:tab w:val="right" w:leader="dot" w:pos="10099"/>
        </w:tabs>
        <w:spacing w:before="160"/>
        <w:ind w:left="2697" w:hanging="420"/>
        <w:rPr>
          <w:rFonts w:ascii="Times New Roman" w:eastAsia="Times New Roman"/>
          <w:sz w:val="24"/>
        </w:rPr>
      </w:pPr>
      <w:hyperlink w:anchor="_bookmark12" w:history="1">
        <w:r>
          <w:rPr>
            <w:rFonts w:hint="eastAsia"/>
            <w:sz w:val="24"/>
          </w:rPr>
          <w:t>周边环境状况及环境保护目标情况</w:t>
        </w:r>
        <w:r>
          <w:rPr>
            <w:sz w:val="24"/>
          </w:rPr>
          <w:tab/>
        </w:r>
        <w:r>
          <w:rPr>
            <w:rFonts w:ascii="Times New Roman" w:eastAsia="Times New Roman"/>
            <w:sz w:val="24"/>
          </w:rPr>
          <w:t>16</w:t>
        </w:r>
      </w:hyperlink>
    </w:p>
    <w:p w:rsidR="00B04AE3" w:rsidRDefault="00B04AE3">
      <w:pPr>
        <w:pStyle w:val="ListParagraph"/>
        <w:numPr>
          <w:ilvl w:val="1"/>
          <w:numId w:val="4"/>
        </w:numPr>
        <w:tabs>
          <w:tab w:val="left" w:pos="2698"/>
          <w:tab w:val="right" w:leader="dot" w:pos="10099"/>
        </w:tabs>
        <w:spacing w:before="158"/>
        <w:rPr>
          <w:rFonts w:ascii="Times New Roman" w:eastAsia="Times New Roman"/>
          <w:sz w:val="24"/>
        </w:rPr>
      </w:pPr>
      <w:hyperlink w:anchor="_bookmark13" w:history="1">
        <w:r>
          <w:rPr>
            <w:rFonts w:hint="eastAsia"/>
            <w:sz w:val="24"/>
          </w:rPr>
          <w:t>环境风险源识别</w:t>
        </w:r>
        <w:r>
          <w:rPr>
            <w:sz w:val="24"/>
          </w:rPr>
          <w:tab/>
        </w:r>
        <w:r>
          <w:rPr>
            <w:rFonts w:ascii="Times New Roman" w:eastAsia="Times New Roman"/>
            <w:sz w:val="24"/>
          </w:rPr>
          <w:t>20</w:t>
        </w:r>
      </w:hyperlink>
    </w:p>
    <w:p w:rsidR="00B04AE3" w:rsidRDefault="00B04AE3">
      <w:pPr>
        <w:pStyle w:val="ListParagraph"/>
        <w:numPr>
          <w:ilvl w:val="1"/>
          <w:numId w:val="4"/>
        </w:numPr>
        <w:tabs>
          <w:tab w:val="left" w:pos="2638"/>
          <w:tab w:val="right" w:leader="dot" w:pos="10099"/>
        </w:tabs>
        <w:spacing w:before="161"/>
        <w:ind w:left="2637" w:hanging="360"/>
        <w:rPr>
          <w:rFonts w:ascii="Times New Roman" w:eastAsia="Times New Roman"/>
          <w:sz w:val="24"/>
        </w:rPr>
      </w:pPr>
      <w:hyperlink w:anchor="_bookmark14" w:history="1">
        <w:r>
          <w:rPr>
            <w:rFonts w:hint="eastAsia"/>
            <w:sz w:val="24"/>
          </w:rPr>
          <w:t>环境风险评价</w:t>
        </w:r>
        <w:r>
          <w:rPr>
            <w:sz w:val="24"/>
          </w:rPr>
          <w:tab/>
        </w:r>
        <w:r>
          <w:rPr>
            <w:rFonts w:ascii="Times New Roman" w:eastAsia="Times New Roman"/>
            <w:sz w:val="24"/>
          </w:rPr>
          <w:t>25</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15" w:history="1">
        <w:r>
          <w:rPr>
            <w:rFonts w:hint="eastAsia"/>
            <w:sz w:val="24"/>
          </w:rPr>
          <w:t>可能发生事件后果分析</w:t>
        </w:r>
        <w:r>
          <w:rPr>
            <w:sz w:val="24"/>
          </w:rPr>
          <w:tab/>
        </w:r>
        <w:r>
          <w:rPr>
            <w:rFonts w:ascii="Times New Roman" w:eastAsia="Times New Roman"/>
            <w:sz w:val="24"/>
          </w:rPr>
          <w:t>28</w:t>
        </w:r>
      </w:hyperlink>
    </w:p>
    <w:p w:rsidR="00B04AE3" w:rsidRDefault="00B04AE3">
      <w:pPr>
        <w:pStyle w:val="ListParagraph"/>
        <w:numPr>
          <w:ilvl w:val="1"/>
          <w:numId w:val="4"/>
        </w:numPr>
        <w:tabs>
          <w:tab w:val="left" w:pos="2698"/>
          <w:tab w:val="right" w:leader="dot" w:pos="10099"/>
        </w:tabs>
        <w:spacing w:before="160"/>
        <w:rPr>
          <w:rFonts w:ascii="Times New Roman" w:eastAsia="Times New Roman"/>
          <w:sz w:val="24"/>
        </w:rPr>
      </w:pPr>
      <w:hyperlink w:anchor="_bookmark16" w:history="1">
        <w:r>
          <w:rPr>
            <w:rFonts w:hint="eastAsia"/>
            <w:sz w:val="24"/>
          </w:rPr>
          <w:t>发生事故后可能波及的范围</w:t>
        </w:r>
        <w:r>
          <w:rPr>
            <w:sz w:val="24"/>
          </w:rPr>
          <w:tab/>
        </w:r>
        <w:r>
          <w:rPr>
            <w:rFonts w:ascii="Times New Roman" w:eastAsia="Times New Roman"/>
            <w:sz w:val="24"/>
          </w:rPr>
          <w:t>29</w:t>
        </w:r>
      </w:hyperlink>
    </w:p>
    <w:p w:rsidR="00B04AE3" w:rsidRDefault="00B04AE3">
      <w:pPr>
        <w:pStyle w:val="ListParagraph"/>
        <w:numPr>
          <w:ilvl w:val="0"/>
          <w:numId w:val="4"/>
        </w:numPr>
        <w:tabs>
          <w:tab w:val="left" w:pos="2043"/>
          <w:tab w:val="right" w:leader="dot" w:pos="10103"/>
        </w:tabs>
        <w:spacing w:before="158"/>
        <w:ind w:left="2042" w:hanging="240"/>
        <w:rPr>
          <w:rFonts w:ascii="Times New Roman" w:eastAsia="Times New Roman"/>
          <w:sz w:val="24"/>
        </w:rPr>
      </w:pPr>
      <w:hyperlink w:anchor="_bookmark17" w:history="1">
        <w:r>
          <w:rPr>
            <w:rFonts w:hint="eastAsia"/>
            <w:sz w:val="24"/>
          </w:rPr>
          <w:t>环境应急能力评估</w:t>
        </w:r>
        <w:r>
          <w:rPr>
            <w:sz w:val="24"/>
          </w:rPr>
          <w:tab/>
        </w:r>
        <w:r>
          <w:rPr>
            <w:rFonts w:ascii="Times New Roman" w:eastAsia="Times New Roman"/>
            <w:sz w:val="24"/>
          </w:rPr>
          <w:t>29</w:t>
        </w:r>
      </w:hyperlink>
    </w:p>
    <w:p w:rsidR="00B04AE3" w:rsidRDefault="00B04AE3">
      <w:pPr>
        <w:pStyle w:val="ListParagraph"/>
        <w:numPr>
          <w:ilvl w:val="1"/>
          <w:numId w:val="4"/>
        </w:numPr>
        <w:tabs>
          <w:tab w:val="left" w:pos="2698"/>
          <w:tab w:val="right" w:leader="dot" w:pos="10099"/>
        </w:tabs>
        <w:spacing w:before="161"/>
        <w:rPr>
          <w:rFonts w:ascii="Times New Roman" w:eastAsia="Times New Roman"/>
          <w:sz w:val="24"/>
        </w:rPr>
      </w:pPr>
      <w:hyperlink w:anchor="_bookmark18" w:history="1">
        <w:r>
          <w:rPr>
            <w:rFonts w:hint="eastAsia"/>
            <w:sz w:val="24"/>
          </w:rPr>
          <w:t>公司目前应急能力</w:t>
        </w:r>
        <w:r>
          <w:rPr>
            <w:sz w:val="24"/>
          </w:rPr>
          <w:tab/>
        </w:r>
        <w:r>
          <w:rPr>
            <w:rFonts w:ascii="Times New Roman" w:eastAsia="Times New Roman"/>
            <w:sz w:val="24"/>
          </w:rPr>
          <w:t>29</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19" w:history="1">
        <w:r>
          <w:rPr>
            <w:rFonts w:hint="eastAsia"/>
            <w:sz w:val="24"/>
          </w:rPr>
          <w:t>自身应急能力不足</w:t>
        </w:r>
        <w:r>
          <w:rPr>
            <w:sz w:val="24"/>
          </w:rPr>
          <w:tab/>
        </w:r>
        <w:r>
          <w:rPr>
            <w:rFonts w:ascii="Times New Roman" w:eastAsia="Times New Roman"/>
            <w:sz w:val="24"/>
          </w:rPr>
          <w:t>32</w:t>
        </w:r>
      </w:hyperlink>
    </w:p>
    <w:p w:rsidR="00B04AE3" w:rsidRDefault="00B04AE3">
      <w:pPr>
        <w:pStyle w:val="ListParagraph"/>
        <w:numPr>
          <w:ilvl w:val="0"/>
          <w:numId w:val="4"/>
        </w:numPr>
        <w:tabs>
          <w:tab w:val="left" w:pos="2043"/>
          <w:tab w:val="right" w:leader="dot" w:pos="10103"/>
        </w:tabs>
        <w:spacing w:before="160"/>
        <w:ind w:left="2042" w:hanging="240"/>
        <w:rPr>
          <w:rFonts w:ascii="Times New Roman" w:eastAsia="Times New Roman"/>
          <w:sz w:val="24"/>
        </w:rPr>
      </w:pPr>
      <w:hyperlink w:anchor="_bookmark20" w:history="1">
        <w:r>
          <w:rPr>
            <w:rFonts w:hint="eastAsia"/>
            <w:sz w:val="24"/>
          </w:rPr>
          <w:t>组织机构及其职责</w:t>
        </w:r>
        <w:r>
          <w:rPr>
            <w:sz w:val="24"/>
          </w:rPr>
          <w:tab/>
        </w:r>
        <w:r>
          <w:rPr>
            <w:rFonts w:ascii="Times New Roman" w:eastAsia="Times New Roman"/>
            <w:sz w:val="24"/>
          </w:rPr>
          <w:t>33</w:t>
        </w:r>
      </w:hyperlink>
    </w:p>
    <w:p w:rsidR="00B04AE3" w:rsidRDefault="00B04AE3">
      <w:pPr>
        <w:pStyle w:val="ListParagraph"/>
        <w:numPr>
          <w:ilvl w:val="1"/>
          <w:numId w:val="4"/>
        </w:numPr>
        <w:tabs>
          <w:tab w:val="left" w:pos="2638"/>
          <w:tab w:val="right" w:leader="dot" w:pos="10099"/>
        </w:tabs>
        <w:spacing w:before="161"/>
        <w:ind w:left="2637" w:hanging="360"/>
        <w:rPr>
          <w:rFonts w:ascii="Times New Roman" w:eastAsia="Times New Roman"/>
          <w:sz w:val="24"/>
        </w:rPr>
      </w:pPr>
      <w:hyperlink w:anchor="_bookmark21" w:history="1">
        <w:r>
          <w:rPr>
            <w:rFonts w:hint="eastAsia"/>
            <w:sz w:val="24"/>
          </w:rPr>
          <w:t>组织体系</w:t>
        </w:r>
        <w:r>
          <w:rPr>
            <w:sz w:val="24"/>
          </w:rPr>
          <w:tab/>
        </w:r>
        <w:r>
          <w:rPr>
            <w:rFonts w:ascii="Times New Roman" w:eastAsia="Times New Roman"/>
            <w:sz w:val="24"/>
          </w:rPr>
          <w:t>33</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22" w:history="1">
        <w:r>
          <w:rPr>
            <w:rFonts w:hint="eastAsia"/>
            <w:sz w:val="24"/>
          </w:rPr>
          <w:t>指挥机构组成及各组职责</w:t>
        </w:r>
        <w:r>
          <w:rPr>
            <w:sz w:val="24"/>
          </w:rPr>
          <w:tab/>
        </w:r>
        <w:r>
          <w:rPr>
            <w:rFonts w:ascii="Times New Roman" w:eastAsia="Times New Roman"/>
            <w:sz w:val="24"/>
          </w:rPr>
          <w:t>34</w:t>
        </w:r>
      </w:hyperlink>
    </w:p>
    <w:p w:rsidR="00B04AE3" w:rsidRDefault="00B04AE3">
      <w:pPr>
        <w:pStyle w:val="ListParagraph"/>
        <w:numPr>
          <w:ilvl w:val="0"/>
          <w:numId w:val="4"/>
        </w:numPr>
        <w:tabs>
          <w:tab w:val="left" w:pos="1983"/>
          <w:tab w:val="right" w:leader="dot" w:pos="10103"/>
        </w:tabs>
        <w:spacing w:before="161"/>
        <w:ind w:left="1982" w:hanging="180"/>
        <w:rPr>
          <w:rFonts w:ascii="Times New Roman" w:eastAsia="Times New Roman"/>
          <w:sz w:val="24"/>
        </w:rPr>
      </w:pPr>
      <w:hyperlink w:anchor="_bookmark23" w:history="1">
        <w:r>
          <w:rPr>
            <w:rFonts w:hint="eastAsia"/>
            <w:sz w:val="24"/>
          </w:rPr>
          <w:t>预防和预警</w:t>
        </w:r>
        <w:r>
          <w:rPr>
            <w:sz w:val="24"/>
          </w:rPr>
          <w:tab/>
        </w:r>
        <w:r>
          <w:rPr>
            <w:rFonts w:ascii="Times New Roman" w:eastAsia="Times New Roman"/>
            <w:sz w:val="24"/>
          </w:rPr>
          <w:t>39</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24" w:history="1">
        <w:r>
          <w:rPr>
            <w:rFonts w:hint="eastAsia"/>
            <w:sz w:val="24"/>
          </w:rPr>
          <w:t>环境风险源监控</w:t>
        </w:r>
        <w:r>
          <w:rPr>
            <w:sz w:val="24"/>
          </w:rPr>
          <w:tab/>
        </w:r>
        <w:r>
          <w:rPr>
            <w:rFonts w:ascii="Times New Roman" w:eastAsia="Times New Roman"/>
            <w:sz w:val="24"/>
          </w:rPr>
          <w:t>39</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25" w:history="1">
        <w:r>
          <w:rPr>
            <w:rFonts w:hint="eastAsia"/>
            <w:sz w:val="24"/>
          </w:rPr>
          <w:t>预警行动</w:t>
        </w:r>
        <w:r>
          <w:rPr>
            <w:sz w:val="24"/>
          </w:rPr>
          <w:tab/>
        </w:r>
        <w:r>
          <w:rPr>
            <w:rFonts w:ascii="Times New Roman" w:eastAsia="Times New Roman"/>
            <w:sz w:val="24"/>
          </w:rPr>
          <w:t>40</w:t>
        </w:r>
      </w:hyperlink>
    </w:p>
    <w:p w:rsidR="00B04AE3" w:rsidRDefault="00B04AE3">
      <w:pPr>
        <w:pStyle w:val="ListParagraph"/>
        <w:numPr>
          <w:ilvl w:val="1"/>
          <w:numId w:val="4"/>
        </w:numPr>
        <w:tabs>
          <w:tab w:val="left" w:pos="2638"/>
          <w:tab w:val="right" w:leader="dot" w:pos="10099"/>
        </w:tabs>
        <w:spacing w:before="160"/>
        <w:ind w:left="2637" w:hanging="360"/>
        <w:rPr>
          <w:rFonts w:ascii="Times New Roman" w:eastAsia="Times New Roman"/>
          <w:sz w:val="24"/>
        </w:rPr>
      </w:pPr>
      <w:hyperlink w:anchor="_bookmark26" w:history="1">
        <w:r>
          <w:rPr>
            <w:rFonts w:hint="eastAsia"/>
            <w:sz w:val="24"/>
          </w:rPr>
          <w:t>报警与通讯联络方式</w:t>
        </w:r>
        <w:r>
          <w:rPr>
            <w:sz w:val="24"/>
          </w:rPr>
          <w:tab/>
        </w:r>
        <w:r>
          <w:rPr>
            <w:rFonts w:ascii="Times New Roman" w:eastAsia="Times New Roman"/>
            <w:sz w:val="24"/>
          </w:rPr>
          <w:t>43</w:t>
        </w:r>
      </w:hyperlink>
    </w:p>
    <w:p w:rsidR="00B04AE3" w:rsidRDefault="00B04AE3">
      <w:pPr>
        <w:pStyle w:val="ListParagraph"/>
        <w:numPr>
          <w:ilvl w:val="0"/>
          <w:numId w:val="4"/>
        </w:numPr>
        <w:tabs>
          <w:tab w:val="left" w:pos="1983"/>
          <w:tab w:val="right" w:leader="dot" w:pos="10103"/>
        </w:tabs>
        <w:spacing w:before="161"/>
        <w:ind w:left="1982" w:hanging="180"/>
        <w:rPr>
          <w:rFonts w:ascii="Times New Roman" w:eastAsia="Times New Roman"/>
          <w:sz w:val="24"/>
        </w:rPr>
      </w:pPr>
      <w:hyperlink w:anchor="_bookmark27" w:history="1">
        <w:r>
          <w:rPr>
            <w:rFonts w:hint="eastAsia"/>
            <w:sz w:val="24"/>
          </w:rPr>
          <w:t>信息报告与通报</w:t>
        </w:r>
        <w:r>
          <w:rPr>
            <w:sz w:val="24"/>
          </w:rPr>
          <w:tab/>
        </w:r>
        <w:r>
          <w:rPr>
            <w:rFonts w:ascii="Times New Roman" w:eastAsia="Times New Roman"/>
            <w:sz w:val="24"/>
          </w:rPr>
          <w:t>45</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28" w:history="1">
        <w:r>
          <w:rPr>
            <w:rFonts w:hint="eastAsia"/>
            <w:sz w:val="24"/>
          </w:rPr>
          <w:t>内部报告</w:t>
        </w:r>
        <w:r>
          <w:rPr>
            <w:sz w:val="24"/>
          </w:rPr>
          <w:tab/>
        </w:r>
        <w:r>
          <w:rPr>
            <w:rFonts w:ascii="Times New Roman" w:eastAsia="Times New Roman"/>
            <w:sz w:val="24"/>
          </w:rPr>
          <w:t>45</w:t>
        </w:r>
      </w:hyperlink>
    </w:p>
    <w:p w:rsidR="00B04AE3" w:rsidRDefault="00B04AE3">
      <w:pPr>
        <w:rPr>
          <w:rFonts w:ascii="Times New Roman" w:eastAsia="Times New Roman"/>
          <w:sz w:val="24"/>
        </w:rPr>
        <w:sectPr w:rsidR="00B04AE3">
          <w:headerReference w:type="default" r:id="rId9"/>
          <w:footerReference w:type="default" r:id="rId10"/>
          <w:pgSz w:w="11910" w:h="16840"/>
          <w:pgMar w:top="1100" w:right="0" w:bottom="1180" w:left="0" w:header="878" w:footer="993" w:gutter="0"/>
          <w:pgNumType w:start="1"/>
          <w:cols w:space="720"/>
        </w:sectPr>
      </w:pPr>
    </w:p>
    <w:p w:rsidR="00B04AE3" w:rsidRDefault="00B04AE3">
      <w:pPr>
        <w:pStyle w:val="ListParagraph"/>
        <w:numPr>
          <w:ilvl w:val="1"/>
          <w:numId w:val="4"/>
        </w:numPr>
        <w:tabs>
          <w:tab w:val="left" w:pos="2638"/>
          <w:tab w:val="right" w:leader="dot" w:pos="10099"/>
        </w:tabs>
        <w:spacing w:before="322"/>
        <w:ind w:left="2637" w:hanging="360"/>
        <w:rPr>
          <w:rFonts w:ascii="Times New Roman" w:eastAsia="Times New Roman"/>
          <w:sz w:val="24"/>
        </w:rPr>
      </w:pPr>
      <w:hyperlink w:anchor="_bookmark29" w:history="1">
        <w:r>
          <w:rPr>
            <w:rFonts w:hint="eastAsia"/>
            <w:sz w:val="24"/>
          </w:rPr>
          <w:t>信息上报</w:t>
        </w:r>
        <w:r>
          <w:rPr>
            <w:sz w:val="24"/>
          </w:rPr>
          <w:tab/>
        </w:r>
        <w:r>
          <w:rPr>
            <w:rFonts w:ascii="Times New Roman" w:eastAsia="Times New Roman"/>
            <w:sz w:val="24"/>
          </w:rPr>
          <w:t>47</w:t>
        </w:r>
      </w:hyperlink>
    </w:p>
    <w:p w:rsidR="00B04AE3" w:rsidRDefault="00B04AE3">
      <w:pPr>
        <w:pStyle w:val="ListParagraph"/>
        <w:numPr>
          <w:ilvl w:val="0"/>
          <w:numId w:val="4"/>
        </w:numPr>
        <w:tabs>
          <w:tab w:val="left" w:pos="2043"/>
          <w:tab w:val="right" w:leader="dot" w:pos="10103"/>
        </w:tabs>
        <w:spacing w:before="161"/>
        <w:ind w:left="2042" w:hanging="240"/>
        <w:rPr>
          <w:rFonts w:ascii="Times New Roman" w:eastAsia="Times New Roman"/>
          <w:sz w:val="24"/>
        </w:rPr>
      </w:pPr>
      <w:hyperlink w:anchor="_bookmark30" w:history="1">
        <w:r>
          <w:rPr>
            <w:rFonts w:hint="eastAsia"/>
            <w:sz w:val="24"/>
          </w:rPr>
          <w:t>应急响应与措施</w:t>
        </w:r>
        <w:r>
          <w:rPr>
            <w:sz w:val="24"/>
          </w:rPr>
          <w:tab/>
        </w:r>
        <w:r>
          <w:rPr>
            <w:rFonts w:ascii="Times New Roman" w:eastAsia="Times New Roman"/>
            <w:sz w:val="24"/>
          </w:rPr>
          <w:t>50</w:t>
        </w:r>
      </w:hyperlink>
    </w:p>
    <w:p w:rsidR="00B04AE3" w:rsidRDefault="00B04AE3">
      <w:pPr>
        <w:pStyle w:val="ListParagraph"/>
        <w:numPr>
          <w:ilvl w:val="1"/>
          <w:numId w:val="4"/>
        </w:numPr>
        <w:tabs>
          <w:tab w:val="left" w:pos="2698"/>
          <w:tab w:val="right" w:leader="dot" w:pos="10099"/>
        </w:tabs>
        <w:spacing w:before="158"/>
        <w:rPr>
          <w:rFonts w:ascii="Times New Roman" w:eastAsia="Times New Roman"/>
          <w:sz w:val="24"/>
        </w:rPr>
      </w:pPr>
      <w:hyperlink w:anchor="_bookmark31" w:history="1">
        <w:r>
          <w:rPr>
            <w:rFonts w:hint="eastAsia"/>
            <w:sz w:val="24"/>
          </w:rPr>
          <w:t>分级响应机制</w:t>
        </w:r>
        <w:r>
          <w:rPr>
            <w:sz w:val="24"/>
          </w:rPr>
          <w:tab/>
        </w:r>
        <w:r>
          <w:rPr>
            <w:rFonts w:ascii="Times New Roman" w:eastAsia="Times New Roman"/>
            <w:sz w:val="24"/>
          </w:rPr>
          <w:t>50</w:t>
        </w:r>
      </w:hyperlink>
    </w:p>
    <w:p w:rsidR="00B04AE3" w:rsidRDefault="00B04AE3">
      <w:pPr>
        <w:pStyle w:val="ListParagraph"/>
        <w:numPr>
          <w:ilvl w:val="1"/>
          <w:numId w:val="4"/>
        </w:numPr>
        <w:tabs>
          <w:tab w:val="left" w:pos="2698"/>
          <w:tab w:val="right" w:leader="dot" w:pos="10099"/>
        </w:tabs>
        <w:spacing w:before="160"/>
        <w:rPr>
          <w:rFonts w:ascii="Times New Roman" w:eastAsia="Times New Roman"/>
          <w:sz w:val="24"/>
        </w:rPr>
      </w:pPr>
      <w:hyperlink w:anchor="_bookmark32" w:history="1">
        <w:r>
          <w:rPr>
            <w:rFonts w:hint="eastAsia"/>
            <w:sz w:val="24"/>
          </w:rPr>
          <w:t>应急响应程序</w:t>
        </w:r>
        <w:r>
          <w:rPr>
            <w:sz w:val="24"/>
          </w:rPr>
          <w:tab/>
        </w:r>
        <w:r>
          <w:rPr>
            <w:rFonts w:ascii="Times New Roman" w:eastAsia="Times New Roman"/>
            <w:sz w:val="24"/>
          </w:rPr>
          <w:t>51</w:t>
        </w:r>
      </w:hyperlink>
    </w:p>
    <w:p w:rsidR="00B04AE3" w:rsidRDefault="00B04AE3">
      <w:pPr>
        <w:pStyle w:val="ListParagraph"/>
        <w:numPr>
          <w:ilvl w:val="1"/>
          <w:numId w:val="4"/>
        </w:numPr>
        <w:tabs>
          <w:tab w:val="left" w:pos="2698"/>
          <w:tab w:val="right" w:leader="dot" w:pos="10099"/>
        </w:tabs>
        <w:spacing w:before="158"/>
        <w:rPr>
          <w:rFonts w:ascii="Times New Roman" w:eastAsia="Times New Roman"/>
          <w:sz w:val="24"/>
        </w:rPr>
      </w:pPr>
      <w:hyperlink w:anchor="_bookmark33" w:history="1">
        <w:r>
          <w:rPr>
            <w:rFonts w:hint="eastAsia"/>
            <w:sz w:val="24"/>
          </w:rPr>
          <w:t>应急措施</w:t>
        </w:r>
        <w:r>
          <w:rPr>
            <w:sz w:val="24"/>
          </w:rPr>
          <w:tab/>
        </w:r>
        <w:r>
          <w:rPr>
            <w:rFonts w:ascii="Times New Roman" w:eastAsia="Times New Roman"/>
            <w:sz w:val="24"/>
          </w:rPr>
          <w:t>53</w:t>
        </w:r>
      </w:hyperlink>
    </w:p>
    <w:p w:rsidR="00B04AE3" w:rsidRDefault="00B04AE3">
      <w:pPr>
        <w:pStyle w:val="ListParagraph"/>
        <w:numPr>
          <w:ilvl w:val="1"/>
          <w:numId w:val="4"/>
        </w:numPr>
        <w:tabs>
          <w:tab w:val="left" w:pos="2638"/>
          <w:tab w:val="right" w:leader="dot" w:pos="10099"/>
        </w:tabs>
        <w:spacing w:before="161"/>
        <w:ind w:left="2637" w:hanging="360"/>
        <w:rPr>
          <w:rFonts w:ascii="Times New Roman" w:eastAsia="Times New Roman"/>
          <w:sz w:val="24"/>
        </w:rPr>
      </w:pPr>
      <w:hyperlink w:anchor="_bookmark34" w:history="1">
        <w:r>
          <w:rPr>
            <w:rFonts w:hint="eastAsia"/>
            <w:sz w:val="24"/>
          </w:rPr>
          <w:t>应急监测</w:t>
        </w:r>
        <w:r>
          <w:rPr>
            <w:sz w:val="24"/>
          </w:rPr>
          <w:tab/>
        </w:r>
        <w:r>
          <w:rPr>
            <w:rFonts w:ascii="Times New Roman" w:eastAsia="Times New Roman"/>
            <w:sz w:val="24"/>
          </w:rPr>
          <w:t>62</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35" w:history="1">
        <w:r>
          <w:rPr>
            <w:rFonts w:hint="eastAsia"/>
            <w:sz w:val="24"/>
          </w:rPr>
          <w:t>应急终止</w:t>
        </w:r>
        <w:r>
          <w:rPr>
            <w:sz w:val="24"/>
          </w:rPr>
          <w:tab/>
        </w:r>
        <w:r>
          <w:rPr>
            <w:rFonts w:ascii="Times New Roman" w:eastAsia="Times New Roman"/>
            <w:sz w:val="24"/>
          </w:rPr>
          <w:t>67</w:t>
        </w:r>
      </w:hyperlink>
    </w:p>
    <w:p w:rsidR="00B04AE3" w:rsidRDefault="00B04AE3">
      <w:pPr>
        <w:pStyle w:val="ListParagraph"/>
        <w:numPr>
          <w:ilvl w:val="1"/>
          <w:numId w:val="4"/>
        </w:numPr>
        <w:tabs>
          <w:tab w:val="left" w:pos="2638"/>
          <w:tab w:val="right" w:leader="dot" w:pos="10099"/>
        </w:tabs>
        <w:spacing w:before="161"/>
        <w:ind w:left="2637" w:hanging="360"/>
        <w:rPr>
          <w:rFonts w:ascii="Times New Roman" w:eastAsia="Times New Roman"/>
          <w:sz w:val="24"/>
        </w:rPr>
      </w:pPr>
      <w:hyperlink w:anchor="_bookmark36" w:history="1">
        <w:r>
          <w:rPr>
            <w:rFonts w:hint="eastAsia"/>
            <w:sz w:val="24"/>
          </w:rPr>
          <w:t>应急终止后的行动</w:t>
        </w:r>
        <w:r>
          <w:rPr>
            <w:sz w:val="24"/>
          </w:rPr>
          <w:tab/>
        </w:r>
        <w:r>
          <w:rPr>
            <w:rFonts w:ascii="Times New Roman" w:eastAsia="Times New Roman"/>
            <w:sz w:val="24"/>
          </w:rPr>
          <w:t>68</w:t>
        </w:r>
      </w:hyperlink>
    </w:p>
    <w:p w:rsidR="00B04AE3" w:rsidRDefault="00B04AE3">
      <w:pPr>
        <w:pStyle w:val="ListParagraph"/>
        <w:numPr>
          <w:ilvl w:val="0"/>
          <w:numId w:val="4"/>
        </w:numPr>
        <w:tabs>
          <w:tab w:val="left" w:pos="1983"/>
          <w:tab w:val="right" w:leader="dot" w:pos="10103"/>
        </w:tabs>
        <w:spacing w:before="160"/>
        <w:ind w:left="1982" w:hanging="180"/>
        <w:rPr>
          <w:rFonts w:ascii="Times New Roman" w:eastAsia="Times New Roman"/>
          <w:sz w:val="24"/>
        </w:rPr>
      </w:pPr>
      <w:hyperlink w:anchor="_bookmark37" w:history="1">
        <w:r>
          <w:rPr>
            <w:rFonts w:hint="eastAsia"/>
            <w:sz w:val="24"/>
          </w:rPr>
          <w:t>后期处置</w:t>
        </w:r>
        <w:r>
          <w:rPr>
            <w:sz w:val="24"/>
          </w:rPr>
          <w:tab/>
        </w:r>
        <w:r>
          <w:rPr>
            <w:rFonts w:ascii="Times New Roman" w:eastAsia="Times New Roman"/>
            <w:sz w:val="24"/>
          </w:rPr>
          <w:t>70</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38" w:history="1">
        <w:r>
          <w:rPr>
            <w:rFonts w:hint="eastAsia"/>
            <w:sz w:val="24"/>
          </w:rPr>
          <w:t>现场保护</w:t>
        </w:r>
        <w:r>
          <w:rPr>
            <w:sz w:val="24"/>
          </w:rPr>
          <w:tab/>
        </w:r>
        <w:r>
          <w:rPr>
            <w:rFonts w:ascii="Times New Roman" w:eastAsia="Times New Roman"/>
            <w:sz w:val="24"/>
          </w:rPr>
          <w:t>70</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39" w:history="1">
        <w:r>
          <w:rPr>
            <w:rFonts w:hint="eastAsia"/>
            <w:sz w:val="24"/>
          </w:rPr>
          <w:t>现场洗消</w:t>
        </w:r>
        <w:r>
          <w:rPr>
            <w:sz w:val="24"/>
          </w:rPr>
          <w:tab/>
        </w:r>
        <w:r>
          <w:rPr>
            <w:rFonts w:ascii="Times New Roman" w:eastAsia="Times New Roman"/>
            <w:sz w:val="24"/>
          </w:rPr>
          <w:t>70</w:t>
        </w:r>
      </w:hyperlink>
    </w:p>
    <w:p w:rsidR="00B04AE3" w:rsidRDefault="00B04AE3">
      <w:pPr>
        <w:pStyle w:val="ListParagraph"/>
        <w:numPr>
          <w:ilvl w:val="1"/>
          <w:numId w:val="4"/>
        </w:numPr>
        <w:tabs>
          <w:tab w:val="left" w:pos="2638"/>
          <w:tab w:val="right" w:leader="dot" w:pos="10099"/>
        </w:tabs>
        <w:spacing w:before="161"/>
        <w:ind w:left="2637" w:hanging="360"/>
        <w:rPr>
          <w:rFonts w:ascii="Times New Roman" w:eastAsia="Times New Roman"/>
          <w:sz w:val="24"/>
        </w:rPr>
      </w:pPr>
      <w:hyperlink w:anchor="_bookmark40" w:history="1">
        <w:r>
          <w:rPr>
            <w:rFonts w:hint="eastAsia"/>
            <w:sz w:val="24"/>
          </w:rPr>
          <w:t>善后处理</w:t>
        </w:r>
        <w:r>
          <w:rPr>
            <w:sz w:val="24"/>
          </w:rPr>
          <w:tab/>
        </w:r>
        <w:r>
          <w:rPr>
            <w:rFonts w:ascii="Times New Roman" w:eastAsia="Times New Roman"/>
            <w:sz w:val="24"/>
          </w:rPr>
          <w:t>70</w:t>
        </w:r>
      </w:hyperlink>
    </w:p>
    <w:p w:rsidR="00B04AE3" w:rsidRDefault="00B04AE3">
      <w:pPr>
        <w:pStyle w:val="ListParagraph"/>
        <w:numPr>
          <w:ilvl w:val="1"/>
          <w:numId w:val="4"/>
        </w:numPr>
        <w:tabs>
          <w:tab w:val="left" w:pos="2638"/>
          <w:tab w:val="right" w:leader="dot" w:pos="10099"/>
        </w:tabs>
        <w:spacing w:before="160"/>
        <w:ind w:left="2637" w:hanging="360"/>
        <w:rPr>
          <w:rFonts w:ascii="Times New Roman" w:eastAsia="Times New Roman"/>
          <w:sz w:val="24"/>
        </w:rPr>
      </w:pPr>
      <w:hyperlink w:anchor="_bookmark41" w:history="1">
        <w:r>
          <w:rPr>
            <w:rFonts w:hint="eastAsia"/>
            <w:sz w:val="24"/>
          </w:rPr>
          <w:t>环境影响评估</w:t>
        </w:r>
        <w:r>
          <w:rPr>
            <w:sz w:val="24"/>
          </w:rPr>
          <w:tab/>
        </w:r>
        <w:r>
          <w:rPr>
            <w:rFonts w:ascii="Times New Roman" w:eastAsia="Times New Roman"/>
            <w:sz w:val="24"/>
          </w:rPr>
          <w:t>71</w:t>
        </w:r>
      </w:hyperlink>
    </w:p>
    <w:p w:rsidR="00B04AE3" w:rsidRDefault="00B04AE3">
      <w:pPr>
        <w:pStyle w:val="ListParagraph"/>
        <w:numPr>
          <w:ilvl w:val="1"/>
          <w:numId w:val="4"/>
        </w:numPr>
        <w:tabs>
          <w:tab w:val="left" w:pos="2638"/>
          <w:tab w:val="right" w:leader="dot" w:pos="10099"/>
        </w:tabs>
        <w:spacing w:before="158"/>
        <w:ind w:left="2637" w:hanging="360"/>
        <w:rPr>
          <w:rFonts w:ascii="Times New Roman" w:eastAsia="Times New Roman"/>
          <w:sz w:val="24"/>
        </w:rPr>
      </w:pPr>
      <w:hyperlink w:anchor="_bookmark42" w:history="1">
        <w:r>
          <w:rPr>
            <w:rFonts w:hint="eastAsia"/>
            <w:sz w:val="24"/>
          </w:rPr>
          <w:t>工作总结与评价</w:t>
        </w:r>
        <w:r>
          <w:rPr>
            <w:sz w:val="24"/>
          </w:rPr>
          <w:tab/>
        </w:r>
        <w:r>
          <w:rPr>
            <w:rFonts w:ascii="Times New Roman" w:eastAsia="Times New Roman"/>
            <w:sz w:val="24"/>
          </w:rPr>
          <w:t>71</w:t>
        </w:r>
      </w:hyperlink>
    </w:p>
    <w:p w:rsidR="00B04AE3" w:rsidRDefault="00B04AE3">
      <w:pPr>
        <w:pStyle w:val="ListParagraph"/>
        <w:numPr>
          <w:ilvl w:val="0"/>
          <w:numId w:val="4"/>
        </w:numPr>
        <w:tabs>
          <w:tab w:val="left" w:pos="2103"/>
          <w:tab w:val="right" w:leader="dot" w:pos="10103"/>
        </w:tabs>
        <w:spacing w:before="161"/>
        <w:ind w:left="2102" w:hanging="300"/>
        <w:rPr>
          <w:rFonts w:ascii="Times New Roman" w:eastAsia="Times New Roman"/>
          <w:sz w:val="24"/>
        </w:rPr>
      </w:pPr>
      <w:hyperlink w:anchor="_bookmark43" w:history="1">
        <w:r>
          <w:rPr>
            <w:rFonts w:hint="eastAsia"/>
            <w:sz w:val="24"/>
          </w:rPr>
          <w:t>应急培训和演练</w:t>
        </w:r>
        <w:r>
          <w:rPr>
            <w:sz w:val="24"/>
          </w:rPr>
          <w:tab/>
        </w:r>
        <w:r>
          <w:rPr>
            <w:rFonts w:ascii="Times New Roman" w:eastAsia="Times New Roman"/>
            <w:sz w:val="24"/>
          </w:rPr>
          <w:t>72</w:t>
        </w:r>
      </w:hyperlink>
    </w:p>
    <w:p w:rsidR="00B04AE3" w:rsidRDefault="00B04AE3">
      <w:pPr>
        <w:pStyle w:val="ListParagraph"/>
        <w:numPr>
          <w:ilvl w:val="1"/>
          <w:numId w:val="4"/>
        </w:numPr>
        <w:tabs>
          <w:tab w:val="left" w:pos="2758"/>
          <w:tab w:val="right" w:leader="dot" w:pos="10099"/>
        </w:tabs>
        <w:spacing w:before="158"/>
        <w:ind w:left="2757" w:hanging="480"/>
        <w:rPr>
          <w:rFonts w:ascii="Times New Roman" w:eastAsia="Times New Roman"/>
          <w:sz w:val="24"/>
        </w:rPr>
      </w:pPr>
      <w:hyperlink w:anchor="_bookmark44" w:history="1">
        <w:r>
          <w:rPr>
            <w:rFonts w:hint="eastAsia"/>
            <w:sz w:val="24"/>
          </w:rPr>
          <w:t>应急培训</w:t>
        </w:r>
        <w:r>
          <w:rPr>
            <w:sz w:val="24"/>
          </w:rPr>
          <w:tab/>
        </w:r>
        <w:r>
          <w:rPr>
            <w:rFonts w:ascii="Times New Roman" w:eastAsia="Times New Roman"/>
            <w:sz w:val="24"/>
          </w:rPr>
          <w:t>72</w:t>
        </w:r>
      </w:hyperlink>
    </w:p>
    <w:p w:rsidR="00B04AE3" w:rsidRDefault="00B04AE3">
      <w:pPr>
        <w:pStyle w:val="ListParagraph"/>
        <w:numPr>
          <w:ilvl w:val="1"/>
          <w:numId w:val="4"/>
        </w:numPr>
        <w:tabs>
          <w:tab w:val="left" w:pos="2758"/>
          <w:tab w:val="right" w:leader="dot" w:pos="10099"/>
        </w:tabs>
        <w:spacing w:before="160"/>
        <w:ind w:left="2757" w:hanging="480"/>
        <w:rPr>
          <w:rFonts w:ascii="Times New Roman" w:eastAsia="Times New Roman"/>
          <w:sz w:val="24"/>
        </w:rPr>
      </w:pPr>
      <w:hyperlink w:anchor="_bookmark45" w:history="1">
        <w:r>
          <w:rPr>
            <w:rFonts w:hint="eastAsia"/>
            <w:sz w:val="24"/>
          </w:rPr>
          <w:t>应急演练</w:t>
        </w:r>
        <w:r>
          <w:rPr>
            <w:sz w:val="24"/>
          </w:rPr>
          <w:tab/>
        </w:r>
        <w:r>
          <w:rPr>
            <w:rFonts w:ascii="Times New Roman" w:eastAsia="Times New Roman"/>
            <w:sz w:val="24"/>
          </w:rPr>
          <w:t>76</w:t>
        </w:r>
      </w:hyperlink>
    </w:p>
    <w:p w:rsidR="00B04AE3" w:rsidRDefault="00B04AE3">
      <w:pPr>
        <w:pStyle w:val="BodyText"/>
        <w:tabs>
          <w:tab w:val="right" w:leader="dot" w:pos="10099"/>
        </w:tabs>
        <w:spacing w:before="159"/>
        <w:ind w:left="2277"/>
        <w:rPr>
          <w:rFonts w:ascii="Times New Roman" w:eastAsia="Times New Roman"/>
        </w:rPr>
      </w:pPr>
      <w:hyperlink w:anchor="_bookmark46" w:history="1">
        <w:r>
          <w:rPr>
            <w:rFonts w:ascii="Times New Roman" w:eastAsia="Times New Roman"/>
          </w:rPr>
          <w:t>11.1</w:t>
        </w:r>
        <w:r>
          <w:rPr>
            <w:rFonts w:ascii="Times New Roman" w:eastAsia="Times New Roman"/>
            <w:spacing w:val="-4"/>
          </w:rPr>
          <w:t xml:space="preserve"> </w:t>
        </w:r>
        <w:r>
          <w:rPr>
            <w:rFonts w:hint="eastAsia"/>
          </w:rPr>
          <w:t>奖惩</w:t>
        </w:r>
        <w:r>
          <w:tab/>
        </w:r>
        <w:r>
          <w:rPr>
            <w:rFonts w:ascii="Times New Roman" w:eastAsia="Times New Roman"/>
          </w:rPr>
          <w:t>78</w:t>
        </w:r>
      </w:hyperlink>
    </w:p>
    <w:p w:rsidR="00B04AE3" w:rsidRDefault="00B04AE3">
      <w:pPr>
        <w:pStyle w:val="BodyText"/>
        <w:tabs>
          <w:tab w:val="right" w:leader="dot" w:pos="10099"/>
        </w:tabs>
        <w:spacing w:before="160"/>
        <w:ind w:left="2277"/>
        <w:rPr>
          <w:rFonts w:ascii="Times New Roman" w:eastAsia="Times New Roman"/>
        </w:rPr>
      </w:pPr>
      <w:hyperlink w:anchor="_bookmark47" w:history="1">
        <w:r>
          <w:rPr>
            <w:rFonts w:ascii="Times New Roman" w:eastAsia="Times New Roman"/>
          </w:rPr>
          <w:t>11.2</w:t>
        </w:r>
        <w:r>
          <w:rPr>
            <w:rFonts w:ascii="Times New Roman" w:eastAsia="Times New Roman"/>
            <w:spacing w:val="-4"/>
          </w:rPr>
          <w:t xml:space="preserve"> </w:t>
        </w:r>
        <w:r>
          <w:rPr>
            <w:rFonts w:hint="eastAsia"/>
          </w:rPr>
          <w:t>责任追究</w:t>
        </w:r>
        <w:r>
          <w:tab/>
        </w:r>
        <w:r>
          <w:rPr>
            <w:rFonts w:ascii="Times New Roman" w:eastAsia="Times New Roman"/>
          </w:rPr>
          <w:t>78</w:t>
        </w:r>
      </w:hyperlink>
    </w:p>
    <w:p w:rsidR="00B04AE3" w:rsidRDefault="00B04AE3">
      <w:pPr>
        <w:pStyle w:val="ListParagraph"/>
        <w:numPr>
          <w:ilvl w:val="0"/>
          <w:numId w:val="5"/>
        </w:numPr>
        <w:tabs>
          <w:tab w:val="left" w:pos="2103"/>
          <w:tab w:val="right" w:leader="dot" w:pos="10103"/>
        </w:tabs>
        <w:spacing w:before="158"/>
        <w:rPr>
          <w:rFonts w:ascii="Times New Roman" w:eastAsia="Times New Roman"/>
          <w:sz w:val="24"/>
        </w:rPr>
      </w:pPr>
      <w:hyperlink w:anchor="_bookmark48" w:history="1">
        <w:r>
          <w:rPr>
            <w:rFonts w:hint="eastAsia"/>
            <w:sz w:val="24"/>
          </w:rPr>
          <w:t>保障措施</w:t>
        </w:r>
        <w:r>
          <w:rPr>
            <w:sz w:val="24"/>
          </w:rPr>
          <w:tab/>
        </w:r>
        <w:r>
          <w:rPr>
            <w:rFonts w:ascii="Times New Roman" w:eastAsia="Times New Roman"/>
            <w:sz w:val="24"/>
          </w:rPr>
          <w:t>79</w:t>
        </w:r>
      </w:hyperlink>
    </w:p>
    <w:p w:rsidR="00B04AE3" w:rsidRDefault="00B04AE3">
      <w:pPr>
        <w:pStyle w:val="ListParagraph"/>
        <w:numPr>
          <w:ilvl w:val="1"/>
          <w:numId w:val="5"/>
        </w:numPr>
        <w:tabs>
          <w:tab w:val="left" w:pos="2758"/>
          <w:tab w:val="right" w:leader="dot" w:pos="10099"/>
        </w:tabs>
        <w:spacing w:before="161"/>
        <w:rPr>
          <w:rFonts w:ascii="Times New Roman" w:eastAsia="Times New Roman"/>
          <w:sz w:val="24"/>
        </w:rPr>
      </w:pPr>
      <w:hyperlink w:anchor="_bookmark49" w:history="1">
        <w:r>
          <w:rPr>
            <w:rFonts w:hint="eastAsia"/>
            <w:sz w:val="24"/>
          </w:rPr>
          <w:t>经费保障</w:t>
        </w:r>
        <w:r>
          <w:rPr>
            <w:sz w:val="24"/>
          </w:rPr>
          <w:tab/>
        </w:r>
        <w:r>
          <w:rPr>
            <w:rFonts w:ascii="Times New Roman" w:eastAsia="Times New Roman"/>
            <w:sz w:val="24"/>
          </w:rPr>
          <w:t>79</w:t>
        </w:r>
      </w:hyperlink>
    </w:p>
    <w:p w:rsidR="00B04AE3" w:rsidRDefault="00B04AE3">
      <w:pPr>
        <w:pStyle w:val="ListParagraph"/>
        <w:numPr>
          <w:ilvl w:val="1"/>
          <w:numId w:val="5"/>
        </w:numPr>
        <w:tabs>
          <w:tab w:val="left" w:pos="2758"/>
          <w:tab w:val="right" w:leader="dot" w:pos="10099"/>
        </w:tabs>
        <w:spacing w:before="158"/>
        <w:rPr>
          <w:rFonts w:ascii="Times New Roman" w:eastAsia="Times New Roman"/>
          <w:sz w:val="24"/>
        </w:rPr>
      </w:pPr>
      <w:hyperlink w:anchor="_bookmark50" w:history="1">
        <w:r>
          <w:rPr>
            <w:rFonts w:hint="eastAsia"/>
            <w:sz w:val="24"/>
          </w:rPr>
          <w:t>应急物资装备保障</w:t>
        </w:r>
        <w:r>
          <w:rPr>
            <w:sz w:val="24"/>
          </w:rPr>
          <w:tab/>
        </w:r>
        <w:r>
          <w:rPr>
            <w:rFonts w:ascii="Times New Roman" w:eastAsia="Times New Roman"/>
            <w:sz w:val="24"/>
          </w:rPr>
          <w:t>79</w:t>
        </w:r>
      </w:hyperlink>
    </w:p>
    <w:p w:rsidR="00B04AE3" w:rsidRDefault="00B04AE3">
      <w:pPr>
        <w:pStyle w:val="ListParagraph"/>
        <w:numPr>
          <w:ilvl w:val="1"/>
          <w:numId w:val="5"/>
        </w:numPr>
        <w:tabs>
          <w:tab w:val="left" w:pos="2758"/>
          <w:tab w:val="right" w:leader="dot" w:pos="10099"/>
        </w:tabs>
        <w:spacing w:before="160"/>
        <w:rPr>
          <w:rFonts w:ascii="Times New Roman" w:eastAsia="Times New Roman"/>
          <w:sz w:val="24"/>
        </w:rPr>
      </w:pPr>
      <w:hyperlink w:anchor="_bookmark51" w:history="1">
        <w:r>
          <w:rPr>
            <w:rFonts w:hint="eastAsia"/>
            <w:sz w:val="24"/>
          </w:rPr>
          <w:t>应急队伍保障</w:t>
        </w:r>
        <w:r>
          <w:rPr>
            <w:sz w:val="24"/>
          </w:rPr>
          <w:tab/>
        </w:r>
        <w:r>
          <w:rPr>
            <w:rFonts w:ascii="Times New Roman" w:eastAsia="Times New Roman"/>
            <w:sz w:val="24"/>
          </w:rPr>
          <w:t>79</w:t>
        </w:r>
      </w:hyperlink>
    </w:p>
    <w:p w:rsidR="00B04AE3" w:rsidRDefault="00B04AE3">
      <w:pPr>
        <w:pStyle w:val="ListParagraph"/>
        <w:numPr>
          <w:ilvl w:val="1"/>
          <w:numId w:val="5"/>
        </w:numPr>
        <w:tabs>
          <w:tab w:val="left" w:pos="2758"/>
          <w:tab w:val="right" w:leader="dot" w:pos="10099"/>
        </w:tabs>
        <w:spacing w:before="161"/>
        <w:rPr>
          <w:rFonts w:ascii="Times New Roman" w:eastAsia="Times New Roman"/>
          <w:sz w:val="24"/>
        </w:rPr>
      </w:pPr>
      <w:hyperlink w:anchor="_bookmark52" w:history="1">
        <w:r>
          <w:rPr>
            <w:rFonts w:hint="eastAsia"/>
            <w:sz w:val="24"/>
          </w:rPr>
          <w:t>通信与信息保障</w:t>
        </w:r>
        <w:r>
          <w:rPr>
            <w:sz w:val="24"/>
          </w:rPr>
          <w:tab/>
        </w:r>
        <w:r>
          <w:rPr>
            <w:rFonts w:ascii="Times New Roman" w:eastAsia="Times New Roman"/>
            <w:sz w:val="24"/>
          </w:rPr>
          <w:t>79</w:t>
        </w:r>
      </w:hyperlink>
    </w:p>
    <w:p w:rsidR="00B04AE3" w:rsidRDefault="00B04AE3">
      <w:pPr>
        <w:pStyle w:val="ListParagraph"/>
        <w:numPr>
          <w:ilvl w:val="1"/>
          <w:numId w:val="5"/>
        </w:numPr>
        <w:tabs>
          <w:tab w:val="left" w:pos="2758"/>
          <w:tab w:val="right" w:leader="dot" w:pos="10099"/>
        </w:tabs>
        <w:spacing w:before="158"/>
        <w:rPr>
          <w:rFonts w:ascii="Times New Roman" w:eastAsia="Times New Roman"/>
          <w:sz w:val="24"/>
        </w:rPr>
      </w:pPr>
      <w:hyperlink w:anchor="_bookmark53" w:history="1">
        <w:r>
          <w:rPr>
            <w:rFonts w:hint="eastAsia"/>
            <w:sz w:val="24"/>
          </w:rPr>
          <w:t>治安保障</w:t>
        </w:r>
        <w:r>
          <w:rPr>
            <w:sz w:val="24"/>
          </w:rPr>
          <w:tab/>
        </w:r>
        <w:r>
          <w:rPr>
            <w:rFonts w:ascii="Times New Roman" w:eastAsia="Times New Roman"/>
            <w:sz w:val="24"/>
          </w:rPr>
          <w:t>80</w:t>
        </w:r>
      </w:hyperlink>
    </w:p>
    <w:p w:rsidR="00B04AE3" w:rsidRDefault="00B04AE3">
      <w:pPr>
        <w:pStyle w:val="ListParagraph"/>
        <w:numPr>
          <w:ilvl w:val="0"/>
          <w:numId w:val="5"/>
        </w:numPr>
        <w:tabs>
          <w:tab w:val="left" w:pos="2103"/>
          <w:tab w:val="right" w:leader="dot" w:pos="10103"/>
        </w:tabs>
        <w:spacing w:before="158"/>
        <w:rPr>
          <w:rFonts w:ascii="Times New Roman" w:eastAsia="Times New Roman"/>
          <w:sz w:val="24"/>
        </w:rPr>
      </w:pPr>
      <w:hyperlink w:anchor="_bookmark54" w:history="1">
        <w:r>
          <w:rPr>
            <w:rFonts w:hint="eastAsia"/>
            <w:sz w:val="24"/>
          </w:rPr>
          <w:t>预案的评审、备案、发布和更新</w:t>
        </w:r>
        <w:r>
          <w:rPr>
            <w:sz w:val="24"/>
          </w:rPr>
          <w:tab/>
        </w:r>
        <w:r>
          <w:rPr>
            <w:rFonts w:ascii="Times New Roman" w:eastAsia="Times New Roman"/>
            <w:sz w:val="24"/>
          </w:rPr>
          <w:t>81</w:t>
        </w:r>
      </w:hyperlink>
    </w:p>
    <w:p w:rsidR="00B04AE3" w:rsidRDefault="00B04AE3">
      <w:pPr>
        <w:pStyle w:val="ListParagraph"/>
        <w:numPr>
          <w:ilvl w:val="1"/>
          <w:numId w:val="5"/>
        </w:numPr>
        <w:tabs>
          <w:tab w:val="left" w:pos="2758"/>
          <w:tab w:val="right" w:leader="dot" w:pos="10099"/>
        </w:tabs>
        <w:spacing w:before="160"/>
        <w:rPr>
          <w:rFonts w:ascii="Times New Roman" w:eastAsia="Times New Roman"/>
          <w:sz w:val="24"/>
        </w:rPr>
      </w:pPr>
      <w:hyperlink w:anchor="_bookmark55" w:history="1">
        <w:r>
          <w:rPr>
            <w:rFonts w:hint="eastAsia"/>
            <w:sz w:val="24"/>
          </w:rPr>
          <w:t>预案的评审</w:t>
        </w:r>
        <w:r>
          <w:rPr>
            <w:sz w:val="24"/>
          </w:rPr>
          <w:tab/>
        </w:r>
        <w:r>
          <w:rPr>
            <w:rFonts w:ascii="Times New Roman" w:eastAsia="Times New Roman"/>
            <w:sz w:val="24"/>
          </w:rPr>
          <w:t>81</w:t>
        </w:r>
      </w:hyperlink>
    </w:p>
    <w:p w:rsidR="00B04AE3" w:rsidRDefault="00B04AE3">
      <w:pPr>
        <w:pStyle w:val="ListParagraph"/>
        <w:numPr>
          <w:ilvl w:val="1"/>
          <w:numId w:val="5"/>
        </w:numPr>
        <w:tabs>
          <w:tab w:val="left" w:pos="2758"/>
          <w:tab w:val="right" w:leader="dot" w:pos="10099"/>
        </w:tabs>
        <w:spacing w:before="159"/>
        <w:rPr>
          <w:rFonts w:ascii="Times New Roman" w:eastAsia="Times New Roman"/>
          <w:sz w:val="24"/>
        </w:rPr>
      </w:pPr>
      <w:hyperlink w:anchor="_bookmark56" w:history="1">
        <w:r>
          <w:rPr>
            <w:rFonts w:hint="eastAsia"/>
            <w:sz w:val="24"/>
          </w:rPr>
          <w:t>备案管理</w:t>
        </w:r>
        <w:r>
          <w:rPr>
            <w:sz w:val="24"/>
          </w:rPr>
          <w:tab/>
        </w:r>
        <w:r>
          <w:rPr>
            <w:rFonts w:ascii="Times New Roman" w:eastAsia="Times New Roman"/>
            <w:sz w:val="24"/>
          </w:rPr>
          <w:t>81</w:t>
        </w:r>
      </w:hyperlink>
    </w:p>
    <w:p w:rsidR="00B04AE3" w:rsidRDefault="00B04AE3">
      <w:pPr>
        <w:pStyle w:val="ListParagraph"/>
        <w:numPr>
          <w:ilvl w:val="1"/>
          <w:numId w:val="5"/>
        </w:numPr>
        <w:tabs>
          <w:tab w:val="left" w:pos="2758"/>
          <w:tab w:val="right" w:leader="dot" w:pos="10099"/>
        </w:tabs>
        <w:spacing w:before="160"/>
        <w:rPr>
          <w:rFonts w:ascii="Times New Roman" w:eastAsia="Times New Roman"/>
          <w:sz w:val="24"/>
        </w:rPr>
      </w:pPr>
      <w:hyperlink w:anchor="_bookmark57" w:history="1">
        <w:r>
          <w:rPr>
            <w:rFonts w:hint="eastAsia"/>
            <w:sz w:val="24"/>
          </w:rPr>
          <w:t>发布与更新</w:t>
        </w:r>
        <w:r>
          <w:rPr>
            <w:sz w:val="24"/>
          </w:rPr>
          <w:tab/>
        </w:r>
        <w:r>
          <w:rPr>
            <w:rFonts w:ascii="Times New Roman" w:eastAsia="Times New Roman"/>
            <w:sz w:val="24"/>
          </w:rPr>
          <w:t>81</w:t>
        </w:r>
      </w:hyperlink>
    </w:p>
    <w:p w:rsidR="00B04AE3" w:rsidRDefault="00B04AE3">
      <w:pPr>
        <w:pStyle w:val="ListParagraph"/>
        <w:numPr>
          <w:ilvl w:val="1"/>
          <w:numId w:val="5"/>
        </w:numPr>
        <w:tabs>
          <w:tab w:val="left" w:pos="2758"/>
          <w:tab w:val="right" w:leader="dot" w:pos="10099"/>
        </w:tabs>
        <w:spacing w:before="161"/>
        <w:rPr>
          <w:rFonts w:ascii="Times New Roman" w:eastAsia="Times New Roman"/>
          <w:sz w:val="24"/>
        </w:rPr>
      </w:pPr>
      <w:hyperlink w:anchor="_bookmark58" w:history="1">
        <w:r>
          <w:rPr>
            <w:rFonts w:hint="eastAsia"/>
            <w:sz w:val="24"/>
          </w:rPr>
          <w:t>预案的实施和生效时间</w:t>
        </w:r>
        <w:r>
          <w:rPr>
            <w:sz w:val="24"/>
          </w:rPr>
          <w:tab/>
        </w:r>
        <w:r>
          <w:rPr>
            <w:rFonts w:ascii="Times New Roman" w:eastAsia="Times New Roman"/>
            <w:sz w:val="24"/>
          </w:rPr>
          <w:t>81</w:t>
        </w:r>
      </w:hyperlink>
    </w:p>
    <w:p w:rsidR="00B04AE3" w:rsidRDefault="00B04AE3">
      <w:pPr>
        <w:rPr>
          <w:rFonts w:ascii="Times New Roman" w:eastAsia="Times New Roman"/>
          <w:sz w:val="24"/>
        </w:rPr>
        <w:sectPr w:rsidR="00B04AE3">
          <w:pgSz w:w="11910" w:h="16840"/>
          <w:pgMar w:top="1100" w:right="0" w:bottom="1180" w:left="0" w:header="878" w:footer="993" w:gutter="0"/>
          <w:cols w:space="720"/>
        </w:sectPr>
      </w:pPr>
    </w:p>
    <w:p w:rsidR="00B04AE3" w:rsidRDefault="00B04AE3">
      <w:pPr>
        <w:pStyle w:val="BodyText"/>
        <w:tabs>
          <w:tab w:val="right" w:leader="dot" w:pos="10103"/>
        </w:tabs>
        <w:spacing w:before="322"/>
        <w:ind w:left="1802"/>
        <w:rPr>
          <w:rFonts w:ascii="Times New Roman" w:eastAsia="Times New Roman"/>
        </w:rPr>
      </w:pPr>
      <w:hyperlink w:anchor="_bookmark59" w:history="1">
        <w:r>
          <w:rPr>
            <w:rFonts w:ascii="Times New Roman" w:eastAsia="Times New Roman"/>
          </w:rPr>
          <w:t xml:space="preserve">14 </w:t>
        </w:r>
        <w:r>
          <w:rPr>
            <w:rFonts w:hint="eastAsia"/>
          </w:rPr>
          <w:t>附则</w:t>
        </w:r>
        <w:r>
          <w:tab/>
        </w:r>
        <w:r>
          <w:rPr>
            <w:rFonts w:ascii="Times New Roman" w:eastAsia="Times New Roman"/>
          </w:rPr>
          <w:t>82</w:t>
        </w:r>
      </w:hyperlink>
    </w:p>
    <w:p w:rsidR="00B04AE3" w:rsidRDefault="00B04AE3">
      <w:pPr>
        <w:pStyle w:val="ListParagraph"/>
        <w:numPr>
          <w:ilvl w:val="1"/>
          <w:numId w:val="6"/>
        </w:numPr>
        <w:tabs>
          <w:tab w:val="left" w:pos="2758"/>
          <w:tab w:val="right" w:leader="dot" w:pos="10099"/>
        </w:tabs>
        <w:spacing w:before="161"/>
        <w:rPr>
          <w:rFonts w:ascii="Times New Roman" w:eastAsia="Times New Roman"/>
          <w:sz w:val="24"/>
        </w:rPr>
      </w:pPr>
      <w:hyperlink w:anchor="_bookmark60" w:history="1">
        <w:r>
          <w:rPr>
            <w:rFonts w:hint="eastAsia"/>
            <w:sz w:val="24"/>
          </w:rPr>
          <w:t>术语和定义</w:t>
        </w:r>
        <w:r>
          <w:rPr>
            <w:sz w:val="24"/>
          </w:rPr>
          <w:tab/>
        </w:r>
        <w:r>
          <w:rPr>
            <w:rFonts w:ascii="Times New Roman" w:eastAsia="Times New Roman"/>
            <w:sz w:val="24"/>
          </w:rPr>
          <w:t>82</w:t>
        </w:r>
      </w:hyperlink>
    </w:p>
    <w:p w:rsidR="00B04AE3" w:rsidRDefault="00B04AE3">
      <w:pPr>
        <w:pStyle w:val="ListParagraph"/>
        <w:numPr>
          <w:ilvl w:val="1"/>
          <w:numId w:val="6"/>
        </w:numPr>
        <w:tabs>
          <w:tab w:val="left" w:pos="2758"/>
          <w:tab w:val="right" w:leader="dot" w:pos="10099"/>
        </w:tabs>
        <w:spacing w:before="158"/>
        <w:rPr>
          <w:rFonts w:ascii="Times New Roman" w:eastAsia="Times New Roman"/>
          <w:sz w:val="24"/>
        </w:rPr>
      </w:pPr>
      <w:hyperlink w:anchor="_bookmark61" w:history="1">
        <w:r>
          <w:rPr>
            <w:rFonts w:hint="eastAsia"/>
            <w:sz w:val="24"/>
          </w:rPr>
          <w:t>修改记录表</w:t>
        </w:r>
        <w:r>
          <w:rPr>
            <w:sz w:val="24"/>
          </w:rPr>
          <w:tab/>
        </w:r>
        <w:r>
          <w:rPr>
            <w:rFonts w:ascii="Times New Roman" w:eastAsia="Times New Roman"/>
            <w:sz w:val="24"/>
          </w:rPr>
          <w:t>83</w:t>
        </w:r>
      </w:hyperlink>
    </w:p>
    <w:p w:rsidR="00B04AE3" w:rsidRDefault="00B04AE3">
      <w:pPr>
        <w:pStyle w:val="BodyText"/>
        <w:tabs>
          <w:tab w:val="right" w:leader="dot" w:pos="10103"/>
        </w:tabs>
        <w:spacing w:before="160"/>
        <w:ind w:left="1802"/>
        <w:rPr>
          <w:rFonts w:ascii="Times New Roman" w:eastAsia="Times New Roman"/>
        </w:rPr>
      </w:pPr>
      <w:hyperlink w:anchor="_bookmark62" w:history="1">
        <w:r>
          <w:rPr>
            <w:rFonts w:hint="eastAsia"/>
          </w:rPr>
          <w:t>附件</w:t>
        </w:r>
        <w:r>
          <w:tab/>
        </w:r>
        <w:r>
          <w:rPr>
            <w:rFonts w:ascii="Times New Roman" w:eastAsia="Times New Roman"/>
          </w:rPr>
          <w:t>84</w:t>
        </w:r>
      </w:hyperlink>
    </w:p>
    <w:p w:rsidR="00B04AE3" w:rsidRDefault="00B04AE3">
      <w:pPr>
        <w:rPr>
          <w:rFonts w:ascii="Times New Roman" w:eastAsia="Times New Roman"/>
        </w:rPr>
        <w:sectPr w:rsidR="00B04AE3">
          <w:pgSz w:w="11910" w:h="16840"/>
          <w:pgMar w:top="1100" w:right="0" w:bottom="1180" w:left="0" w:header="878" w:footer="993" w:gutter="0"/>
          <w:cols w:space="720"/>
        </w:sectPr>
      </w:pPr>
    </w:p>
    <w:p w:rsidR="00B04AE3" w:rsidRDefault="00B04AE3">
      <w:pPr>
        <w:pStyle w:val="ListParagraph"/>
        <w:numPr>
          <w:ilvl w:val="0"/>
          <w:numId w:val="7"/>
        </w:numPr>
        <w:tabs>
          <w:tab w:val="left" w:pos="2158"/>
        </w:tabs>
        <w:spacing w:before="322"/>
        <w:rPr>
          <w:b/>
          <w:sz w:val="36"/>
        </w:rPr>
      </w:pPr>
      <w:bookmarkStart w:id="4" w:name="_bookmark1"/>
      <w:bookmarkEnd w:id="4"/>
      <w:r>
        <w:rPr>
          <w:rFonts w:hint="eastAsia"/>
          <w:b/>
          <w:sz w:val="36"/>
        </w:rPr>
        <w:t>总则</w:t>
      </w:r>
    </w:p>
    <w:p w:rsidR="00B04AE3" w:rsidRDefault="00B04AE3">
      <w:pPr>
        <w:pStyle w:val="ListParagraph"/>
        <w:numPr>
          <w:ilvl w:val="1"/>
          <w:numId w:val="7"/>
        </w:numPr>
        <w:tabs>
          <w:tab w:val="left" w:pos="2247"/>
        </w:tabs>
        <w:spacing w:before="240"/>
        <w:rPr>
          <w:b/>
          <w:sz w:val="30"/>
        </w:rPr>
      </w:pPr>
      <w:bookmarkStart w:id="5" w:name="1.1编制目的"/>
      <w:bookmarkStart w:id="6" w:name="_bookmark2"/>
      <w:bookmarkEnd w:id="5"/>
      <w:bookmarkEnd w:id="6"/>
      <w:r>
        <w:rPr>
          <w:rFonts w:hint="eastAsia"/>
          <w:b/>
          <w:sz w:val="30"/>
        </w:rPr>
        <w:t>编制目的</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环境应急预案是指针对本企业生产的特点，为了加强对环境事件危险源的监</w:t>
      </w:r>
      <w:hyperlink r:id="rId11">
        <w:r>
          <w:rPr>
            <w:rFonts w:hint="eastAsia"/>
            <w:spacing w:val="-6"/>
            <w:sz w:val="24"/>
          </w:rPr>
          <w:t>测、监控并实施监督管理</w:t>
        </w:r>
      </w:hyperlink>
      <w:r>
        <w:rPr>
          <w:rFonts w:hint="eastAsia"/>
          <w:spacing w:val="-6"/>
          <w:sz w:val="24"/>
        </w:rPr>
        <w:t>，建立环境事件风险防范体系，积极预防、及时控制、消除隐患，提高环境事件防范和处理能力，尽可能地避免或减少突发环境事件的发生，消除或减轻环境事件造成的中长期影响，最大程度地保障公众健康，保护人民群众生命财产安全。针对不同污染源所造成的环境污染、生态污染、放射性污染的特点，实行分类管理，充分发挥部门专业优势，使采取的措施与突发环境事件造成的危害范围和社会影响相适应。</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本次应急预案编制目的为：</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①有效提高本公司防范和处置突发环境事件的能力，建立紧急情况下的快速、科学、有效地组织事故抢险、救援的应急机制；</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②切实加强和规范环境风险源的监控和环境污染事件应急的措施，全面控制和消除污染，维护自然生态环境，保障人民身心健康，确保社会稳定和环境安全；</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③预防重大污染事故的发生，对已发生的污染事故能迅速、有效、妥善处理，防止重大污染事故的发生，减少事故危害、损失和影响。</w:t>
      </w:r>
    </w:p>
    <w:p w:rsidR="00B04AE3" w:rsidRDefault="00B04AE3">
      <w:pPr>
        <w:pStyle w:val="ListParagraph"/>
        <w:numPr>
          <w:ilvl w:val="1"/>
          <w:numId w:val="7"/>
        </w:numPr>
        <w:tabs>
          <w:tab w:val="left" w:pos="2247"/>
        </w:tabs>
        <w:rPr>
          <w:b/>
          <w:sz w:val="30"/>
        </w:rPr>
      </w:pPr>
      <w:bookmarkStart w:id="7" w:name="1.2编制依据"/>
      <w:bookmarkStart w:id="8" w:name="_bookmark3"/>
      <w:bookmarkEnd w:id="7"/>
      <w:bookmarkEnd w:id="8"/>
      <w:r>
        <w:rPr>
          <w:rFonts w:hint="eastAsia"/>
          <w:b/>
          <w:sz w:val="30"/>
        </w:rPr>
        <w:t>编制依据</w:t>
      </w:r>
    </w:p>
    <w:p w:rsidR="00B04AE3" w:rsidRDefault="00B04AE3">
      <w:pPr>
        <w:pStyle w:val="ListParagraph"/>
        <w:numPr>
          <w:ilvl w:val="2"/>
          <w:numId w:val="8"/>
        </w:numPr>
        <w:tabs>
          <w:tab w:val="left" w:pos="2338"/>
        </w:tabs>
        <w:spacing w:before="196"/>
        <w:rPr>
          <w:b/>
          <w:sz w:val="24"/>
        </w:rPr>
      </w:pPr>
      <w:bookmarkStart w:id="9" w:name="1.2.1国家环境法律、法规、规章"/>
      <w:bookmarkEnd w:id="9"/>
      <w:r>
        <w:rPr>
          <w:rFonts w:hint="eastAsia"/>
          <w:b/>
          <w:sz w:val="24"/>
        </w:rPr>
        <w:t>国家环境法律、法规、规章</w:t>
      </w:r>
    </w:p>
    <w:p w:rsidR="00B04AE3" w:rsidRDefault="00B04AE3">
      <w:pPr>
        <w:pStyle w:val="ListParagraph"/>
        <w:numPr>
          <w:ilvl w:val="3"/>
          <w:numId w:val="8"/>
        </w:numPr>
        <w:tabs>
          <w:tab w:val="left" w:pos="2759"/>
        </w:tabs>
        <w:spacing w:before="160"/>
        <w:rPr>
          <w:sz w:val="24"/>
        </w:rPr>
      </w:pPr>
      <w:r>
        <w:rPr>
          <w:rFonts w:hint="eastAsia"/>
          <w:sz w:val="24"/>
        </w:rPr>
        <w:t>《中华人民共和国突发事件应对法》（</w:t>
      </w:r>
      <w:r>
        <w:rPr>
          <w:rFonts w:ascii="Times New Roman" w:eastAsia="Times New Roman"/>
          <w:sz w:val="24"/>
        </w:rPr>
        <w:t xml:space="preserve">2007 </w:t>
      </w:r>
      <w:r>
        <w:rPr>
          <w:rFonts w:hint="eastAsia"/>
          <w:spacing w:val="-30"/>
          <w:sz w:val="24"/>
        </w:rPr>
        <w:t>年</w:t>
      </w:r>
      <w:r>
        <w:rPr>
          <w:spacing w:val="-30"/>
          <w:sz w:val="24"/>
        </w:rPr>
        <w:t xml:space="preserve"> </w:t>
      </w:r>
      <w:r>
        <w:rPr>
          <w:rFonts w:ascii="Times New Roman" w:eastAsia="Times New Roman"/>
          <w:spacing w:val="-3"/>
          <w:sz w:val="24"/>
        </w:rPr>
        <w:t>11</w:t>
      </w:r>
      <w:r>
        <w:rPr>
          <w:rFonts w:ascii="Times New Roman" w:eastAsia="Times New Roman"/>
          <w:spacing w:val="-5"/>
          <w:sz w:val="24"/>
        </w:rPr>
        <w:t xml:space="preserve"> </w:t>
      </w:r>
      <w:r>
        <w:rPr>
          <w:rFonts w:hint="eastAsia"/>
          <w:spacing w:val="-30"/>
          <w:sz w:val="24"/>
        </w:rPr>
        <w:t>月</w:t>
      </w:r>
      <w:r>
        <w:rPr>
          <w:spacing w:val="-30"/>
          <w:sz w:val="24"/>
        </w:rPr>
        <w:t xml:space="preserve"> </w:t>
      </w:r>
      <w:r>
        <w:rPr>
          <w:rFonts w:ascii="Times New Roman" w:eastAsia="Times New Roman"/>
          <w:sz w:val="24"/>
        </w:rPr>
        <w:t xml:space="preserve">1 </w:t>
      </w:r>
      <w:r>
        <w:rPr>
          <w:rFonts w:hint="eastAsia"/>
          <w:sz w:val="24"/>
        </w:rPr>
        <w:t>日起施行）；</w:t>
      </w:r>
    </w:p>
    <w:p w:rsidR="00B04AE3" w:rsidRDefault="00B04AE3">
      <w:pPr>
        <w:pStyle w:val="ListParagraph"/>
        <w:numPr>
          <w:ilvl w:val="3"/>
          <w:numId w:val="8"/>
        </w:numPr>
        <w:tabs>
          <w:tab w:val="left" w:pos="2759"/>
        </w:tabs>
        <w:spacing w:before="158"/>
        <w:rPr>
          <w:sz w:val="24"/>
        </w:rPr>
      </w:pPr>
      <w:r>
        <w:rPr>
          <w:rFonts w:hint="eastAsia"/>
          <w:sz w:val="24"/>
        </w:rPr>
        <w:t>《中华人民共和国环境保护法》（</w:t>
      </w:r>
      <w:r>
        <w:rPr>
          <w:rFonts w:ascii="Times New Roman" w:eastAsia="Times New Roman"/>
          <w:sz w:val="24"/>
        </w:rPr>
        <w:t xml:space="preserve">2015 </w:t>
      </w:r>
      <w:r>
        <w:rPr>
          <w:rFonts w:hint="eastAsia"/>
          <w:spacing w:val="-30"/>
          <w:sz w:val="24"/>
        </w:rPr>
        <w:t>年</w:t>
      </w:r>
      <w:r>
        <w:rPr>
          <w:spacing w:val="-30"/>
          <w:sz w:val="24"/>
        </w:rPr>
        <w:t xml:space="preserve"> </w:t>
      </w:r>
      <w:r>
        <w:rPr>
          <w:rFonts w:ascii="Times New Roman" w:eastAsia="Times New Roman"/>
          <w:sz w:val="24"/>
        </w:rPr>
        <w:t xml:space="preserve">1 </w:t>
      </w:r>
      <w:r>
        <w:rPr>
          <w:rFonts w:hint="eastAsia"/>
          <w:spacing w:val="-30"/>
          <w:sz w:val="24"/>
        </w:rPr>
        <w:t>月</w:t>
      </w:r>
      <w:r>
        <w:rPr>
          <w:spacing w:val="-30"/>
          <w:sz w:val="24"/>
        </w:rPr>
        <w:t xml:space="preserve"> </w:t>
      </w:r>
      <w:r>
        <w:rPr>
          <w:rFonts w:ascii="Times New Roman" w:eastAsia="Times New Roman"/>
          <w:sz w:val="24"/>
        </w:rPr>
        <w:t xml:space="preserve">1 </w:t>
      </w:r>
      <w:r>
        <w:rPr>
          <w:rFonts w:hint="eastAsia"/>
          <w:sz w:val="24"/>
        </w:rPr>
        <w:t>日起施行）；</w:t>
      </w:r>
    </w:p>
    <w:p w:rsidR="00B04AE3" w:rsidRDefault="00B04AE3">
      <w:pPr>
        <w:pStyle w:val="ListParagraph"/>
        <w:numPr>
          <w:ilvl w:val="3"/>
          <w:numId w:val="8"/>
        </w:numPr>
        <w:tabs>
          <w:tab w:val="left" w:pos="2759"/>
        </w:tabs>
        <w:spacing w:before="161"/>
        <w:rPr>
          <w:sz w:val="24"/>
        </w:rPr>
      </w:pPr>
      <w:r>
        <w:rPr>
          <w:rFonts w:hint="eastAsia"/>
          <w:sz w:val="24"/>
        </w:rPr>
        <w:t>《中华人民共和国水污染防治法》（</w:t>
      </w:r>
      <w:r>
        <w:rPr>
          <w:rFonts w:ascii="Times New Roman" w:eastAsia="Times New Roman"/>
          <w:sz w:val="24"/>
        </w:rPr>
        <w:t xml:space="preserve">2008 </w:t>
      </w:r>
      <w:r>
        <w:rPr>
          <w:rFonts w:hint="eastAsia"/>
          <w:spacing w:val="-30"/>
          <w:sz w:val="24"/>
        </w:rPr>
        <w:t>年</w:t>
      </w:r>
      <w:r>
        <w:rPr>
          <w:spacing w:val="-30"/>
          <w:sz w:val="24"/>
        </w:rPr>
        <w:t xml:space="preserve"> </w:t>
      </w:r>
      <w:r>
        <w:rPr>
          <w:rFonts w:ascii="Times New Roman" w:eastAsia="Times New Roman"/>
          <w:sz w:val="24"/>
        </w:rPr>
        <w:t xml:space="preserve">6 </w:t>
      </w:r>
      <w:r>
        <w:rPr>
          <w:rFonts w:hint="eastAsia"/>
          <w:spacing w:val="-30"/>
          <w:sz w:val="24"/>
        </w:rPr>
        <w:t>月</w:t>
      </w:r>
      <w:r>
        <w:rPr>
          <w:spacing w:val="-30"/>
          <w:sz w:val="24"/>
        </w:rPr>
        <w:t xml:space="preserve"> </w:t>
      </w:r>
      <w:r>
        <w:rPr>
          <w:rFonts w:ascii="Times New Roman" w:eastAsia="Times New Roman"/>
          <w:sz w:val="24"/>
        </w:rPr>
        <w:t xml:space="preserve">1 </w:t>
      </w:r>
      <w:r>
        <w:rPr>
          <w:rFonts w:hint="eastAsia"/>
          <w:sz w:val="24"/>
        </w:rPr>
        <w:t>日起施行）；</w:t>
      </w:r>
    </w:p>
    <w:p w:rsidR="00B04AE3" w:rsidRDefault="00B04AE3">
      <w:pPr>
        <w:pStyle w:val="ListParagraph"/>
        <w:numPr>
          <w:ilvl w:val="3"/>
          <w:numId w:val="8"/>
        </w:numPr>
        <w:tabs>
          <w:tab w:val="left" w:pos="2759"/>
        </w:tabs>
        <w:spacing w:before="160"/>
        <w:rPr>
          <w:rFonts w:ascii="Times New Roman" w:eastAsia="Times New Roman"/>
          <w:sz w:val="24"/>
        </w:rPr>
      </w:pPr>
      <w:r>
        <w:rPr>
          <w:rFonts w:hint="eastAsia"/>
          <w:spacing w:val="-9"/>
          <w:sz w:val="24"/>
        </w:rPr>
        <w:t>《中华人民共和国大气污染防治法》</w:t>
      </w:r>
      <w:r>
        <w:rPr>
          <w:rFonts w:hint="eastAsia"/>
          <w:sz w:val="24"/>
        </w:rPr>
        <w:t>（</w:t>
      </w:r>
      <w:r>
        <w:rPr>
          <w:rFonts w:ascii="Times New Roman" w:eastAsia="Times New Roman"/>
          <w:sz w:val="24"/>
        </w:rPr>
        <w:t xml:space="preserve">2015 </w:t>
      </w:r>
      <w:r>
        <w:rPr>
          <w:rFonts w:hint="eastAsia"/>
          <w:spacing w:val="-30"/>
          <w:sz w:val="24"/>
        </w:rPr>
        <w:t>年</w:t>
      </w:r>
      <w:r>
        <w:rPr>
          <w:spacing w:val="-30"/>
          <w:sz w:val="24"/>
        </w:rPr>
        <w:t xml:space="preserve"> </w:t>
      </w:r>
      <w:r>
        <w:rPr>
          <w:rFonts w:ascii="Times New Roman" w:eastAsia="Times New Roman"/>
          <w:sz w:val="24"/>
        </w:rPr>
        <w:t xml:space="preserve">8 </w:t>
      </w:r>
      <w:r>
        <w:rPr>
          <w:rFonts w:hint="eastAsia"/>
          <w:spacing w:val="-30"/>
          <w:sz w:val="24"/>
        </w:rPr>
        <w:t>月</w:t>
      </w:r>
      <w:r>
        <w:rPr>
          <w:spacing w:val="-30"/>
          <w:sz w:val="24"/>
        </w:rPr>
        <w:t xml:space="preserve"> </w:t>
      </w:r>
      <w:r>
        <w:rPr>
          <w:rFonts w:ascii="Times New Roman" w:eastAsia="Times New Roman"/>
          <w:sz w:val="24"/>
        </w:rPr>
        <w:t xml:space="preserve">29 </w:t>
      </w:r>
      <w:r>
        <w:rPr>
          <w:rFonts w:hint="eastAsia"/>
          <w:spacing w:val="-2"/>
          <w:sz w:val="24"/>
        </w:rPr>
        <w:t>日修订通过，</w:t>
      </w:r>
      <w:r>
        <w:rPr>
          <w:rFonts w:ascii="Times New Roman" w:eastAsia="Times New Roman"/>
          <w:spacing w:val="-12"/>
          <w:sz w:val="24"/>
        </w:rPr>
        <w:t>2016</w:t>
      </w:r>
    </w:p>
    <w:p w:rsidR="00B04AE3" w:rsidRDefault="00B04AE3">
      <w:pPr>
        <w:pStyle w:val="BodyText"/>
        <w:spacing w:before="158"/>
        <w:ind w:left="1797"/>
      </w:pPr>
      <w:r>
        <w:rPr>
          <w:rFonts w:hint="eastAsia"/>
        </w:rPr>
        <w:t>年</w:t>
      </w:r>
      <w:r>
        <w:t xml:space="preserve"> </w:t>
      </w:r>
      <w:r>
        <w:rPr>
          <w:rFonts w:ascii="Times New Roman" w:eastAsia="Times New Roman"/>
        </w:rPr>
        <w:t xml:space="preserve">01 </w:t>
      </w:r>
      <w:r>
        <w:rPr>
          <w:rFonts w:hint="eastAsia"/>
        </w:rPr>
        <w:t>月</w:t>
      </w:r>
      <w:r>
        <w:t xml:space="preserve"> </w:t>
      </w:r>
      <w:r>
        <w:rPr>
          <w:rFonts w:ascii="Times New Roman" w:eastAsia="Times New Roman"/>
        </w:rPr>
        <w:t xml:space="preserve">01 </w:t>
      </w:r>
      <w:r>
        <w:rPr>
          <w:rFonts w:hint="eastAsia"/>
        </w:rPr>
        <w:t>日起施行）；</w:t>
      </w:r>
    </w:p>
    <w:p w:rsidR="00B04AE3" w:rsidRDefault="00B04AE3">
      <w:pPr>
        <w:pStyle w:val="ListParagraph"/>
        <w:numPr>
          <w:ilvl w:val="3"/>
          <w:numId w:val="8"/>
        </w:numPr>
        <w:tabs>
          <w:tab w:val="left" w:pos="2759"/>
        </w:tabs>
        <w:spacing w:before="158"/>
        <w:rPr>
          <w:sz w:val="24"/>
        </w:rPr>
      </w:pPr>
      <w:r>
        <w:rPr>
          <w:rFonts w:hint="eastAsia"/>
          <w:sz w:val="24"/>
        </w:rPr>
        <w:t>《中华人民共和国固体废物污染环境防治法</w:t>
      </w:r>
      <w:r>
        <w:rPr>
          <w:rFonts w:hint="eastAsia"/>
          <w:spacing w:val="-135"/>
          <w:sz w:val="24"/>
        </w:rPr>
        <w:t>》</w:t>
      </w:r>
      <w:r>
        <w:rPr>
          <w:rFonts w:hint="eastAsia"/>
          <w:sz w:val="24"/>
        </w:rPr>
        <w:t>（</w:t>
      </w:r>
      <w:r>
        <w:rPr>
          <w:rFonts w:ascii="Times New Roman" w:eastAsia="Times New Roman"/>
          <w:sz w:val="24"/>
        </w:rPr>
        <w:t xml:space="preserve">2015 </w:t>
      </w:r>
      <w:r>
        <w:rPr>
          <w:rFonts w:hint="eastAsia"/>
          <w:spacing w:val="-30"/>
          <w:sz w:val="24"/>
        </w:rPr>
        <w:t>年</w:t>
      </w:r>
      <w:r>
        <w:rPr>
          <w:spacing w:val="-30"/>
          <w:sz w:val="24"/>
        </w:rPr>
        <w:t xml:space="preserve"> </w:t>
      </w:r>
      <w:r>
        <w:rPr>
          <w:rFonts w:ascii="Times New Roman" w:eastAsia="Times New Roman"/>
          <w:sz w:val="24"/>
        </w:rPr>
        <w:t xml:space="preserve">4 </w:t>
      </w:r>
      <w:r>
        <w:rPr>
          <w:rFonts w:hint="eastAsia"/>
          <w:spacing w:val="-30"/>
          <w:sz w:val="24"/>
        </w:rPr>
        <w:t>月</w:t>
      </w:r>
      <w:r>
        <w:rPr>
          <w:spacing w:val="-30"/>
          <w:sz w:val="24"/>
        </w:rPr>
        <w:t xml:space="preserve"> </w:t>
      </w:r>
      <w:r>
        <w:rPr>
          <w:rFonts w:ascii="Times New Roman" w:eastAsia="Times New Roman"/>
          <w:sz w:val="24"/>
        </w:rPr>
        <w:t xml:space="preserve">24 </w:t>
      </w:r>
      <w:r>
        <w:rPr>
          <w:rFonts w:hint="eastAsia"/>
          <w:sz w:val="24"/>
        </w:rPr>
        <w:t>日修订</w:t>
      </w:r>
      <w:r>
        <w:rPr>
          <w:rFonts w:hint="eastAsia"/>
          <w:spacing w:val="-120"/>
          <w:sz w:val="24"/>
        </w:rPr>
        <w:t>）</w:t>
      </w:r>
      <w:r>
        <w:rPr>
          <w:rFonts w:hint="eastAsia"/>
          <w:sz w:val="24"/>
        </w:rPr>
        <w:t>；</w:t>
      </w:r>
    </w:p>
    <w:p w:rsidR="00B04AE3" w:rsidRDefault="00B04AE3">
      <w:pPr>
        <w:pStyle w:val="ListParagraph"/>
        <w:numPr>
          <w:ilvl w:val="3"/>
          <w:numId w:val="8"/>
        </w:numPr>
        <w:tabs>
          <w:tab w:val="left" w:pos="2759"/>
        </w:tabs>
        <w:spacing w:before="161"/>
        <w:rPr>
          <w:sz w:val="24"/>
        </w:rPr>
      </w:pPr>
      <w:r>
        <w:rPr>
          <w:rFonts w:hint="eastAsia"/>
          <w:sz w:val="24"/>
        </w:rPr>
        <w:t>《废弃危险化学品污染环境防治办法》（</w:t>
      </w:r>
      <w:r>
        <w:rPr>
          <w:rFonts w:ascii="Times New Roman" w:eastAsia="Times New Roman"/>
          <w:sz w:val="24"/>
        </w:rPr>
        <w:t xml:space="preserve">2005 </w:t>
      </w:r>
      <w:r>
        <w:rPr>
          <w:rFonts w:hint="eastAsia"/>
          <w:spacing w:val="-30"/>
          <w:sz w:val="24"/>
        </w:rPr>
        <w:t>年</w:t>
      </w:r>
      <w:r>
        <w:rPr>
          <w:spacing w:val="-30"/>
          <w:sz w:val="24"/>
        </w:rPr>
        <w:t xml:space="preserve"> </w:t>
      </w:r>
      <w:r>
        <w:rPr>
          <w:rFonts w:ascii="Times New Roman" w:eastAsia="Times New Roman"/>
          <w:sz w:val="24"/>
        </w:rPr>
        <w:t xml:space="preserve">10 </w:t>
      </w:r>
      <w:r>
        <w:rPr>
          <w:rFonts w:hint="eastAsia"/>
          <w:spacing w:val="-30"/>
          <w:sz w:val="24"/>
        </w:rPr>
        <w:t>月</w:t>
      </w:r>
      <w:r>
        <w:rPr>
          <w:spacing w:val="-30"/>
          <w:sz w:val="24"/>
        </w:rPr>
        <w:t xml:space="preserve"> </w:t>
      </w:r>
      <w:r>
        <w:rPr>
          <w:rFonts w:ascii="Times New Roman" w:eastAsia="Times New Roman"/>
          <w:sz w:val="24"/>
        </w:rPr>
        <w:t xml:space="preserve">1 </w:t>
      </w:r>
      <w:r>
        <w:rPr>
          <w:rFonts w:hint="eastAsia"/>
          <w:sz w:val="24"/>
        </w:rPr>
        <w:t>日起施行）；</w:t>
      </w:r>
    </w:p>
    <w:p w:rsidR="00B04AE3" w:rsidRDefault="00B04AE3">
      <w:pPr>
        <w:pStyle w:val="ListParagraph"/>
        <w:numPr>
          <w:ilvl w:val="3"/>
          <w:numId w:val="8"/>
        </w:numPr>
        <w:tabs>
          <w:tab w:val="left" w:pos="2759"/>
        </w:tabs>
        <w:spacing w:before="158"/>
        <w:rPr>
          <w:sz w:val="24"/>
        </w:rPr>
      </w:pPr>
      <w:r>
        <w:rPr>
          <w:rFonts w:hint="eastAsia"/>
          <w:sz w:val="24"/>
        </w:rPr>
        <w:t>《危险化学品安全管理条例》（</w:t>
      </w:r>
      <w:r>
        <w:rPr>
          <w:rFonts w:ascii="Times New Roman" w:eastAsia="Times New Roman"/>
          <w:sz w:val="24"/>
        </w:rPr>
        <w:t>2011</w:t>
      </w:r>
      <w:r>
        <w:rPr>
          <w:rFonts w:ascii="Times New Roman" w:eastAsia="Times New Roman"/>
          <w:spacing w:val="-6"/>
          <w:sz w:val="24"/>
        </w:rPr>
        <w:t xml:space="preserve"> </w:t>
      </w:r>
      <w:r>
        <w:rPr>
          <w:rFonts w:hint="eastAsia"/>
          <w:spacing w:val="-30"/>
          <w:sz w:val="24"/>
        </w:rPr>
        <w:t>年</w:t>
      </w:r>
      <w:r>
        <w:rPr>
          <w:spacing w:val="-30"/>
          <w:sz w:val="24"/>
        </w:rPr>
        <w:t xml:space="preserve"> </w:t>
      </w:r>
      <w:r>
        <w:rPr>
          <w:rFonts w:ascii="Times New Roman" w:eastAsia="Times New Roman"/>
          <w:sz w:val="24"/>
        </w:rPr>
        <w:t xml:space="preserve">12 </w:t>
      </w:r>
      <w:r>
        <w:rPr>
          <w:rFonts w:hint="eastAsia"/>
          <w:spacing w:val="-30"/>
          <w:sz w:val="24"/>
        </w:rPr>
        <w:t>月</w:t>
      </w:r>
      <w:r>
        <w:rPr>
          <w:spacing w:val="-30"/>
          <w:sz w:val="24"/>
        </w:rPr>
        <w:t xml:space="preserve"> </w:t>
      </w:r>
      <w:r>
        <w:rPr>
          <w:rFonts w:ascii="Times New Roman" w:eastAsia="Times New Roman"/>
          <w:sz w:val="24"/>
        </w:rPr>
        <w:t xml:space="preserve">1 </w:t>
      </w:r>
      <w:r>
        <w:rPr>
          <w:rFonts w:hint="eastAsia"/>
          <w:sz w:val="24"/>
        </w:rPr>
        <w:t>日起施行）；</w:t>
      </w:r>
    </w:p>
    <w:p w:rsidR="00B04AE3" w:rsidRDefault="00B04AE3">
      <w:pPr>
        <w:pStyle w:val="ListParagraph"/>
        <w:numPr>
          <w:ilvl w:val="3"/>
          <w:numId w:val="8"/>
        </w:numPr>
        <w:tabs>
          <w:tab w:val="left" w:pos="2759"/>
        </w:tabs>
        <w:spacing w:before="160"/>
        <w:rPr>
          <w:sz w:val="24"/>
        </w:rPr>
      </w:pPr>
      <w:r>
        <w:rPr>
          <w:rFonts w:hint="eastAsia"/>
          <w:sz w:val="24"/>
        </w:rPr>
        <w:t>《中华人民共和国特种设备安全法》（</w:t>
      </w:r>
      <w:r>
        <w:rPr>
          <w:rFonts w:ascii="Times New Roman" w:eastAsia="Times New Roman"/>
          <w:sz w:val="24"/>
        </w:rPr>
        <w:t xml:space="preserve">2014 </w:t>
      </w:r>
      <w:r>
        <w:rPr>
          <w:rFonts w:hint="eastAsia"/>
          <w:spacing w:val="-30"/>
          <w:sz w:val="24"/>
        </w:rPr>
        <w:t>年</w:t>
      </w:r>
      <w:r>
        <w:rPr>
          <w:spacing w:val="-30"/>
          <w:sz w:val="24"/>
        </w:rPr>
        <w:t xml:space="preserve"> </w:t>
      </w:r>
      <w:r>
        <w:rPr>
          <w:rFonts w:ascii="Times New Roman" w:eastAsia="Times New Roman"/>
          <w:sz w:val="24"/>
        </w:rPr>
        <w:t xml:space="preserve">1 </w:t>
      </w:r>
      <w:r>
        <w:rPr>
          <w:rFonts w:hint="eastAsia"/>
          <w:spacing w:val="-30"/>
          <w:sz w:val="24"/>
        </w:rPr>
        <w:t>月</w:t>
      </w:r>
      <w:r>
        <w:rPr>
          <w:spacing w:val="-30"/>
          <w:sz w:val="24"/>
        </w:rPr>
        <w:t xml:space="preserve"> </w:t>
      </w:r>
      <w:r>
        <w:rPr>
          <w:rFonts w:ascii="Times New Roman" w:eastAsia="Times New Roman"/>
          <w:sz w:val="24"/>
        </w:rPr>
        <w:t xml:space="preserve">1 </w:t>
      </w:r>
      <w:r>
        <w:rPr>
          <w:rFonts w:hint="eastAsia"/>
          <w:sz w:val="24"/>
        </w:rPr>
        <w:t>日起施行）；</w:t>
      </w:r>
    </w:p>
    <w:p w:rsidR="00B04AE3" w:rsidRDefault="00B04AE3">
      <w:pPr>
        <w:pStyle w:val="ListParagraph"/>
        <w:numPr>
          <w:ilvl w:val="3"/>
          <w:numId w:val="8"/>
        </w:numPr>
        <w:tabs>
          <w:tab w:val="left" w:pos="2759"/>
        </w:tabs>
        <w:spacing w:before="161"/>
        <w:rPr>
          <w:sz w:val="19"/>
        </w:rPr>
      </w:pPr>
      <w:r>
        <w:rPr>
          <w:rFonts w:hint="eastAsia"/>
          <w:sz w:val="24"/>
        </w:rPr>
        <w:t>《突发环境事件调查处理办法》（</w:t>
      </w:r>
      <w:r>
        <w:rPr>
          <w:rFonts w:ascii="Times New Roman" w:eastAsia="Times New Roman"/>
          <w:sz w:val="24"/>
        </w:rPr>
        <w:t xml:space="preserve">2015.3.1 </w:t>
      </w:r>
      <w:r>
        <w:rPr>
          <w:rFonts w:hint="eastAsia"/>
          <w:spacing w:val="-10"/>
          <w:sz w:val="24"/>
        </w:rPr>
        <w:t>环保部令第</w:t>
      </w:r>
      <w:r>
        <w:rPr>
          <w:spacing w:val="-10"/>
          <w:sz w:val="24"/>
        </w:rPr>
        <w:t xml:space="preserve"> </w:t>
      </w:r>
      <w:r>
        <w:rPr>
          <w:rFonts w:ascii="Times New Roman" w:eastAsia="Times New Roman"/>
          <w:sz w:val="24"/>
        </w:rPr>
        <w:t xml:space="preserve">32 </w:t>
      </w:r>
      <w:r>
        <w:rPr>
          <w:rFonts w:hint="eastAsia"/>
          <w:sz w:val="24"/>
        </w:rPr>
        <w:t>号）；</w:t>
      </w:r>
    </w:p>
    <w:p w:rsidR="00B04AE3" w:rsidRDefault="00B04AE3">
      <w:pPr>
        <w:pStyle w:val="ListParagraph"/>
        <w:numPr>
          <w:ilvl w:val="3"/>
          <w:numId w:val="8"/>
        </w:numPr>
        <w:tabs>
          <w:tab w:val="left" w:pos="2892"/>
        </w:tabs>
        <w:spacing w:before="74" w:line="364" w:lineRule="auto"/>
        <w:ind w:left="1797" w:right="1795" w:firstLine="360"/>
        <w:rPr>
          <w:sz w:val="24"/>
        </w:rPr>
      </w:pPr>
      <w:r>
        <w:rPr>
          <w:rFonts w:hint="eastAsia"/>
          <w:spacing w:val="4"/>
          <w:sz w:val="24"/>
        </w:rPr>
        <w:t>《突发环境事件应急处置阶段环境损害评估推荐方法》</w:t>
      </w:r>
      <w:r>
        <w:rPr>
          <w:rFonts w:hint="eastAsia"/>
          <w:sz w:val="24"/>
        </w:rPr>
        <w:t>（</w:t>
      </w:r>
      <w:r>
        <w:rPr>
          <w:rFonts w:ascii="Times New Roman" w:eastAsia="Times New Roman"/>
          <w:sz w:val="24"/>
        </w:rPr>
        <w:t xml:space="preserve">2014.12.31 </w:t>
      </w:r>
      <w:r>
        <w:rPr>
          <w:rFonts w:hint="eastAsia"/>
          <w:sz w:val="24"/>
        </w:rPr>
        <w:t>环办</w:t>
      </w:r>
      <w:r>
        <w:rPr>
          <w:rFonts w:ascii="Times New Roman" w:eastAsia="Times New Roman"/>
          <w:sz w:val="24"/>
        </w:rPr>
        <w:t>[2014]118</w:t>
      </w:r>
      <w:r>
        <w:rPr>
          <w:rFonts w:ascii="Times New Roman" w:eastAsia="Times New Roman"/>
          <w:spacing w:val="-4"/>
          <w:sz w:val="24"/>
        </w:rPr>
        <w:t xml:space="preserve"> </w:t>
      </w:r>
      <w:r>
        <w:rPr>
          <w:rFonts w:hint="eastAsia"/>
          <w:sz w:val="24"/>
        </w:rPr>
        <w:t>号）；</w:t>
      </w:r>
    </w:p>
    <w:p w:rsidR="00B04AE3" w:rsidRDefault="00B04AE3">
      <w:pPr>
        <w:pStyle w:val="ListParagraph"/>
        <w:numPr>
          <w:ilvl w:val="3"/>
          <w:numId w:val="8"/>
        </w:numPr>
        <w:tabs>
          <w:tab w:val="left" w:pos="2869"/>
        </w:tabs>
        <w:spacing w:line="306" w:lineRule="exact"/>
        <w:ind w:left="2869" w:hanging="712"/>
        <w:rPr>
          <w:sz w:val="24"/>
        </w:rPr>
      </w:pPr>
      <w:r>
        <w:rPr>
          <w:rFonts w:hint="eastAsia"/>
          <w:sz w:val="24"/>
        </w:rPr>
        <w:t>《突发环境事件应急预案管理暂行办法》（环发</w:t>
      </w:r>
      <w:r>
        <w:rPr>
          <w:rFonts w:ascii="Times New Roman" w:eastAsia="Times New Roman"/>
          <w:sz w:val="24"/>
        </w:rPr>
        <w:t>[2010]113</w:t>
      </w:r>
      <w:r>
        <w:rPr>
          <w:rFonts w:ascii="Times New Roman" w:eastAsia="Times New Roman"/>
          <w:spacing w:val="-1"/>
          <w:sz w:val="24"/>
        </w:rPr>
        <w:t xml:space="preserve"> </w:t>
      </w:r>
      <w:r>
        <w:rPr>
          <w:rFonts w:hint="eastAsia"/>
          <w:sz w:val="24"/>
        </w:rPr>
        <w:t>号）；</w:t>
      </w:r>
    </w:p>
    <w:p w:rsidR="00B04AE3" w:rsidRDefault="00B04AE3">
      <w:pPr>
        <w:pStyle w:val="ListParagraph"/>
        <w:numPr>
          <w:ilvl w:val="3"/>
          <w:numId w:val="8"/>
        </w:numPr>
        <w:tabs>
          <w:tab w:val="left" w:pos="2904"/>
        </w:tabs>
        <w:spacing w:before="160"/>
        <w:ind w:left="2904" w:hanging="747"/>
        <w:rPr>
          <w:sz w:val="24"/>
        </w:rPr>
      </w:pPr>
      <w:r>
        <w:rPr>
          <w:rFonts w:hint="eastAsia"/>
          <w:spacing w:val="7"/>
          <w:sz w:val="24"/>
        </w:rPr>
        <w:t>《关于进一步加强环境影响评价管理防范环境风险的通知》（</w:t>
      </w:r>
      <w:r>
        <w:rPr>
          <w:rFonts w:hint="eastAsia"/>
          <w:spacing w:val="4"/>
          <w:sz w:val="24"/>
        </w:rPr>
        <w:t>环发</w:t>
      </w:r>
    </w:p>
    <w:p w:rsidR="00B04AE3" w:rsidRDefault="00B04AE3">
      <w:pPr>
        <w:pStyle w:val="BodyText"/>
        <w:spacing w:before="158"/>
        <w:ind w:left="1797"/>
      </w:pPr>
      <w:r>
        <w:rPr>
          <w:rFonts w:ascii="Times New Roman" w:eastAsia="Times New Roman"/>
        </w:rPr>
        <w:t xml:space="preserve">[2012]77 </w:t>
      </w:r>
      <w:r>
        <w:rPr>
          <w:rFonts w:hint="eastAsia"/>
        </w:rPr>
        <w:t>号）；</w:t>
      </w:r>
    </w:p>
    <w:p w:rsidR="00B04AE3" w:rsidRDefault="00B04AE3">
      <w:pPr>
        <w:pStyle w:val="ListParagraph"/>
        <w:numPr>
          <w:ilvl w:val="3"/>
          <w:numId w:val="8"/>
        </w:numPr>
        <w:tabs>
          <w:tab w:val="left" w:pos="2879"/>
        </w:tabs>
        <w:spacing w:before="161"/>
        <w:ind w:left="2878" w:hanging="721"/>
        <w:rPr>
          <w:sz w:val="24"/>
        </w:rPr>
      </w:pPr>
      <w:r>
        <w:rPr>
          <w:rFonts w:hint="eastAsia"/>
          <w:sz w:val="24"/>
        </w:rPr>
        <w:t>《突发环境事件信息报告办法》（</w:t>
      </w:r>
      <w:r>
        <w:rPr>
          <w:rFonts w:ascii="Times New Roman" w:eastAsia="Times New Roman"/>
          <w:sz w:val="24"/>
        </w:rPr>
        <w:t>2011</w:t>
      </w:r>
      <w:r>
        <w:rPr>
          <w:rFonts w:ascii="Times New Roman" w:eastAsia="Times New Roman"/>
          <w:spacing w:val="-6"/>
          <w:sz w:val="24"/>
        </w:rPr>
        <w:t xml:space="preserve"> </w:t>
      </w:r>
      <w:r>
        <w:rPr>
          <w:rFonts w:hint="eastAsia"/>
          <w:spacing w:val="-30"/>
          <w:sz w:val="24"/>
        </w:rPr>
        <w:t>年</w:t>
      </w:r>
      <w:r>
        <w:rPr>
          <w:spacing w:val="-30"/>
          <w:sz w:val="24"/>
        </w:rPr>
        <w:t xml:space="preserve"> </w:t>
      </w:r>
      <w:r>
        <w:rPr>
          <w:rFonts w:ascii="Times New Roman" w:eastAsia="Times New Roman"/>
          <w:sz w:val="24"/>
        </w:rPr>
        <w:t xml:space="preserve">5 </w:t>
      </w:r>
      <w:r>
        <w:rPr>
          <w:rFonts w:hint="eastAsia"/>
          <w:spacing w:val="-30"/>
          <w:sz w:val="24"/>
        </w:rPr>
        <w:t>月</w:t>
      </w:r>
      <w:r>
        <w:rPr>
          <w:spacing w:val="-30"/>
          <w:sz w:val="24"/>
        </w:rPr>
        <w:t xml:space="preserve"> </w:t>
      </w:r>
      <w:r>
        <w:rPr>
          <w:rFonts w:ascii="Times New Roman" w:eastAsia="Times New Roman"/>
          <w:sz w:val="24"/>
        </w:rPr>
        <w:t xml:space="preserve">1 </w:t>
      </w:r>
      <w:r>
        <w:rPr>
          <w:rFonts w:hint="eastAsia"/>
          <w:sz w:val="24"/>
        </w:rPr>
        <w:t>日起施行）；</w:t>
      </w:r>
    </w:p>
    <w:p w:rsidR="00B04AE3" w:rsidRDefault="00B04AE3">
      <w:pPr>
        <w:pStyle w:val="ListParagraph"/>
        <w:numPr>
          <w:ilvl w:val="3"/>
          <w:numId w:val="8"/>
        </w:numPr>
        <w:tabs>
          <w:tab w:val="left" w:pos="2879"/>
        </w:tabs>
        <w:spacing w:before="158"/>
        <w:ind w:left="2878" w:hanging="721"/>
        <w:rPr>
          <w:sz w:val="24"/>
        </w:rPr>
      </w:pPr>
      <w:r>
        <w:rPr>
          <w:rFonts w:hint="eastAsia"/>
          <w:sz w:val="24"/>
        </w:rPr>
        <w:t>《国家突发环境事件应急预案》；</w:t>
      </w:r>
    </w:p>
    <w:p w:rsidR="00B04AE3" w:rsidRDefault="00B04AE3">
      <w:pPr>
        <w:pStyle w:val="ListParagraph"/>
        <w:numPr>
          <w:ilvl w:val="3"/>
          <w:numId w:val="8"/>
        </w:numPr>
        <w:tabs>
          <w:tab w:val="left" w:pos="2879"/>
        </w:tabs>
        <w:spacing w:before="161"/>
        <w:ind w:left="2878" w:hanging="721"/>
        <w:rPr>
          <w:sz w:val="24"/>
        </w:rPr>
      </w:pPr>
      <w:r>
        <w:rPr>
          <w:rFonts w:hint="eastAsia"/>
          <w:sz w:val="24"/>
        </w:rPr>
        <w:t>《国家突发公共事件总体应急预案》；</w:t>
      </w:r>
    </w:p>
    <w:p w:rsidR="00B04AE3" w:rsidRDefault="00B04AE3">
      <w:pPr>
        <w:pStyle w:val="ListParagraph"/>
        <w:numPr>
          <w:ilvl w:val="3"/>
          <w:numId w:val="8"/>
        </w:numPr>
        <w:tabs>
          <w:tab w:val="left" w:pos="2879"/>
        </w:tabs>
        <w:spacing w:before="160"/>
        <w:ind w:left="2878" w:hanging="721"/>
        <w:rPr>
          <w:sz w:val="24"/>
        </w:rPr>
      </w:pPr>
      <w:r>
        <w:rPr>
          <w:rFonts w:hint="eastAsia"/>
          <w:sz w:val="24"/>
        </w:rPr>
        <w:t>《国务院关于加强应急管理工作的意见》（国发</w:t>
      </w:r>
      <w:r>
        <w:rPr>
          <w:rFonts w:ascii="Times New Roman" w:eastAsia="Times New Roman"/>
          <w:sz w:val="24"/>
        </w:rPr>
        <w:t>[2006[24</w:t>
      </w:r>
      <w:r>
        <w:rPr>
          <w:rFonts w:ascii="Times New Roman" w:eastAsia="Times New Roman"/>
          <w:spacing w:val="-3"/>
          <w:sz w:val="24"/>
        </w:rPr>
        <w:t xml:space="preserve"> </w:t>
      </w:r>
      <w:r>
        <w:rPr>
          <w:rFonts w:hint="eastAsia"/>
          <w:sz w:val="24"/>
        </w:rPr>
        <w:t>号）；</w:t>
      </w:r>
    </w:p>
    <w:p w:rsidR="00B04AE3" w:rsidRDefault="00B04AE3">
      <w:pPr>
        <w:pStyle w:val="ListParagraph"/>
        <w:numPr>
          <w:ilvl w:val="3"/>
          <w:numId w:val="8"/>
        </w:numPr>
        <w:tabs>
          <w:tab w:val="left" w:pos="2879"/>
        </w:tabs>
        <w:spacing w:before="158"/>
        <w:ind w:left="2878" w:hanging="721"/>
        <w:rPr>
          <w:sz w:val="24"/>
        </w:rPr>
      </w:pPr>
      <w:r>
        <w:rPr>
          <w:rFonts w:hint="eastAsia"/>
          <w:sz w:val="24"/>
        </w:rPr>
        <w:t>《国务院关于加强环境保护重点工作的意见》（国发</w:t>
      </w:r>
      <w:r>
        <w:rPr>
          <w:rFonts w:ascii="Times New Roman" w:eastAsia="Times New Roman"/>
          <w:sz w:val="24"/>
        </w:rPr>
        <w:t>[2011]35</w:t>
      </w:r>
      <w:r>
        <w:rPr>
          <w:rFonts w:ascii="Times New Roman" w:eastAsia="Times New Roman"/>
          <w:spacing w:val="-4"/>
          <w:sz w:val="24"/>
        </w:rPr>
        <w:t xml:space="preserve"> </w:t>
      </w:r>
      <w:r>
        <w:rPr>
          <w:rFonts w:hint="eastAsia"/>
          <w:sz w:val="24"/>
        </w:rPr>
        <w:t>号）；</w:t>
      </w:r>
    </w:p>
    <w:p w:rsidR="00B04AE3" w:rsidRDefault="00B04AE3">
      <w:pPr>
        <w:pStyle w:val="ListParagraph"/>
        <w:numPr>
          <w:ilvl w:val="3"/>
          <w:numId w:val="8"/>
        </w:numPr>
        <w:tabs>
          <w:tab w:val="left" w:pos="2879"/>
        </w:tabs>
        <w:spacing w:before="158"/>
        <w:ind w:left="2878" w:hanging="721"/>
        <w:rPr>
          <w:sz w:val="24"/>
        </w:rPr>
      </w:pPr>
      <w:r>
        <w:rPr>
          <w:rFonts w:hint="eastAsia"/>
          <w:sz w:val="24"/>
        </w:rPr>
        <w:t>《突发事件应急预案管理办法》（国办发</w:t>
      </w:r>
      <w:r>
        <w:rPr>
          <w:rFonts w:ascii="Times New Roman" w:eastAsia="Times New Roman"/>
          <w:sz w:val="24"/>
        </w:rPr>
        <w:t>[2013[101</w:t>
      </w:r>
      <w:r>
        <w:rPr>
          <w:rFonts w:ascii="Times New Roman" w:eastAsia="Times New Roman"/>
          <w:spacing w:val="-3"/>
          <w:sz w:val="24"/>
        </w:rPr>
        <w:t xml:space="preserve"> </w:t>
      </w:r>
      <w:r>
        <w:rPr>
          <w:rFonts w:hint="eastAsia"/>
          <w:sz w:val="24"/>
        </w:rPr>
        <w:t>号）；</w:t>
      </w:r>
    </w:p>
    <w:p w:rsidR="00B04AE3" w:rsidRDefault="00B04AE3">
      <w:pPr>
        <w:pStyle w:val="ListParagraph"/>
        <w:numPr>
          <w:ilvl w:val="3"/>
          <w:numId w:val="8"/>
        </w:numPr>
        <w:tabs>
          <w:tab w:val="left" w:pos="2955"/>
        </w:tabs>
        <w:spacing w:before="161"/>
        <w:ind w:left="2954" w:hanging="797"/>
        <w:rPr>
          <w:sz w:val="24"/>
        </w:rPr>
      </w:pPr>
      <w:r>
        <w:rPr>
          <w:rFonts w:hint="eastAsia"/>
          <w:spacing w:val="26"/>
          <w:sz w:val="24"/>
        </w:rPr>
        <w:t>）</w:t>
      </w:r>
      <w:r>
        <w:rPr>
          <w:rFonts w:hint="eastAsia"/>
          <w:spacing w:val="23"/>
          <w:sz w:val="24"/>
        </w:rPr>
        <w:t>《国务院办公厅关于印发国家突发环境事件应急预案的通知》</w:t>
      </w:r>
    </w:p>
    <w:p w:rsidR="00B04AE3" w:rsidRDefault="00B04AE3">
      <w:pPr>
        <w:pStyle w:val="BodyText"/>
        <w:spacing w:before="160"/>
        <w:ind w:left="1797"/>
      </w:pPr>
      <w:r>
        <w:rPr>
          <w:rFonts w:hint="eastAsia"/>
        </w:rPr>
        <w:t>（</w:t>
      </w:r>
      <w:r>
        <w:rPr>
          <w:rFonts w:ascii="Times New Roman" w:eastAsia="Times New Roman"/>
        </w:rPr>
        <w:t xml:space="preserve">2014.12.29 </w:t>
      </w:r>
      <w:r>
        <w:rPr>
          <w:rFonts w:hint="eastAsia"/>
        </w:rPr>
        <w:t>国办函</w:t>
      </w:r>
      <w:r>
        <w:rPr>
          <w:rFonts w:ascii="Times New Roman" w:eastAsia="Times New Roman"/>
        </w:rPr>
        <w:t xml:space="preserve">[2014]119 </w:t>
      </w:r>
      <w:r>
        <w:rPr>
          <w:rFonts w:hint="eastAsia"/>
        </w:rPr>
        <w:t>号）；</w:t>
      </w:r>
    </w:p>
    <w:p w:rsidR="00B04AE3" w:rsidRDefault="00B04AE3">
      <w:pPr>
        <w:pStyle w:val="ListParagraph"/>
        <w:numPr>
          <w:ilvl w:val="3"/>
          <w:numId w:val="8"/>
        </w:numPr>
        <w:tabs>
          <w:tab w:val="left" w:pos="2999"/>
        </w:tabs>
        <w:spacing w:before="158" w:line="364" w:lineRule="auto"/>
        <w:ind w:left="1797" w:right="1795" w:firstLine="480"/>
        <w:rPr>
          <w:sz w:val="24"/>
        </w:rPr>
      </w:pPr>
      <w:r>
        <w:rPr>
          <w:rFonts w:hint="eastAsia"/>
          <w:spacing w:val="-4"/>
          <w:sz w:val="24"/>
        </w:rPr>
        <w:t>《企业事业单位突发环境事件应急预案备案管理办法》</w:t>
      </w:r>
      <w:r>
        <w:rPr>
          <w:rFonts w:hint="eastAsia"/>
          <w:sz w:val="24"/>
        </w:rPr>
        <w:t>（试行</w:t>
      </w:r>
      <w:r>
        <w:rPr>
          <w:rFonts w:hint="eastAsia"/>
          <w:spacing w:val="-16"/>
          <w:sz w:val="24"/>
        </w:rPr>
        <w:t>）（</w:t>
      </w:r>
      <w:r>
        <w:rPr>
          <w:rFonts w:hint="eastAsia"/>
          <w:spacing w:val="-8"/>
          <w:sz w:val="24"/>
        </w:rPr>
        <w:t>环发</w:t>
      </w:r>
      <w:r>
        <w:rPr>
          <w:rFonts w:ascii="Times New Roman" w:eastAsia="Times New Roman"/>
          <w:sz w:val="24"/>
        </w:rPr>
        <w:t>[2015]4</w:t>
      </w:r>
      <w:r>
        <w:rPr>
          <w:rFonts w:ascii="Times New Roman" w:eastAsia="Times New Roman"/>
          <w:spacing w:val="-3"/>
          <w:sz w:val="24"/>
        </w:rPr>
        <w:t xml:space="preserve"> </w:t>
      </w:r>
      <w:r>
        <w:rPr>
          <w:rFonts w:hint="eastAsia"/>
          <w:sz w:val="24"/>
        </w:rPr>
        <w:t>号）；</w:t>
      </w:r>
    </w:p>
    <w:p w:rsidR="00B04AE3" w:rsidRDefault="00B04AE3">
      <w:pPr>
        <w:pStyle w:val="ListParagraph"/>
        <w:numPr>
          <w:ilvl w:val="3"/>
          <w:numId w:val="8"/>
        </w:numPr>
        <w:tabs>
          <w:tab w:val="left" w:pos="2999"/>
        </w:tabs>
        <w:spacing w:line="306" w:lineRule="exact"/>
        <w:ind w:left="2998" w:hanging="721"/>
        <w:rPr>
          <w:sz w:val="24"/>
        </w:rPr>
      </w:pPr>
      <w:r>
        <w:rPr>
          <w:rFonts w:hint="eastAsia"/>
          <w:sz w:val="24"/>
        </w:rPr>
        <w:t>《突发环境事件应急管理办法》（</w:t>
      </w:r>
      <w:r>
        <w:rPr>
          <w:rFonts w:ascii="Times New Roman" w:eastAsia="Times New Roman"/>
          <w:sz w:val="24"/>
        </w:rPr>
        <w:t xml:space="preserve">2015.4.16 </w:t>
      </w:r>
      <w:r>
        <w:rPr>
          <w:rFonts w:hint="eastAsia"/>
          <w:spacing w:val="-10"/>
          <w:sz w:val="24"/>
        </w:rPr>
        <w:t>环保部令第</w:t>
      </w:r>
      <w:r>
        <w:rPr>
          <w:spacing w:val="-10"/>
          <w:sz w:val="24"/>
        </w:rPr>
        <w:t xml:space="preserve"> </w:t>
      </w:r>
      <w:r>
        <w:rPr>
          <w:rFonts w:ascii="Times New Roman" w:eastAsia="Times New Roman"/>
          <w:sz w:val="24"/>
        </w:rPr>
        <w:t xml:space="preserve">34 </w:t>
      </w:r>
      <w:r>
        <w:rPr>
          <w:rFonts w:hint="eastAsia"/>
          <w:sz w:val="24"/>
        </w:rPr>
        <w:t>号）；</w:t>
      </w:r>
    </w:p>
    <w:p w:rsidR="00B04AE3" w:rsidRDefault="00B04AE3">
      <w:pPr>
        <w:pStyle w:val="ListParagraph"/>
        <w:numPr>
          <w:ilvl w:val="3"/>
          <w:numId w:val="8"/>
        </w:numPr>
        <w:tabs>
          <w:tab w:val="left" w:pos="2999"/>
        </w:tabs>
        <w:spacing w:before="161"/>
        <w:ind w:left="2998" w:hanging="721"/>
        <w:rPr>
          <w:sz w:val="24"/>
        </w:rPr>
      </w:pPr>
      <w:r>
        <w:rPr>
          <w:rFonts w:hint="eastAsia"/>
          <w:sz w:val="24"/>
        </w:rPr>
        <w:t>《突发环境事件调查报告办法》（</w:t>
      </w:r>
      <w:r>
        <w:rPr>
          <w:rFonts w:ascii="Times New Roman" w:eastAsia="Times New Roman"/>
          <w:sz w:val="24"/>
        </w:rPr>
        <w:t xml:space="preserve">2015.3.1 </w:t>
      </w:r>
      <w:r>
        <w:rPr>
          <w:rFonts w:hint="eastAsia"/>
          <w:spacing w:val="-10"/>
          <w:sz w:val="24"/>
        </w:rPr>
        <w:t>环保部令第</w:t>
      </w:r>
      <w:r>
        <w:rPr>
          <w:spacing w:val="-10"/>
          <w:sz w:val="24"/>
        </w:rPr>
        <w:t xml:space="preserve"> </w:t>
      </w:r>
      <w:r>
        <w:rPr>
          <w:rFonts w:ascii="Times New Roman" w:eastAsia="Times New Roman"/>
          <w:sz w:val="24"/>
        </w:rPr>
        <w:t xml:space="preserve">32 </w:t>
      </w:r>
      <w:r>
        <w:rPr>
          <w:rFonts w:hint="eastAsia"/>
          <w:sz w:val="24"/>
        </w:rPr>
        <w:t>号）；</w:t>
      </w:r>
    </w:p>
    <w:p w:rsidR="00B04AE3" w:rsidRDefault="00B04AE3">
      <w:pPr>
        <w:pStyle w:val="ListParagraph"/>
        <w:numPr>
          <w:ilvl w:val="3"/>
          <w:numId w:val="8"/>
        </w:numPr>
        <w:tabs>
          <w:tab w:val="left" w:pos="2999"/>
        </w:tabs>
        <w:spacing w:before="158"/>
        <w:ind w:left="2998" w:hanging="721"/>
        <w:rPr>
          <w:rFonts w:ascii="Times New Roman" w:eastAsia="Times New Roman"/>
          <w:sz w:val="24"/>
        </w:rPr>
      </w:pPr>
      <w:r>
        <w:rPr>
          <w:rFonts w:hint="eastAsia"/>
          <w:sz w:val="24"/>
        </w:rPr>
        <w:t>《生产经营单位生产安全事故应急预案编制导则》（</w:t>
      </w:r>
      <w:r>
        <w:rPr>
          <w:rFonts w:ascii="Times New Roman" w:eastAsia="Times New Roman"/>
          <w:sz w:val="24"/>
        </w:rPr>
        <w:t xml:space="preserve">2013 </w:t>
      </w:r>
      <w:r>
        <w:rPr>
          <w:rFonts w:hint="eastAsia"/>
          <w:spacing w:val="-30"/>
          <w:sz w:val="24"/>
        </w:rPr>
        <w:t>年</w:t>
      </w:r>
      <w:r>
        <w:rPr>
          <w:spacing w:val="-30"/>
          <w:sz w:val="24"/>
        </w:rPr>
        <w:t xml:space="preserve"> </w:t>
      </w:r>
      <w:r>
        <w:rPr>
          <w:rFonts w:ascii="Times New Roman" w:eastAsia="Times New Roman"/>
          <w:sz w:val="24"/>
        </w:rPr>
        <w:t xml:space="preserve">10 </w:t>
      </w:r>
      <w:r>
        <w:rPr>
          <w:rFonts w:hint="eastAsia"/>
          <w:spacing w:val="-30"/>
          <w:sz w:val="24"/>
        </w:rPr>
        <w:t>月</w:t>
      </w:r>
      <w:r>
        <w:rPr>
          <w:spacing w:val="-30"/>
          <w:sz w:val="24"/>
        </w:rPr>
        <w:t xml:space="preserve"> </w:t>
      </w:r>
      <w:r>
        <w:rPr>
          <w:rFonts w:ascii="Times New Roman" w:eastAsia="Times New Roman"/>
          <w:sz w:val="24"/>
        </w:rPr>
        <w:t>1</w:t>
      </w:r>
    </w:p>
    <w:p w:rsidR="00B04AE3" w:rsidRDefault="00B04AE3">
      <w:pPr>
        <w:pStyle w:val="BodyText"/>
        <w:spacing w:before="160"/>
        <w:ind w:left="1797"/>
      </w:pPr>
      <w:r>
        <w:rPr>
          <w:rFonts w:hint="eastAsia"/>
        </w:rPr>
        <w:t>日实施）；</w:t>
      </w:r>
    </w:p>
    <w:p w:rsidR="00B04AE3" w:rsidRDefault="00B04AE3">
      <w:pPr>
        <w:pStyle w:val="ListParagraph"/>
        <w:numPr>
          <w:ilvl w:val="3"/>
          <w:numId w:val="8"/>
        </w:numPr>
        <w:tabs>
          <w:tab w:val="left" w:pos="3012"/>
        </w:tabs>
        <w:spacing w:before="159"/>
        <w:ind w:left="3012" w:hanging="735"/>
        <w:rPr>
          <w:sz w:val="24"/>
        </w:rPr>
      </w:pPr>
      <w:r>
        <w:rPr>
          <w:rFonts w:hint="eastAsia"/>
          <w:spacing w:val="4"/>
          <w:sz w:val="24"/>
        </w:rPr>
        <w:t>《企业事业单位突发环境事件应急预案评审工作指南（试行）</w:t>
      </w:r>
      <w:r>
        <w:rPr>
          <w:rFonts w:hint="eastAsia"/>
          <w:spacing w:val="2"/>
          <w:sz w:val="24"/>
        </w:rPr>
        <w:t>》，</w:t>
      </w:r>
    </w:p>
    <w:p w:rsidR="00B04AE3" w:rsidRDefault="00B04AE3">
      <w:pPr>
        <w:pStyle w:val="BodyText"/>
        <w:spacing w:before="160"/>
        <w:ind w:left="1797"/>
      </w:pPr>
      <w:r>
        <w:rPr>
          <w:rFonts w:ascii="Times New Roman" w:eastAsia="Times New Roman"/>
        </w:rPr>
        <w:t>2018.1.30</w:t>
      </w:r>
      <w:r>
        <w:rPr>
          <w:rFonts w:hint="eastAsia"/>
        </w:rPr>
        <w:t>；</w:t>
      </w:r>
    </w:p>
    <w:p w:rsidR="00B04AE3" w:rsidRDefault="00B04AE3">
      <w:pPr>
        <w:pStyle w:val="ListParagraph"/>
        <w:numPr>
          <w:ilvl w:val="3"/>
          <w:numId w:val="8"/>
        </w:numPr>
        <w:tabs>
          <w:tab w:val="left" w:pos="2999"/>
        </w:tabs>
        <w:spacing w:before="158"/>
        <w:ind w:left="2998" w:hanging="721"/>
        <w:rPr>
          <w:sz w:val="24"/>
        </w:rPr>
      </w:pPr>
      <w:r>
        <w:rPr>
          <w:rFonts w:hint="eastAsia"/>
          <w:sz w:val="24"/>
        </w:rPr>
        <w:t>《化学品环境风险防控“十二五”规划》（环发</w:t>
      </w:r>
      <w:r>
        <w:rPr>
          <w:rFonts w:ascii="Times New Roman" w:hAnsi="Times New Roman"/>
          <w:sz w:val="24"/>
        </w:rPr>
        <w:t>[2013]20</w:t>
      </w:r>
      <w:r>
        <w:rPr>
          <w:rFonts w:ascii="Times New Roman" w:hAnsi="Times New Roman"/>
          <w:spacing w:val="-1"/>
          <w:sz w:val="24"/>
        </w:rPr>
        <w:t xml:space="preserve"> </w:t>
      </w:r>
      <w:r>
        <w:rPr>
          <w:rFonts w:hint="eastAsia"/>
          <w:sz w:val="24"/>
        </w:rPr>
        <w:t>号）；</w:t>
      </w:r>
    </w:p>
    <w:p w:rsidR="00B04AE3" w:rsidRDefault="00B04AE3">
      <w:pPr>
        <w:pStyle w:val="ListParagraph"/>
        <w:numPr>
          <w:ilvl w:val="3"/>
          <w:numId w:val="8"/>
        </w:numPr>
        <w:tabs>
          <w:tab w:val="left" w:pos="2999"/>
        </w:tabs>
        <w:spacing w:before="161"/>
        <w:ind w:left="2998" w:hanging="721"/>
        <w:rPr>
          <w:sz w:val="24"/>
        </w:rPr>
      </w:pPr>
      <w:r>
        <w:rPr>
          <w:rFonts w:hint="eastAsia"/>
          <w:sz w:val="24"/>
        </w:rPr>
        <w:t>《重点区域大气污染防治“十二五”规划》</w:t>
      </w:r>
      <w:r>
        <w:rPr>
          <w:rFonts w:ascii="Times New Roman" w:hAnsi="Times New Roman"/>
          <w:sz w:val="24"/>
        </w:rPr>
        <w:t>(2012</w:t>
      </w:r>
      <w:r>
        <w:rPr>
          <w:rFonts w:hint="eastAsia"/>
          <w:sz w:val="24"/>
        </w:rPr>
        <w:t>，环境保护部</w:t>
      </w:r>
      <w:r>
        <w:rPr>
          <w:rFonts w:ascii="Times New Roman" w:hAnsi="Times New Roman"/>
          <w:sz w:val="24"/>
        </w:rPr>
        <w:t>)</w:t>
      </w:r>
      <w:r>
        <w:rPr>
          <w:rFonts w:hint="eastAsia"/>
          <w:sz w:val="24"/>
        </w:rPr>
        <w:t>；</w:t>
      </w:r>
    </w:p>
    <w:p w:rsidR="00B04AE3" w:rsidRDefault="00B04AE3">
      <w:pPr>
        <w:pStyle w:val="BodyText"/>
        <w:spacing w:before="5"/>
        <w:rPr>
          <w:sz w:val="19"/>
        </w:rPr>
      </w:pPr>
    </w:p>
    <w:p w:rsidR="00B04AE3" w:rsidRDefault="00B04AE3">
      <w:pPr>
        <w:pStyle w:val="ListParagraph"/>
        <w:numPr>
          <w:ilvl w:val="2"/>
          <w:numId w:val="8"/>
        </w:numPr>
        <w:tabs>
          <w:tab w:val="left" w:pos="2338"/>
        </w:tabs>
        <w:spacing w:line="306" w:lineRule="exact"/>
        <w:rPr>
          <w:b/>
          <w:sz w:val="24"/>
        </w:rPr>
      </w:pPr>
      <w:bookmarkStart w:id="10" w:name="1.2.2地方法律、法规、规章"/>
      <w:bookmarkEnd w:id="10"/>
      <w:r>
        <w:rPr>
          <w:rFonts w:hint="eastAsia"/>
          <w:b/>
          <w:sz w:val="24"/>
        </w:rPr>
        <w:t>地方法律、法规、规章</w:t>
      </w:r>
    </w:p>
    <w:p w:rsidR="00B04AE3" w:rsidRDefault="00B04AE3">
      <w:pPr>
        <w:pStyle w:val="ListParagraph"/>
        <w:numPr>
          <w:ilvl w:val="0"/>
          <w:numId w:val="9"/>
        </w:numPr>
        <w:tabs>
          <w:tab w:val="left" w:pos="2759"/>
        </w:tabs>
        <w:spacing w:before="160" w:line="362" w:lineRule="auto"/>
        <w:ind w:right="1795" w:firstLine="360"/>
        <w:rPr>
          <w:sz w:val="24"/>
        </w:rPr>
      </w:pPr>
      <w:r>
        <w:rPr>
          <w:rFonts w:hint="eastAsia"/>
          <w:spacing w:val="-1"/>
          <w:sz w:val="24"/>
        </w:rPr>
        <w:t>《江西省突发环境事件应急预案》</w:t>
      </w:r>
      <w:r>
        <w:rPr>
          <w:rFonts w:hint="eastAsia"/>
          <w:sz w:val="24"/>
        </w:rPr>
        <w:t>（江西省人民政府，</w:t>
      </w:r>
      <w:r>
        <w:rPr>
          <w:rFonts w:ascii="Times New Roman" w:eastAsia="Times New Roman"/>
          <w:sz w:val="24"/>
        </w:rPr>
        <w:t>2016.02.02</w:t>
      </w:r>
      <w:r>
        <w:rPr>
          <w:rFonts w:ascii="Times New Roman" w:eastAsia="Times New Roman"/>
          <w:spacing w:val="-7"/>
          <w:sz w:val="24"/>
        </w:rPr>
        <w:t xml:space="preserve"> </w:t>
      </w:r>
      <w:r>
        <w:rPr>
          <w:rFonts w:hint="eastAsia"/>
          <w:spacing w:val="-8"/>
          <w:sz w:val="24"/>
        </w:rPr>
        <w:t>颁布</w:t>
      </w:r>
      <w:r>
        <w:rPr>
          <w:rFonts w:hint="eastAsia"/>
          <w:sz w:val="24"/>
        </w:rPr>
        <w:t>实施）；</w:t>
      </w:r>
    </w:p>
    <w:p w:rsidR="00B04AE3" w:rsidRDefault="00B04AE3">
      <w:pPr>
        <w:pStyle w:val="ListParagraph"/>
        <w:numPr>
          <w:ilvl w:val="0"/>
          <w:numId w:val="9"/>
        </w:numPr>
        <w:tabs>
          <w:tab w:val="left" w:pos="2770"/>
        </w:tabs>
        <w:spacing w:before="5"/>
        <w:ind w:left="2769" w:hanging="612"/>
        <w:rPr>
          <w:rFonts w:ascii="Times New Roman" w:eastAsia="Times New Roman"/>
          <w:sz w:val="24"/>
        </w:rPr>
      </w:pPr>
      <w:r>
        <w:rPr>
          <w:rFonts w:hint="eastAsia"/>
          <w:spacing w:val="4"/>
          <w:sz w:val="24"/>
        </w:rPr>
        <w:t>《江西省突发事件应急预案管理办法》（</w:t>
      </w:r>
      <w:r>
        <w:rPr>
          <w:rFonts w:hint="eastAsia"/>
          <w:spacing w:val="3"/>
          <w:sz w:val="24"/>
        </w:rPr>
        <w:t>江西省人民政府，</w:t>
      </w:r>
      <w:r>
        <w:rPr>
          <w:rFonts w:ascii="Times New Roman" w:eastAsia="Times New Roman"/>
          <w:sz w:val="24"/>
        </w:rPr>
        <w:t>2014</w:t>
      </w:r>
      <w:r>
        <w:rPr>
          <w:rFonts w:ascii="Times New Roman" w:eastAsia="Times New Roman"/>
          <w:spacing w:val="4"/>
          <w:sz w:val="24"/>
        </w:rPr>
        <w:t xml:space="preserve"> </w:t>
      </w:r>
      <w:r>
        <w:rPr>
          <w:rFonts w:hint="eastAsia"/>
          <w:spacing w:val="-28"/>
          <w:sz w:val="24"/>
        </w:rPr>
        <w:t>年</w:t>
      </w:r>
      <w:r>
        <w:rPr>
          <w:spacing w:val="-28"/>
          <w:sz w:val="24"/>
        </w:rPr>
        <w:t xml:space="preserve"> </w:t>
      </w:r>
      <w:r>
        <w:rPr>
          <w:rFonts w:ascii="Times New Roman" w:eastAsia="Times New Roman"/>
          <w:sz w:val="24"/>
        </w:rPr>
        <w:t>1</w:t>
      </w:r>
    </w:p>
    <w:p w:rsidR="00B04AE3" w:rsidRDefault="00B04AE3">
      <w:pPr>
        <w:pStyle w:val="BodyText"/>
        <w:spacing w:before="158"/>
        <w:ind w:left="1797"/>
      </w:pPr>
      <w:r>
        <w:rPr>
          <w:rFonts w:hint="eastAsia"/>
        </w:rPr>
        <w:t>月</w:t>
      </w:r>
      <w:r>
        <w:t xml:space="preserve"> </w:t>
      </w:r>
      <w:r>
        <w:rPr>
          <w:rFonts w:ascii="Times New Roman" w:eastAsia="Times New Roman"/>
        </w:rPr>
        <w:t xml:space="preserve">14 </w:t>
      </w:r>
      <w:r>
        <w:rPr>
          <w:rFonts w:hint="eastAsia"/>
        </w:rPr>
        <w:t>日施行）；</w:t>
      </w:r>
    </w:p>
    <w:p w:rsidR="00B04AE3" w:rsidRDefault="00B04AE3">
      <w:pPr>
        <w:pStyle w:val="ListParagraph"/>
        <w:numPr>
          <w:ilvl w:val="0"/>
          <w:numId w:val="9"/>
        </w:numPr>
        <w:tabs>
          <w:tab w:val="left" w:pos="2772"/>
        </w:tabs>
        <w:spacing w:before="161"/>
        <w:ind w:left="2771" w:hanging="614"/>
        <w:rPr>
          <w:rFonts w:ascii="Times New Roman" w:eastAsia="Times New Roman"/>
          <w:sz w:val="24"/>
        </w:rPr>
      </w:pPr>
      <w:r>
        <w:rPr>
          <w:rFonts w:hint="eastAsia"/>
          <w:spacing w:val="4"/>
          <w:sz w:val="24"/>
        </w:rPr>
        <w:t>《江西省环境污染防治条例》（</w:t>
      </w:r>
      <w:r>
        <w:rPr>
          <w:rFonts w:hint="eastAsia"/>
          <w:spacing w:val="3"/>
          <w:sz w:val="24"/>
        </w:rPr>
        <w:t>江西省人大常委会，</w:t>
      </w:r>
      <w:r>
        <w:rPr>
          <w:rFonts w:ascii="Times New Roman" w:eastAsia="Times New Roman"/>
          <w:sz w:val="24"/>
        </w:rPr>
        <w:t>2009</w:t>
      </w:r>
      <w:r>
        <w:rPr>
          <w:rFonts w:ascii="Times New Roman" w:eastAsia="Times New Roman"/>
          <w:spacing w:val="4"/>
          <w:sz w:val="24"/>
        </w:rPr>
        <w:t xml:space="preserve"> </w:t>
      </w:r>
      <w:r>
        <w:rPr>
          <w:rFonts w:hint="eastAsia"/>
          <w:spacing w:val="-28"/>
          <w:sz w:val="24"/>
        </w:rPr>
        <w:t>年</w:t>
      </w:r>
      <w:r>
        <w:rPr>
          <w:spacing w:val="-28"/>
          <w:sz w:val="24"/>
        </w:rPr>
        <w:t xml:space="preserve"> </w:t>
      </w:r>
      <w:r>
        <w:rPr>
          <w:rFonts w:ascii="Times New Roman" w:eastAsia="Times New Roman"/>
          <w:sz w:val="24"/>
        </w:rPr>
        <w:t>01</w:t>
      </w:r>
      <w:r>
        <w:rPr>
          <w:rFonts w:ascii="Times New Roman" w:eastAsia="Times New Roman"/>
          <w:spacing w:val="7"/>
          <w:sz w:val="24"/>
        </w:rPr>
        <w:t xml:space="preserve"> </w:t>
      </w:r>
      <w:r>
        <w:rPr>
          <w:rFonts w:hint="eastAsia"/>
          <w:spacing w:val="-28"/>
          <w:sz w:val="24"/>
        </w:rPr>
        <w:t>月</w:t>
      </w:r>
      <w:r>
        <w:rPr>
          <w:spacing w:val="-28"/>
          <w:sz w:val="24"/>
        </w:rPr>
        <w:t xml:space="preserve"> </w:t>
      </w:r>
      <w:r>
        <w:rPr>
          <w:rFonts w:ascii="Times New Roman" w:eastAsia="Times New Roman"/>
          <w:sz w:val="24"/>
        </w:rPr>
        <w:t>01</w:t>
      </w:r>
    </w:p>
    <w:p w:rsidR="00B04AE3" w:rsidRDefault="00B04AE3">
      <w:pPr>
        <w:pStyle w:val="BodyText"/>
        <w:spacing w:before="160"/>
        <w:ind w:left="1797"/>
      </w:pPr>
      <w:r>
        <w:rPr>
          <w:rFonts w:hint="eastAsia"/>
        </w:rPr>
        <w:t>日施行）；</w:t>
      </w:r>
    </w:p>
    <w:p w:rsidR="00B04AE3" w:rsidRDefault="00B04AE3">
      <w:pPr>
        <w:pStyle w:val="ListParagraph"/>
        <w:numPr>
          <w:ilvl w:val="0"/>
          <w:numId w:val="9"/>
        </w:numPr>
        <w:tabs>
          <w:tab w:val="left" w:pos="2772"/>
        </w:tabs>
        <w:spacing w:before="158"/>
        <w:ind w:left="2771" w:hanging="614"/>
        <w:rPr>
          <w:rFonts w:ascii="Times New Roman" w:eastAsia="Times New Roman"/>
          <w:sz w:val="24"/>
        </w:rPr>
      </w:pPr>
      <w:r>
        <w:rPr>
          <w:rFonts w:hint="eastAsia"/>
          <w:spacing w:val="4"/>
          <w:sz w:val="24"/>
        </w:rPr>
        <w:t>《江西省突发事件应对条例》（</w:t>
      </w:r>
      <w:r>
        <w:rPr>
          <w:rFonts w:hint="eastAsia"/>
          <w:spacing w:val="3"/>
          <w:sz w:val="24"/>
        </w:rPr>
        <w:t>江西省人大常委会，</w:t>
      </w:r>
      <w:r>
        <w:rPr>
          <w:rFonts w:ascii="Times New Roman" w:eastAsia="Times New Roman"/>
          <w:sz w:val="24"/>
        </w:rPr>
        <w:t>2001</w:t>
      </w:r>
      <w:r>
        <w:rPr>
          <w:rFonts w:ascii="Times New Roman" w:eastAsia="Times New Roman"/>
          <w:spacing w:val="4"/>
          <w:sz w:val="24"/>
        </w:rPr>
        <w:t xml:space="preserve"> </w:t>
      </w:r>
      <w:r>
        <w:rPr>
          <w:rFonts w:hint="eastAsia"/>
          <w:spacing w:val="-28"/>
          <w:sz w:val="24"/>
        </w:rPr>
        <w:t>年</w:t>
      </w:r>
      <w:r>
        <w:rPr>
          <w:spacing w:val="-28"/>
          <w:sz w:val="24"/>
        </w:rPr>
        <w:t xml:space="preserve"> </w:t>
      </w:r>
      <w:r>
        <w:rPr>
          <w:rFonts w:ascii="Times New Roman" w:eastAsia="Times New Roman"/>
          <w:sz w:val="24"/>
        </w:rPr>
        <w:t>12</w:t>
      </w:r>
      <w:r>
        <w:rPr>
          <w:rFonts w:ascii="Times New Roman" w:eastAsia="Times New Roman"/>
          <w:spacing w:val="7"/>
          <w:sz w:val="24"/>
        </w:rPr>
        <w:t xml:space="preserve"> </w:t>
      </w:r>
      <w:r>
        <w:rPr>
          <w:rFonts w:hint="eastAsia"/>
          <w:spacing w:val="-28"/>
          <w:sz w:val="24"/>
        </w:rPr>
        <w:t>月</w:t>
      </w:r>
      <w:r>
        <w:rPr>
          <w:spacing w:val="-28"/>
          <w:sz w:val="24"/>
        </w:rPr>
        <w:t xml:space="preserve"> </w:t>
      </w:r>
      <w:r>
        <w:rPr>
          <w:rFonts w:ascii="Times New Roman" w:eastAsia="Times New Roman"/>
          <w:sz w:val="24"/>
        </w:rPr>
        <w:t>07</w:t>
      </w:r>
    </w:p>
    <w:p w:rsidR="00B04AE3" w:rsidRDefault="00B04AE3">
      <w:pPr>
        <w:pStyle w:val="BodyText"/>
        <w:spacing w:before="159"/>
        <w:ind w:left="1797"/>
      </w:pPr>
      <w:r>
        <w:rPr>
          <w:rFonts w:hint="eastAsia"/>
        </w:rPr>
        <w:t>日施行）；</w:t>
      </w:r>
    </w:p>
    <w:p w:rsidR="00B04AE3" w:rsidRDefault="00B04AE3">
      <w:pPr>
        <w:pStyle w:val="ListParagraph"/>
        <w:numPr>
          <w:ilvl w:val="0"/>
          <w:numId w:val="9"/>
        </w:numPr>
        <w:tabs>
          <w:tab w:val="left" w:pos="2759"/>
        </w:tabs>
        <w:spacing w:before="160" w:line="364" w:lineRule="auto"/>
        <w:ind w:right="1795" w:firstLine="360"/>
        <w:rPr>
          <w:sz w:val="24"/>
        </w:rPr>
      </w:pPr>
      <w:r>
        <w:rPr>
          <w:rFonts w:hint="eastAsia"/>
          <w:spacing w:val="-3"/>
          <w:sz w:val="24"/>
        </w:rPr>
        <w:t>《江西省突发事件预警信息发布管理办法</w:t>
      </w:r>
      <w:r>
        <w:rPr>
          <w:rFonts w:hint="eastAsia"/>
          <w:sz w:val="24"/>
        </w:rPr>
        <w:t>（试行</w:t>
      </w:r>
      <w:r>
        <w:rPr>
          <w:rFonts w:hint="eastAsia"/>
          <w:spacing w:val="-15"/>
          <w:sz w:val="24"/>
        </w:rPr>
        <w:t>）</w:t>
      </w:r>
      <w:r>
        <w:rPr>
          <w:rFonts w:hint="eastAsia"/>
          <w:spacing w:val="-29"/>
          <w:sz w:val="24"/>
        </w:rPr>
        <w:t>》</w:t>
      </w:r>
      <w:r>
        <w:rPr>
          <w:rFonts w:hint="eastAsia"/>
          <w:spacing w:val="-3"/>
          <w:sz w:val="24"/>
        </w:rPr>
        <w:t>（</w:t>
      </w:r>
      <w:r>
        <w:rPr>
          <w:rFonts w:hint="eastAsia"/>
          <w:sz w:val="24"/>
        </w:rPr>
        <w:t>江西省人民政</w:t>
      </w:r>
      <w:r>
        <w:rPr>
          <w:rFonts w:hint="eastAsia"/>
          <w:spacing w:val="-4"/>
          <w:sz w:val="24"/>
        </w:rPr>
        <w:t>府办公厅，</w:t>
      </w:r>
      <w:r>
        <w:rPr>
          <w:rFonts w:ascii="Times New Roman" w:eastAsia="Times New Roman"/>
          <w:sz w:val="24"/>
        </w:rPr>
        <w:t xml:space="preserve">2014 </w:t>
      </w:r>
      <w:r>
        <w:rPr>
          <w:rFonts w:hint="eastAsia"/>
          <w:spacing w:val="-30"/>
          <w:sz w:val="24"/>
        </w:rPr>
        <w:t>年</w:t>
      </w:r>
      <w:r>
        <w:rPr>
          <w:spacing w:val="-30"/>
          <w:sz w:val="24"/>
        </w:rPr>
        <w:t xml:space="preserve"> </w:t>
      </w:r>
      <w:r>
        <w:rPr>
          <w:rFonts w:ascii="Times New Roman" w:eastAsia="Times New Roman"/>
          <w:sz w:val="24"/>
        </w:rPr>
        <w:t xml:space="preserve">3 </w:t>
      </w:r>
      <w:r>
        <w:rPr>
          <w:rFonts w:hint="eastAsia"/>
          <w:spacing w:val="-30"/>
          <w:sz w:val="24"/>
        </w:rPr>
        <w:t>月</w:t>
      </w:r>
      <w:r>
        <w:rPr>
          <w:spacing w:val="-30"/>
          <w:sz w:val="24"/>
        </w:rPr>
        <w:t xml:space="preserve"> </w:t>
      </w:r>
      <w:r>
        <w:rPr>
          <w:rFonts w:ascii="Times New Roman" w:eastAsia="Times New Roman"/>
          <w:sz w:val="24"/>
        </w:rPr>
        <w:t xml:space="preserve">3 </w:t>
      </w:r>
      <w:r>
        <w:rPr>
          <w:rFonts w:hint="eastAsia"/>
          <w:sz w:val="24"/>
        </w:rPr>
        <w:t>日施行）；</w:t>
      </w:r>
    </w:p>
    <w:p w:rsidR="00B04AE3" w:rsidRDefault="00B04AE3">
      <w:pPr>
        <w:pStyle w:val="ListParagraph"/>
        <w:numPr>
          <w:ilvl w:val="0"/>
          <w:numId w:val="9"/>
        </w:numPr>
        <w:tabs>
          <w:tab w:val="left" w:pos="2759"/>
        </w:tabs>
        <w:spacing w:line="306" w:lineRule="exact"/>
        <w:ind w:left="2758"/>
        <w:rPr>
          <w:sz w:val="24"/>
        </w:rPr>
      </w:pPr>
      <w:r>
        <w:rPr>
          <w:rFonts w:hint="eastAsia"/>
          <w:sz w:val="24"/>
        </w:rPr>
        <w:t>《南昌市突发公共事件总体应急预案》（南昌市人民政府办公室）；</w:t>
      </w:r>
    </w:p>
    <w:p w:rsidR="00B04AE3" w:rsidRDefault="00B04AE3">
      <w:pPr>
        <w:pStyle w:val="ListParagraph"/>
        <w:numPr>
          <w:ilvl w:val="0"/>
          <w:numId w:val="9"/>
        </w:numPr>
        <w:tabs>
          <w:tab w:val="left" w:pos="2759"/>
        </w:tabs>
        <w:spacing w:before="161"/>
        <w:ind w:left="2758"/>
        <w:rPr>
          <w:sz w:val="24"/>
        </w:rPr>
      </w:pPr>
      <w:r>
        <w:rPr>
          <w:rFonts w:hint="eastAsia"/>
          <w:sz w:val="24"/>
        </w:rPr>
        <w:t>《南昌市突发环境事件应急预案》（南昌市人民政府办公室）；</w:t>
      </w:r>
    </w:p>
    <w:p w:rsidR="00B04AE3" w:rsidRDefault="00B04AE3">
      <w:pPr>
        <w:pStyle w:val="ListParagraph"/>
        <w:numPr>
          <w:ilvl w:val="2"/>
          <w:numId w:val="8"/>
        </w:numPr>
        <w:tabs>
          <w:tab w:val="left" w:pos="2338"/>
        </w:tabs>
        <w:spacing w:before="158"/>
        <w:rPr>
          <w:b/>
          <w:sz w:val="24"/>
        </w:rPr>
      </w:pPr>
      <w:bookmarkStart w:id="11" w:name="1.2.3技术导则、标准"/>
      <w:bookmarkEnd w:id="11"/>
      <w:r>
        <w:rPr>
          <w:rFonts w:hint="eastAsia"/>
          <w:b/>
          <w:sz w:val="24"/>
        </w:rPr>
        <w:t>技术导则、标准</w:t>
      </w:r>
    </w:p>
    <w:p w:rsidR="00B04AE3" w:rsidRDefault="00B04AE3">
      <w:pPr>
        <w:pStyle w:val="ListParagraph"/>
        <w:numPr>
          <w:ilvl w:val="0"/>
          <w:numId w:val="10"/>
        </w:numPr>
        <w:tabs>
          <w:tab w:val="left" w:pos="2879"/>
        </w:tabs>
        <w:spacing w:before="160"/>
        <w:rPr>
          <w:sz w:val="24"/>
        </w:rPr>
      </w:pPr>
      <w:r>
        <w:rPr>
          <w:rFonts w:hint="eastAsia"/>
          <w:sz w:val="24"/>
        </w:rPr>
        <w:t>《江西省突发环境事件应急预案评估导则（试行）》；</w:t>
      </w:r>
    </w:p>
    <w:p w:rsidR="00B04AE3" w:rsidRDefault="00B04AE3">
      <w:pPr>
        <w:pStyle w:val="ListParagraph"/>
        <w:numPr>
          <w:ilvl w:val="0"/>
          <w:numId w:val="10"/>
        </w:numPr>
        <w:tabs>
          <w:tab w:val="left" w:pos="2879"/>
        </w:tabs>
        <w:spacing w:before="158"/>
        <w:rPr>
          <w:sz w:val="24"/>
        </w:rPr>
      </w:pPr>
      <w:r>
        <w:rPr>
          <w:rFonts w:hint="eastAsia"/>
          <w:sz w:val="24"/>
        </w:rPr>
        <w:t>《建设项目环境风险评价技术导则》</w:t>
      </w:r>
      <w:r>
        <w:rPr>
          <w:rFonts w:ascii="Times New Roman" w:eastAsia="Times New Roman"/>
          <w:spacing w:val="-1"/>
          <w:sz w:val="24"/>
        </w:rPr>
        <w:t xml:space="preserve">( </w:t>
      </w:r>
      <w:r>
        <w:rPr>
          <w:rFonts w:ascii="Times New Roman" w:eastAsia="Times New Roman"/>
          <w:sz w:val="24"/>
        </w:rPr>
        <w:t>HJ/T</w:t>
      </w:r>
      <w:r>
        <w:rPr>
          <w:rFonts w:ascii="Times New Roman" w:eastAsia="Times New Roman"/>
          <w:spacing w:val="-5"/>
          <w:sz w:val="24"/>
        </w:rPr>
        <w:t xml:space="preserve"> </w:t>
      </w:r>
      <w:r>
        <w:rPr>
          <w:rFonts w:ascii="Times New Roman" w:eastAsia="Times New Roman"/>
          <w:sz w:val="24"/>
        </w:rPr>
        <w:t>169-2004)</w:t>
      </w:r>
      <w:r>
        <w:rPr>
          <w:rFonts w:hint="eastAsia"/>
          <w:sz w:val="24"/>
        </w:rPr>
        <w:t>；</w:t>
      </w:r>
    </w:p>
    <w:p w:rsidR="00B04AE3" w:rsidRDefault="00B04AE3">
      <w:pPr>
        <w:pStyle w:val="ListParagraph"/>
        <w:numPr>
          <w:ilvl w:val="0"/>
          <w:numId w:val="10"/>
        </w:numPr>
        <w:tabs>
          <w:tab w:val="left" w:pos="2885"/>
        </w:tabs>
        <w:spacing w:before="161"/>
        <w:ind w:left="2884" w:hanging="607"/>
        <w:rPr>
          <w:rFonts w:ascii="Times New Roman" w:eastAsia="Times New Roman"/>
          <w:sz w:val="24"/>
        </w:rPr>
      </w:pPr>
      <w:r>
        <w:rPr>
          <w:rFonts w:hint="eastAsia"/>
          <w:sz w:val="24"/>
        </w:rPr>
        <w:t>《国家危险废物名录》（</w:t>
      </w:r>
      <w:r>
        <w:rPr>
          <w:rFonts w:hint="eastAsia"/>
          <w:spacing w:val="-4"/>
          <w:sz w:val="24"/>
        </w:rPr>
        <w:t>中华人民共和国环境保护部令第</w:t>
      </w:r>
      <w:r>
        <w:rPr>
          <w:spacing w:val="-4"/>
          <w:sz w:val="24"/>
        </w:rPr>
        <w:t xml:space="preserve"> </w:t>
      </w:r>
      <w:r>
        <w:rPr>
          <w:rFonts w:ascii="Times New Roman" w:eastAsia="Times New Roman"/>
          <w:sz w:val="24"/>
        </w:rPr>
        <w:t>39</w:t>
      </w:r>
      <w:r>
        <w:rPr>
          <w:rFonts w:ascii="Times New Roman" w:eastAsia="Times New Roman"/>
          <w:spacing w:val="3"/>
          <w:sz w:val="24"/>
        </w:rPr>
        <w:t xml:space="preserve"> </w:t>
      </w:r>
      <w:r>
        <w:rPr>
          <w:rFonts w:hint="eastAsia"/>
          <w:spacing w:val="4"/>
          <w:sz w:val="24"/>
        </w:rPr>
        <w:t>号</w:t>
      </w:r>
      <w:r>
        <w:rPr>
          <w:rFonts w:ascii="Times New Roman" w:eastAsia="Times New Roman"/>
          <w:sz w:val="24"/>
        </w:rPr>
        <w:t>,2016</w:t>
      </w:r>
    </w:p>
    <w:p w:rsidR="00B04AE3" w:rsidRDefault="00B04AE3">
      <w:pPr>
        <w:pStyle w:val="BodyText"/>
        <w:spacing w:before="158"/>
        <w:ind w:left="1797"/>
      </w:pPr>
      <w:r>
        <w:rPr>
          <w:rFonts w:hint="eastAsia"/>
        </w:rPr>
        <w:t>年</w:t>
      </w:r>
      <w:r>
        <w:t xml:space="preserve"> </w:t>
      </w:r>
      <w:r>
        <w:rPr>
          <w:rFonts w:ascii="Times New Roman" w:eastAsia="Times New Roman"/>
        </w:rPr>
        <w:t xml:space="preserve">8 </w:t>
      </w:r>
      <w:r>
        <w:rPr>
          <w:rFonts w:hint="eastAsia"/>
        </w:rPr>
        <w:t>月</w:t>
      </w:r>
      <w:r>
        <w:t xml:space="preserve"> </w:t>
      </w:r>
      <w:r>
        <w:rPr>
          <w:rFonts w:ascii="Times New Roman" w:eastAsia="Times New Roman"/>
        </w:rPr>
        <w:t xml:space="preserve">1 </w:t>
      </w:r>
      <w:r>
        <w:rPr>
          <w:rFonts w:hint="eastAsia"/>
        </w:rPr>
        <w:t>日起施行）；</w:t>
      </w:r>
    </w:p>
    <w:p w:rsidR="00B04AE3" w:rsidRDefault="00B04AE3">
      <w:pPr>
        <w:pStyle w:val="BodyText"/>
        <w:numPr>
          <w:ilvl w:val="0"/>
          <w:numId w:val="11"/>
        </w:numPr>
        <w:spacing w:before="160"/>
        <w:ind w:left="2277"/>
      </w:pPr>
      <w:r>
        <w:rPr>
          <w:rFonts w:hint="eastAsia"/>
        </w:rPr>
        <w:t>《危险货物品名表》（</w:t>
      </w:r>
      <w:r>
        <w:rPr>
          <w:rFonts w:ascii="Times New Roman" w:eastAsia="Times New Roman"/>
        </w:rPr>
        <w:t>GB12268-2012</w:t>
      </w:r>
      <w:r>
        <w:rPr>
          <w:rFonts w:hint="eastAsia"/>
        </w:rPr>
        <w:t>）；</w:t>
      </w:r>
    </w:p>
    <w:p w:rsidR="00B04AE3" w:rsidRDefault="00B04AE3">
      <w:pPr>
        <w:pStyle w:val="ListParagraph"/>
        <w:numPr>
          <w:ilvl w:val="0"/>
          <w:numId w:val="12"/>
        </w:numPr>
        <w:tabs>
          <w:tab w:val="left" w:pos="2879"/>
        </w:tabs>
        <w:spacing w:before="159"/>
        <w:rPr>
          <w:sz w:val="24"/>
        </w:rPr>
      </w:pPr>
      <w:r>
        <w:rPr>
          <w:rFonts w:hint="eastAsia"/>
          <w:sz w:val="24"/>
        </w:rPr>
        <w:t>《危险废物鉴别标准腐蚀性鉴别》</w:t>
      </w:r>
      <w:r>
        <w:rPr>
          <w:rFonts w:ascii="Times New Roman" w:eastAsia="Times New Roman"/>
          <w:spacing w:val="-1"/>
          <w:sz w:val="24"/>
        </w:rPr>
        <w:t xml:space="preserve">( </w:t>
      </w:r>
      <w:r>
        <w:rPr>
          <w:rFonts w:ascii="Times New Roman" w:eastAsia="Times New Roman"/>
          <w:sz w:val="24"/>
        </w:rPr>
        <w:t>GB 5085.1-2007)</w:t>
      </w:r>
      <w:r>
        <w:rPr>
          <w:rFonts w:hint="eastAsia"/>
          <w:sz w:val="24"/>
        </w:rPr>
        <w:t>；</w:t>
      </w:r>
    </w:p>
    <w:p w:rsidR="00B04AE3" w:rsidRDefault="00B04AE3">
      <w:pPr>
        <w:pStyle w:val="ListParagraph"/>
        <w:numPr>
          <w:ilvl w:val="0"/>
          <w:numId w:val="12"/>
        </w:numPr>
        <w:tabs>
          <w:tab w:val="left" w:pos="2879"/>
        </w:tabs>
        <w:spacing w:before="160"/>
        <w:rPr>
          <w:sz w:val="24"/>
        </w:rPr>
      </w:pPr>
      <w:r>
        <w:rPr>
          <w:rFonts w:hint="eastAsia"/>
          <w:sz w:val="24"/>
        </w:rPr>
        <w:t>《危险废物鉴别标准急性毒性初筛》</w:t>
      </w:r>
      <w:r>
        <w:rPr>
          <w:rFonts w:ascii="Times New Roman" w:eastAsia="Times New Roman"/>
          <w:spacing w:val="-1"/>
          <w:sz w:val="24"/>
        </w:rPr>
        <w:t xml:space="preserve">( </w:t>
      </w:r>
      <w:r>
        <w:rPr>
          <w:rFonts w:ascii="Times New Roman" w:eastAsia="Times New Roman"/>
          <w:sz w:val="24"/>
        </w:rPr>
        <w:t>GB5085.2-2007)</w:t>
      </w:r>
      <w:r>
        <w:rPr>
          <w:rFonts w:hint="eastAsia"/>
          <w:sz w:val="24"/>
        </w:rPr>
        <w:t>；</w:t>
      </w:r>
    </w:p>
    <w:p w:rsidR="00B04AE3" w:rsidRDefault="00B04AE3">
      <w:pPr>
        <w:pStyle w:val="ListParagraph"/>
        <w:numPr>
          <w:ilvl w:val="0"/>
          <w:numId w:val="12"/>
        </w:numPr>
        <w:tabs>
          <w:tab w:val="left" w:pos="2879"/>
        </w:tabs>
        <w:spacing w:before="161"/>
        <w:rPr>
          <w:sz w:val="24"/>
        </w:rPr>
      </w:pPr>
      <w:r>
        <w:rPr>
          <w:rFonts w:hint="eastAsia"/>
          <w:sz w:val="24"/>
        </w:rPr>
        <w:t>《危险废物鉴别标准浸出毒性鉴别》</w:t>
      </w:r>
      <w:r>
        <w:rPr>
          <w:rFonts w:ascii="Times New Roman" w:eastAsia="Times New Roman"/>
          <w:spacing w:val="-1"/>
          <w:sz w:val="24"/>
        </w:rPr>
        <w:t xml:space="preserve">( </w:t>
      </w:r>
      <w:r>
        <w:rPr>
          <w:rFonts w:ascii="Times New Roman" w:eastAsia="Times New Roman"/>
          <w:sz w:val="24"/>
        </w:rPr>
        <w:t>GB 5085.3-2007)</w:t>
      </w:r>
      <w:r>
        <w:rPr>
          <w:rFonts w:hint="eastAsia"/>
          <w:sz w:val="24"/>
        </w:rPr>
        <w:t>；</w:t>
      </w:r>
    </w:p>
    <w:p w:rsidR="00B04AE3" w:rsidRDefault="00B04AE3">
      <w:pPr>
        <w:pStyle w:val="ListParagraph"/>
        <w:numPr>
          <w:ilvl w:val="0"/>
          <w:numId w:val="12"/>
        </w:numPr>
        <w:tabs>
          <w:tab w:val="left" w:pos="2879"/>
        </w:tabs>
        <w:spacing w:before="158"/>
        <w:rPr>
          <w:sz w:val="24"/>
        </w:rPr>
      </w:pPr>
      <w:r>
        <w:rPr>
          <w:rFonts w:hint="eastAsia"/>
          <w:sz w:val="24"/>
        </w:rPr>
        <w:t>《危险废物鉴别标准易燃性鉴别》</w:t>
      </w:r>
      <w:r>
        <w:rPr>
          <w:rFonts w:ascii="Times New Roman" w:eastAsia="Times New Roman"/>
          <w:sz w:val="24"/>
        </w:rPr>
        <w:t>(GB5085.4-2007)</w:t>
      </w:r>
      <w:r>
        <w:rPr>
          <w:rFonts w:hint="eastAsia"/>
          <w:sz w:val="24"/>
        </w:rPr>
        <w:t>；</w:t>
      </w:r>
    </w:p>
    <w:p w:rsidR="00B04AE3" w:rsidRDefault="00B04AE3">
      <w:pPr>
        <w:pStyle w:val="ListParagraph"/>
        <w:numPr>
          <w:ilvl w:val="0"/>
          <w:numId w:val="12"/>
        </w:numPr>
        <w:tabs>
          <w:tab w:val="left" w:pos="2879"/>
        </w:tabs>
        <w:spacing w:before="158"/>
        <w:rPr>
          <w:sz w:val="24"/>
        </w:rPr>
      </w:pPr>
      <w:r>
        <w:rPr>
          <w:rFonts w:hint="eastAsia"/>
          <w:sz w:val="24"/>
        </w:rPr>
        <w:t>《危险废物鉴别标准反应性鉴别》</w:t>
      </w:r>
      <w:r>
        <w:rPr>
          <w:rFonts w:ascii="Times New Roman" w:eastAsia="Times New Roman"/>
          <w:spacing w:val="-1"/>
          <w:sz w:val="24"/>
        </w:rPr>
        <w:t xml:space="preserve">( </w:t>
      </w:r>
      <w:r>
        <w:rPr>
          <w:rFonts w:ascii="Times New Roman" w:eastAsia="Times New Roman"/>
          <w:sz w:val="24"/>
        </w:rPr>
        <w:t>GB 5085.5-2007)</w:t>
      </w:r>
      <w:r>
        <w:rPr>
          <w:rFonts w:hint="eastAsia"/>
          <w:sz w:val="24"/>
        </w:rPr>
        <w:t>；</w:t>
      </w:r>
    </w:p>
    <w:p w:rsidR="00B04AE3" w:rsidRDefault="00B04AE3">
      <w:pPr>
        <w:pStyle w:val="ListParagraph"/>
        <w:numPr>
          <w:ilvl w:val="0"/>
          <w:numId w:val="12"/>
        </w:numPr>
        <w:tabs>
          <w:tab w:val="left" w:pos="2999"/>
        </w:tabs>
        <w:spacing w:before="160"/>
        <w:ind w:left="2998" w:hanging="721"/>
        <w:rPr>
          <w:sz w:val="24"/>
        </w:rPr>
      </w:pPr>
      <w:r>
        <w:rPr>
          <w:rFonts w:hint="eastAsia"/>
          <w:sz w:val="24"/>
        </w:rPr>
        <w:t>《危险废物鉴别标准毒性物质含量鉴别》</w:t>
      </w:r>
      <w:r>
        <w:rPr>
          <w:rFonts w:ascii="Times New Roman" w:eastAsia="Times New Roman"/>
          <w:spacing w:val="-1"/>
          <w:sz w:val="24"/>
        </w:rPr>
        <w:t xml:space="preserve">( </w:t>
      </w:r>
      <w:r>
        <w:rPr>
          <w:rFonts w:ascii="Times New Roman" w:eastAsia="Times New Roman"/>
          <w:sz w:val="24"/>
        </w:rPr>
        <w:t>GB 5085.6-2007)</w:t>
      </w:r>
      <w:r>
        <w:rPr>
          <w:rFonts w:hint="eastAsia"/>
          <w:sz w:val="24"/>
        </w:rPr>
        <w:t>；</w:t>
      </w:r>
    </w:p>
    <w:p w:rsidR="00B04AE3" w:rsidRDefault="00B04AE3">
      <w:pPr>
        <w:pStyle w:val="ListParagraph"/>
        <w:numPr>
          <w:ilvl w:val="0"/>
          <w:numId w:val="12"/>
        </w:numPr>
        <w:tabs>
          <w:tab w:val="left" w:pos="2989"/>
        </w:tabs>
        <w:spacing w:before="158"/>
        <w:ind w:left="2989" w:hanging="712"/>
        <w:rPr>
          <w:sz w:val="24"/>
        </w:rPr>
      </w:pPr>
      <w:r>
        <w:rPr>
          <w:rFonts w:hint="eastAsia"/>
          <w:sz w:val="24"/>
        </w:rPr>
        <w:t>《危险废物鉴别标准通则》</w:t>
      </w:r>
      <w:r>
        <w:rPr>
          <w:rFonts w:ascii="Times New Roman" w:eastAsia="Times New Roman"/>
          <w:spacing w:val="-1"/>
          <w:sz w:val="24"/>
        </w:rPr>
        <w:t xml:space="preserve">( </w:t>
      </w:r>
      <w:r>
        <w:rPr>
          <w:rFonts w:ascii="Times New Roman" w:eastAsia="Times New Roman"/>
          <w:sz w:val="24"/>
        </w:rPr>
        <w:t>GB 5085.7-2007)</w:t>
      </w:r>
      <w:r>
        <w:rPr>
          <w:rFonts w:hint="eastAsia"/>
          <w:sz w:val="24"/>
        </w:rPr>
        <w:t>；</w:t>
      </w:r>
    </w:p>
    <w:p w:rsidR="00B04AE3" w:rsidRDefault="00B04AE3">
      <w:pPr>
        <w:pStyle w:val="ListParagraph"/>
        <w:numPr>
          <w:ilvl w:val="0"/>
          <w:numId w:val="12"/>
        </w:numPr>
        <w:tabs>
          <w:tab w:val="left" w:pos="2999"/>
        </w:tabs>
        <w:spacing w:before="161"/>
        <w:ind w:left="2998" w:hanging="721"/>
        <w:rPr>
          <w:sz w:val="24"/>
        </w:rPr>
      </w:pPr>
      <w:r>
        <w:rPr>
          <w:rFonts w:hint="eastAsia"/>
          <w:sz w:val="24"/>
        </w:rPr>
        <w:t>《危险废物鉴别技术规范》</w:t>
      </w:r>
      <w:r>
        <w:rPr>
          <w:rFonts w:ascii="Times New Roman" w:eastAsia="Times New Roman"/>
          <w:sz w:val="24"/>
        </w:rPr>
        <w:t>(HJ/T298-2007)</w:t>
      </w:r>
      <w:r>
        <w:rPr>
          <w:rFonts w:hint="eastAsia"/>
          <w:sz w:val="24"/>
        </w:rPr>
        <w:t>；</w:t>
      </w:r>
    </w:p>
    <w:p w:rsidR="00B04AE3" w:rsidRDefault="00B04AE3">
      <w:pPr>
        <w:pStyle w:val="ListParagraph"/>
        <w:numPr>
          <w:ilvl w:val="0"/>
          <w:numId w:val="12"/>
        </w:numPr>
        <w:tabs>
          <w:tab w:val="left" w:pos="2999"/>
        </w:tabs>
        <w:spacing w:before="160"/>
        <w:ind w:left="2998" w:hanging="721"/>
        <w:rPr>
          <w:sz w:val="24"/>
        </w:rPr>
      </w:pPr>
      <w:r>
        <w:rPr>
          <w:rFonts w:hint="eastAsia"/>
          <w:sz w:val="24"/>
        </w:rPr>
        <w:t>《危险化学品重大危险源辨识》</w:t>
      </w:r>
      <w:r>
        <w:rPr>
          <w:rFonts w:ascii="Times New Roman" w:eastAsia="Times New Roman"/>
          <w:sz w:val="24"/>
        </w:rPr>
        <w:t>(GB18218-2009)</w:t>
      </w:r>
      <w:r>
        <w:rPr>
          <w:rFonts w:hint="eastAsia"/>
          <w:sz w:val="24"/>
        </w:rPr>
        <w:t>；</w:t>
      </w:r>
    </w:p>
    <w:p w:rsidR="00B04AE3" w:rsidRDefault="00B04AE3">
      <w:pPr>
        <w:pStyle w:val="ListParagraph"/>
        <w:numPr>
          <w:ilvl w:val="0"/>
          <w:numId w:val="12"/>
        </w:numPr>
        <w:tabs>
          <w:tab w:val="left" w:pos="2999"/>
        </w:tabs>
        <w:spacing w:before="74"/>
        <w:ind w:left="2998" w:hanging="721"/>
        <w:rPr>
          <w:sz w:val="24"/>
        </w:rPr>
      </w:pPr>
      <w:r>
        <w:rPr>
          <w:rFonts w:hint="eastAsia"/>
          <w:sz w:val="24"/>
        </w:rPr>
        <w:t>《环境空气质量标准》（</w:t>
      </w:r>
      <w:r>
        <w:rPr>
          <w:rFonts w:ascii="Times New Roman" w:eastAsia="Times New Roman"/>
          <w:sz w:val="24"/>
        </w:rPr>
        <w:t>GB3095-2012</w:t>
      </w:r>
      <w:r>
        <w:rPr>
          <w:rFonts w:hint="eastAsia"/>
          <w:sz w:val="24"/>
        </w:rPr>
        <w:t>）；</w:t>
      </w:r>
    </w:p>
    <w:p w:rsidR="00B04AE3" w:rsidRDefault="00B04AE3">
      <w:pPr>
        <w:pStyle w:val="ListParagraph"/>
        <w:numPr>
          <w:ilvl w:val="0"/>
          <w:numId w:val="12"/>
        </w:numPr>
        <w:tabs>
          <w:tab w:val="left" w:pos="2999"/>
        </w:tabs>
        <w:spacing w:before="160"/>
        <w:ind w:left="2998" w:hanging="721"/>
        <w:rPr>
          <w:sz w:val="24"/>
        </w:rPr>
      </w:pPr>
      <w:r>
        <w:rPr>
          <w:rFonts w:hint="eastAsia"/>
          <w:sz w:val="24"/>
        </w:rPr>
        <w:t>《地表水环境质量标准》（</w:t>
      </w:r>
      <w:r>
        <w:rPr>
          <w:rFonts w:ascii="Times New Roman" w:eastAsia="Times New Roman"/>
          <w:sz w:val="24"/>
        </w:rPr>
        <w:t>GB3838-2002</w:t>
      </w:r>
      <w:r>
        <w:rPr>
          <w:rFonts w:hint="eastAsia"/>
          <w:sz w:val="24"/>
        </w:rPr>
        <w:t>）；</w:t>
      </w:r>
    </w:p>
    <w:p w:rsidR="00B04AE3" w:rsidRDefault="00B04AE3">
      <w:pPr>
        <w:pStyle w:val="ListParagraph"/>
        <w:numPr>
          <w:ilvl w:val="0"/>
          <w:numId w:val="12"/>
        </w:numPr>
        <w:tabs>
          <w:tab w:val="left" w:pos="2999"/>
        </w:tabs>
        <w:spacing w:before="158"/>
        <w:ind w:left="2998" w:hanging="721"/>
        <w:rPr>
          <w:sz w:val="24"/>
        </w:rPr>
      </w:pPr>
      <w:r>
        <w:rPr>
          <w:rFonts w:hint="eastAsia"/>
          <w:sz w:val="24"/>
        </w:rPr>
        <w:t>《工业企业设计卫生标准》</w:t>
      </w:r>
      <w:r>
        <w:rPr>
          <w:rFonts w:ascii="Times New Roman" w:eastAsia="Times New Roman"/>
          <w:sz w:val="24"/>
        </w:rPr>
        <w:t>(TJ36-79)</w:t>
      </w:r>
      <w:r>
        <w:rPr>
          <w:rFonts w:hint="eastAsia"/>
          <w:sz w:val="24"/>
        </w:rPr>
        <w:t>；</w:t>
      </w:r>
    </w:p>
    <w:p w:rsidR="00B04AE3" w:rsidRDefault="00B04AE3">
      <w:pPr>
        <w:pStyle w:val="ListParagraph"/>
        <w:numPr>
          <w:ilvl w:val="0"/>
          <w:numId w:val="12"/>
        </w:numPr>
        <w:tabs>
          <w:tab w:val="left" w:pos="2999"/>
        </w:tabs>
        <w:spacing w:before="161"/>
        <w:ind w:left="2998" w:hanging="721"/>
        <w:rPr>
          <w:sz w:val="24"/>
        </w:rPr>
      </w:pPr>
      <w:r>
        <w:rPr>
          <w:rFonts w:hint="eastAsia"/>
          <w:sz w:val="24"/>
        </w:rPr>
        <w:t>《地下水质量标准》</w:t>
      </w:r>
      <w:r>
        <w:rPr>
          <w:rFonts w:ascii="Times New Roman" w:eastAsia="Times New Roman"/>
          <w:sz w:val="24"/>
        </w:rPr>
        <w:t>(GB/T14848-</w:t>
      </w:r>
      <w:r>
        <w:rPr>
          <w:rFonts w:ascii="Times New Roman"/>
          <w:sz w:val="24"/>
          <w:lang w:val="en-US"/>
        </w:rPr>
        <w:t>2017</w:t>
      </w:r>
      <w:r>
        <w:rPr>
          <w:rFonts w:ascii="Times New Roman" w:eastAsia="Times New Roman"/>
          <w:sz w:val="24"/>
        </w:rPr>
        <w:t>)</w:t>
      </w:r>
      <w:r>
        <w:rPr>
          <w:rFonts w:hint="eastAsia"/>
          <w:sz w:val="24"/>
        </w:rPr>
        <w:t>；</w:t>
      </w:r>
    </w:p>
    <w:p w:rsidR="00B04AE3" w:rsidRDefault="00B04AE3">
      <w:pPr>
        <w:pStyle w:val="BodyText"/>
        <w:spacing w:before="158"/>
        <w:ind w:left="2277"/>
      </w:pPr>
      <w:r>
        <w:rPr>
          <w:rFonts w:hint="eastAsia"/>
        </w:rPr>
        <w:t>（</w:t>
      </w:r>
      <w:r>
        <w:rPr>
          <w:rFonts w:ascii="Times New Roman" w:eastAsia="Times New Roman"/>
        </w:rPr>
        <w:t>18</w:t>
      </w:r>
      <w:r>
        <w:rPr>
          <w:rFonts w:hint="eastAsia"/>
        </w:rPr>
        <w:t>）《声环境质量标准》（</w:t>
      </w:r>
      <w:r>
        <w:rPr>
          <w:rFonts w:ascii="Times New Roman" w:eastAsia="Times New Roman"/>
        </w:rPr>
        <w:t>GB3096-2008</w:t>
      </w:r>
      <w:r>
        <w:rPr>
          <w:rFonts w:hint="eastAsia"/>
        </w:rPr>
        <w:t>）；</w:t>
      </w:r>
    </w:p>
    <w:p w:rsidR="00B04AE3" w:rsidRDefault="00B04AE3">
      <w:pPr>
        <w:pStyle w:val="ListParagraph"/>
        <w:numPr>
          <w:ilvl w:val="0"/>
          <w:numId w:val="13"/>
        </w:numPr>
        <w:tabs>
          <w:tab w:val="left" w:pos="2999"/>
        </w:tabs>
        <w:spacing w:before="161"/>
        <w:rPr>
          <w:sz w:val="24"/>
        </w:rPr>
      </w:pPr>
      <w:r>
        <w:rPr>
          <w:rFonts w:hint="eastAsia"/>
          <w:sz w:val="24"/>
        </w:rPr>
        <w:t>《大气污染物综合排放标准》（</w:t>
      </w:r>
      <w:r>
        <w:rPr>
          <w:rFonts w:ascii="Times New Roman" w:eastAsia="Times New Roman"/>
          <w:sz w:val="24"/>
        </w:rPr>
        <w:t>GB16297-1996</w:t>
      </w:r>
      <w:r>
        <w:rPr>
          <w:rFonts w:hint="eastAsia"/>
          <w:sz w:val="24"/>
        </w:rPr>
        <w:t>）；</w:t>
      </w:r>
    </w:p>
    <w:p w:rsidR="00B04AE3" w:rsidRDefault="00B04AE3">
      <w:pPr>
        <w:pStyle w:val="ListParagraph"/>
        <w:numPr>
          <w:ilvl w:val="0"/>
          <w:numId w:val="13"/>
        </w:numPr>
        <w:tabs>
          <w:tab w:val="left" w:pos="2999"/>
        </w:tabs>
        <w:spacing w:before="158"/>
        <w:rPr>
          <w:sz w:val="24"/>
        </w:rPr>
      </w:pPr>
      <w:r>
        <w:rPr>
          <w:rFonts w:hint="eastAsia"/>
          <w:sz w:val="24"/>
        </w:rPr>
        <w:t>《工业企业厂界环境噪声排放标准》（</w:t>
      </w:r>
      <w:r>
        <w:rPr>
          <w:rFonts w:ascii="Times New Roman" w:eastAsia="Times New Roman"/>
          <w:sz w:val="24"/>
        </w:rPr>
        <w:t>GB12348-2008</w:t>
      </w:r>
      <w:r>
        <w:rPr>
          <w:rFonts w:hint="eastAsia"/>
          <w:sz w:val="24"/>
        </w:rPr>
        <w:t>）；</w:t>
      </w:r>
    </w:p>
    <w:p w:rsidR="00B04AE3" w:rsidRDefault="00B04AE3">
      <w:pPr>
        <w:pStyle w:val="ListParagraph"/>
        <w:numPr>
          <w:ilvl w:val="0"/>
          <w:numId w:val="13"/>
        </w:numPr>
        <w:tabs>
          <w:tab w:val="left" w:pos="2997"/>
        </w:tabs>
        <w:spacing w:before="160" w:line="364" w:lineRule="auto"/>
        <w:ind w:left="2875" w:right="1670" w:hanging="600"/>
        <w:rPr>
          <w:sz w:val="24"/>
        </w:rPr>
      </w:pPr>
      <w:r>
        <w:rPr>
          <w:rFonts w:hint="eastAsia"/>
          <w:spacing w:val="-4"/>
          <w:sz w:val="24"/>
        </w:rPr>
        <w:t>《一般工业固体废物贮存、处置场污染控制标准》</w:t>
      </w:r>
      <w:r>
        <w:rPr>
          <w:rFonts w:hint="eastAsia"/>
          <w:sz w:val="24"/>
        </w:rPr>
        <w:t>（</w:t>
      </w:r>
      <w:r>
        <w:rPr>
          <w:rFonts w:ascii="Times New Roman" w:eastAsia="Times New Roman"/>
          <w:sz w:val="24"/>
        </w:rPr>
        <w:t>GB18599-2001</w:t>
      </w:r>
      <w:r>
        <w:rPr>
          <w:rFonts w:hint="eastAsia"/>
          <w:sz w:val="24"/>
        </w:rPr>
        <w:t>）</w:t>
      </w:r>
      <w:r>
        <w:rPr>
          <w:sz w:val="24"/>
        </w:rPr>
        <w:t xml:space="preserve"> </w:t>
      </w:r>
      <w:r>
        <w:rPr>
          <w:rFonts w:hint="eastAsia"/>
          <w:sz w:val="24"/>
        </w:rPr>
        <w:t>及修改单要求；</w:t>
      </w:r>
    </w:p>
    <w:p w:rsidR="00B04AE3" w:rsidRDefault="00B04AE3">
      <w:pPr>
        <w:pStyle w:val="ListParagraph"/>
        <w:numPr>
          <w:ilvl w:val="0"/>
          <w:numId w:val="13"/>
        </w:numPr>
        <w:tabs>
          <w:tab w:val="left" w:pos="2999"/>
        </w:tabs>
        <w:spacing w:line="306" w:lineRule="exact"/>
        <w:rPr>
          <w:sz w:val="24"/>
        </w:rPr>
      </w:pPr>
      <w:r>
        <w:rPr>
          <w:rFonts w:hint="eastAsia"/>
          <w:sz w:val="24"/>
        </w:rPr>
        <w:t>《危险废物贮存污染控制标准》（</w:t>
      </w:r>
      <w:r>
        <w:rPr>
          <w:rFonts w:ascii="Times New Roman" w:eastAsia="Times New Roman"/>
          <w:sz w:val="24"/>
        </w:rPr>
        <w:t>GB18597-2001</w:t>
      </w:r>
      <w:r>
        <w:rPr>
          <w:rFonts w:hint="eastAsia"/>
          <w:sz w:val="24"/>
        </w:rPr>
        <w:t>）及修改单要求。</w:t>
      </w:r>
    </w:p>
    <w:p w:rsidR="00B04AE3" w:rsidRDefault="00B04AE3">
      <w:pPr>
        <w:pStyle w:val="ListParagraph"/>
        <w:numPr>
          <w:ilvl w:val="0"/>
          <w:numId w:val="13"/>
        </w:numPr>
        <w:tabs>
          <w:tab w:val="left" w:pos="2999"/>
        </w:tabs>
        <w:spacing w:before="158"/>
        <w:rPr>
          <w:sz w:val="24"/>
        </w:rPr>
      </w:pPr>
      <w:r>
        <w:rPr>
          <w:rFonts w:hint="eastAsia"/>
          <w:sz w:val="24"/>
        </w:rPr>
        <w:t>《工作场所有害因素职业接触限值》（</w:t>
      </w:r>
      <w:r>
        <w:rPr>
          <w:rFonts w:ascii="Times New Roman" w:eastAsia="Times New Roman"/>
          <w:sz w:val="24"/>
        </w:rPr>
        <w:t>GBZ2.2-2007</w:t>
      </w:r>
      <w:r>
        <w:rPr>
          <w:rFonts w:hint="eastAsia"/>
          <w:sz w:val="24"/>
        </w:rPr>
        <w:t>）；</w:t>
      </w:r>
    </w:p>
    <w:p w:rsidR="00B04AE3" w:rsidRDefault="00B04AE3">
      <w:pPr>
        <w:pStyle w:val="ListParagraph"/>
        <w:numPr>
          <w:ilvl w:val="0"/>
          <w:numId w:val="13"/>
        </w:numPr>
        <w:tabs>
          <w:tab w:val="left" w:pos="2999"/>
        </w:tabs>
        <w:spacing w:before="161"/>
        <w:rPr>
          <w:sz w:val="24"/>
        </w:rPr>
      </w:pPr>
      <w:r>
        <w:rPr>
          <w:rFonts w:hint="eastAsia"/>
          <w:sz w:val="24"/>
        </w:rPr>
        <w:t>《危险化学品名录（</w:t>
      </w:r>
      <w:r>
        <w:rPr>
          <w:rFonts w:ascii="Times New Roman" w:eastAsia="Times New Roman"/>
          <w:sz w:val="24"/>
        </w:rPr>
        <w:t xml:space="preserve">2015 </w:t>
      </w:r>
      <w:r>
        <w:rPr>
          <w:rFonts w:hint="eastAsia"/>
          <w:sz w:val="24"/>
        </w:rPr>
        <w:t>版）》（</w:t>
      </w:r>
      <w:r>
        <w:rPr>
          <w:rFonts w:ascii="Times New Roman" w:eastAsia="Times New Roman"/>
          <w:sz w:val="24"/>
        </w:rPr>
        <w:t xml:space="preserve">2015 </w:t>
      </w:r>
      <w:r>
        <w:rPr>
          <w:rFonts w:hint="eastAsia"/>
          <w:spacing w:val="-30"/>
          <w:sz w:val="24"/>
        </w:rPr>
        <w:t>年</w:t>
      </w:r>
      <w:r>
        <w:rPr>
          <w:spacing w:val="-30"/>
          <w:sz w:val="24"/>
        </w:rPr>
        <w:t xml:space="preserve"> </w:t>
      </w:r>
      <w:r>
        <w:rPr>
          <w:rFonts w:ascii="Times New Roman" w:eastAsia="Times New Roman"/>
          <w:sz w:val="24"/>
        </w:rPr>
        <w:t xml:space="preserve">5 </w:t>
      </w:r>
      <w:r>
        <w:rPr>
          <w:rFonts w:hint="eastAsia"/>
          <w:spacing w:val="-30"/>
          <w:sz w:val="24"/>
        </w:rPr>
        <w:t>月</w:t>
      </w:r>
      <w:r>
        <w:rPr>
          <w:spacing w:val="-30"/>
          <w:sz w:val="24"/>
        </w:rPr>
        <w:t xml:space="preserve"> </w:t>
      </w:r>
      <w:r>
        <w:rPr>
          <w:rFonts w:ascii="Times New Roman" w:eastAsia="Times New Roman"/>
          <w:sz w:val="24"/>
        </w:rPr>
        <w:t xml:space="preserve">1 </w:t>
      </w:r>
      <w:r>
        <w:rPr>
          <w:rFonts w:hint="eastAsia"/>
          <w:sz w:val="24"/>
        </w:rPr>
        <w:t>日起实施）；</w:t>
      </w:r>
    </w:p>
    <w:p w:rsidR="00B04AE3" w:rsidRDefault="00B04AE3">
      <w:pPr>
        <w:pStyle w:val="ListParagraph"/>
        <w:numPr>
          <w:ilvl w:val="0"/>
          <w:numId w:val="13"/>
        </w:numPr>
        <w:tabs>
          <w:tab w:val="left" w:pos="2999"/>
        </w:tabs>
        <w:spacing w:before="160"/>
        <w:rPr>
          <w:rFonts w:ascii="Times New Roman" w:eastAsia="Times New Roman"/>
          <w:sz w:val="24"/>
        </w:rPr>
      </w:pPr>
      <w:r>
        <w:rPr>
          <w:rFonts w:hint="eastAsia"/>
          <w:spacing w:val="-2"/>
          <w:sz w:val="24"/>
        </w:rPr>
        <w:t>《突发环境事件应急监测技术规范》</w:t>
      </w:r>
      <w:r>
        <w:rPr>
          <w:rFonts w:hint="eastAsia"/>
          <w:sz w:val="24"/>
        </w:rPr>
        <w:t>（</w:t>
      </w:r>
      <w:r>
        <w:rPr>
          <w:rFonts w:ascii="Times New Roman" w:eastAsia="Times New Roman"/>
          <w:sz w:val="24"/>
        </w:rPr>
        <w:t>HJ589-2010</w:t>
      </w:r>
      <w:r>
        <w:rPr>
          <w:rFonts w:hint="eastAsia"/>
          <w:sz w:val="24"/>
        </w:rPr>
        <w:t>）（</w:t>
      </w:r>
      <w:r>
        <w:rPr>
          <w:rFonts w:ascii="Times New Roman" w:eastAsia="Times New Roman"/>
          <w:sz w:val="24"/>
        </w:rPr>
        <w:t>2011</w:t>
      </w:r>
      <w:r>
        <w:rPr>
          <w:rFonts w:ascii="Times New Roman" w:eastAsia="Times New Roman"/>
          <w:spacing w:val="-6"/>
          <w:sz w:val="24"/>
        </w:rPr>
        <w:t xml:space="preserve"> </w:t>
      </w:r>
      <w:r>
        <w:rPr>
          <w:rFonts w:hint="eastAsia"/>
          <w:spacing w:val="-31"/>
          <w:sz w:val="24"/>
        </w:rPr>
        <w:t>年</w:t>
      </w:r>
      <w:r>
        <w:rPr>
          <w:spacing w:val="-31"/>
          <w:sz w:val="24"/>
        </w:rPr>
        <w:t xml:space="preserve"> </w:t>
      </w:r>
      <w:r>
        <w:rPr>
          <w:rFonts w:ascii="Times New Roman" w:eastAsia="Times New Roman"/>
          <w:sz w:val="24"/>
        </w:rPr>
        <w:t>1</w:t>
      </w:r>
      <w:r>
        <w:rPr>
          <w:rFonts w:ascii="Times New Roman" w:eastAsia="Times New Roman"/>
          <w:spacing w:val="-1"/>
          <w:sz w:val="24"/>
        </w:rPr>
        <w:t xml:space="preserve"> </w:t>
      </w:r>
      <w:r>
        <w:rPr>
          <w:rFonts w:hint="eastAsia"/>
          <w:spacing w:val="-30"/>
          <w:sz w:val="24"/>
        </w:rPr>
        <w:t>月</w:t>
      </w:r>
      <w:r>
        <w:rPr>
          <w:spacing w:val="-30"/>
          <w:sz w:val="24"/>
        </w:rPr>
        <w:t xml:space="preserve"> </w:t>
      </w:r>
      <w:r>
        <w:rPr>
          <w:rFonts w:ascii="Times New Roman" w:eastAsia="Times New Roman"/>
          <w:sz w:val="24"/>
        </w:rPr>
        <w:t>1</w:t>
      </w:r>
    </w:p>
    <w:p w:rsidR="00B04AE3" w:rsidRDefault="00B04AE3">
      <w:pPr>
        <w:pStyle w:val="BodyText"/>
        <w:spacing w:before="158"/>
        <w:ind w:left="1797"/>
      </w:pPr>
      <w:r>
        <w:rPr>
          <w:rFonts w:hint="eastAsia"/>
        </w:rPr>
        <w:t>日起实施）；</w:t>
      </w:r>
    </w:p>
    <w:p w:rsidR="00B04AE3" w:rsidRDefault="00B04AE3">
      <w:pPr>
        <w:pStyle w:val="ListParagraph"/>
        <w:numPr>
          <w:ilvl w:val="0"/>
          <w:numId w:val="13"/>
        </w:numPr>
        <w:tabs>
          <w:tab w:val="left" w:pos="2999"/>
        </w:tabs>
        <w:spacing w:before="161"/>
        <w:rPr>
          <w:sz w:val="24"/>
        </w:rPr>
      </w:pPr>
      <w:r>
        <w:rPr>
          <w:rFonts w:hint="eastAsia"/>
          <w:sz w:val="24"/>
        </w:rPr>
        <w:t>《突发环境事件应急监测技术规范》（</w:t>
      </w:r>
      <w:r>
        <w:rPr>
          <w:rFonts w:ascii="Times New Roman" w:eastAsia="Times New Roman"/>
          <w:sz w:val="24"/>
        </w:rPr>
        <w:t>HJ589-2010</w:t>
      </w:r>
      <w:r>
        <w:rPr>
          <w:rFonts w:hint="eastAsia"/>
          <w:sz w:val="24"/>
        </w:rPr>
        <w:t>）；</w:t>
      </w:r>
    </w:p>
    <w:p w:rsidR="00B04AE3" w:rsidRDefault="00B04AE3">
      <w:pPr>
        <w:pStyle w:val="BodyText"/>
        <w:spacing w:before="158"/>
        <w:ind w:left="2277"/>
      </w:pPr>
      <w:r>
        <w:rPr>
          <w:rFonts w:hint="eastAsia"/>
        </w:rPr>
        <w:t>（</w:t>
      </w:r>
      <w:r>
        <w:rPr>
          <w:rFonts w:ascii="Times New Roman" w:eastAsia="Times New Roman"/>
        </w:rPr>
        <w:t>27</w:t>
      </w:r>
      <w:r>
        <w:rPr>
          <w:rFonts w:hint="eastAsia"/>
        </w:rPr>
        <w:t>）《储罐区防火提设计规范》（</w:t>
      </w:r>
      <w:r>
        <w:rPr>
          <w:rFonts w:ascii="Times New Roman" w:eastAsia="Times New Roman"/>
        </w:rPr>
        <w:t>GB50351-2005</w:t>
      </w:r>
      <w:r>
        <w:rPr>
          <w:rFonts w:hint="eastAsia"/>
        </w:rPr>
        <w:t>），</w:t>
      </w:r>
      <w:r>
        <w:rPr>
          <w:rFonts w:ascii="Times New Roman" w:eastAsia="Times New Roman"/>
        </w:rPr>
        <w:t xml:space="preserve">2005.6.1 </w:t>
      </w:r>
      <w:r>
        <w:rPr>
          <w:rFonts w:hint="eastAsia"/>
        </w:rPr>
        <w:t>实施；</w:t>
      </w:r>
    </w:p>
    <w:p w:rsidR="00B04AE3" w:rsidRDefault="00B04AE3">
      <w:pPr>
        <w:pStyle w:val="BodyText"/>
        <w:spacing w:before="160"/>
        <w:ind w:left="2277"/>
      </w:pPr>
      <w:r>
        <w:rPr>
          <w:rFonts w:hint="eastAsia"/>
        </w:rPr>
        <w:t>（</w:t>
      </w:r>
      <w:r>
        <w:rPr>
          <w:rFonts w:ascii="Times New Roman" w:eastAsia="Times New Roman"/>
        </w:rPr>
        <w:t>28</w:t>
      </w:r>
      <w:r>
        <w:rPr>
          <w:rFonts w:hint="eastAsia"/>
          <w:spacing w:val="-56"/>
        </w:rPr>
        <w:t>）</w:t>
      </w:r>
      <w:r>
        <w:rPr>
          <w:rFonts w:hint="eastAsia"/>
          <w:spacing w:val="-9"/>
        </w:rPr>
        <w:t>《化学品分类、警示标签和警示性说明安全规范》</w:t>
      </w:r>
      <w:r>
        <w:rPr>
          <w:rFonts w:hint="eastAsia"/>
        </w:rPr>
        <w:t>（</w:t>
      </w:r>
      <w:r>
        <w:rPr>
          <w:rFonts w:ascii="Times New Roman" w:eastAsia="Times New Roman"/>
          <w:spacing w:val="-1"/>
        </w:rPr>
        <w:t>G</w:t>
      </w:r>
      <w:r>
        <w:rPr>
          <w:rFonts w:ascii="Times New Roman" w:eastAsia="Times New Roman"/>
          <w:spacing w:val="-2"/>
        </w:rPr>
        <w:t>B</w:t>
      </w:r>
      <w:r>
        <w:rPr>
          <w:rFonts w:ascii="Times New Roman" w:eastAsia="Times New Roman"/>
        </w:rPr>
        <w:t>20576</w:t>
      </w:r>
      <w:r>
        <w:rPr>
          <w:rFonts w:ascii="Times New Roman" w:eastAsia="Times New Roman"/>
          <w:spacing w:val="-1"/>
        </w:rPr>
        <w:t>-</w:t>
      </w:r>
      <w:r>
        <w:rPr>
          <w:rFonts w:ascii="Times New Roman" w:eastAsia="Times New Roman"/>
        </w:rPr>
        <w:t>200</w:t>
      </w:r>
      <w:r>
        <w:rPr>
          <w:rFonts w:ascii="Times New Roman" w:eastAsia="Times New Roman"/>
          <w:spacing w:val="2"/>
        </w:rPr>
        <w:t>6</w:t>
      </w:r>
      <w:r>
        <w:rPr>
          <w:rFonts w:hint="eastAsia"/>
          <w:spacing w:val="-120"/>
        </w:rPr>
        <w:t>）</w:t>
      </w:r>
      <w:r>
        <w:rPr>
          <w:rFonts w:hint="eastAsia"/>
        </w:rPr>
        <w:t>，</w:t>
      </w:r>
    </w:p>
    <w:p w:rsidR="00B04AE3" w:rsidRDefault="00B04AE3">
      <w:pPr>
        <w:pStyle w:val="BodyText"/>
        <w:spacing w:before="159"/>
        <w:ind w:left="1797"/>
      </w:pPr>
      <w:r>
        <w:rPr>
          <w:rFonts w:ascii="Times New Roman" w:eastAsia="Times New Roman"/>
        </w:rPr>
        <w:t>2008.1.1</w:t>
      </w:r>
      <w:r>
        <w:rPr>
          <w:rFonts w:hint="eastAsia"/>
        </w:rPr>
        <w:t>。</w:t>
      </w:r>
    </w:p>
    <w:p w:rsidR="00B04AE3" w:rsidRDefault="00B04AE3">
      <w:pPr>
        <w:pStyle w:val="ListParagraph"/>
        <w:numPr>
          <w:ilvl w:val="2"/>
          <w:numId w:val="8"/>
        </w:numPr>
        <w:tabs>
          <w:tab w:val="left" w:pos="2338"/>
        </w:tabs>
        <w:spacing w:before="160"/>
        <w:rPr>
          <w:b/>
          <w:sz w:val="24"/>
        </w:rPr>
      </w:pPr>
      <w:bookmarkStart w:id="12" w:name="1.2.4项目依据"/>
      <w:bookmarkEnd w:id="12"/>
      <w:r>
        <w:rPr>
          <w:rFonts w:hint="eastAsia"/>
          <w:b/>
          <w:sz w:val="24"/>
        </w:rPr>
        <w:t>项目依据</w:t>
      </w:r>
    </w:p>
    <w:p w:rsidR="00B04AE3" w:rsidRDefault="00B04AE3">
      <w:pPr>
        <w:pStyle w:val="ListParagraph"/>
        <w:numPr>
          <w:ilvl w:val="0"/>
          <w:numId w:val="14"/>
        </w:numPr>
        <w:tabs>
          <w:tab w:val="left" w:pos="2496"/>
        </w:tabs>
        <w:spacing w:before="160" w:line="364" w:lineRule="auto"/>
        <w:ind w:right="1792" w:firstLine="480"/>
        <w:jc w:val="both"/>
        <w:rPr>
          <w:spacing w:val="-6"/>
          <w:sz w:val="24"/>
        </w:rPr>
      </w:pPr>
      <w:r>
        <w:rPr>
          <w:rFonts w:hint="eastAsia"/>
          <w:spacing w:val="-6"/>
          <w:sz w:val="24"/>
        </w:rPr>
        <w:t>《南昌海立电器有限公司年产</w:t>
      </w:r>
      <w:r>
        <w:rPr>
          <w:spacing w:val="-6"/>
          <w:sz w:val="24"/>
        </w:rPr>
        <w:t>600</w:t>
      </w:r>
      <w:r>
        <w:rPr>
          <w:rFonts w:hint="eastAsia"/>
          <w:spacing w:val="-6"/>
          <w:sz w:val="24"/>
        </w:rPr>
        <w:t>万台空调压缩机生产线项目环境影响报告书》（南昌大学，南昌市环保局以洪环监督</w:t>
      </w:r>
      <w:r>
        <w:rPr>
          <w:spacing w:val="-6"/>
          <w:sz w:val="24"/>
        </w:rPr>
        <w:t>[2008]094</w:t>
      </w:r>
      <w:r>
        <w:rPr>
          <w:rFonts w:hint="eastAsia"/>
          <w:spacing w:val="-6"/>
          <w:sz w:val="24"/>
        </w:rPr>
        <w:t>号文对项目进行了批复；该项目于</w:t>
      </w:r>
      <w:r>
        <w:rPr>
          <w:spacing w:val="-6"/>
          <w:sz w:val="24"/>
        </w:rPr>
        <w:t>201</w:t>
      </w:r>
      <w:r>
        <w:rPr>
          <w:spacing w:val="-6"/>
          <w:sz w:val="24"/>
          <w:lang w:val="en-US"/>
        </w:rPr>
        <w:t>4</w:t>
      </w:r>
      <w:r>
        <w:rPr>
          <w:rFonts w:hint="eastAsia"/>
          <w:spacing w:val="-6"/>
          <w:sz w:val="24"/>
        </w:rPr>
        <w:t>年</w:t>
      </w:r>
      <w:r>
        <w:rPr>
          <w:spacing w:val="-6"/>
          <w:sz w:val="24"/>
          <w:lang w:val="en-US"/>
        </w:rPr>
        <w:t>10</w:t>
      </w:r>
      <w:r>
        <w:rPr>
          <w:rFonts w:hint="eastAsia"/>
          <w:spacing w:val="-6"/>
          <w:sz w:val="24"/>
        </w:rPr>
        <w:t>月</w:t>
      </w:r>
      <w:r>
        <w:rPr>
          <w:spacing w:val="-6"/>
          <w:sz w:val="24"/>
          <w:lang w:val="en-US"/>
        </w:rPr>
        <w:t>30</w:t>
      </w:r>
      <w:r>
        <w:rPr>
          <w:rFonts w:hint="eastAsia"/>
          <w:spacing w:val="-6"/>
          <w:sz w:val="24"/>
        </w:rPr>
        <w:t>日通过南昌市环境保护局验收，验收文号为洪环评</w:t>
      </w:r>
      <w:r>
        <w:rPr>
          <w:spacing w:val="-6"/>
          <w:sz w:val="24"/>
        </w:rPr>
        <w:t>[201</w:t>
      </w:r>
      <w:r>
        <w:rPr>
          <w:spacing w:val="-6"/>
          <w:sz w:val="24"/>
          <w:lang w:val="en-US"/>
        </w:rPr>
        <w:t>4</w:t>
      </w:r>
      <w:r>
        <w:rPr>
          <w:spacing w:val="-6"/>
          <w:sz w:val="24"/>
        </w:rPr>
        <w:t>]</w:t>
      </w:r>
      <w:r>
        <w:rPr>
          <w:spacing w:val="-6"/>
          <w:sz w:val="24"/>
          <w:lang w:val="en-US"/>
        </w:rPr>
        <w:t>51</w:t>
      </w:r>
      <w:r>
        <w:rPr>
          <w:rFonts w:hint="eastAsia"/>
          <w:spacing w:val="-6"/>
          <w:sz w:val="24"/>
        </w:rPr>
        <w:t>号）；</w:t>
      </w:r>
    </w:p>
    <w:p w:rsidR="00B04AE3" w:rsidRDefault="00B04AE3">
      <w:pPr>
        <w:pStyle w:val="ListParagraph"/>
        <w:numPr>
          <w:ilvl w:val="0"/>
          <w:numId w:val="14"/>
        </w:numPr>
        <w:tabs>
          <w:tab w:val="left" w:pos="2496"/>
        </w:tabs>
        <w:spacing w:before="160" w:line="364" w:lineRule="auto"/>
        <w:ind w:right="1792" w:firstLine="480"/>
        <w:jc w:val="both"/>
        <w:rPr>
          <w:spacing w:val="-6"/>
          <w:sz w:val="24"/>
          <w:lang w:val="en-US"/>
        </w:rPr>
      </w:pPr>
      <w:r>
        <w:rPr>
          <w:rFonts w:hint="eastAsia"/>
          <w:spacing w:val="-6"/>
          <w:sz w:val="24"/>
          <w:lang w:val="en-US"/>
        </w:rPr>
        <w:t>《</w:t>
      </w:r>
      <w:r>
        <w:rPr>
          <w:rFonts w:hint="eastAsia"/>
          <w:spacing w:val="-6"/>
          <w:sz w:val="24"/>
        </w:rPr>
        <w:t>南昌海立电器有限公司年产</w:t>
      </w:r>
      <w:r>
        <w:rPr>
          <w:spacing w:val="-6"/>
          <w:sz w:val="24"/>
        </w:rPr>
        <w:t>600</w:t>
      </w:r>
      <w:r>
        <w:rPr>
          <w:rFonts w:hint="eastAsia"/>
          <w:spacing w:val="-6"/>
          <w:sz w:val="24"/>
        </w:rPr>
        <w:t>万台空调压缩机生产线项目设备及环保措施变更环境影响说明</w:t>
      </w:r>
      <w:r>
        <w:rPr>
          <w:rFonts w:hint="eastAsia"/>
          <w:spacing w:val="-6"/>
          <w:sz w:val="24"/>
          <w:lang w:val="en-US"/>
        </w:rPr>
        <w:t>》（南昌大学）</w:t>
      </w:r>
      <w:r>
        <w:rPr>
          <w:spacing w:val="-6"/>
          <w:sz w:val="24"/>
          <w:lang w:val="en-US"/>
        </w:rPr>
        <w:t>;</w:t>
      </w:r>
    </w:p>
    <w:p w:rsidR="00B04AE3" w:rsidRDefault="00B04AE3">
      <w:pPr>
        <w:pStyle w:val="ListParagraph"/>
        <w:numPr>
          <w:ilvl w:val="1"/>
          <w:numId w:val="15"/>
        </w:numPr>
        <w:tabs>
          <w:tab w:val="left" w:pos="2247"/>
        </w:tabs>
        <w:spacing w:before="1"/>
        <w:rPr>
          <w:b/>
          <w:sz w:val="30"/>
        </w:rPr>
      </w:pPr>
      <w:bookmarkStart w:id="13" w:name="1.3适用范围"/>
      <w:bookmarkStart w:id="14" w:name="_bookmark4"/>
      <w:bookmarkEnd w:id="13"/>
      <w:bookmarkEnd w:id="14"/>
      <w:r>
        <w:rPr>
          <w:rFonts w:hint="eastAsia"/>
          <w:b/>
          <w:sz w:val="30"/>
        </w:rPr>
        <w:t>适用范围</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本预案适用于本公司在生产、经营、贮存、运输、使用和处置过程中发生的人为或自然因素造成的废气、废水、固废、危险化学品、有毒化学品等环境污染、破坏事件以及发生的火灾、泄漏等事故及所造成的伴生或者次生环境污染事故。</w:t>
      </w:r>
    </w:p>
    <w:p w:rsidR="00B04AE3" w:rsidRDefault="00B04AE3">
      <w:pPr>
        <w:pStyle w:val="ListParagraph"/>
        <w:numPr>
          <w:ilvl w:val="1"/>
          <w:numId w:val="15"/>
        </w:numPr>
        <w:tabs>
          <w:tab w:val="left" w:pos="2247"/>
        </w:tabs>
        <w:spacing w:before="2"/>
        <w:rPr>
          <w:b/>
          <w:sz w:val="30"/>
        </w:rPr>
      </w:pPr>
      <w:bookmarkStart w:id="15" w:name="1.4事件分级"/>
      <w:bookmarkStart w:id="16" w:name="_bookmark5"/>
      <w:bookmarkEnd w:id="15"/>
      <w:bookmarkEnd w:id="16"/>
      <w:r>
        <w:rPr>
          <w:rFonts w:hint="eastAsia"/>
          <w:b/>
          <w:sz w:val="30"/>
        </w:rPr>
        <w:t>事件分级</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结合本公司突发环境事件的发生过程、性质、机理和公司的实际情况，并与安全预案相衔接，本项目突发环境事件包括液氮泄露引发的、中毒窒息事件；硫酸、氢氧化钠及危险废物等的泄漏事故；废水、废气超标排放导致环境污染事故及其他生产安全事故导致的环境污染事件。</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按照突发环境事件的严重性和紧急程度，将我公司可能的突发环境事件分为</w:t>
      </w:r>
      <w:r>
        <w:rPr>
          <w:spacing w:val="-6"/>
          <w:sz w:val="24"/>
        </w:rPr>
        <w:t xml:space="preserve">I </w:t>
      </w:r>
      <w:r>
        <w:rPr>
          <w:rFonts w:hint="eastAsia"/>
          <w:spacing w:val="-6"/>
          <w:sz w:val="24"/>
        </w:rPr>
        <w:t>级突发环境事件、</w:t>
      </w:r>
      <w:r>
        <w:rPr>
          <w:spacing w:val="-6"/>
          <w:sz w:val="24"/>
        </w:rPr>
        <w:t xml:space="preserve">II </w:t>
      </w:r>
      <w:r>
        <w:rPr>
          <w:rFonts w:hint="eastAsia"/>
          <w:spacing w:val="-6"/>
          <w:sz w:val="24"/>
        </w:rPr>
        <w:t>级突发环境事件和</w:t>
      </w:r>
      <w:r>
        <w:rPr>
          <w:spacing w:val="-6"/>
          <w:sz w:val="24"/>
        </w:rPr>
        <w:t xml:space="preserve"> III </w:t>
      </w:r>
      <w:r>
        <w:rPr>
          <w:rFonts w:hint="eastAsia"/>
          <w:spacing w:val="-6"/>
          <w:sz w:val="24"/>
        </w:rPr>
        <w:t>级突发环境事件三个级别。</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公司</w:t>
      </w:r>
      <w:r>
        <w:rPr>
          <w:spacing w:val="-6"/>
          <w:sz w:val="24"/>
        </w:rPr>
        <w:t xml:space="preserve"> I </w:t>
      </w:r>
      <w:r>
        <w:rPr>
          <w:rFonts w:hint="eastAsia"/>
          <w:spacing w:val="-6"/>
          <w:sz w:val="24"/>
        </w:rPr>
        <w:t>级突发环境事件</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符合下列情形之一的，定为公司</w:t>
      </w:r>
      <w:r>
        <w:rPr>
          <w:spacing w:val="-6"/>
          <w:sz w:val="24"/>
        </w:rPr>
        <w:t xml:space="preserve"> I </w:t>
      </w:r>
      <w:r>
        <w:rPr>
          <w:rFonts w:hint="eastAsia"/>
          <w:spacing w:val="-6"/>
          <w:sz w:val="24"/>
        </w:rPr>
        <w:t>级突发环境事件：</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①因突发环境事件造成</w:t>
      </w:r>
      <w:r>
        <w:rPr>
          <w:spacing w:val="-6"/>
          <w:sz w:val="24"/>
        </w:rPr>
        <w:t xml:space="preserve"> 1 </w:t>
      </w:r>
      <w:r>
        <w:rPr>
          <w:rFonts w:hint="eastAsia"/>
          <w:spacing w:val="-6"/>
          <w:sz w:val="24"/>
        </w:rPr>
        <w:t>人以上死亡或</w:t>
      </w:r>
      <w:r>
        <w:rPr>
          <w:spacing w:val="-6"/>
          <w:sz w:val="24"/>
        </w:rPr>
        <w:t xml:space="preserve"> 2 </w:t>
      </w:r>
      <w:r>
        <w:rPr>
          <w:rFonts w:hint="eastAsia"/>
          <w:spacing w:val="-6"/>
          <w:sz w:val="24"/>
        </w:rPr>
        <w:t>人以上中毒的；</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②因突发环境事件造成需疏散、转移公司外群众的；</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spacing w:val="-6"/>
          <w:sz w:val="24"/>
        </w:rPr>
        <w:t>I</w:t>
      </w:r>
      <w:r>
        <w:rPr>
          <w:rFonts w:hint="eastAsia"/>
          <w:spacing w:val="-6"/>
          <w:sz w:val="24"/>
        </w:rPr>
        <w:t>级环境事件对公司内、外均造成重大影响，需要启动公司级应急预案，必要时可启动《南昌经济技术开发区突发环境事件应急预案》，才可以完成救援工作。</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公司</w:t>
      </w:r>
      <w:r>
        <w:rPr>
          <w:spacing w:val="-6"/>
          <w:sz w:val="24"/>
        </w:rPr>
        <w:t xml:space="preserve"> II </w:t>
      </w:r>
      <w:r>
        <w:rPr>
          <w:rFonts w:hint="eastAsia"/>
          <w:spacing w:val="-6"/>
          <w:sz w:val="24"/>
        </w:rPr>
        <w:t>级突发环境事件</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凡符合下列情形之一的，定为公司</w:t>
      </w:r>
      <w:r>
        <w:rPr>
          <w:spacing w:val="-6"/>
          <w:sz w:val="24"/>
        </w:rPr>
        <w:t xml:space="preserve"> II </w:t>
      </w:r>
      <w:r>
        <w:rPr>
          <w:rFonts w:hint="eastAsia"/>
          <w:spacing w:val="-6"/>
          <w:sz w:val="24"/>
        </w:rPr>
        <w:t>级突发环境事件：</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①因突发环境事件造成</w:t>
      </w:r>
      <w:r>
        <w:rPr>
          <w:spacing w:val="-6"/>
          <w:sz w:val="24"/>
        </w:rPr>
        <w:t xml:space="preserve"> 2 </w:t>
      </w:r>
      <w:r>
        <w:rPr>
          <w:rFonts w:hint="eastAsia"/>
          <w:spacing w:val="-6"/>
          <w:sz w:val="24"/>
        </w:rPr>
        <w:t>人以下中毒的；</w:t>
      </w:r>
    </w:p>
    <w:p w:rsidR="00B04AE3" w:rsidRDefault="00B04AE3">
      <w:pPr>
        <w:pStyle w:val="BodyText"/>
        <w:spacing w:before="161"/>
        <w:ind w:left="2277"/>
      </w:pPr>
      <w:r>
        <w:rPr>
          <w:rFonts w:hint="eastAsia"/>
        </w:rPr>
        <w:t>②因突发环境事件造成公司正常生产、运营秩序受到严重影响，停工、停产</w:t>
      </w:r>
    </w:p>
    <w:p w:rsidR="00B04AE3" w:rsidRDefault="00B04AE3">
      <w:pPr>
        <w:pStyle w:val="ListParagraph"/>
        <w:numPr>
          <w:ilvl w:val="0"/>
          <w:numId w:val="15"/>
        </w:numPr>
        <w:tabs>
          <w:tab w:val="left" w:pos="1978"/>
        </w:tabs>
        <w:spacing w:before="158"/>
        <w:ind w:left="1977" w:hanging="180"/>
        <w:jc w:val="both"/>
        <w:rPr>
          <w:rFonts w:ascii="Times New Roman" w:eastAsia="Times New Roman"/>
          <w:sz w:val="24"/>
        </w:rPr>
      </w:pPr>
      <w:r>
        <w:rPr>
          <w:rFonts w:hint="eastAsia"/>
          <w:sz w:val="24"/>
        </w:rPr>
        <w:t>天以上、</w:t>
      </w:r>
      <w:r>
        <w:rPr>
          <w:rFonts w:ascii="Times New Roman" w:eastAsia="Times New Roman"/>
          <w:sz w:val="24"/>
        </w:rPr>
        <w:t xml:space="preserve">5 </w:t>
      </w:r>
      <w:r>
        <w:rPr>
          <w:rFonts w:hint="eastAsia"/>
          <w:sz w:val="24"/>
        </w:rPr>
        <w:t>天以下的；</w:t>
      </w:r>
    </w:p>
    <w:p w:rsidR="00B04AE3" w:rsidRDefault="00B04AE3">
      <w:pPr>
        <w:pStyle w:val="ListParagraph"/>
        <w:tabs>
          <w:tab w:val="left" w:pos="2496"/>
        </w:tabs>
        <w:spacing w:before="160" w:line="364" w:lineRule="auto"/>
        <w:ind w:left="2277" w:right="1792" w:firstLine="0"/>
        <w:jc w:val="both"/>
        <w:rPr>
          <w:sz w:val="24"/>
        </w:rPr>
      </w:pPr>
      <w:r>
        <w:rPr>
          <w:rFonts w:ascii="Times New Roman" w:eastAsia="Times New Roman"/>
          <w:sz w:val="24"/>
        </w:rPr>
        <w:t>II</w:t>
      </w:r>
      <w:r>
        <w:rPr>
          <w:rFonts w:hint="eastAsia"/>
          <w:spacing w:val="-6"/>
          <w:sz w:val="24"/>
        </w:rPr>
        <w:t>级环境事件仅影响到公司多个部门、车间，对周围群众造成影响较小，需要启动车间级应急预案或专项应急预案，联合公司突发环境事件应急预案才可以</w:t>
      </w:r>
      <w:r>
        <w:rPr>
          <w:rFonts w:hint="eastAsia"/>
          <w:sz w:val="24"/>
        </w:rPr>
        <w:t>完成救援工作。</w:t>
      </w:r>
    </w:p>
    <w:p w:rsidR="00B04AE3" w:rsidRDefault="00B04AE3">
      <w:pPr>
        <w:pStyle w:val="ListParagraph"/>
        <w:tabs>
          <w:tab w:val="left" w:pos="2879"/>
        </w:tabs>
        <w:spacing w:line="304" w:lineRule="exact"/>
        <w:ind w:left="2277" w:firstLine="0"/>
        <w:rPr>
          <w:sz w:val="24"/>
        </w:rPr>
      </w:pPr>
      <w:r>
        <w:rPr>
          <w:rFonts w:hint="eastAsia"/>
          <w:spacing w:val="-21"/>
          <w:sz w:val="24"/>
        </w:rPr>
        <w:t>公司</w:t>
      </w:r>
      <w:r>
        <w:rPr>
          <w:spacing w:val="-21"/>
          <w:sz w:val="24"/>
        </w:rPr>
        <w:t xml:space="preserve"> </w:t>
      </w:r>
      <w:r>
        <w:rPr>
          <w:rFonts w:ascii="Times New Roman" w:eastAsia="Times New Roman"/>
          <w:sz w:val="24"/>
        </w:rPr>
        <w:t>III</w:t>
      </w:r>
      <w:r>
        <w:rPr>
          <w:rFonts w:ascii="Times New Roman" w:eastAsia="Times New Roman"/>
          <w:spacing w:val="1"/>
          <w:sz w:val="24"/>
        </w:rPr>
        <w:t xml:space="preserve"> </w:t>
      </w:r>
      <w:r>
        <w:rPr>
          <w:rFonts w:hint="eastAsia"/>
          <w:sz w:val="24"/>
        </w:rPr>
        <w:t>级突发环境事件</w:t>
      </w:r>
    </w:p>
    <w:p w:rsidR="00B04AE3" w:rsidRDefault="00B04AE3">
      <w:pPr>
        <w:pStyle w:val="BodyText"/>
        <w:spacing w:before="161" w:line="362" w:lineRule="auto"/>
        <w:ind w:left="1797" w:right="1712" w:firstLine="480"/>
      </w:pPr>
      <w:r>
        <w:rPr>
          <w:rFonts w:hint="eastAsia"/>
        </w:rPr>
        <w:t>除</w:t>
      </w:r>
      <w:r>
        <w:t xml:space="preserve"> </w:t>
      </w:r>
      <w:r>
        <w:rPr>
          <w:rFonts w:ascii="Times New Roman" w:eastAsia="Times New Roman"/>
        </w:rPr>
        <w:t xml:space="preserve">I </w:t>
      </w:r>
      <w:r>
        <w:rPr>
          <w:rFonts w:hint="eastAsia"/>
        </w:rPr>
        <w:t>级突发环境事件、</w:t>
      </w:r>
      <w:r>
        <w:rPr>
          <w:rFonts w:ascii="Times New Roman" w:eastAsia="Times New Roman"/>
        </w:rPr>
        <w:t xml:space="preserve">II </w:t>
      </w:r>
      <w:r>
        <w:rPr>
          <w:rFonts w:hint="eastAsia"/>
        </w:rPr>
        <w:t>级突发环境事件以外的，突发环境事件仅对个别车间或部门的正常生产造成暂时影响的。</w:t>
      </w:r>
    </w:p>
    <w:p w:rsidR="00B04AE3" w:rsidRDefault="00B04AE3">
      <w:pPr>
        <w:pStyle w:val="ListParagraph"/>
        <w:numPr>
          <w:ilvl w:val="0"/>
          <w:numId w:val="14"/>
        </w:numPr>
        <w:tabs>
          <w:tab w:val="left" w:pos="2580"/>
        </w:tabs>
        <w:spacing w:before="5" w:line="364" w:lineRule="auto"/>
        <w:ind w:right="1793" w:firstLine="480"/>
        <w:rPr>
          <w:sz w:val="24"/>
        </w:rPr>
      </w:pPr>
      <w:r>
        <w:rPr>
          <w:rFonts w:hint="eastAsia"/>
          <w:sz w:val="24"/>
        </w:rPr>
        <w:t>级突发环境事件对公司正常生产、运营造成较小影响，启动现场处置方案，联合启动车间级应急预案即可完成救援工作。</w:t>
      </w:r>
    </w:p>
    <w:p w:rsidR="00B04AE3" w:rsidRDefault="00B04AE3">
      <w:pPr>
        <w:pStyle w:val="BodyText"/>
        <w:spacing w:line="306" w:lineRule="exact"/>
        <w:ind w:left="2277"/>
      </w:pPr>
      <w:r>
        <w:rPr>
          <w:rFonts w:hint="eastAsia"/>
        </w:rPr>
        <w:t>本厂区事故类型分级如下：</w:t>
      </w:r>
    </w:p>
    <w:p w:rsidR="00B04AE3" w:rsidRDefault="00B04AE3">
      <w:pPr>
        <w:tabs>
          <w:tab w:val="left" w:pos="1536"/>
        </w:tabs>
        <w:spacing w:before="158" w:after="4"/>
        <w:ind w:left="497"/>
        <w:jc w:val="center"/>
        <w:rPr>
          <w:b/>
          <w:sz w:val="24"/>
        </w:rPr>
      </w:pPr>
      <w:r>
        <w:rPr>
          <w:rFonts w:hint="eastAsia"/>
          <w:b/>
          <w:sz w:val="24"/>
        </w:rPr>
        <w:t>表</w:t>
      </w:r>
      <w:r>
        <w:rPr>
          <w:b/>
          <w:spacing w:val="-62"/>
          <w:sz w:val="24"/>
        </w:rPr>
        <w:t xml:space="preserve"> </w:t>
      </w:r>
      <w:r>
        <w:rPr>
          <w:rFonts w:ascii="Times New Roman" w:eastAsia="Times New Roman"/>
          <w:b/>
          <w:sz w:val="24"/>
        </w:rPr>
        <w:t>1.4-1</w:t>
      </w:r>
      <w:r>
        <w:rPr>
          <w:rFonts w:ascii="Times New Roman" w:eastAsia="Times New Roman"/>
          <w:b/>
          <w:sz w:val="24"/>
        </w:rPr>
        <w:tab/>
      </w:r>
      <w:r>
        <w:rPr>
          <w:rFonts w:hint="eastAsia"/>
          <w:b/>
          <w:sz w:val="24"/>
        </w:rPr>
        <w:t>本厂区主要突发环境事件类型分级一览表</w:t>
      </w:r>
    </w:p>
    <w:tbl>
      <w:tblPr>
        <w:tblW w:w="8528" w:type="dxa"/>
        <w:tblInd w:w="1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422"/>
        <w:gridCol w:w="2514"/>
        <w:gridCol w:w="3192"/>
        <w:gridCol w:w="1400"/>
      </w:tblGrid>
      <w:tr w:rsidR="00B04AE3">
        <w:trPr>
          <w:trHeight w:val="397"/>
        </w:trPr>
        <w:tc>
          <w:tcPr>
            <w:tcW w:w="1422" w:type="dxa"/>
            <w:shd w:val="clear" w:color="auto" w:fill="DFDFDF"/>
          </w:tcPr>
          <w:p w:rsidR="00B04AE3" w:rsidRDefault="00B04AE3">
            <w:pPr>
              <w:pStyle w:val="TableParagraph"/>
              <w:spacing w:before="59"/>
              <w:ind w:left="478" w:right="471"/>
              <w:rPr>
                <w:b/>
                <w:sz w:val="21"/>
              </w:rPr>
            </w:pPr>
            <w:r>
              <w:rPr>
                <w:rFonts w:hint="eastAsia"/>
                <w:b/>
                <w:sz w:val="21"/>
              </w:rPr>
              <w:t>序号</w:t>
            </w:r>
          </w:p>
        </w:tc>
        <w:tc>
          <w:tcPr>
            <w:tcW w:w="2514" w:type="dxa"/>
            <w:shd w:val="clear" w:color="auto" w:fill="DFDFDF"/>
          </w:tcPr>
          <w:p w:rsidR="00B04AE3" w:rsidRDefault="00B04AE3">
            <w:pPr>
              <w:pStyle w:val="TableParagraph"/>
              <w:spacing w:before="59"/>
              <w:ind w:left="501" w:right="489"/>
              <w:rPr>
                <w:b/>
                <w:sz w:val="21"/>
              </w:rPr>
            </w:pPr>
            <w:r>
              <w:rPr>
                <w:rFonts w:hint="eastAsia"/>
                <w:b/>
                <w:sz w:val="21"/>
              </w:rPr>
              <w:t>发生部位</w:t>
            </w:r>
          </w:p>
        </w:tc>
        <w:tc>
          <w:tcPr>
            <w:tcW w:w="3192" w:type="dxa"/>
            <w:shd w:val="clear" w:color="auto" w:fill="DFDFDF"/>
          </w:tcPr>
          <w:p w:rsidR="00B04AE3" w:rsidRDefault="00B04AE3">
            <w:pPr>
              <w:pStyle w:val="TableParagraph"/>
              <w:spacing w:before="59"/>
              <w:ind w:left="104" w:right="89"/>
              <w:rPr>
                <w:b/>
                <w:sz w:val="21"/>
              </w:rPr>
            </w:pPr>
            <w:r>
              <w:rPr>
                <w:rFonts w:hint="eastAsia"/>
                <w:b/>
                <w:sz w:val="21"/>
              </w:rPr>
              <w:t>突发环境事件类型</w:t>
            </w:r>
          </w:p>
        </w:tc>
        <w:tc>
          <w:tcPr>
            <w:tcW w:w="1400" w:type="dxa"/>
            <w:shd w:val="clear" w:color="auto" w:fill="DFDFDF"/>
          </w:tcPr>
          <w:p w:rsidR="00B04AE3" w:rsidRDefault="00B04AE3">
            <w:pPr>
              <w:pStyle w:val="TableParagraph"/>
              <w:spacing w:before="59"/>
              <w:ind w:left="137" w:right="127"/>
              <w:rPr>
                <w:b/>
                <w:sz w:val="21"/>
              </w:rPr>
            </w:pPr>
            <w:r>
              <w:rPr>
                <w:rFonts w:hint="eastAsia"/>
                <w:b/>
                <w:sz w:val="21"/>
              </w:rPr>
              <w:t>事件分级</w:t>
            </w:r>
          </w:p>
        </w:tc>
      </w:tr>
      <w:tr w:rsidR="00B04AE3">
        <w:trPr>
          <w:trHeight w:val="397"/>
        </w:trPr>
        <w:tc>
          <w:tcPr>
            <w:tcW w:w="1422" w:type="dxa"/>
          </w:tcPr>
          <w:p w:rsidR="00B04AE3" w:rsidRDefault="00B04AE3">
            <w:pPr>
              <w:pStyle w:val="TableParagraph"/>
              <w:spacing w:before="74"/>
              <w:ind w:left="8"/>
              <w:rPr>
                <w:rFonts w:ascii="Times New Roman"/>
                <w:sz w:val="21"/>
              </w:rPr>
            </w:pPr>
            <w:r>
              <w:rPr>
                <w:rFonts w:ascii="Times New Roman"/>
                <w:w w:val="99"/>
                <w:sz w:val="21"/>
              </w:rPr>
              <w:t>1</w:t>
            </w:r>
          </w:p>
        </w:tc>
        <w:tc>
          <w:tcPr>
            <w:tcW w:w="2514" w:type="dxa"/>
          </w:tcPr>
          <w:p w:rsidR="00B04AE3" w:rsidRDefault="00B04AE3">
            <w:pPr>
              <w:pStyle w:val="TableParagraph"/>
              <w:spacing w:before="61"/>
              <w:ind w:left="499" w:right="492"/>
              <w:rPr>
                <w:sz w:val="21"/>
              </w:rPr>
            </w:pPr>
            <w:r>
              <w:rPr>
                <w:rFonts w:hint="eastAsia"/>
                <w:sz w:val="21"/>
              </w:rPr>
              <w:t>液氮钢瓶</w:t>
            </w:r>
          </w:p>
        </w:tc>
        <w:tc>
          <w:tcPr>
            <w:tcW w:w="3192" w:type="dxa"/>
          </w:tcPr>
          <w:p w:rsidR="00B04AE3" w:rsidRDefault="00B04AE3">
            <w:pPr>
              <w:pStyle w:val="TableParagraph"/>
              <w:spacing w:before="61"/>
              <w:ind w:left="104" w:right="96"/>
              <w:rPr>
                <w:sz w:val="21"/>
              </w:rPr>
            </w:pPr>
            <w:r>
              <w:rPr>
                <w:rFonts w:hint="eastAsia"/>
                <w:sz w:val="21"/>
              </w:rPr>
              <w:t>液氮泄露</w:t>
            </w:r>
          </w:p>
        </w:tc>
        <w:tc>
          <w:tcPr>
            <w:tcW w:w="1400" w:type="dxa"/>
          </w:tcPr>
          <w:p w:rsidR="00B04AE3" w:rsidRDefault="00B04AE3">
            <w:pPr>
              <w:pStyle w:val="TableParagraph"/>
              <w:spacing w:before="61"/>
              <w:ind w:left="134" w:right="127"/>
              <w:rPr>
                <w:sz w:val="21"/>
              </w:rPr>
            </w:pPr>
            <w:r>
              <w:rPr>
                <w:rFonts w:ascii="Times New Roman" w:eastAsia="Times New Roman"/>
                <w:sz w:val="21"/>
              </w:rPr>
              <w:t xml:space="preserve">I </w:t>
            </w:r>
            <w:r>
              <w:rPr>
                <w:rFonts w:hint="eastAsia"/>
                <w:sz w:val="21"/>
              </w:rPr>
              <w:t>级</w:t>
            </w:r>
          </w:p>
        </w:tc>
      </w:tr>
      <w:tr w:rsidR="00B04AE3">
        <w:trPr>
          <w:trHeight w:val="397"/>
        </w:trPr>
        <w:tc>
          <w:tcPr>
            <w:tcW w:w="1422" w:type="dxa"/>
          </w:tcPr>
          <w:p w:rsidR="00B04AE3" w:rsidRDefault="00B04AE3">
            <w:pPr>
              <w:pStyle w:val="TableParagraph"/>
              <w:spacing w:before="73"/>
              <w:ind w:left="8"/>
              <w:rPr>
                <w:rFonts w:ascii="Times New Roman"/>
                <w:sz w:val="21"/>
              </w:rPr>
            </w:pPr>
            <w:r>
              <w:rPr>
                <w:rFonts w:ascii="Times New Roman"/>
                <w:w w:val="99"/>
                <w:sz w:val="21"/>
              </w:rPr>
              <w:t>2</w:t>
            </w:r>
          </w:p>
        </w:tc>
        <w:tc>
          <w:tcPr>
            <w:tcW w:w="2514" w:type="dxa"/>
          </w:tcPr>
          <w:p w:rsidR="00B04AE3" w:rsidRDefault="00B04AE3">
            <w:pPr>
              <w:pStyle w:val="TableParagraph"/>
              <w:spacing w:before="59"/>
              <w:ind w:left="501" w:right="492"/>
              <w:rPr>
                <w:sz w:val="21"/>
              </w:rPr>
            </w:pPr>
            <w:r>
              <w:rPr>
                <w:rFonts w:hint="eastAsia"/>
                <w:sz w:val="21"/>
              </w:rPr>
              <w:t>沉淀池、化粪池</w:t>
            </w:r>
          </w:p>
        </w:tc>
        <w:tc>
          <w:tcPr>
            <w:tcW w:w="3192" w:type="dxa"/>
          </w:tcPr>
          <w:p w:rsidR="00B04AE3" w:rsidRDefault="00B04AE3">
            <w:pPr>
              <w:pStyle w:val="TableParagraph"/>
              <w:spacing w:before="59"/>
              <w:ind w:left="104" w:right="96"/>
              <w:rPr>
                <w:sz w:val="21"/>
              </w:rPr>
            </w:pPr>
            <w:r>
              <w:rPr>
                <w:rFonts w:hint="eastAsia"/>
                <w:sz w:val="21"/>
              </w:rPr>
              <w:t>废水超标排放事故</w:t>
            </w:r>
          </w:p>
        </w:tc>
        <w:tc>
          <w:tcPr>
            <w:tcW w:w="1400" w:type="dxa"/>
          </w:tcPr>
          <w:p w:rsidR="00B04AE3" w:rsidRDefault="00B04AE3">
            <w:pPr>
              <w:pStyle w:val="TableParagraph"/>
              <w:spacing w:before="59"/>
              <w:ind w:left="137" w:right="127"/>
              <w:rPr>
                <w:sz w:val="21"/>
              </w:rPr>
            </w:pPr>
            <w:r>
              <w:rPr>
                <w:rFonts w:ascii="Times New Roman" w:eastAsia="Times New Roman"/>
                <w:sz w:val="21"/>
              </w:rPr>
              <w:t xml:space="preserve">II </w:t>
            </w:r>
            <w:r>
              <w:rPr>
                <w:rFonts w:hint="eastAsia"/>
                <w:sz w:val="21"/>
              </w:rPr>
              <w:t>级、</w:t>
            </w:r>
            <w:r>
              <w:rPr>
                <w:rFonts w:ascii="Times New Roman" w:eastAsia="Times New Roman"/>
                <w:sz w:val="21"/>
              </w:rPr>
              <w:t xml:space="preserve">III </w:t>
            </w:r>
            <w:r>
              <w:rPr>
                <w:rFonts w:hint="eastAsia"/>
                <w:sz w:val="21"/>
              </w:rPr>
              <w:t>级</w:t>
            </w:r>
          </w:p>
        </w:tc>
      </w:tr>
      <w:tr w:rsidR="00B04AE3">
        <w:trPr>
          <w:trHeight w:val="395"/>
        </w:trPr>
        <w:tc>
          <w:tcPr>
            <w:tcW w:w="1422" w:type="dxa"/>
          </w:tcPr>
          <w:p w:rsidR="00B04AE3" w:rsidRDefault="00B04AE3">
            <w:pPr>
              <w:pStyle w:val="TableParagraph"/>
              <w:spacing w:before="74"/>
              <w:ind w:left="8"/>
              <w:rPr>
                <w:rFonts w:ascii="Times New Roman"/>
                <w:sz w:val="21"/>
              </w:rPr>
            </w:pPr>
            <w:r>
              <w:rPr>
                <w:rFonts w:ascii="Times New Roman"/>
                <w:w w:val="99"/>
                <w:sz w:val="21"/>
              </w:rPr>
              <w:t>3</w:t>
            </w:r>
          </w:p>
        </w:tc>
        <w:tc>
          <w:tcPr>
            <w:tcW w:w="2514" w:type="dxa"/>
          </w:tcPr>
          <w:p w:rsidR="00B04AE3" w:rsidRDefault="00B04AE3">
            <w:pPr>
              <w:pStyle w:val="TableParagraph"/>
              <w:spacing w:before="60"/>
              <w:ind w:left="501" w:right="492"/>
              <w:rPr>
                <w:sz w:val="21"/>
              </w:rPr>
            </w:pPr>
            <w:r>
              <w:rPr>
                <w:rFonts w:hint="eastAsia"/>
                <w:sz w:val="21"/>
              </w:rPr>
              <w:t>锅炉</w:t>
            </w:r>
          </w:p>
        </w:tc>
        <w:tc>
          <w:tcPr>
            <w:tcW w:w="3192" w:type="dxa"/>
          </w:tcPr>
          <w:p w:rsidR="00B04AE3" w:rsidRDefault="00B04AE3">
            <w:pPr>
              <w:pStyle w:val="TableParagraph"/>
              <w:spacing w:before="60"/>
              <w:ind w:left="104" w:right="96"/>
              <w:rPr>
                <w:sz w:val="21"/>
              </w:rPr>
            </w:pPr>
            <w:r>
              <w:rPr>
                <w:rFonts w:hint="eastAsia"/>
                <w:sz w:val="21"/>
              </w:rPr>
              <w:t>爆炸事故</w:t>
            </w:r>
          </w:p>
        </w:tc>
        <w:tc>
          <w:tcPr>
            <w:tcW w:w="1400" w:type="dxa"/>
          </w:tcPr>
          <w:p w:rsidR="00B04AE3" w:rsidRDefault="00B04AE3">
            <w:pPr>
              <w:pStyle w:val="TableParagraph"/>
              <w:spacing w:before="60"/>
              <w:ind w:left="134" w:right="127"/>
              <w:rPr>
                <w:sz w:val="21"/>
              </w:rPr>
            </w:pPr>
            <w:r>
              <w:rPr>
                <w:rFonts w:ascii="Times New Roman" w:eastAsia="Times New Roman"/>
                <w:sz w:val="21"/>
              </w:rPr>
              <w:t xml:space="preserve">I </w:t>
            </w:r>
            <w:r>
              <w:rPr>
                <w:rFonts w:hint="eastAsia"/>
                <w:sz w:val="21"/>
              </w:rPr>
              <w:t>级</w:t>
            </w:r>
          </w:p>
        </w:tc>
      </w:tr>
      <w:tr w:rsidR="00B04AE3">
        <w:trPr>
          <w:trHeight w:val="397"/>
        </w:trPr>
        <w:tc>
          <w:tcPr>
            <w:tcW w:w="1422" w:type="dxa"/>
          </w:tcPr>
          <w:p w:rsidR="00B04AE3" w:rsidRDefault="00B04AE3">
            <w:pPr>
              <w:pStyle w:val="TableParagraph"/>
              <w:spacing w:before="73"/>
              <w:ind w:left="8"/>
              <w:rPr>
                <w:rFonts w:ascii="Times New Roman"/>
                <w:sz w:val="21"/>
              </w:rPr>
            </w:pPr>
            <w:r>
              <w:rPr>
                <w:rFonts w:ascii="Times New Roman"/>
                <w:w w:val="99"/>
                <w:sz w:val="21"/>
              </w:rPr>
              <w:t>4</w:t>
            </w:r>
          </w:p>
        </w:tc>
        <w:tc>
          <w:tcPr>
            <w:tcW w:w="2514" w:type="dxa"/>
          </w:tcPr>
          <w:p w:rsidR="00B04AE3" w:rsidRDefault="00B04AE3">
            <w:pPr>
              <w:pStyle w:val="TableParagraph"/>
              <w:spacing w:before="59"/>
              <w:ind w:left="501" w:right="492"/>
              <w:rPr>
                <w:sz w:val="21"/>
              </w:rPr>
            </w:pPr>
            <w:r>
              <w:rPr>
                <w:rFonts w:hint="eastAsia"/>
                <w:sz w:val="21"/>
              </w:rPr>
              <w:t>危废库</w:t>
            </w:r>
          </w:p>
        </w:tc>
        <w:tc>
          <w:tcPr>
            <w:tcW w:w="3192" w:type="dxa"/>
          </w:tcPr>
          <w:p w:rsidR="00B04AE3" w:rsidRDefault="00B04AE3">
            <w:pPr>
              <w:pStyle w:val="TableParagraph"/>
              <w:spacing w:before="59"/>
              <w:ind w:left="965"/>
              <w:jc w:val="left"/>
              <w:rPr>
                <w:sz w:val="21"/>
              </w:rPr>
            </w:pPr>
            <w:r>
              <w:rPr>
                <w:rFonts w:hint="eastAsia"/>
                <w:sz w:val="21"/>
              </w:rPr>
              <w:t>危废泄露事故</w:t>
            </w:r>
          </w:p>
        </w:tc>
        <w:tc>
          <w:tcPr>
            <w:tcW w:w="1400" w:type="dxa"/>
          </w:tcPr>
          <w:p w:rsidR="00B04AE3" w:rsidRDefault="00B04AE3">
            <w:pPr>
              <w:pStyle w:val="TableParagraph"/>
              <w:spacing w:before="59"/>
              <w:ind w:left="137" w:right="127"/>
              <w:rPr>
                <w:sz w:val="21"/>
              </w:rPr>
            </w:pPr>
            <w:r>
              <w:rPr>
                <w:rFonts w:ascii="Times New Roman" w:eastAsia="Times New Roman"/>
                <w:sz w:val="21"/>
              </w:rPr>
              <w:t xml:space="preserve">III </w:t>
            </w:r>
            <w:r>
              <w:rPr>
                <w:rFonts w:hint="eastAsia"/>
                <w:sz w:val="21"/>
              </w:rPr>
              <w:t>级</w:t>
            </w:r>
          </w:p>
        </w:tc>
      </w:tr>
      <w:tr w:rsidR="00B04AE3">
        <w:trPr>
          <w:trHeight w:val="480"/>
        </w:trPr>
        <w:tc>
          <w:tcPr>
            <w:tcW w:w="1422" w:type="dxa"/>
          </w:tcPr>
          <w:p w:rsidR="00B04AE3" w:rsidRDefault="00B04AE3">
            <w:pPr>
              <w:pStyle w:val="TableParagraph"/>
              <w:spacing w:before="115"/>
              <w:ind w:left="8"/>
              <w:rPr>
                <w:rFonts w:ascii="Times New Roman"/>
                <w:sz w:val="21"/>
              </w:rPr>
            </w:pPr>
            <w:r>
              <w:rPr>
                <w:rFonts w:ascii="Times New Roman"/>
                <w:w w:val="99"/>
                <w:sz w:val="21"/>
              </w:rPr>
              <w:t>5</w:t>
            </w:r>
          </w:p>
        </w:tc>
        <w:tc>
          <w:tcPr>
            <w:tcW w:w="2514" w:type="dxa"/>
          </w:tcPr>
          <w:p w:rsidR="00B04AE3" w:rsidRDefault="00B04AE3">
            <w:pPr>
              <w:pStyle w:val="TableParagraph"/>
              <w:spacing w:before="101"/>
              <w:ind w:left="499" w:right="492"/>
              <w:rPr>
                <w:sz w:val="21"/>
              </w:rPr>
            </w:pPr>
            <w:r>
              <w:rPr>
                <w:rFonts w:hint="eastAsia"/>
                <w:sz w:val="21"/>
              </w:rPr>
              <w:t>物料运输</w:t>
            </w:r>
          </w:p>
        </w:tc>
        <w:tc>
          <w:tcPr>
            <w:tcW w:w="3192" w:type="dxa"/>
          </w:tcPr>
          <w:p w:rsidR="00B04AE3" w:rsidRDefault="00B04AE3">
            <w:pPr>
              <w:pStyle w:val="TableParagraph"/>
              <w:spacing w:line="236" w:lineRule="exact"/>
              <w:ind w:left="104" w:right="98"/>
              <w:rPr>
                <w:sz w:val="21"/>
              </w:rPr>
            </w:pPr>
            <w:r>
              <w:rPr>
                <w:rFonts w:hint="eastAsia"/>
                <w:sz w:val="21"/>
              </w:rPr>
              <w:t>物料输送管道腐蚀、泵及阀门损</w:t>
            </w:r>
          </w:p>
          <w:p w:rsidR="00B04AE3" w:rsidRDefault="00B04AE3">
            <w:pPr>
              <w:pStyle w:val="TableParagraph"/>
              <w:spacing w:line="224" w:lineRule="exact"/>
              <w:ind w:left="104" w:right="98"/>
              <w:rPr>
                <w:sz w:val="21"/>
              </w:rPr>
            </w:pPr>
            <w:r>
              <w:rPr>
                <w:rFonts w:hint="eastAsia"/>
                <w:sz w:val="21"/>
              </w:rPr>
              <w:t>坏、装卸过程引发泄露</w:t>
            </w:r>
          </w:p>
        </w:tc>
        <w:tc>
          <w:tcPr>
            <w:tcW w:w="1400" w:type="dxa"/>
          </w:tcPr>
          <w:p w:rsidR="00B04AE3" w:rsidRDefault="00B04AE3">
            <w:pPr>
              <w:pStyle w:val="TableParagraph"/>
              <w:spacing w:before="101"/>
              <w:ind w:left="137" w:right="127"/>
              <w:rPr>
                <w:sz w:val="21"/>
              </w:rPr>
            </w:pPr>
            <w:r>
              <w:rPr>
                <w:rFonts w:ascii="Times New Roman" w:eastAsia="Times New Roman"/>
                <w:sz w:val="21"/>
              </w:rPr>
              <w:t xml:space="preserve">III </w:t>
            </w:r>
            <w:r>
              <w:rPr>
                <w:rFonts w:hint="eastAsia"/>
                <w:sz w:val="21"/>
              </w:rPr>
              <w:t>级</w:t>
            </w:r>
          </w:p>
        </w:tc>
      </w:tr>
    </w:tbl>
    <w:p w:rsidR="00B04AE3" w:rsidRDefault="00B04AE3">
      <w:pPr>
        <w:pStyle w:val="ListParagraph"/>
        <w:numPr>
          <w:ilvl w:val="1"/>
          <w:numId w:val="16"/>
        </w:numPr>
        <w:tabs>
          <w:tab w:val="left" w:pos="2321"/>
        </w:tabs>
        <w:spacing w:before="4"/>
        <w:ind w:hanging="523"/>
        <w:rPr>
          <w:b/>
          <w:sz w:val="30"/>
        </w:rPr>
      </w:pPr>
      <w:bookmarkStart w:id="17" w:name="1.5_应急预案体系"/>
      <w:bookmarkStart w:id="18" w:name="_bookmark6"/>
      <w:bookmarkEnd w:id="17"/>
      <w:bookmarkEnd w:id="18"/>
      <w:r>
        <w:rPr>
          <w:rFonts w:hint="eastAsia"/>
          <w:b/>
          <w:sz w:val="30"/>
        </w:rPr>
        <w:t>应急预案体系</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公司按照上级环保部门要求，认真学习了《国家突发公共事件总体应急预</w:t>
      </w:r>
      <w:r>
        <w:rPr>
          <w:spacing w:val="-6"/>
          <w:sz w:val="24"/>
        </w:rPr>
        <w:t xml:space="preserve"> </w:t>
      </w:r>
      <w:r>
        <w:rPr>
          <w:rFonts w:hint="eastAsia"/>
          <w:spacing w:val="-6"/>
          <w:sz w:val="24"/>
        </w:rPr>
        <w:t>案》、《国家突发环境事件应急预案》、《江西省突发公共事件总体应急预案》、《江西省突发环境事件应急预案》、《南昌市突发公共事件总体应急预案》、《南昌市突发环境事件应急预案》、《南昌市经济技术开发区突发公共事件总体应急预》、《南昌市经济技术开发区突发环境事件应急预案》，制订了公司突发环境事件应急预案体系。</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应急预案体系构成包括：综合预案、专项应急预案、现场处置预案。</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事故发生后，立即启动我公司应急预案采取切断或者控制污染源以及其他防止危害扩大的必要措施及时通报可能受到危害的单位和居民，同时上报政府和主管部门，部门预案、政府预案启动后，公司各部门无条件服从政府总指挥部调动，提供各方面的支持。</w:t>
      </w:r>
    </w:p>
    <w:p w:rsidR="00B04AE3" w:rsidRDefault="00B04AE3">
      <w:pPr>
        <w:pStyle w:val="ListParagraph"/>
        <w:numPr>
          <w:ilvl w:val="1"/>
          <w:numId w:val="16"/>
        </w:numPr>
        <w:tabs>
          <w:tab w:val="left" w:pos="2321"/>
        </w:tabs>
        <w:ind w:hanging="523"/>
        <w:rPr>
          <w:b/>
          <w:sz w:val="30"/>
        </w:rPr>
      </w:pPr>
      <w:bookmarkStart w:id="19" w:name="1.6_应急预案关系说明"/>
      <w:bookmarkEnd w:id="19"/>
      <w:r>
        <w:rPr>
          <w:rFonts w:hint="eastAsia"/>
          <w:b/>
          <w:sz w:val="30"/>
        </w:rPr>
        <w:t>应急预案关系说明</w:t>
      </w:r>
    </w:p>
    <w:p w:rsidR="00B04AE3" w:rsidRDefault="00B04AE3">
      <w:pPr>
        <w:pStyle w:val="ListParagraph"/>
        <w:numPr>
          <w:ilvl w:val="2"/>
          <w:numId w:val="16"/>
        </w:numPr>
        <w:tabs>
          <w:tab w:val="left" w:pos="2338"/>
        </w:tabs>
        <w:spacing w:before="197"/>
        <w:rPr>
          <w:b/>
          <w:sz w:val="24"/>
        </w:rPr>
      </w:pPr>
      <w:bookmarkStart w:id="20" w:name="1.6.1内部联系"/>
      <w:bookmarkEnd w:id="20"/>
      <w:r>
        <w:rPr>
          <w:rFonts w:hint="eastAsia"/>
          <w:b/>
          <w:sz w:val="24"/>
        </w:rPr>
        <w:t>内部联系</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企业突发环境事件应急预案体系包括：企业外部应急预案和企业内部应急预案。企业内部应急预案是以企业为实施主体的，一般由企业的应急领导机构及应急救援队伍执行。当企业发生环境事件时，立即启动企业内部的环境应急预案。若环境污染扩大为区域型时，政府部门已介入，并启动相应的企业外部环境应急预案，此时应急处置应统筹考虑内部、外部应急预案的衔接性。本应急预案如有与政府部门的应急预案相冲突时，执行政府部门的应急预案。</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企业内部因发生安全生产事故、火灾等情形启动安全生产应急预案或消防应急预案时，因火灾、安全生产事故可能造成突发环境事件情况下，需启动突发环境事件应急预案，或因突发环境事件造成安全生产事故或火灾，启动消防应急预案或安全生产应急预案，各预案间存在相互启动的可能性。</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企业内部环境应急预案具体包括：废气非正常排放现场处置方案、各储罐泄露现场处置方案、危险废物专项应急预案、重污染天气操作方案，综合环境应急预案与现场处置预案或操作方案相互衔接。</w:t>
      </w:r>
    </w:p>
    <w:p w:rsidR="00B04AE3" w:rsidRDefault="00B04AE3">
      <w:pPr>
        <w:pStyle w:val="ListParagraph"/>
        <w:numPr>
          <w:ilvl w:val="2"/>
          <w:numId w:val="16"/>
        </w:numPr>
        <w:tabs>
          <w:tab w:val="left" w:pos="2338"/>
        </w:tabs>
        <w:spacing w:before="74"/>
        <w:rPr>
          <w:b/>
          <w:sz w:val="24"/>
        </w:rPr>
      </w:pPr>
      <w:bookmarkStart w:id="21" w:name="1.6.2外部联系"/>
      <w:bookmarkEnd w:id="21"/>
      <w:r>
        <w:rPr>
          <w:rFonts w:hint="eastAsia"/>
          <w:b/>
          <w:sz w:val="24"/>
        </w:rPr>
        <w:t>外部联系</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企业外部应急预案是与企业内部应急预案相互衔接，并通过演练巩固、完善应急联动机制，但不以企业为实施主体，一般由厂区周边同行业企业、人民政府及环保部门等执行。</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外部应急预案中政府部门应急预案更为宏观，对企业应急预案起指导作用，边企业突发环境事件影响到本企业，致使本企业启动应急预案，或因本企业突发环境事件对周边企业造成环境影响，致使周边企业启动应急预案，两者是相互关联的，企业应急预案主要是针对本企业生产实际和可能出现的突发环境事件情况，对政府部门、环保主管部门应急预案起到细化和补充的作用。</w:t>
      </w:r>
    </w:p>
    <w:p w:rsidR="00B04AE3" w:rsidRDefault="00B04AE3" w:rsidP="003446E2">
      <w:pPr>
        <w:pStyle w:val="ListParagraph"/>
        <w:tabs>
          <w:tab w:val="left" w:pos="2496"/>
        </w:tabs>
        <w:spacing w:before="160" w:line="360" w:lineRule="auto"/>
        <w:ind w:left="1797" w:right="1791" w:firstLineChars="200" w:firstLine="31680"/>
        <w:jc w:val="both"/>
        <w:rPr>
          <w:spacing w:val="-6"/>
          <w:sz w:val="24"/>
        </w:rPr>
      </w:pPr>
      <w:r>
        <w:rPr>
          <w:rFonts w:hint="eastAsia"/>
          <w:spacing w:val="-6"/>
          <w:sz w:val="24"/>
        </w:rPr>
        <w:t>当突发环境事件控制在厂区范围内时，以公司突发事环境事件应急预案为主，兼顾公司其它应急预案；当突发环境事件涉及厂区外，包括附近的企业、居民、厂区周围的道路、可能被污染的附近地表水体，立即向经济技术开发区环保局报告，</w:t>
      </w:r>
      <w:r>
        <w:rPr>
          <w:spacing w:val="-6"/>
          <w:sz w:val="24"/>
        </w:rPr>
        <w:t xml:space="preserve"> </w:t>
      </w:r>
      <w:r>
        <w:rPr>
          <w:rFonts w:hint="eastAsia"/>
          <w:spacing w:val="-6"/>
          <w:sz w:val="24"/>
        </w:rPr>
        <w:t>启动政府层面的突发环境事件应急预案。其中，涉及附近的企业时，可以启动相应企业的应急预案；涉及附近的居民、厂区周围道路、及附近的地表水体时需启动经济技术开发区突发环境事件应急预案，并对周围的道路实行交通管制。公司突发环境事件应急预案统筹考虑公司内部、外部各应急预案相关内容的衔接性，并通过演练巩固、完善应急联动机制。本应急预案如有与政府部门的应急预案相冲突时，</w:t>
      </w:r>
      <w:r>
        <w:rPr>
          <w:spacing w:val="-6"/>
          <w:sz w:val="24"/>
        </w:rPr>
        <w:t xml:space="preserve"> </w:t>
      </w:r>
      <w:r>
        <w:rPr>
          <w:rFonts w:hint="eastAsia"/>
          <w:spacing w:val="-6"/>
          <w:sz w:val="24"/>
        </w:rPr>
        <w:t>执行政府部门的应急预案。</w:t>
      </w:r>
    </w:p>
    <w:p w:rsidR="00B04AE3" w:rsidRDefault="00B04AE3">
      <w:pPr>
        <w:spacing w:line="364" w:lineRule="auto"/>
        <w:sectPr w:rsidR="00B04AE3">
          <w:footerReference w:type="default" r:id="rId12"/>
          <w:pgSz w:w="11910" w:h="16840"/>
          <w:pgMar w:top="1100" w:right="0" w:bottom="1180" w:left="0" w:header="878" w:footer="993" w:gutter="0"/>
          <w:cols w:space="720"/>
        </w:sectPr>
      </w:pPr>
    </w:p>
    <w:p w:rsidR="00B04AE3" w:rsidRDefault="00B04AE3">
      <w:pPr>
        <w:spacing w:before="47"/>
        <w:ind w:left="5080" w:right="4900"/>
        <w:jc w:val="center"/>
        <w:rPr>
          <w:sz w:val="18"/>
        </w:rPr>
      </w:pPr>
      <w:r>
        <w:rPr>
          <w:noProof/>
          <w:lang w:val="en-US"/>
        </w:rPr>
        <w:pict>
          <v:line id="_x0000_s1031" style="position:absolute;left:0;text-align:left;z-index:251651584;mso-position-horizontal-relative:page" from="1in,15.25pt" to="769.9pt,15.25pt" strokeweight=".72pt">
            <w10:wrap anchorx="page"/>
          </v:line>
        </w:pict>
      </w:r>
      <w:r>
        <w:rPr>
          <w:rFonts w:hint="eastAsia"/>
          <w:sz w:val="18"/>
        </w:rPr>
        <w:t>南昌海立电器有限公司突发环境事件应急预案</w:t>
      </w:r>
    </w:p>
    <w:p w:rsidR="00B04AE3" w:rsidRDefault="00B04AE3">
      <w:pPr>
        <w:pStyle w:val="BodyText"/>
        <w:rPr>
          <w:sz w:val="20"/>
        </w:rPr>
      </w:pPr>
    </w:p>
    <w:p w:rsidR="00B04AE3" w:rsidRDefault="00B04AE3">
      <w:pPr>
        <w:pStyle w:val="BodyText"/>
        <w:rPr>
          <w:sz w:val="20"/>
        </w:rPr>
      </w:pPr>
    </w:p>
    <w:p w:rsidR="00B04AE3" w:rsidRDefault="00B04AE3">
      <w:pPr>
        <w:pStyle w:val="BodyText"/>
        <w:spacing w:before="7"/>
        <w:rPr>
          <w:sz w:val="26"/>
        </w:rPr>
      </w:pPr>
      <w:r>
        <w:rPr>
          <w:noProof/>
          <w:lang w:val="en-US"/>
        </w:rPr>
        <w:pict>
          <v:shapetype id="_x0000_t202" coordsize="21600,21600" o:spt="202" path="m,l,21600r21600,l21600,xe">
            <v:stroke joinstyle="miter"/>
            <v:path gradientshapeok="t" o:connecttype="rect"/>
          </v:shapetype>
          <v:shape id="_x0000_s1032" type="#_x0000_t202" style="position:absolute;margin-left:137.35pt;margin-top:18.2pt;width:114.85pt;height:26.2pt;z-index:-251635200;mso-position-horizontal-relative:page" filled="f" stroked="f">
            <v:textbox inset="0,0,0,0">
              <w:txbxContent>
                <w:p w:rsidR="00B04AE3" w:rsidRDefault="00B04AE3">
                  <w:pPr>
                    <w:spacing w:before="79"/>
                    <w:ind w:left="153"/>
                    <w:rPr>
                      <w:sz w:val="21"/>
                    </w:rPr>
                  </w:pPr>
                  <w:bookmarkStart w:id="22" w:name="_bookmark0"/>
                  <w:bookmarkEnd w:id="22"/>
                  <w:r>
                    <w:rPr>
                      <w:rFonts w:hint="eastAsia"/>
                      <w:sz w:val="21"/>
                    </w:rPr>
                    <w:t>外部相关应急预案</w:t>
                  </w:r>
                </w:p>
              </w:txbxContent>
            </v:textbox>
            <w10:wrap type="topAndBottom" anchorx="page"/>
          </v:shape>
        </w:pict>
      </w:r>
      <w:r>
        <w:rPr>
          <w:noProof/>
          <w:lang w:val="en-US"/>
        </w:rPr>
        <w:pict>
          <v:shape id="_x0000_s1033" type="#_x0000_t202" style="position:absolute;margin-left:569.15pt;margin-top:26.15pt;width:106.35pt;height:23.55pt;z-index:-251634176;mso-position-horizontal-relative:page" filled="f" stroked="f">
            <v:textbox inset="0,0,0,0">
              <w:txbxContent>
                <w:p w:rsidR="00B04AE3" w:rsidRDefault="00B04AE3">
                  <w:pPr>
                    <w:spacing w:before="81"/>
                    <w:ind w:left="151"/>
                    <w:rPr>
                      <w:sz w:val="21"/>
                    </w:rPr>
                  </w:pPr>
                  <w:r>
                    <w:rPr>
                      <w:rFonts w:hint="eastAsia"/>
                      <w:sz w:val="21"/>
                    </w:rPr>
                    <w:t>公司内部应急预案</w:t>
                  </w:r>
                </w:p>
              </w:txbxContent>
            </v:textbox>
            <w10:wrap type="topAndBottom" anchorx="page"/>
          </v:shape>
        </w:pict>
      </w:r>
    </w:p>
    <w:p w:rsidR="00B04AE3" w:rsidRDefault="00B04AE3">
      <w:pPr>
        <w:pStyle w:val="BodyText"/>
        <w:rPr>
          <w:sz w:val="20"/>
        </w:rPr>
      </w:pPr>
    </w:p>
    <w:p w:rsidR="00B04AE3" w:rsidRDefault="00B04AE3">
      <w:pPr>
        <w:pStyle w:val="BodyText"/>
        <w:rPr>
          <w:sz w:val="20"/>
        </w:rPr>
      </w:pPr>
    </w:p>
    <w:p w:rsidR="00B04AE3" w:rsidRDefault="00B04AE3">
      <w:pPr>
        <w:pStyle w:val="BodyText"/>
        <w:spacing w:before="2"/>
        <w:rPr>
          <w:sz w:val="18"/>
        </w:rPr>
      </w:pPr>
      <w:r>
        <w:rPr>
          <w:noProof/>
          <w:lang w:val="en-US"/>
        </w:rPr>
        <w:pict>
          <v:shape id="_x0000_s1034" type="#_x0000_t202" style="position:absolute;margin-left:74.75pt;margin-top:12.85pt;width:100.6pt;height:31.45pt;z-index:-251633152;mso-position-horizontal-relative:page" filled="f" stroked="f">
            <v:textbox inset="0,0,0,0">
              <w:txbxContent>
                <w:p w:rsidR="00B04AE3" w:rsidRDefault="00B04AE3">
                  <w:pPr>
                    <w:spacing w:before="81"/>
                    <w:ind w:left="153"/>
                    <w:rPr>
                      <w:sz w:val="21"/>
                    </w:rPr>
                  </w:pPr>
                  <w:r>
                    <w:rPr>
                      <w:rFonts w:hint="eastAsia"/>
                      <w:sz w:val="21"/>
                    </w:rPr>
                    <w:t>政府总体应急预案</w:t>
                  </w:r>
                </w:p>
              </w:txbxContent>
            </v:textbox>
            <w10:wrap type="topAndBottom" anchorx="page"/>
          </v:shape>
        </w:pict>
      </w:r>
      <w:r>
        <w:rPr>
          <w:noProof/>
          <w:lang w:val="en-US"/>
        </w:rPr>
        <w:pict>
          <v:shape id="_x0000_s1035" type="#_x0000_t202" style="position:absolute;margin-left:206pt;margin-top:12.85pt;width:105.6pt;height:31.45pt;z-index:-251632128;mso-position-horizontal-relative:page" filled="f" stroked="f">
            <v:textbox inset="0,0,0,0">
              <w:txbxContent>
                <w:p w:rsidR="00B04AE3" w:rsidRDefault="00B04AE3">
                  <w:pPr>
                    <w:spacing w:before="81"/>
                    <w:ind w:left="151"/>
                    <w:rPr>
                      <w:sz w:val="21"/>
                    </w:rPr>
                  </w:pPr>
                  <w:r>
                    <w:rPr>
                      <w:rFonts w:hint="eastAsia"/>
                      <w:sz w:val="21"/>
                    </w:rPr>
                    <w:t>部门</w:t>
                  </w:r>
                  <w:r>
                    <w:rPr>
                      <w:sz w:val="21"/>
                    </w:rPr>
                    <w:t>/</w:t>
                  </w:r>
                  <w:r>
                    <w:rPr>
                      <w:rFonts w:hint="eastAsia"/>
                      <w:sz w:val="21"/>
                    </w:rPr>
                    <w:t>行业应急预案</w:t>
                  </w:r>
                </w:p>
              </w:txbxContent>
            </v:textbox>
            <w10:wrap type="topAndBottom" anchorx="page"/>
          </v:shape>
        </w:pict>
      </w:r>
      <w:r>
        <w:rPr>
          <w:noProof/>
          <w:lang w:val="en-US"/>
        </w:rPr>
        <w:pict>
          <v:shape id="_x0000_s1036" type="#_x0000_t202" style="position:absolute;margin-left:331.2pt;margin-top:12.85pt;width:115pt;height:40.8pt;z-index:-251631104;mso-position-horizontal-relative:page" filled="f" stroked="f">
            <v:textbox inset="0,0,0,0">
              <w:txbxContent>
                <w:p w:rsidR="00B04AE3" w:rsidRDefault="00B04AE3">
                  <w:pPr>
                    <w:spacing w:before="81" w:line="242" w:lineRule="auto"/>
                    <w:ind w:left="151" w:right="153"/>
                    <w:rPr>
                      <w:sz w:val="21"/>
                    </w:rPr>
                  </w:pPr>
                  <w:r>
                    <w:rPr>
                      <w:rFonts w:hint="eastAsia"/>
                      <w:sz w:val="21"/>
                    </w:rPr>
                    <w:t>周边企业突发环境事件应急预案</w:t>
                  </w:r>
                </w:p>
              </w:txbxContent>
            </v:textbox>
            <w10:wrap type="topAndBottom" anchorx="page"/>
          </v:shape>
        </w:pict>
      </w:r>
      <w:r>
        <w:rPr>
          <w:noProof/>
          <w:lang w:val="en-US"/>
        </w:rPr>
        <w:pict>
          <v:shape id="_x0000_s1037" type="#_x0000_t202" style="position:absolute;margin-left:477.6pt;margin-top:35.75pt;width:77.05pt;height:35.9pt;z-index:-251630080;mso-position-horizontal-relative:page" filled="f" stroked="f">
            <v:textbox inset="0,0,0,0">
              <w:txbxContent>
                <w:p w:rsidR="00B04AE3" w:rsidRDefault="00B04AE3">
                  <w:pPr>
                    <w:spacing w:before="81" w:line="242" w:lineRule="auto"/>
                    <w:ind w:left="244" w:right="245"/>
                    <w:rPr>
                      <w:sz w:val="21"/>
                    </w:rPr>
                  </w:pPr>
                  <w:r>
                    <w:rPr>
                      <w:rFonts w:hint="eastAsia"/>
                      <w:sz w:val="21"/>
                    </w:rPr>
                    <w:t>突发环境事件应急预案</w:t>
                  </w:r>
                </w:p>
              </w:txbxContent>
            </v:textbox>
            <w10:wrap type="topAndBottom" anchorx="page"/>
          </v:shape>
        </w:pict>
      </w:r>
      <w:r>
        <w:rPr>
          <w:noProof/>
          <w:lang w:val="en-US"/>
        </w:rPr>
        <w:pict>
          <v:shape id="_x0000_s1038" type="#_x0000_t202" style="position:absolute;margin-left:576.55pt;margin-top:35.75pt;width:77.2pt;height:36pt;z-index:-251629056;mso-position-horizontal-relative:page" filled="f" stroked="f">
            <v:textbox inset="0,0,0,0">
              <w:txbxContent>
                <w:p w:rsidR="00B04AE3" w:rsidRDefault="00B04AE3">
                  <w:pPr>
                    <w:spacing w:before="81" w:line="242" w:lineRule="auto"/>
                    <w:ind w:left="455" w:right="247" w:hanging="212"/>
                    <w:rPr>
                      <w:sz w:val="21"/>
                    </w:rPr>
                  </w:pPr>
                  <w:r>
                    <w:rPr>
                      <w:rFonts w:hint="eastAsia"/>
                      <w:sz w:val="21"/>
                    </w:rPr>
                    <w:t>安全生产应急预案</w:t>
                  </w:r>
                </w:p>
              </w:txbxContent>
            </v:textbox>
            <w10:wrap type="topAndBottom" anchorx="page"/>
          </v:shape>
        </w:pict>
      </w:r>
      <w:r>
        <w:rPr>
          <w:noProof/>
          <w:lang w:val="en-US"/>
        </w:rPr>
        <w:pict>
          <v:shape id="_x0000_s1039" type="#_x0000_t202" style="position:absolute;margin-left:666.55pt;margin-top:35.75pt;width:76.95pt;height:36pt;z-index:-251628032;mso-position-horizontal-relative:page" filled="f" stroked="f">
            <v:textbox inset="0,0,0,0">
              <w:txbxContent>
                <w:p w:rsidR="00B04AE3" w:rsidRDefault="00B04AE3">
                  <w:pPr>
                    <w:spacing w:before="81" w:line="242" w:lineRule="auto"/>
                    <w:ind w:left="244" w:right="242"/>
                    <w:rPr>
                      <w:sz w:val="21"/>
                    </w:rPr>
                  </w:pPr>
                  <w:r>
                    <w:rPr>
                      <w:rFonts w:hint="eastAsia"/>
                      <w:sz w:val="21"/>
                    </w:rPr>
                    <w:t>公司内部其他应急预案</w:t>
                  </w:r>
                </w:p>
              </w:txbxContent>
            </v:textbox>
            <w10:wrap type="topAndBottom" anchorx="page"/>
          </v:shape>
        </w:pict>
      </w:r>
    </w:p>
    <w:p w:rsidR="00B04AE3" w:rsidRDefault="00B04AE3">
      <w:pPr>
        <w:pStyle w:val="BodyText"/>
        <w:rPr>
          <w:sz w:val="5"/>
        </w:rPr>
      </w:pPr>
    </w:p>
    <w:p w:rsidR="00B04AE3" w:rsidRDefault="00B04AE3">
      <w:pPr>
        <w:tabs>
          <w:tab w:val="left" w:pos="2852"/>
        </w:tabs>
        <w:ind w:left="196"/>
        <w:rPr>
          <w:sz w:val="20"/>
        </w:rPr>
      </w:pPr>
      <w:r>
        <w:rPr>
          <w:noProof/>
          <w:lang w:val="en-US"/>
        </w:rPr>
      </w:r>
      <w:r w:rsidRPr="000C330E">
        <w:rPr>
          <w:sz w:val="20"/>
        </w:rPr>
        <w:pict>
          <v:shape id="_x0000_s1040" type="#_x0000_t202" style="width:104.2pt;height:39.75pt;mso-position-horizontal-relative:char;mso-position-vertical-relative:line" filled="f" stroked="f">
            <v:textbox inset="0,0,0,0">
              <w:txbxContent>
                <w:p w:rsidR="00B04AE3" w:rsidRDefault="00B04AE3">
                  <w:pPr>
                    <w:spacing w:before="81" w:line="242" w:lineRule="auto"/>
                    <w:ind w:left="151" w:right="151"/>
                    <w:rPr>
                      <w:sz w:val="21"/>
                    </w:rPr>
                  </w:pPr>
                  <w:r>
                    <w:rPr>
                      <w:rFonts w:hint="eastAsia"/>
                      <w:sz w:val="21"/>
                    </w:rPr>
                    <w:t>国家突发公共事件总体应急预案</w:t>
                  </w:r>
                </w:p>
              </w:txbxContent>
            </v:textbox>
            <w10:anchorlock/>
          </v:shape>
        </w:pict>
      </w:r>
      <w:r>
        <w:rPr>
          <w:sz w:val="20"/>
        </w:rPr>
        <w:tab/>
      </w:r>
      <w:r>
        <w:rPr>
          <w:noProof/>
          <w:lang w:val="en-US"/>
        </w:rPr>
      </w:r>
      <w:r w:rsidRPr="00E43F4D">
        <w:rPr>
          <w:position w:val="7"/>
          <w:sz w:val="20"/>
        </w:rPr>
        <w:pict>
          <v:shape id="_x0000_s1041" type="#_x0000_t202" style="width:102.75pt;height:36pt;mso-position-horizontal-relative:char;mso-position-vertical-relative:line" filled="f" stroked="f">
            <v:textbox inset="0,0,0,0">
              <w:txbxContent>
                <w:p w:rsidR="00B04AE3" w:rsidRDefault="00B04AE3">
                  <w:pPr>
                    <w:spacing w:before="85" w:line="213" w:lineRule="auto"/>
                    <w:ind w:left="151" w:right="153"/>
                    <w:rPr>
                      <w:sz w:val="21"/>
                    </w:rPr>
                  </w:pPr>
                  <w:r>
                    <w:rPr>
                      <w:rFonts w:hint="eastAsia"/>
                      <w:sz w:val="21"/>
                    </w:rPr>
                    <w:t>部门</w:t>
                  </w:r>
                  <w:r>
                    <w:rPr>
                      <w:sz w:val="21"/>
                    </w:rPr>
                    <w:t xml:space="preserve">/ </w:t>
                  </w:r>
                  <w:r>
                    <w:rPr>
                      <w:rFonts w:hint="eastAsia"/>
                      <w:sz w:val="21"/>
                    </w:rPr>
                    <w:t>行业应急预案</w:t>
                  </w:r>
                </w:p>
              </w:txbxContent>
            </v:textbox>
            <w10:anchorlock/>
          </v:shape>
        </w:pict>
      </w:r>
    </w:p>
    <w:p w:rsidR="00B04AE3" w:rsidRDefault="00B04AE3">
      <w:pPr>
        <w:pStyle w:val="BodyText"/>
        <w:spacing w:before="4"/>
        <w:rPr>
          <w:sz w:val="12"/>
        </w:rPr>
      </w:pPr>
      <w:r>
        <w:rPr>
          <w:noProof/>
          <w:lang w:val="en-US"/>
        </w:rPr>
        <w:pict>
          <v:shape id="_x0000_s1042" type="#_x0000_t202" style="position:absolute;margin-left:75.55pt;margin-top:23pt;width:103.45pt;height:39.85pt;z-index:-251627008;mso-position-horizontal-relative:page" filled="f" stroked="f">
            <v:textbox inset="0,0,0,0">
              <w:txbxContent>
                <w:p w:rsidR="00B04AE3" w:rsidRDefault="00B04AE3">
                  <w:pPr>
                    <w:spacing w:before="83" w:line="213" w:lineRule="auto"/>
                    <w:ind w:left="151" w:right="151"/>
                    <w:rPr>
                      <w:sz w:val="21"/>
                    </w:rPr>
                  </w:pPr>
                  <w:r>
                    <w:rPr>
                      <w:rFonts w:hint="eastAsia"/>
                      <w:sz w:val="21"/>
                    </w:rPr>
                    <w:t>江西省突发公共事件总体应急预案</w:t>
                  </w:r>
                </w:p>
              </w:txbxContent>
            </v:textbox>
            <w10:wrap type="topAndBottom" anchorx="page"/>
          </v:shape>
        </w:pict>
      </w:r>
      <w:r>
        <w:rPr>
          <w:noProof/>
          <w:lang w:val="en-US"/>
        </w:rPr>
        <w:pict>
          <v:shape id="_x0000_s1043" type="#_x0000_t202" style="position:absolute;margin-left:205.9pt;margin-top:23pt;width:103.45pt;height:31.35pt;z-index:-251625984;mso-position-horizontal-relative:page" filled="f" stroked="f">
            <v:textbox inset="0,0,0,0">
              <w:txbxContent>
                <w:p w:rsidR="00B04AE3" w:rsidRDefault="00B04AE3">
                  <w:pPr>
                    <w:spacing w:before="83" w:line="213" w:lineRule="auto"/>
                    <w:ind w:left="151" w:right="153"/>
                    <w:rPr>
                      <w:sz w:val="21"/>
                    </w:rPr>
                  </w:pPr>
                  <w:r>
                    <w:rPr>
                      <w:rFonts w:hint="eastAsia"/>
                      <w:sz w:val="21"/>
                    </w:rPr>
                    <w:t>江西省突发环境事件应急预案</w:t>
                  </w:r>
                </w:p>
              </w:txbxContent>
            </v:textbox>
            <w10:wrap type="topAndBottom" anchorx="page"/>
          </v:shape>
        </w:pict>
      </w:r>
      <w:r>
        <w:rPr>
          <w:noProof/>
          <w:lang w:val="en-US"/>
        </w:rPr>
        <w:pict>
          <v:shape id="_x0000_s1044" type="#_x0000_t202" style="position:absolute;margin-left:456.7pt;margin-top:21.65pt;width:52.45pt;height:36.15pt;z-index:-251624960;mso-position-horizontal-relative:page" filled="f" stroked="f">
            <v:textbox inset="0,0,0,0">
              <w:txbxContent>
                <w:p w:rsidR="00B04AE3" w:rsidRDefault="00B04AE3">
                  <w:pPr>
                    <w:spacing w:before="81" w:line="242" w:lineRule="auto"/>
                    <w:ind w:left="208" w:right="209"/>
                    <w:rPr>
                      <w:sz w:val="21"/>
                    </w:rPr>
                  </w:pPr>
                  <w:r>
                    <w:rPr>
                      <w:rFonts w:hint="eastAsia"/>
                      <w:sz w:val="21"/>
                    </w:rPr>
                    <w:t>综合应急预案</w:t>
                  </w:r>
                </w:p>
              </w:txbxContent>
            </v:textbox>
            <w10:wrap type="topAndBottom" anchorx="page"/>
          </v:shape>
        </w:pict>
      </w:r>
      <w:r>
        <w:rPr>
          <w:noProof/>
          <w:lang w:val="en-US"/>
        </w:rPr>
        <w:pict>
          <v:shape id="_x0000_s1045" type="#_x0000_t202" style="position:absolute;margin-left:576.55pt;margin-top:9.05pt;width:52.6pt;height:36.15pt;z-index:-251623936;mso-position-horizontal-relative:page" filled="f" stroked="f">
            <v:textbox inset="0,0,0,0">
              <w:txbxContent>
                <w:p w:rsidR="00B04AE3" w:rsidRDefault="00B04AE3">
                  <w:pPr>
                    <w:spacing w:before="81" w:line="242" w:lineRule="auto"/>
                    <w:ind w:left="208" w:right="211"/>
                    <w:rPr>
                      <w:sz w:val="21"/>
                    </w:rPr>
                  </w:pPr>
                  <w:r>
                    <w:rPr>
                      <w:rFonts w:hint="eastAsia"/>
                      <w:sz w:val="21"/>
                    </w:rPr>
                    <w:t>专项应急预案</w:t>
                  </w:r>
                </w:p>
              </w:txbxContent>
            </v:textbox>
            <w10:wrap type="topAndBottom" anchorx="page"/>
          </v:shape>
        </w:pict>
      </w:r>
      <w:r>
        <w:rPr>
          <w:noProof/>
          <w:lang w:val="en-US"/>
        </w:rPr>
        <w:pict>
          <v:shape id="_x0000_s1046" type="#_x0000_t202" style="position:absolute;margin-left:677.85pt;margin-top:21.45pt;width:52.35pt;height:36.15pt;z-index:-251622912;mso-position-horizontal-relative:page" filled="f" stroked="f">
            <v:textbox inset="0,0,0,0">
              <w:txbxContent>
                <w:p w:rsidR="00B04AE3" w:rsidRDefault="00B04AE3">
                  <w:pPr>
                    <w:spacing w:before="81" w:line="244" w:lineRule="auto"/>
                    <w:ind w:left="208" w:right="206"/>
                    <w:rPr>
                      <w:sz w:val="21"/>
                    </w:rPr>
                  </w:pPr>
                  <w:r>
                    <w:rPr>
                      <w:rFonts w:hint="eastAsia"/>
                      <w:sz w:val="21"/>
                    </w:rPr>
                    <w:t>现场处置方案</w:t>
                  </w:r>
                </w:p>
              </w:txbxContent>
            </v:textbox>
            <w10:wrap type="topAndBottom" anchorx="page"/>
          </v:shape>
        </w:pict>
      </w:r>
    </w:p>
    <w:p w:rsidR="00B04AE3" w:rsidRDefault="00B04AE3">
      <w:pPr>
        <w:tabs>
          <w:tab w:val="left" w:pos="2872"/>
          <w:tab w:val="left" w:pos="9959"/>
        </w:tabs>
        <w:ind w:left="191"/>
        <w:rPr>
          <w:sz w:val="20"/>
        </w:rPr>
      </w:pPr>
      <w:r>
        <w:rPr>
          <w:noProof/>
          <w:lang w:val="en-US"/>
        </w:rPr>
      </w:r>
      <w:r w:rsidRPr="000C330E">
        <w:rPr>
          <w:sz w:val="20"/>
        </w:rPr>
        <w:pict>
          <v:shape id="_x0000_s1047" type="#_x0000_t202" style="width:104.55pt;height:31.6pt;mso-position-horizontal-relative:char;mso-position-vertical-relative:line" filled="f" stroked="f">
            <v:textbox inset="0,0,0,0">
              <w:txbxContent>
                <w:p w:rsidR="00B04AE3" w:rsidRDefault="00B04AE3">
                  <w:pPr>
                    <w:spacing w:before="85" w:line="213" w:lineRule="auto"/>
                    <w:ind w:left="151" w:right="151"/>
                    <w:rPr>
                      <w:sz w:val="21"/>
                    </w:rPr>
                  </w:pPr>
                  <w:r>
                    <w:rPr>
                      <w:rFonts w:hint="eastAsia"/>
                      <w:sz w:val="21"/>
                    </w:rPr>
                    <w:t>南昌市突发公共事件总体应急预案</w:t>
                  </w:r>
                </w:p>
              </w:txbxContent>
            </v:textbox>
            <w10:anchorlock/>
          </v:shape>
        </w:pict>
      </w:r>
      <w:r>
        <w:rPr>
          <w:sz w:val="20"/>
        </w:rPr>
        <w:tab/>
      </w:r>
      <w:r>
        <w:rPr>
          <w:noProof/>
          <w:lang w:val="en-US"/>
        </w:rPr>
      </w:r>
      <w:r w:rsidRPr="000C330E">
        <w:rPr>
          <w:sz w:val="20"/>
        </w:rPr>
        <w:pict>
          <v:shape id="_x0000_s1048" type="#_x0000_t202" style="width:95.05pt;height:31.45pt;mso-position-horizontal-relative:char;mso-position-vertical-relative:line" filled="f" stroked="f">
            <v:textbox inset="0,0,0,0">
              <w:txbxContent>
                <w:p w:rsidR="00B04AE3" w:rsidRDefault="00B04AE3">
                  <w:pPr>
                    <w:spacing w:before="85" w:line="213" w:lineRule="auto"/>
                    <w:ind w:left="151" w:right="151"/>
                    <w:rPr>
                      <w:sz w:val="21"/>
                    </w:rPr>
                  </w:pPr>
                  <w:r>
                    <w:rPr>
                      <w:rFonts w:hint="eastAsia"/>
                      <w:sz w:val="21"/>
                    </w:rPr>
                    <w:t>南昌市突发环境事件应急预案</w:t>
                  </w:r>
                </w:p>
              </w:txbxContent>
            </v:textbox>
            <w10:anchorlock/>
          </v:shape>
        </w:pict>
      </w:r>
      <w:r>
        <w:rPr>
          <w:sz w:val="20"/>
        </w:rPr>
        <w:tab/>
      </w:r>
      <w:r>
        <w:rPr>
          <w:noProof/>
          <w:lang w:val="en-US"/>
        </w:rPr>
      </w:r>
      <w:r w:rsidRPr="00E43F4D">
        <w:rPr>
          <w:position w:val="61"/>
          <w:sz w:val="20"/>
        </w:rPr>
        <w:pict>
          <v:shape id="_x0000_s1049" type="#_x0000_t202" style="width:80.4pt;height:23.05pt;mso-position-horizontal-relative:char;mso-position-vertical-relative:line" filled="f" stroked="f">
            <v:textbox inset="0,0,0,0">
              <w:txbxContent>
                <w:p w:rsidR="00B04AE3" w:rsidRDefault="00B04AE3">
                  <w:pPr>
                    <w:spacing w:before="79"/>
                    <w:ind w:left="151"/>
                    <w:rPr>
                      <w:sz w:val="21"/>
                    </w:rPr>
                  </w:pPr>
                  <w:r>
                    <w:rPr>
                      <w:rFonts w:hint="eastAsia"/>
                      <w:sz w:val="21"/>
                    </w:rPr>
                    <w:t>危险废物专章</w:t>
                  </w:r>
                </w:p>
              </w:txbxContent>
            </v:textbox>
            <w10:anchorlock/>
          </v:shape>
        </w:pict>
      </w:r>
    </w:p>
    <w:p w:rsidR="00B04AE3" w:rsidRDefault="00B04AE3">
      <w:pPr>
        <w:rPr>
          <w:sz w:val="20"/>
        </w:rPr>
        <w:sectPr w:rsidR="00B04AE3">
          <w:headerReference w:type="default" r:id="rId13"/>
          <w:footerReference w:type="default" r:id="rId14"/>
          <w:pgSz w:w="16840" w:h="11910" w:orient="landscape"/>
          <w:pgMar w:top="800" w:right="1520" w:bottom="280" w:left="1340" w:header="0" w:footer="0" w:gutter="0"/>
          <w:cols w:space="720"/>
        </w:sectPr>
      </w:pPr>
    </w:p>
    <w:p w:rsidR="00B04AE3" w:rsidRDefault="00B04AE3">
      <w:pPr>
        <w:spacing w:before="82" w:line="242" w:lineRule="auto"/>
        <w:ind w:left="6131"/>
        <w:jc w:val="center"/>
        <w:rPr>
          <w:sz w:val="21"/>
        </w:rPr>
      </w:pPr>
      <w:r>
        <w:rPr>
          <w:noProof/>
          <w:lang w:val="en-US"/>
        </w:rPr>
        <w:pict>
          <v:shape id="_x0000_s1050" type="#_x0000_t202" style="position:absolute;left:0;text-align:left;margin-left:209pt;margin-top:23.5pt;width:99.6pt;height:31.45pt;z-index:251652608;mso-position-horizontal-relative:page" filled="f" stroked="f">
            <v:textbox inset="0,0,0,0">
              <w:txbxContent>
                <w:p w:rsidR="00B04AE3" w:rsidRDefault="00B04AE3">
                  <w:pPr>
                    <w:spacing w:before="85" w:line="213" w:lineRule="auto"/>
                    <w:ind w:left="151" w:right="151"/>
                    <w:rPr>
                      <w:sz w:val="21"/>
                    </w:rPr>
                  </w:pPr>
                  <w:r>
                    <w:rPr>
                      <w:rFonts w:hint="eastAsia"/>
                      <w:sz w:val="21"/>
                    </w:rPr>
                    <w:t>经济技术开发区突发环境事件应急预案</w:t>
                  </w:r>
                </w:p>
              </w:txbxContent>
            </v:textbox>
            <w10:wrap anchorx="page"/>
          </v:shape>
        </w:pict>
      </w:r>
      <w:r>
        <w:rPr>
          <w:noProof/>
          <w:lang w:val="en-US"/>
        </w:rPr>
        <w:pict>
          <v:shape id="_x0000_s1051" type="#_x0000_t202" style="position:absolute;left:0;text-align:left;margin-left:79.15pt;margin-top:23.5pt;width:102.5pt;height:31.45pt;z-index:251653632;mso-position-horizontal-relative:page" filled="f" stroked="f">
            <v:textbox inset="0,0,0,0">
              <w:txbxContent>
                <w:p w:rsidR="00B04AE3" w:rsidRDefault="00B04AE3">
                  <w:pPr>
                    <w:spacing w:before="85" w:line="213" w:lineRule="auto"/>
                    <w:ind w:left="151" w:right="151"/>
                    <w:rPr>
                      <w:sz w:val="21"/>
                    </w:rPr>
                  </w:pPr>
                  <w:r>
                    <w:rPr>
                      <w:rFonts w:hint="eastAsia"/>
                      <w:sz w:val="21"/>
                    </w:rPr>
                    <w:t>经济技术开发区突发公共事件总体应急预案</w:t>
                  </w:r>
                </w:p>
              </w:txbxContent>
            </v:textbox>
            <w10:wrap anchorx="page"/>
          </v:shape>
        </w:pict>
      </w:r>
      <w:r>
        <w:rPr>
          <w:rFonts w:hint="eastAsia"/>
          <w:spacing w:val="-5"/>
          <w:sz w:val="21"/>
        </w:rPr>
        <w:t>化学品库</w:t>
      </w:r>
      <w:r>
        <w:rPr>
          <w:rFonts w:hint="eastAsia"/>
          <w:sz w:val="21"/>
        </w:rPr>
        <w:t>泄</w:t>
      </w:r>
    </w:p>
    <w:p w:rsidR="00B04AE3" w:rsidRDefault="00B04AE3">
      <w:pPr>
        <w:spacing w:line="268" w:lineRule="exact"/>
        <w:ind w:right="101"/>
        <w:jc w:val="right"/>
        <w:rPr>
          <w:sz w:val="21"/>
        </w:rPr>
      </w:pPr>
      <w:r>
        <w:rPr>
          <w:rFonts w:hint="eastAsia"/>
          <w:w w:val="95"/>
          <w:sz w:val="21"/>
        </w:rPr>
        <w:t>漏事故</w:t>
      </w:r>
    </w:p>
    <w:p w:rsidR="00B04AE3" w:rsidRDefault="00B04AE3">
      <w:pPr>
        <w:spacing w:before="85" w:line="242" w:lineRule="auto"/>
        <w:ind w:left="562"/>
        <w:jc w:val="both"/>
        <w:rPr>
          <w:sz w:val="21"/>
        </w:rPr>
      </w:pPr>
      <w:r>
        <w:br w:type="column"/>
      </w:r>
      <w:r>
        <w:rPr>
          <w:rFonts w:hint="eastAsia"/>
          <w:sz w:val="21"/>
        </w:rPr>
        <w:t>火灾引起的环境污染事故</w:t>
      </w:r>
    </w:p>
    <w:p w:rsidR="00B04AE3" w:rsidRDefault="00B04AE3">
      <w:pPr>
        <w:spacing w:before="85" w:line="242" w:lineRule="auto"/>
        <w:ind w:left="607"/>
        <w:jc w:val="both"/>
        <w:rPr>
          <w:sz w:val="21"/>
        </w:rPr>
      </w:pPr>
      <w:r>
        <w:br w:type="column"/>
      </w:r>
      <w:r>
        <w:rPr>
          <w:rFonts w:hint="eastAsia"/>
          <w:sz w:val="21"/>
        </w:rPr>
        <w:t>重污染天气及污染治理设施非正常运行事故</w:t>
      </w:r>
    </w:p>
    <w:p w:rsidR="00B04AE3" w:rsidRDefault="00B04AE3">
      <w:pPr>
        <w:tabs>
          <w:tab w:val="left" w:pos="1721"/>
        </w:tabs>
        <w:spacing w:line="249" w:lineRule="exact"/>
        <w:ind w:left="571"/>
        <w:rPr>
          <w:sz w:val="21"/>
        </w:rPr>
      </w:pPr>
      <w:r>
        <w:br w:type="column"/>
      </w:r>
      <w:r>
        <w:rPr>
          <w:rFonts w:hint="eastAsia"/>
          <w:sz w:val="21"/>
        </w:rPr>
        <w:t>物料泄</w:t>
      </w:r>
      <w:r>
        <w:rPr>
          <w:sz w:val="21"/>
        </w:rPr>
        <w:tab/>
      </w:r>
      <w:r>
        <w:rPr>
          <w:rFonts w:hint="eastAsia"/>
          <w:spacing w:val="-1"/>
          <w:w w:val="95"/>
          <w:position w:val="1"/>
          <w:sz w:val="21"/>
        </w:rPr>
        <w:t>火</w:t>
      </w:r>
      <w:r>
        <w:rPr>
          <w:rFonts w:hint="eastAsia"/>
          <w:spacing w:val="-19"/>
          <w:w w:val="95"/>
          <w:position w:val="1"/>
          <w:sz w:val="21"/>
        </w:rPr>
        <w:t>灾</w:t>
      </w:r>
    </w:p>
    <w:p w:rsidR="00B04AE3" w:rsidRDefault="00B04AE3">
      <w:pPr>
        <w:tabs>
          <w:tab w:val="left" w:pos="1721"/>
        </w:tabs>
        <w:spacing w:line="272" w:lineRule="exact"/>
        <w:ind w:left="571"/>
        <w:rPr>
          <w:sz w:val="21"/>
        </w:rPr>
      </w:pPr>
      <w:r>
        <w:rPr>
          <w:rFonts w:hint="eastAsia"/>
          <w:sz w:val="21"/>
        </w:rPr>
        <w:t>漏现场</w:t>
      </w:r>
      <w:r>
        <w:rPr>
          <w:sz w:val="21"/>
        </w:rPr>
        <w:tab/>
      </w:r>
      <w:r>
        <w:rPr>
          <w:rFonts w:hint="eastAsia"/>
          <w:spacing w:val="-1"/>
          <w:w w:val="95"/>
          <w:position w:val="1"/>
          <w:sz w:val="21"/>
        </w:rPr>
        <w:t>引</w:t>
      </w:r>
      <w:r>
        <w:rPr>
          <w:rFonts w:hint="eastAsia"/>
          <w:spacing w:val="-19"/>
          <w:w w:val="95"/>
          <w:position w:val="1"/>
          <w:sz w:val="21"/>
        </w:rPr>
        <w:t>起</w:t>
      </w:r>
    </w:p>
    <w:p w:rsidR="00B04AE3" w:rsidRDefault="00B04AE3">
      <w:pPr>
        <w:tabs>
          <w:tab w:val="left" w:pos="1721"/>
        </w:tabs>
        <w:spacing w:before="1" w:line="235" w:lineRule="auto"/>
        <w:ind w:left="1721" w:hanging="1044"/>
        <w:jc w:val="right"/>
        <w:rPr>
          <w:sz w:val="21"/>
        </w:rPr>
      </w:pPr>
      <w:r>
        <w:rPr>
          <w:rFonts w:hint="eastAsia"/>
          <w:sz w:val="21"/>
        </w:rPr>
        <w:t>处置</w:t>
      </w:r>
      <w:r>
        <w:rPr>
          <w:sz w:val="21"/>
        </w:rPr>
        <w:tab/>
      </w:r>
      <w:r>
        <w:rPr>
          <w:rFonts w:hint="eastAsia"/>
          <w:spacing w:val="-1"/>
          <w:w w:val="95"/>
          <w:position w:val="1"/>
          <w:sz w:val="21"/>
        </w:rPr>
        <w:t>的</w:t>
      </w:r>
      <w:r>
        <w:rPr>
          <w:rFonts w:hint="eastAsia"/>
          <w:spacing w:val="-19"/>
          <w:w w:val="95"/>
          <w:position w:val="1"/>
          <w:sz w:val="21"/>
        </w:rPr>
        <w:t>环</w:t>
      </w:r>
      <w:r>
        <w:rPr>
          <w:rFonts w:hint="eastAsia"/>
          <w:spacing w:val="-1"/>
          <w:w w:val="95"/>
          <w:sz w:val="21"/>
        </w:rPr>
        <w:t>境</w:t>
      </w:r>
      <w:r>
        <w:rPr>
          <w:rFonts w:hint="eastAsia"/>
          <w:spacing w:val="-19"/>
          <w:w w:val="95"/>
          <w:sz w:val="21"/>
        </w:rPr>
        <w:t>污</w:t>
      </w:r>
    </w:p>
    <w:p w:rsidR="00B04AE3" w:rsidRDefault="00B04AE3">
      <w:pPr>
        <w:spacing w:line="234" w:lineRule="exact"/>
        <w:ind w:left="495"/>
        <w:rPr>
          <w:sz w:val="21"/>
        </w:rPr>
      </w:pPr>
      <w:r>
        <w:br w:type="column"/>
      </w:r>
      <w:r>
        <w:rPr>
          <w:rFonts w:hint="eastAsia"/>
          <w:sz w:val="21"/>
        </w:rPr>
        <w:t>重污染天气及</w:t>
      </w:r>
    </w:p>
    <w:p w:rsidR="00B04AE3" w:rsidRDefault="00B04AE3">
      <w:pPr>
        <w:spacing w:before="2" w:line="242" w:lineRule="auto"/>
        <w:ind w:left="495" w:right="107"/>
        <w:jc w:val="center"/>
        <w:rPr>
          <w:sz w:val="21"/>
        </w:rPr>
      </w:pPr>
      <w:r>
        <w:rPr>
          <w:rFonts w:hint="eastAsia"/>
          <w:sz w:val="21"/>
        </w:rPr>
        <w:t>污染治理设施非正常运行现场处置</w:t>
      </w:r>
    </w:p>
    <w:p w:rsidR="00B04AE3" w:rsidRDefault="00B04AE3">
      <w:pPr>
        <w:spacing w:line="242" w:lineRule="auto"/>
        <w:jc w:val="center"/>
        <w:rPr>
          <w:sz w:val="21"/>
        </w:rPr>
        <w:sectPr w:rsidR="00B04AE3">
          <w:type w:val="continuous"/>
          <w:pgSz w:w="16840" w:h="11910" w:orient="landscape"/>
          <w:pgMar w:top="60" w:right="1520" w:bottom="0" w:left="1340" w:header="720" w:footer="720" w:gutter="0"/>
          <w:cols w:num="5" w:space="720" w:equalWidth="0">
            <w:col w:w="6969" w:space="40"/>
            <w:col w:w="1192" w:space="39"/>
            <w:col w:w="1657" w:space="40"/>
            <w:col w:w="2140" w:space="39"/>
            <w:col w:w="1864"/>
          </w:cols>
        </w:sectPr>
      </w:pPr>
    </w:p>
    <w:p w:rsidR="00B04AE3" w:rsidRDefault="00B04AE3">
      <w:pPr>
        <w:pStyle w:val="BodyText"/>
        <w:rPr>
          <w:sz w:val="20"/>
        </w:rPr>
      </w:pPr>
      <w:r>
        <w:rPr>
          <w:noProof/>
          <w:lang w:val="en-US"/>
        </w:rPr>
        <w:pict>
          <v:group id="_x0000_s1052" style="position:absolute;margin-left:1in;margin-top:89.85pt;width:706.75pt;height:373.2pt;z-index:-251640320;mso-position-horizontal-relative:page;mso-position-vertical-relative:page" coordorigin="1441,1797" coordsize="14135,7464">
            <v:shape id="_x0000_s1053" style="position:absolute;left:1440;top:1797;width:14135;height:7464" coordorigin="1441,1797" coordsize="14135,7464" o:spt="100" adj="0,,0" path="m15576,9261r-14135,l1441,1797r14135,l15576,1805r-14120,l1448,1812r8,l1456,9246r-8,l1456,9254r14120,l15576,9261xm1456,1812r-8,l1456,1805r,7xm15561,1812r-14105,l1456,1805r14105,l15561,1812xm15561,9254r,-7449l15568,1812r8,l15576,9246r-8,l15561,9254xm15576,1812r-8,l15561,1805r15,l15576,1812xm1456,9254r-8,-8l1456,9246r,8xm15561,9254r-14105,l1456,9246r14105,l15561,9254xm15576,9254r-15,l15568,9246r8,l15576,925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54" style="position:absolute;left:2748;top:1960;width:2297;height:524" stroked="f"/>
            <v:shape id="_x0000_s1055" style="position:absolute;left:2741;top:1952;width:2310;height:539" coordorigin="2742,1952" coordsize="2310,539" o:spt="100" adj="0,,0" path="m5052,2491r-2310,l2742,1952r2310,l5052,1960r-2295,l2749,1967r8,l2757,2476r-8,l2757,2484r2295,l5052,2491xm2757,1967r-8,l2757,1960r,7xm5037,1967r-2280,l2757,1960r2280,l5037,1967xm5037,2484r,-524l5044,1967r8,l5052,2476r-8,l5037,2484xm5052,1967r-8,l5037,1960r15,l5052,1967xm2757,2484r-8,-8l2757,2476r,8xm5037,2484r-2280,l2757,2476r2280,l5037,2484xm5052,2484r-15,l5044,2476r8,l5052,248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056" style="position:absolute" from="3741,2433" to="3741,2836" strokeweight=".8pt"/>
            <v:line id="_x0000_s1057" style="position:absolute" from="2227,2905" to="7718,2905" strokeweight="1.35pt"/>
            <v:rect id="_x0000_s1058" style="position:absolute;left:1495;top:3374;width:2012;height:629" stroked="f"/>
            <v:shape id="_x0000_s1059" style="position:absolute;left:1488;top:3367;width:2026;height:644" coordorigin="1489,3367" coordsize="2026,644" o:spt="100" adj="0,,0" path="m3515,4011r-2026,l1489,3367r2026,l3515,3375r-2011,l1496,3382r8,l1504,3996r-8,l1504,4004r2011,l3515,4011xm1504,3382r-8,l1504,3375r,7xm3500,3382r-1996,l1504,3375r1996,l3500,3382xm3500,4004r,-629l3507,3382r8,l3515,3996r-8,l3500,4004xm3515,3382r-8,l3500,3375r15,l3515,3382xm1504,4004r-8,-8l1504,3996r,8xm3500,4004r-1996,l1504,3996r1996,l3500,4004xm3515,4004r-15,l3507,3996r8,l3515,400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60" style="position:absolute;left:4120;top:3374;width:2112;height:629" stroked="f"/>
            <v:shape id="_x0000_s1061" style="position:absolute;left:4112;top:3367;width:2128;height:644" coordorigin="4113,3367" coordsize="2128,644" o:spt="100" adj="0,,0" path="m6241,4011r-2128,l4113,3367r2128,l6241,3375r-2113,l4120,3382r8,l4128,3996r-8,l4128,4004r2113,l6241,4011xm4128,3382r-8,l4128,3375r,7xm6226,3382r-2098,l4128,3375r2098,l6226,3382xm6226,4004r,-629l6233,3382r8,l6241,3996r-8,l6226,4004xm6241,3382r-8,l6226,3375r15,l6241,3382xm4128,4004r-8,-8l4128,3996r,8xm6226,4004r-2098,l4128,3996r2098,l6226,4004xm6241,4004r-15,l6233,3996r8,l6241,400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62" style="position:absolute;left:6624;top:3374;width:2300;height:816" stroked="f"/>
            <v:shape id="_x0000_s1063" style="position:absolute;left:2175;top:2903;width:6754;height:1771" coordorigin="2176,2904" coordsize="6754,1771" o:spt="100" adj="0,,0" path="m2296,3232r-53,l2245,2904r-15,l2228,3232r-52,l2235,3352r45,-90l2296,3232t20,1322l2264,4554r2,-550l2251,4004r-2,550l2196,4554r60,120l2301,4584r15,-30m5384,3232r-53,l5333,2904r-15,l5316,3232r-52,l5323,3352r45,-90l5384,3232t2402,l7733,3232r2,-328l7720,2904r-2,328l7666,3232r59,120l7770,3262r16,-30m8930,3367r-15,l8915,3382r,800l6632,4182r,-800l8915,3382r,-15l6617,3367r,830l8930,4197r,-7l8930,4182r,-800l8930,3375r,-8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64" style="position:absolute;left:1536;top:4632;width:2084;height:795" stroked="f"/>
            <v:shape id="_x0000_s1065" style="position:absolute;left:1527;top:4624;width:2099;height:1237" coordorigin="1528,4624" coordsize="2099,1237" path="m3627,4624r-15,l3612,4639r,780l2310,5419r1,-2l2296,5417r-1,2l1543,5419r,-780l3612,4639r,-15l1528,4624r,810l2295,5434r-7,307l2236,5740r57,121l2340,5771r16,-29l2303,5741r7,-307l3627,5434r,-7l3627,5419r,-780l3627,4632r,-8e" fillcolor="black" stroked="f">
              <v:path arrowok="t"/>
            </v:shape>
            <v:rect id="_x0000_s1066" style="position:absolute;left:1512;top:5887;width:2069;height:797" stroked="f"/>
            <v:shape id="_x0000_s1067" style="position:absolute;left:1504;top:5878;width:2084;height:1255" coordorigin="1505,5878" coordsize="2084,1255" path="m3589,5878r-15,l3574,5893r,782l2306,6675r1,-4l2292,6671r-1,4l1520,6675r,-782l3574,5893r,-15l1505,5878r,812l2291,6690r-4,323l2235,7012r58,121l2339,7043r16,-29l2302,7013r4,-323l3589,6690r,-7l3589,6675r,-782l3589,5886r,-8e" fillcolor="black" stroked="f">
              <v:path arrowok="t"/>
            </v:shape>
            <v:rect id="_x0000_s1068" style="position:absolute;left:1531;top:7142;width:2091;height:632" stroked="f"/>
            <v:shape id="_x0000_s1069" style="position:absolute;left:1523;top:7135;width:2105;height:1068" coordorigin="1524,7135" coordsize="2105,1068" path="m3629,7135r-15,l3614,7150r,615l1539,7765r,-615l3614,7150r,-15l1524,7135r,645l2310,7780r3,303l2261,8084r61,119l2366,8113r15,-31l2328,8083r-3,-303l3629,7780r,-7l3629,7765r,-615l3629,7143r,-8e" fillcolor="black" stroked="f">
              <v:path arrowok="t"/>
            </v:shape>
            <v:rect id="_x0000_s1070" style="position:absolute;left:1584;top:8241;width:2050;height:629" stroked="f"/>
            <v:shape id="_x0000_s1071" style="position:absolute;left:1576;top:4003;width:3739;height:4874" coordorigin="1577,4004" coordsize="3739,4874" o:spt="100" adj="0,,0" path="m3641,8234r-15,l3626,8249r,613l1592,8862r,-613l3626,8249r,-15l1577,8234r,643l3641,8877r,-7l3641,8862r,-613l3641,8242r,-8m5315,4366r-53,l5266,4004r-15,l5247,4366r-52,-1l5254,4486r46,-90l5315,4366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72" style="position:absolute;left:4192;top:4632;width:2055;height:720" stroked="f"/>
            <v:shape id="_x0000_s1073" style="position:absolute;left:4185;top:4624;width:2068;height:1229" coordorigin="4186,4624" coordsize="2068,1229" o:spt="100" adj="0,,0" path="m5229,5732r-53,1l5174,5417r-15,l5161,5733r-52,1l5170,5853r44,-90l5229,5732m6254,4624r-15,l6239,4639r,704l4201,5343r,-704l6239,4639r,-15l4186,4624r,734l6254,5358r,-7l6254,5343r,-704l6254,4632r,-8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74" style="position:absolute;left:4118;top:5887;width:2069;height:627" stroked="f"/>
            <v:shape id="_x0000_s1075" style="position:absolute;left:4110;top:5878;width:2083;height:1164" coordorigin="4111,5878" coordsize="2083,1164" path="m6194,5878r-15,l6179,5893r,613l4126,6506r,-613l6179,5893r,-15l4111,5878r,643l5071,6521r-3,401l5016,6922r59,120l5121,6952r15,-30l5083,6922r3,-401l6194,6521r,-7l6194,6506r,-613l6194,5886r,-8e" fillcolor="black" stroked="f">
              <v:path arrowok="t"/>
            </v:shape>
            <v:rect id="_x0000_s1076" style="position:absolute;left:4212;top:7142;width:1901;height:629" stroked="f"/>
            <v:shape id="_x0000_s1077" style="position:absolute;left:4203;top:7135;width:1917;height:1082" coordorigin="4204,7135" coordsize="1917,1082" path="m6121,7135r-15,l6106,7150r,613l4219,7763r,-613l6106,7150r,-15l4204,7135r,643l5039,7778r4,319l4990,8098r62,119l5095,8127r15,-31l5058,8097r-4,-319l6121,7778r,-7l6121,7763r,-613l6121,7143r,-8e" fillcolor="black" stroked="f">
              <v:path arrowok="t"/>
            </v:shape>
            <v:rect id="_x0000_s1078" style="position:absolute;left:4180;top:8241;width:1992;height:629" stroked="f"/>
            <v:shape id="_x0000_s1079" style="position:absolute;left:3519;top:3630;width:3237;height:5248" coordorigin="3519,3630" coordsize="3237,5248" o:spt="100" adj="0,,0" path="m4057,3690r-15,-8l3937,3630r,52l3519,3682r,15l3937,3697r,53l4042,3697r15,-7m4162,8558r-120,-60l4042,8550r-419,-2l3623,8563r419,2l4042,8618r106,-53l4162,8558t,-2356l4042,6142r,52l3623,6192r,15l4042,6209r,53l4148,6209r14,-7m4162,4948r-120,-60l4042,4940r-419,-2l3623,4953r419,2l4042,5008r106,-53l4162,4948t29,2511l4071,7399r,52l3652,7449r,15l4071,7466r,53l4177,7466r14,-7m6181,8234r-15,l6166,8249r,613l4188,8862r,-613l6166,8249r,-15l4173,8234r,643l6181,8877r,-7l6181,8862r,-613l6181,8242r,-8m6681,7459r-120,-60l6561,7451r-419,-2l6142,7464r419,2l6561,7519r106,-53l6681,7459t46,1099l6607,8498r,52l6188,8548r,15l6607,8565r,53l6713,8565r14,-7m6743,6202r-120,-60l6623,6194r-419,-2l6204,6207r419,2l6623,6262r106,-53l6743,6202t13,-1254l6636,4888r,52l6217,4938r,15l6636,4955r,53l6742,4955r14,-7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080" style="position:absolute" from="6730,4946" to="6730,8556" strokeweight="2.4pt"/>
            <v:line id="_x0000_s1081" style="position:absolute" from="8988,4015" to="8988,6683" strokeweight="1.1pt"/>
            <v:rect id="_x0000_s1082" style="position:absolute;left:11383;top:2119;width:2127;height:471" stroked="f"/>
            <v:shape id="_x0000_s1083" style="position:absolute;left:6755;top:2111;width:6762;height:4630" coordorigin="6756,2111" coordsize="6762,4630" o:spt="100" adj="0,,0" path="m9007,6683r-119,-62l8887,6673,6756,6631r,15l8887,6688r-1,53l8995,6689r12,-6m9551,3990r-120,-60l9431,3982r-420,-2l9011,3995r420,2l9431,4050r106,-53l9551,3990m13518,2111r-15,l13503,2126r,456l11390,2582r,-456l13503,2126r,-15l11375,2111r,486l12423,2597r1,1116l12372,3713r60,120l12477,3743r15,-30l12439,3713r-1,-1116l13518,2597r,-7l13518,2582r,-456l13518,2119r,-8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084" style="position:absolute" from="10271,3210" to="14051,3210" strokeweight=".85pt"/>
            <v:shape id="_x0000_s1085" style="position:absolute;left:10211;top:3208;width:3901;height:625" coordorigin="10212,3209" coordsize="3901,625" o:spt="100" adj="0,,0" path="m10332,3713r-53,l10278,3209r-15,l10264,3713r-52,l10272,3833r45,-90l10332,3713t3781,l14060,3713r-1,-504l14044,3209r1,504l13993,3713r60,120l14098,3743r15,-30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86" style="position:absolute;left:9552;top:3832;width:1541;height:718" stroked="f"/>
            <v:shape id="_x0000_s1087" style="position:absolute;left:9543;top:3825;width:1557;height:732" coordorigin="9543,3825" coordsize="1557,732" o:spt="100" adj="0,,0" path="m11100,4557r-1557,l9543,3825r1557,l11100,3833r-1542,l9551,3840r7,l9558,4542r-7,l9558,4550r1542,l11100,4557xm9558,3840r-7,l9558,3833r,7xm11085,3840r-1527,l9558,3833r1527,l11085,3840xm11085,4550r,-717l11093,3840r7,l11100,4542r-7,l11085,4550xm11100,3840r-7,l11085,3833r15,l11100,3840xm9558,4550r-7,-8l9558,4542r,8xm11085,4550r-1527,l9558,4542r1527,l11085,4550xm11100,4550r-15,l11093,4542r7,l11100,4550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88" style="position:absolute;left:11532;top:3832;width:1544;height:720" stroked="f"/>
            <v:shape id="_x0000_s1089" style="position:absolute;left:11523;top:3825;width:1558;height:734" coordorigin="11523,3825" coordsize="1558,734" o:spt="100" adj="0,,0" path="m13081,4559r-1558,l11523,3825r1558,l13081,3833r-1543,l11531,3840r7,l11538,4544r-7,l11538,4552r1543,l13081,4559xm11538,3840r-7,l11538,3833r,7xm13066,3840r-1528,l11538,3833r1528,l13066,3840xm13066,4552r,-719l13074,3840r7,l13081,4544r-7,l13066,4552xm13081,3840r-7,l13066,3833r15,l13081,3840xm11538,4552r-7,-8l11538,4544r,8xm13066,4552r-1528,l11538,4544r1528,l13066,4552xm13081,4552r-15,l13074,4544r7,l13081,4552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90" style="position:absolute;left:13332;top:3832;width:1539;height:720" stroked="f"/>
            <v:shape id="_x0000_s1091" style="position:absolute;left:9554;top:3825;width:5324;height:2036" coordorigin="9555,3825" coordsize="5324,2036" o:spt="100" adj="0,,0" path="m9675,5741r-53,l9622,5237r-15,l9607,5741r-52,l9615,5861r45,-90l9675,5741t743,-684l10365,5057r,-505l10350,4552r,505l10298,5057r60,120l10403,5087r15,-30m14879,3825r-15,l14864,3840r,704l13340,4544r,-704l14864,3840r,-15l13325,3825r,734l14879,4559r,-7l14879,4544r,-704l14879,3833r,-8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092" style="position:absolute" from="9614,5238" to="11055,5238" strokeweight=".8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3" type="#_x0000_t75" style="position:absolute;left:11997;top:5236;width:120;height:385">
              <v:imagedata r:id="rId15" o:title=""/>
            </v:shape>
            <v:rect id="_x0000_s1094" style="position:absolute;left:9134;top:5860;width:1049;height:723" stroked="f"/>
            <v:shape id="_x0000_s1095" style="position:absolute;left:9127;top:5853;width:1064;height:736" coordorigin="9128,5853" coordsize="1064,736" o:spt="100" adj="0,,0" path="m10192,6589r-1064,l9128,5853r1064,l10192,5861r-1049,l9135,5868r8,l9143,6574r-8,l9143,6582r1049,l10192,6589xm9143,5868r-8,l9143,5861r,7xm10177,5868r-1034,l9143,5861r1034,l10177,5868xm10177,6582r,-721l10184,5868r8,l10192,6574r-8,l10177,6582xm10192,5868r-8,l10177,5861r15,l10192,5868xm9143,6582r-8,-8l9143,6574r,8xm10177,6582r-1034,l9143,6574r1034,l10177,6582xm10192,6582r-15,l10184,6574r8,l10192,6582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096" style="position:absolute;left:11532;top:5608;width:1052;height:723" stroked="f"/>
            <v:shape id="_x0000_s1097" style="position:absolute;left:11525;top:5601;width:1064;height:1126" coordorigin="11526,5601" coordsize="1064,1126" path="m12590,5601r-15,l12575,5616r,706l12103,6322r,-24l12088,6298r,24l11541,6322r,-706l12575,5616r,-15l11526,5601r,736l12088,6337r1,270l12036,6607r61,120l12141,6637r15,-30l12104,6607r-1,-270l12590,6337r,-7l12590,6322r,-706l12590,5609r,-8e" fillcolor="black" stroked="f">
              <v:path arrowok="t"/>
            </v:shape>
            <v:rect id="_x0000_s1098" style="position:absolute;left:11299;top:6703;width:1608;height:461" stroked="f"/>
            <v:shape id="_x0000_s1099" style="position:absolute;left:11290;top:6694;width:1623;height:478" coordorigin="11291,6694" coordsize="1623,478" o:spt="100" adj="0,,0" path="m12914,7172r-1623,l11291,6694r1623,l12914,6702r-1608,l11298,6709r8,l11306,7157r-8,l11306,7165r1608,l12914,7172xm11306,6709r-8,l11306,6702r,7xm12899,6709r-1593,l11306,6702r1593,l12899,6709xm12899,7165r,-463l12906,6709r8,l12914,7157r-8,l12899,7165xm12914,6709r-8,l12899,6702r15,l12914,6709xm11306,7165r-8,-8l11306,7157r,8xm12899,7165r-1593,l11306,7157r1593,l12899,7165xm12914,7165r-15,l12906,7157r8,l12914,7165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00" style="position:absolute" from="11064,5235" to="14116,5235" strokeweight=".8pt"/>
            <v:shape id="_x0000_s1101" style="position:absolute;left:14038;top:5234;width:120;height:623" coordorigin="14039,5235" coordsize="120,623" o:spt="100" adj="0,,0" path="m14091,5737r-1,-502l14105,5235r1,502l14091,5737xm14144,5767r-53,l14106,5767r,-30l14159,5737r-15,30xm14091,5767r,-30l14106,5737r,30l14091,5767xm14099,5857r-60,-120l14091,5737r,30l14144,5767r-45,90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02" style="position:absolute;left:13557;top:5856;width:1047;height:723" stroked="f"/>
            <v:shape id="_x0000_s1103" style="position:absolute;left:9615;top:5849;width:4997;height:1294" coordorigin="9616,5849" coordsize="4997,1294" o:spt="100" adj="0,,0" path="m9736,7023r-53,l9683,6570r-15,l9668,7023r-52,l9676,7143r45,-90l9736,7023m14613,5849r-15,l14598,5864r,706l13565,6570r,-706l14598,5864r,-15l13550,5849r,736l14613,6585r,-7l14613,6570r,-706l14613,5857r,-8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04" style="position:absolute" from="8340,7156" to="10292,7156" strokeweight=".85pt"/>
            <v:shape id="_x0000_s1105" style="position:absolute;left:8281;top:7156;width:120;height:625" coordorigin="8282,7157" coordsize="120,625" o:spt="100" adj="0,,0" path="m8334,7661r,-504l8349,7157r,504l8334,7661xm8387,7691r-53,l8349,7691r,-30l8402,7661r-15,30xm8334,7691r,-30l8349,7661r,30l8334,7691xm8342,7781r-60,-120l8334,7661r,30l8387,7691r-45,90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06" style="position:absolute;left:7293;top:7771;width:1198;height:1260" stroked="f"/>
            <v:shape id="_x0000_s1107" style="position:absolute;left:7285;top:7156;width:1987;height:1883" coordorigin="7286,7157" coordsize="1987,1883" o:spt="100" adj="0,,0" path="m8499,7763r-15,l8484,7778r,1246l7301,9024r,-1246l8484,7778r,-15l7286,7763r,1276l8499,9039r,-7l8499,9024r,-1246l8499,7771r,-8m9272,7661r-53,l9219,7157r-15,l9204,7661r-52,l9212,7781r45,-90l9272,7661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08" style="position:absolute;left:8671;top:7773;width:1112;height:1258" stroked="f"/>
            <v:shape id="_x0000_s1109" style="position:absolute;left:8663;top:7156;width:1689;height:1883" coordorigin="8664,7157" coordsize="1689,1883" o:spt="100" adj="0,,0" path="m9790,7765r-15,l9775,7780r,1244l8679,9024r,-1244l9775,7780r,-15l8664,7765r,1274l9790,9039r,-7l9790,9024r,-1244l9790,7773r,-8m10352,7661r-53,l10298,7157r-15,l10284,7661r-52,l10292,7781r45,-90l10352,7661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10" style="position:absolute;left:10020;top:7773;width:1383;height:1258" stroked="f"/>
            <v:shape id="_x0000_s1111" style="position:absolute;left:10013;top:6569;width:4167;height:2470" coordorigin="10014,6570" coordsize="4167,2470" o:spt="100" adj="0,,0" path="m11411,7765r-15,l11396,7780r,1244l10029,9024r,-1244l11396,7780r,-15l10014,7765r,1274l11411,9039r,-7l11411,9024r,-1244l11411,7773r,-8m14180,7113r-53,l14127,6570r-15,l14112,7113r-52,l14120,7233r45,-90l14180,7113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12" style="position:absolute" from="12233,7232" to="15113,7232" strokeweight=".8pt"/>
            <v:shape id="_x0000_s1113" style="position:absolute;left:12173;top:7248;width:2995;height:420" coordorigin="12174,7249" coordsize="2995,420" o:spt="100" adj="0,,0" path="m12294,7546r-53,l12241,7249r-15,l12226,7546r-52,l12234,7666r45,-90l12294,7546t990,2l13231,7548r,-299l13216,7249r,299l13164,7548r60,120l13269,7578r15,-30m15169,7546r-53,l15116,7249r-15,l15101,7546r-52,l15109,7666r45,-90l15169,7546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14" style="position:absolute;left:11659;top:7672;width:1013;height:994" stroked="f"/>
            <v:shape id="_x0000_s1115" style="position:absolute;left:11650;top:7665;width:1030;height:1009" coordorigin="11651,7665" coordsize="1030,1009" o:spt="100" adj="0,,0" path="m12681,8674r-1030,l11651,7665r1030,l12681,7673r-1015,l11658,7680r8,l11666,8659r-8,l11666,8667r1015,l12681,8674xm11666,7680r-8,l11666,7673r,7xm12666,7680r-1000,l11666,7673r1000,l12666,7680xm12666,8667r,-994l12673,7680r8,l12681,8659r-8,l12666,8667xm12681,7680r-8,l12666,7673r15,l12681,7680xm11666,8667r-8,-8l11666,8659r,8xm12666,8667r-1000,l11666,8659r1000,l12666,8667xm12681,8667r-15,l12673,8659r8,l12681,8667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16" style="position:absolute;left:12813;top:7665;width:792;height:1260" stroked="f"/>
            <v:shape id="_x0000_s1117" style="position:absolute;left:12805;top:7658;width:807;height:1274" coordorigin="12806,7658" coordsize="807,1274" o:spt="100" adj="0,,0" path="m13613,8932r-807,l12806,7658r807,l13613,7666r-792,l12813,7673r8,l12821,8917r-8,l12821,8925r792,l13613,8932xm12821,7673r-8,l12821,7666r,7xm13598,7673r-777,l12821,7666r777,l13598,7673xm13598,8925r,-1259l13605,7673r8,l13613,8917r-8,l13598,8925xm13613,7673r-8,l13598,7666r15,l13613,7673xm12821,8925r-8,-8l12821,8917r,8xm13598,8925r-777,l12821,8917r777,l13598,8925xm13613,8925r-15,l13605,8917r8,l13613,8925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18" style="position:absolute;left:13732;top:7653;width:1700;height:1272" stroked="f"/>
            <v:shape id="_x0000_s1119" style="position:absolute;left:13724;top:7646;width:1716;height:1286" coordorigin="13725,7646" coordsize="1716,1286" o:spt="100" adj="0,,0" path="m15441,8932r-1716,l13725,7646r1716,l15441,7654r-1701,l13732,7661r8,l13740,8917r-8,l13740,8925r1701,l15441,8932xm13740,7661r-8,l13740,7654r,7xm15426,7661r-1686,l13740,7654r1686,l15426,7661xm15426,8925r,-1271l15433,7661r8,l15441,8917r-8,l15426,8925xm15441,7661r-8,l15426,7654r15,l15441,7661xm13740,8925r-8,-8l13740,8917r,8xm15426,8925r-1686,l13740,8917r1686,l15426,8925xm15441,8925r-15,l15433,8917r8,l15441,8925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w10:wrap anchorx="page" anchory="page"/>
          </v:group>
        </w:pict>
      </w:r>
    </w:p>
    <w:p w:rsidR="00B04AE3" w:rsidRDefault="00B04AE3">
      <w:pPr>
        <w:pStyle w:val="BodyText"/>
        <w:spacing w:before="7"/>
        <w:rPr>
          <w:sz w:val="20"/>
        </w:rPr>
      </w:pPr>
    </w:p>
    <w:p w:rsidR="00B04AE3" w:rsidRDefault="00B04AE3">
      <w:pPr>
        <w:tabs>
          <w:tab w:val="left" w:pos="4748"/>
        </w:tabs>
        <w:spacing w:before="77"/>
        <w:ind w:left="3889"/>
        <w:rPr>
          <w:b/>
          <w:sz w:val="24"/>
        </w:rPr>
      </w:pPr>
      <w:r>
        <w:rPr>
          <w:rFonts w:hint="eastAsia"/>
          <w:b/>
          <w:sz w:val="24"/>
        </w:rPr>
        <w:t>图</w:t>
      </w:r>
      <w:r>
        <w:rPr>
          <w:b/>
          <w:spacing w:val="-62"/>
          <w:sz w:val="24"/>
        </w:rPr>
        <w:t xml:space="preserve"> </w:t>
      </w:r>
      <w:r>
        <w:rPr>
          <w:rFonts w:ascii="Times New Roman" w:eastAsia="Times New Roman"/>
          <w:b/>
          <w:sz w:val="24"/>
        </w:rPr>
        <w:t>1-1</w:t>
      </w:r>
      <w:r>
        <w:rPr>
          <w:rFonts w:ascii="Times New Roman" w:eastAsia="Times New Roman"/>
          <w:b/>
          <w:sz w:val="24"/>
        </w:rPr>
        <w:tab/>
      </w:r>
      <w:r>
        <w:rPr>
          <w:rFonts w:hint="eastAsia"/>
          <w:b/>
          <w:sz w:val="24"/>
        </w:rPr>
        <w:t>南昌海立电器有限公司突发环境事件应急体系图</w:t>
      </w:r>
    </w:p>
    <w:p w:rsidR="00B04AE3" w:rsidRDefault="00B04AE3">
      <w:pPr>
        <w:pStyle w:val="BodyText"/>
        <w:rPr>
          <w:b/>
          <w:sz w:val="20"/>
        </w:rPr>
      </w:pPr>
    </w:p>
    <w:p w:rsidR="00B04AE3" w:rsidRDefault="00B04AE3">
      <w:pPr>
        <w:pStyle w:val="BodyText"/>
        <w:rPr>
          <w:b/>
          <w:sz w:val="20"/>
        </w:rPr>
      </w:pPr>
    </w:p>
    <w:p w:rsidR="00B04AE3" w:rsidRDefault="00B04AE3">
      <w:pPr>
        <w:pStyle w:val="BodyText"/>
        <w:spacing w:before="10"/>
        <w:rPr>
          <w:b/>
          <w:sz w:val="19"/>
        </w:rPr>
      </w:pPr>
    </w:p>
    <w:p w:rsidR="00B04AE3" w:rsidRDefault="00B04AE3">
      <w:pPr>
        <w:spacing w:before="93"/>
        <w:ind w:left="179"/>
        <w:jc w:val="center"/>
        <w:rPr>
          <w:rFonts w:ascii="Times New Roman"/>
          <w:sz w:val="18"/>
        </w:rPr>
      </w:pPr>
      <w:r>
        <w:rPr>
          <w:rFonts w:ascii="Times New Roman"/>
          <w:sz w:val="18"/>
        </w:rPr>
        <w:t>8</w:t>
      </w:r>
    </w:p>
    <w:p w:rsidR="00B04AE3" w:rsidRDefault="00B04AE3">
      <w:pPr>
        <w:jc w:val="center"/>
        <w:rPr>
          <w:rFonts w:ascii="Times New Roman"/>
          <w:sz w:val="18"/>
        </w:rPr>
        <w:sectPr w:rsidR="00B04AE3">
          <w:type w:val="continuous"/>
          <w:pgSz w:w="16840" w:h="11910" w:orient="landscape"/>
          <w:pgMar w:top="60" w:right="1520" w:bottom="0" w:left="1340" w:header="720" w:footer="720" w:gutter="0"/>
          <w:cols w:space="720"/>
        </w:sectPr>
      </w:pPr>
    </w:p>
    <w:p w:rsidR="00B04AE3" w:rsidRDefault="00B04AE3">
      <w:pPr>
        <w:pStyle w:val="ListParagraph"/>
        <w:numPr>
          <w:ilvl w:val="1"/>
          <w:numId w:val="16"/>
        </w:numPr>
        <w:tabs>
          <w:tab w:val="left" w:pos="787"/>
        </w:tabs>
        <w:spacing w:before="99"/>
        <w:ind w:left="786" w:hanging="449"/>
        <w:rPr>
          <w:b/>
          <w:sz w:val="30"/>
        </w:rPr>
      </w:pPr>
      <w:bookmarkStart w:id="23" w:name="1.7工作原则"/>
      <w:bookmarkStart w:id="24" w:name="_bookmark7"/>
      <w:bookmarkEnd w:id="23"/>
      <w:bookmarkEnd w:id="24"/>
      <w:r>
        <w:rPr>
          <w:rFonts w:hint="eastAsia"/>
          <w:b/>
          <w:sz w:val="30"/>
        </w:rPr>
        <w:t>工作原则</w:t>
      </w:r>
    </w:p>
    <w:p w:rsidR="00B04AE3" w:rsidRDefault="00B04AE3">
      <w:pPr>
        <w:pStyle w:val="BodyText"/>
        <w:spacing w:before="197" w:line="364" w:lineRule="auto"/>
        <w:ind w:left="337" w:right="335" w:firstLine="480"/>
        <w:jc w:val="both"/>
        <w:rPr>
          <w:spacing w:val="-6"/>
          <w:szCs w:val="22"/>
        </w:rPr>
      </w:pPr>
      <w:r>
        <w:rPr>
          <w:rFonts w:hint="eastAsia"/>
          <w:spacing w:val="-6"/>
          <w:szCs w:val="22"/>
        </w:rPr>
        <w:t>突发环境事件应对工作坚持预防为主、减少危害，统一领导、分级负责，企业自救、属地管理，整合资源、联动处置的原则。突发环境事件发生后，公司各负责人及小组成员坚持自救为主，以人为本的基本原则，立即自动按照职责分工和相关预案开展应急处置工作。</w:t>
      </w:r>
    </w:p>
    <w:p w:rsidR="00B04AE3" w:rsidRDefault="00B04AE3">
      <w:pPr>
        <w:pStyle w:val="ListParagraph"/>
        <w:numPr>
          <w:ilvl w:val="0"/>
          <w:numId w:val="17"/>
        </w:numPr>
        <w:tabs>
          <w:tab w:val="left" w:pos="1419"/>
        </w:tabs>
        <w:rPr>
          <w:spacing w:val="-6"/>
          <w:sz w:val="24"/>
        </w:rPr>
      </w:pPr>
      <w:r>
        <w:rPr>
          <w:rFonts w:hint="eastAsia"/>
          <w:spacing w:val="-6"/>
          <w:sz w:val="24"/>
        </w:rPr>
        <w:t>预防为主，减少危害。</w:t>
      </w:r>
    </w:p>
    <w:p w:rsidR="00B04AE3" w:rsidRDefault="00B04AE3">
      <w:pPr>
        <w:pStyle w:val="BodyText"/>
        <w:spacing w:before="158" w:line="364" w:lineRule="auto"/>
        <w:ind w:left="337" w:right="215" w:firstLine="480"/>
        <w:rPr>
          <w:spacing w:val="-6"/>
          <w:szCs w:val="22"/>
        </w:rPr>
      </w:pPr>
      <w:r>
        <w:rPr>
          <w:rFonts w:hint="eastAsia"/>
          <w:spacing w:val="-6"/>
          <w:szCs w:val="22"/>
        </w:rPr>
        <w:t>增强忧患意识，高度重视突发环境事件，居安思危，常抓不懈，防患于未然。坚持预防与应急相结合，常态与非常态相结合，作好应对突发环境事件的思想准备、预案准备、组织准备以及物资准备等。</w:t>
      </w:r>
    </w:p>
    <w:p w:rsidR="00B04AE3" w:rsidRDefault="00B04AE3">
      <w:pPr>
        <w:pStyle w:val="ListParagraph"/>
        <w:numPr>
          <w:ilvl w:val="0"/>
          <w:numId w:val="17"/>
        </w:numPr>
        <w:tabs>
          <w:tab w:val="left" w:pos="1419"/>
        </w:tabs>
        <w:spacing w:line="307" w:lineRule="exact"/>
        <w:rPr>
          <w:spacing w:val="-6"/>
          <w:sz w:val="24"/>
        </w:rPr>
      </w:pPr>
      <w:r>
        <w:rPr>
          <w:rFonts w:hint="eastAsia"/>
          <w:spacing w:val="-6"/>
          <w:sz w:val="24"/>
        </w:rPr>
        <w:t>统一领导，分级负责。</w:t>
      </w:r>
    </w:p>
    <w:p w:rsidR="00B04AE3" w:rsidRDefault="00B04AE3">
      <w:pPr>
        <w:pStyle w:val="BodyText"/>
        <w:spacing w:before="158" w:line="364" w:lineRule="auto"/>
        <w:ind w:left="337" w:right="335" w:firstLine="480"/>
        <w:jc w:val="both"/>
        <w:rPr>
          <w:spacing w:val="-6"/>
          <w:szCs w:val="22"/>
        </w:rPr>
      </w:pPr>
      <w:r>
        <w:rPr>
          <w:rFonts w:hint="eastAsia"/>
          <w:spacing w:val="-6"/>
          <w:szCs w:val="22"/>
        </w:rPr>
        <w:t>在南昌市经济技术开发区环保局和公司应急指挥部的统一领导下，公司应急指挥中心负责现场指挥突发环境事件的应急救援工作。公司有关部门按照各自职责和权限，负责事故的应急处置工作。突发环境事件发生后，当地立即自动按照职责分工和相关预案开展应急处置工作。</w:t>
      </w:r>
    </w:p>
    <w:p w:rsidR="00B04AE3" w:rsidRDefault="00B04AE3">
      <w:pPr>
        <w:pStyle w:val="ListParagraph"/>
        <w:numPr>
          <w:ilvl w:val="0"/>
          <w:numId w:val="17"/>
        </w:numPr>
        <w:tabs>
          <w:tab w:val="left" w:pos="1419"/>
        </w:tabs>
        <w:spacing w:line="305" w:lineRule="exact"/>
        <w:rPr>
          <w:spacing w:val="-6"/>
          <w:sz w:val="24"/>
        </w:rPr>
      </w:pPr>
      <w:r>
        <w:rPr>
          <w:rFonts w:hint="eastAsia"/>
          <w:spacing w:val="-6"/>
          <w:sz w:val="24"/>
        </w:rPr>
        <w:t>企业自救，属地管理。</w:t>
      </w:r>
    </w:p>
    <w:p w:rsidR="00B04AE3" w:rsidRDefault="00B04AE3">
      <w:pPr>
        <w:pStyle w:val="BodyText"/>
        <w:spacing w:before="160" w:line="364" w:lineRule="auto"/>
        <w:ind w:left="337" w:right="332" w:firstLine="480"/>
        <w:jc w:val="both"/>
        <w:rPr>
          <w:spacing w:val="-6"/>
          <w:szCs w:val="22"/>
        </w:rPr>
      </w:pPr>
      <w:r>
        <w:rPr>
          <w:rFonts w:hint="eastAsia"/>
          <w:spacing w:val="-6"/>
          <w:szCs w:val="22"/>
        </w:rPr>
        <w:t>企业自身积极做好应对突发环境事故的思想准备、物资准备、技术准备、工作准备，加强培训演练，应急系统做到常备不懈，可为本公司和其它企业及社会提供服务，在应急时快速有效。</w:t>
      </w:r>
    </w:p>
    <w:p w:rsidR="00B04AE3" w:rsidRDefault="00B04AE3">
      <w:pPr>
        <w:pStyle w:val="ListParagraph"/>
        <w:numPr>
          <w:ilvl w:val="0"/>
          <w:numId w:val="17"/>
        </w:numPr>
        <w:tabs>
          <w:tab w:val="left" w:pos="1419"/>
        </w:tabs>
        <w:spacing w:line="304" w:lineRule="exact"/>
        <w:rPr>
          <w:spacing w:val="-6"/>
          <w:sz w:val="24"/>
        </w:rPr>
      </w:pPr>
      <w:r>
        <w:rPr>
          <w:rFonts w:hint="eastAsia"/>
          <w:spacing w:val="-6"/>
          <w:sz w:val="24"/>
        </w:rPr>
        <w:t>整合资源，联动处置。</w:t>
      </w:r>
    </w:p>
    <w:p w:rsidR="00B04AE3" w:rsidRDefault="00B04AE3">
      <w:pPr>
        <w:pStyle w:val="BodyText"/>
        <w:spacing w:before="161" w:line="364" w:lineRule="auto"/>
        <w:ind w:left="337" w:right="335" w:firstLine="480"/>
        <w:jc w:val="both"/>
      </w:pPr>
      <w:r>
        <w:rPr>
          <w:rFonts w:hint="eastAsia"/>
          <w:spacing w:val="-6"/>
          <w:szCs w:val="22"/>
        </w:rPr>
        <w:t>整合现有突发环境事件的监测、预测、预警等信息系统，建立网络互联、信息共享、科学有效的防范体系；整合现有突发环境事件应急指挥和组织网络，建立统一、科学、高效的指挥体系；整合现有突发环境事件应急处置资源，建立分工明确、责任落实、常备不懈的保障体系。建立和完善联动协调制度，加强公司各部门之间协同与合作，提高快速反应能力</w:t>
      </w:r>
      <w:r>
        <w:rPr>
          <w:rFonts w:hint="eastAsia"/>
        </w:rPr>
        <w:t>。</w:t>
      </w:r>
    </w:p>
    <w:p w:rsidR="00B04AE3" w:rsidRDefault="00B04AE3">
      <w:pPr>
        <w:spacing w:line="364" w:lineRule="auto"/>
        <w:jc w:val="both"/>
        <w:sectPr w:rsidR="00B04AE3">
          <w:headerReference w:type="default" r:id="rId16"/>
          <w:footerReference w:type="default" r:id="rId17"/>
          <w:pgSz w:w="11910" w:h="16840"/>
          <w:pgMar w:top="1340" w:right="1460" w:bottom="1180" w:left="1460" w:header="878" w:footer="993" w:gutter="0"/>
          <w:pgNumType w:start="9"/>
          <w:cols w:space="720"/>
        </w:sectPr>
      </w:pPr>
    </w:p>
    <w:p w:rsidR="00B04AE3" w:rsidRDefault="00B04AE3">
      <w:pPr>
        <w:pStyle w:val="ListParagraph"/>
        <w:numPr>
          <w:ilvl w:val="0"/>
          <w:numId w:val="16"/>
        </w:numPr>
        <w:tabs>
          <w:tab w:val="left" w:pos="698"/>
        </w:tabs>
        <w:spacing w:before="97"/>
        <w:ind w:left="697" w:hanging="360"/>
        <w:rPr>
          <w:rFonts w:ascii="Times New Roman" w:eastAsia="Times New Roman"/>
          <w:b/>
          <w:sz w:val="36"/>
        </w:rPr>
      </w:pPr>
      <w:bookmarkStart w:id="25" w:name="2_基本情况"/>
      <w:bookmarkStart w:id="26" w:name="_bookmark8"/>
      <w:bookmarkEnd w:id="25"/>
      <w:bookmarkEnd w:id="26"/>
      <w:r>
        <w:rPr>
          <w:rFonts w:hint="eastAsia"/>
          <w:b/>
          <w:sz w:val="36"/>
        </w:rPr>
        <w:t>基本情况</w:t>
      </w:r>
    </w:p>
    <w:p w:rsidR="00B04AE3" w:rsidRDefault="00B04AE3">
      <w:pPr>
        <w:pStyle w:val="ListParagraph"/>
        <w:numPr>
          <w:ilvl w:val="1"/>
          <w:numId w:val="18"/>
        </w:numPr>
        <w:tabs>
          <w:tab w:val="left" w:pos="787"/>
        </w:tabs>
        <w:spacing w:before="239"/>
        <w:rPr>
          <w:b/>
          <w:sz w:val="30"/>
        </w:rPr>
      </w:pPr>
      <w:bookmarkStart w:id="27" w:name="2.1公司基本情况"/>
      <w:bookmarkStart w:id="28" w:name="_bookmark9"/>
      <w:bookmarkEnd w:id="27"/>
      <w:bookmarkEnd w:id="28"/>
      <w:r>
        <w:rPr>
          <w:rFonts w:hint="eastAsia"/>
          <w:b/>
          <w:sz w:val="30"/>
        </w:rPr>
        <w:t>公司基本情况</w:t>
      </w:r>
    </w:p>
    <w:p w:rsidR="00B04AE3" w:rsidRDefault="00B04AE3">
      <w:pPr>
        <w:pStyle w:val="ListParagraph"/>
        <w:tabs>
          <w:tab w:val="left" w:pos="878"/>
        </w:tabs>
        <w:spacing w:before="2" w:line="364" w:lineRule="auto"/>
        <w:ind w:right="4007" w:firstLine="0"/>
        <w:rPr>
          <w:b/>
          <w:sz w:val="24"/>
        </w:rPr>
      </w:pPr>
      <w:r>
        <w:rPr>
          <w:b/>
          <w:sz w:val="24"/>
          <w:lang w:val="en-US"/>
        </w:rPr>
        <w:t>2.1.1</w:t>
      </w:r>
      <w:r>
        <w:rPr>
          <w:rFonts w:hint="eastAsia"/>
          <w:b/>
          <w:sz w:val="24"/>
        </w:rPr>
        <w:t>公司基本信息</w:t>
      </w:r>
    </w:p>
    <w:p w:rsidR="00B04AE3" w:rsidRDefault="00B04AE3">
      <w:pPr>
        <w:pStyle w:val="BodyText"/>
        <w:spacing w:before="197" w:line="364" w:lineRule="auto"/>
        <w:ind w:left="337" w:right="335" w:firstLine="480"/>
        <w:jc w:val="both"/>
        <w:rPr>
          <w:spacing w:val="-6"/>
          <w:szCs w:val="22"/>
        </w:rPr>
      </w:pPr>
      <w:bookmarkStart w:id="29" w:name="_Toc420932421"/>
      <w:bookmarkStart w:id="30" w:name="_Toc420928219"/>
      <w:r>
        <w:rPr>
          <w:rFonts w:hint="eastAsia"/>
          <w:spacing w:val="-6"/>
          <w:szCs w:val="22"/>
        </w:rPr>
        <w:t>南昌海立电器有限公司是上海日立电器有限公司投资</w:t>
      </w:r>
      <w:r>
        <w:rPr>
          <w:spacing w:val="-6"/>
          <w:szCs w:val="22"/>
        </w:rPr>
        <w:t>100%</w:t>
      </w:r>
      <w:r>
        <w:rPr>
          <w:rFonts w:hint="eastAsia"/>
          <w:spacing w:val="-6"/>
          <w:szCs w:val="22"/>
        </w:rPr>
        <w:t>的公司。公司于</w:t>
      </w:r>
      <w:r>
        <w:rPr>
          <w:spacing w:val="-6"/>
          <w:szCs w:val="22"/>
        </w:rPr>
        <w:t>2007</w:t>
      </w:r>
      <w:r>
        <w:rPr>
          <w:rFonts w:hint="eastAsia"/>
          <w:spacing w:val="-6"/>
          <w:szCs w:val="22"/>
        </w:rPr>
        <w:t>年</w:t>
      </w:r>
      <w:r>
        <w:rPr>
          <w:spacing w:val="-6"/>
          <w:szCs w:val="22"/>
        </w:rPr>
        <w:t>12</w:t>
      </w:r>
      <w:r>
        <w:rPr>
          <w:rFonts w:hint="eastAsia"/>
          <w:spacing w:val="-6"/>
          <w:szCs w:val="22"/>
        </w:rPr>
        <w:t>月</w:t>
      </w:r>
      <w:r>
        <w:rPr>
          <w:spacing w:val="-6"/>
          <w:szCs w:val="22"/>
        </w:rPr>
        <w:t>18</w:t>
      </w:r>
      <w:r>
        <w:rPr>
          <w:rFonts w:hint="eastAsia"/>
          <w:spacing w:val="-6"/>
          <w:szCs w:val="22"/>
        </w:rPr>
        <w:t>日成立，主要产品为空调压缩机。上海日立电器有限公司创建于</w:t>
      </w:r>
      <w:r>
        <w:rPr>
          <w:spacing w:val="-6"/>
          <w:szCs w:val="22"/>
        </w:rPr>
        <w:t>1993</w:t>
      </w:r>
      <w:r>
        <w:rPr>
          <w:rFonts w:hint="eastAsia"/>
          <w:spacing w:val="-6"/>
          <w:szCs w:val="22"/>
        </w:rPr>
        <w:t>年</w:t>
      </w:r>
      <w:r>
        <w:rPr>
          <w:spacing w:val="-6"/>
          <w:szCs w:val="22"/>
        </w:rPr>
        <w:t>1</w:t>
      </w:r>
      <w:r>
        <w:rPr>
          <w:rFonts w:hint="eastAsia"/>
          <w:spacing w:val="-6"/>
          <w:szCs w:val="22"/>
        </w:rPr>
        <w:t>月，由上海海立（集团）股份有限公司投资</w:t>
      </w:r>
      <w:r>
        <w:rPr>
          <w:spacing w:val="-6"/>
          <w:szCs w:val="22"/>
        </w:rPr>
        <w:t>75</w:t>
      </w:r>
      <w:r>
        <w:rPr>
          <w:rFonts w:hint="eastAsia"/>
          <w:spacing w:val="-6"/>
          <w:szCs w:val="22"/>
        </w:rPr>
        <w:t>％和日本国日立家用电器公司投资</w:t>
      </w:r>
      <w:r>
        <w:rPr>
          <w:spacing w:val="-6"/>
          <w:szCs w:val="22"/>
        </w:rPr>
        <w:t>25</w:t>
      </w:r>
      <w:r>
        <w:rPr>
          <w:rFonts w:hint="eastAsia"/>
          <w:spacing w:val="-6"/>
          <w:szCs w:val="22"/>
        </w:rPr>
        <w:t>％组建而成，累计投资总额</w:t>
      </w:r>
      <w:r>
        <w:rPr>
          <w:spacing w:val="-6"/>
          <w:szCs w:val="22"/>
        </w:rPr>
        <w:t>3.5</w:t>
      </w:r>
      <w:r>
        <w:rPr>
          <w:rFonts w:hint="eastAsia"/>
          <w:spacing w:val="-6"/>
          <w:szCs w:val="22"/>
        </w:rPr>
        <w:t>亿美元，总生产能力达到</w:t>
      </w:r>
      <w:r>
        <w:rPr>
          <w:spacing w:val="-6"/>
          <w:szCs w:val="22"/>
        </w:rPr>
        <w:t>1050</w:t>
      </w:r>
      <w:r>
        <w:rPr>
          <w:rFonts w:hint="eastAsia"/>
          <w:spacing w:val="-6"/>
          <w:szCs w:val="22"/>
        </w:rPr>
        <w:t>万台，是当今最大的空调压缩机生产企业。目前海尔、格力、美的、春兰、科龙、长虹、海信等国内知名企业，均不同程度地使用着上海日立的压缩机产品。</w:t>
      </w:r>
    </w:p>
    <w:p w:rsidR="00B04AE3" w:rsidRDefault="00B04AE3">
      <w:pPr>
        <w:pStyle w:val="BodyText"/>
        <w:spacing w:before="197" w:line="364" w:lineRule="auto"/>
        <w:ind w:left="337" w:right="335" w:firstLine="480"/>
        <w:jc w:val="both"/>
        <w:rPr>
          <w:spacing w:val="-6"/>
          <w:szCs w:val="22"/>
        </w:rPr>
      </w:pPr>
      <w:r>
        <w:rPr>
          <w:rFonts w:hint="eastAsia"/>
          <w:spacing w:val="-6"/>
          <w:szCs w:val="22"/>
        </w:rPr>
        <w:t>现行的编制情况：职能部门包括：总经理室、人事行政部、生产技术部、财务部、品质保证部、计划部、技术研发中心、压缩机装配部、部品生产部、总经办</w:t>
      </w:r>
      <w:r>
        <w:rPr>
          <w:spacing w:val="-6"/>
          <w:szCs w:val="22"/>
        </w:rPr>
        <w:t>(</w:t>
      </w:r>
      <w:r>
        <w:rPr>
          <w:rFonts w:hint="eastAsia"/>
          <w:spacing w:val="-6"/>
          <w:szCs w:val="22"/>
        </w:rPr>
        <w:t>安全）。主要包括生产单元（铁芯工场、机加工工场、选配工场、钣金工场、电机工场、装配工场、成品工场）及辅助单元（总配电站、空调机房、锅炉房、污水处理站、除盐水处理站、罐区、气瓶库、化学品库）</w:t>
      </w:r>
    </w:p>
    <w:bookmarkEnd w:id="29"/>
    <w:bookmarkEnd w:id="30"/>
    <w:p w:rsidR="00B04AE3" w:rsidRDefault="00B04AE3">
      <w:pPr>
        <w:pStyle w:val="BodyText"/>
        <w:spacing w:before="197" w:line="364" w:lineRule="auto"/>
        <w:ind w:left="337" w:right="335" w:firstLine="480"/>
        <w:jc w:val="both"/>
        <w:rPr>
          <w:spacing w:val="-6"/>
          <w:szCs w:val="22"/>
        </w:rPr>
      </w:pPr>
      <w:r>
        <w:rPr>
          <w:rFonts w:hint="eastAsia"/>
          <w:spacing w:val="-6"/>
          <w:szCs w:val="22"/>
        </w:rPr>
        <w:t>南昌海立电器有限公司于</w:t>
      </w:r>
      <w:r>
        <w:rPr>
          <w:spacing w:val="-6"/>
          <w:szCs w:val="22"/>
        </w:rPr>
        <w:t>2008</w:t>
      </w:r>
      <w:r>
        <w:rPr>
          <w:rFonts w:hint="eastAsia"/>
          <w:spacing w:val="-6"/>
          <w:szCs w:val="22"/>
        </w:rPr>
        <w:t>年投资</w:t>
      </w:r>
      <w:r>
        <w:rPr>
          <w:spacing w:val="-6"/>
          <w:szCs w:val="22"/>
        </w:rPr>
        <w:t>12</w:t>
      </w:r>
      <w:r>
        <w:rPr>
          <w:rFonts w:hint="eastAsia"/>
          <w:spacing w:val="-6"/>
          <w:szCs w:val="22"/>
        </w:rPr>
        <w:t>亿在南昌经济技术开发区新建年产</w:t>
      </w:r>
      <w:r>
        <w:rPr>
          <w:spacing w:val="-6"/>
          <w:szCs w:val="22"/>
        </w:rPr>
        <w:t>600</w:t>
      </w:r>
      <w:r>
        <w:rPr>
          <w:rFonts w:hint="eastAsia"/>
          <w:spacing w:val="-6"/>
          <w:szCs w:val="22"/>
        </w:rPr>
        <w:t>万台空调压缩机生产线，项目分三期进行，一期年产</w:t>
      </w:r>
      <w:r>
        <w:rPr>
          <w:spacing w:val="-6"/>
          <w:szCs w:val="22"/>
        </w:rPr>
        <w:t>200</w:t>
      </w:r>
      <w:r>
        <w:rPr>
          <w:rFonts w:hint="eastAsia"/>
          <w:spacing w:val="-6"/>
          <w:szCs w:val="22"/>
        </w:rPr>
        <w:t>万台</w:t>
      </w:r>
      <w:r>
        <w:rPr>
          <w:spacing w:val="-6"/>
          <w:szCs w:val="22"/>
        </w:rPr>
        <w:t>H</w:t>
      </w:r>
      <w:r>
        <w:rPr>
          <w:rFonts w:hint="eastAsia"/>
          <w:spacing w:val="-6"/>
          <w:szCs w:val="22"/>
        </w:rPr>
        <w:t>，</w:t>
      </w:r>
      <w:r>
        <w:rPr>
          <w:spacing w:val="-6"/>
          <w:szCs w:val="22"/>
        </w:rPr>
        <w:t>J</w:t>
      </w:r>
      <w:r>
        <w:rPr>
          <w:rFonts w:hint="eastAsia"/>
          <w:spacing w:val="-6"/>
          <w:szCs w:val="22"/>
        </w:rPr>
        <w:t>系列空调压缩机</w:t>
      </w:r>
      <w:r>
        <w:rPr>
          <w:spacing w:val="-6"/>
          <w:szCs w:val="22"/>
        </w:rPr>
        <w:t>(</w:t>
      </w:r>
      <w:r>
        <w:rPr>
          <w:rFonts w:hint="eastAsia"/>
          <w:spacing w:val="-6"/>
          <w:szCs w:val="22"/>
        </w:rPr>
        <w:t>主要为装配和部分钣金加工</w:t>
      </w:r>
      <w:r>
        <w:rPr>
          <w:spacing w:val="-6"/>
          <w:szCs w:val="22"/>
        </w:rPr>
        <w:t>)</w:t>
      </w:r>
      <w:r>
        <w:rPr>
          <w:rFonts w:hint="eastAsia"/>
          <w:spacing w:val="-6"/>
          <w:szCs w:val="22"/>
        </w:rPr>
        <w:t>；二期为年产</w:t>
      </w:r>
      <w:r>
        <w:rPr>
          <w:spacing w:val="-6"/>
          <w:szCs w:val="22"/>
        </w:rPr>
        <w:t>200</w:t>
      </w:r>
      <w:r>
        <w:rPr>
          <w:rFonts w:hint="eastAsia"/>
          <w:spacing w:val="-6"/>
          <w:szCs w:val="22"/>
        </w:rPr>
        <w:t>万台</w:t>
      </w:r>
      <w:r>
        <w:rPr>
          <w:spacing w:val="-6"/>
          <w:szCs w:val="22"/>
        </w:rPr>
        <w:t>H</w:t>
      </w:r>
      <w:r>
        <w:rPr>
          <w:rFonts w:hint="eastAsia"/>
          <w:spacing w:val="-6"/>
          <w:szCs w:val="22"/>
        </w:rPr>
        <w:t>，</w:t>
      </w:r>
      <w:r>
        <w:rPr>
          <w:spacing w:val="-6"/>
          <w:szCs w:val="22"/>
        </w:rPr>
        <w:t>J</w:t>
      </w:r>
      <w:r>
        <w:rPr>
          <w:rFonts w:hint="eastAsia"/>
          <w:spacing w:val="-6"/>
          <w:szCs w:val="22"/>
        </w:rPr>
        <w:t>系列空调压缩机配套机械加工、电机、铁芯生产线；三期</w:t>
      </w:r>
      <w:r>
        <w:rPr>
          <w:spacing w:val="-6"/>
          <w:szCs w:val="22"/>
        </w:rPr>
        <w:t>(2010</w:t>
      </w:r>
      <w:r>
        <w:rPr>
          <w:rFonts w:hint="eastAsia"/>
          <w:spacing w:val="-6"/>
          <w:szCs w:val="22"/>
        </w:rPr>
        <w:t>年</w:t>
      </w:r>
      <w:r>
        <w:rPr>
          <w:spacing w:val="-6"/>
          <w:szCs w:val="22"/>
        </w:rPr>
        <w:t>)</w:t>
      </w:r>
      <w:r>
        <w:rPr>
          <w:rFonts w:hint="eastAsia"/>
          <w:spacing w:val="-6"/>
          <w:szCs w:val="22"/>
        </w:rPr>
        <w:t>将扩展至</w:t>
      </w:r>
      <w:r>
        <w:rPr>
          <w:spacing w:val="-6"/>
          <w:szCs w:val="22"/>
        </w:rPr>
        <w:t>600</w:t>
      </w:r>
      <w:r>
        <w:rPr>
          <w:rFonts w:hint="eastAsia"/>
          <w:spacing w:val="-6"/>
          <w:szCs w:val="22"/>
        </w:rPr>
        <w:t>万台的生产能力，增加</w:t>
      </w:r>
      <w:r>
        <w:rPr>
          <w:spacing w:val="-6"/>
          <w:szCs w:val="22"/>
        </w:rPr>
        <w:t>BSA</w:t>
      </w:r>
      <w:r>
        <w:rPr>
          <w:rFonts w:hint="eastAsia"/>
          <w:spacing w:val="-6"/>
          <w:szCs w:val="22"/>
        </w:rPr>
        <w:t>、</w:t>
      </w:r>
      <w:r>
        <w:rPr>
          <w:spacing w:val="-6"/>
          <w:szCs w:val="22"/>
        </w:rPr>
        <w:t>ASD</w:t>
      </w:r>
      <w:r>
        <w:rPr>
          <w:rFonts w:hint="eastAsia"/>
          <w:spacing w:val="-6"/>
          <w:szCs w:val="22"/>
        </w:rPr>
        <w:t>、</w:t>
      </w:r>
      <w:r>
        <w:rPr>
          <w:spacing w:val="-6"/>
          <w:szCs w:val="22"/>
        </w:rPr>
        <w:t>ASC</w:t>
      </w:r>
      <w:r>
        <w:rPr>
          <w:rFonts w:hint="eastAsia"/>
          <w:spacing w:val="-6"/>
          <w:szCs w:val="22"/>
        </w:rPr>
        <w:t>系列压缩机</w:t>
      </w:r>
      <w:r>
        <w:rPr>
          <w:spacing w:val="-6"/>
          <w:szCs w:val="22"/>
        </w:rPr>
        <w:t>400</w:t>
      </w:r>
      <w:r>
        <w:rPr>
          <w:rFonts w:hint="eastAsia"/>
          <w:spacing w:val="-6"/>
          <w:szCs w:val="22"/>
        </w:rPr>
        <w:t>万台。</w:t>
      </w:r>
    </w:p>
    <w:p w:rsidR="00B04AE3" w:rsidRDefault="00B04AE3">
      <w:pPr>
        <w:pStyle w:val="BodyText"/>
        <w:spacing w:line="303" w:lineRule="exact"/>
        <w:ind w:left="817"/>
      </w:pPr>
      <w:r>
        <w:rPr>
          <w:rFonts w:hint="eastAsia"/>
        </w:rPr>
        <w:t>公司基本情况见表</w:t>
      </w:r>
      <w:r>
        <w:t xml:space="preserve"> </w:t>
      </w:r>
      <w:r>
        <w:rPr>
          <w:rFonts w:ascii="Times New Roman" w:eastAsia="Times New Roman"/>
        </w:rPr>
        <w:t>2.1-1</w:t>
      </w:r>
      <w:r>
        <w:rPr>
          <w:rFonts w:hint="eastAsia"/>
        </w:rPr>
        <w:t>。</w:t>
      </w:r>
    </w:p>
    <w:p w:rsidR="00B04AE3" w:rsidRDefault="00B04AE3" w:rsidP="003446E2">
      <w:pPr>
        <w:pStyle w:val="BodyText"/>
        <w:spacing w:line="303" w:lineRule="exact"/>
        <w:ind w:left="817" w:firstLineChars="900" w:firstLine="31680"/>
        <w:rPr>
          <w:b/>
        </w:rPr>
      </w:pPr>
      <w:r>
        <w:rPr>
          <w:rFonts w:hint="eastAsia"/>
          <w:b/>
        </w:rPr>
        <w:t>表</w:t>
      </w:r>
      <w:r>
        <w:rPr>
          <w:b/>
          <w:spacing w:val="-62"/>
        </w:rPr>
        <w:t xml:space="preserve"> </w:t>
      </w:r>
      <w:r>
        <w:rPr>
          <w:rFonts w:ascii="Times New Roman" w:eastAsia="Times New Roman"/>
          <w:b/>
        </w:rPr>
        <w:t>2.1-1</w:t>
      </w:r>
      <w:r>
        <w:rPr>
          <w:rFonts w:ascii="Times New Roman" w:eastAsia="Times New Roman"/>
          <w:b/>
        </w:rPr>
        <w:tab/>
      </w:r>
      <w:r>
        <w:rPr>
          <w:rFonts w:hint="eastAsia"/>
          <w:b/>
        </w:rPr>
        <w:t>公司情况简述表</w:t>
      </w:r>
    </w:p>
    <w:tbl>
      <w:tblPr>
        <w:tblW w:w="8522"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2234"/>
        <w:gridCol w:w="1982"/>
        <w:gridCol w:w="2153"/>
        <w:gridCol w:w="2153"/>
      </w:tblGrid>
      <w:tr w:rsidR="00B04AE3">
        <w:trPr>
          <w:trHeight w:val="340"/>
        </w:trPr>
        <w:tc>
          <w:tcPr>
            <w:tcW w:w="2234" w:type="dxa"/>
          </w:tcPr>
          <w:p w:rsidR="00B04AE3" w:rsidRDefault="00B04AE3">
            <w:pPr>
              <w:pStyle w:val="TableParagraph"/>
              <w:spacing w:before="34"/>
              <w:ind w:left="150" w:right="144"/>
              <w:rPr>
                <w:sz w:val="21"/>
              </w:rPr>
            </w:pPr>
            <w:r>
              <w:rPr>
                <w:rFonts w:hint="eastAsia"/>
                <w:sz w:val="21"/>
              </w:rPr>
              <w:t>单位名称</w:t>
            </w:r>
          </w:p>
        </w:tc>
        <w:tc>
          <w:tcPr>
            <w:tcW w:w="6288" w:type="dxa"/>
            <w:gridSpan w:val="3"/>
          </w:tcPr>
          <w:p w:rsidR="00B04AE3" w:rsidRDefault="00B04AE3">
            <w:pPr>
              <w:pStyle w:val="TableParagraph"/>
              <w:spacing w:before="34"/>
              <w:ind w:left="1884"/>
              <w:jc w:val="left"/>
              <w:rPr>
                <w:sz w:val="21"/>
              </w:rPr>
            </w:pPr>
            <w:r>
              <w:rPr>
                <w:rFonts w:hint="eastAsia"/>
                <w:sz w:val="21"/>
              </w:rPr>
              <w:t>南昌海立电器有限公司</w:t>
            </w:r>
          </w:p>
        </w:tc>
      </w:tr>
      <w:tr w:rsidR="00B04AE3">
        <w:trPr>
          <w:trHeight w:val="340"/>
        </w:trPr>
        <w:tc>
          <w:tcPr>
            <w:tcW w:w="2234" w:type="dxa"/>
          </w:tcPr>
          <w:p w:rsidR="00B04AE3" w:rsidRDefault="00B04AE3">
            <w:pPr>
              <w:pStyle w:val="TableParagraph"/>
              <w:spacing w:before="34"/>
              <w:ind w:left="150" w:right="144"/>
              <w:rPr>
                <w:sz w:val="21"/>
              </w:rPr>
            </w:pPr>
            <w:r>
              <w:rPr>
                <w:rFonts w:hint="eastAsia"/>
                <w:sz w:val="21"/>
              </w:rPr>
              <w:t>单位地址</w:t>
            </w:r>
          </w:p>
        </w:tc>
        <w:tc>
          <w:tcPr>
            <w:tcW w:w="6288" w:type="dxa"/>
            <w:gridSpan w:val="3"/>
          </w:tcPr>
          <w:p w:rsidR="00B04AE3" w:rsidRDefault="00B04AE3" w:rsidP="00B04AE3">
            <w:pPr>
              <w:pStyle w:val="TableParagraph"/>
              <w:spacing w:before="34"/>
              <w:ind w:firstLineChars="300" w:firstLine="31680"/>
              <w:jc w:val="left"/>
              <w:rPr>
                <w:sz w:val="21"/>
              </w:rPr>
            </w:pPr>
            <w:r>
              <w:rPr>
                <w:rFonts w:ascii="Times New Roman" w:hint="eastAsia"/>
                <w:sz w:val="21"/>
              </w:rPr>
              <w:t>南昌市经济技术开发区白水湖工业园梅林大街</w:t>
            </w:r>
            <w:r>
              <w:rPr>
                <w:rFonts w:ascii="Times New Roman"/>
                <w:sz w:val="21"/>
              </w:rPr>
              <w:t>88</w:t>
            </w:r>
            <w:r>
              <w:rPr>
                <w:rFonts w:ascii="Times New Roman" w:hint="eastAsia"/>
                <w:sz w:val="21"/>
              </w:rPr>
              <w:t>号</w:t>
            </w:r>
          </w:p>
        </w:tc>
      </w:tr>
      <w:tr w:rsidR="00B04AE3">
        <w:trPr>
          <w:trHeight w:val="340"/>
        </w:trPr>
        <w:tc>
          <w:tcPr>
            <w:tcW w:w="2234" w:type="dxa"/>
          </w:tcPr>
          <w:p w:rsidR="00B04AE3" w:rsidRDefault="00B04AE3">
            <w:pPr>
              <w:pStyle w:val="TableParagraph"/>
              <w:spacing w:before="35"/>
              <w:ind w:left="150" w:right="144"/>
              <w:rPr>
                <w:sz w:val="21"/>
              </w:rPr>
            </w:pPr>
            <w:r>
              <w:rPr>
                <w:rFonts w:hint="eastAsia"/>
                <w:sz w:val="21"/>
              </w:rPr>
              <w:t>统一社会信用代码</w:t>
            </w:r>
          </w:p>
        </w:tc>
        <w:tc>
          <w:tcPr>
            <w:tcW w:w="6288" w:type="dxa"/>
            <w:gridSpan w:val="3"/>
          </w:tcPr>
          <w:p w:rsidR="00B04AE3" w:rsidRDefault="00B04AE3">
            <w:pPr>
              <w:pStyle w:val="TableParagraph"/>
              <w:spacing w:before="49"/>
              <w:ind w:left="2179" w:right="2169"/>
              <w:rPr>
                <w:rFonts w:ascii="Times New Roman"/>
                <w:sz w:val="21"/>
                <w:lang w:val="en-US"/>
              </w:rPr>
            </w:pPr>
            <w:r>
              <w:rPr>
                <w:rFonts w:ascii="Times New Roman"/>
                <w:sz w:val="21"/>
              </w:rPr>
              <w:t>9136</w:t>
            </w:r>
            <w:r>
              <w:rPr>
                <w:rFonts w:ascii="Times New Roman"/>
                <w:sz w:val="21"/>
                <w:lang w:val="en-US"/>
              </w:rPr>
              <w:t>01086697506551</w:t>
            </w:r>
          </w:p>
        </w:tc>
      </w:tr>
      <w:tr w:rsidR="00B04AE3">
        <w:trPr>
          <w:trHeight w:val="340"/>
        </w:trPr>
        <w:tc>
          <w:tcPr>
            <w:tcW w:w="2234" w:type="dxa"/>
          </w:tcPr>
          <w:p w:rsidR="00B04AE3" w:rsidRDefault="00B04AE3">
            <w:pPr>
              <w:pStyle w:val="TableParagraph"/>
              <w:spacing w:before="33"/>
              <w:ind w:left="150" w:right="144"/>
              <w:rPr>
                <w:sz w:val="21"/>
              </w:rPr>
            </w:pPr>
            <w:r>
              <w:rPr>
                <w:rFonts w:hint="eastAsia"/>
                <w:sz w:val="21"/>
              </w:rPr>
              <w:t>投资总额</w:t>
            </w:r>
          </w:p>
        </w:tc>
        <w:tc>
          <w:tcPr>
            <w:tcW w:w="1982" w:type="dxa"/>
          </w:tcPr>
          <w:p w:rsidR="00B04AE3" w:rsidRDefault="00B04AE3">
            <w:pPr>
              <w:pStyle w:val="TableParagraph"/>
              <w:spacing w:before="33"/>
              <w:ind w:left="539" w:right="532"/>
              <w:rPr>
                <w:sz w:val="21"/>
              </w:rPr>
            </w:pPr>
            <w:r>
              <w:rPr>
                <w:rFonts w:ascii="Times New Roman" w:eastAsia="Times New Roman"/>
                <w:sz w:val="21"/>
              </w:rPr>
              <w:t>1</w:t>
            </w:r>
            <w:r>
              <w:rPr>
                <w:rFonts w:ascii="Times New Roman"/>
                <w:sz w:val="21"/>
                <w:lang w:val="en-US"/>
              </w:rPr>
              <w:t>2</w:t>
            </w:r>
            <w:r>
              <w:rPr>
                <w:rFonts w:hint="eastAsia"/>
                <w:sz w:val="21"/>
              </w:rPr>
              <w:t>亿元</w:t>
            </w:r>
          </w:p>
        </w:tc>
        <w:tc>
          <w:tcPr>
            <w:tcW w:w="2153" w:type="dxa"/>
          </w:tcPr>
          <w:p w:rsidR="00B04AE3" w:rsidRDefault="00B04AE3">
            <w:pPr>
              <w:pStyle w:val="TableParagraph"/>
              <w:spacing w:before="33"/>
              <w:ind w:left="656"/>
              <w:jc w:val="left"/>
              <w:rPr>
                <w:sz w:val="21"/>
              </w:rPr>
            </w:pPr>
            <w:r>
              <w:rPr>
                <w:rFonts w:hint="eastAsia"/>
                <w:sz w:val="21"/>
              </w:rPr>
              <w:t>环保投资</w:t>
            </w:r>
          </w:p>
        </w:tc>
        <w:tc>
          <w:tcPr>
            <w:tcW w:w="2153" w:type="dxa"/>
          </w:tcPr>
          <w:p w:rsidR="00B04AE3" w:rsidRDefault="00B04AE3">
            <w:pPr>
              <w:pStyle w:val="TableParagraph"/>
              <w:spacing w:before="33"/>
              <w:ind w:left="7"/>
              <w:rPr>
                <w:color w:val="FF0000"/>
                <w:sz w:val="21"/>
              </w:rPr>
            </w:pPr>
            <w:r>
              <w:rPr>
                <w:sz w:val="21"/>
                <w:lang w:val="en-US"/>
              </w:rPr>
              <w:t>1200</w:t>
            </w:r>
            <w:r>
              <w:rPr>
                <w:rFonts w:hint="eastAsia"/>
                <w:sz w:val="21"/>
              </w:rPr>
              <w:t>万元</w:t>
            </w:r>
          </w:p>
        </w:tc>
      </w:tr>
      <w:tr w:rsidR="00B04AE3">
        <w:trPr>
          <w:trHeight w:val="340"/>
        </w:trPr>
        <w:tc>
          <w:tcPr>
            <w:tcW w:w="2234" w:type="dxa"/>
          </w:tcPr>
          <w:p w:rsidR="00B04AE3" w:rsidRDefault="00B04AE3">
            <w:pPr>
              <w:pStyle w:val="TableParagraph"/>
              <w:spacing w:before="33"/>
              <w:ind w:left="150" w:right="144"/>
              <w:rPr>
                <w:sz w:val="21"/>
              </w:rPr>
            </w:pPr>
            <w:r>
              <w:rPr>
                <w:rFonts w:hint="eastAsia"/>
                <w:sz w:val="21"/>
              </w:rPr>
              <w:t>占地面积</w:t>
            </w:r>
          </w:p>
        </w:tc>
        <w:tc>
          <w:tcPr>
            <w:tcW w:w="1982" w:type="dxa"/>
          </w:tcPr>
          <w:p w:rsidR="00B04AE3" w:rsidRDefault="00B04AE3">
            <w:pPr>
              <w:pStyle w:val="TableParagraph"/>
              <w:spacing w:before="49"/>
              <w:ind w:left="540" w:right="532"/>
              <w:rPr>
                <w:rFonts w:ascii="Times New Roman"/>
                <w:sz w:val="13"/>
              </w:rPr>
            </w:pPr>
            <w:r>
              <w:rPr>
                <w:rFonts w:ascii="Times New Roman"/>
                <w:sz w:val="21"/>
                <w:lang w:val="en-US"/>
              </w:rPr>
              <w:t>424800</w:t>
            </w:r>
            <w:r>
              <w:rPr>
                <w:rFonts w:ascii="Times New Roman"/>
                <w:sz w:val="21"/>
              </w:rPr>
              <w:t>m</w:t>
            </w:r>
            <w:r>
              <w:rPr>
                <w:rFonts w:ascii="Times New Roman"/>
                <w:position w:val="7"/>
                <w:sz w:val="13"/>
              </w:rPr>
              <w:t>2</w:t>
            </w:r>
          </w:p>
        </w:tc>
        <w:tc>
          <w:tcPr>
            <w:tcW w:w="2153" w:type="dxa"/>
          </w:tcPr>
          <w:p w:rsidR="00B04AE3" w:rsidRDefault="00B04AE3">
            <w:pPr>
              <w:pStyle w:val="TableParagraph"/>
              <w:spacing w:before="33"/>
              <w:ind w:left="656"/>
              <w:jc w:val="left"/>
              <w:rPr>
                <w:sz w:val="21"/>
              </w:rPr>
            </w:pPr>
            <w:r>
              <w:rPr>
                <w:rFonts w:hint="eastAsia"/>
                <w:sz w:val="21"/>
              </w:rPr>
              <w:t>绿化面积</w:t>
            </w:r>
          </w:p>
        </w:tc>
        <w:tc>
          <w:tcPr>
            <w:tcW w:w="2153" w:type="dxa"/>
          </w:tcPr>
          <w:p w:rsidR="00B04AE3" w:rsidRDefault="00B04AE3">
            <w:pPr>
              <w:pStyle w:val="TableParagraph"/>
              <w:spacing w:before="49"/>
              <w:ind w:left="8"/>
              <w:rPr>
                <w:rFonts w:ascii="Times New Roman"/>
                <w:color w:val="FF0000"/>
                <w:sz w:val="13"/>
              </w:rPr>
            </w:pPr>
          </w:p>
        </w:tc>
      </w:tr>
      <w:tr w:rsidR="00B04AE3">
        <w:trPr>
          <w:trHeight w:val="340"/>
        </w:trPr>
        <w:tc>
          <w:tcPr>
            <w:tcW w:w="2234" w:type="dxa"/>
          </w:tcPr>
          <w:p w:rsidR="00B04AE3" w:rsidRDefault="00B04AE3">
            <w:pPr>
              <w:pStyle w:val="TableParagraph"/>
              <w:spacing w:before="34"/>
              <w:ind w:left="150" w:right="144"/>
              <w:rPr>
                <w:sz w:val="21"/>
              </w:rPr>
            </w:pPr>
            <w:r>
              <w:rPr>
                <w:rFonts w:hint="eastAsia"/>
                <w:sz w:val="21"/>
              </w:rPr>
              <w:t>企业法人</w:t>
            </w:r>
          </w:p>
        </w:tc>
        <w:tc>
          <w:tcPr>
            <w:tcW w:w="1982" w:type="dxa"/>
          </w:tcPr>
          <w:p w:rsidR="00B04AE3" w:rsidRDefault="00B04AE3">
            <w:pPr>
              <w:pStyle w:val="TableParagraph"/>
              <w:spacing w:before="34"/>
              <w:ind w:left="539" w:right="532"/>
              <w:rPr>
                <w:sz w:val="21"/>
              </w:rPr>
            </w:pPr>
            <w:r>
              <w:rPr>
                <w:rFonts w:hint="eastAsia"/>
                <w:sz w:val="21"/>
              </w:rPr>
              <w:t>李海滨</w:t>
            </w:r>
          </w:p>
        </w:tc>
        <w:tc>
          <w:tcPr>
            <w:tcW w:w="2153" w:type="dxa"/>
          </w:tcPr>
          <w:p w:rsidR="00B04AE3" w:rsidRDefault="00B04AE3">
            <w:pPr>
              <w:pStyle w:val="TableParagraph"/>
              <w:spacing w:before="34"/>
              <w:ind w:left="656"/>
              <w:jc w:val="left"/>
              <w:rPr>
                <w:sz w:val="21"/>
              </w:rPr>
            </w:pPr>
            <w:r>
              <w:rPr>
                <w:rFonts w:hint="eastAsia"/>
                <w:sz w:val="21"/>
              </w:rPr>
              <w:t>联系方式</w:t>
            </w:r>
          </w:p>
        </w:tc>
        <w:tc>
          <w:tcPr>
            <w:tcW w:w="2153" w:type="dxa"/>
          </w:tcPr>
          <w:p w:rsidR="00B04AE3" w:rsidRDefault="00B04AE3">
            <w:pPr>
              <w:pStyle w:val="TableParagraph"/>
              <w:spacing w:before="50"/>
              <w:ind w:left="10"/>
              <w:rPr>
                <w:rFonts w:ascii="Times New Roman"/>
                <w:sz w:val="21"/>
                <w:lang w:val="en-US"/>
              </w:rPr>
            </w:pPr>
            <w:r>
              <w:rPr>
                <w:rFonts w:ascii="Times New Roman"/>
                <w:sz w:val="21"/>
              </w:rPr>
              <w:t>0791-88534560</w:t>
            </w:r>
          </w:p>
        </w:tc>
      </w:tr>
      <w:tr w:rsidR="00B04AE3">
        <w:trPr>
          <w:trHeight w:val="340"/>
        </w:trPr>
        <w:tc>
          <w:tcPr>
            <w:tcW w:w="2234" w:type="dxa"/>
          </w:tcPr>
          <w:p w:rsidR="00B04AE3" w:rsidRDefault="00B04AE3">
            <w:pPr>
              <w:pStyle w:val="TableParagraph"/>
              <w:spacing w:before="34"/>
              <w:ind w:left="150" w:right="144"/>
              <w:rPr>
                <w:sz w:val="21"/>
              </w:rPr>
            </w:pPr>
            <w:r>
              <w:rPr>
                <w:rFonts w:hint="eastAsia"/>
                <w:sz w:val="21"/>
              </w:rPr>
              <w:t>主要产品及生产能力</w:t>
            </w:r>
          </w:p>
        </w:tc>
        <w:tc>
          <w:tcPr>
            <w:tcW w:w="6288" w:type="dxa"/>
            <w:gridSpan w:val="3"/>
          </w:tcPr>
          <w:p w:rsidR="00B04AE3" w:rsidRDefault="00B04AE3">
            <w:pPr>
              <w:pStyle w:val="TableParagraph"/>
              <w:spacing w:before="34"/>
              <w:ind w:left="1884"/>
              <w:jc w:val="left"/>
              <w:rPr>
                <w:sz w:val="21"/>
                <w:lang w:val="en-US"/>
              </w:rPr>
            </w:pPr>
            <w:r>
              <w:rPr>
                <w:sz w:val="21"/>
                <w:lang w:val="en-US"/>
              </w:rPr>
              <w:t>600</w:t>
            </w:r>
            <w:r>
              <w:rPr>
                <w:rFonts w:hint="eastAsia"/>
                <w:sz w:val="21"/>
                <w:lang w:val="en-US"/>
              </w:rPr>
              <w:t>万台空调压缩机</w:t>
            </w:r>
          </w:p>
        </w:tc>
      </w:tr>
      <w:tr w:rsidR="00B04AE3">
        <w:trPr>
          <w:trHeight w:val="340"/>
        </w:trPr>
        <w:tc>
          <w:tcPr>
            <w:tcW w:w="2234" w:type="dxa"/>
          </w:tcPr>
          <w:p w:rsidR="00B04AE3" w:rsidRDefault="00B04AE3">
            <w:pPr>
              <w:pStyle w:val="TableParagraph"/>
              <w:spacing w:before="34"/>
              <w:ind w:left="150" w:right="142"/>
              <w:rPr>
                <w:sz w:val="21"/>
              </w:rPr>
            </w:pPr>
            <w:r>
              <w:rPr>
                <w:rFonts w:hint="eastAsia"/>
                <w:sz w:val="21"/>
              </w:rPr>
              <w:t>主要生产车间</w:t>
            </w:r>
          </w:p>
        </w:tc>
        <w:tc>
          <w:tcPr>
            <w:tcW w:w="6288" w:type="dxa"/>
            <w:gridSpan w:val="3"/>
          </w:tcPr>
          <w:p w:rsidR="00B04AE3" w:rsidRDefault="00B04AE3">
            <w:pPr>
              <w:pStyle w:val="TableParagraph"/>
              <w:spacing w:before="34"/>
              <w:ind w:left="1673"/>
              <w:jc w:val="left"/>
              <w:rPr>
                <w:sz w:val="21"/>
              </w:rPr>
            </w:pPr>
            <w:r>
              <w:rPr>
                <w:rFonts w:hint="eastAsia"/>
                <w:szCs w:val="21"/>
              </w:rPr>
              <w:t>钣金车间、公用车间、机加工车间</w:t>
            </w:r>
          </w:p>
        </w:tc>
      </w:tr>
      <w:tr w:rsidR="00B04AE3">
        <w:trPr>
          <w:trHeight w:val="340"/>
        </w:trPr>
        <w:tc>
          <w:tcPr>
            <w:tcW w:w="2234" w:type="dxa"/>
          </w:tcPr>
          <w:p w:rsidR="00B04AE3" w:rsidRDefault="00B04AE3">
            <w:pPr>
              <w:pStyle w:val="TableParagraph"/>
              <w:spacing w:before="35"/>
              <w:ind w:left="150" w:right="144"/>
              <w:rPr>
                <w:sz w:val="21"/>
              </w:rPr>
            </w:pPr>
            <w:r>
              <w:rPr>
                <w:rFonts w:hint="eastAsia"/>
                <w:sz w:val="21"/>
              </w:rPr>
              <w:t>主要原辅料</w:t>
            </w:r>
          </w:p>
        </w:tc>
        <w:tc>
          <w:tcPr>
            <w:tcW w:w="6288" w:type="dxa"/>
            <w:gridSpan w:val="3"/>
          </w:tcPr>
          <w:p w:rsidR="00B04AE3" w:rsidRDefault="00B04AE3">
            <w:pPr>
              <w:pStyle w:val="TableParagraph"/>
              <w:spacing w:before="17" w:line="303" w:lineRule="exact"/>
              <w:ind w:left="108"/>
              <w:jc w:val="left"/>
              <w:rPr>
                <w:sz w:val="24"/>
              </w:rPr>
            </w:pPr>
            <w:r>
              <w:rPr>
                <w:rFonts w:hint="eastAsia"/>
                <w:szCs w:val="21"/>
              </w:rPr>
              <w:t>热轧钢板</w:t>
            </w:r>
            <w:r>
              <w:rPr>
                <w:rFonts w:hint="eastAsia"/>
                <w:sz w:val="24"/>
              </w:rPr>
              <w:t>、</w:t>
            </w:r>
            <w:r>
              <w:rPr>
                <w:rFonts w:hint="eastAsia"/>
                <w:szCs w:val="21"/>
              </w:rPr>
              <w:t>冷轧钢板</w:t>
            </w:r>
            <w:r>
              <w:rPr>
                <w:rFonts w:hint="eastAsia"/>
                <w:sz w:val="24"/>
              </w:rPr>
              <w:t>、</w:t>
            </w:r>
            <w:r>
              <w:rPr>
                <w:rFonts w:hint="eastAsia"/>
                <w:szCs w:val="21"/>
              </w:rPr>
              <w:t>硅钢板</w:t>
            </w:r>
            <w:r>
              <w:rPr>
                <w:sz w:val="24"/>
              </w:rPr>
              <w:t xml:space="preserve"> </w:t>
            </w:r>
            <w:r>
              <w:rPr>
                <w:rFonts w:hint="eastAsia"/>
                <w:szCs w:val="21"/>
              </w:rPr>
              <w:t>铝</w:t>
            </w:r>
            <w:r>
              <w:rPr>
                <w:rFonts w:hint="eastAsia"/>
                <w:sz w:val="24"/>
              </w:rPr>
              <w:t>、</w:t>
            </w:r>
            <w:r>
              <w:rPr>
                <w:rFonts w:hint="eastAsia"/>
                <w:szCs w:val="21"/>
              </w:rPr>
              <w:t>粉末冶金件</w:t>
            </w:r>
            <w:r>
              <w:rPr>
                <w:rFonts w:hint="eastAsia"/>
                <w:sz w:val="24"/>
              </w:rPr>
              <w:t>、</w:t>
            </w:r>
            <w:r>
              <w:rPr>
                <w:rFonts w:hint="eastAsia"/>
              </w:rPr>
              <w:t>氧气、氩气</w:t>
            </w:r>
          </w:p>
        </w:tc>
      </w:tr>
      <w:tr w:rsidR="00B04AE3">
        <w:trPr>
          <w:trHeight w:val="340"/>
        </w:trPr>
        <w:tc>
          <w:tcPr>
            <w:tcW w:w="2234" w:type="dxa"/>
          </w:tcPr>
          <w:p w:rsidR="00B04AE3" w:rsidRDefault="00B04AE3">
            <w:pPr>
              <w:pStyle w:val="TableParagraph"/>
              <w:spacing w:before="33"/>
              <w:ind w:left="150" w:right="144"/>
              <w:rPr>
                <w:sz w:val="21"/>
              </w:rPr>
            </w:pPr>
            <w:r>
              <w:rPr>
                <w:rFonts w:hint="eastAsia"/>
                <w:sz w:val="21"/>
              </w:rPr>
              <w:t>员工人数及工作制度</w:t>
            </w:r>
          </w:p>
        </w:tc>
        <w:tc>
          <w:tcPr>
            <w:tcW w:w="6288" w:type="dxa"/>
            <w:gridSpan w:val="3"/>
          </w:tcPr>
          <w:p w:rsidR="00B04AE3" w:rsidRDefault="00B04AE3">
            <w:pPr>
              <w:pStyle w:val="TableParagraph"/>
              <w:spacing w:before="33"/>
              <w:ind w:left="149"/>
              <w:jc w:val="left"/>
              <w:rPr>
                <w:sz w:val="21"/>
              </w:rPr>
            </w:pPr>
            <w:r>
              <w:rPr>
                <w:rFonts w:hint="eastAsia"/>
                <w:sz w:val="21"/>
              </w:rPr>
              <w:t>现有员工</w:t>
            </w:r>
            <w:r>
              <w:rPr>
                <w:sz w:val="21"/>
                <w:lang w:val="en-US"/>
              </w:rPr>
              <w:t>1920</w:t>
            </w:r>
            <w:r>
              <w:rPr>
                <w:rFonts w:hint="eastAsia"/>
                <w:sz w:val="21"/>
              </w:rPr>
              <w:t>人，年工作</w:t>
            </w:r>
            <w:r>
              <w:rPr>
                <w:sz w:val="21"/>
                <w:lang w:val="en-US"/>
              </w:rPr>
              <w:t>250</w:t>
            </w:r>
            <w:r>
              <w:rPr>
                <w:rFonts w:hint="eastAsia"/>
                <w:sz w:val="21"/>
              </w:rPr>
              <w:t>天，实行三班二运作班制，每班</w:t>
            </w:r>
            <w:r>
              <w:rPr>
                <w:sz w:val="21"/>
                <w:lang w:val="en-US"/>
              </w:rPr>
              <w:t>12</w:t>
            </w:r>
            <w:r>
              <w:rPr>
                <w:rFonts w:hint="eastAsia"/>
                <w:sz w:val="21"/>
              </w:rPr>
              <w:t>小时</w:t>
            </w:r>
          </w:p>
        </w:tc>
      </w:tr>
      <w:tr w:rsidR="00B04AE3">
        <w:trPr>
          <w:trHeight w:val="340"/>
        </w:trPr>
        <w:tc>
          <w:tcPr>
            <w:tcW w:w="2234" w:type="dxa"/>
          </w:tcPr>
          <w:p w:rsidR="00B04AE3" w:rsidRDefault="00B04AE3">
            <w:pPr>
              <w:pStyle w:val="TableParagraph"/>
              <w:spacing w:before="33"/>
              <w:ind w:left="150" w:right="144"/>
              <w:rPr>
                <w:sz w:val="21"/>
              </w:rPr>
            </w:pPr>
            <w:r>
              <w:rPr>
                <w:rFonts w:hint="eastAsia"/>
                <w:sz w:val="21"/>
              </w:rPr>
              <w:t>投产日期</w:t>
            </w:r>
          </w:p>
        </w:tc>
        <w:tc>
          <w:tcPr>
            <w:tcW w:w="1982" w:type="dxa"/>
          </w:tcPr>
          <w:p w:rsidR="00B04AE3" w:rsidRDefault="00B04AE3">
            <w:pPr>
              <w:pStyle w:val="TableParagraph"/>
              <w:spacing w:before="49"/>
              <w:ind w:left="540" w:right="532"/>
              <w:rPr>
                <w:rFonts w:ascii="Times New Roman"/>
                <w:sz w:val="21"/>
              </w:rPr>
            </w:pPr>
            <w:r>
              <w:rPr>
                <w:rFonts w:ascii="Times New Roman"/>
                <w:sz w:val="21"/>
              </w:rPr>
              <w:t>201</w:t>
            </w:r>
            <w:r>
              <w:rPr>
                <w:rFonts w:ascii="Times New Roman"/>
                <w:sz w:val="21"/>
                <w:lang w:val="en-US"/>
              </w:rPr>
              <w:t>9</w:t>
            </w:r>
            <w:r>
              <w:rPr>
                <w:rFonts w:ascii="Times New Roman"/>
                <w:sz w:val="21"/>
              </w:rPr>
              <w:t>.10</w:t>
            </w:r>
          </w:p>
        </w:tc>
        <w:tc>
          <w:tcPr>
            <w:tcW w:w="2153" w:type="dxa"/>
          </w:tcPr>
          <w:p w:rsidR="00B04AE3" w:rsidRDefault="00B04AE3">
            <w:pPr>
              <w:pStyle w:val="TableParagraph"/>
              <w:spacing w:before="33"/>
              <w:ind w:left="656"/>
              <w:jc w:val="left"/>
              <w:rPr>
                <w:sz w:val="21"/>
              </w:rPr>
            </w:pPr>
            <w:r>
              <w:rPr>
                <w:rFonts w:hint="eastAsia"/>
                <w:sz w:val="21"/>
              </w:rPr>
              <w:t>行业类别</w:t>
            </w:r>
          </w:p>
        </w:tc>
        <w:tc>
          <w:tcPr>
            <w:tcW w:w="2153" w:type="dxa"/>
          </w:tcPr>
          <w:p w:rsidR="00B04AE3" w:rsidRDefault="00B04AE3">
            <w:pPr>
              <w:pStyle w:val="TableParagraph"/>
              <w:tabs>
                <w:tab w:val="left" w:pos="775"/>
              </w:tabs>
              <w:spacing w:before="33"/>
              <w:ind w:left="7"/>
              <w:rPr>
                <w:sz w:val="21"/>
              </w:rPr>
            </w:pPr>
            <w:r>
              <w:rPr>
                <w:rFonts w:ascii="Times New Roman"/>
              </w:rPr>
              <w:t>C354-</w:t>
            </w:r>
            <w:r>
              <w:rPr>
                <w:rFonts w:ascii="Times New Roman" w:hint="eastAsia"/>
              </w:rPr>
              <w:t>泵、阀门、压缩机及类似机械的制造</w:t>
            </w:r>
          </w:p>
        </w:tc>
      </w:tr>
      <w:tr w:rsidR="00B04AE3">
        <w:trPr>
          <w:trHeight w:val="340"/>
        </w:trPr>
        <w:tc>
          <w:tcPr>
            <w:tcW w:w="2234" w:type="dxa"/>
          </w:tcPr>
          <w:p w:rsidR="00B04AE3" w:rsidRDefault="00B04AE3">
            <w:pPr>
              <w:pStyle w:val="TableParagraph"/>
              <w:spacing w:before="34"/>
              <w:ind w:left="150" w:right="144"/>
              <w:rPr>
                <w:sz w:val="21"/>
              </w:rPr>
            </w:pPr>
            <w:r>
              <w:rPr>
                <w:rFonts w:hint="eastAsia"/>
                <w:sz w:val="21"/>
              </w:rPr>
              <w:t>历史事故</w:t>
            </w:r>
          </w:p>
        </w:tc>
        <w:tc>
          <w:tcPr>
            <w:tcW w:w="6288" w:type="dxa"/>
            <w:gridSpan w:val="3"/>
          </w:tcPr>
          <w:p w:rsidR="00B04AE3" w:rsidRDefault="00B04AE3">
            <w:pPr>
              <w:pStyle w:val="TableParagraph"/>
              <w:spacing w:before="34"/>
              <w:ind w:left="9"/>
              <w:rPr>
                <w:sz w:val="21"/>
              </w:rPr>
            </w:pPr>
            <w:r>
              <w:rPr>
                <w:rFonts w:hint="eastAsia"/>
                <w:w w:val="99"/>
                <w:sz w:val="21"/>
              </w:rPr>
              <w:t>无</w:t>
            </w:r>
          </w:p>
        </w:tc>
      </w:tr>
    </w:tbl>
    <w:p w:rsidR="00B04AE3" w:rsidRDefault="00B04AE3">
      <w:pPr>
        <w:pStyle w:val="ListParagraph"/>
        <w:tabs>
          <w:tab w:val="left" w:pos="878"/>
        </w:tabs>
        <w:spacing w:before="2" w:line="364" w:lineRule="auto"/>
        <w:ind w:right="4007" w:firstLine="0"/>
        <w:rPr>
          <w:sz w:val="24"/>
        </w:rPr>
      </w:pPr>
      <w:bookmarkStart w:id="31" w:name="2.1.1主要原辅材料及其消耗量、储存方式"/>
      <w:bookmarkEnd w:id="31"/>
      <w:r>
        <w:rPr>
          <w:b/>
          <w:sz w:val="24"/>
          <w:lang w:val="en-US"/>
        </w:rPr>
        <w:t>2.1.2</w:t>
      </w:r>
      <w:r>
        <w:rPr>
          <w:rFonts w:hint="eastAsia"/>
          <w:b/>
          <w:sz w:val="24"/>
        </w:rPr>
        <w:t>主要原辅材料及其消耗量、储存方式</w:t>
      </w:r>
    </w:p>
    <w:p w:rsidR="00B04AE3" w:rsidRDefault="00B04AE3">
      <w:pPr>
        <w:pStyle w:val="ListParagraph"/>
        <w:tabs>
          <w:tab w:val="left" w:pos="878"/>
        </w:tabs>
        <w:spacing w:before="2" w:line="364" w:lineRule="auto"/>
        <w:ind w:right="4007" w:firstLine="0"/>
        <w:rPr>
          <w:sz w:val="24"/>
        </w:rPr>
      </w:pPr>
      <w:r>
        <w:rPr>
          <w:rFonts w:hint="eastAsia"/>
          <w:spacing w:val="-5"/>
          <w:sz w:val="24"/>
        </w:rPr>
        <w:t>项目主要原辅材料消耗情况见表</w:t>
      </w:r>
      <w:r>
        <w:rPr>
          <w:spacing w:val="-5"/>
          <w:sz w:val="24"/>
        </w:rPr>
        <w:t xml:space="preserve"> </w:t>
      </w:r>
      <w:r>
        <w:rPr>
          <w:rFonts w:ascii="Times New Roman" w:eastAsia="Times New Roman"/>
          <w:sz w:val="24"/>
        </w:rPr>
        <w:t>2.1-</w:t>
      </w:r>
      <w:r>
        <w:rPr>
          <w:rFonts w:ascii="Times New Roman"/>
          <w:sz w:val="24"/>
          <w:lang w:val="en-US"/>
        </w:rPr>
        <w:t>2</w:t>
      </w:r>
      <w:r>
        <w:rPr>
          <w:spacing w:val="-17"/>
          <w:sz w:val="24"/>
          <w:lang w:val="en-US"/>
        </w:rPr>
        <w:t>.</w:t>
      </w:r>
    </w:p>
    <w:p w:rsidR="00B04AE3" w:rsidRDefault="00B04AE3">
      <w:pPr>
        <w:tabs>
          <w:tab w:val="left" w:pos="1171"/>
        </w:tabs>
        <w:spacing w:after="2" w:line="306" w:lineRule="exact"/>
        <w:ind w:left="12"/>
        <w:jc w:val="center"/>
        <w:rPr>
          <w:b/>
          <w:sz w:val="24"/>
        </w:rPr>
      </w:pPr>
      <w:r>
        <w:rPr>
          <w:rFonts w:hint="eastAsia"/>
          <w:b/>
          <w:sz w:val="24"/>
        </w:rPr>
        <w:t>表</w:t>
      </w:r>
      <w:r>
        <w:rPr>
          <w:b/>
          <w:spacing w:val="-62"/>
          <w:sz w:val="24"/>
        </w:rPr>
        <w:t xml:space="preserve"> </w:t>
      </w:r>
      <w:r>
        <w:rPr>
          <w:rFonts w:ascii="Times New Roman" w:eastAsia="Times New Roman"/>
          <w:b/>
          <w:sz w:val="24"/>
        </w:rPr>
        <w:t>2.1-</w:t>
      </w:r>
      <w:r>
        <w:rPr>
          <w:rFonts w:ascii="Times New Roman"/>
          <w:b/>
          <w:sz w:val="24"/>
          <w:lang w:val="en-US"/>
        </w:rPr>
        <w:t>2</w:t>
      </w:r>
      <w:r>
        <w:rPr>
          <w:rFonts w:ascii="Times New Roman" w:eastAsia="Times New Roman"/>
          <w:b/>
          <w:sz w:val="24"/>
        </w:rPr>
        <w:tab/>
      </w:r>
      <w:r>
        <w:rPr>
          <w:rFonts w:hint="eastAsia"/>
          <w:b/>
          <w:sz w:val="24"/>
        </w:rPr>
        <w:t>项目主要原辅材料用料情况一览表</w:t>
      </w:r>
    </w:p>
    <w:tbl>
      <w:tblPr>
        <w:tblW w:w="8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12"/>
        <w:gridCol w:w="2118"/>
        <w:gridCol w:w="1194"/>
        <w:gridCol w:w="956"/>
        <w:gridCol w:w="1121"/>
        <w:gridCol w:w="1499"/>
      </w:tblGrid>
      <w:tr w:rsidR="00B04AE3">
        <w:trPr>
          <w:trHeight w:val="588"/>
          <w:jc w:val="center"/>
        </w:trPr>
        <w:tc>
          <w:tcPr>
            <w:tcW w:w="1912" w:type="dxa"/>
            <w:vAlign w:val="center"/>
          </w:tcPr>
          <w:p w:rsidR="00B04AE3" w:rsidRDefault="00B04AE3">
            <w:pPr>
              <w:widowControl/>
              <w:jc w:val="center"/>
              <w:rPr>
                <w:b/>
                <w:sz w:val="21"/>
                <w:szCs w:val="21"/>
              </w:rPr>
            </w:pPr>
            <w:r>
              <w:rPr>
                <w:rFonts w:hint="eastAsia"/>
                <w:b/>
                <w:sz w:val="21"/>
                <w:szCs w:val="21"/>
              </w:rPr>
              <w:t>原辅材料或产品名称</w:t>
            </w:r>
          </w:p>
        </w:tc>
        <w:tc>
          <w:tcPr>
            <w:tcW w:w="2118" w:type="dxa"/>
            <w:vAlign w:val="center"/>
          </w:tcPr>
          <w:p w:rsidR="00B04AE3" w:rsidRDefault="00B04AE3">
            <w:pPr>
              <w:widowControl/>
              <w:jc w:val="center"/>
              <w:rPr>
                <w:b/>
                <w:sz w:val="21"/>
                <w:szCs w:val="21"/>
              </w:rPr>
            </w:pPr>
            <w:r>
              <w:rPr>
                <w:rFonts w:hint="eastAsia"/>
                <w:b/>
                <w:sz w:val="21"/>
                <w:szCs w:val="21"/>
              </w:rPr>
              <w:t>主要成分</w:t>
            </w:r>
          </w:p>
        </w:tc>
        <w:tc>
          <w:tcPr>
            <w:tcW w:w="1194" w:type="dxa"/>
            <w:vAlign w:val="center"/>
          </w:tcPr>
          <w:p w:rsidR="00B04AE3" w:rsidRDefault="00B04AE3">
            <w:pPr>
              <w:widowControl/>
              <w:jc w:val="center"/>
              <w:rPr>
                <w:b/>
                <w:sz w:val="21"/>
                <w:szCs w:val="21"/>
              </w:rPr>
            </w:pPr>
            <w:r>
              <w:rPr>
                <w:rFonts w:hint="eastAsia"/>
                <w:b/>
                <w:sz w:val="21"/>
                <w:szCs w:val="21"/>
              </w:rPr>
              <w:t>最大存放量</w:t>
            </w:r>
          </w:p>
        </w:tc>
        <w:tc>
          <w:tcPr>
            <w:tcW w:w="956" w:type="dxa"/>
            <w:vAlign w:val="center"/>
          </w:tcPr>
          <w:p w:rsidR="00B04AE3" w:rsidRDefault="00B04AE3">
            <w:pPr>
              <w:widowControl/>
              <w:jc w:val="center"/>
              <w:rPr>
                <w:b/>
                <w:sz w:val="21"/>
                <w:szCs w:val="21"/>
              </w:rPr>
            </w:pPr>
            <w:r>
              <w:rPr>
                <w:rFonts w:hint="eastAsia"/>
                <w:b/>
                <w:sz w:val="21"/>
                <w:szCs w:val="21"/>
              </w:rPr>
              <w:t>运输方式</w:t>
            </w:r>
          </w:p>
        </w:tc>
        <w:tc>
          <w:tcPr>
            <w:tcW w:w="1121" w:type="dxa"/>
            <w:vAlign w:val="center"/>
          </w:tcPr>
          <w:p w:rsidR="00B04AE3" w:rsidRDefault="00B04AE3">
            <w:pPr>
              <w:widowControl/>
              <w:jc w:val="center"/>
              <w:rPr>
                <w:b/>
                <w:sz w:val="21"/>
                <w:szCs w:val="21"/>
              </w:rPr>
            </w:pPr>
            <w:r>
              <w:rPr>
                <w:rFonts w:hint="eastAsia"/>
                <w:b/>
                <w:sz w:val="21"/>
                <w:szCs w:val="21"/>
              </w:rPr>
              <w:t>包装方式</w:t>
            </w:r>
          </w:p>
        </w:tc>
        <w:tc>
          <w:tcPr>
            <w:tcW w:w="1499" w:type="dxa"/>
            <w:vAlign w:val="center"/>
          </w:tcPr>
          <w:p w:rsidR="00B04AE3" w:rsidRDefault="00B04AE3">
            <w:pPr>
              <w:widowControl/>
              <w:jc w:val="center"/>
              <w:rPr>
                <w:b/>
                <w:sz w:val="21"/>
                <w:szCs w:val="21"/>
              </w:rPr>
            </w:pPr>
            <w:r>
              <w:rPr>
                <w:rFonts w:hint="eastAsia"/>
                <w:b/>
                <w:sz w:val="21"/>
                <w:szCs w:val="21"/>
              </w:rPr>
              <w:t>仓库或堆场名称</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热轧钢板</w:t>
            </w:r>
          </w:p>
        </w:tc>
        <w:tc>
          <w:tcPr>
            <w:tcW w:w="2118" w:type="dxa"/>
            <w:vAlign w:val="center"/>
          </w:tcPr>
          <w:p w:rsidR="00B04AE3" w:rsidRDefault="00B04AE3">
            <w:pPr>
              <w:widowControl/>
              <w:jc w:val="center"/>
              <w:rPr>
                <w:sz w:val="21"/>
                <w:szCs w:val="21"/>
              </w:rPr>
            </w:pPr>
            <w:r>
              <w:rPr>
                <w:sz w:val="21"/>
                <w:szCs w:val="21"/>
              </w:rPr>
              <w:t>/</w:t>
            </w:r>
          </w:p>
        </w:tc>
        <w:tc>
          <w:tcPr>
            <w:tcW w:w="1194" w:type="dxa"/>
            <w:vAlign w:val="center"/>
          </w:tcPr>
          <w:p w:rsidR="00B04AE3" w:rsidRDefault="00B04AE3">
            <w:pPr>
              <w:widowControl/>
              <w:jc w:val="center"/>
              <w:rPr>
                <w:sz w:val="21"/>
                <w:szCs w:val="21"/>
              </w:rPr>
            </w:pPr>
            <w:r>
              <w:rPr>
                <w:sz w:val="21"/>
                <w:szCs w:val="21"/>
              </w:rPr>
              <w:t>70t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sz w:val="21"/>
                <w:szCs w:val="21"/>
              </w:rPr>
              <w:t>/</w:t>
            </w:r>
          </w:p>
        </w:tc>
        <w:tc>
          <w:tcPr>
            <w:tcW w:w="1499" w:type="dxa"/>
            <w:vAlign w:val="center"/>
          </w:tcPr>
          <w:p w:rsidR="00B04AE3" w:rsidRDefault="00B04AE3">
            <w:pPr>
              <w:widowControl/>
              <w:jc w:val="center"/>
              <w:rPr>
                <w:sz w:val="21"/>
                <w:szCs w:val="21"/>
              </w:rPr>
            </w:pPr>
            <w:r>
              <w:rPr>
                <w:rFonts w:hint="eastAsia"/>
                <w:sz w:val="21"/>
                <w:szCs w:val="21"/>
              </w:rPr>
              <w:t>钣金工场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冷轧钢板</w:t>
            </w:r>
          </w:p>
        </w:tc>
        <w:tc>
          <w:tcPr>
            <w:tcW w:w="2118" w:type="dxa"/>
            <w:vAlign w:val="center"/>
          </w:tcPr>
          <w:p w:rsidR="00B04AE3" w:rsidRDefault="00B04AE3">
            <w:pPr>
              <w:widowControl/>
              <w:jc w:val="center"/>
              <w:rPr>
                <w:sz w:val="21"/>
                <w:szCs w:val="21"/>
              </w:rPr>
            </w:pPr>
            <w:r>
              <w:rPr>
                <w:sz w:val="21"/>
                <w:szCs w:val="21"/>
              </w:rPr>
              <w:t>/</w:t>
            </w:r>
          </w:p>
        </w:tc>
        <w:tc>
          <w:tcPr>
            <w:tcW w:w="1194" w:type="dxa"/>
            <w:vAlign w:val="center"/>
          </w:tcPr>
          <w:p w:rsidR="00B04AE3" w:rsidRDefault="00B04AE3">
            <w:pPr>
              <w:widowControl/>
              <w:jc w:val="center"/>
              <w:rPr>
                <w:sz w:val="21"/>
                <w:szCs w:val="21"/>
              </w:rPr>
            </w:pPr>
            <w:r>
              <w:rPr>
                <w:sz w:val="21"/>
                <w:szCs w:val="21"/>
              </w:rPr>
              <w:t>1.8t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sz w:val="21"/>
                <w:szCs w:val="21"/>
              </w:rPr>
              <w:t>/</w:t>
            </w:r>
          </w:p>
        </w:tc>
        <w:tc>
          <w:tcPr>
            <w:tcW w:w="1499" w:type="dxa"/>
            <w:vAlign w:val="center"/>
          </w:tcPr>
          <w:p w:rsidR="00B04AE3" w:rsidRDefault="00B04AE3">
            <w:pPr>
              <w:widowControl/>
              <w:jc w:val="center"/>
              <w:rPr>
                <w:sz w:val="21"/>
                <w:szCs w:val="21"/>
              </w:rPr>
            </w:pPr>
            <w:r>
              <w:rPr>
                <w:rFonts w:hint="eastAsia"/>
                <w:sz w:val="21"/>
                <w:szCs w:val="21"/>
              </w:rPr>
              <w:t>钣金工场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硅钢板</w:t>
            </w:r>
          </w:p>
        </w:tc>
        <w:tc>
          <w:tcPr>
            <w:tcW w:w="2118" w:type="dxa"/>
            <w:vAlign w:val="center"/>
          </w:tcPr>
          <w:p w:rsidR="00B04AE3" w:rsidRDefault="00B04AE3">
            <w:pPr>
              <w:widowControl/>
              <w:jc w:val="center"/>
              <w:rPr>
                <w:sz w:val="21"/>
                <w:szCs w:val="21"/>
              </w:rPr>
            </w:pPr>
            <w:r>
              <w:rPr>
                <w:sz w:val="21"/>
                <w:szCs w:val="21"/>
              </w:rPr>
              <w:t>/</w:t>
            </w:r>
          </w:p>
        </w:tc>
        <w:tc>
          <w:tcPr>
            <w:tcW w:w="1194" w:type="dxa"/>
            <w:vAlign w:val="center"/>
          </w:tcPr>
          <w:p w:rsidR="00B04AE3" w:rsidRDefault="00B04AE3">
            <w:pPr>
              <w:widowControl/>
              <w:jc w:val="center"/>
              <w:rPr>
                <w:sz w:val="21"/>
                <w:szCs w:val="21"/>
              </w:rPr>
            </w:pPr>
            <w:r>
              <w:rPr>
                <w:sz w:val="21"/>
                <w:szCs w:val="21"/>
              </w:rPr>
              <w:t>170t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sz w:val="21"/>
                <w:szCs w:val="21"/>
              </w:rPr>
              <w:t>/</w:t>
            </w:r>
          </w:p>
        </w:tc>
        <w:tc>
          <w:tcPr>
            <w:tcW w:w="1499" w:type="dxa"/>
            <w:vAlign w:val="center"/>
          </w:tcPr>
          <w:p w:rsidR="00B04AE3" w:rsidRDefault="00B04AE3">
            <w:pPr>
              <w:widowControl/>
              <w:jc w:val="center"/>
              <w:rPr>
                <w:sz w:val="21"/>
                <w:szCs w:val="21"/>
              </w:rPr>
            </w:pPr>
            <w:r>
              <w:rPr>
                <w:rFonts w:hint="eastAsia"/>
                <w:sz w:val="21"/>
                <w:szCs w:val="21"/>
              </w:rPr>
              <w:t>铁芯工场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阀片钢</w:t>
            </w:r>
          </w:p>
        </w:tc>
        <w:tc>
          <w:tcPr>
            <w:tcW w:w="2118" w:type="dxa"/>
            <w:vAlign w:val="center"/>
          </w:tcPr>
          <w:p w:rsidR="00B04AE3" w:rsidRDefault="00B04AE3">
            <w:pPr>
              <w:widowControl/>
              <w:jc w:val="center"/>
              <w:rPr>
                <w:sz w:val="21"/>
                <w:szCs w:val="21"/>
              </w:rPr>
            </w:pPr>
            <w:r>
              <w:rPr>
                <w:sz w:val="21"/>
                <w:szCs w:val="21"/>
              </w:rPr>
              <w:t>/</w:t>
            </w:r>
          </w:p>
        </w:tc>
        <w:tc>
          <w:tcPr>
            <w:tcW w:w="1194" w:type="dxa"/>
            <w:vAlign w:val="center"/>
          </w:tcPr>
          <w:p w:rsidR="00B04AE3" w:rsidRDefault="00B04AE3">
            <w:pPr>
              <w:widowControl/>
              <w:jc w:val="center"/>
              <w:rPr>
                <w:sz w:val="21"/>
                <w:szCs w:val="21"/>
              </w:rPr>
            </w:pPr>
            <w:r>
              <w:rPr>
                <w:sz w:val="21"/>
                <w:szCs w:val="21"/>
              </w:rPr>
              <w:t>0.07t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sz w:val="21"/>
                <w:szCs w:val="21"/>
              </w:rPr>
              <w:t>/</w:t>
            </w:r>
          </w:p>
        </w:tc>
        <w:tc>
          <w:tcPr>
            <w:tcW w:w="1499" w:type="dxa"/>
            <w:vAlign w:val="center"/>
          </w:tcPr>
          <w:p w:rsidR="00B04AE3" w:rsidRDefault="00B04AE3">
            <w:pPr>
              <w:widowControl/>
              <w:jc w:val="center"/>
              <w:rPr>
                <w:sz w:val="21"/>
                <w:szCs w:val="21"/>
              </w:rPr>
            </w:pPr>
            <w:r>
              <w:rPr>
                <w:rFonts w:hint="eastAsia"/>
                <w:sz w:val="21"/>
                <w:szCs w:val="21"/>
              </w:rPr>
              <w:t>电机工场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汽车热轧钢</w:t>
            </w:r>
          </w:p>
        </w:tc>
        <w:tc>
          <w:tcPr>
            <w:tcW w:w="2118" w:type="dxa"/>
            <w:vAlign w:val="center"/>
          </w:tcPr>
          <w:p w:rsidR="00B04AE3" w:rsidRDefault="00B04AE3">
            <w:pPr>
              <w:widowControl/>
              <w:jc w:val="center"/>
              <w:rPr>
                <w:sz w:val="21"/>
                <w:szCs w:val="21"/>
              </w:rPr>
            </w:pPr>
            <w:r>
              <w:rPr>
                <w:sz w:val="21"/>
                <w:szCs w:val="21"/>
              </w:rPr>
              <w:t>/</w:t>
            </w:r>
          </w:p>
        </w:tc>
        <w:tc>
          <w:tcPr>
            <w:tcW w:w="1194" w:type="dxa"/>
            <w:vAlign w:val="center"/>
          </w:tcPr>
          <w:p w:rsidR="00B04AE3" w:rsidRDefault="00B04AE3">
            <w:pPr>
              <w:widowControl/>
              <w:jc w:val="center"/>
              <w:rPr>
                <w:sz w:val="21"/>
                <w:szCs w:val="21"/>
              </w:rPr>
            </w:pPr>
            <w:r>
              <w:rPr>
                <w:sz w:val="21"/>
                <w:szCs w:val="21"/>
              </w:rPr>
              <w:t>0.7t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sz w:val="21"/>
                <w:szCs w:val="21"/>
              </w:rPr>
              <w:t>/</w:t>
            </w:r>
          </w:p>
        </w:tc>
        <w:tc>
          <w:tcPr>
            <w:tcW w:w="1499" w:type="dxa"/>
            <w:vAlign w:val="center"/>
          </w:tcPr>
          <w:p w:rsidR="00B04AE3" w:rsidRDefault="00B04AE3">
            <w:pPr>
              <w:widowControl/>
              <w:jc w:val="center"/>
              <w:rPr>
                <w:sz w:val="21"/>
                <w:szCs w:val="21"/>
              </w:rPr>
            </w:pPr>
            <w:r>
              <w:rPr>
                <w:rFonts w:hint="eastAsia"/>
                <w:sz w:val="21"/>
                <w:szCs w:val="21"/>
              </w:rPr>
              <w:t>电机工场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漆包线</w:t>
            </w:r>
          </w:p>
        </w:tc>
        <w:tc>
          <w:tcPr>
            <w:tcW w:w="2118" w:type="dxa"/>
            <w:vAlign w:val="center"/>
          </w:tcPr>
          <w:p w:rsidR="00B04AE3" w:rsidRDefault="00B04AE3">
            <w:pPr>
              <w:widowControl/>
              <w:jc w:val="center"/>
              <w:rPr>
                <w:sz w:val="21"/>
                <w:szCs w:val="21"/>
              </w:rPr>
            </w:pPr>
            <w:r>
              <w:rPr>
                <w:sz w:val="21"/>
                <w:szCs w:val="21"/>
              </w:rPr>
              <w:t>/</w:t>
            </w:r>
          </w:p>
        </w:tc>
        <w:tc>
          <w:tcPr>
            <w:tcW w:w="1194" w:type="dxa"/>
            <w:vAlign w:val="center"/>
          </w:tcPr>
          <w:p w:rsidR="00B04AE3" w:rsidRDefault="00B04AE3">
            <w:pPr>
              <w:widowControl/>
              <w:jc w:val="center"/>
              <w:rPr>
                <w:sz w:val="21"/>
                <w:szCs w:val="21"/>
              </w:rPr>
            </w:pPr>
            <w:r>
              <w:rPr>
                <w:sz w:val="21"/>
                <w:szCs w:val="21"/>
              </w:rPr>
              <w:t>23.8t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sz w:val="21"/>
                <w:szCs w:val="21"/>
              </w:rPr>
              <w:t>/</w:t>
            </w:r>
          </w:p>
        </w:tc>
        <w:tc>
          <w:tcPr>
            <w:tcW w:w="1499" w:type="dxa"/>
            <w:vAlign w:val="center"/>
          </w:tcPr>
          <w:p w:rsidR="00B04AE3" w:rsidRDefault="00B04AE3">
            <w:pPr>
              <w:widowControl/>
              <w:jc w:val="center"/>
              <w:rPr>
                <w:sz w:val="21"/>
                <w:szCs w:val="21"/>
              </w:rPr>
            </w:pPr>
            <w:r>
              <w:rPr>
                <w:rFonts w:hint="eastAsia"/>
                <w:sz w:val="21"/>
                <w:szCs w:val="21"/>
              </w:rPr>
              <w:t>电机工场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铝</w:t>
            </w:r>
          </w:p>
        </w:tc>
        <w:tc>
          <w:tcPr>
            <w:tcW w:w="2118" w:type="dxa"/>
            <w:vAlign w:val="center"/>
          </w:tcPr>
          <w:p w:rsidR="00B04AE3" w:rsidRDefault="00B04AE3">
            <w:pPr>
              <w:widowControl/>
              <w:jc w:val="center"/>
              <w:rPr>
                <w:sz w:val="21"/>
                <w:szCs w:val="21"/>
              </w:rPr>
            </w:pPr>
            <w:r>
              <w:rPr>
                <w:sz w:val="21"/>
                <w:szCs w:val="21"/>
              </w:rPr>
              <w:t>Al</w:t>
            </w:r>
          </w:p>
        </w:tc>
        <w:tc>
          <w:tcPr>
            <w:tcW w:w="1194" w:type="dxa"/>
            <w:vAlign w:val="center"/>
          </w:tcPr>
          <w:p w:rsidR="00B04AE3" w:rsidRDefault="00B04AE3">
            <w:pPr>
              <w:widowControl/>
              <w:jc w:val="center"/>
              <w:rPr>
                <w:sz w:val="21"/>
                <w:szCs w:val="21"/>
              </w:rPr>
            </w:pPr>
            <w:r>
              <w:rPr>
                <w:sz w:val="21"/>
                <w:szCs w:val="21"/>
              </w:rPr>
              <w:t>5t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sz w:val="21"/>
                <w:szCs w:val="21"/>
              </w:rPr>
              <w:t>/</w:t>
            </w:r>
          </w:p>
        </w:tc>
        <w:tc>
          <w:tcPr>
            <w:tcW w:w="1499" w:type="dxa"/>
            <w:vAlign w:val="center"/>
          </w:tcPr>
          <w:p w:rsidR="00B04AE3" w:rsidRDefault="00B04AE3">
            <w:pPr>
              <w:widowControl/>
              <w:jc w:val="center"/>
              <w:rPr>
                <w:sz w:val="21"/>
                <w:szCs w:val="21"/>
              </w:rPr>
            </w:pPr>
            <w:r>
              <w:rPr>
                <w:rFonts w:hint="eastAsia"/>
                <w:sz w:val="21"/>
                <w:szCs w:val="21"/>
              </w:rPr>
              <w:t>铁芯工场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铸片毛坯</w:t>
            </w:r>
          </w:p>
        </w:tc>
        <w:tc>
          <w:tcPr>
            <w:tcW w:w="2118" w:type="dxa"/>
            <w:vAlign w:val="center"/>
          </w:tcPr>
          <w:p w:rsidR="00B04AE3" w:rsidRDefault="00B04AE3">
            <w:pPr>
              <w:widowControl/>
              <w:jc w:val="center"/>
              <w:rPr>
                <w:sz w:val="21"/>
                <w:szCs w:val="21"/>
              </w:rPr>
            </w:pPr>
            <w:r>
              <w:rPr>
                <w:sz w:val="21"/>
                <w:szCs w:val="21"/>
              </w:rPr>
              <w:t>/</w:t>
            </w:r>
          </w:p>
        </w:tc>
        <w:tc>
          <w:tcPr>
            <w:tcW w:w="1194" w:type="dxa"/>
            <w:vAlign w:val="center"/>
          </w:tcPr>
          <w:p w:rsidR="00B04AE3" w:rsidRDefault="00B04AE3">
            <w:pPr>
              <w:widowControl/>
              <w:jc w:val="center"/>
              <w:rPr>
                <w:sz w:val="21"/>
                <w:szCs w:val="21"/>
              </w:rPr>
            </w:pPr>
            <w:r>
              <w:rPr>
                <w:sz w:val="21"/>
                <w:szCs w:val="21"/>
              </w:rPr>
              <w:t>2</w:t>
            </w:r>
            <w:r>
              <w:rPr>
                <w:rFonts w:hint="eastAsia"/>
                <w:sz w:val="21"/>
                <w:szCs w:val="21"/>
              </w:rPr>
              <w:t>万套</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sz w:val="21"/>
                <w:szCs w:val="21"/>
              </w:rPr>
              <w:t>/</w:t>
            </w:r>
          </w:p>
        </w:tc>
        <w:tc>
          <w:tcPr>
            <w:tcW w:w="1499" w:type="dxa"/>
            <w:vAlign w:val="center"/>
          </w:tcPr>
          <w:p w:rsidR="00B04AE3" w:rsidRDefault="00B04AE3">
            <w:pPr>
              <w:widowControl/>
              <w:jc w:val="center"/>
              <w:rPr>
                <w:sz w:val="21"/>
                <w:szCs w:val="21"/>
              </w:rPr>
            </w:pPr>
            <w:r>
              <w:rPr>
                <w:rFonts w:hint="eastAsia"/>
                <w:sz w:val="21"/>
                <w:szCs w:val="21"/>
              </w:rPr>
              <w:t>机加工工场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粉末冶金件</w:t>
            </w:r>
          </w:p>
        </w:tc>
        <w:tc>
          <w:tcPr>
            <w:tcW w:w="2118" w:type="dxa"/>
            <w:vAlign w:val="center"/>
          </w:tcPr>
          <w:p w:rsidR="00B04AE3" w:rsidRDefault="00B04AE3">
            <w:pPr>
              <w:widowControl/>
              <w:jc w:val="center"/>
              <w:rPr>
                <w:sz w:val="21"/>
                <w:szCs w:val="21"/>
              </w:rPr>
            </w:pPr>
            <w:r>
              <w:rPr>
                <w:sz w:val="21"/>
                <w:szCs w:val="21"/>
              </w:rPr>
              <w:t>/</w:t>
            </w:r>
          </w:p>
        </w:tc>
        <w:tc>
          <w:tcPr>
            <w:tcW w:w="1194" w:type="dxa"/>
            <w:vAlign w:val="center"/>
          </w:tcPr>
          <w:p w:rsidR="00B04AE3" w:rsidRDefault="00B04AE3">
            <w:pPr>
              <w:widowControl/>
              <w:jc w:val="center"/>
              <w:rPr>
                <w:sz w:val="21"/>
                <w:szCs w:val="21"/>
              </w:rPr>
            </w:pPr>
            <w:r>
              <w:rPr>
                <w:sz w:val="21"/>
                <w:szCs w:val="21"/>
              </w:rPr>
              <w:t>2</w:t>
            </w:r>
            <w:r>
              <w:rPr>
                <w:rFonts w:hint="eastAsia"/>
                <w:sz w:val="21"/>
                <w:szCs w:val="21"/>
              </w:rPr>
              <w:t>万套</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sz w:val="21"/>
                <w:szCs w:val="21"/>
              </w:rPr>
              <w:t>/</w:t>
            </w:r>
          </w:p>
        </w:tc>
        <w:tc>
          <w:tcPr>
            <w:tcW w:w="1499" w:type="dxa"/>
            <w:vAlign w:val="center"/>
          </w:tcPr>
          <w:p w:rsidR="00B04AE3" w:rsidRDefault="00B04AE3">
            <w:pPr>
              <w:widowControl/>
              <w:jc w:val="center"/>
              <w:rPr>
                <w:sz w:val="21"/>
                <w:szCs w:val="21"/>
              </w:rPr>
            </w:pPr>
            <w:r>
              <w:rPr>
                <w:rFonts w:hint="eastAsia"/>
                <w:sz w:val="21"/>
                <w:szCs w:val="21"/>
              </w:rPr>
              <w:t>机加工工场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冷冻机油</w:t>
            </w:r>
          </w:p>
        </w:tc>
        <w:tc>
          <w:tcPr>
            <w:tcW w:w="2118" w:type="dxa"/>
            <w:vAlign w:val="center"/>
          </w:tcPr>
          <w:p w:rsidR="00B04AE3" w:rsidRDefault="00B04AE3">
            <w:pPr>
              <w:widowControl/>
              <w:jc w:val="center"/>
              <w:rPr>
                <w:sz w:val="21"/>
                <w:szCs w:val="21"/>
              </w:rPr>
            </w:pPr>
            <w:r>
              <w:rPr>
                <w:rFonts w:hint="eastAsia"/>
                <w:sz w:val="21"/>
                <w:szCs w:val="21"/>
              </w:rPr>
              <w:t>润滑油基油</w:t>
            </w:r>
          </w:p>
        </w:tc>
        <w:tc>
          <w:tcPr>
            <w:tcW w:w="1194" w:type="dxa"/>
            <w:vAlign w:val="center"/>
          </w:tcPr>
          <w:p w:rsidR="00B04AE3" w:rsidRDefault="00B04AE3">
            <w:pPr>
              <w:widowControl/>
              <w:jc w:val="center"/>
              <w:rPr>
                <w:sz w:val="21"/>
                <w:szCs w:val="21"/>
              </w:rPr>
            </w:pPr>
            <w:r>
              <w:rPr>
                <w:sz w:val="21"/>
                <w:szCs w:val="21"/>
              </w:rPr>
              <w:t>1.2t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w:t>
            </w:r>
          </w:p>
        </w:tc>
        <w:tc>
          <w:tcPr>
            <w:tcW w:w="1499" w:type="dxa"/>
            <w:vAlign w:val="center"/>
          </w:tcPr>
          <w:p w:rsidR="00B04AE3" w:rsidRDefault="00B04AE3">
            <w:pPr>
              <w:widowControl/>
              <w:jc w:val="center"/>
              <w:rPr>
                <w:sz w:val="21"/>
                <w:szCs w:val="21"/>
              </w:rPr>
            </w:pPr>
            <w:r>
              <w:rPr>
                <w:rFonts w:hint="eastAsia"/>
                <w:sz w:val="21"/>
                <w:szCs w:val="21"/>
              </w:rPr>
              <w:t>成品工场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气体保护焊丝</w:t>
            </w:r>
          </w:p>
        </w:tc>
        <w:tc>
          <w:tcPr>
            <w:tcW w:w="2118" w:type="dxa"/>
            <w:vAlign w:val="center"/>
          </w:tcPr>
          <w:p w:rsidR="00B04AE3" w:rsidRDefault="00B04AE3">
            <w:pPr>
              <w:widowControl/>
              <w:jc w:val="center"/>
              <w:rPr>
                <w:sz w:val="21"/>
                <w:szCs w:val="21"/>
              </w:rPr>
            </w:pPr>
            <w:r>
              <w:rPr>
                <w:sz w:val="21"/>
                <w:szCs w:val="21"/>
              </w:rPr>
              <w:t>Fe</w:t>
            </w:r>
            <w:r>
              <w:rPr>
                <w:rFonts w:hint="eastAsia"/>
                <w:sz w:val="21"/>
                <w:szCs w:val="21"/>
              </w:rPr>
              <w:t>，少量</w:t>
            </w:r>
            <w:r>
              <w:rPr>
                <w:sz w:val="21"/>
                <w:szCs w:val="21"/>
              </w:rPr>
              <w:t>C</w:t>
            </w:r>
            <w:r>
              <w:rPr>
                <w:rFonts w:hint="eastAsia"/>
                <w:sz w:val="21"/>
                <w:szCs w:val="21"/>
              </w:rPr>
              <w:t>、</w:t>
            </w:r>
            <w:r>
              <w:rPr>
                <w:sz w:val="21"/>
                <w:szCs w:val="21"/>
              </w:rPr>
              <w:t>Mn</w:t>
            </w:r>
            <w:r>
              <w:rPr>
                <w:rFonts w:hint="eastAsia"/>
                <w:sz w:val="21"/>
                <w:szCs w:val="21"/>
              </w:rPr>
              <w:t>、</w:t>
            </w:r>
            <w:r>
              <w:rPr>
                <w:sz w:val="21"/>
                <w:szCs w:val="21"/>
              </w:rPr>
              <w:t>Si</w:t>
            </w:r>
            <w:r>
              <w:rPr>
                <w:rFonts w:hint="eastAsia"/>
                <w:sz w:val="21"/>
                <w:szCs w:val="21"/>
              </w:rPr>
              <w:t>等</w:t>
            </w:r>
          </w:p>
        </w:tc>
        <w:tc>
          <w:tcPr>
            <w:tcW w:w="1194" w:type="dxa"/>
            <w:vAlign w:val="center"/>
          </w:tcPr>
          <w:p w:rsidR="00B04AE3" w:rsidRDefault="00B04AE3">
            <w:pPr>
              <w:tabs>
                <w:tab w:val="left" w:pos="513"/>
              </w:tabs>
              <w:jc w:val="center"/>
              <w:rPr>
                <w:sz w:val="21"/>
                <w:szCs w:val="21"/>
              </w:rPr>
            </w:pPr>
            <w:r>
              <w:rPr>
                <w:sz w:val="21"/>
                <w:szCs w:val="21"/>
              </w:rPr>
              <w:t>2.7t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w:t>
            </w:r>
          </w:p>
        </w:tc>
        <w:tc>
          <w:tcPr>
            <w:tcW w:w="1499" w:type="dxa"/>
            <w:vAlign w:val="center"/>
          </w:tcPr>
          <w:p w:rsidR="00B04AE3" w:rsidRDefault="00B04AE3">
            <w:pPr>
              <w:widowControl/>
              <w:jc w:val="center"/>
              <w:rPr>
                <w:sz w:val="21"/>
                <w:szCs w:val="21"/>
              </w:rPr>
            </w:pPr>
            <w:r>
              <w:rPr>
                <w:rFonts w:hint="eastAsia"/>
                <w:sz w:val="21"/>
                <w:szCs w:val="21"/>
              </w:rPr>
              <w:t>辅料仓库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无镀铜合金钢焊丝</w:t>
            </w:r>
          </w:p>
        </w:tc>
        <w:tc>
          <w:tcPr>
            <w:tcW w:w="2118" w:type="dxa"/>
            <w:vAlign w:val="center"/>
          </w:tcPr>
          <w:p w:rsidR="00B04AE3" w:rsidRDefault="00B04AE3">
            <w:pPr>
              <w:widowControl/>
              <w:jc w:val="center"/>
              <w:rPr>
                <w:sz w:val="21"/>
                <w:szCs w:val="21"/>
              </w:rPr>
            </w:pPr>
            <w:r>
              <w:rPr>
                <w:sz w:val="21"/>
                <w:szCs w:val="21"/>
              </w:rPr>
              <w:t>Fe</w:t>
            </w:r>
          </w:p>
        </w:tc>
        <w:tc>
          <w:tcPr>
            <w:tcW w:w="1194" w:type="dxa"/>
            <w:vAlign w:val="center"/>
          </w:tcPr>
          <w:p w:rsidR="00B04AE3" w:rsidRDefault="00B04AE3">
            <w:pPr>
              <w:jc w:val="center"/>
              <w:rPr>
                <w:sz w:val="21"/>
                <w:szCs w:val="21"/>
              </w:rPr>
            </w:pPr>
            <w:r>
              <w:rPr>
                <w:sz w:val="21"/>
                <w:szCs w:val="21"/>
              </w:rPr>
              <w:t>2.1t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w:t>
            </w:r>
            <w:r>
              <w:rPr>
                <w:sz w:val="21"/>
                <w:szCs w:val="21"/>
              </w:rPr>
              <w:t>/</w:t>
            </w:r>
            <w:r>
              <w:rPr>
                <w:rFonts w:hint="eastAsia"/>
                <w:sz w:val="21"/>
                <w:szCs w:val="21"/>
              </w:rPr>
              <w:t>卷</w:t>
            </w:r>
          </w:p>
        </w:tc>
        <w:tc>
          <w:tcPr>
            <w:tcW w:w="1499" w:type="dxa"/>
            <w:vAlign w:val="center"/>
          </w:tcPr>
          <w:p w:rsidR="00B04AE3" w:rsidRDefault="00B04AE3">
            <w:pPr>
              <w:widowControl/>
              <w:jc w:val="center"/>
              <w:rPr>
                <w:sz w:val="21"/>
                <w:szCs w:val="21"/>
              </w:rPr>
            </w:pPr>
            <w:r>
              <w:rPr>
                <w:rFonts w:hint="eastAsia"/>
                <w:sz w:val="21"/>
                <w:szCs w:val="21"/>
              </w:rPr>
              <w:t>辅料仓库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银基钎料</w:t>
            </w:r>
          </w:p>
        </w:tc>
        <w:tc>
          <w:tcPr>
            <w:tcW w:w="2118" w:type="dxa"/>
            <w:vAlign w:val="center"/>
          </w:tcPr>
          <w:p w:rsidR="00B04AE3" w:rsidRDefault="00B04AE3">
            <w:pPr>
              <w:widowControl/>
              <w:jc w:val="center"/>
              <w:rPr>
                <w:sz w:val="21"/>
                <w:szCs w:val="21"/>
              </w:rPr>
            </w:pPr>
            <w:r>
              <w:rPr>
                <w:sz w:val="21"/>
                <w:szCs w:val="21"/>
              </w:rPr>
              <w:t>Cu</w:t>
            </w:r>
            <w:r>
              <w:rPr>
                <w:rFonts w:hint="eastAsia"/>
                <w:sz w:val="21"/>
                <w:szCs w:val="21"/>
              </w:rPr>
              <w:t>、含极少量</w:t>
            </w:r>
            <w:r>
              <w:rPr>
                <w:sz w:val="21"/>
                <w:szCs w:val="21"/>
              </w:rPr>
              <w:t>Ag</w:t>
            </w:r>
            <w:r>
              <w:rPr>
                <w:rFonts w:hint="eastAsia"/>
                <w:sz w:val="21"/>
                <w:szCs w:val="21"/>
              </w:rPr>
              <w:t>、</w:t>
            </w:r>
            <w:r>
              <w:rPr>
                <w:sz w:val="21"/>
                <w:szCs w:val="21"/>
              </w:rPr>
              <w:t>Zn</w:t>
            </w:r>
            <w:r>
              <w:rPr>
                <w:rFonts w:hint="eastAsia"/>
                <w:sz w:val="21"/>
                <w:szCs w:val="21"/>
              </w:rPr>
              <w:t>等</w:t>
            </w:r>
          </w:p>
        </w:tc>
        <w:tc>
          <w:tcPr>
            <w:tcW w:w="1194" w:type="dxa"/>
            <w:vAlign w:val="center"/>
          </w:tcPr>
          <w:p w:rsidR="00B04AE3" w:rsidRDefault="00B04AE3">
            <w:pPr>
              <w:jc w:val="center"/>
              <w:rPr>
                <w:sz w:val="21"/>
                <w:szCs w:val="21"/>
              </w:rPr>
            </w:pPr>
            <w:r>
              <w:rPr>
                <w:sz w:val="21"/>
                <w:szCs w:val="21"/>
              </w:rPr>
              <w:t>1.8t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卷</w:t>
            </w:r>
          </w:p>
        </w:tc>
        <w:tc>
          <w:tcPr>
            <w:tcW w:w="1499" w:type="dxa"/>
            <w:vAlign w:val="center"/>
          </w:tcPr>
          <w:p w:rsidR="00B04AE3" w:rsidRDefault="00B04AE3">
            <w:pPr>
              <w:widowControl/>
              <w:jc w:val="center"/>
              <w:rPr>
                <w:sz w:val="21"/>
                <w:szCs w:val="21"/>
              </w:rPr>
            </w:pPr>
            <w:r>
              <w:rPr>
                <w:rFonts w:hint="eastAsia"/>
                <w:sz w:val="21"/>
                <w:szCs w:val="21"/>
              </w:rPr>
              <w:t>辅料仓库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无银焊条</w:t>
            </w:r>
          </w:p>
        </w:tc>
        <w:tc>
          <w:tcPr>
            <w:tcW w:w="2118" w:type="dxa"/>
            <w:vAlign w:val="center"/>
          </w:tcPr>
          <w:p w:rsidR="00B04AE3" w:rsidRDefault="00B04AE3">
            <w:pPr>
              <w:widowControl/>
              <w:jc w:val="center"/>
              <w:rPr>
                <w:sz w:val="21"/>
                <w:szCs w:val="21"/>
              </w:rPr>
            </w:pPr>
            <w:r>
              <w:rPr>
                <w:sz w:val="21"/>
                <w:szCs w:val="21"/>
              </w:rPr>
              <w:t>Cu</w:t>
            </w:r>
            <w:r>
              <w:rPr>
                <w:rFonts w:hint="eastAsia"/>
                <w:sz w:val="21"/>
                <w:szCs w:val="21"/>
              </w:rPr>
              <w:t>、含极少量</w:t>
            </w:r>
            <w:r>
              <w:rPr>
                <w:sz w:val="21"/>
                <w:szCs w:val="21"/>
              </w:rPr>
              <w:t>P</w:t>
            </w:r>
            <w:r>
              <w:rPr>
                <w:rFonts w:hint="eastAsia"/>
                <w:sz w:val="21"/>
                <w:szCs w:val="21"/>
              </w:rPr>
              <w:t>等</w:t>
            </w:r>
          </w:p>
        </w:tc>
        <w:tc>
          <w:tcPr>
            <w:tcW w:w="1194" w:type="dxa"/>
            <w:vAlign w:val="center"/>
          </w:tcPr>
          <w:p w:rsidR="00B04AE3" w:rsidRDefault="00B04AE3">
            <w:pPr>
              <w:jc w:val="center"/>
              <w:rPr>
                <w:sz w:val="21"/>
                <w:szCs w:val="21"/>
              </w:rPr>
            </w:pPr>
            <w:r>
              <w:rPr>
                <w:sz w:val="21"/>
                <w:szCs w:val="21"/>
              </w:rPr>
              <w:t>3.0t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包</w:t>
            </w:r>
          </w:p>
        </w:tc>
        <w:tc>
          <w:tcPr>
            <w:tcW w:w="1499" w:type="dxa"/>
            <w:vAlign w:val="center"/>
          </w:tcPr>
          <w:p w:rsidR="00B04AE3" w:rsidRDefault="00B04AE3">
            <w:pPr>
              <w:widowControl/>
              <w:jc w:val="center"/>
              <w:rPr>
                <w:sz w:val="21"/>
                <w:szCs w:val="21"/>
              </w:rPr>
            </w:pPr>
            <w:r>
              <w:rPr>
                <w:rFonts w:hint="eastAsia"/>
                <w:sz w:val="21"/>
                <w:szCs w:val="21"/>
              </w:rPr>
              <w:t>辅料仓库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磷铜钎料</w:t>
            </w:r>
          </w:p>
        </w:tc>
        <w:tc>
          <w:tcPr>
            <w:tcW w:w="2118" w:type="dxa"/>
            <w:vAlign w:val="center"/>
          </w:tcPr>
          <w:p w:rsidR="00B04AE3" w:rsidRDefault="00B04AE3">
            <w:pPr>
              <w:widowControl/>
              <w:jc w:val="center"/>
              <w:rPr>
                <w:sz w:val="21"/>
                <w:szCs w:val="21"/>
              </w:rPr>
            </w:pPr>
            <w:r>
              <w:rPr>
                <w:sz w:val="21"/>
                <w:szCs w:val="21"/>
              </w:rPr>
              <w:t>Cu</w:t>
            </w:r>
            <w:r>
              <w:rPr>
                <w:rFonts w:hint="eastAsia"/>
                <w:sz w:val="21"/>
                <w:szCs w:val="21"/>
              </w:rPr>
              <w:t>、含极少量</w:t>
            </w:r>
            <w:r>
              <w:rPr>
                <w:sz w:val="21"/>
                <w:szCs w:val="21"/>
              </w:rPr>
              <w:t>P</w:t>
            </w:r>
            <w:r>
              <w:rPr>
                <w:rFonts w:hint="eastAsia"/>
                <w:sz w:val="21"/>
                <w:szCs w:val="21"/>
              </w:rPr>
              <w:t>等</w:t>
            </w:r>
          </w:p>
        </w:tc>
        <w:tc>
          <w:tcPr>
            <w:tcW w:w="1194" w:type="dxa"/>
            <w:vAlign w:val="center"/>
          </w:tcPr>
          <w:p w:rsidR="00B04AE3" w:rsidRDefault="00B04AE3">
            <w:pPr>
              <w:jc w:val="center"/>
              <w:rPr>
                <w:sz w:val="21"/>
                <w:szCs w:val="21"/>
              </w:rPr>
            </w:pPr>
            <w:r>
              <w:rPr>
                <w:sz w:val="21"/>
                <w:szCs w:val="21"/>
              </w:rPr>
              <w:t>1.5t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包</w:t>
            </w:r>
          </w:p>
        </w:tc>
        <w:tc>
          <w:tcPr>
            <w:tcW w:w="1499" w:type="dxa"/>
            <w:vAlign w:val="center"/>
          </w:tcPr>
          <w:p w:rsidR="00B04AE3" w:rsidRDefault="00B04AE3">
            <w:pPr>
              <w:widowControl/>
              <w:jc w:val="center"/>
              <w:rPr>
                <w:sz w:val="21"/>
                <w:szCs w:val="21"/>
              </w:rPr>
            </w:pPr>
            <w:r>
              <w:rPr>
                <w:rFonts w:hint="eastAsia"/>
                <w:sz w:val="21"/>
                <w:szCs w:val="21"/>
              </w:rPr>
              <w:t>辅料仓库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天然气</w:t>
            </w:r>
          </w:p>
        </w:tc>
        <w:tc>
          <w:tcPr>
            <w:tcW w:w="2118" w:type="dxa"/>
            <w:vAlign w:val="center"/>
          </w:tcPr>
          <w:p w:rsidR="00B04AE3" w:rsidRDefault="00B04AE3">
            <w:pPr>
              <w:widowControl/>
              <w:jc w:val="center"/>
              <w:rPr>
                <w:sz w:val="21"/>
                <w:szCs w:val="21"/>
              </w:rPr>
            </w:pPr>
          </w:p>
        </w:tc>
        <w:tc>
          <w:tcPr>
            <w:tcW w:w="1194" w:type="dxa"/>
            <w:vAlign w:val="center"/>
          </w:tcPr>
          <w:p w:rsidR="00B04AE3" w:rsidRDefault="00B04AE3">
            <w:pPr>
              <w:widowControl/>
              <w:jc w:val="center"/>
              <w:rPr>
                <w:sz w:val="21"/>
                <w:szCs w:val="21"/>
              </w:rPr>
            </w:pPr>
          </w:p>
        </w:tc>
        <w:tc>
          <w:tcPr>
            <w:tcW w:w="956" w:type="dxa"/>
            <w:vAlign w:val="center"/>
          </w:tcPr>
          <w:p w:rsidR="00B04AE3" w:rsidRDefault="00B04AE3">
            <w:pPr>
              <w:widowControl/>
              <w:jc w:val="center"/>
              <w:rPr>
                <w:sz w:val="21"/>
                <w:szCs w:val="21"/>
              </w:rPr>
            </w:pPr>
            <w:r>
              <w:rPr>
                <w:rFonts w:hint="eastAsia"/>
                <w:sz w:val="21"/>
                <w:szCs w:val="21"/>
              </w:rPr>
              <w:t>管道</w:t>
            </w:r>
          </w:p>
        </w:tc>
        <w:tc>
          <w:tcPr>
            <w:tcW w:w="1121" w:type="dxa"/>
            <w:vAlign w:val="center"/>
          </w:tcPr>
          <w:p w:rsidR="00B04AE3" w:rsidRDefault="00B04AE3">
            <w:pPr>
              <w:widowControl/>
              <w:jc w:val="center"/>
              <w:rPr>
                <w:sz w:val="21"/>
                <w:szCs w:val="21"/>
              </w:rPr>
            </w:pPr>
            <w:r>
              <w:rPr>
                <w:rFonts w:hint="eastAsia"/>
                <w:sz w:val="21"/>
                <w:szCs w:val="21"/>
              </w:rPr>
              <w:t>管道</w:t>
            </w:r>
          </w:p>
        </w:tc>
        <w:tc>
          <w:tcPr>
            <w:tcW w:w="1499" w:type="dxa"/>
            <w:vAlign w:val="center"/>
          </w:tcPr>
          <w:p w:rsidR="00B04AE3" w:rsidRDefault="00B04AE3">
            <w:pPr>
              <w:widowControl/>
              <w:jc w:val="center"/>
              <w:rPr>
                <w:sz w:val="21"/>
                <w:szCs w:val="21"/>
              </w:rPr>
            </w:pP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液氩</w:t>
            </w:r>
          </w:p>
        </w:tc>
        <w:tc>
          <w:tcPr>
            <w:tcW w:w="2118" w:type="dxa"/>
            <w:vAlign w:val="center"/>
          </w:tcPr>
          <w:p w:rsidR="00B04AE3" w:rsidRDefault="00B04AE3">
            <w:pPr>
              <w:widowControl/>
              <w:jc w:val="center"/>
              <w:rPr>
                <w:sz w:val="21"/>
                <w:szCs w:val="21"/>
              </w:rPr>
            </w:pPr>
            <w:r>
              <w:rPr>
                <w:sz w:val="21"/>
                <w:szCs w:val="21"/>
              </w:rPr>
              <w:t>Ar</w:t>
            </w:r>
          </w:p>
        </w:tc>
        <w:tc>
          <w:tcPr>
            <w:tcW w:w="1194" w:type="dxa"/>
            <w:vAlign w:val="center"/>
          </w:tcPr>
          <w:p w:rsidR="00B04AE3" w:rsidRDefault="00B04AE3">
            <w:pPr>
              <w:widowControl/>
              <w:jc w:val="center"/>
              <w:rPr>
                <w:sz w:val="21"/>
                <w:szCs w:val="21"/>
              </w:rPr>
            </w:pPr>
            <w:r>
              <w:rPr>
                <w:sz w:val="21"/>
                <w:szCs w:val="21"/>
              </w:rPr>
              <w:t>80m</w:t>
            </w:r>
            <w:r>
              <w:rPr>
                <w:sz w:val="21"/>
                <w:szCs w:val="21"/>
                <w:vertAlign w:val="superscript"/>
              </w:rPr>
              <w:t>3</w:t>
            </w:r>
          </w:p>
        </w:tc>
        <w:tc>
          <w:tcPr>
            <w:tcW w:w="956" w:type="dxa"/>
            <w:vAlign w:val="center"/>
          </w:tcPr>
          <w:p w:rsidR="00B04AE3" w:rsidRDefault="00B04AE3">
            <w:pPr>
              <w:widowControl/>
              <w:jc w:val="center"/>
              <w:rPr>
                <w:sz w:val="21"/>
                <w:szCs w:val="21"/>
              </w:rPr>
            </w:pPr>
            <w:r>
              <w:rPr>
                <w:rFonts w:hint="eastAsia"/>
                <w:sz w:val="21"/>
                <w:szCs w:val="21"/>
              </w:rPr>
              <w:t>槽车运输</w:t>
            </w:r>
          </w:p>
        </w:tc>
        <w:tc>
          <w:tcPr>
            <w:tcW w:w="1121" w:type="dxa"/>
            <w:vAlign w:val="center"/>
          </w:tcPr>
          <w:p w:rsidR="00B04AE3" w:rsidRDefault="00B04AE3">
            <w:pPr>
              <w:widowControl/>
              <w:jc w:val="center"/>
              <w:rPr>
                <w:sz w:val="21"/>
                <w:szCs w:val="21"/>
              </w:rPr>
            </w:pPr>
            <w:r>
              <w:rPr>
                <w:rFonts w:hint="eastAsia"/>
                <w:sz w:val="21"/>
                <w:szCs w:val="21"/>
              </w:rPr>
              <w:t>罐装</w:t>
            </w:r>
          </w:p>
        </w:tc>
        <w:tc>
          <w:tcPr>
            <w:tcW w:w="1499" w:type="dxa"/>
            <w:vAlign w:val="center"/>
          </w:tcPr>
          <w:p w:rsidR="00B04AE3" w:rsidRDefault="00B04AE3">
            <w:pPr>
              <w:widowControl/>
              <w:jc w:val="center"/>
              <w:rPr>
                <w:sz w:val="21"/>
                <w:szCs w:val="21"/>
              </w:rPr>
            </w:pPr>
            <w:r>
              <w:rPr>
                <w:rFonts w:hint="eastAsia"/>
                <w:sz w:val="21"/>
                <w:szCs w:val="21"/>
              </w:rPr>
              <w:t>罐区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液氮</w:t>
            </w:r>
          </w:p>
        </w:tc>
        <w:tc>
          <w:tcPr>
            <w:tcW w:w="2118" w:type="dxa"/>
            <w:vAlign w:val="center"/>
          </w:tcPr>
          <w:p w:rsidR="00B04AE3" w:rsidRDefault="00B04AE3">
            <w:pPr>
              <w:widowControl/>
              <w:jc w:val="center"/>
              <w:rPr>
                <w:sz w:val="21"/>
                <w:szCs w:val="21"/>
              </w:rPr>
            </w:pPr>
            <w:r>
              <w:rPr>
                <w:sz w:val="21"/>
                <w:szCs w:val="21"/>
              </w:rPr>
              <w:t>N</w:t>
            </w:r>
            <w:r>
              <w:rPr>
                <w:sz w:val="21"/>
                <w:szCs w:val="21"/>
                <w:vertAlign w:val="subscript"/>
              </w:rPr>
              <w:t>2</w:t>
            </w:r>
          </w:p>
        </w:tc>
        <w:tc>
          <w:tcPr>
            <w:tcW w:w="1194" w:type="dxa"/>
            <w:vAlign w:val="center"/>
          </w:tcPr>
          <w:p w:rsidR="00B04AE3" w:rsidRDefault="00B04AE3">
            <w:pPr>
              <w:widowControl/>
              <w:jc w:val="center"/>
              <w:rPr>
                <w:sz w:val="21"/>
                <w:szCs w:val="21"/>
              </w:rPr>
            </w:pPr>
            <w:r>
              <w:rPr>
                <w:sz w:val="21"/>
                <w:szCs w:val="21"/>
              </w:rPr>
              <w:t>80m</w:t>
            </w:r>
            <w:r>
              <w:rPr>
                <w:rFonts w:hint="eastAsia"/>
                <w:sz w:val="21"/>
                <w:szCs w:val="21"/>
              </w:rPr>
              <w:t>³</w:t>
            </w:r>
          </w:p>
        </w:tc>
        <w:tc>
          <w:tcPr>
            <w:tcW w:w="956" w:type="dxa"/>
            <w:vAlign w:val="center"/>
          </w:tcPr>
          <w:p w:rsidR="00B04AE3" w:rsidRDefault="00B04AE3">
            <w:pPr>
              <w:widowControl/>
              <w:jc w:val="center"/>
              <w:rPr>
                <w:sz w:val="21"/>
                <w:szCs w:val="21"/>
              </w:rPr>
            </w:pPr>
            <w:r>
              <w:rPr>
                <w:rFonts w:hint="eastAsia"/>
                <w:sz w:val="21"/>
                <w:szCs w:val="21"/>
              </w:rPr>
              <w:t>槽车运输</w:t>
            </w:r>
          </w:p>
        </w:tc>
        <w:tc>
          <w:tcPr>
            <w:tcW w:w="1121" w:type="dxa"/>
            <w:vAlign w:val="center"/>
          </w:tcPr>
          <w:p w:rsidR="00B04AE3" w:rsidRDefault="00B04AE3">
            <w:pPr>
              <w:widowControl/>
              <w:jc w:val="center"/>
              <w:rPr>
                <w:sz w:val="21"/>
                <w:szCs w:val="21"/>
              </w:rPr>
            </w:pPr>
            <w:r>
              <w:rPr>
                <w:rFonts w:hint="eastAsia"/>
                <w:sz w:val="21"/>
                <w:szCs w:val="21"/>
              </w:rPr>
              <w:t>罐装</w:t>
            </w:r>
          </w:p>
        </w:tc>
        <w:tc>
          <w:tcPr>
            <w:tcW w:w="1499" w:type="dxa"/>
            <w:vAlign w:val="center"/>
          </w:tcPr>
          <w:p w:rsidR="00B04AE3" w:rsidRDefault="00B04AE3">
            <w:pPr>
              <w:widowControl/>
              <w:jc w:val="center"/>
              <w:rPr>
                <w:sz w:val="21"/>
                <w:szCs w:val="21"/>
              </w:rPr>
            </w:pPr>
            <w:r>
              <w:rPr>
                <w:rFonts w:hint="eastAsia"/>
                <w:sz w:val="21"/>
                <w:szCs w:val="21"/>
              </w:rPr>
              <w:t>罐区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液氧</w:t>
            </w:r>
          </w:p>
        </w:tc>
        <w:tc>
          <w:tcPr>
            <w:tcW w:w="2118" w:type="dxa"/>
            <w:vAlign w:val="center"/>
          </w:tcPr>
          <w:p w:rsidR="00B04AE3" w:rsidRDefault="00B04AE3">
            <w:pPr>
              <w:widowControl/>
              <w:jc w:val="center"/>
              <w:rPr>
                <w:sz w:val="21"/>
                <w:szCs w:val="21"/>
              </w:rPr>
            </w:pPr>
            <w:r>
              <w:rPr>
                <w:sz w:val="21"/>
                <w:szCs w:val="21"/>
              </w:rPr>
              <w:t>O</w:t>
            </w:r>
            <w:r>
              <w:rPr>
                <w:sz w:val="21"/>
                <w:szCs w:val="21"/>
                <w:vertAlign w:val="subscript"/>
              </w:rPr>
              <w:t>2</w:t>
            </w:r>
          </w:p>
        </w:tc>
        <w:tc>
          <w:tcPr>
            <w:tcW w:w="1194" w:type="dxa"/>
            <w:vAlign w:val="center"/>
          </w:tcPr>
          <w:p w:rsidR="00B04AE3" w:rsidRDefault="00B04AE3">
            <w:pPr>
              <w:widowControl/>
              <w:jc w:val="center"/>
              <w:rPr>
                <w:sz w:val="21"/>
                <w:szCs w:val="21"/>
              </w:rPr>
            </w:pPr>
            <w:r>
              <w:rPr>
                <w:sz w:val="21"/>
                <w:szCs w:val="21"/>
              </w:rPr>
              <w:t>10m</w:t>
            </w:r>
            <w:r>
              <w:rPr>
                <w:rFonts w:hint="eastAsia"/>
                <w:sz w:val="21"/>
                <w:szCs w:val="21"/>
              </w:rPr>
              <w:t>³</w:t>
            </w:r>
          </w:p>
        </w:tc>
        <w:tc>
          <w:tcPr>
            <w:tcW w:w="956" w:type="dxa"/>
            <w:vAlign w:val="center"/>
          </w:tcPr>
          <w:p w:rsidR="00B04AE3" w:rsidRDefault="00B04AE3">
            <w:pPr>
              <w:widowControl/>
              <w:jc w:val="center"/>
              <w:rPr>
                <w:sz w:val="21"/>
                <w:szCs w:val="21"/>
              </w:rPr>
            </w:pPr>
            <w:r>
              <w:rPr>
                <w:rFonts w:hint="eastAsia"/>
                <w:sz w:val="21"/>
                <w:szCs w:val="21"/>
              </w:rPr>
              <w:t>槽车运输</w:t>
            </w:r>
          </w:p>
        </w:tc>
        <w:tc>
          <w:tcPr>
            <w:tcW w:w="1121" w:type="dxa"/>
            <w:vAlign w:val="center"/>
          </w:tcPr>
          <w:p w:rsidR="00B04AE3" w:rsidRDefault="00B04AE3">
            <w:pPr>
              <w:widowControl/>
              <w:jc w:val="center"/>
              <w:rPr>
                <w:sz w:val="21"/>
                <w:szCs w:val="21"/>
              </w:rPr>
            </w:pPr>
            <w:r>
              <w:rPr>
                <w:rFonts w:hint="eastAsia"/>
                <w:sz w:val="21"/>
                <w:szCs w:val="21"/>
              </w:rPr>
              <w:t>罐装</w:t>
            </w:r>
          </w:p>
        </w:tc>
        <w:tc>
          <w:tcPr>
            <w:tcW w:w="1499" w:type="dxa"/>
            <w:vAlign w:val="center"/>
          </w:tcPr>
          <w:p w:rsidR="00B04AE3" w:rsidRDefault="00B04AE3">
            <w:pPr>
              <w:widowControl/>
              <w:jc w:val="center"/>
              <w:rPr>
                <w:sz w:val="21"/>
                <w:szCs w:val="21"/>
              </w:rPr>
            </w:pPr>
            <w:r>
              <w:rPr>
                <w:rFonts w:hint="eastAsia"/>
                <w:sz w:val="21"/>
                <w:szCs w:val="21"/>
              </w:rPr>
              <w:t>罐区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液二氧化碳</w:t>
            </w:r>
          </w:p>
        </w:tc>
        <w:tc>
          <w:tcPr>
            <w:tcW w:w="2118" w:type="dxa"/>
            <w:vAlign w:val="center"/>
          </w:tcPr>
          <w:p w:rsidR="00B04AE3" w:rsidRDefault="00B04AE3">
            <w:pPr>
              <w:widowControl/>
              <w:jc w:val="center"/>
              <w:rPr>
                <w:sz w:val="21"/>
                <w:szCs w:val="21"/>
              </w:rPr>
            </w:pPr>
            <w:r>
              <w:rPr>
                <w:sz w:val="21"/>
                <w:szCs w:val="21"/>
              </w:rPr>
              <w:t>CO</w:t>
            </w:r>
            <w:r>
              <w:rPr>
                <w:sz w:val="21"/>
                <w:szCs w:val="21"/>
                <w:vertAlign w:val="subscript"/>
              </w:rPr>
              <w:t>2</w:t>
            </w:r>
          </w:p>
        </w:tc>
        <w:tc>
          <w:tcPr>
            <w:tcW w:w="1194" w:type="dxa"/>
            <w:vAlign w:val="center"/>
          </w:tcPr>
          <w:p w:rsidR="00B04AE3" w:rsidRDefault="00B04AE3">
            <w:pPr>
              <w:widowControl/>
              <w:jc w:val="center"/>
              <w:rPr>
                <w:sz w:val="21"/>
                <w:szCs w:val="21"/>
              </w:rPr>
            </w:pPr>
            <w:r>
              <w:rPr>
                <w:sz w:val="21"/>
                <w:szCs w:val="21"/>
              </w:rPr>
              <w:t>10m</w:t>
            </w:r>
            <w:r>
              <w:rPr>
                <w:rFonts w:hint="eastAsia"/>
                <w:sz w:val="21"/>
                <w:szCs w:val="21"/>
              </w:rPr>
              <w:t>³</w:t>
            </w:r>
          </w:p>
        </w:tc>
        <w:tc>
          <w:tcPr>
            <w:tcW w:w="956" w:type="dxa"/>
            <w:vAlign w:val="center"/>
          </w:tcPr>
          <w:p w:rsidR="00B04AE3" w:rsidRDefault="00B04AE3">
            <w:pPr>
              <w:widowControl/>
              <w:jc w:val="center"/>
              <w:rPr>
                <w:sz w:val="21"/>
                <w:szCs w:val="21"/>
              </w:rPr>
            </w:pPr>
            <w:r>
              <w:rPr>
                <w:rFonts w:hint="eastAsia"/>
                <w:sz w:val="21"/>
                <w:szCs w:val="21"/>
              </w:rPr>
              <w:t>槽车运输</w:t>
            </w:r>
          </w:p>
        </w:tc>
        <w:tc>
          <w:tcPr>
            <w:tcW w:w="1121" w:type="dxa"/>
            <w:vAlign w:val="center"/>
          </w:tcPr>
          <w:p w:rsidR="00B04AE3" w:rsidRDefault="00B04AE3">
            <w:pPr>
              <w:widowControl/>
              <w:jc w:val="center"/>
              <w:rPr>
                <w:sz w:val="21"/>
                <w:szCs w:val="21"/>
              </w:rPr>
            </w:pPr>
            <w:r>
              <w:rPr>
                <w:rFonts w:hint="eastAsia"/>
                <w:sz w:val="21"/>
                <w:szCs w:val="21"/>
              </w:rPr>
              <w:t>罐装</w:t>
            </w:r>
          </w:p>
        </w:tc>
        <w:tc>
          <w:tcPr>
            <w:tcW w:w="1499" w:type="dxa"/>
            <w:vAlign w:val="center"/>
          </w:tcPr>
          <w:p w:rsidR="00B04AE3" w:rsidRDefault="00B04AE3">
            <w:pPr>
              <w:widowControl/>
              <w:jc w:val="center"/>
              <w:rPr>
                <w:sz w:val="21"/>
                <w:szCs w:val="21"/>
              </w:rPr>
            </w:pPr>
            <w:r>
              <w:rPr>
                <w:rFonts w:hint="eastAsia"/>
                <w:sz w:val="21"/>
                <w:szCs w:val="21"/>
              </w:rPr>
              <w:t>罐区</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硫酸</w:t>
            </w:r>
            <w:r>
              <w:rPr>
                <w:sz w:val="21"/>
                <w:szCs w:val="21"/>
              </w:rPr>
              <w:t>(30%)</w:t>
            </w:r>
          </w:p>
        </w:tc>
        <w:tc>
          <w:tcPr>
            <w:tcW w:w="2118" w:type="dxa"/>
            <w:vAlign w:val="center"/>
          </w:tcPr>
          <w:p w:rsidR="00B04AE3" w:rsidRDefault="00B04AE3">
            <w:pPr>
              <w:widowControl/>
              <w:jc w:val="center"/>
              <w:rPr>
                <w:sz w:val="21"/>
                <w:szCs w:val="21"/>
              </w:rPr>
            </w:pPr>
            <w:r>
              <w:rPr>
                <w:sz w:val="21"/>
                <w:szCs w:val="21"/>
              </w:rPr>
              <w:t>H</w:t>
            </w:r>
            <w:r>
              <w:rPr>
                <w:sz w:val="21"/>
                <w:szCs w:val="21"/>
                <w:vertAlign w:val="subscript"/>
              </w:rPr>
              <w:t>2</w:t>
            </w:r>
            <w:r>
              <w:rPr>
                <w:sz w:val="21"/>
                <w:szCs w:val="21"/>
              </w:rPr>
              <w:t>SO</w:t>
            </w:r>
            <w:r>
              <w:rPr>
                <w:sz w:val="21"/>
                <w:szCs w:val="21"/>
                <w:vertAlign w:val="subscript"/>
              </w:rPr>
              <w:t>4</w:t>
            </w:r>
          </w:p>
        </w:tc>
        <w:tc>
          <w:tcPr>
            <w:tcW w:w="1194" w:type="dxa"/>
            <w:vAlign w:val="center"/>
          </w:tcPr>
          <w:p w:rsidR="00B04AE3" w:rsidRDefault="00B04AE3">
            <w:pPr>
              <w:widowControl/>
              <w:jc w:val="center"/>
              <w:rPr>
                <w:sz w:val="21"/>
                <w:szCs w:val="21"/>
              </w:rPr>
            </w:pPr>
            <w:r>
              <w:rPr>
                <w:sz w:val="21"/>
                <w:szCs w:val="21"/>
              </w:rPr>
              <w:t>5t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污水处理站</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液碱</w:t>
            </w:r>
            <w:r>
              <w:rPr>
                <w:sz w:val="21"/>
                <w:szCs w:val="21"/>
              </w:rPr>
              <w:t>(30%)</w:t>
            </w:r>
          </w:p>
        </w:tc>
        <w:tc>
          <w:tcPr>
            <w:tcW w:w="2118" w:type="dxa"/>
            <w:vAlign w:val="center"/>
          </w:tcPr>
          <w:p w:rsidR="00B04AE3" w:rsidRDefault="00B04AE3">
            <w:pPr>
              <w:widowControl/>
              <w:jc w:val="center"/>
              <w:rPr>
                <w:sz w:val="21"/>
                <w:szCs w:val="21"/>
              </w:rPr>
            </w:pPr>
            <w:r>
              <w:rPr>
                <w:sz w:val="21"/>
                <w:szCs w:val="21"/>
              </w:rPr>
              <w:t>NaOH</w:t>
            </w:r>
          </w:p>
        </w:tc>
        <w:tc>
          <w:tcPr>
            <w:tcW w:w="1194" w:type="dxa"/>
            <w:vAlign w:val="center"/>
          </w:tcPr>
          <w:p w:rsidR="00B04AE3" w:rsidRDefault="00B04AE3">
            <w:pPr>
              <w:widowControl/>
              <w:jc w:val="center"/>
              <w:rPr>
                <w:sz w:val="21"/>
                <w:szCs w:val="21"/>
              </w:rPr>
            </w:pPr>
            <w:r>
              <w:rPr>
                <w:sz w:val="21"/>
                <w:szCs w:val="21"/>
              </w:rPr>
              <w:t>5t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污水处理站</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磨削液（辅料）</w:t>
            </w:r>
          </w:p>
        </w:tc>
        <w:tc>
          <w:tcPr>
            <w:tcW w:w="2118" w:type="dxa"/>
            <w:vAlign w:val="center"/>
          </w:tcPr>
          <w:p w:rsidR="00B04AE3" w:rsidRDefault="00B04AE3">
            <w:pPr>
              <w:widowControl/>
              <w:jc w:val="center"/>
              <w:rPr>
                <w:sz w:val="21"/>
                <w:szCs w:val="21"/>
              </w:rPr>
            </w:pPr>
            <w:r>
              <w:rPr>
                <w:rFonts w:hint="eastAsia"/>
                <w:sz w:val="21"/>
                <w:szCs w:val="21"/>
              </w:rPr>
              <w:t>精炼植物油、异壬酸</w:t>
            </w:r>
          </w:p>
        </w:tc>
        <w:tc>
          <w:tcPr>
            <w:tcW w:w="1194" w:type="dxa"/>
            <w:vAlign w:val="center"/>
          </w:tcPr>
          <w:p w:rsidR="00B04AE3" w:rsidRDefault="00B04AE3">
            <w:pPr>
              <w:widowControl/>
              <w:jc w:val="center"/>
              <w:rPr>
                <w:sz w:val="21"/>
                <w:szCs w:val="21"/>
              </w:rPr>
            </w:pPr>
            <w:r>
              <w:rPr>
                <w:sz w:val="21"/>
                <w:szCs w:val="21"/>
              </w:rPr>
              <w:t>150t</w:t>
            </w:r>
          </w:p>
        </w:tc>
        <w:tc>
          <w:tcPr>
            <w:tcW w:w="956" w:type="dxa"/>
            <w:vAlign w:val="center"/>
          </w:tcPr>
          <w:p w:rsidR="00B04AE3" w:rsidRDefault="00B04AE3">
            <w:pPr>
              <w:widowControl/>
              <w:jc w:val="center"/>
              <w:rPr>
                <w:sz w:val="21"/>
                <w:szCs w:val="21"/>
              </w:rPr>
            </w:pPr>
            <w:r>
              <w:rPr>
                <w:rFonts w:hint="eastAsia"/>
                <w:sz w:val="21"/>
                <w:szCs w:val="21"/>
              </w:rPr>
              <w:t>管道输送</w:t>
            </w:r>
          </w:p>
        </w:tc>
        <w:tc>
          <w:tcPr>
            <w:tcW w:w="1121" w:type="dxa"/>
            <w:vAlign w:val="center"/>
          </w:tcPr>
          <w:p w:rsidR="00B04AE3" w:rsidRDefault="00B04AE3">
            <w:pPr>
              <w:widowControl/>
              <w:jc w:val="center"/>
              <w:rPr>
                <w:sz w:val="21"/>
                <w:szCs w:val="21"/>
              </w:rPr>
            </w:pPr>
            <w:r>
              <w:rPr>
                <w:rFonts w:hint="eastAsia"/>
                <w:sz w:val="21"/>
                <w:szCs w:val="21"/>
              </w:rPr>
              <w:t>自产</w:t>
            </w:r>
          </w:p>
        </w:tc>
        <w:tc>
          <w:tcPr>
            <w:tcW w:w="1499" w:type="dxa"/>
            <w:vAlign w:val="center"/>
          </w:tcPr>
          <w:p w:rsidR="00B04AE3" w:rsidRDefault="00B04AE3">
            <w:pPr>
              <w:widowControl/>
              <w:jc w:val="center"/>
              <w:rPr>
                <w:sz w:val="21"/>
                <w:szCs w:val="21"/>
              </w:rPr>
            </w:pP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清洗剂（辅料）</w:t>
            </w:r>
          </w:p>
        </w:tc>
        <w:tc>
          <w:tcPr>
            <w:tcW w:w="2118" w:type="dxa"/>
            <w:vAlign w:val="center"/>
          </w:tcPr>
          <w:p w:rsidR="00B04AE3" w:rsidRDefault="00B04AE3">
            <w:pPr>
              <w:widowControl/>
              <w:jc w:val="center"/>
              <w:rPr>
                <w:sz w:val="21"/>
                <w:szCs w:val="21"/>
              </w:rPr>
            </w:pPr>
            <w:r>
              <w:rPr>
                <w:sz w:val="21"/>
                <w:szCs w:val="21"/>
              </w:rPr>
              <w:t>NaOH</w:t>
            </w:r>
            <w:r>
              <w:rPr>
                <w:rFonts w:hint="eastAsia"/>
                <w:sz w:val="21"/>
                <w:szCs w:val="21"/>
              </w:rPr>
              <w:t>、</w:t>
            </w:r>
            <w:r>
              <w:rPr>
                <w:sz w:val="21"/>
                <w:szCs w:val="21"/>
              </w:rPr>
              <w:t>HCl</w:t>
            </w:r>
          </w:p>
        </w:tc>
        <w:tc>
          <w:tcPr>
            <w:tcW w:w="1194" w:type="dxa"/>
            <w:vAlign w:val="center"/>
          </w:tcPr>
          <w:p w:rsidR="00B04AE3" w:rsidRDefault="00B04AE3">
            <w:pPr>
              <w:widowControl/>
              <w:jc w:val="center"/>
              <w:rPr>
                <w:sz w:val="21"/>
                <w:szCs w:val="21"/>
              </w:rPr>
            </w:pPr>
            <w:r>
              <w:rPr>
                <w:sz w:val="21"/>
                <w:szCs w:val="21"/>
              </w:rPr>
              <w:t>1500kg</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防锈剂（辅料）</w:t>
            </w:r>
          </w:p>
        </w:tc>
        <w:tc>
          <w:tcPr>
            <w:tcW w:w="2118" w:type="dxa"/>
            <w:vAlign w:val="center"/>
          </w:tcPr>
          <w:p w:rsidR="00B04AE3" w:rsidRDefault="00B04AE3">
            <w:pPr>
              <w:widowControl/>
              <w:jc w:val="center"/>
              <w:rPr>
                <w:sz w:val="21"/>
                <w:szCs w:val="21"/>
              </w:rPr>
            </w:pPr>
            <w:r>
              <w:rPr>
                <w:rFonts w:hint="eastAsia"/>
                <w:sz w:val="21"/>
                <w:szCs w:val="21"/>
              </w:rPr>
              <w:t>吗啉、有机碱、水</w:t>
            </w:r>
          </w:p>
        </w:tc>
        <w:tc>
          <w:tcPr>
            <w:tcW w:w="1194" w:type="dxa"/>
            <w:vAlign w:val="center"/>
          </w:tcPr>
          <w:p w:rsidR="00B04AE3" w:rsidRDefault="00B04AE3">
            <w:pPr>
              <w:widowControl/>
              <w:jc w:val="center"/>
              <w:rPr>
                <w:sz w:val="21"/>
                <w:szCs w:val="21"/>
              </w:rPr>
            </w:pPr>
            <w:r>
              <w:rPr>
                <w:sz w:val="21"/>
                <w:szCs w:val="21"/>
              </w:rPr>
              <w:t>1500kg</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表面调整剂（辅料）</w:t>
            </w:r>
          </w:p>
        </w:tc>
        <w:tc>
          <w:tcPr>
            <w:tcW w:w="2118" w:type="dxa"/>
            <w:vAlign w:val="center"/>
          </w:tcPr>
          <w:p w:rsidR="00B04AE3" w:rsidRDefault="00B04AE3">
            <w:pPr>
              <w:widowControl/>
              <w:jc w:val="center"/>
              <w:rPr>
                <w:sz w:val="21"/>
                <w:szCs w:val="21"/>
              </w:rPr>
            </w:pPr>
            <w:r>
              <w:rPr>
                <w:rFonts w:hint="eastAsia"/>
                <w:sz w:val="21"/>
                <w:szCs w:val="21"/>
              </w:rPr>
              <w:t>磷酸锰、焦磷酸钠</w:t>
            </w:r>
          </w:p>
        </w:tc>
        <w:tc>
          <w:tcPr>
            <w:tcW w:w="1194" w:type="dxa"/>
            <w:vAlign w:val="center"/>
          </w:tcPr>
          <w:p w:rsidR="00B04AE3" w:rsidRDefault="00B04AE3">
            <w:pPr>
              <w:widowControl/>
              <w:jc w:val="center"/>
              <w:rPr>
                <w:sz w:val="21"/>
                <w:szCs w:val="21"/>
              </w:rPr>
            </w:pPr>
            <w:r>
              <w:rPr>
                <w:sz w:val="21"/>
                <w:szCs w:val="21"/>
              </w:rPr>
              <w:t>200kg</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脱脂剂（辅料）</w:t>
            </w:r>
          </w:p>
        </w:tc>
        <w:tc>
          <w:tcPr>
            <w:tcW w:w="2118" w:type="dxa"/>
            <w:vAlign w:val="center"/>
          </w:tcPr>
          <w:p w:rsidR="00B04AE3" w:rsidRDefault="00B04AE3">
            <w:pPr>
              <w:widowControl/>
              <w:jc w:val="center"/>
              <w:rPr>
                <w:sz w:val="21"/>
                <w:szCs w:val="21"/>
              </w:rPr>
            </w:pPr>
            <w:r>
              <w:rPr>
                <w:rFonts w:hint="eastAsia"/>
                <w:sz w:val="21"/>
                <w:szCs w:val="21"/>
              </w:rPr>
              <w:t>磷酸三钠、氢氧化钠、葡萄糖酸钠</w:t>
            </w:r>
          </w:p>
        </w:tc>
        <w:tc>
          <w:tcPr>
            <w:tcW w:w="1194" w:type="dxa"/>
            <w:vAlign w:val="center"/>
          </w:tcPr>
          <w:p w:rsidR="00B04AE3" w:rsidRDefault="00B04AE3">
            <w:pPr>
              <w:widowControl/>
              <w:jc w:val="center"/>
              <w:rPr>
                <w:sz w:val="21"/>
                <w:szCs w:val="21"/>
              </w:rPr>
            </w:pPr>
            <w:r>
              <w:rPr>
                <w:sz w:val="21"/>
                <w:szCs w:val="21"/>
              </w:rPr>
              <w:t>2500kg</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袋装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823"/>
          <w:jc w:val="center"/>
        </w:trPr>
        <w:tc>
          <w:tcPr>
            <w:tcW w:w="1912" w:type="dxa"/>
            <w:vAlign w:val="center"/>
          </w:tcPr>
          <w:p w:rsidR="00B04AE3" w:rsidRDefault="00B04AE3">
            <w:pPr>
              <w:widowControl/>
              <w:jc w:val="center"/>
              <w:rPr>
                <w:sz w:val="21"/>
                <w:szCs w:val="21"/>
              </w:rPr>
            </w:pPr>
            <w:r>
              <w:rPr>
                <w:rFonts w:hint="eastAsia"/>
                <w:sz w:val="21"/>
                <w:szCs w:val="21"/>
              </w:rPr>
              <w:t>超声波清洗剂（辅料）</w:t>
            </w:r>
          </w:p>
        </w:tc>
        <w:tc>
          <w:tcPr>
            <w:tcW w:w="2118" w:type="dxa"/>
            <w:vAlign w:val="center"/>
          </w:tcPr>
          <w:p w:rsidR="00B04AE3" w:rsidRDefault="00B04AE3">
            <w:pPr>
              <w:widowControl/>
              <w:jc w:val="center"/>
              <w:rPr>
                <w:sz w:val="21"/>
                <w:szCs w:val="21"/>
              </w:rPr>
            </w:pPr>
            <w:r>
              <w:rPr>
                <w:rFonts w:hint="eastAsia"/>
                <w:sz w:val="21"/>
                <w:szCs w:val="21"/>
              </w:rPr>
              <w:t>二乙醇胺、葵二酸、聚氧化乙烯醚烷基硫酸盐</w:t>
            </w:r>
          </w:p>
        </w:tc>
        <w:tc>
          <w:tcPr>
            <w:tcW w:w="1194" w:type="dxa"/>
            <w:vAlign w:val="center"/>
          </w:tcPr>
          <w:p w:rsidR="00B04AE3" w:rsidRDefault="00B04AE3">
            <w:pPr>
              <w:widowControl/>
              <w:jc w:val="center"/>
              <w:rPr>
                <w:sz w:val="21"/>
                <w:szCs w:val="21"/>
              </w:rPr>
            </w:pPr>
            <w:r>
              <w:rPr>
                <w:sz w:val="21"/>
                <w:szCs w:val="21"/>
              </w:rPr>
              <w:t>1000kg</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氟利昂清洗剂（辅料）</w:t>
            </w:r>
          </w:p>
        </w:tc>
        <w:tc>
          <w:tcPr>
            <w:tcW w:w="2118" w:type="dxa"/>
            <w:vAlign w:val="center"/>
          </w:tcPr>
          <w:p w:rsidR="00B04AE3" w:rsidRDefault="00B04AE3">
            <w:pPr>
              <w:widowControl/>
              <w:jc w:val="center"/>
              <w:rPr>
                <w:sz w:val="21"/>
                <w:szCs w:val="21"/>
              </w:rPr>
            </w:pPr>
            <w:r>
              <w:rPr>
                <w:rFonts w:hint="eastAsia"/>
                <w:sz w:val="21"/>
                <w:szCs w:val="21"/>
              </w:rPr>
              <w:t>氟利昂</w:t>
            </w:r>
          </w:p>
        </w:tc>
        <w:tc>
          <w:tcPr>
            <w:tcW w:w="1194" w:type="dxa"/>
            <w:vAlign w:val="center"/>
          </w:tcPr>
          <w:p w:rsidR="00B04AE3" w:rsidRDefault="00B04AE3">
            <w:pPr>
              <w:widowControl/>
              <w:jc w:val="center"/>
              <w:rPr>
                <w:sz w:val="21"/>
                <w:szCs w:val="21"/>
              </w:rPr>
            </w:pPr>
            <w:r>
              <w:rPr>
                <w:sz w:val="21"/>
                <w:szCs w:val="21"/>
              </w:rPr>
              <w:t>900kg</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磷化中和剂（辅料）</w:t>
            </w:r>
          </w:p>
        </w:tc>
        <w:tc>
          <w:tcPr>
            <w:tcW w:w="2118" w:type="dxa"/>
            <w:vAlign w:val="center"/>
          </w:tcPr>
          <w:p w:rsidR="00B04AE3" w:rsidRDefault="00B04AE3">
            <w:pPr>
              <w:widowControl/>
              <w:jc w:val="center"/>
              <w:rPr>
                <w:sz w:val="21"/>
                <w:szCs w:val="21"/>
              </w:rPr>
            </w:pPr>
            <w:r>
              <w:rPr>
                <w:rFonts w:hint="eastAsia"/>
                <w:sz w:val="21"/>
                <w:szCs w:val="21"/>
              </w:rPr>
              <w:t>磷酸</w:t>
            </w:r>
          </w:p>
        </w:tc>
        <w:tc>
          <w:tcPr>
            <w:tcW w:w="1194" w:type="dxa"/>
            <w:vAlign w:val="center"/>
          </w:tcPr>
          <w:p w:rsidR="00B04AE3" w:rsidRDefault="00B04AE3">
            <w:pPr>
              <w:widowControl/>
              <w:jc w:val="center"/>
              <w:rPr>
                <w:sz w:val="21"/>
                <w:szCs w:val="21"/>
              </w:rPr>
            </w:pPr>
            <w:r>
              <w:rPr>
                <w:sz w:val="21"/>
                <w:szCs w:val="21"/>
              </w:rPr>
              <w:t>500kg</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袋装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sz w:val="21"/>
                <w:szCs w:val="21"/>
              </w:rPr>
              <w:t>"</w:t>
            </w:r>
            <w:r>
              <w:rPr>
                <w:rFonts w:hint="eastAsia"/>
                <w:sz w:val="21"/>
                <w:szCs w:val="21"/>
              </w:rPr>
              <w:t>喷得丽</w:t>
            </w:r>
            <w:r>
              <w:rPr>
                <w:sz w:val="21"/>
                <w:szCs w:val="21"/>
              </w:rPr>
              <w:t>"</w:t>
            </w:r>
            <w:r>
              <w:rPr>
                <w:rFonts w:hint="eastAsia"/>
                <w:sz w:val="21"/>
                <w:szCs w:val="21"/>
              </w:rPr>
              <w:t>高级快干自动喷漆（辅料）</w:t>
            </w:r>
          </w:p>
        </w:tc>
        <w:tc>
          <w:tcPr>
            <w:tcW w:w="2118" w:type="dxa"/>
            <w:vAlign w:val="center"/>
          </w:tcPr>
          <w:p w:rsidR="00B04AE3" w:rsidRDefault="00B04AE3">
            <w:pPr>
              <w:widowControl/>
              <w:jc w:val="center"/>
              <w:rPr>
                <w:sz w:val="21"/>
                <w:szCs w:val="21"/>
              </w:rPr>
            </w:pPr>
            <w:r>
              <w:rPr>
                <w:rFonts w:hint="eastAsia"/>
                <w:sz w:val="21"/>
                <w:szCs w:val="21"/>
              </w:rPr>
              <w:t>苯、甲苯、二甲苯</w:t>
            </w:r>
          </w:p>
        </w:tc>
        <w:tc>
          <w:tcPr>
            <w:tcW w:w="1194" w:type="dxa"/>
            <w:vAlign w:val="center"/>
          </w:tcPr>
          <w:p w:rsidR="00B04AE3" w:rsidRDefault="00B04AE3">
            <w:pPr>
              <w:widowControl/>
              <w:jc w:val="center"/>
              <w:rPr>
                <w:sz w:val="21"/>
                <w:szCs w:val="21"/>
              </w:rPr>
            </w:pPr>
            <w:r>
              <w:rPr>
                <w:sz w:val="21"/>
                <w:szCs w:val="21"/>
              </w:rPr>
              <w:t>190kg</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助焊剂（辅料）</w:t>
            </w:r>
          </w:p>
        </w:tc>
        <w:tc>
          <w:tcPr>
            <w:tcW w:w="2118" w:type="dxa"/>
            <w:vAlign w:val="center"/>
          </w:tcPr>
          <w:p w:rsidR="00B04AE3" w:rsidRDefault="00B04AE3">
            <w:pPr>
              <w:widowControl/>
              <w:jc w:val="center"/>
              <w:rPr>
                <w:sz w:val="21"/>
                <w:szCs w:val="21"/>
              </w:rPr>
            </w:pPr>
            <w:r>
              <w:rPr>
                <w:rFonts w:hint="eastAsia"/>
                <w:sz w:val="21"/>
                <w:szCs w:val="21"/>
              </w:rPr>
              <w:t>硼酸三甲酯</w:t>
            </w:r>
            <w:r>
              <w:rPr>
                <w:sz w:val="21"/>
                <w:szCs w:val="21"/>
              </w:rPr>
              <w:t>72%</w:t>
            </w:r>
            <w:r>
              <w:rPr>
                <w:rFonts w:hint="eastAsia"/>
                <w:sz w:val="21"/>
                <w:szCs w:val="21"/>
              </w:rPr>
              <w:t>、甲醇</w:t>
            </w:r>
            <w:r>
              <w:rPr>
                <w:sz w:val="21"/>
                <w:szCs w:val="21"/>
              </w:rPr>
              <w:t>20%</w:t>
            </w:r>
            <w:r>
              <w:rPr>
                <w:rFonts w:hint="eastAsia"/>
                <w:sz w:val="21"/>
                <w:szCs w:val="21"/>
              </w:rPr>
              <w:t>其他</w:t>
            </w:r>
            <w:r>
              <w:rPr>
                <w:sz w:val="21"/>
                <w:szCs w:val="21"/>
              </w:rPr>
              <w:t>8%</w:t>
            </w:r>
          </w:p>
        </w:tc>
        <w:tc>
          <w:tcPr>
            <w:tcW w:w="1194" w:type="dxa"/>
            <w:vAlign w:val="center"/>
          </w:tcPr>
          <w:p w:rsidR="00B04AE3" w:rsidRDefault="00B04AE3">
            <w:pPr>
              <w:widowControl/>
              <w:jc w:val="center"/>
              <w:rPr>
                <w:sz w:val="21"/>
                <w:szCs w:val="21"/>
              </w:rPr>
            </w:pPr>
            <w:r>
              <w:rPr>
                <w:sz w:val="21"/>
                <w:szCs w:val="21"/>
              </w:rPr>
              <w:t>500kg</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拉削油（辅料）</w:t>
            </w:r>
          </w:p>
        </w:tc>
        <w:tc>
          <w:tcPr>
            <w:tcW w:w="2118" w:type="dxa"/>
            <w:vAlign w:val="center"/>
          </w:tcPr>
          <w:p w:rsidR="00B04AE3" w:rsidRDefault="00B04AE3">
            <w:pPr>
              <w:widowControl/>
              <w:jc w:val="center"/>
              <w:rPr>
                <w:sz w:val="21"/>
                <w:szCs w:val="21"/>
              </w:rPr>
            </w:pPr>
            <w:r>
              <w:rPr>
                <w:rFonts w:hint="eastAsia"/>
                <w:sz w:val="21"/>
                <w:szCs w:val="21"/>
              </w:rPr>
              <w:t>矿物油</w:t>
            </w:r>
          </w:p>
        </w:tc>
        <w:tc>
          <w:tcPr>
            <w:tcW w:w="1194" w:type="dxa"/>
            <w:vAlign w:val="center"/>
          </w:tcPr>
          <w:p w:rsidR="00B04AE3" w:rsidRDefault="00B04AE3">
            <w:pPr>
              <w:widowControl/>
              <w:jc w:val="center"/>
              <w:rPr>
                <w:sz w:val="21"/>
                <w:szCs w:val="21"/>
              </w:rPr>
            </w:pPr>
            <w:r>
              <w:rPr>
                <w:sz w:val="21"/>
                <w:szCs w:val="21"/>
              </w:rPr>
              <w:t>1.6t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切削液（辅料）</w:t>
            </w:r>
          </w:p>
        </w:tc>
        <w:tc>
          <w:tcPr>
            <w:tcW w:w="2118" w:type="dxa"/>
            <w:vAlign w:val="center"/>
          </w:tcPr>
          <w:p w:rsidR="00B04AE3" w:rsidRDefault="00B04AE3">
            <w:pPr>
              <w:widowControl/>
              <w:jc w:val="center"/>
              <w:rPr>
                <w:sz w:val="21"/>
                <w:szCs w:val="21"/>
              </w:rPr>
            </w:pPr>
            <w:r>
              <w:rPr>
                <w:rFonts w:hint="eastAsia"/>
                <w:sz w:val="21"/>
                <w:szCs w:val="21"/>
              </w:rPr>
              <w:t>矿物油、脂肪酸</w:t>
            </w:r>
          </w:p>
        </w:tc>
        <w:tc>
          <w:tcPr>
            <w:tcW w:w="1194" w:type="dxa"/>
            <w:vAlign w:val="center"/>
          </w:tcPr>
          <w:p w:rsidR="00B04AE3" w:rsidRDefault="00B04AE3">
            <w:pPr>
              <w:widowControl/>
              <w:jc w:val="center"/>
              <w:rPr>
                <w:sz w:val="21"/>
                <w:szCs w:val="21"/>
              </w:rPr>
            </w:pPr>
            <w:r>
              <w:rPr>
                <w:sz w:val="21"/>
                <w:szCs w:val="21"/>
              </w:rPr>
              <w:t>6t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切削油（辅料）</w:t>
            </w:r>
          </w:p>
        </w:tc>
        <w:tc>
          <w:tcPr>
            <w:tcW w:w="2118" w:type="dxa"/>
            <w:vAlign w:val="center"/>
          </w:tcPr>
          <w:p w:rsidR="00B04AE3" w:rsidRDefault="00B04AE3">
            <w:pPr>
              <w:widowControl/>
              <w:jc w:val="center"/>
              <w:rPr>
                <w:sz w:val="21"/>
                <w:szCs w:val="21"/>
              </w:rPr>
            </w:pPr>
            <w:r>
              <w:rPr>
                <w:rFonts w:hint="eastAsia"/>
                <w:sz w:val="21"/>
                <w:szCs w:val="21"/>
              </w:rPr>
              <w:t>矿物油</w:t>
            </w:r>
          </w:p>
        </w:tc>
        <w:tc>
          <w:tcPr>
            <w:tcW w:w="1194" w:type="dxa"/>
            <w:vAlign w:val="center"/>
          </w:tcPr>
          <w:p w:rsidR="00B04AE3" w:rsidRDefault="00B04AE3">
            <w:pPr>
              <w:widowControl/>
              <w:jc w:val="center"/>
              <w:rPr>
                <w:sz w:val="21"/>
                <w:szCs w:val="21"/>
              </w:rPr>
            </w:pPr>
            <w:r>
              <w:rPr>
                <w:sz w:val="21"/>
                <w:szCs w:val="21"/>
              </w:rPr>
              <w:t>2t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823"/>
          <w:jc w:val="center"/>
        </w:trPr>
        <w:tc>
          <w:tcPr>
            <w:tcW w:w="1912" w:type="dxa"/>
            <w:vAlign w:val="center"/>
          </w:tcPr>
          <w:p w:rsidR="00B04AE3" w:rsidRDefault="00B04AE3">
            <w:pPr>
              <w:widowControl/>
              <w:jc w:val="center"/>
              <w:rPr>
                <w:sz w:val="21"/>
                <w:szCs w:val="21"/>
              </w:rPr>
            </w:pPr>
            <w:r>
              <w:rPr>
                <w:rFonts w:hint="eastAsia"/>
                <w:sz w:val="21"/>
                <w:szCs w:val="21"/>
              </w:rPr>
              <w:t>喷淋清洗剂（辅料）</w:t>
            </w:r>
          </w:p>
        </w:tc>
        <w:tc>
          <w:tcPr>
            <w:tcW w:w="2118" w:type="dxa"/>
            <w:vAlign w:val="center"/>
          </w:tcPr>
          <w:p w:rsidR="00B04AE3" w:rsidRDefault="00B04AE3">
            <w:pPr>
              <w:widowControl/>
              <w:jc w:val="center"/>
              <w:rPr>
                <w:sz w:val="21"/>
                <w:szCs w:val="21"/>
              </w:rPr>
            </w:pPr>
            <w:r>
              <w:rPr>
                <w:rFonts w:hint="eastAsia"/>
                <w:sz w:val="21"/>
                <w:szCs w:val="21"/>
              </w:rPr>
              <w:t>二乙醇胺、葵二酸、聚氧化乙烯醚烷基硫酸盐</w:t>
            </w:r>
          </w:p>
        </w:tc>
        <w:tc>
          <w:tcPr>
            <w:tcW w:w="1194" w:type="dxa"/>
            <w:vAlign w:val="center"/>
          </w:tcPr>
          <w:p w:rsidR="00B04AE3" w:rsidRDefault="00B04AE3">
            <w:pPr>
              <w:widowControl/>
              <w:jc w:val="center"/>
              <w:rPr>
                <w:sz w:val="21"/>
                <w:szCs w:val="21"/>
              </w:rPr>
            </w:pPr>
            <w:r>
              <w:rPr>
                <w:sz w:val="21"/>
                <w:szCs w:val="21"/>
              </w:rPr>
              <w:t>0.3t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8"/>
          <w:jc w:val="center"/>
        </w:trPr>
        <w:tc>
          <w:tcPr>
            <w:tcW w:w="1912" w:type="dxa"/>
            <w:vAlign w:val="center"/>
          </w:tcPr>
          <w:p w:rsidR="00B04AE3" w:rsidRDefault="00B04AE3">
            <w:pPr>
              <w:widowControl/>
              <w:jc w:val="center"/>
              <w:rPr>
                <w:sz w:val="21"/>
                <w:szCs w:val="21"/>
              </w:rPr>
            </w:pPr>
            <w:r>
              <w:rPr>
                <w:rFonts w:hint="eastAsia"/>
                <w:sz w:val="21"/>
                <w:szCs w:val="21"/>
              </w:rPr>
              <w:t>润滑油（辅料）</w:t>
            </w:r>
          </w:p>
        </w:tc>
        <w:tc>
          <w:tcPr>
            <w:tcW w:w="2118" w:type="dxa"/>
            <w:vAlign w:val="center"/>
          </w:tcPr>
          <w:p w:rsidR="00B04AE3" w:rsidRDefault="00B04AE3">
            <w:pPr>
              <w:widowControl/>
              <w:jc w:val="center"/>
              <w:rPr>
                <w:sz w:val="21"/>
                <w:szCs w:val="21"/>
              </w:rPr>
            </w:pPr>
            <w:r>
              <w:rPr>
                <w:rFonts w:hint="eastAsia"/>
                <w:sz w:val="21"/>
                <w:szCs w:val="21"/>
              </w:rPr>
              <w:t>矿物油，烃类</w:t>
            </w:r>
          </w:p>
        </w:tc>
        <w:tc>
          <w:tcPr>
            <w:tcW w:w="1194" w:type="dxa"/>
            <w:vAlign w:val="center"/>
          </w:tcPr>
          <w:p w:rsidR="00B04AE3" w:rsidRDefault="00B04AE3">
            <w:pPr>
              <w:widowControl/>
              <w:jc w:val="center"/>
              <w:rPr>
                <w:sz w:val="21"/>
                <w:szCs w:val="21"/>
              </w:rPr>
            </w:pPr>
            <w:r>
              <w:rPr>
                <w:sz w:val="21"/>
                <w:szCs w:val="21"/>
              </w:rPr>
              <w:t>0.8t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614"/>
          <w:jc w:val="center"/>
        </w:trPr>
        <w:tc>
          <w:tcPr>
            <w:tcW w:w="1912" w:type="dxa"/>
            <w:vAlign w:val="center"/>
          </w:tcPr>
          <w:p w:rsidR="00B04AE3" w:rsidRDefault="00B04AE3">
            <w:pPr>
              <w:widowControl/>
              <w:jc w:val="center"/>
              <w:rPr>
                <w:sz w:val="21"/>
                <w:szCs w:val="21"/>
              </w:rPr>
            </w:pPr>
            <w:r>
              <w:rPr>
                <w:rFonts w:hint="eastAsia"/>
                <w:sz w:val="21"/>
                <w:szCs w:val="21"/>
              </w:rPr>
              <w:t>冲削油（辅料）</w:t>
            </w:r>
          </w:p>
        </w:tc>
        <w:tc>
          <w:tcPr>
            <w:tcW w:w="2118" w:type="dxa"/>
            <w:vAlign w:val="center"/>
          </w:tcPr>
          <w:p w:rsidR="00B04AE3" w:rsidRDefault="00B04AE3">
            <w:pPr>
              <w:widowControl/>
              <w:jc w:val="center"/>
              <w:rPr>
                <w:sz w:val="21"/>
                <w:szCs w:val="21"/>
              </w:rPr>
            </w:pPr>
            <w:r>
              <w:rPr>
                <w:rFonts w:hint="eastAsia"/>
                <w:sz w:val="21"/>
                <w:szCs w:val="21"/>
              </w:rPr>
              <w:t>石油</w:t>
            </w:r>
            <w:r>
              <w:rPr>
                <w:sz w:val="21"/>
                <w:szCs w:val="21"/>
              </w:rPr>
              <w:t>72%</w:t>
            </w:r>
            <w:r>
              <w:rPr>
                <w:rFonts w:hint="eastAsia"/>
                <w:sz w:val="21"/>
                <w:szCs w:val="21"/>
              </w:rPr>
              <w:t>烃</w:t>
            </w:r>
            <w:r>
              <w:rPr>
                <w:sz w:val="21"/>
                <w:szCs w:val="21"/>
              </w:rPr>
              <w:t>25%</w:t>
            </w:r>
          </w:p>
        </w:tc>
        <w:tc>
          <w:tcPr>
            <w:tcW w:w="1194" w:type="dxa"/>
            <w:vAlign w:val="center"/>
          </w:tcPr>
          <w:p w:rsidR="00B04AE3" w:rsidRDefault="00B04AE3">
            <w:pPr>
              <w:widowControl/>
              <w:jc w:val="center"/>
              <w:rPr>
                <w:sz w:val="21"/>
                <w:szCs w:val="21"/>
              </w:rPr>
            </w:pPr>
            <w:r>
              <w:rPr>
                <w:sz w:val="21"/>
                <w:szCs w:val="21"/>
              </w:rPr>
              <w:t>3.2t</w:t>
            </w:r>
          </w:p>
        </w:tc>
        <w:tc>
          <w:tcPr>
            <w:tcW w:w="956" w:type="dxa"/>
            <w:vAlign w:val="center"/>
          </w:tcPr>
          <w:p w:rsidR="00B04AE3" w:rsidRDefault="00B04AE3">
            <w:pPr>
              <w:widowControl/>
              <w:jc w:val="center"/>
              <w:rPr>
                <w:sz w:val="21"/>
                <w:szCs w:val="21"/>
              </w:rPr>
            </w:pPr>
            <w:r>
              <w:rPr>
                <w:rFonts w:hint="eastAsia"/>
                <w:sz w:val="21"/>
                <w:szCs w:val="21"/>
              </w:rPr>
              <w:t>汽运</w:t>
            </w:r>
          </w:p>
        </w:tc>
        <w:tc>
          <w:tcPr>
            <w:tcW w:w="1121" w:type="dxa"/>
            <w:vAlign w:val="center"/>
          </w:tcPr>
          <w:p w:rsidR="00B04AE3" w:rsidRDefault="00B04AE3">
            <w:pPr>
              <w:widowControl/>
              <w:jc w:val="center"/>
              <w:rPr>
                <w:sz w:val="21"/>
                <w:szCs w:val="21"/>
              </w:rPr>
            </w:pPr>
            <w:r>
              <w:rPr>
                <w:rFonts w:hint="eastAsia"/>
                <w:sz w:val="21"/>
                <w:szCs w:val="21"/>
              </w:rPr>
              <w:t>桶装</w:t>
            </w:r>
          </w:p>
        </w:tc>
        <w:tc>
          <w:tcPr>
            <w:tcW w:w="1499" w:type="dxa"/>
            <w:vAlign w:val="center"/>
          </w:tcPr>
          <w:p w:rsidR="00B04AE3" w:rsidRDefault="00B04AE3">
            <w:pPr>
              <w:widowControl/>
              <w:jc w:val="center"/>
              <w:rPr>
                <w:sz w:val="21"/>
                <w:szCs w:val="21"/>
              </w:rPr>
            </w:pPr>
            <w:r>
              <w:rPr>
                <w:rFonts w:hint="eastAsia"/>
                <w:sz w:val="21"/>
                <w:szCs w:val="21"/>
              </w:rPr>
              <w:t>危化品仓库</w:t>
            </w:r>
          </w:p>
        </w:tc>
      </w:tr>
    </w:tbl>
    <w:p w:rsidR="00B04AE3" w:rsidRDefault="00B04AE3">
      <w:pPr>
        <w:pStyle w:val="ListParagraph"/>
        <w:tabs>
          <w:tab w:val="left" w:pos="878"/>
        </w:tabs>
        <w:spacing w:before="1"/>
        <w:ind w:firstLine="0"/>
        <w:rPr>
          <w:b/>
          <w:sz w:val="24"/>
        </w:rPr>
      </w:pPr>
      <w:bookmarkStart w:id="32" w:name="2.1.2公司主要生产设备"/>
      <w:bookmarkEnd w:id="32"/>
      <w:r>
        <w:rPr>
          <w:b/>
          <w:sz w:val="24"/>
          <w:lang w:val="en-US"/>
        </w:rPr>
        <w:t>2.1.3</w:t>
      </w:r>
      <w:r>
        <w:rPr>
          <w:rFonts w:hint="eastAsia"/>
          <w:b/>
          <w:sz w:val="24"/>
        </w:rPr>
        <w:t>公司主要生产设备</w:t>
      </w:r>
    </w:p>
    <w:p w:rsidR="00B04AE3" w:rsidRDefault="00B04AE3">
      <w:pPr>
        <w:pStyle w:val="BodyText"/>
        <w:spacing w:before="160"/>
        <w:ind w:left="817"/>
      </w:pPr>
      <w:r>
        <w:rPr>
          <w:rFonts w:hint="eastAsia"/>
        </w:rPr>
        <w:t>南昌海立电器有限公司主要生产设备见表</w:t>
      </w:r>
      <w:r>
        <w:t xml:space="preserve"> </w:t>
      </w:r>
      <w:r>
        <w:rPr>
          <w:rFonts w:ascii="Times New Roman" w:eastAsia="Times New Roman"/>
        </w:rPr>
        <w:t>2.1-</w:t>
      </w:r>
      <w:r>
        <w:rPr>
          <w:rFonts w:ascii="Times New Roman"/>
          <w:lang w:val="en-US"/>
        </w:rPr>
        <w:t>3</w:t>
      </w:r>
      <w:r>
        <w:rPr>
          <w:rFonts w:hint="eastAsia"/>
        </w:rPr>
        <w:t>。</w:t>
      </w:r>
    </w:p>
    <w:p w:rsidR="00B04AE3" w:rsidRDefault="00B04AE3">
      <w:pPr>
        <w:tabs>
          <w:tab w:val="left" w:pos="1164"/>
        </w:tabs>
        <w:spacing w:before="158" w:after="3"/>
        <w:ind w:left="5"/>
        <w:jc w:val="center"/>
        <w:rPr>
          <w:b/>
          <w:sz w:val="24"/>
        </w:rPr>
      </w:pPr>
      <w:r>
        <w:rPr>
          <w:rFonts w:hint="eastAsia"/>
          <w:b/>
          <w:sz w:val="24"/>
        </w:rPr>
        <w:t>表</w:t>
      </w:r>
      <w:r>
        <w:rPr>
          <w:b/>
          <w:spacing w:val="-62"/>
          <w:sz w:val="24"/>
        </w:rPr>
        <w:t xml:space="preserve"> </w:t>
      </w:r>
      <w:r>
        <w:rPr>
          <w:rFonts w:ascii="Times New Roman" w:eastAsia="Times New Roman"/>
          <w:b/>
          <w:sz w:val="24"/>
        </w:rPr>
        <w:t>2.1-</w:t>
      </w:r>
      <w:r>
        <w:rPr>
          <w:rFonts w:ascii="Times New Roman"/>
          <w:b/>
          <w:sz w:val="24"/>
          <w:lang w:val="en-US"/>
        </w:rPr>
        <w:t>3</w:t>
      </w:r>
      <w:r>
        <w:rPr>
          <w:rFonts w:ascii="Times New Roman" w:eastAsia="Times New Roman"/>
          <w:b/>
          <w:sz w:val="24"/>
        </w:rPr>
        <w:tab/>
      </w:r>
      <w:r>
        <w:rPr>
          <w:rFonts w:hint="eastAsia"/>
          <w:b/>
          <w:sz w:val="24"/>
        </w:rPr>
        <w:t>主要设备一览表</w:t>
      </w:r>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17"/>
        <w:gridCol w:w="980"/>
        <w:gridCol w:w="1308"/>
        <w:gridCol w:w="1589"/>
        <w:gridCol w:w="1259"/>
        <w:gridCol w:w="2167"/>
      </w:tblGrid>
      <w:tr w:rsidR="00B04AE3">
        <w:trPr>
          <w:trHeight w:val="604"/>
          <w:tblHeader/>
        </w:trPr>
        <w:tc>
          <w:tcPr>
            <w:tcW w:w="1917" w:type="dxa"/>
            <w:vAlign w:val="center"/>
          </w:tcPr>
          <w:p w:rsidR="00B04AE3" w:rsidRDefault="00B04AE3">
            <w:pPr>
              <w:jc w:val="center"/>
              <w:rPr>
                <w:b/>
                <w:sz w:val="21"/>
                <w:szCs w:val="21"/>
              </w:rPr>
            </w:pPr>
            <w:bookmarkStart w:id="33" w:name="_Toc384756791"/>
            <w:r>
              <w:rPr>
                <w:rFonts w:hint="eastAsia"/>
                <w:b/>
                <w:sz w:val="21"/>
                <w:szCs w:val="21"/>
              </w:rPr>
              <w:t>设备名称</w:t>
            </w:r>
            <w:bookmarkEnd w:id="33"/>
          </w:p>
        </w:tc>
        <w:tc>
          <w:tcPr>
            <w:tcW w:w="980" w:type="dxa"/>
            <w:vAlign w:val="center"/>
          </w:tcPr>
          <w:p w:rsidR="00B04AE3" w:rsidRDefault="00B04AE3">
            <w:pPr>
              <w:jc w:val="center"/>
              <w:rPr>
                <w:b/>
                <w:sz w:val="21"/>
                <w:szCs w:val="21"/>
              </w:rPr>
            </w:pPr>
            <w:bookmarkStart w:id="34" w:name="_Toc384756792"/>
            <w:r>
              <w:rPr>
                <w:rFonts w:hint="eastAsia"/>
                <w:b/>
                <w:sz w:val="21"/>
                <w:szCs w:val="21"/>
              </w:rPr>
              <w:t>设备数量</w:t>
            </w:r>
            <w:bookmarkEnd w:id="34"/>
          </w:p>
        </w:tc>
        <w:tc>
          <w:tcPr>
            <w:tcW w:w="1308" w:type="dxa"/>
            <w:vAlign w:val="center"/>
          </w:tcPr>
          <w:p w:rsidR="00B04AE3" w:rsidRDefault="00B04AE3">
            <w:pPr>
              <w:jc w:val="center"/>
              <w:rPr>
                <w:b/>
                <w:sz w:val="21"/>
                <w:szCs w:val="21"/>
              </w:rPr>
            </w:pPr>
            <w:bookmarkStart w:id="35" w:name="_Toc384756793"/>
            <w:r>
              <w:rPr>
                <w:rFonts w:hint="eastAsia"/>
                <w:b/>
                <w:sz w:val="21"/>
                <w:szCs w:val="21"/>
              </w:rPr>
              <w:t>设备状况</w:t>
            </w:r>
            <w:bookmarkEnd w:id="35"/>
          </w:p>
        </w:tc>
        <w:tc>
          <w:tcPr>
            <w:tcW w:w="1589" w:type="dxa"/>
            <w:vAlign w:val="center"/>
          </w:tcPr>
          <w:p w:rsidR="00B04AE3" w:rsidRDefault="00B04AE3">
            <w:pPr>
              <w:jc w:val="center"/>
              <w:rPr>
                <w:b/>
                <w:sz w:val="21"/>
                <w:szCs w:val="21"/>
              </w:rPr>
            </w:pPr>
            <w:bookmarkStart w:id="36" w:name="_Toc384756794"/>
            <w:r>
              <w:rPr>
                <w:rFonts w:hint="eastAsia"/>
                <w:b/>
                <w:sz w:val="21"/>
                <w:szCs w:val="21"/>
              </w:rPr>
              <w:t>所在</w:t>
            </w:r>
            <w:bookmarkEnd w:id="36"/>
            <w:r>
              <w:rPr>
                <w:rFonts w:hint="eastAsia"/>
                <w:b/>
                <w:sz w:val="21"/>
                <w:szCs w:val="21"/>
              </w:rPr>
              <w:t>工场</w:t>
            </w:r>
          </w:p>
        </w:tc>
        <w:tc>
          <w:tcPr>
            <w:tcW w:w="1259" w:type="dxa"/>
            <w:vAlign w:val="center"/>
          </w:tcPr>
          <w:p w:rsidR="00B04AE3" w:rsidRDefault="00B04AE3">
            <w:pPr>
              <w:jc w:val="center"/>
              <w:rPr>
                <w:b/>
                <w:sz w:val="21"/>
                <w:szCs w:val="21"/>
              </w:rPr>
            </w:pPr>
            <w:bookmarkStart w:id="37" w:name="_Toc384756795"/>
            <w:r>
              <w:rPr>
                <w:rFonts w:hint="eastAsia"/>
                <w:b/>
                <w:sz w:val="21"/>
                <w:szCs w:val="21"/>
              </w:rPr>
              <w:t>厂房内位置</w:t>
            </w:r>
            <w:bookmarkEnd w:id="37"/>
          </w:p>
        </w:tc>
        <w:tc>
          <w:tcPr>
            <w:tcW w:w="2167" w:type="dxa"/>
            <w:vAlign w:val="center"/>
          </w:tcPr>
          <w:p w:rsidR="00B04AE3" w:rsidRDefault="00B04AE3">
            <w:pPr>
              <w:jc w:val="center"/>
              <w:rPr>
                <w:b/>
                <w:sz w:val="21"/>
                <w:szCs w:val="21"/>
              </w:rPr>
            </w:pPr>
            <w:bookmarkStart w:id="38" w:name="_Toc384756796"/>
            <w:r>
              <w:rPr>
                <w:rFonts w:hint="eastAsia"/>
                <w:b/>
                <w:sz w:val="21"/>
                <w:szCs w:val="21"/>
              </w:rPr>
              <w:t>工艺步骤或用途</w:t>
            </w:r>
            <w:bookmarkEnd w:id="38"/>
          </w:p>
        </w:tc>
      </w:tr>
      <w:tr w:rsidR="00B04AE3">
        <w:trPr>
          <w:trHeight w:val="388"/>
        </w:trPr>
        <w:tc>
          <w:tcPr>
            <w:tcW w:w="1917" w:type="dxa"/>
            <w:vAlign w:val="center"/>
          </w:tcPr>
          <w:p w:rsidR="00B04AE3" w:rsidRDefault="00B04AE3">
            <w:pPr>
              <w:jc w:val="center"/>
              <w:rPr>
                <w:sz w:val="21"/>
                <w:szCs w:val="21"/>
              </w:rPr>
            </w:pPr>
            <w:r>
              <w:rPr>
                <w:sz w:val="21"/>
                <w:szCs w:val="21"/>
              </w:rPr>
              <w:t>300T</w:t>
            </w:r>
            <w:r>
              <w:rPr>
                <w:rFonts w:hint="eastAsia"/>
                <w:sz w:val="21"/>
                <w:szCs w:val="21"/>
              </w:rPr>
              <w:t>高速冲床</w:t>
            </w:r>
          </w:p>
        </w:tc>
        <w:tc>
          <w:tcPr>
            <w:tcW w:w="980" w:type="dxa"/>
            <w:vAlign w:val="center"/>
          </w:tcPr>
          <w:p w:rsidR="00B04AE3" w:rsidRDefault="00B04AE3">
            <w:pPr>
              <w:jc w:val="center"/>
              <w:rPr>
                <w:sz w:val="21"/>
                <w:szCs w:val="21"/>
              </w:rPr>
            </w:pPr>
            <w:r>
              <w:rPr>
                <w:sz w:val="21"/>
                <w:szCs w:val="21"/>
              </w:rPr>
              <w:t>5</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铁芯工场</w:t>
            </w:r>
          </w:p>
        </w:tc>
        <w:tc>
          <w:tcPr>
            <w:tcW w:w="1259" w:type="dxa"/>
            <w:vAlign w:val="center"/>
          </w:tcPr>
          <w:p w:rsidR="00B04AE3" w:rsidRDefault="00B04AE3">
            <w:pPr>
              <w:jc w:val="center"/>
              <w:rPr>
                <w:sz w:val="21"/>
                <w:szCs w:val="21"/>
              </w:rPr>
            </w:pPr>
            <w:bookmarkStart w:id="39" w:name="_Toc384756802"/>
            <w:r>
              <w:rPr>
                <w:rFonts w:hint="eastAsia"/>
                <w:sz w:val="21"/>
                <w:szCs w:val="21"/>
              </w:rPr>
              <w:t>一层</w:t>
            </w:r>
            <w:bookmarkEnd w:id="39"/>
          </w:p>
        </w:tc>
        <w:tc>
          <w:tcPr>
            <w:tcW w:w="2167" w:type="dxa"/>
            <w:vAlign w:val="center"/>
          </w:tcPr>
          <w:p w:rsidR="00B04AE3" w:rsidRDefault="00B04AE3">
            <w:pPr>
              <w:jc w:val="center"/>
              <w:rPr>
                <w:sz w:val="21"/>
                <w:szCs w:val="21"/>
              </w:rPr>
            </w:pPr>
            <w:r>
              <w:rPr>
                <w:rFonts w:hint="eastAsia"/>
                <w:sz w:val="21"/>
                <w:szCs w:val="21"/>
              </w:rPr>
              <w:t>钢板高速冲裁</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压铸机</w:t>
            </w:r>
          </w:p>
        </w:tc>
        <w:tc>
          <w:tcPr>
            <w:tcW w:w="980" w:type="dxa"/>
            <w:vAlign w:val="center"/>
          </w:tcPr>
          <w:p w:rsidR="00B04AE3" w:rsidRDefault="00B04AE3">
            <w:pPr>
              <w:jc w:val="center"/>
              <w:rPr>
                <w:sz w:val="21"/>
                <w:szCs w:val="21"/>
              </w:rPr>
            </w:pPr>
            <w:r>
              <w:rPr>
                <w:sz w:val="21"/>
                <w:szCs w:val="21"/>
              </w:rPr>
              <w:t>6</w:t>
            </w:r>
          </w:p>
        </w:tc>
        <w:tc>
          <w:tcPr>
            <w:tcW w:w="1308" w:type="dxa"/>
            <w:vAlign w:val="center"/>
          </w:tcPr>
          <w:p w:rsidR="00B04AE3" w:rsidRDefault="00B04AE3">
            <w:pPr>
              <w:jc w:val="center"/>
              <w:rPr>
                <w:sz w:val="21"/>
                <w:szCs w:val="21"/>
              </w:rPr>
            </w:pPr>
            <w:r>
              <w:rPr>
                <w:rFonts w:hint="eastAsia"/>
                <w:sz w:val="21"/>
                <w:szCs w:val="21"/>
              </w:rPr>
              <w:t>密闭负压</w:t>
            </w:r>
          </w:p>
        </w:tc>
        <w:tc>
          <w:tcPr>
            <w:tcW w:w="1589" w:type="dxa"/>
            <w:vAlign w:val="center"/>
          </w:tcPr>
          <w:p w:rsidR="00B04AE3" w:rsidRDefault="00B04AE3">
            <w:pPr>
              <w:jc w:val="center"/>
              <w:rPr>
                <w:sz w:val="21"/>
                <w:szCs w:val="21"/>
              </w:rPr>
            </w:pPr>
            <w:r>
              <w:rPr>
                <w:rFonts w:hint="eastAsia"/>
                <w:sz w:val="21"/>
                <w:szCs w:val="21"/>
              </w:rPr>
              <w:t>铁芯工场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转子压铸</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定子加压机</w:t>
            </w:r>
          </w:p>
        </w:tc>
        <w:tc>
          <w:tcPr>
            <w:tcW w:w="980" w:type="dxa"/>
            <w:vAlign w:val="center"/>
          </w:tcPr>
          <w:p w:rsidR="00B04AE3" w:rsidRDefault="00B04AE3">
            <w:pPr>
              <w:jc w:val="center"/>
              <w:rPr>
                <w:sz w:val="21"/>
                <w:szCs w:val="21"/>
              </w:rPr>
            </w:pPr>
            <w:r>
              <w:rPr>
                <w:sz w:val="21"/>
                <w:szCs w:val="21"/>
              </w:rPr>
              <w:t>7</w:t>
            </w:r>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铁芯工场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定子加压</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转子加压机</w:t>
            </w:r>
          </w:p>
        </w:tc>
        <w:tc>
          <w:tcPr>
            <w:tcW w:w="980" w:type="dxa"/>
            <w:vAlign w:val="center"/>
          </w:tcPr>
          <w:p w:rsidR="00B04AE3" w:rsidRDefault="00B04AE3">
            <w:pPr>
              <w:jc w:val="center"/>
              <w:rPr>
                <w:sz w:val="21"/>
                <w:szCs w:val="21"/>
              </w:rPr>
            </w:pPr>
            <w:r>
              <w:rPr>
                <w:sz w:val="21"/>
                <w:szCs w:val="21"/>
              </w:rPr>
              <w:t>5</w:t>
            </w:r>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铁芯工场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转子加压</w:t>
            </w:r>
          </w:p>
        </w:tc>
      </w:tr>
      <w:tr w:rsidR="00B04AE3">
        <w:trPr>
          <w:trHeight w:val="604"/>
        </w:trPr>
        <w:tc>
          <w:tcPr>
            <w:tcW w:w="1917" w:type="dxa"/>
            <w:vAlign w:val="center"/>
          </w:tcPr>
          <w:p w:rsidR="00B04AE3" w:rsidRDefault="00B04AE3">
            <w:pPr>
              <w:jc w:val="center"/>
              <w:rPr>
                <w:sz w:val="21"/>
                <w:szCs w:val="21"/>
              </w:rPr>
            </w:pPr>
            <w:r>
              <w:rPr>
                <w:rFonts w:hint="eastAsia"/>
                <w:sz w:val="21"/>
                <w:szCs w:val="21"/>
              </w:rPr>
              <w:t>热处理炉</w:t>
            </w:r>
          </w:p>
        </w:tc>
        <w:tc>
          <w:tcPr>
            <w:tcW w:w="980" w:type="dxa"/>
            <w:vAlign w:val="center"/>
          </w:tcPr>
          <w:p w:rsidR="00B04AE3" w:rsidRDefault="00B04AE3">
            <w:pPr>
              <w:jc w:val="center"/>
              <w:rPr>
                <w:sz w:val="21"/>
                <w:szCs w:val="21"/>
              </w:rPr>
            </w:pPr>
            <w:r>
              <w:rPr>
                <w:sz w:val="21"/>
                <w:szCs w:val="21"/>
              </w:rPr>
              <w:t>5</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铁芯工场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定、转子发</w:t>
            </w:r>
          </w:p>
          <w:p w:rsidR="00B04AE3" w:rsidRDefault="00B04AE3">
            <w:pPr>
              <w:jc w:val="center"/>
              <w:rPr>
                <w:sz w:val="21"/>
                <w:szCs w:val="21"/>
              </w:rPr>
            </w:pPr>
            <w:r>
              <w:rPr>
                <w:rFonts w:hint="eastAsia"/>
                <w:sz w:val="21"/>
                <w:szCs w:val="21"/>
              </w:rPr>
              <w:t>蓝热处理</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车床</w:t>
            </w:r>
          </w:p>
        </w:tc>
        <w:tc>
          <w:tcPr>
            <w:tcW w:w="980" w:type="dxa"/>
            <w:vAlign w:val="center"/>
          </w:tcPr>
          <w:p w:rsidR="00B04AE3" w:rsidRDefault="00B04AE3">
            <w:pPr>
              <w:jc w:val="center"/>
              <w:rPr>
                <w:sz w:val="21"/>
                <w:szCs w:val="21"/>
              </w:rPr>
            </w:pPr>
            <w:r>
              <w:rPr>
                <w:sz w:val="21"/>
                <w:szCs w:val="21"/>
              </w:rPr>
              <w:t>15</w:t>
            </w:r>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铁芯工场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转加线</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加工中心</w:t>
            </w:r>
          </w:p>
        </w:tc>
        <w:tc>
          <w:tcPr>
            <w:tcW w:w="980" w:type="dxa"/>
            <w:vAlign w:val="center"/>
          </w:tcPr>
          <w:p w:rsidR="00B04AE3" w:rsidRDefault="00B04AE3">
            <w:pPr>
              <w:jc w:val="center"/>
              <w:rPr>
                <w:sz w:val="21"/>
                <w:szCs w:val="21"/>
              </w:rPr>
            </w:pPr>
            <w:r>
              <w:rPr>
                <w:sz w:val="21"/>
                <w:szCs w:val="21"/>
              </w:rPr>
              <w:t>4</w:t>
            </w:r>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机加工工场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机械加工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柔性加工机</w:t>
            </w:r>
          </w:p>
        </w:tc>
        <w:tc>
          <w:tcPr>
            <w:tcW w:w="980" w:type="dxa"/>
            <w:vAlign w:val="center"/>
          </w:tcPr>
          <w:p w:rsidR="00B04AE3" w:rsidRDefault="00B04AE3">
            <w:pPr>
              <w:jc w:val="center"/>
              <w:rPr>
                <w:sz w:val="21"/>
                <w:szCs w:val="21"/>
              </w:rPr>
            </w:pPr>
            <w:r>
              <w:rPr>
                <w:sz w:val="21"/>
                <w:szCs w:val="21"/>
              </w:rPr>
              <w:t>6</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机加工工场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机械加工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磨床</w:t>
            </w:r>
          </w:p>
        </w:tc>
        <w:tc>
          <w:tcPr>
            <w:tcW w:w="980" w:type="dxa"/>
            <w:vAlign w:val="center"/>
          </w:tcPr>
          <w:p w:rsidR="00B04AE3" w:rsidRDefault="00B04AE3">
            <w:pPr>
              <w:jc w:val="center"/>
              <w:rPr>
                <w:sz w:val="21"/>
                <w:szCs w:val="21"/>
              </w:rPr>
            </w:pPr>
            <w:r>
              <w:rPr>
                <w:sz w:val="21"/>
                <w:szCs w:val="21"/>
              </w:rPr>
              <w:t>121</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机加工工场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机械加工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孔槽加工机</w:t>
            </w:r>
          </w:p>
        </w:tc>
        <w:tc>
          <w:tcPr>
            <w:tcW w:w="980" w:type="dxa"/>
            <w:vAlign w:val="center"/>
          </w:tcPr>
          <w:p w:rsidR="00B04AE3" w:rsidRDefault="00B04AE3">
            <w:pPr>
              <w:jc w:val="center"/>
              <w:rPr>
                <w:sz w:val="21"/>
                <w:szCs w:val="21"/>
              </w:rPr>
            </w:pPr>
            <w:r>
              <w:rPr>
                <w:sz w:val="21"/>
                <w:szCs w:val="21"/>
              </w:rPr>
              <w:t>28</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机加工工场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机械加工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抛光机</w:t>
            </w:r>
          </w:p>
        </w:tc>
        <w:tc>
          <w:tcPr>
            <w:tcW w:w="980" w:type="dxa"/>
            <w:vAlign w:val="center"/>
          </w:tcPr>
          <w:p w:rsidR="00B04AE3" w:rsidRDefault="00B04AE3">
            <w:pPr>
              <w:jc w:val="center"/>
              <w:rPr>
                <w:sz w:val="21"/>
                <w:szCs w:val="21"/>
              </w:rPr>
            </w:pPr>
            <w:r>
              <w:rPr>
                <w:sz w:val="21"/>
                <w:szCs w:val="21"/>
              </w:rPr>
              <w:t>20</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机加工工场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机械加工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清洗机</w:t>
            </w:r>
          </w:p>
        </w:tc>
        <w:tc>
          <w:tcPr>
            <w:tcW w:w="980" w:type="dxa"/>
            <w:vAlign w:val="center"/>
          </w:tcPr>
          <w:p w:rsidR="00B04AE3" w:rsidRDefault="00B04AE3">
            <w:pPr>
              <w:jc w:val="center"/>
              <w:rPr>
                <w:sz w:val="21"/>
                <w:szCs w:val="21"/>
              </w:rPr>
            </w:pPr>
            <w:bookmarkStart w:id="40" w:name="_Toc384756889"/>
            <w:r>
              <w:rPr>
                <w:sz w:val="21"/>
                <w:szCs w:val="21"/>
              </w:rPr>
              <w:t>1</w:t>
            </w:r>
            <w:bookmarkEnd w:id="40"/>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机加工工场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综合清洗</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锰处理机</w:t>
            </w:r>
          </w:p>
        </w:tc>
        <w:tc>
          <w:tcPr>
            <w:tcW w:w="980" w:type="dxa"/>
            <w:vAlign w:val="center"/>
          </w:tcPr>
          <w:p w:rsidR="00B04AE3" w:rsidRDefault="00B04AE3">
            <w:pPr>
              <w:jc w:val="center"/>
              <w:rPr>
                <w:sz w:val="21"/>
                <w:szCs w:val="21"/>
              </w:rPr>
            </w:pPr>
            <w:bookmarkStart w:id="41" w:name="_Toc384756896"/>
            <w:r>
              <w:rPr>
                <w:sz w:val="21"/>
                <w:szCs w:val="21"/>
              </w:rPr>
              <w:t>1</w:t>
            </w:r>
            <w:bookmarkEnd w:id="41"/>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机加工工场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锰处理</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柔性加工机</w:t>
            </w:r>
          </w:p>
        </w:tc>
        <w:tc>
          <w:tcPr>
            <w:tcW w:w="980" w:type="dxa"/>
            <w:vAlign w:val="center"/>
          </w:tcPr>
          <w:p w:rsidR="00B04AE3" w:rsidRDefault="00B04AE3">
            <w:pPr>
              <w:jc w:val="center"/>
              <w:rPr>
                <w:sz w:val="21"/>
                <w:szCs w:val="21"/>
              </w:rPr>
            </w:pPr>
            <w:r>
              <w:rPr>
                <w:sz w:val="21"/>
                <w:szCs w:val="21"/>
              </w:rPr>
              <w:t>7</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机加工工场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sz w:val="21"/>
                <w:szCs w:val="21"/>
              </w:rPr>
              <w:t>TE</w:t>
            </w:r>
            <w:r>
              <w:rPr>
                <w:rFonts w:hint="eastAsia"/>
                <w:sz w:val="21"/>
                <w:szCs w:val="21"/>
              </w:rPr>
              <w:t>精加工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电阻焊接机</w:t>
            </w:r>
          </w:p>
        </w:tc>
        <w:tc>
          <w:tcPr>
            <w:tcW w:w="980" w:type="dxa"/>
            <w:vAlign w:val="center"/>
          </w:tcPr>
          <w:p w:rsidR="00B04AE3" w:rsidRDefault="00B04AE3">
            <w:pPr>
              <w:jc w:val="center"/>
              <w:rPr>
                <w:sz w:val="21"/>
                <w:szCs w:val="21"/>
              </w:rPr>
            </w:pPr>
            <w:r>
              <w:rPr>
                <w:sz w:val="21"/>
                <w:szCs w:val="21"/>
              </w:rPr>
              <w:t>21</w:t>
            </w:r>
          </w:p>
        </w:tc>
        <w:tc>
          <w:tcPr>
            <w:tcW w:w="1308" w:type="dxa"/>
            <w:vAlign w:val="center"/>
          </w:tcPr>
          <w:p w:rsidR="00B04AE3" w:rsidRDefault="00B04AE3">
            <w:pPr>
              <w:jc w:val="center"/>
              <w:rPr>
                <w:sz w:val="21"/>
                <w:szCs w:val="21"/>
              </w:rPr>
            </w:pPr>
            <w:r>
              <w:rPr>
                <w:rFonts w:hint="eastAsia"/>
                <w:sz w:val="21"/>
                <w:szCs w:val="21"/>
              </w:rPr>
              <w:t>密闭负压</w:t>
            </w:r>
          </w:p>
        </w:tc>
        <w:tc>
          <w:tcPr>
            <w:tcW w:w="1589" w:type="dxa"/>
            <w:vAlign w:val="center"/>
          </w:tcPr>
          <w:p w:rsidR="00B04AE3" w:rsidRDefault="00B04AE3">
            <w:pPr>
              <w:jc w:val="center"/>
              <w:rPr>
                <w:sz w:val="21"/>
                <w:szCs w:val="21"/>
              </w:rPr>
            </w:pPr>
            <w:r>
              <w:rPr>
                <w:rFonts w:hint="eastAsia"/>
                <w:sz w:val="21"/>
                <w:szCs w:val="21"/>
              </w:rPr>
              <w:t>钣金工场</w:t>
            </w:r>
          </w:p>
        </w:tc>
        <w:tc>
          <w:tcPr>
            <w:tcW w:w="1259" w:type="dxa"/>
            <w:vAlign w:val="center"/>
          </w:tcPr>
          <w:p w:rsidR="00B04AE3" w:rsidRDefault="00B04AE3">
            <w:pPr>
              <w:jc w:val="center"/>
              <w:rPr>
                <w:sz w:val="21"/>
                <w:szCs w:val="21"/>
              </w:rPr>
            </w:pPr>
            <w:bookmarkStart w:id="42" w:name="_Toc384756913"/>
            <w:r>
              <w:rPr>
                <w:rFonts w:hint="eastAsia"/>
                <w:sz w:val="21"/>
                <w:szCs w:val="21"/>
              </w:rPr>
              <w:t>一层</w:t>
            </w:r>
            <w:bookmarkEnd w:id="42"/>
          </w:p>
        </w:tc>
        <w:tc>
          <w:tcPr>
            <w:tcW w:w="2167" w:type="dxa"/>
            <w:vAlign w:val="center"/>
          </w:tcPr>
          <w:p w:rsidR="00B04AE3" w:rsidRDefault="00B04AE3">
            <w:pPr>
              <w:jc w:val="center"/>
              <w:rPr>
                <w:sz w:val="21"/>
                <w:szCs w:val="21"/>
              </w:rPr>
            </w:pPr>
            <w:r>
              <w:rPr>
                <w:rFonts w:hint="eastAsia"/>
                <w:sz w:val="21"/>
                <w:szCs w:val="21"/>
              </w:rPr>
              <w:t>焊接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火焰焊接机</w:t>
            </w:r>
          </w:p>
        </w:tc>
        <w:tc>
          <w:tcPr>
            <w:tcW w:w="980" w:type="dxa"/>
            <w:vAlign w:val="center"/>
          </w:tcPr>
          <w:p w:rsidR="00B04AE3" w:rsidRDefault="00B04AE3">
            <w:pPr>
              <w:jc w:val="center"/>
              <w:rPr>
                <w:sz w:val="21"/>
                <w:szCs w:val="21"/>
              </w:rPr>
            </w:pPr>
            <w:r>
              <w:rPr>
                <w:sz w:val="21"/>
                <w:szCs w:val="21"/>
              </w:rPr>
              <w:t>4</w:t>
            </w:r>
          </w:p>
        </w:tc>
        <w:tc>
          <w:tcPr>
            <w:tcW w:w="1308" w:type="dxa"/>
            <w:vAlign w:val="center"/>
          </w:tcPr>
          <w:p w:rsidR="00B04AE3" w:rsidRDefault="00B04AE3">
            <w:pPr>
              <w:jc w:val="center"/>
              <w:rPr>
                <w:sz w:val="21"/>
                <w:szCs w:val="21"/>
              </w:rPr>
            </w:pPr>
            <w:r>
              <w:rPr>
                <w:rFonts w:hint="eastAsia"/>
                <w:sz w:val="21"/>
                <w:szCs w:val="21"/>
              </w:rPr>
              <w:t>密闭负压</w:t>
            </w:r>
          </w:p>
        </w:tc>
        <w:tc>
          <w:tcPr>
            <w:tcW w:w="1589" w:type="dxa"/>
            <w:vAlign w:val="center"/>
          </w:tcPr>
          <w:p w:rsidR="00B04AE3" w:rsidRDefault="00B04AE3">
            <w:pPr>
              <w:jc w:val="center"/>
              <w:rPr>
                <w:sz w:val="21"/>
                <w:szCs w:val="21"/>
              </w:rPr>
            </w:pPr>
            <w:r>
              <w:rPr>
                <w:rFonts w:hint="eastAsia"/>
                <w:sz w:val="21"/>
                <w:szCs w:val="21"/>
              </w:rPr>
              <w:t>钣金工场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焊接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精扩管机</w:t>
            </w:r>
          </w:p>
        </w:tc>
        <w:tc>
          <w:tcPr>
            <w:tcW w:w="980" w:type="dxa"/>
            <w:vAlign w:val="center"/>
          </w:tcPr>
          <w:p w:rsidR="00B04AE3" w:rsidRDefault="00B04AE3">
            <w:pPr>
              <w:jc w:val="center"/>
              <w:rPr>
                <w:sz w:val="21"/>
                <w:szCs w:val="21"/>
              </w:rPr>
            </w:pPr>
            <w:r>
              <w:rPr>
                <w:sz w:val="21"/>
                <w:szCs w:val="21"/>
              </w:rPr>
              <w:t>10</w:t>
            </w:r>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钣金工场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冲孔</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卷板缩管机</w:t>
            </w:r>
          </w:p>
        </w:tc>
        <w:tc>
          <w:tcPr>
            <w:tcW w:w="980" w:type="dxa"/>
            <w:vAlign w:val="center"/>
          </w:tcPr>
          <w:p w:rsidR="00B04AE3" w:rsidRDefault="00B04AE3">
            <w:pPr>
              <w:jc w:val="center"/>
              <w:rPr>
                <w:sz w:val="21"/>
                <w:szCs w:val="21"/>
              </w:rPr>
            </w:pPr>
            <w:r>
              <w:rPr>
                <w:sz w:val="21"/>
                <w:szCs w:val="21"/>
              </w:rPr>
              <w:t>4</w:t>
            </w:r>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钣金工场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冲孔</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等离子焊接机</w:t>
            </w:r>
          </w:p>
        </w:tc>
        <w:tc>
          <w:tcPr>
            <w:tcW w:w="980" w:type="dxa"/>
            <w:vAlign w:val="center"/>
          </w:tcPr>
          <w:p w:rsidR="00B04AE3" w:rsidRDefault="00B04AE3">
            <w:pPr>
              <w:jc w:val="center"/>
              <w:rPr>
                <w:sz w:val="21"/>
                <w:szCs w:val="21"/>
              </w:rPr>
            </w:pPr>
            <w:r>
              <w:rPr>
                <w:sz w:val="21"/>
                <w:szCs w:val="21"/>
              </w:rPr>
              <w:t>6</w:t>
            </w:r>
          </w:p>
        </w:tc>
        <w:tc>
          <w:tcPr>
            <w:tcW w:w="1308" w:type="dxa"/>
            <w:vAlign w:val="center"/>
          </w:tcPr>
          <w:p w:rsidR="00B04AE3" w:rsidRDefault="00B04AE3">
            <w:pPr>
              <w:jc w:val="center"/>
              <w:rPr>
                <w:sz w:val="21"/>
                <w:szCs w:val="21"/>
              </w:rPr>
            </w:pPr>
            <w:r>
              <w:rPr>
                <w:rFonts w:hint="eastAsia"/>
                <w:sz w:val="21"/>
                <w:szCs w:val="21"/>
              </w:rPr>
              <w:t>密闭负压</w:t>
            </w:r>
          </w:p>
        </w:tc>
        <w:tc>
          <w:tcPr>
            <w:tcW w:w="1589" w:type="dxa"/>
            <w:vAlign w:val="center"/>
          </w:tcPr>
          <w:p w:rsidR="00B04AE3" w:rsidRDefault="00B04AE3">
            <w:pPr>
              <w:jc w:val="center"/>
              <w:rPr>
                <w:sz w:val="21"/>
                <w:szCs w:val="21"/>
              </w:rPr>
            </w:pPr>
            <w:r>
              <w:rPr>
                <w:rFonts w:hint="eastAsia"/>
                <w:sz w:val="21"/>
                <w:szCs w:val="21"/>
              </w:rPr>
              <w:t>钣金工场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焊接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清洗机</w:t>
            </w:r>
          </w:p>
        </w:tc>
        <w:tc>
          <w:tcPr>
            <w:tcW w:w="980" w:type="dxa"/>
            <w:vAlign w:val="center"/>
          </w:tcPr>
          <w:p w:rsidR="00B04AE3" w:rsidRDefault="00B04AE3">
            <w:pPr>
              <w:jc w:val="center"/>
              <w:rPr>
                <w:sz w:val="21"/>
                <w:szCs w:val="21"/>
              </w:rPr>
            </w:pPr>
            <w:r>
              <w:rPr>
                <w:sz w:val="21"/>
                <w:szCs w:val="21"/>
              </w:rPr>
              <w:t>8</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钣金工场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清洗</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烟粉尘过滤器</w:t>
            </w:r>
          </w:p>
        </w:tc>
        <w:tc>
          <w:tcPr>
            <w:tcW w:w="980" w:type="dxa"/>
            <w:vAlign w:val="center"/>
          </w:tcPr>
          <w:p w:rsidR="00B04AE3" w:rsidRDefault="00B04AE3">
            <w:pPr>
              <w:jc w:val="center"/>
              <w:rPr>
                <w:sz w:val="21"/>
                <w:szCs w:val="21"/>
              </w:rPr>
            </w:pPr>
            <w:r>
              <w:rPr>
                <w:sz w:val="21"/>
                <w:szCs w:val="21"/>
              </w:rPr>
              <w:t>5</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钣金工场</w:t>
            </w:r>
          </w:p>
        </w:tc>
        <w:tc>
          <w:tcPr>
            <w:tcW w:w="1259" w:type="dxa"/>
            <w:vAlign w:val="center"/>
          </w:tcPr>
          <w:p w:rsidR="00B04AE3" w:rsidRDefault="00B04AE3">
            <w:pPr>
              <w:jc w:val="center"/>
              <w:rPr>
                <w:sz w:val="21"/>
                <w:szCs w:val="21"/>
              </w:rPr>
            </w:pPr>
            <w:r>
              <w:rPr>
                <w:rFonts w:hint="eastAsia"/>
                <w:sz w:val="21"/>
                <w:szCs w:val="21"/>
              </w:rPr>
              <w:t>一层</w:t>
            </w:r>
          </w:p>
        </w:tc>
        <w:tc>
          <w:tcPr>
            <w:tcW w:w="2167" w:type="dxa"/>
            <w:vAlign w:val="center"/>
          </w:tcPr>
          <w:p w:rsidR="00B04AE3" w:rsidRDefault="00B04AE3">
            <w:pPr>
              <w:jc w:val="center"/>
              <w:rPr>
                <w:sz w:val="21"/>
                <w:szCs w:val="21"/>
              </w:rPr>
            </w:pPr>
            <w:r>
              <w:rPr>
                <w:rFonts w:hint="eastAsia"/>
                <w:sz w:val="21"/>
                <w:szCs w:val="21"/>
              </w:rPr>
              <w:t>除尘</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绕线机</w:t>
            </w:r>
          </w:p>
        </w:tc>
        <w:tc>
          <w:tcPr>
            <w:tcW w:w="980" w:type="dxa"/>
            <w:vAlign w:val="center"/>
          </w:tcPr>
          <w:p w:rsidR="00B04AE3" w:rsidRDefault="00B04AE3">
            <w:pPr>
              <w:jc w:val="center"/>
              <w:rPr>
                <w:sz w:val="21"/>
                <w:szCs w:val="21"/>
              </w:rPr>
            </w:pPr>
            <w:bookmarkStart w:id="43" w:name="_Toc384756972"/>
            <w:r>
              <w:rPr>
                <w:sz w:val="21"/>
                <w:szCs w:val="21"/>
              </w:rPr>
              <w:t>21</w:t>
            </w:r>
            <w:bookmarkEnd w:id="43"/>
          </w:p>
        </w:tc>
        <w:tc>
          <w:tcPr>
            <w:tcW w:w="1308" w:type="dxa"/>
            <w:vAlign w:val="center"/>
          </w:tcPr>
          <w:p w:rsidR="00B04AE3" w:rsidRDefault="00B04AE3">
            <w:pPr>
              <w:jc w:val="center"/>
              <w:rPr>
                <w:sz w:val="21"/>
                <w:szCs w:val="21"/>
              </w:rPr>
            </w:pPr>
            <w:bookmarkStart w:id="44" w:name="_Toc384756973"/>
            <w:r>
              <w:rPr>
                <w:rFonts w:hint="eastAsia"/>
                <w:sz w:val="21"/>
                <w:szCs w:val="21"/>
              </w:rPr>
              <w:t>密闭</w:t>
            </w:r>
            <w:bookmarkEnd w:id="44"/>
          </w:p>
        </w:tc>
        <w:tc>
          <w:tcPr>
            <w:tcW w:w="1589" w:type="dxa"/>
            <w:vAlign w:val="center"/>
          </w:tcPr>
          <w:p w:rsidR="00B04AE3" w:rsidRDefault="00B04AE3">
            <w:pPr>
              <w:jc w:val="center"/>
              <w:rPr>
                <w:sz w:val="21"/>
                <w:szCs w:val="21"/>
              </w:rPr>
            </w:pPr>
            <w:r>
              <w:rPr>
                <w:rFonts w:hint="eastAsia"/>
                <w:sz w:val="21"/>
                <w:szCs w:val="21"/>
              </w:rPr>
              <w:t>电机工场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r>
              <w:rPr>
                <w:rFonts w:hint="eastAsia"/>
                <w:sz w:val="21"/>
                <w:szCs w:val="21"/>
              </w:rPr>
              <w:t>定子铁芯绕线</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装配机</w:t>
            </w:r>
          </w:p>
        </w:tc>
        <w:tc>
          <w:tcPr>
            <w:tcW w:w="980" w:type="dxa"/>
            <w:vAlign w:val="center"/>
          </w:tcPr>
          <w:p w:rsidR="00B04AE3" w:rsidRDefault="00B04AE3">
            <w:pPr>
              <w:jc w:val="center"/>
              <w:rPr>
                <w:sz w:val="21"/>
                <w:szCs w:val="21"/>
              </w:rPr>
            </w:pPr>
            <w:bookmarkStart w:id="45" w:name="_Toc384756979"/>
            <w:r>
              <w:rPr>
                <w:sz w:val="21"/>
                <w:szCs w:val="21"/>
              </w:rPr>
              <w:t>11</w:t>
            </w:r>
            <w:bookmarkEnd w:id="45"/>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装配工场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r>
              <w:rPr>
                <w:rFonts w:hint="eastAsia"/>
                <w:sz w:val="21"/>
                <w:szCs w:val="21"/>
              </w:rPr>
              <w:t>装配</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机器人</w:t>
            </w:r>
          </w:p>
        </w:tc>
        <w:tc>
          <w:tcPr>
            <w:tcW w:w="980" w:type="dxa"/>
            <w:vAlign w:val="center"/>
          </w:tcPr>
          <w:p w:rsidR="00B04AE3" w:rsidRDefault="00B04AE3">
            <w:pPr>
              <w:jc w:val="center"/>
              <w:rPr>
                <w:sz w:val="21"/>
                <w:szCs w:val="21"/>
              </w:rPr>
            </w:pPr>
            <w:r>
              <w:rPr>
                <w:sz w:val="21"/>
                <w:szCs w:val="21"/>
              </w:rPr>
              <w:t>7</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装配工场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r>
              <w:rPr>
                <w:rFonts w:hint="eastAsia"/>
                <w:sz w:val="21"/>
                <w:szCs w:val="21"/>
              </w:rPr>
              <w:t>装配</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焊接机</w:t>
            </w:r>
          </w:p>
        </w:tc>
        <w:tc>
          <w:tcPr>
            <w:tcW w:w="980" w:type="dxa"/>
            <w:vAlign w:val="center"/>
          </w:tcPr>
          <w:p w:rsidR="00B04AE3" w:rsidRDefault="00B04AE3">
            <w:pPr>
              <w:jc w:val="center"/>
              <w:rPr>
                <w:sz w:val="21"/>
                <w:szCs w:val="21"/>
              </w:rPr>
            </w:pPr>
            <w:r>
              <w:rPr>
                <w:sz w:val="21"/>
                <w:szCs w:val="21"/>
              </w:rPr>
              <w:t>32</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装配工场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r>
              <w:rPr>
                <w:rFonts w:hint="eastAsia"/>
                <w:sz w:val="21"/>
                <w:szCs w:val="21"/>
              </w:rPr>
              <w:t>总装焊接</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商用试验机</w:t>
            </w:r>
          </w:p>
        </w:tc>
        <w:tc>
          <w:tcPr>
            <w:tcW w:w="980" w:type="dxa"/>
            <w:vAlign w:val="center"/>
          </w:tcPr>
          <w:p w:rsidR="00B04AE3" w:rsidRDefault="00B04AE3">
            <w:pPr>
              <w:jc w:val="center"/>
              <w:rPr>
                <w:sz w:val="21"/>
                <w:szCs w:val="21"/>
              </w:rPr>
            </w:pPr>
            <w:r>
              <w:rPr>
                <w:sz w:val="21"/>
                <w:szCs w:val="21"/>
              </w:rPr>
              <w:t>4</w:t>
            </w:r>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装配工场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p>
        </w:tc>
      </w:tr>
      <w:tr w:rsidR="00B04AE3">
        <w:trPr>
          <w:trHeight w:val="388"/>
        </w:trPr>
        <w:tc>
          <w:tcPr>
            <w:tcW w:w="1917" w:type="dxa"/>
            <w:vAlign w:val="center"/>
          </w:tcPr>
          <w:p w:rsidR="00B04AE3" w:rsidRDefault="00B04AE3">
            <w:pPr>
              <w:jc w:val="center"/>
              <w:rPr>
                <w:sz w:val="21"/>
                <w:szCs w:val="21"/>
              </w:rPr>
            </w:pPr>
            <w:r>
              <w:rPr>
                <w:rFonts w:hint="eastAsia"/>
                <w:sz w:val="21"/>
                <w:szCs w:val="21"/>
              </w:rPr>
              <w:t>热套机</w:t>
            </w:r>
          </w:p>
        </w:tc>
        <w:tc>
          <w:tcPr>
            <w:tcW w:w="980" w:type="dxa"/>
            <w:vAlign w:val="center"/>
          </w:tcPr>
          <w:p w:rsidR="00B04AE3" w:rsidRDefault="00B04AE3">
            <w:pPr>
              <w:jc w:val="center"/>
              <w:rPr>
                <w:sz w:val="21"/>
                <w:szCs w:val="21"/>
              </w:rPr>
            </w:pPr>
            <w:r>
              <w:rPr>
                <w:sz w:val="21"/>
                <w:szCs w:val="21"/>
              </w:rPr>
              <w:t>7</w:t>
            </w:r>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装配工场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r>
              <w:rPr>
                <w:rFonts w:hint="eastAsia"/>
                <w:sz w:val="21"/>
                <w:szCs w:val="21"/>
              </w:rPr>
              <w:t>转子热套</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翻身移栽机</w:t>
            </w:r>
          </w:p>
        </w:tc>
        <w:tc>
          <w:tcPr>
            <w:tcW w:w="980" w:type="dxa"/>
            <w:vAlign w:val="center"/>
          </w:tcPr>
          <w:p w:rsidR="00B04AE3" w:rsidRDefault="00B04AE3">
            <w:pPr>
              <w:jc w:val="center"/>
              <w:rPr>
                <w:sz w:val="21"/>
                <w:szCs w:val="21"/>
              </w:rPr>
            </w:pPr>
            <w:r>
              <w:rPr>
                <w:sz w:val="21"/>
                <w:szCs w:val="21"/>
              </w:rPr>
              <w:t>6</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装配工场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p>
        </w:tc>
      </w:tr>
      <w:tr w:rsidR="00B04AE3">
        <w:trPr>
          <w:trHeight w:val="388"/>
        </w:trPr>
        <w:tc>
          <w:tcPr>
            <w:tcW w:w="1917" w:type="dxa"/>
            <w:vAlign w:val="center"/>
          </w:tcPr>
          <w:p w:rsidR="00B04AE3" w:rsidRDefault="00B04AE3">
            <w:pPr>
              <w:jc w:val="center"/>
              <w:rPr>
                <w:sz w:val="21"/>
                <w:szCs w:val="21"/>
              </w:rPr>
            </w:pPr>
            <w:r>
              <w:rPr>
                <w:rFonts w:hint="eastAsia"/>
                <w:sz w:val="21"/>
                <w:szCs w:val="21"/>
              </w:rPr>
              <w:t>电泳涂装</w:t>
            </w:r>
          </w:p>
        </w:tc>
        <w:tc>
          <w:tcPr>
            <w:tcW w:w="980" w:type="dxa"/>
            <w:vAlign w:val="center"/>
          </w:tcPr>
          <w:p w:rsidR="00B04AE3" w:rsidRDefault="00B04AE3">
            <w:pPr>
              <w:jc w:val="center"/>
              <w:rPr>
                <w:sz w:val="21"/>
                <w:szCs w:val="21"/>
              </w:rPr>
            </w:pPr>
            <w:bookmarkStart w:id="46" w:name="_Toc384757028"/>
            <w:r>
              <w:rPr>
                <w:sz w:val="21"/>
                <w:szCs w:val="21"/>
              </w:rPr>
              <w:t>1</w:t>
            </w:r>
            <w:bookmarkEnd w:id="46"/>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成品工场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r>
              <w:rPr>
                <w:rFonts w:hint="eastAsia"/>
                <w:sz w:val="21"/>
                <w:szCs w:val="21"/>
              </w:rPr>
              <w:t>电泳涂装</w:t>
            </w:r>
          </w:p>
        </w:tc>
      </w:tr>
      <w:tr w:rsidR="00B04AE3">
        <w:trPr>
          <w:trHeight w:val="388"/>
        </w:trPr>
        <w:tc>
          <w:tcPr>
            <w:tcW w:w="1917" w:type="dxa"/>
            <w:vAlign w:val="center"/>
          </w:tcPr>
          <w:p w:rsidR="00B04AE3" w:rsidRDefault="00B04AE3">
            <w:pPr>
              <w:jc w:val="center"/>
              <w:rPr>
                <w:sz w:val="21"/>
                <w:szCs w:val="21"/>
              </w:rPr>
            </w:pPr>
            <w:r>
              <w:rPr>
                <w:rFonts w:hint="eastAsia"/>
                <w:sz w:val="21"/>
                <w:szCs w:val="21"/>
              </w:rPr>
              <w:t>出荷试验</w:t>
            </w:r>
          </w:p>
        </w:tc>
        <w:tc>
          <w:tcPr>
            <w:tcW w:w="980" w:type="dxa"/>
            <w:vAlign w:val="center"/>
          </w:tcPr>
          <w:p w:rsidR="00B04AE3" w:rsidRDefault="00B04AE3">
            <w:pPr>
              <w:jc w:val="center"/>
              <w:rPr>
                <w:sz w:val="21"/>
                <w:szCs w:val="21"/>
              </w:rPr>
            </w:pPr>
            <w:r>
              <w:rPr>
                <w:sz w:val="21"/>
                <w:szCs w:val="21"/>
              </w:rPr>
              <w:t>4</w:t>
            </w:r>
          </w:p>
        </w:tc>
        <w:tc>
          <w:tcPr>
            <w:tcW w:w="1308" w:type="dxa"/>
            <w:vAlign w:val="center"/>
          </w:tcPr>
          <w:p w:rsidR="00B04AE3" w:rsidRDefault="00B04AE3">
            <w:pPr>
              <w:jc w:val="center"/>
              <w:rPr>
                <w:sz w:val="21"/>
                <w:szCs w:val="21"/>
              </w:rPr>
            </w:pPr>
            <w:r>
              <w:rPr>
                <w:rFonts w:hint="eastAsia"/>
                <w:sz w:val="21"/>
                <w:szCs w:val="21"/>
              </w:rPr>
              <w:t>密闭</w:t>
            </w:r>
          </w:p>
        </w:tc>
        <w:tc>
          <w:tcPr>
            <w:tcW w:w="1589" w:type="dxa"/>
            <w:vAlign w:val="center"/>
          </w:tcPr>
          <w:p w:rsidR="00B04AE3" w:rsidRDefault="00B04AE3">
            <w:pPr>
              <w:jc w:val="center"/>
              <w:rPr>
                <w:sz w:val="21"/>
                <w:szCs w:val="21"/>
              </w:rPr>
            </w:pPr>
            <w:r>
              <w:rPr>
                <w:rFonts w:hint="eastAsia"/>
                <w:sz w:val="21"/>
                <w:szCs w:val="21"/>
              </w:rPr>
              <w:t>成品工场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r>
              <w:rPr>
                <w:rFonts w:hint="eastAsia"/>
                <w:sz w:val="21"/>
                <w:szCs w:val="21"/>
              </w:rPr>
              <w:t>出荷</w:t>
            </w:r>
          </w:p>
        </w:tc>
      </w:tr>
      <w:tr w:rsidR="00B04AE3">
        <w:trPr>
          <w:trHeight w:val="397"/>
        </w:trPr>
        <w:tc>
          <w:tcPr>
            <w:tcW w:w="1917" w:type="dxa"/>
            <w:vAlign w:val="center"/>
          </w:tcPr>
          <w:p w:rsidR="00B04AE3" w:rsidRDefault="00B04AE3">
            <w:pPr>
              <w:jc w:val="center"/>
              <w:rPr>
                <w:sz w:val="21"/>
                <w:szCs w:val="21"/>
              </w:rPr>
            </w:pPr>
            <w:r>
              <w:rPr>
                <w:rFonts w:hint="eastAsia"/>
                <w:sz w:val="21"/>
                <w:szCs w:val="21"/>
              </w:rPr>
              <w:t>注油机</w:t>
            </w:r>
          </w:p>
        </w:tc>
        <w:tc>
          <w:tcPr>
            <w:tcW w:w="980" w:type="dxa"/>
            <w:vAlign w:val="center"/>
          </w:tcPr>
          <w:p w:rsidR="00B04AE3" w:rsidRDefault="00B04AE3">
            <w:pPr>
              <w:jc w:val="center"/>
              <w:rPr>
                <w:sz w:val="21"/>
                <w:szCs w:val="21"/>
              </w:rPr>
            </w:pPr>
            <w:bookmarkStart w:id="47" w:name="_Toc384757042"/>
            <w:r>
              <w:rPr>
                <w:sz w:val="21"/>
                <w:szCs w:val="21"/>
              </w:rPr>
              <w:t>4</w:t>
            </w:r>
            <w:bookmarkEnd w:id="47"/>
          </w:p>
        </w:tc>
        <w:tc>
          <w:tcPr>
            <w:tcW w:w="1308" w:type="dxa"/>
            <w:vAlign w:val="center"/>
          </w:tcPr>
          <w:p w:rsidR="00B04AE3" w:rsidRDefault="00B04AE3">
            <w:pPr>
              <w:jc w:val="center"/>
              <w:rPr>
                <w:sz w:val="21"/>
                <w:szCs w:val="21"/>
              </w:rPr>
            </w:pPr>
            <w:r>
              <w:rPr>
                <w:rFonts w:hint="eastAsia"/>
                <w:sz w:val="21"/>
                <w:szCs w:val="21"/>
              </w:rPr>
              <w:t>半密闭</w:t>
            </w:r>
          </w:p>
        </w:tc>
        <w:tc>
          <w:tcPr>
            <w:tcW w:w="1589" w:type="dxa"/>
            <w:vAlign w:val="center"/>
          </w:tcPr>
          <w:p w:rsidR="00B04AE3" w:rsidRDefault="00B04AE3">
            <w:pPr>
              <w:jc w:val="center"/>
              <w:rPr>
                <w:sz w:val="21"/>
                <w:szCs w:val="21"/>
              </w:rPr>
            </w:pPr>
            <w:r>
              <w:rPr>
                <w:rFonts w:hint="eastAsia"/>
                <w:sz w:val="21"/>
                <w:szCs w:val="21"/>
              </w:rPr>
              <w:t>成品工场</w:t>
            </w:r>
          </w:p>
        </w:tc>
        <w:tc>
          <w:tcPr>
            <w:tcW w:w="1259" w:type="dxa"/>
            <w:vAlign w:val="center"/>
          </w:tcPr>
          <w:p w:rsidR="00B04AE3" w:rsidRDefault="00B04AE3">
            <w:pPr>
              <w:jc w:val="center"/>
              <w:rPr>
                <w:sz w:val="21"/>
                <w:szCs w:val="21"/>
              </w:rPr>
            </w:pPr>
            <w:r>
              <w:rPr>
                <w:rFonts w:hint="eastAsia"/>
                <w:sz w:val="21"/>
                <w:szCs w:val="21"/>
              </w:rPr>
              <w:t>二层</w:t>
            </w:r>
          </w:p>
        </w:tc>
        <w:tc>
          <w:tcPr>
            <w:tcW w:w="2167" w:type="dxa"/>
            <w:vAlign w:val="center"/>
          </w:tcPr>
          <w:p w:rsidR="00B04AE3" w:rsidRDefault="00B04AE3">
            <w:pPr>
              <w:jc w:val="center"/>
              <w:rPr>
                <w:sz w:val="21"/>
                <w:szCs w:val="21"/>
              </w:rPr>
            </w:pPr>
            <w:r>
              <w:rPr>
                <w:rFonts w:hint="eastAsia"/>
                <w:sz w:val="21"/>
                <w:szCs w:val="21"/>
              </w:rPr>
              <w:t>出荷</w:t>
            </w:r>
          </w:p>
        </w:tc>
      </w:tr>
    </w:tbl>
    <w:p w:rsidR="00B04AE3" w:rsidRDefault="00B04AE3">
      <w:pPr>
        <w:pStyle w:val="BodyText"/>
        <w:spacing w:before="6"/>
        <w:rPr>
          <w:b/>
          <w:sz w:val="7"/>
        </w:rPr>
      </w:pPr>
    </w:p>
    <w:p w:rsidR="00B04AE3" w:rsidRDefault="00B04AE3">
      <w:pPr>
        <w:pStyle w:val="ListParagraph"/>
        <w:numPr>
          <w:ilvl w:val="1"/>
          <w:numId w:val="18"/>
        </w:numPr>
        <w:tabs>
          <w:tab w:val="left" w:pos="861"/>
        </w:tabs>
        <w:spacing w:before="3"/>
        <w:ind w:left="860" w:hanging="523"/>
        <w:rPr>
          <w:b/>
          <w:sz w:val="30"/>
        </w:rPr>
      </w:pPr>
      <w:bookmarkStart w:id="48" w:name="2.2_公司产品生产工艺概述"/>
      <w:bookmarkEnd w:id="48"/>
      <w:r>
        <w:rPr>
          <w:rFonts w:hint="eastAsia"/>
          <w:b/>
          <w:sz w:val="30"/>
        </w:rPr>
        <w:t>公司产品生产工艺概述</w:t>
      </w:r>
    </w:p>
    <w:p w:rsidR="00B04AE3" w:rsidRDefault="00B04AE3">
      <w:pPr>
        <w:pStyle w:val="BodyText"/>
        <w:spacing w:before="197" w:line="364" w:lineRule="auto"/>
        <w:ind w:left="337" w:right="335" w:firstLine="480"/>
        <w:jc w:val="both"/>
        <w:rPr>
          <w:spacing w:val="-6"/>
          <w:szCs w:val="22"/>
        </w:rPr>
      </w:pPr>
      <w:r>
        <w:rPr>
          <w:rFonts w:hint="eastAsia"/>
          <w:spacing w:val="-6"/>
          <w:szCs w:val="22"/>
        </w:rPr>
        <w:t>项目分三期进行，一期主要进行空调压缩机的装配，主要生产过程为将外协厂提供的主要构件及本厂生产的部分加工件进行装配，然后进行涂装、干燥、测试并注油，最后得到成品。二期新增一期压缩机配套的机械加工、电机、铁芯生产线，生产空调压缩机的各种构件，主要生产工艺由铸造加工、机械切削加工、冲压焊接加工、电机加工、装配加工及测试这几部分组成。其生产过程为铸件、粉末冶金件进行机加工；钢板卷材冲压成形并进行清洗焊接；硅钢板、漆包线和部分外购件进行冲片热处理绕线组装；最后将各部分已进行初步加工的组件进行压缩机装配；然后涂装干燥；最后进行测试注油，得到成品。三期扩展至</w:t>
      </w:r>
      <w:r>
        <w:rPr>
          <w:spacing w:val="-6"/>
          <w:szCs w:val="22"/>
        </w:rPr>
        <w:t>600</w:t>
      </w:r>
      <w:r>
        <w:rPr>
          <w:rFonts w:hint="eastAsia"/>
          <w:spacing w:val="-6"/>
          <w:szCs w:val="22"/>
        </w:rPr>
        <w:t>万台空调压缩机的生产能力，增加</w:t>
      </w:r>
      <w:r>
        <w:rPr>
          <w:spacing w:val="-6"/>
          <w:szCs w:val="22"/>
        </w:rPr>
        <w:t>BSA</w:t>
      </w:r>
      <w:r>
        <w:rPr>
          <w:rFonts w:hint="eastAsia"/>
          <w:spacing w:val="-6"/>
          <w:szCs w:val="22"/>
        </w:rPr>
        <w:t>、</w:t>
      </w:r>
      <w:r>
        <w:rPr>
          <w:spacing w:val="-6"/>
          <w:szCs w:val="22"/>
        </w:rPr>
        <w:t>ASD</w:t>
      </w:r>
      <w:r>
        <w:rPr>
          <w:rFonts w:hint="eastAsia"/>
          <w:spacing w:val="-6"/>
          <w:szCs w:val="22"/>
        </w:rPr>
        <w:t>、</w:t>
      </w:r>
      <w:r>
        <w:rPr>
          <w:spacing w:val="-6"/>
          <w:szCs w:val="22"/>
        </w:rPr>
        <w:t>ASC</w:t>
      </w:r>
      <w:r>
        <w:rPr>
          <w:rFonts w:hint="eastAsia"/>
          <w:spacing w:val="-6"/>
          <w:szCs w:val="22"/>
        </w:rPr>
        <w:t>等系列压缩机</w:t>
      </w:r>
      <w:r>
        <w:rPr>
          <w:spacing w:val="-6"/>
          <w:szCs w:val="22"/>
        </w:rPr>
        <w:t>400</w:t>
      </w:r>
      <w:r>
        <w:rPr>
          <w:rFonts w:hint="eastAsia"/>
          <w:spacing w:val="-6"/>
          <w:szCs w:val="22"/>
        </w:rPr>
        <w:t>万台。</w:t>
      </w: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pPr>
    </w:p>
    <w:p w:rsidR="00B04AE3" w:rsidRDefault="00B04AE3" w:rsidP="003446E2">
      <w:pPr>
        <w:pStyle w:val="BodyText"/>
        <w:spacing w:line="360" w:lineRule="auto"/>
        <w:ind w:firstLineChars="200" w:firstLine="31680"/>
        <w:sectPr w:rsidR="00B04AE3">
          <w:footerReference w:type="default" r:id="rId18"/>
          <w:pgSz w:w="11910" w:h="16840"/>
          <w:pgMar w:top="1340" w:right="1460" w:bottom="1180" w:left="1460" w:header="878" w:footer="993" w:gutter="0"/>
          <w:cols w:space="720"/>
        </w:sectPr>
      </w:pPr>
    </w:p>
    <w:p w:rsidR="00B04AE3" w:rsidRDefault="00B04AE3" w:rsidP="003446E2">
      <w:pPr>
        <w:pStyle w:val="BodyText"/>
        <w:spacing w:line="360" w:lineRule="auto"/>
        <w:ind w:firstLineChars="200" w:firstLine="31680"/>
      </w:pPr>
      <w:r w:rsidRPr="00E43F4D">
        <w:rPr>
          <w:noProof/>
          <w:lang w:val="en-US"/>
        </w:rPr>
        <w:pict>
          <v:shape id="图片 2" o:spid="_x0000_i1030" type="#_x0000_t75" alt="1" style="width:607.5pt;height:449.25pt;visibility:visible">
            <v:imagedata r:id="rId19" o:title=""/>
          </v:shape>
        </w:pict>
      </w:r>
    </w:p>
    <w:p w:rsidR="00B04AE3" w:rsidRDefault="00B04AE3" w:rsidP="003446E2">
      <w:pPr>
        <w:pStyle w:val="BodyText"/>
        <w:spacing w:line="360" w:lineRule="auto"/>
        <w:ind w:firstLineChars="200" w:firstLine="31680"/>
        <w:sectPr w:rsidR="00B04AE3">
          <w:pgSz w:w="16840" w:h="11910" w:orient="landscape"/>
          <w:pgMar w:top="1460" w:right="1340" w:bottom="1460" w:left="1180" w:header="878" w:footer="993" w:gutter="0"/>
          <w:cols w:space="720"/>
        </w:sectPr>
      </w:pPr>
    </w:p>
    <w:p w:rsidR="00B04AE3" w:rsidRDefault="00B04AE3">
      <w:pPr>
        <w:pStyle w:val="ListParagraph"/>
        <w:numPr>
          <w:ilvl w:val="1"/>
          <w:numId w:val="18"/>
        </w:numPr>
        <w:tabs>
          <w:tab w:val="left" w:pos="861"/>
        </w:tabs>
        <w:spacing w:before="143"/>
        <w:ind w:left="860" w:hanging="523"/>
        <w:rPr>
          <w:b/>
          <w:sz w:val="30"/>
        </w:rPr>
      </w:pPr>
      <w:bookmarkStart w:id="49" w:name="2.3_主要污染物及其污染治理设施"/>
      <w:bookmarkEnd w:id="49"/>
      <w:r>
        <w:rPr>
          <w:rFonts w:hint="eastAsia"/>
          <w:b/>
          <w:sz w:val="30"/>
        </w:rPr>
        <w:t>主要污染物及其污染治理设施</w:t>
      </w:r>
    </w:p>
    <w:p w:rsidR="00B04AE3" w:rsidRDefault="00B04AE3">
      <w:pPr>
        <w:pStyle w:val="ListParagraph"/>
        <w:tabs>
          <w:tab w:val="left" w:pos="878"/>
        </w:tabs>
        <w:spacing w:before="196"/>
        <w:ind w:firstLine="0"/>
        <w:rPr>
          <w:b/>
          <w:sz w:val="24"/>
        </w:rPr>
      </w:pPr>
      <w:bookmarkStart w:id="50" w:name="2.3.1废气的产生治理及排放情况"/>
      <w:bookmarkEnd w:id="50"/>
      <w:r>
        <w:rPr>
          <w:b/>
          <w:sz w:val="24"/>
          <w:lang w:val="en-US"/>
        </w:rPr>
        <w:t xml:space="preserve">2.3.1 </w:t>
      </w:r>
      <w:r>
        <w:rPr>
          <w:rFonts w:hint="eastAsia"/>
          <w:b/>
          <w:sz w:val="24"/>
        </w:rPr>
        <w:t>废气的产生治理及排放情况</w:t>
      </w:r>
    </w:p>
    <w:p w:rsidR="00B04AE3" w:rsidRDefault="00B04AE3">
      <w:pPr>
        <w:pStyle w:val="BodyText"/>
        <w:spacing w:before="10" w:line="365" w:lineRule="auto"/>
        <w:ind w:left="334" w:right="334" w:firstLine="482"/>
        <w:jc w:val="both"/>
        <w:rPr>
          <w:spacing w:val="-6"/>
          <w:szCs w:val="22"/>
        </w:rPr>
      </w:pPr>
      <w:r>
        <w:rPr>
          <w:rFonts w:hint="eastAsia"/>
          <w:spacing w:val="-6"/>
          <w:szCs w:val="22"/>
        </w:rPr>
        <w:t>工艺废气主要是设备烟气</w:t>
      </w:r>
      <w:r>
        <w:rPr>
          <w:spacing w:val="-6"/>
          <w:szCs w:val="22"/>
        </w:rPr>
        <w:t>(</w:t>
      </w:r>
      <w:r>
        <w:rPr>
          <w:rFonts w:hint="eastAsia"/>
          <w:spacing w:val="-6"/>
          <w:szCs w:val="22"/>
        </w:rPr>
        <w:t>设备用天然气燃烧产生的烟气</w:t>
      </w:r>
      <w:r>
        <w:rPr>
          <w:spacing w:val="-6"/>
          <w:szCs w:val="22"/>
        </w:rPr>
        <w:t>)</w:t>
      </w:r>
      <w:r>
        <w:rPr>
          <w:rFonts w:hint="eastAsia"/>
          <w:spacing w:val="-6"/>
          <w:szCs w:val="22"/>
        </w:rPr>
        <w:t>，来自机加工车间内高速磨削机床的油雾，来自焊接机的焊接烟气</w:t>
      </w:r>
      <w:r>
        <w:rPr>
          <w:spacing w:val="-6"/>
          <w:szCs w:val="22"/>
        </w:rPr>
        <w:t>(</w:t>
      </w:r>
      <w:r>
        <w:rPr>
          <w:rFonts w:hint="eastAsia"/>
          <w:spacing w:val="-6"/>
          <w:szCs w:val="22"/>
        </w:rPr>
        <w:t>项目油雾气、烟气排放口主要集中在主厂房楼顶，位于厂区的东北角</w:t>
      </w:r>
      <w:r>
        <w:rPr>
          <w:spacing w:val="-6"/>
          <w:szCs w:val="22"/>
        </w:rPr>
        <w:t>)</w:t>
      </w:r>
      <w:r>
        <w:rPr>
          <w:rFonts w:hint="eastAsia"/>
          <w:spacing w:val="-6"/>
          <w:szCs w:val="22"/>
        </w:rPr>
        <w:t>，来自于清洗机的弱碱性和弱酸性槽液蒸发的酸碱蒸汽和来自总成、涂装线区的废热气。</w:t>
      </w:r>
    </w:p>
    <w:p w:rsidR="00B04AE3" w:rsidRDefault="00B04AE3">
      <w:pPr>
        <w:pStyle w:val="BodyText"/>
        <w:spacing w:before="10" w:line="365" w:lineRule="auto"/>
        <w:ind w:left="334" w:right="334" w:firstLine="482"/>
        <w:jc w:val="both"/>
        <w:rPr>
          <w:spacing w:val="-6"/>
          <w:szCs w:val="22"/>
        </w:rPr>
      </w:pPr>
      <w:r>
        <w:rPr>
          <w:rFonts w:hint="eastAsia"/>
          <w:spacing w:val="-6"/>
          <w:szCs w:val="22"/>
        </w:rPr>
        <w:t>设备烟气由排风机抽出，烟气直接经</w:t>
      </w:r>
      <w:r>
        <w:rPr>
          <w:spacing w:val="-6"/>
          <w:szCs w:val="22"/>
        </w:rPr>
        <w:t>15</w:t>
      </w:r>
      <w:r>
        <w:rPr>
          <w:rFonts w:hint="eastAsia"/>
          <w:spacing w:val="-6"/>
          <w:szCs w:val="22"/>
        </w:rPr>
        <w:t>米高排气筒排放，设备烟气污染物产生浓度符合</w:t>
      </w:r>
      <w:r>
        <w:rPr>
          <w:spacing w:val="-6"/>
          <w:szCs w:val="22"/>
        </w:rPr>
        <w:t>GB16297-1996</w:t>
      </w:r>
      <w:r>
        <w:rPr>
          <w:rFonts w:hint="eastAsia"/>
          <w:spacing w:val="-6"/>
          <w:szCs w:val="22"/>
        </w:rPr>
        <w:t>《大气污染物综合排放标准》表</w:t>
      </w:r>
      <w:r>
        <w:rPr>
          <w:spacing w:val="-6"/>
          <w:szCs w:val="22"/>
        </w:rPr>
        <w:t>2</w:t>
      </w:r>
      <w:r>
        <w:rPr>
          <w:rFonts w:hint="eastAsia"/>
          <w:spacing w:val="-6"/>
          <w:szCs w:val="22"/>
        </w:rPr>
        <w:t>中二级要求</w:t>
      </w:r>
    </w:p>
    <w:p w:rsidR="00B04AE3" w:rsidRDefault="00B04AE3">
      <w:pPr>
        <w:pStyle w:val="BodyText"/>
        <w:spacing w:before="10" w:line="365" w:lineRule="auto"/>
        <w:ind w:left="334" w:right="334" w:firstLine="482"/>
        <w:jc w:val="both"/>
        <w:rPr>
          <w:spacing w:val="-6"/>
          <w:szCs w:val="22"/>
        </w:rPr>
      </w:pPr>
      <w:r>
        <w:rPr>
          <w:rFonts w:hint="eastAsia"/>
          <w:spacing w:val="-6"/>
          <w:szCs w:val="22"/>
        </w:rPr>
        <w:t>项目油雾采用油雾处理装置就地捕捉油雾，使其不散发在车间内，该油雾处理装置净化效率可达</w:t>
      </w:r>
      <w:r>
        <w:rPr>
          <w:spacing w:val="-6"/>
          <w:szCs w:val="22"/>
        </w:rPr>
        <w:t>90%</w:t>
      </w:r>
      <w:r>
        <w:rPr>
          <w:rFonts w:hint="eastAsia"/>
          <w:spacing w:val="-6"/>
          <w:szCs w:val="22"/>
        </w:rPr>
        <w:t>，采用离心机和排风罩把烟气排至室外，烟气直接经</w:t>
      </w:r>
      <w:r>
        <w:rPr>
          <w:spacing w:val="-6"/>
          <w:szCs w:val="22"/>
        </w:rPr>
        <w:t>15</w:t>
      </w:r>
      <w:r>
        <w:rPr>
          <w:rFonts w:hint="eastAsia"/>
          <w:spacing w:val="-6"/>
          <w:szCs w:val="22"/>
        </w:rPr>
        <w:t>米高排气筒排放，满足《大气污染物综合排放标准》</w:t>
      </w:r>
      <w:r>
        <w:rPr>
          <w:spacing w:val="-6"/>
          <w:szCs w:val="22"/>
        </w:rPr>
        <w:t>(GB16297-1996)</w:t>
      </w:r>
      <w:r>
        <w:rPr>
          <w:rFonts w:hint="eastAsia"/>
          <w:spacing w:val="-6"/>
          <w:szCs w:val="22"/>
        </w:rPr>
        <w:t>表</w:t>
      </w:r>
      <w:r>
        <w:rPr>
          <w:spacing w:val="-6"/>
          <w:szCs w:val="22"/>
        </w:rPr>
        <w:t>2</w:t>
      </w:r>
      <w:r>
        <w:rPr>
          <w:rFonts w:hint="eastAsia"/>
          <w:spacing w:val="-6"/>
          <w:szCs w:val="22"/>
        </w:rPr>
        <w:t>中二级要求。</w:t>
      </w:r>
    </w:p>
    <w:p w:rsidR="00B04AE3" w:rsidRDefault="00B04AE3">
      <w:pPr>
        <w:pStyle w:val="BodyText"/>
        <w:spacing w:before="10" w:line="365" w:lineRule="auto"/>
        <w:ind w:left="334" w:right="334" w:firstLine="482"/>
        <w:jc w:val="both"/>
        <w:rPr>
          <w:spacing w:val="-6"/>
          <w:szCs w:val="22"/>
        </w:rPr>
      </w:pPr>
      <w:r>
        <w:rPr>
          <w:rFonts w:hint="eastAsia"/>
          <w:spacing w:val="-6"/>
          <w:szCs w:val="22"/>
        </w:rPr>
        <w:t>清洗机的弱酸性和弱碱性槽液蒸发废气，采用吸风罩抽吸至室外高点稀释排放，排气出口离地高度</w:t>
      </w:r>
      <w:r>
        <w:rPr>
          <w:spacing w:val="-6"/>
          <w:szCs w:val="22"/>
        </w:rPr>
        <w:t>15m</w:t>
      </w:r>
      <w:r>
        <w:rPr>
          <w:rFonts w:hint="eastAsia"/>
          <w:spacing w:val="-6"/>
          <w:szCs w:val="22"/>
        </w:rPr>
        <w:t>，满足《大气污染物综合排放标准》</w:t>
      </w:r>
      <w:r>
        <w:rPr>
          <w:spacing w:val="-6"/>
          <w:szCs w:val="22"/>
        </w:rPr>
        <w:t>(GB16297-1996)</w:t>
      </w:r>
      <w:r>
        <w:rPr>
          <w:rFonts w:hint="eastAsia"/>
          <w:spacing w:val="-6"/>
          <w:szCs w:val="22"/>
        </w:rPr>
        <w:t>表</w:t>
      </w:r>
      <w:r>
        <w:rPr>
          <w:spacing w:val="-6"/>
          <w:szCs w:val="22"/>
        </w:rPr>
        <w:t>2</w:t>
      </w:r>
      <w:r>
        <w:rPr>
          <w:rFonts w:hint="eastAsia"/>
          <w:spacing w:val="-6"/>
          <w:szCs w:val="22"/>
        </w:rPr>
        <w:t>中二级要求。</w:t>
      </w:r>
    </w:p>
    <w:p w:rsidR="00B04AE3" w:rsidRDefault="00B04AE3">
      <w:pPr>
        <w:pStyle w:val="BodyText"/>
        <w:spacing w:before="10" w:line="365" w:lineRule="auto"/>
        <w:ind w:left="334" w:right="334" w:firstLine="482"/>
        <w:jc w:val="both"/>
        <w:rPr>
          <w:spacing w:val="-6"/>
          <w:szCs w:val="22"/>
        </w:rPr>
      </w:pPr>
      <w:r>
        <w:rPr>
          <w:rFonts w:hint="eastAsia"/>
          <w:spacing w:val="-6"/>
          <w:szCs w:val="22"/>
        </w:rPr>
        <w:t>在总成、涂装线区的废热气在车间屋顶安装风机，对车间进行换气以降低车间温度。各类废气经处理后满足《大气污染物综合排放标准》</w:t>
      </w:r>
      <w:r>
        <w:rPr>
          <w:spacing w:val="-6"/>
          <w:szCs w:val="22"/>
        </w:rPr>
        <w:t>(GB16297-1996)</w:t>
      </w:r>
      <w:r>
        <w:rPr>
          <w:rFonts w:hint="eastAsia"/>
          <w:spacing w:val="-6"/>
          <w:szCs w:val="22"/>
        </w:rPr>
        <w:t>表</w:t>
      </w:r>
      <w:r>
        <w:rPr>
          <w:spacing w:val="-6"/>
          <w:szCs w:val="22"/>
        </w:rPr>
        <w:t>2</w:t>
      </w:r>
      <w:r>
        <w:rPr>
          <w:rFonts w:hint="eastAsia"/>
          <w:spacing w:val="-6"/>
          <w:szCs w:val="22"/>
        </w:rPr>
        <w:t>中二级要求。</w:t>
      </w:r>
    </w:p>
    <w:p w:rsidR="00B04AE3" w:rsidRDefault="00B04AE3">
      <w:pPr>
        <w:pStyle w:val="BodyText"/>
        <w:spacing w:before="10" w:line="365" w:lineRule="auto"/>
        <w:ind w:left="334" w:right="334" w:firstLine="482"/>
        <w:jc w:val="both"/>
        <w:rPr>
          <w:spacing w:val="-6"/>
          <w:szCs w:val="22"/>
        </w:rPr>
      </w:pPr>
      <w:r>
        <w:rPr>
          <w:rFonts w:hint="eastAsia"/>
          <w:spacing w:val="-6"/>
          <w:szCs w:val="22"/>
        </w:rPr>
        <w:t>项目食堂油烟采用静电式油烟净化器对食堂油烟进行治理，满足</w:t>
      </w:r>
      <w:r>
        <w:rPr>
          <w:spacing w:val="-6"/>
          <w:szCs w:val="22"/>
        </w:rPr>
        <w:t>GB18483-2001</w:t>
      </w:r>
      <w:r>
        <w:rPr>
          <w:rFonts w:hint="eastAsia"/>
          <w:spacing w:val="-6"/>
          <w:szCs w:val="22"/>
        </w:rPr>
        <w:t>《饮食业油烟排放标准</w:t>
      </w:r>
      <w:r>
        <w:rPr>
          <w:spacing w:val="-6"/>
          <w:szCs w:val="22"/>
        </w:rPr>
        <w:t>(</w:t>
      </w:r>
      <w:r>
        <w:rPr>
          <w:rFonts w:hint="eastAsia"/>
          <w:spacing w:val="-6"/>
          <w:szCs w:val="22"/>
        </w:rPr>
        <w:t>试行</w:t>
      </w:r>
      <w:r>
        <w:rPr>
          <w:spacing w:val="-6"/>
          <w:szCs w:val="22"/>
        </w:rPr>
        <w:t>)</w:t>
      </w:r>
      <w:r>
        <w:rPr>
          <w:rFonts w:hint="eastAsia"/>
          <w:spacing w:val="-6"/>
          <w:szCs w:val="22"/>
        </w:rPr>
        <w:t>》要求，对项目周围环境空气质量影响不大。</w:t>
      </w:r>
    </w:p>
    <w:p w:rsidR="00B04AE3" w:rsidRDefault="00B04AE3">
      <w:pPr>
        <w:pStyle w:val="ListParagraph"/>
        <w:tabs>
          <w:tab w:val="left" w:pos="878"/>
        </w:tabs>
        <w:spacing w:before="4"/>
        <w:ind w:firstLine="0"/>
      </w:pPr>
      <w:r>
        <w:rPr>
          <w:b/>
          <w:sz w:val="24"/>
          <w:lang w:val="en-US"/>
        </w:rPr>
        <w:t xml:space="preserve">2.3.2 </w:t>
      </w:r>
      <w:r>
        <w:rPr>
          <w:rFonts w:hint="eastAsia"/>
          <w:b/>
          <w:sz w:val="24"/>
        </w:rPr>
        <w:t>废水的产生治理及排放情况</w:t>
      </w:r>
      <w:bookmarkStart w:id="51" w:name="2.3.3固废的产生治理及排放情况"/>
      <w:bookmarkEnd w:id="51"/>
    </w:p>
    <w:p w:rsidR="00B04AE3" w:rsidRDefault="00B04AE3">
      <w:pPr>
        <w:pStyle w:val="BodyText"/>
        <w:spacing w:before="20" w:line="360" w:lineRule="auto"/>
        <w:ind w:left="334" w:right="334" w:firstLine="482"/>
        <w:jc w:val="both"/>
        <w:rPr>
          <w:spacing w:val="-6"/>
          <w:szCs w:val="22"/>
        </w:rPr>
      </w:pPr>
      <w:r>
        <w:rPr>
          <w:rFonts w:hint="eastAsia"/>
          <w:spacing w:val="-6"/>
          <w:szCs w:val="22"/>
        </w:rPr>
        <w:t>废水主要是生产废水和生活污水，生产废水包括为：槽液废水、乳化液、清洗废水。乳化液废液为危险固废，送江西省危险废物处置中心厂区，槽液废水采用间歇式化学法先进行预处理，再与清洗废水混合经絮凝</w:t>
      </w:r>
      <w:r>
        <w:rPr>
          <w:spacing w:val="-6"/>
          <w:szCs w:val="22"/>
        </w:rPr>
        <w:t>+</w:t>
      </w:r>
      <w:r>
        <w:rPr>
          <w:rFonts w:hint="eastAsia"/>
          <w:spacing w:val="-6"/>
          <w:szCs w:val="22"/>
        </w:rPr>
        <w:t>气浮</w:t>
      </w:r>
      <w:r>
        <w:rPr>
          <w:spacing w:val="-6"/>
          <w:szCs w:val="22"/>
        </w:rPr>
        <w:t>+</w:t>
      </w:r>
      <w:r>
        <w:rPr>
          <w:rFonts w:hint="eastAsia"/>
          <w:spacing w:val="-6"/>
          <w:szCs w:val="22"/>
        </w:rPr>
        <w:t>生物接触氧化等处理措施处理后排入白水湖污水处理厂；生活污水经微动力生化处理措施处理后达白水湖污水处理厂接管标准进入白水湖污水处理厂，经污水处理厂处理达相关标准后排入赣江。</w:t>
      </w:r>
    </w:p>
    <w:p w:rsidR="00B04AE3" w:rsidRDefault="00B04AE3">
      <w:pPr>
        <w:pStyle w:val="ListParagraph"/>
        <w:tabs>
          <w:tab w:val="left" w:pos="878"/>
        </w:tabs>
        <w:spacing w:line="305" w:lineRule="exact"/>
        <w:ind w:firstLine="0"/>
        <w:rPr>
          <w:sz w:val="24"/>
        </w:rPr>
      </w:pPr>
      <w:r>
        <w:rPr>
          <w:b/>
          <w:sz w:val="24"/>
          <w:lang w:val="en-US"/>
        </w:rPr>
        <w:t xml:space="preserve">2.3.3 </w:t>
      </w:r>
      <w:r>
        <w:rPr>
          <w:rFonts w:hint="eastAsia"/>
          <w:b/>
          <w:sz w:val="24"/>
        </w:rPr>
        <w:t>固废的产生治理及排放情况</w:t>
      </w:r>
      <w:bookmarkStart w:id="52" w:name="2.3.4噪声的产生治理及排放情况"/>
      <w:bookmarkEnd w:id="52"/>
    </w:p>
    <w:p w:rsidR="00B04AE3" w:rsidRDefault="00B04AE3">
      <w:pPr>
        <w:pStyle w:val="BodyText"/>
        <w:spacing w:line="360" w:lineRule="auto"/>
        <w:ind w:left="334" w:right="334" w:firstLine="482"/>
        <w:jc w:val="both"/>
        <w:rPr>
          <w:spacing w:val="-6"/>
          <w:szCs w:val="22"/>
        </w:rPr>
      </w:pPr>
      <w:r>
        <w:rPr>
          <w:rFonts w:hint="eastAsia"/>
          <w:spacing w:val="-6"/>
          <w:szCs w:val="22"/>
        </w:rPr>
        <w:t>项目固废主要有边角料、生活垃圾、废水处理污泥、乳化液废液。</w:t>
      </w:r>
    </w:p>
    <w:p w:rsidR="00B04AE3" w:rsidRDefault="00B04AE3">
      <w:pPr>
        <w:pStyle w:val="BodyText"/>
        <w:spacing w:line="360" w:lineRule="auto"/>
        <w:ind w:left="334" w:right="334" w:firstLine="482"/>
        <w:jc w:val="both"/>
        <w:rPr>
          <w:spacing w:val="-6"/>
          <w:szCs w:val="22"/>
        </w:rPr>
      </w:pPr>
      <w:r>
        <w:rPr>
          <w:rFonts w:hint="eastAsia"/>
          <w:spacing w:val="-6"/>
          <w:szCs w:val="22"/>
        </w:rPr>
        <w:t>边角料，由厂家回收利用。</w:t>
      </w:r>
    </w:p>
    <w:p w:rsidR="00B04AE3" w:rsidRDefault="00B04AE3">
      <w:pPr>
        <w:pStyle w:val="BodyText"/>
        <w:spacing w:line="360" w:lineRule="auto"/>
        <w:ind w:left="334" w:right="334" w:firstLine="482"/>
        <w:jc w:val="both"/>
        <w:rPr>
          <w:spacing w:val="-6"/>
          <w:szCs w:val="22"/>
        </w:rPr>
      </w:pPr>
      <w:r>
        <w:rPr>
          <w:rFonts w:hint="eastAsia"/>
          <w:spacing w:val="-6"/>
          <w:szCs w:val="22"/>
        </w:rPr>
        <w:t>乳化液废液，根据国家危险废物名录，为危险废物</w:t>
      </w:r>
      <w:r>
        <w:rPr>
          <w:spacing w:val="-6"/>
          <w:szCs w:val="22"/>
        </w:rPr>
        <w:t>(</w:t>
      </w:r>
      <w:r>
        <w:rPr>
          <w:rFonts w:hint="eastAsia"/>
          <w:spacing w:val="-6"/>
          <w:szCs w:val="22"/>
        </w:rPr>
        <w:t>编号为</w:t>
      </w:r>
      <w:r>
        <w:rPr>
          <w:spacing w:val="-6"/>
          <w:szCs w:val="22"/>
        </w:rPr>
        <w:t>HW09)</w:t>
      </w:r>
      <w:r>
        <w:rPr>
          <w:rFonts w:hint="eastAsia"/>
          <w:spacing w:val="-6"/>
          <w:szCs w:val="22"/>
        </w:rPr>
        <w:t>，由厂家用容器收集后定期送江西省危险废物处置中心。</w:t>
      </w:r>
    </w:p>
    <w:p w:rsidR="00B04AE3" w:rsidRDefault="00B04AE3">
      <w:pPr>
        <w:pStyle w:val="BodyText"/>
        <w:spacing w:line="360" w:lineRule="auto"/>
        <w:ind w:left="334" w:right="334" w:firstLine="482"/>
        <w:jc w:val="both"/>
        <w:rPr>
          <w:spacing w:val="-6"/>
          <w:szCs w:val="22"/>
        </w:rPr>
      </w:pPr>
      <w:r>
        <w:rPr>
          <w:rFonts w:hint="eastAsia"/>
          <w:spacing w:val="-6"/>
          <w:szCs w:val="22"/>
        </w:rPr>
        <w:t>废水处理污泥，经收集后运往垃圾填埋场。</w:t>
      </w:r>
    </w:p>
    <w:p w:rsidR="00B04AE3" w:rsidRDefault="00B04AE3">
      <w:pPr>
        <w:pStyle w:val="BodyText"/>
        <w:spacing w:line="360" w:lineRule="auto"/>
        <w:ind w:left="334" w:right="334" w:firstLine="482"/>
        <w:jc w:val="both"/>
        <w:rPr>
          <w:spacing w:val="-6"/>
          <w:szCs w:val="22"/>
        </w:rPr>
      </w:pPr>
      <w:r>
        <w:rPr>
          <w:rFonts w:hint="eastAsia"/>
          <w:spacing w:val="-6"/>
          <w:szCs w:val="22"/>
        </w:rPr>
        <w:t>生活垃圾，经分类收集后运往垃圾填埋场。</w:t>
      </w:r>
    </w:p>
    <w:p w:rsidR="00B04AE3" w:rsidRDefault="00B04AE3">
      <w:pPr>
        <w:pStyle w:val="ListParagraph"/>
        <w:tabs>
          <w:tab w:val="left" w:pos="878"/>
        </w:tabs>
        <w:spacing w:before="157"/>
        <w:ind w:firstLine="0"/>
        <w:rPr>
          <w:b/>
          <w:sz w:val="24"/>
        </w:rPr>
      </w:pPr>
      <w:r>
        <w:rPr>
          <w:b/>
          <w:sz w:val="24"/>
          <w:lang w:val="en-US"/>
        </w:rPr>
        <w:t xml:space="preserve">2.3.4 </w:t>
      </w:r>
      <w:r>
        <w:rPr>
          <w:rFonts w:hint="eastAsia"/>
          <w:b/>
          <w:sz w:val="24"/>
        </w:rPr>
        <w:t>噪声的产生治理及排放情况</w:t>
      </w:r>
    </w:p>
    <w:p w:rsidR="00B04AE3" w:rsidRDefault="00B04AE3">
      <w:pPr>
        <w:pStyle w:val="BodyText"/>
        <w:spacing w:before="100" w:line="360" w:lineRule="auto"/>
        <w:ind w:left="334" w:right="334" w:firstLine="482"/>
        <w:jc w:val="both"/>
        <w:rPr>
          <w:spacing w:val="-6"/>
          <w:szCs w:val="22"/>
        </w:rPr>
      </w:pPr>
      <w:r>
        <w:rPr>
          <w:rFonts w:hint="eastAsia"/>
          <w:spacing w:val="-6"/>
          <w:szCs w:val="22"/>
        </w:rPr>
        <w:t>企业主要噪声来源于机械设备营运期产生的噪声，噪声源强为</w:t>
      </w:r>
      <w:r>
        <w:rPr>
          <w:spacing w:val="-6"/>
          <w:szCs w:val="22"/>
        </w:rPr>
        <w:t xml:space="preserve"> 75~90 dB(A)</w:t>
      </w:r>
      <w:r>
        <w:rPr>
          <w:rFonts w:hint="eastAsia"/>
          <w:spacing w:val="-6"/>
          <w:szCs w:val="22"/>
        </w:rPr>
        <w:t>，</w:t>
      </w:r>
      <w:r>
        <w:rPr>
          <w:spacing w:val="-6"/>
          <w:szCs w:val="22"/>
        </w:rPr>
        <w:t xml:space="preserve"> </w:t>
      </w:r>
      <w:r>
        <w:rPr>
          <w:rFonts w:hint="eastAsia"/>
          <w:spacing w:val="-6"/>
          <w:szCs w:val="22"/>
        </w:rPr>
        <w:t>目前企业厂区通过选用低噪音设备、合理布置厂区及设备位置，针对噪声源位置及特点分别采取隔音、减震、消声等措施，昼夜厂界噪声均符合《工业企业厂界环境噪声排放标准》（</w:t>
      </w:r>
      <w:r>
        <w:rPr>
          <w:spacing w:val="-6"/>
          <w:szCs w:val="22"/>
        </w:rPr>
        <w:t>GB12348-2008</w:t>
      </w:r>
      <w:r>
        <w:rPr>
          <w:rFonts w:hint="eastAsia"/>
          <w:spacing w:val="-6"/>
          <w:szCs w:val="22"/>
        </w:rPr>
        <w:t>）</w:t>
      </w:r>
      <w:r>
        <w:rPr>
          <w:spacing w:val="-6"/>
          <w:szCs w:val="22"/>
        </w:rPr>
        <w:t xml:space="preserve">3 </w:t>
      </w:r>
      <w:r>
        <w:rPr>
          <w:rFonts w:hint="eastAsia"/>
          <w:spacing w:val="-6"/>
          <w:szCs w:val="22"/>
        </w:rPr>
        <w:t>类功能区标准要求，对周围环境产生的影响较小。</w:t>
      </w:r>
    </w:p>
    <w:p w:rsidR="00B04AE3" w:rsidRDefault="00B04AE3">
      <w:pPr>
        <w:spacing w:line="364" w:lineRule="auto"/>
        <w:sectPr w:rsidR="00B04AE3">
          <w:pgSz w:w="11910" w:h="16840"/>
          <w:pgMar w:top="1340" w:right="1460" w:bottom="1180" w:left="1460" w:header="878" w:footer="993" w:gutter="0"/>
          <w:cols w:space="720"/>
        </w:sectPr>
      </w:pPr>
    </w:p>
    <w:p w:rsidR="00B04AE3" w:rsidRDefault="00B04AE3">
      <w:pPr>
        <w:pStyle w:val="ListParagraph"/>
        <w:numPr>
          <w:ilvl w:val="1"/>
          <w:numId w:val="18"/>
        </w:numPr>
        <w:tabs>
          <w:tab w:val="left" w:pos="861"/>
        </w:tabs>
        <w:spacing w:before="99"/>
        <w:ind w:left="860" w:hanging="523"/>
        <w:rPr>
          <w:b/>
          <w:sz w:val="30"/>
        </w:rPr>
      </w:pPr>
      <w:bookmarkStart w:id="53" w:name="2.4_周边环境状况及环境保护目标情况"/>
      <w:bookmarkStart w:id="54" w:name="_bookmark12"/>
      <w:bookmarkEnd w:id="53"/>
      <w:bookmarkEnd w:id="54"/>
      <w:r>
        <w:rPr>
          <w:rFonts w:hint="eastAsia"/>
          <w:b/>
          <w:sz w:val="30"/>
        </w:rPr>
        <w:t>周边环境状况及环境保护目标情况</w:t>
      </w:r>
    </w:p>
    <w:p w:rsidR="00B04AE3" w:rsidRDefault="00B04AE3">
      <w:pPr>
        <w:pStyle w:val="ListParagraph"/>
        <w:tabs>
          <w:tab w:val="left" w:pos="878"/>
        </w:tabs>
        <w:spacing w:before="197"/>
        <w:ind w:firstLine="0"/>
        <w:rPr>
          <w:b/>
          <w:sz w:val="24"/>
        </w:rPr>
      </w:pPr>
      <w:bookmarkStart w:id="55" w:name="2.4.1周边环境和气候状况"/>
      <w:bookmarkEnd w:id="55"/>
      <w:r>
        <w:rPr>
          <w:b/>
          <w:sz w:val="24"/>
          <w:lang w:val="en-US"/>
        </w:rPr>
        <w:t>2.4.1</w:t>
      </w:r>
      <w:r>
        <w:rPr>
          <w:rFonts w:hint="eastAsia"/>
          <w:b/>
          <w:sz w:val="24"/>
        </w:rPr>
        <w:t>周边环境和气候状况</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、地理位置</w:t>
      </w:r>
    </w:p>
    <w:p w:rsidR="00B04AE3" w:rsidRDefault="00B04AE3">
      <w:pPr>
        <w:pStyle w:val="BodyText"/>
        <w:spacing w:before="20" w:line="360" w:lineRule="auto"/>
        <w:ind w:left="334" w:right="334" w:firstLine="482"/>
        <w:jc w:val="both"/>
        <w:rPr>
          <w:spacing w:val="-6"/>
          <w:szCs w:val="22"/>
        </w:rPr>
      </w:pPr>
      <w:r>
        <w:rPr>
          <w:rFonts w:hint="eastAsia"/>
          <w:spacing w:val="-6"/>
          <w:szCs w:val="22"/>
        </w:rPr>
        <w:t>南昌地处江西中部偏北，赣江、抚河下游，三环，濒临我国第一大淡水湖鄱阳湖西南岸。位于东经</w:t>
      </w:r>
      <w:r>
        <w:rPr>
          <w:spacing w:val="-6"/>
          <w:szCs w:val="22"/>
        </w:rPr>
        <w:t>115</w:t>
      </w:r>
      <w:r>
        <w:rPr>
          <w:rFonts w:hint="eastAsia"/>
          <w:spacing w:val="-6"/>
          <w:szCs w:val="22"/>
        </w:rPr>
        <w:t>°</w:t>
      </w:r>
      <w:r>
        <w:rPr>
          <w:spacing w:val="-6"/>
          <w:szCs w:val="22"/>
        </w:rPr>
        <w:t>27</w:t>
      </w:r>
      <w:r>
        <w:rPr>
          <w:rFonts w:hint="eastAsia"/>
          <w:spacing w:val="-6"/>
          <w:szCs w:val="22"/>
        </w:rPr>
        <w:t>’至</w:t>
      </w:r>
      <w:r>
        <w:rPr>
          <w:spacing w:val="-6"/>
          <w:szCs w:val="22"/>
        </w:rPr>
        <w:t>116</w:t>
      </w:r>
      <w:r>
        <w:rPr>
          <w:rFonts w:hint="eastAsia"/>
          <w:spacing w:val="-6"/>
          <w:szCs w:val="22"/>
        </w:rPr>
        <w:t>°</w:t>
      </w:r>
      <w:r>
        <w:rPr>
          <w:spacing w:val="-6"/>
          <w:szCs w:val="22"/>
        </w:rPr>
        <w:t>35</w:t>
      </w:r>
      <w:r>
        <w:rPr>
          <w:rFonts w:hint="eastAsia"/>
          <w:spacing w:val="-6"/>
          <w:szCs w:val="22"/>
        </w:rPr>
        <w:t>’、北纬</w:t>
      </w:r>
      <w:r>
        <w:rPr>
          <w:spacing w:val="-6"/>
          <w:szCs w:val="22"/>
        </w:rPr>
        <w:t>28</w:t>
      </w:r>
      <w:r>
        <w:rPr>
          <w:rFonts w:hint="eastAsia"/>
          <w:spacing w:val="-6"/>
          <w:szCs w:val="22"/>
        </w:rPr>
        <w:t>°</w:t>
      </w:r>
      <w:r>
        <w:rPr>
          <w:spacing w:val="-6"/>
          <w:szCs w:val="22"/>
        </w:rPr>
        <w:t>10</w:t>
      </w:r>
      <w:r>
        <w:rPr>
          <w:rFonts w:hint="eastAsia"/>
          <w:spacing w:val="-6"/>
          <w:szCs w:val="22"/>
        </w:rPr>
        <w:t>’至</w:t>
      </w:r>
      <w:r>
        <w:rPr>
          <w:spacing w:val="-6"/>
          <w:szCs w:val="22"/>
        </w:rPr>
        <w:t>29</w:t>
      </w:r>
      <w:r>
        <w:rPr>
          <w:rFonts w:hint="eastAsia"/>
          <w:spacing w:val="-6"/>
          <w:szCs w:val="22"/>
        </w:rPr>
        <w:t>°</w:t>
      </w:r>
      <w:r>
        <w:rPr>
          <w:spacing w:val="-6"/>
          <w:szCs w:val="22"/>
        </w:rPr>
        <w:t>11</w:t>
      </w:r>
      <w:r>
        <w:rPr>
          <w:rFonts w:hint="eastAsia"/>
          <w:spacing w:val="-6"/>
          <w:szCs w:val="22"/>
        </w:rPr>
        <w:t>’之间。东连余干、东乡、南接临川、丰城、西靠高安、奉新、靖安，北与永修、都昌、鄱阳三县共鄱阳湖，南北最大纵距约</w:t>
      </w:r>
      <w:r>
        <w:rPr>
          <w:spacing w:val="-6"/>
          <w:szCs w:val="22"/>
        </w:rPr>
        <w:t>121</w:t>
      </w:r>
      <w:r>
        <w:rPr>
          <w:rFonts w:hint="eastAsia"/>
          <w:spacing w:val="-6"/>
          <w:szCs w:val="22"/>
        </w:rPr>
        <w:t>公里，东西最大横距约</w:t>
      </w:r>
      <w:r>
        <w:rPr>
          <w:spacing w:val="-6"/>
          <w:szCs w:val="22"/>
        </w:rPr>
        <w:t>108</w:t>
      </w:r>
      <w:r>
        <w:rPr>
          <w:rFonts w:hint="eastAsia"/>
          <w:spacing w:val="-6"/>
          <w:szCs w:val="22"/>
        </w:rPr>
        <w:t>公里，总面积约</w:t>
      </w:r>
      <w:r>
        <w:rPr>
          <w:spacing w:val="-6"/>
          <w:szCs w:val="22"/>
        </w:rPr>
        <w:t>7402</w:t>
      </w:r>
      <w:r>
        <w:rPr>
          <w:rFonts w:hint="eastAsia"/>
          <w:spacing w:val="-6"/>
          <w:szCs w:val="22"/>
        </w:rPr>
        <w:t>平方公里。</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、地形、地貌、地质</w:t>
      </w:r>
    </w:p>
    <w:p w:rsidR="00B04AE3" w:rsidRDefault="00B04AE3">
      <w:pPr>
        <w:pStyle w:val="BodyText"/>
        <w:spacing w:before="20" w:line="360" w:lineRule="auto"/>
        <w:ind w:left="334" w:right="334" w:firstLine="482"/>
        <w:jc w:val="both"/>
        <w:rPr>
          <w:spacing w:val="-6"/>
          <w:szCs w:val="22"/>
        </w:rPr>
      </w:pPr>
      <w:r>
        <w:rPr>
          <w:rFonts w:hint="eastAsia"/>
          <w:spacing w:val="-6"/>
          <w:szCs w:val="22"/>
        </w:rPr>
        <w:t>南昌市位于江南台隆构造单元的丰城</w:t>
      </w:r>
      <w:r>
        <w:rPr>
          <w:spacing w:val="-6"/>
          <w:szCs w:val="22"/>
        </w:rPr>
        <w:t>——</w:t>
      </w:r>
      <w:r>
        <w:rPr>
          <w:rFonts w:hint="eastAsia"/>
          <w:spacing w:val="-6"/>
          <w:szCs w:val="22"/>
        </w:rPr>
        <w:t>乐平凹陷之中，构造上主要受赣江大断裂的影响，区内河谷阶地属内迭或上送类型。根据钻孔分析，未揭露明显的断裂构造。</w:t>
      </w:r>
    </w:p>
    <w:p w:rsidR="00B04AE3" w:rsidRDefault="00B04AE3">
      <w:pPr>
        <w:pStyle w:val="BodyText"/>
        <w:spacing w:before="20" w:line="360" w:lineRule="auto"/>
        <w:ind w:left="334" w:right="334" w:firstLine="482"/>
        <w:jc w:val="both"/>
        <w:rPr>
          <w:spacing w:val="-6"/>
          <w:szCs w:val="22"/>
        </w:rPr>
      </w:pPr>
      <w:r>
        <w:rPr>
          <w:rFonts w:hint="eastAsia"/>
          <w:spacing w:val="-6"/>
          <w:szCs w:val="22"/>
        </w:rPr>
        <w:t>区内第四系地层分布最广，岩性以洪积红土、砾石层及粗沙、砥石层为主，多分布于赣、抚、锦河两侧和滨湖地带。前震旦系地层断续分布于石岗、西山至樵舍。西部的欧阳村至华源一带，则有雪峰期喜山期岩浆岩出露。在白虎岭、柏岗等小褶皱发育地区，老土层隆起第三系、白垩系、三叠系、二叠系、石炭系、泥盆系等地层均有另星分布出露，岩性以炭岩、砂岩为代表。以上土层给全市地貌以深刻影响，形成西部山地逶迤，中部丘岗起伏，东部赣江、抚河下游平原绵延。区内第四纪发育，下伏基岩为第三纪红岩系。第四纪厚度约</w:t>
      </w:r>
      <w:r>
        <w:rPr>
          <w:spacing w:val="-6"/>
          <w:szCs w:val="22"/>
        </w:rPr>
        <w:t>15-37m</w:t>
      </w:r>
      <w:r>
        <w:rPr>
          <w:rFonts w:hint="eastAsia"/>
          <w:spacing w:val="-6"/>
          <w:szCs w:val="22"/>
        </w:rPr>
        <w:t>，基岩顶面自赣江上游向下游倾斜，第四系岩性变化复杂，总的规律是颗粒分布上细下粗，分属于粘性土和砂类土两大类。</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、气候、气象</w:t>
      </w:r>
    </w:p>
    <w:p w:rsidR="00B04AE3" w:rsidRDefault="00B04AE3">
      <w:pPr>
        <w:pStyle w:val="BodyText"/>
        <w:spacing w:before="20" w:line="360" w:lineRule="auto"/>
        <w:ind w:left="334" w:right="334" w:firstLine="482"/>
        <w:jc w:val="both"/>
        <w:rPr>
          <w:spacing w:val="-6"/>
          <w:szCs w:val="22"/>
        </w:rPr>
      </w:pPr>
      <w:r>
        <w:rPr>
          <w:rFonts w:hint="eastAsia"/>
          <w:spacing w:val="-6"/>
          <w:szCs w:val="22"/>
        </w:rPr>
        <w:t>南昌市气侯湿润温和，属亚热带季风区，雨量充沛，四季分明，春秋短，夏季长。根据南昌市气象站近二十年气象统计结果显示，年平均气温</w:t>
      </w:r>
      <w:r>
        <w:rPr>
          <w:spacing w:val="-6"/>
          <w:szCs w:val="22"/>
        </w:rPr>
        <w:t>18.2</w:t>
      </w:r>
      <w:r>
        <w:rPr>
          <w:rFonts w:hint="eastAsia"/>
          <w:spacing w:val="-6"/>
          <w:szCs w:val="22"/>
        </w:rPr>
        <w:t>℃，极端最高气温</w:t>
      </w:r>
      <w:r>
        <w:rPr>
          <w:spacing w:val="-6"/>
          <w:szCs w:val="22"/>
        </w:rPr>
        <w:t>40.6</w:t>
      </w:r>
      <w:r>
        <w:rPr>
          <w:rFonts w:hint="eastAsia"/>
          <w:spacing w:val="-6"/>
          <w:szCs w:val="22"/>
        </w:rPr>
        <w:t>℃，极端最低气温</w:t>
      </w:r>
      <w:r>
        <w:rPr>
          <w:spacing w:val="-6"/>
          <w:szCs w:val="22"/>
        </w:rPr>
        <w:t>-9.7</w:t>
      </w:r>
      <w:r>
        <w:rPr>
          <w:rFonts w:hint="eastAsia"/>
          <w:spacing w:val="-6"/>
          <w:szCs w:val="22"/>
        </w:rPr>
        <w:t>℃。年平均降水量为</w:t>
      </w:r>
      <w:r>
        <w:rPr>
          <w:spacing w:val="-6"/>
          <w:szCs w:val="22"/>
        </w:rPr>
        <w:t>1613.9mm</w:t>
      </w:r>
      <w:r>
        <w:rPr>
          <w:rFonts w:hint="eastAsia"/>
          <w:spacing w:val="-6"/>
          <w:szCs w:val="22"/>
        </w:rPr>
        <w:t>，降水日为</w:t>
      </w:r>
      <w:r>
        <w:rPr>
          <w:spacing w:val="-6"/>
          <w:szCs w:val="22"/>
        </w:rPr>
        <w:t>144</w:t>
      </w:r>
      <w:r>
        <w:rPr>
          <w:rFonts w:hint="eastAsia"/>
          <w:spacing w:val="-6"/>
          <w:szCs w:val="22"/>
        </w:rPr>
        <w:t>天，年暴雨日</w:t>
      </w:r>
      <w:r>
        <w:rPr>
          <w:spacing w:val="-6"/>
          <w:szCs w:val="22"/>
        </w:rPr>
        <w:t>58</w:t>
      </w:r>
      <w:r>
        <w:rPr>
          <w:rFonts w:hint="eastAsia"/>
          <w:spacing w:val="-6"/>
          <w:szCs w:val="22"/>
        </w:rPr>
        <w:t>天，年平均相对湿度为</w:t>
      </w:r>
      <w:r>
        <w:rPr>
          <w:spacing w:val="-6"/>
          <w:szCs w:val="22"/>
        </w:rPr>
        <w:t>78%</w:t>
      </w:r>
      <w:r>
        <w:rPr>
          <w:rFonts w:hint="eastAsia"/>
          <w:spacing w:val="-6"/>
          <w:szCs w:val="22"/>
        </w:rPr>
        <w:t>。年日照时间</w:t>
      </w:r>
      <w:r>
        <w:rPr>
          <w:spacing w:val="-6"/>
          <w:szCs w:val="22"/>
        </w:rPr>
        <w:t>1850.5</w:t>
      </w:r>
      <w:r>
        <w:rPr>
          <w:rFonts w:hint="eastAsia"/>
          <w:spacing w:val="-6"/>
          <w:szCs w:val="22"/>
        </w:rPr>
        <w:t>小时，日照率为</w:t>
      </w:r>
      <w:r>
        <w:rPr>
          <w:spacing w:val="-6"/>
          <w:szCs w:val="22"/>
        </w:rPr>
        <w:t>42%</w:t>
      </w:r>
      <w:r>
        <w:rPr>
          <w:rFonts w:hint="eastAsia"/>
          <w:spacing w:val="-6"/>
          <w:szCs w:val="22"/>
        </w:rPr>
        <w:t>。年平均风速</w:t>
      </w:r>
      <w:r>
        <w:rPr>
          <w:spacing w:val="-6"/>
          <w:szCs w:val="22"/>
        </w:rPr>
        <w:t>2.0m/s</w:t>
      </w:r>
      <w:r>
        <w:rPr>
          <w:rFonts w:hint="eastAsia"/>
          <w:spacing w:val="-6"/>
          <w:szCs w:val="22"/>
        </w:rPr>
        <w:t>，年最大风向为东北偏北风，夏季盛行西南风，冬季主导风向是北风或东北风。年无霜期</w:t>
      </w:r>
      <w:r>
        <w:rPr>
          <w:spacing w:val="-6"/>
          <w:szCs w:val="22"/>
        </w:rPr>
        <w:t>291</w:t>
      </w:r>
      <w:r>
        <w:rPr>
          <w:rFonts w:hint="eastAsia"/>
          <w:spacing w:val="-6"/>
          <w:szCs w:val="22"/>
        </w:rPr>
        <w:t>天。</w:t>
      </w:r>
    </w:p>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、地表水</w:t>
      </w:r>
    </w:p>
    <w:p w:rsidR="00B04AE3" w:rsidRDefault="00B04AE3">
      <w:pPr>
        <w:pStyle w:val="BodyText"/>
        <w:spacing w:before="20" w:line="360" w:lineRule="auto"/>
        <w:ind w:left="334" w:right="334" w:firstLine="482"/>
        <w:jc w:val="both"/>
        <w:rPr>
          <w:spacing w:val="-6"/>
          <w:szCs w:val="22"/>
        </w:rPr>
      </w:pPr>
      <w:r>
        <w:rPr>
          <w:rFonts w:hint="eastAsia"/>
          <w:spacing w:val="-6"/>
          <w:szCs w:val="22"/>
        </w:rPr>
        <w:t>赣江是江西省境内第一大河流。它是由发源于赣闽交界的武夷山黄竹岭的贡江和发源于大余县聂都水，并由章江在赣州市汇合而成。它自南向北贯穿全省，干流全长</w:t>
      </w:r>
      <w:r>
        <w:rPr>
          <w:spacing w:val="-6"/>
          <w:szCs w:val="22"/>
        </w:rPr>
        <w:t>439km</w:t>
      </w:r>
      <w:r>
        <w:rPr>
          <w:rFonts w:hint="eastAsia"/>
          <w:spacing w:val="-6"/>
          <w:szCs w:val="22"/>
        </w:rPr>
        <w:t>。南昌位于赣江的下游。赣江在新八一桥以下进入尾闾地区，它首先被裘家洲、扬子洲分成东、西两河。东河在蛟溪头又分成南支和中支两汊，南支绕过南昌市区向东北流经</w:t>
      </w:r>
      <w:r>
        <w:rPr>
          <w:spacing w:val="-6"/>
          <w:szCs w:val="22"/>
        </w:rPr>
        <w:t>45</w:t>
      </w:r>
      <w:r>
        <w:rPr>
          <w:rFonts w:hint="eastAsia"/>
          <w:spacing w:val="-6"/>
          <w:szCs w:val="22"/>
        </w:rPr>
        <w:t>公里入鄱阳湖，中支流经</w:t>
      </w:r>
      <w:r>
        <w:rPr>
          <w:spacing w:val="-6"/>
          <w:szCs w:val="22"/>
        </w:rPr>
        <w:t>30km</w:t>
      </w:r>
      <w:r>
        <w:rPr>
          <w:rFonts w:hint="eastAsia"/>
          <w:spacing w:val="-6"/>
          <w:szCs w:val="22"/>
        </w:rPr>
        <w:t>在朱港入鄱阳湖。西河在芦洲头分为主支和北支两汊。北支经下堡闵家再分成官港河和沙叉河两汊，在朱港农场入鄱阳湖。主支流在吴城镇与修水汇合后出诸溪口入鄱阳湖。</w:t>
      </w:r>
    </w:p>
    <w:p w:rsidR="00B04AE3" w:rsidRDefault="00B04AE3">
      <w:pPr>
        <w:pStyle w:val="BodyText"/>
        <w:spacing w:before="20" w:line="360" w:lineRule="auto"/>
        <w:ind w:left="334" w:right="334" w:firstLine="482"/>
        <w:jc w:val="both"/>
        <w:rPr>
          <w:spacing w:val="-6"/>
          <w:szCs w:val="22"/>
        </w:rPr>
      </w:pPr>
      <w:r>
        <w:rPr>
          <w:rFonts w:hint="eastAsia"/>
          <w:spacing w:val="-6"/>
          <w:szCs w:val="22"/>
        </w:rPr>
        <w:t>赣江最大日均流量为</w:t>
      </w:r>
      <w:r>
        <w:rPr>
          <w:spacing w:val="-6"/>
          <w:szCs w:val="22"/>
        </w:rPr>
        <w:t>20900m3/s(1962</w:t>
      </w:r>
      <w:r>
        <w:rPr>
          <w:rFonts w:hint="eastAsia"/>
          <w:spacing w:val="-6"/>
          <w:szCs w:val="22"/>
        </w:rPr>
        <w:t>年</w:t>
      </w:r>
      <w:r>
        <w:rPr>
          <w:spacing w:val="-6"/>
          <w:szCs w:val="22"/>
        </w:rPr>
        <w:t>6</w:t>
      </w:r>
      <w:r>
        <w:rPr>
          <w:rFonts w:hint="eastAsia"/>
          <w:spacing w:val="-6"/>
          <w:szCs w:val="22"/>
        </w:rPr>
        <w:t>月</w:t>
      </w:r>
      <w:r>
        <w:rPr>
          <w:spacing w:val="-6"/>
          <w:szCs w:val="22"/>
        </w:rPr>
        <w:t>20</w:t>
      </w:r>
      <w:r>
        <w:rPr>
          <w:rFonts w:hint="eastAsia"/>
          <w:spacing w:val="-6"/>
          <w:szCs w:val="22"/>
        </w:rPr>
        <w:t>日</w:t>
      </w:r>
      <w:r>
        <w:rPr>
          <w:spacing w:val="-6"/>
          <w:szCs w:val="22"/>
        </w:rPr>
        <w:t>)</w:t>
      </w:r>
      <w:r>
        <w:rPr>
          <w:rFonts w:hint="eastAsia"/>
          <w:spacing w:val="-6"/>
          <w:szCs w:val="22"/>
        </w:rPr>
        <w:t>，最小日均流量</w:t>
      </w:r>
      <w:r>
        <w:rPr>
          <w:spacing w:val="-6"/>
          <w:szCs w:val="22"/>
        </w:rPr>
        <w:t>172m3/s(1963</w:t>
      </w:r>
      <w:r>
        <w:rPr>
          <w:rFonts w:hint="eastAsia"/>
          <w:spacing w:val="-6"/>
          <w:szCs w:val="22"/>
        </w:rPr>
        <w:t>年</w:t>
      </w:r>
      <w:r>
        <w:rPr>
          <w:spacing w:val="-6"/>
          <w:szCs w:val="22"/>
        </w:rPr>
        <w:t>11</w:t>
      </w:r>
      <w:r>
        <w:rPr>
          <w:rFonts w:hint="eastAsia"/>
          <w:spacing w:val="-6"/>
          <w:szCs w:val="22"/>
        </w:rPr>
        <w:t>月</w:t>
      </w:r>
      <w:r>
        <w:rPr>
          <w:spacing w:val="-6"/>
          <w:szCs w:val="22"/>
        </w:rPr>
        <w:t>30</w:t>
      </w:r>
      <w:r>
        <w:rPr>
          <w:rFonts w:hint="eastAsia"/>
          <w:spacing w:val="-6"/>
          <w:szCs w:val="22"/>
        </w:rPr>
        <w:t>日</w:t>
      </w:r>
      <w:r>
        <w:rPr>
          <w:spacing w:val="-6"/>
          <w:szCs w:val="22"/>
        </w:rPr>
        <w:t>)</w:t>
      </w:r>
      <w:r>
        <w:rPr>
          <w:rFonts w:hint="eastAsia"/>
          <w:spacing w:val="-6"/>
          <w:szCs w:val="22"/>
        </w:rPr>
        <w:t>，四十年平均流量为</w:t>
      </w:r>
      <w:r>
        <w:rPr>
          <w:spacing w:val="-6"/>
          <w:szCs w:val="22"/>
        </w:rPr>
        <w:t>2100m3/s</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项目废水经白水湖污水处理厂处理达标后排入赣江北支，白水湖污水处理厂采用“粗细格栅</w:t>
      </w:r>
      <w:r>
        <w:rPr>
          <w:spacing w:val="-6"/>
          <w:szCs w:val="22"/>
        </w:rPr>
        <w:t>+</w:t>
      </w:r>
      <w:r>
        <w:rPr>
          <w:rFonts w:hint="eastAsia"/>
          <w:spacing w:val="-6"/>
          <w:szCs w:val="22"/>
        </w:rPr>
        <w:t>曝气沉砂池</w:t>
      </w:r>
      <w:r>
        <w:rPr>
          <w:spacing w:val="-6"/>
          <w:szCs w:val="22"/>
        </w:rPr>
        <w:t>+</w:t>
      </w:r>
      <w:r>
        <w:rPr>
          <w:rFonts w:hint="eastAsia"/>
          <w:spacing w:val="-6"/>
          <w:szCs w:val="22"/>
        </w:rPr>
        <w:t>改良</w:t>
      </w:r>
      <w:r>
        <w:rPr>
          <w:spacing w:val="-6"/>
          <w:szCs w:val="22"/>
        </w:rPr>
        <w:t>SBR</w:t>
      </w:r>
      <w:r>
        <w:rPr>
          <w:rFonts w:hint="eastAsia"/>
          <w:spacing w:val="-6"/>
          <w:szCs w:val="22"/>
        </w:rPr>
        <w:t>反应池</w:t>
      </w:r>
      <w:r>
        <w:rPr>
          <w:spacing w:val="-6"/>
          <w:szCs w:val="22"/>
        </w:rPr>
        <w:t>+</w:t>
      </w:r>
      <w:r>
        <w:rPr>
          <w:rFonts w:hint="eastAsia"/>
          <w:spacing w:val="-6"/>
          <w:szCs w:val="22"/>
        </w:rPr>
        <w:t>高密度沉淀池</w:t>
      </w:r>
      <w:r>
        <w:rPr>
          <w:spacing w:val="-6"/>
          <w:szCs w:val="22"/>
        </w:rPr>
        <w:t>+</w:t>
      </w:r>
      <w:r>
        <w:rPr>
          <w:rFonts w:hint="eastAsia"/>
          <w:spacing w:val="-6"/>
          <w:szCs w:val="22"/>
        </w:rPr>
        <w:t>紫外线消毒”工艺，白水湖污水处理厂总规模为</w:t>
      </w:r>
      <w:r>
        <w:rPr>
          <w:spacing w:val="-6"/>
          <w:szCs w:val="22"/>
        </w:rPr>
        <w:t>20</w:t>
      </w:r>
      <w:r>
        <w:rPr>
          <w:rFonts w:hint="eastAsia"/>
          <w:spacing w:val="-6"/>
          <w:szCs w:val="22"/>
        </w:rPr>
        <w:t>万</w:t>
      </w:r>
      <w:r>
        <w:rPr>
          <w:spacing w:val="-6"/>
          <w:szCs w:val="22"/>
        </w:rPr>
        <w:t>m3/d</w:t>
      </w:r>
      <w:r>
        <w:rPr>
          <w:rFonts w:hint="eastAsia"/>
          <w:spacing w:val="-6"/>
          <w:szCs w:val="22"/>
        </w:rPr>
        <w:t>，目前一期</w:t>
      </w:r>
      <w:r>
        <w:rPr>
          <w:spacing w:val="-6"/>
          <w:szCs w:val="22"/>
        </w:rPr>
        <w:t>5</w:t>
      </w:r>
      <w:r>
        <w:rPr>
          <w:rFonts w:hint="eastAsia"/>
          <w:spacing w:val="-6"/>
          <w:szCs w:val="22"/>
        </w:rPr>
        <w:t>万</w:t>
      </w:r>
      <w:r>
        <w:rPr>
          <w:spacing w:val="-6"/>
          <w:szCs w:val="22"/>
        </w:rPr>
        <w:t>m3/d</w:t>
      </w:r>
      <w:r>
        <w:rPr>
          <w:rFonts w:hint="eastAsia"/>
          <w:spacing w:val="-6"/>
          <w:szCs w:val="22"/>
        </w:rPr>
        <w:t>已建成运行。</w:t>
      </w:r>
    </w:p>
    <w:p w:rsidR="00B04AE3" w:rsidRDefault="00B04AE3">
      <w:pPr>
        <w:pStyle w:val="BodyText"/>
        <w:spacing w:before="20" w:line="360" w:lineRule="auto"/>
        <w:ind w:left="334" w:right="334" w:firstLine="482"/>
        <w:jc w:val="both"/>
        <w:rPr>
          <w:spacing w:val="-6"/>
          <w:szCs w:val="22"/>
        </w:rPr>
      </w:pPr>
      <w:r>
        <w:rPr>
          <w:rFonts w:hint="eastAsia"/>
          <w:spacing w:val="-6"/>
          <w:szCs w:val="22"/>
        </w:rPr>
        <w:t>白水湖水系主流蛟桥水发源于梅岭山脉的法水岭，经枫景、大港、蛟桥，至栗家山后汇入白水湖。</w:t>
      </w:r>
      <w:r>
        <w:rPr>
          <w:spacing w:val="-6"/>
          <w:szCs w:val="22"/>
        </w:rPr>
        <w:t>1986</w:t>
      </w:r>
      <w:r>
        <w:rPr>
          <w:rFonts w:hint="eastAsia"/>
          <w:spacing w:val="-6"/>
          <w:szCs w:val="22"/>
        </w:rPr>
        <w:t>年当地沿白水湖南北两岸的山脚自西向东开挖导排渠，将蛟桥水等来水导排入赣江西河。沿白水湖南岸的为梅岭山系泄洪沟渠</w:t>
      </w:r>
      <w:r>
        <w:rPr>
          <w:spacing w:val="-6"/>
          <w:szCs w:val="22"/>
        </w:rPr>
        <w:t>——</w:t>
      </w:r>
      <w:r>
        <w:rPr>
          <w:rFonts w:hint="eastAsia"/>
          <w:spacing w:val="-6"/>
          <w:szCs w:val="22"/>
        </w:rPr>
        <w:t>幸福前港（又名前港河），在吴家山附近将蛟桥水拦断引入导排渠，在鸡笼山与双港之间注入赣江西河；吴家山以下幸福前港全长</w:t>
      </w:r>
      <w:r>
        <w:rPr>
          <w:spacing w:val="-6"/>
          <w:szCs w:val="22"/>
        </w:rPr>
        <w:t>3.5km</w:t>
      </w:r>
      <w:r>
        <w:rPr>
          <w:rFonts w:hint="eastAsia"/>
          <w:spacing w:val="-6"/>
          <w:szCs w:val="22"/>
        </w:rPr>
        <w:t>，集水面积</w:t>
      </w:r>
      <w:r>
        <w:rPr>
          <w:spacing w:val="-6"/>
          <w:szCs w:val="22"/>
        </w:rPr>
        <w:t>24.11km2</w:t>
      </w:r>
      <w:r>
        <w:rPr>
          <w:rFonts w:hint="eastAsia"/>
          <w:spacing w:val="-6"/>
          <w:szCs w:val="22"/>
        </w:rPr>
        <w:t>。沿白水湖北岸的为盘龙山泄洪沟渠</w:t>
      </w:r>
      <w:r>
        <w:rPr>
          <w:spacing w:val="-6"/>
          <w:szCs w:val="22"/>
        </w:rPr>
        <w:t>—</w:t>
      </w:r>
      <w:r>
        <w:rPr>
          <w:rFonts w:hint="eastAsia"/>
          <w:spacing w:val="-6"/>
          <w:szCs w:val="22"/>
        </w:rPr>
        <w:t>幸福后港（又名后港河），起于北山林场拦水坝，经刘家、邹家，在河下村附近注入赣江西河；北山林场以下幸福后港全长</w:t>
      </w:r>
      <w:r>
        <w:rPr>
          <w:spacing w:val="-6"/>
          <w:szCs w:val="22"/>
        </w:rPr>
        <w:t>3.2km</w:t>
      </w:r>
      <w:r>
        <w:rPr>
          <w:rFonts w:hint="eastAsia"/>
          <w:spacing w:val="-6"/>
          <w:szCs w:val="22"/>
        </w:rPr>
        <w:t>，集水面积</w:t>
      </w:r>
      <w:r>
        <w:rPr>
          <w:spacing w:val="-6"/>
          <w:szCs w:val="22"/>
        </w:rPr>
        <w:t>9.17km2</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bookmarkStart w:id="56" w:name="_Toc260928843"/>
      <w:r>
        <w:rPr>
          <w:spacing w:val="-6"/>
          <w:szCs w:val="22"/>
        </w:rPr>
        <w:t>5</w:t>
      </w:r>
      <w:r>
        <w:rPr>
          <w:rFonts w:hint="eastAsia"/>
          <w:spacing w:val="-6"/>
          <w:szCs w:val="22"/>
        </w:rPr>
        <w:t>、</w:t>
      </w:r>
      <w:bookmarkEnd w:id="56"/>
      <w:r>
        <w:rPr>
          <w:rFonts w:hint="eastAsia"/>
          <w:spacing w:val="-6"/>
          <w:szCs w:val="22"/>
        </w:rPr>
        <w:t>自然资源</w:t>
      </w:r>
    </w:p>
    <w:p w:rsidR="00B04AE3" w:rsidRDefault="00B04AE3">
      <w:pPr>
        <w:pStyle w:val="BodyText"/>
        <w:spacing w:before="20" w:line="360" w:lineRule="auto"/>
        <w:ind w:left="334" w:right="334" w:firstLine="482"/>
        <w:jc w:val="both"/>
        <w:rPr>
          <w:spacing w:val="-6"/>
          <w:szCs w:val="22"/>
        </w:rPr>
      </w:pPr>
      <w:r>
        <w:rPr>
          <w:rFonts w:hint="eastAsia"/>
          <w:spacing w:val="-6"/>
          <w:szCs w:val="22"/>
        </w:rPr>
        <w:t>南昌市主要树木有</w:t>
      </w:r>
      <w:r>
        <w:rPr>
          <w:spacing w:val="-6"/>
          <w:szCs w:val="22"/>
        </w:rPr>
        <w:t>413</w:t>
      </w:r>
      <w:r>
        <w:rPr>
          <w:rFonts w:hint="eastAsia"/>
          <w:spacing w:val="-6"/>
          <w:szCs w:val="22"/>
        </w:rPr>
        <w:t>种，常见树种为松、杉、樟等。被称为活化石的银杏、水杉和被誉为水果之王的猕猴桃也有零星分布。用材林、薪炭林居多，分别占有林地面积的</w:t>
      </w:r>
      <w:r>
        <w:rPr>
          <w:spacing w:val="-6"/>
          <w:szCs w:val="22"/>
        </w:rPr>
        <w:t>39%</w:t>
      </w:r>
      <w:r>
        <w:rPr>
          <w:rFonts w:hint="eastAsia"/>
          <w:spacing w:val="-6"/>
          <w:szCs w:val="22"/>
        </w:rPr>
        <w:t>和</w:t>
      </w:r>
      <w:r>
        <w:rPr>
          <w:spacing w:val="-6"/>
          <w:szCs w:val="22"/>
        </w:rPr>
        <w:t>31.8%</w:t>
      </w:r>
      <w:r>
        <w:rPr>
          <w:rFonts w:hint="eastAsia"/>
          <w:spacing w:val="-6"/>
          <w:szCs w:val="22"/>
        </w:rPr>
        <w:t>；防护林、特用林比重偏小，分别占有林地面积的</w:t>
      </w:r>
      <w:r>
        <w:rPr>
          <w:spacing w:val="-6"/>
          <w:szCs w:val="22"/>
        </w:rPr>
        <w:t>20.9%</w:t>
      </w:r>
      <w:r>
        <w:rPr>
          <w:rFonts w:hint="eastAsia"/>
          <w:spacing w:val="-6"/>
          <w:szCs w:val="22"/>
        </w:rPr>
        <w:t>和</w:t>
      </w:r>
      <w:r>
        <w:rPr>
          <w:spacing w:val="-6"/>
          <w:szCs w:val="22"/>
        </w:rPr>
        <w:t>4.5%</w:t>
      </w:r>
      <w:r>
        <w:rPr>
          <w:rFonts w:hint="eastAsia"/>
          <w:spacing w:val="-6"/>
          <w:szCs w:val="22"/>
        </w:rPr>
        <w:t>。野生动物有</w:t>
      </w:r>
      <w:r>
        <w:rPr>
          <w:spacing w:val="-6"/>
          <w:szCs w:val="22"/>
        </w:rPr>
        <w:t>480</w:t>
      </w:r>
      <w:r>
        <w:rPr>
          <w:rFonts w:hint="eastAsia"/>
          <w:spacing w:val="-6"/>
          <w:szCs w:val="22"/>
        </w:rPr>
        <w:t>多种，其中国家级保护鸟类</w:t>
      </w:r>
      <w:r>
        <w:rPr>
          <w:spacing w:val="-6"/>
          <w:szCs w:val="22"/>
        </w:rPr>
        <w:t>20</w:t>
      </w:r>
      <w:r>
        <w:rPr>
          <w:rFonts w:hint="eastAsia"/>
          <w:spacing w:val="-6"/>
          <w:szCs w:val="22"/>
        </w:rPr>
        <w:t>多种，珍稀鸟类</w:t>
      </w:r>
      <w:r>
        <w:rPr>
          <w:spacing w:val="-6"/>
          <w:szCs w:val="22"/>
        </w:rPr>
        <w:t>12</w:t>
      </w:r>
      <w:r>
        <w:rPr>
          <w:rFonts w:hint="eastAsia"/>
          <w:spacing w:val="-6"/>
          <w:szCs w:val="22"/>
        </w:rPr>
        <w:t>种。</w:t>
      </w:r>
    </w:p>
    <w:p w:rsidR="00B04AE3" w:rsidRDefault="00B04AE3">
      <w:pPr>
        <w:pStyle w:val="BodyText"/>
        <w:spacing w:before="20" w:line="360" w:lineRule="auto"/>
        <w:ind w:left="334" w:right="334" w:firstLine="482"/>
        <w:jc w:val="both"/>
        <w:rPr>
          <w:spacing w:val="-6"/>
          <w:szCs w:val="22"/>
        </w:rPr>
      </w:pPr>
      <w:r>
        <w:rPr>
          <w:rFonts w:hint="eastAsia"/>
          <w:spacing w:val="-6"/>
          <w:szCs w:val="22"/>
        </w:rPr>
        <w:t>耕地面积</w:t>
      </w:r>
      <w:r>
        <w:rPr>
          <w:spacing w:val="-6"/>
          <w:szCs w:val="22"/>
        </w:rPr>
        <w:t>21.04</w:t>
      </w:r>
      <w:r>
        <w:rPr>
          <w:rFonts w:hint="eastAsia"/>
          <w:spacing w:val="-6"/>
          <w:szCs w:val="22"/>
        </w:rPr>
        <w:t>万公顷。其中有效灌溉面积</w:t>
      </w:r>
      <w:r>
        <w:rPr>
          <w:spacing w:val="-6"/>
          <w:szCs w:val="22"/>
        </w:rPr>
        <w:t>18.98</w:t>
      </w:r>
      <w:r>
        <w:rPr>
          <w:rFonts w:hint="eastAsia"/>
          <w:spacing w:val="-6"/>
          <w:szCs w:val="22"/>
        </w:rPr>
        <w:t>万公顷，占</w:t>
      </w:r>
      <w:r>
        <w:rPr>
          <w:spacing w:val="-6"/>
          <w:szCs w:val="22"/>
        </w:rPr>
        <w:t>90.2%</w:t>
      </w:r>
      <w:r>
        <w:rPr>
          <w:rFonts w:hint="eastAsia"/>
          <w:spacing w:val="-6"/>
          <w:szCs w:val="22"/>
        </w:rPr>
        <w:t>。在有效灌溉面积中，旱涝保收面积</w:t>
      </w:r>
      <w:r>
        <w:rPr>
          <w:spacing w:val="-6"/>
          <w:szCs w:val="22"/>
        </w:rPr>
        <w:t>15.57</w:t>
      </w:r>
      <w:r>
        <w:rPr>
          <w:rFonts w:hint="eastAsia"/>
          <w:spacing w:val="-6"/>
          <w:szCs w:val="22"/>
        </w:rPr>
        <w:t>万公顷，占</w:t>
      </w:r>
      <w:r>
        <w:rPr>
          <w:spacing w:val="-6"/>
          <w:szCs w:val="22"/>
        </w:rPr>
        <w:t>82.0%</w:t>
      </w:r>
      <w:r>
        <w:rPr>
          <w:rFonts w:hint="eastAsia"/>
          <w:spacing w:val="-6"/>
          <w:szCs w:val="22"/>
        </w:rPr>
        <w:t>。林地面积</w:t>
      </w:r>
      <w:r>
        <w:rPr>
          <w:spacing w:val="-6"/>
          <w:szCs w:val="22"/>
        </w:rPr>
        <w:t>13.2</w:t>
      </w:r>
      <w:r>
        <w:rPr>
          <w:rFonts w:hint="eastAsia"/>
          <w:spacing w:val="-6"/>
          <w:szCs w:val="22"/>
        </w:rPr>
        <w:t>万公顷，森林覆盖率</w:t>
      </w:r>
      <w:r>
        <w:rPr>
          <w:spacing w:val="-6"/>
          <w:szCs w:val="22"/>
        </w:rPr>
        <w:t>17.1%</w:t>
      </w:r>
      <w:r>
        <w:rPr>
          <w:rFonts w:hint="eastAsia"/>
          <w:spacing w:val="-6"/>
          <w:szCs w:val="22"/>
        </w:rPr>
        <w:t>，活立木蓄积量</w:t>
      </w:r>
      <w:r>
        <w:rPr>
          <w:spacing w:val="-6"/>
          <w:szCs w:val="22"/>
        </w:rPr>
        <w:t>220</w:t>
      </w:r>
      <w:r>
        <w:rPr>
          <w:rFonts w:hint="eastAsia"/>
          <w:spacing w:val="-6"/>
          <w:szCs w:val="22"/>
        </w:rPr>
        <w:t>万立方米。野生动、植物资源品种繁多。</w:t>
      </w:r>
    </w:p>
    <w:p w:rsidR="00B04AE3" w:rsidRDefault="00B04AE3">
      <w:pPr>
        <w:pStyle w:val="BodyText"/>
        <w:spacing w:before="20" w:line="360" w:lineRule="auto"/>
        <w:ind w:left="334" w:right="334" w:firstLine="482"/>
        <w:jc w:val="both"/>
        <w:rPr>
          <w:spacing w:val="-6"/>
          <w:szCs w:val="22"/>
        </w:rPr>
      </w:pPr>
      <w:r>
        <w:rPr>
          <w:rFonts w:hint="eastAsia"/>
          <w:spacing w:val="-6"/>
          <w:szCs w:val="22"/>
        </w:rPr>
        <w:t>矿藏以非金属建材矿为主，兼有燃料、矿泉水等各类矿产</w:t>
      </w:r>
      <w:r>
        <w:rPr>
          <w:spacing w:val="-6"/>
          <w:szCs w:val="22"/>
        </w:rPr>
        <w:t>28</w:t>
      </w:r>
      <w:r>
        <w:rPr>
          <w:rFonts w:hint="eastAsia"/>
          <w:spacing w:val="-6"/>
          <w:szCs w:val="22"/>
        </w:rPr>
        <w:t>种。已发现矿点、矿化点</w:t>
      </w:r>
      <w:r>
        <w:rPr>
          <w:spacing w:val="-6"/>
          <w:szCs w:val="22"/>
        </w:rPr>
        <w:t>100</w:t>
      </w:r>
      <w:r>
        <w:rPr>
          <w:rFonts w:hint="eastAsia"/>
          <w:spacing w:val="-6"/>
          <w:szCs w:val="22"/>
        </w:rPr>
        <w:t>处，尤以建筑用砂、砖瓦粘土、饰面石材、石灰石和矿泉水等具有较好的开发前景。花岗岩、砂卵石储量巨大，开采历史悠久。</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公司所在区域执行的环境标准见下表。</w:t>
      </w:r>
    </w:p>
    <w:p w:rsidR="00B04AE3" w:rsidRDefault="00B04AE3">
      <w:pPr>
        <w:pStyle w:val="BodyText"/>
        <w:spacing w:before="20" w:line="360" w:lineRule="auto"/>
        <w:ind w:left="334" w:right="334" w:firstLine="482"/>
        <w:jc w:val="both"/>
        <w:rPr>
          <w:spacing w:val="-6"/>
          <w:szCs w:val="22"/>
        </w:rPr>
      </w:pPr>
      <w:r>
        <w:rPr>
          <w:spacing w:val="-6"/>
          <w:szCs w:val="22"/>
        </w:rPr>
        <w:t xml:space="preserve">(1)  </w:t>
      </w:r>
      <w:r>
        <w:rPr>
          <w:rFonts w:hint="eastAsia"/>
          <w:spacing w:val="-6"/>
          <w:szCs w:val="22"/>
        </w:rPr>
        <w:t>环境空气</w:t>
      </w:r>
    </w:p>
    <w:p w:rsidR="00B04AE3" w:rsidRDefault="00B04AE3">
      <w:pPr>
        <w:pStyle w:val="BodyText"/>
        <w:spacing w:before="20" w:line="360" w:lineRule="auto"/>
        <w:ind w:left="334" w:right="334" w:firstLine="482"/>
        <w:jc w:val="both"/>
        <w:rPr>
          <w:spacing w:val="-6"/>
          <w:szCs w:val="22"/>
        </w:rPr>
      </w:pPr>
      <w:r>
        <w:rPr>
          <w:rFonts w:hint="eastAsia"/>
          <w:spacing w:val="-6"/>
          <w:szCs w:val="22"/>
        </w:rPr>
        <w:t>本建设项目所在地环境空气质量执行《环境空气质量标准》</w:t>
      </w:r>
      <w:r>
        <w:rPr>
          <w:spacing w:val="-6"/>
          <w:szCs w:val="22"/>
        </w:rPr>
        <w:t>(GB3095-1996)</w:t>
      </w:r>
      <w:r>
        <w:rPr>
          <w:rFonts w:hint="eastAsia"/>
          <w:spacing w:val="-6"/>
          <w:szCs w:val="22"/>
        </w:rPr>
        <w:t>中二级标准，具体指标见表</w:t>
      </w:r>
      <w:r>
        <w:rPr>
          <w:spacing w:val="-6"/>
          <w:szCs w:val="22"/>
          <w:lang w:val="en-US"/>
        </w:rPr>
        <w:t>2.4-1</w:t>
      </w:r>
      <w:r>
        <w:rPr>
          <w:rFonts w:hint="eastAsia"/>
          <w:spacing w:val="-6"/>
          <w:szCs w:val="22"/>
        </w:rPr>
        <w:t>。</w:t>
      </w:r>
    </w:p>
    <w:p w:rsidR="00B04AE3" w:rsidRDefault="00B04AE3">
      <w:pPr>
        <w:adjustRightInd w:val="0"/>
        <w:snapToGrid w:val="0"/>
        <w:spacing w:line="360" w:lineRule="auto"/>
        <w:jc w:val="center"/>
        <w:rPr>
          <w:sz w:val="24"/>
          <w:vertAlign w:val="superscript"/>
        </w:rPr>
      </w:pPr>
      <w:r>
        <w:rPr>
          <w:rFonts w:hint="eastAsia"/>
          <w:bCs/>
          <w:sz w:val="24"/>
        </w:rPr>
        <w:t>表</w:t>
      </w:r>
      <w:r>
        <w:rPr>
          <w:bCs/>
          <w:sz w:val="24"/>
          <w:lang w:val="en-US"/>
        </w:rPr>
        <w:t>2.4-1</w:t>
      </w:r>
      <w:r>
        <w:rPr>
          <w:bCs/>
          <w:sz w:val="24"/>
        </w:rPr>
        <w:t xml:space="preserve"> </w:t>
      </w:r>
      <w:r>
        <w:rPr>
          <w:rFonts w:hint="eastAsia"/>
          <w:bCs/>
          <w:sz w:val="24"/>
        </w:rPr>
        <w:t>环境空气质量标准二级标准</w:t>
      </w:r>
      <w:r>
        <w:rPr>
          <w:bCs/>
          <w:sz w:val="24"/>
        </w:rPr>
        <w:t xml:space="preserve"> </w:t>
      </w:r>
      <w:r>
        <w:rPr>
          <w:b/>
          <w:sz w:val="24"/>
        </w:rPr>
        <w:t xml:space="preserve">  (</w:t>
      </w:r>
      <w:r>
        <w:rPr>
          <w:rFonts w:hint="eastAsia"/>
          <w:sz w:val="24"/>
        </w:rPr>
        <w:t>单位：</w:t>
      </w:r>
      <w:r>
        <w:rPr>
          <w:sz w:val="24"/>
        </w:rPr>
        <w:t>mg/Nm</w:t>
      </w:r>
      <w:r>
        <w:rPr>
          <w:sz w:val="24"/>
          <w:vertAlign w:val="superscript"/>
        </w:rPr>
        <w:t>3</w:t>
      </w:r>
      <w:r>
        <w:rPr>
          <w:sz w:val="24"/>
        </w:rPr>
        <w:t>)</w:t>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09"/>
        <w:gridCol w:w="1721"/>
        <w:gridCol w:w="1203"/>
        <w:gridCol w:w="1375"/>
        <w:gridCol w:w="2752"/>
      </w:tblGrid>
      <w:tr w:rsidR="00B04AE3">
        <w:trPr>
          <w:trHeight w:val="549"/>
          <w:jc w:val="center"/>
        </w:trPr>
        <w:tc>
          <w:tcPr>
            <w:tcW w:w="1709" w:type="dxa"/>
            <w:vAlign w:val="center"/>
          </w:tcPr>
          <w:p w:rsidR="00B04AE3" w:rsidRDefault="00B04AE3">
            <w:pPr>
              <w:jc w:val="center"/>
              <w:rPr>
                <w:bCs/>
                <w:sz w:val="21"/>
                <w:szCs w:val="21"/>
              </w:rPr>
            </w:pPr>
            <w:r>
              <w:rPr>
                <w:rFonts w:hint="eastAsia"/>
                <w:bCs/>
                <w:sz w:val="21"/>
                <w:szCs w:val="21"/>
              </w:rPr>
              <w:t>污染物因子</w:t>
            </w:r>
          </w:p>
        </w:tc>
        <w:tc>
          <w:tcPr>
            <w:tcW w:w="1721" w:type="dxa"/>
            <w:vAlign w:val="center"/>
          </w:tcPr>
          <w:p w:rsidR="00B04AE3" w:rsidRDefault="00B04AE3">
            <w:pPr>
              <w:jc w:val="center"/>
              <w:rPr>
                <w:bCs/>
                <w:sz w:val="21"/>
                <w:szCs w:val="21"/>
              </w:rPr>
            </w:pPr>
            <w:r>
              <w:rPr>
                <w:bCs/>
                <w:sz w:val="21"/>
                <w:szCs w:val="21"/>
              </w:rPr>
              <w:t>1</w:t>
            </w:r>
            <w:r>
              <w:rPr>
                <w:rFonts w:hint="eastAsia"/>
                <w:bCs/>
                <w:sz w:val="21"/>
                <w:szCs w:val="21"/>
              </w:rPr>
              <w:t>小时平均</w:t>
            </w:r>
            <w:r>
              <w:rPr>
                <w:bCs/>
                <w:sz w:val="21"/>
                <w:szCs w:val="21"/>
              </w:rPr>
              <w:t>(</w:t>
            </w:r>
            <w:r>
              <w:rPr>
                <w:rFonts w:hint="eastAsia"/>
                <w:bCs/>
                <w:sz w:val="21"/>
                <w:szCs w:val="21"/>
              </w:rPr>
              <w:t>一次</w:t>
            </w:r>
            <w:r>
              <w:rPr>
                <w:bCs/>
                <w:sz w:val="21"/>
                <w:szCs w:val="21"/>
              </w:rPr>
              <w:t>)</w:t>
            </w:r>
          </w:p>
        </w:tc>
        <w:tc>
          <w:tcPr>
            <w:tcW w:w="1203" w:type="dxa"/>
            <w:vAlign w:val="center"/>
          </w:tcPr>
          <w:p w:rsidR="00B04AE3" w:rsidRDefault="00B04AE3">
            <w:pPr>
              <w:jc w:val="center"/>
              <w:rPr>
                <w:bCs/>
                <w:sz w:val="21"/>
                <w:szCs w:val="21"/>
              </w:rPr>
            </w:pPr>
            <w:r>
              <w:rPr>
                <w:rFonts w:hint="eastAsia"/>
                <w:bCs/>
                <w:sz w:val="21"/>
                <w:szCs w:val="21"/>
              </w:rPr>
              <w:t>日平均</w:t>
            </w:r>
          </w:p>
        </w:tc>
        <w:tc>
          <w:tcPr>
            <w:tcW w:w="1375" w:type="dxa"/>
            <w:vAlign w:val="center"/>
          </w:tcPr>
          <w:p w:rsidR="00B04AE3" w:rsidRDefault="00B04AE3">
            <w:pPr>
              <w:jc w:val="center"/>
              <w:rPr>
                <w:bCs/>
                <w:sz w:val="21"/>
                <w:szCs w:val="21"/>
              </w:rPr>
            </w:pPr>
            <w:r>
              <w:rPr>
                <w:rFonts w:hint="eastAsia"/>
                <w:bCs/>
                <w:sz w:val="21"/>
                <w:szCs w:val="21"/>
              </w:rPr>
              <w:t>年平均</w:t>
            </w:r>
          </w:p>
        </w:tc>
        <w:tc>
          <w:tcPr>
            <w:tcW w:w="2752" w:type="dxa"/>
            <w:vAlign w:val="center"/>
          </w:tcPr>
          <w:p w:rsidR="00B04AE3" w:rsidRDefault="00B04AE3">
            <w:pPr>
              <w:jc w:val="center"/>
              <w:rPr>
                <w:bCs/>
                <w:sz w:val="21"/>
                <w:szCs w:val="21"/>
              </w:rPr>
            </w:pPr>
            <w:r>
              <w:rPr>
                <w:rFonts w:hint="eastAsia"/>
                <w:bCs/>
                <w:sz w:val="21"/>
                <w:szCs w:val="21"/>
              </w:rPr>
              <w:t>标准来源</w:t>
            </w:r>
          </w:p>
        </w:tc>
      </w:tr>
      <w:tr w:rsidR="00B04AE3">
        <w:trPr>
          <w:trHeight w:val="343"/>
          <w:jc w:val="center"/>
        </w:trPr>
        <w:tc>
          <w:tcPr>
            <w:tcW w:w="1709" w:type="dxa"/>
            <w:vAlign w:val="center"/>
          </w:tcPr>
          <w:p w:rsidR="00B04AE3" w:rsidRDefault="00B04AE3">
            <w:pPr>
              <w:jc w:val="center"/>
              <w:rPr>
                <w:sz w:val="21"/>
                <w:szCs w:val="21"/>
              </w:rPr>
            </w:pPr>
            <w:r>
              <w:rPr>
                <w:sz w:val="21"/>
                <w:szCs w:val="21"/>
              </w:rPr>
              <w:t>PM</w:t>
            </w:r>
            <w:r>
              <w:rPr>
                <w:sz w:val="21"/>
                <w:szCs w:val="21"/>
                <w:vertAlign w:val="subscript"/>
              </w:rPr>
              <w:t>10</w:t>
            </w:r>
          </w:p>
        </w:tc>
        <w:tc>
          <w:tcPr>
            <w:tcW w:w="1721" w:type="dxa"/>
            <w:vAlign w:val="center"/>
          </w:tcPr>
          <w:p w:rsidR="00B04AE3" w:rsidRDefault="00B04AE3">
            <w:pPr>
              <w:jc w:val="center"/>
              <w:rPr>
                <w:sz w:val="21"/>
                <w:szCs w:val="21"/>
              </w:rPr>
            </w:pPr>
            <w:r>
              <w:rPr>
                <w:sz w:val="21"/>
                <w:szCs w:val="21"/>
              </w:rPr>
              <w:t>/</w:t>
            </w:r>
          </w:p>
        </w:tc>
        <w:tc>
          <w:tcPr>
            <w:tcW w:w="1203" w:type="dxa"/>
            <w:vAlign w:val="center"/>
          </w:tcPr>
          <w:p w:rsidR="00B04AE3" w:rsidRDefault="00B04AE3">
            <w:pPr>
              <w:jc w:val="center"/>
              <w:rPr>
                <w:sz w:val="21"/>
                <w:szCs w:val="21"/>
              </w:rPr>
            </w:pPr>
            <w:r>
              <w:rPr>
                <w:sz w:val="21"/>
                <w:szCs w:val="21"/>
              </w:rPr>
              <w:t>0.15</w:t>
            </w:r>
          </w:p>
        </w:tc>
        <w:tc>
          <w:tcPr>
            <w:tcW w:w="1375" w:type="dxa"/>
            <w:vAlign w:val="center"/>
          </w:tcPr>
          <w:p w:rsidR="00B04AE3" w:rsidRDefault="00B04AE3">
            <w:pPr>
              <w:jc w:val="center"/>
              <w:rPr>
                <w:sz w:val="21"/>
                <w:szCs w:val="21"/>
              </w:rPr>
            </w:pPr>
            <w:r>
              <w:rPr>
                <w:sz w:val="21"/>
                <w:szCs w:val="21"/>
              </w:rPr>
              <w:t>0.10</w:t>
            </w:r>
          </w:p>
        </w:tc>
        <w:tc>
          <w:tcPr>
            <w:tcW w:w="2752" w:type="dxa"/>
            <w:vMerge w:val="restart"/>
            <w:vAlign w:val="center"/>
          </w:tcPr>
          <w:p w:rsidR="00B04AE3" w:rsidRDefault="00B04AE3">
            <w:pPr>
              <w:jc w:val="center"/>
              <w:rPr>
                <w:sz w:val="21"/>
                <w:szCs w:val="21"/>
                <w:lang w:val="en-US"/>
              </w:rPr>
            </w:pPr>
            <w:r>
              <w:rPr>
                <w:sz w:val="21"/>
                <w:szCs w:val="21"/>
              </w:rPr>
              <w:t>GB3095-</w:t>
            </w:r>
            <w:r>
              <w:rPr>
                <w:sz w:val="21"/>
                <w:szCs w:val="21"/>
                <w:lang w:val="en-US"/>
              </w:rPr>
              <w:t>2012</w:t>
            </w:r>
          </w:p>
          <w:p w:rsidR="00B04AE3" w:rsidRDefault="00B04AE3">
            <w:pPr>
              <w:jc w:val="center"/>
              <w:rPr>
                <w:sz w:val="21"/>
                <w:szCs w:val="21"/>
              </w:rPr>
            </w:pPr>
            <w:r>
              <w:rPr>
                <w:rFonts w:hint="eastAsia"/>
                <w:sz w:val="21"/>
                <w:szCs w:val="21"/>
              </w:rPr>
              <w:t>二级</w:t>
            </w:r>
          </w:p>
        </w:tc>
      </w:tr>
      <w:tr w:rsidR="00B04AE3">
        <w:trPr>
          <w:trHeight w:val="343"/>
          <w:jc w:val="center"/>
        </w:trPr>
        <w:tc>
          <w:tcPr>
            <w:tcW w:w="1709" w:type="dxa"/>
            <w:vAlign w:val="center"/>
          </w:tcPr>
          <w:p w:rsidR="00B04AE3" w:rsidRDefault="00B04AE3">
            <w:pPr>
              <w:jc w:val="center"/>
              <w:rPr>
                <w:sz w:val="21"/>
                <w:szCs w:val="21"/>
                <w:vertAlign w:val="subscript"/>
              </w:rPr>
            </w:pPr>
            <w:r>
              <w:rPr>
                <w:sz w:val="21"/>
                <w:szCs w:val="21"/>
              </w:rPr>
              <w:t>SO</w:t>
            </w:r>
            <w:r>
              <w:rPr>
                <w:sz w:val="21"/>
                <w:szCs w:val="21"/>
                <w:vertAlign w:val="subscript"/>
              </w:rPr>
              <w:t>2</w:t>
            </w:r>
          </w:p>
        </w:tc>
        <w:tc>
          <w:tcPr>
            <w:tcW w:w="1721" w:type="dxa"/>
            <w:vAlign w:val="center"/>
          </w:tcPr>
          <w:p w:rsidR="00B04AE3" w:rsidRDefault="00B04AE3">
            <w:pPr>
              <w:jc w:val="center"/>
              <w:rPr>
                <w:sz w:val="21"/>
                <w:szCs w:val="21"/>
              </w:rPr>
            </w:pPr>
            <w:r>
              <w:rPr>
                <w:sz w:val="21"/>
                <w:szCs w:val="21"/>
              </w:rPr>
              <w:t>0.50</w:t>
            </w:r>
          </w:p>
        </w:tc>
        <w:tc>
          <w:tcPr>
            <w:tcW w:w="1203" w:type="dxa"/>
            <w:vAlign w:val="center"/>
          </w:tcPr>
          <w:p w:rsidR="00B04AE3" w:rsidRDefault="00B04AE3">
            <w:pPr>
              <w:jc w:val="center"/>
              <w:rPr>
                <w:sz w:val="21"/>
                <w:szCs w:val="21"/>
              </w:rPr>
            </w:pPr>
            <w:r>
              <w:rPr>
                <w:sz w:val="21"/>
                <w:szCs w:val="21"/>
              </w:rPr>
              <w:t>0.15</w:t>
            </w:r>
          </w:p>
        </w:tc>
        <w:tc>
          <w:tcPr>
            <w:tcW w:w="1375" w:type="dxa"/>
            <w:vAlign w:val="center"/>
          </w:tcPr>
          <w:p w:rsidR="00B04AE3" w:rsidRDefault="00B04AE3">
            <w:pPr>
              <w:jc w:val="center"/>
              <w:rPr>
                <w:sz w:val="21"/>
                <w:szCs w:val="21"/>
              </w:rPr>
            </w:pPr>
            <w:r>
              <w:rPr>
                <w:sz w:val="21"/>
                <w:szCs w:val="21"/>
              </w:rPr>
              <w:t>0.06</w:t>
            </w:r>
          </w:p>
        </w:tc>
        <w:tc>
          <w:tcPr>
            <w:tcW w:w="2752" w:type="dxa"/>
            <w:vMerge/>
            <w:vAlign w:val="center"/>
          </w:tcPr>
          <w:p w:rsidR="00B04AE3" w:rsidRDefault="00B04AE3">
            <w:pPr>
              <w:jc w:val="center"/>
              <w:rPr>
                <w:sz w:val="21"/>
                <w:szCs w:val="21"/>
              </w:rPr>
            </w:pPr>
          </w:p>
        </w:tc>
      </w:tr>
      <w:tr w:rsidR="00B04AE3">
        <w:trPr>
          <w:trHeight w:val="362"/>
          <w:jc w:val="center"/>
        </w:trPr>
        <w:tc>
          <w:tcPr>
            <w:tcW w:w="1709" w:type="dxa"/>
            <w:vAlign w:val="center"/>
          </w:tcPr>
          <w:p w:rsidR="00B04AE3" w:rsidRDefault="00B04AE3">
            <w:pPr>
              <w:jc w:val="center"/>
              <w:rPr>
                <w:sz w:val="21"/>
                <w:szCs w:val="21"/>
              </w:rPr>
            </w:pPr>
            <w:r>
              <w:rPr>
                <w:sz w:val="21"/>
                <w:szCs w:val="21"/>
              </w:rPr>
              <w:t>NO</w:t>
            </w:r>
            <w:r>
              <w:rPr>
                <w:sz w:val="21"/>
                <w:szCs w:val="21"/>
                <w:vertAlign w:val="subscript"/>
              </w:rPr>
              <w:t>2</w:t>
            </w:r>
          </w:p>
        </w:tc>
        <w:tc>
          <w:tcPr>
            <w:tcW w:w="1721" w:type="dxa"/>
            <w:vAlign w:val="center"/>
          </w:tcPr>
          <w:p w:rsidR="00B04AE3" w:rsidRDefault="00B04AE3">
            <w:pPr>
              <w:jc w:val="center"/>
              <w:rPr>
                <w:sz w:val="21"/>
                <w:szCs w:val="21"/>
              </w:rPr>
            </w:pPr>
            <w:r>
              <w:rPr>
                <w:sz w:val="21"/>
                <w:szCs w:val="21"/>
              </w:rPr>
              <w:t>0.12</w:t>
            </w:r>
          </w:p>
        </w:tc>
        <w:tc>
          <w:tcPr>
            <w:tcW w:w="1203" w:type="dxa"/>
            <w:vAlign w:val="center"/>
          </w:tcPr>
          <w:p w:rsidR="00B04AE3" w:rsidRDefault="00B04AE3">
            <w:pPr>
              <w:jc w:val="center"/>
              <w:rPr>
                <w:sz w:val="21"/>
                <w:szCs w:val="21"/>
              </w:rPr>
            </w:pPr>
            <w:r>
              <w:rPr>
                <w:sz w:val="21"/>
                <w:szCs w:val="21"/>
              </w:rPr>
              <w:t>0.08</w:t>
            </w:r>
          </w:p>
        </w:tc>
        <w:tc>
          <w:tcPr>
            <w:tcW w:w="1375" w:type="dxa"/>
            <w:vAlign w:val="center"/>
          </w:tcPr>
          <w:p w:rsidR="00B04AE3" w:rsidRDefault="00B04AE3">
            <w:pPr>
              <w:jc w:val="center"/>
              <w:rPr>
                <w:sz w:val="21"/>
                <w:szCs w:val="21"/>
              </w:rPr>
            </w:pPr>
            <w:r>
              <w:rPr>
                <w:sz w:val="21"/>
                <w:szCs w:val="21"/>
              </w:rPr>
              <w:t>0.04</w:t>
            </w:r>
          </w:p>
        </w:tc>
        <w:tc>
          <w:tcPr>
            <w:tcW w:w="2752" w:type="dxa"/>
            <w:vMerge/>
            <w:vAlign w:val="center"/>
          </w:tcPr>
          <w:p w:rsidR="00B04AE3" w:rsidRDefault="00B04AE3">
            <w:pPr>
              <w:jc w:val="center"/>
              <w:rPr>
                <w:sz w:val="21"/>
                <w:szCs w:val="21"/>
              </w:rPr>
            </w:pPr>
          </w:p>
        </w:tc>
      </w:tr>
    </w:tbl>
    <w:p w:rsidR="00B04AE3" w:rsidRDefault="00B04AE3" w:rsidP="00B04AE3">
      <w:pPr>
        <w:adjustRightInd w:val="0"/>
        <w:snapToGrid w:val="0"/>
        <w:spacing w:line="48" w:lineRule="auto"/>
        <w:ind w:firstLineChars="200" w:firstLine="31680"/>
        <w:rPr>
          <w:sz w:val="24"/>
        </w:rPr>
      </w:pPr>
    </w:p>
    <w:p w:rsidR="00B04AE3" w:rsidRDefault="00B04AE3">
      <w:pPr>
        <w:pStyle w:val="BodyText"/>
        <w:spacing w:before="20" w:line="360" w:lineRule="auto"/>
        <w:ind w:left="334" w:right="334" w:firstLine="482"/>
        <w:jc w:val="both"/>
        <w:rPr>
          <w:spacing w:val="-6"/>
          <w:szCs w:val="22"/>
        </w:rPr>
      </w:pPr>
      <w:r>
        <w:rPr>
          <w:spacing w:val="-6"/>
          <w:szCs w:val="22"/>
        </w:rPr>
        <w:t xml:space="preserve">(2)  </w:t>
      </w:r>
      <w:r>
        <w:rPr>
          <w:rFonts w:hint="eastAsia"/>
          <w:spacing w:val="-6"/>
          <w:szCs w:val="22"/>
        </w:rPr>
        <w:t>地表水</w:t>
      </w:r>
    </w:p>
    <w:p w:rsidR="00B04AE3" w:rsidRDefault="00B04AE3">
      <w:pPr>
        <w:pStyle w:val="BodyText"/>
        <w:spacing w:before="20" w:line="360" w:lineRule="auto"/>
        <w:ind w:left="334" w:right="334" w:firstLine="482"/>
        <w:jc w:val="both"/>
        <w:rPr>
          <w:spacing w:val="-6"/>
          <w:szCs w:val="22"/>
        </w:rPr>
      </w:pPr>
      <w:r>
        <w:rPr>
          <w:rFonts w:hint="eastAsia"/>
          <w:spacing w:val="-6"/>
          <w:szCs w:val="22"/>
        </w:rPr>
        <w:t>项目受纳水体为赣江，该水体执行《地表水环境质量标准》</w:t>
      </w:r>
      <w:r>
        <w:rPr>
          <w:spacing w:val="-6"/>
          <w:szCs w:val="22"/>
        </w:rPr>
        <w:t>(GB3838-2002)</w:t>
      </w:r>
      <w:r>
        <w:rPr>
          <w:rFonts w:hint="eastAsia"/>
          <w:spacing w:val="-6"/>
          <w:szCs w:val="22"/>
        </w:rPr>
        <w:t>中</w:t>
      </w:r>
      <w:r>
        <w:rPr>
          <w:spacing w:val="-6"/>
          <w:szCs w:val="22"/>
        </w:rPr>
        <w:t>IV</w:t>
      </w:r>
      <w:r>
        <w:rPr>
          <w:rFonts w:hint="eastAsia"/>
          <w:spacing w:val="-6"/>
          <w:szCs w:val="22"/>
        </w:rPr>
        <w:t>类水域水质标准，具体指标见表</w:t>
      </w:r>
      <w:r>
        <w:rPr>
          <w:spacing w:val="-6"/>
          <w:szCs w:val="22"/>
          <w:lang w:val="en-US"/>
        </w:rPr>
        <w:t>2.4-2</w:t>
      </w:r>
      <w:r>
        <w:rPr>
          <w:rFonts w:hint="eastAsia"/>
          <w:spacing w:val="-6"/>
          <w:szCs w:val="22"/>
        </w:rPr>
        <w:t>。</w:t>
      </w:r>
    </w:p>
    <w:p w:rsidR="00B04AE3" w:rsidRDefault="00B04AE3">
      <w:pPr>
        <w:adjustRightInd w:val="0"/>
        <w:snapToGrid w:val="0"/>
        <w:spacing w:line="360" w:lineRule="auto"/>
        <w:jc w:val="center"/>
        <w:rPr>
          <w:bCs/>
          <w:sz w:val="24"/>
        </w:rPr>
      </w:pPr>
      <w:r>
        <w:rPr>
          <w:rFonts w:hint="eastAsia"/>
          <w:bCs/>
          <w:sz w:val="24"/>
        </w:rPr>
        <w:t>表</w:t>
      </w:r>
      <w:r>
        <w:rPr>
          <w:bCs/>
          <w:sz w:val="24"/>
        </w:rPr>
        <w:t xml:space="preserve">1.2  </w:t>
      </w:r>
      <w:r>
        <w:rPr>
          <w:rFonts w:hint="eastAsia"/>
          <w:bCs/>
          <w:sz w:val="24"/>
        </w:rPr>
        <w:t>地表水环境质量标准</w:t>
      </w:r>
      <w:r>
        <w:rPr>
          <w:bCs/>
          <w:sz w:val="24"/>
        </w:rPr>
        <w:t>(</w:t>
      </w:r>
      <w:r>
        <w:rPr>
          <w:rFonts w:hint="eastAsia"/>
          <w:bCs/>
          <w:sz w:val="24"/>
        </w:rPr>
        <w:t>单位：</w:t>
      </w:r>
      <w:r>
        <w:rPr>
          <w:rFonts w:hint="eastAsia"/>
          <w:sz w:val="24"/>
        </w:rPr>
        <w:t>除</w:t>
      </w:r>
      <w:r>
        <w:rPr>
          <w:sz w:val="24"/>
        </w:rPr>
        <w:t>pH</w:t>
      </w:r>
      <w:r>
        <w:rPr>
          <w:rFonts w:hint="eastAsia"/>
          <w:sz w:val="24"/>
        </w:rPr>
        <w:t>值外，其它为</w:t>
      </w:r>
      <w:r>
        <w:rPr>
          <w:sz w:val="24"/>
        </w:rPr>
        <w:t>mg/L</w:t>
      </w:r>
      <w:r>
        <w:rPr>
          <w:bCs/>
          <w:sz w:val="24"/>
        </w:rPr>
        <w:t>)</w:t>
      </w:r>
    </w:p>
    <w:tbl>
      <w:tblPr>
        <w:tblW w:w="9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13"/>
        <w:gridCol w:w="3903"/>
        <w:gridCol w:w="3204"/>
      </w:tblGrid>
      <w:tr w:rsidR="00B04AE3">
        <w:trPr>
          <w:cantSplit/>
          <w:trHeight w:val="406"/>
          <w:jc w:val="center"/>
        </w:trPr>
        <w:tc>
          <w:tcPr>
            <w:tcW w:w="1913" w:type="dxa"/>
            <w:vAlign w:val="center"/>
          </w:tcPr>
          <w:p w:rsidR="00B04AE3" w:rsidRDefault="00B04AE3">
            <w:pPr>
              <w:jc w:val="center"/>
              <w:rPr>
                <w:bCs/>
                <w:sz w:val="21"/>
                <w:szCs w:val="21"/>
              </w:rPr>
            </w:pPr>
            <w:r>
              <w:rPr>
                <w:rFonts w:hint="eastAsia"/>
                <w:bCs/>
                <w:sz w:val="21"/>
                <w:szCs w:val="21"/>
              </w:rPr>
              <w:t>项目</w:t>
            </w:r>
          </w:p>
        </w:tc>
        <w:tc>
          <w:tcPr>
            <w:tcW w:w="3903" w:type="dxa"/>
            <w:vAlign w:val="center"/>
          </w:tcPr>
          <w:p w:rsidR="00B04AE3" w:rsidRDefault="00B04AE3">
            <w:pPr>
              <w:jc w:val="center"/>
              <w:rPr>
                <w:bCs/>
                <w:sz w:val="21"/>
                <w:szCs w:val="21"/>
              </w:rPr>
            </w:pPr>
            <w:r>
              <w:rPr>
                <w:rFonts w:hint="eastAsia"/>
                <w:bCs/>
                <w:sz w:val="21"/>
                <w:szCs w:val="21"/>
              </w:rPr>
              <w:t>标准值</w:t>
            </w:r>
          </w:p>
        </w:tc>
        <w:tc>
          <w:tcPr>
            <w:tcW w:w="3204" w:type="dxa"/>
            <w:vAlign w:val="center"/>
          </w:tcPr>
          <w:p w:rsidR="00B04AE3" w:rsidRDefault="00B04AE3">
            <w:pPr>
              <w:jc w:val="center"/>
              <w:rPr>
                <w:bCs/>
                <w:sz w:val="21"/>
                <w:szCs w:val="21"/>
              </w:rPr>
            </w:pPr>
            <w:r>
              <w:rPr>
                <w:rFonts w:hint="eastAsia"/>
                <w:bCs/>
                <w:sz w:val="21"/>
                <w:szCs w:val="21"/>
              </w:rPr>
              <w:t>标准来源</w:t>
            </w:r>
          </w:p>
        </w:tc>
      </w:tr>
      <w:tr w:rsidR="00B04AE3">
        <w:trPr>
          <w:cantSplit/>
          <w:trHeight w:val="406"/>
          <w:jc w:val="center"/>
        </w:trPr>
        <w:tc>
          <w:tcPr>
            <w:tcW w:w="1913" w:type="dxa"/>
            <w:vAlign w:val="center"/>
          </w:tcPr>
          <w:p w:rsidR="00B04AE3" w:rsidRDefault="00B04AE3">
            <w:pPr>
              <w:jc w:val="center"/>
              <w:rPr>
                <w:sz w:val="21"/>
                <w:szCs w:val="21"/>
              </w:rPr>
            </w:pPr>
            <w:r>
              <w:rPr>
                <w:sz w:val="21"/>
                <w:szCs w:val="21"/>
              </w:rPr>
              <w:t>pH</w:t>
            </w:r>
          </w:p>
        </w:tc>
        <w:tc>
          <w:tcPr>
            <w:tcW w:w="3903" w:type="dxa"/>
            <w:vAlign w:val="center"/>
          </w:tcPr>
          <w:p w:rsidR="00B04AE3" w:rsidRDefault="00B04AE3">
            <w:pPr>
              <w:jc w:val="center"/>
              <w:rPr>
                <w:sz w:val="21"/>
                <w:szCs w:val="21"/>
              </w:rPr>
            </w:pPr>
            <w:r>
              <w:rPr>
                <w:sz w:val="21"/>
                <w:szCs w:val="21"/>
              </w:rPr>
              <w:t>6-9</w:t>
            </w:r>
          </w:p>
        </w:tc>
        <w:tc>
          <w:tcPr>
            <w:tcW w:w="3204" w:type="dxa"/>
            <w:vMerge w:val="restart"/>
            <w:vAlign w:val="center"/>
          </w:tcPr>
          <w:p w:rsidR="00B04AE3" w:rsidRDefault="00B04AE3">
            <w:pPr>
              <w:jc w:val="center"/>
              <w:rPr>
                <w:sz w:val="21"/>
                <w:szCs w:val="21"/>
              </w:rPr>
            </w:pPr>
            <w:r>
              <w:rPr>
                <w:sz w:val="21"/>
                <w:szCs w:val="21"/>
              </w:rPr>
              <w:t>GB3838-2002</w:t>
            </w:r>
            <w:r>
              <w:rPr>
                <w:rFonts w:hint="eastAsia"/>
                <w:sz w:val="21"/>
                <w:szCs w:val="21"/>
              </w:rPr>
              <w:t>地表水环境质量标准基本项目标准限值</w:t>
            </w:r>
          </w:p>
        </w:tc>
      </w:tr>
      <w:tr w:rsidR="00B04AE3">
        <w:trPr>
          <w:cantSplit/>
          <w:trHeight w:val="406"/>
          <w:jc w:val="center"/>
        </w:trPr>
        <w:tc>
          <w:tcPr>
            <w:tcW w:w="1913" w:type="dxa"/>
            <w:vAlign w:val="center"/>
          </w:tcPr>
          <w:p w:rsidR="00B04AE3" w:rsidRDefault="00B04AE3">
            <w:pPr>
              <w:jc w:val="center"/>
              <w:rPr>
                <w:sz w:val="21"/>
                <w:szCs w:val="21"/>
              </w:rPr>
            </w:pPr>
            <w:r>
              <w:rPr>
                <w:sz w:val="21"/>
                <w:szCs w:val="21"/>
              </w:rPr>
              <w:t>COD</w:t>
            </w:r>
            <w:r>
              <w:rPr>
                <w:sz w:val="21"/>
                <w:szCs w:val="21"/>
                <w:vertAlign w:val="subscript"/>
              </w:rPr>
              <w:t>Cr</w:t>
            </w:r>
          </w:p>
        </w:tc>
        <w:tc>
          <w:tcPr>
            <w:tcW w:w="3903" w:type="dxa"/>
            <w:vAlign w:val="center"/>
          </w:tcPr>
          <w:p w:rsidR="00B04AE3" w:rsidRDefault="00B04AE3">
            <w:pPr>
              <w:jc w:val="center"/>
              <w:rPr>
                <w:sz w:val="21"/>
                <w:szCs w:val="21"/>
              </w:rPr>
            </w:pPr>
            <w:r>
              <w:rPr>
                <w:sz w:val="21"/>
                <w:szCs w:val="21"/>
              </w:rPr>
              <w:t>30</w:t>
            </w:r>
          </w:p>
        </w:tc>
        <w:tc>
          <w:tcPr>
            <w:tcW w:w="3204" w:type="dxa"/>
            <w:vMerge/>
            <w:vAlign w:val="center"/>
          </w:tcPr>
          <w:p w:rsidR="00B04AE3" w:rsidRDefault="00B04AE3">
            <w:pPr>
              <w:jc w:val="center"/>
              <w:rPr>
                <w:sz w:val="21"/>
                <w:szCs w:val="21"/>
              </w:rPr>
            </w:pPr>
          </w:p>
        </w:tc>
      </w:tr>
      <w:tr w:rsidR="00B04AE3">
        <w:trPr>
          <w:cantSplit/>
          <w:trHeight w:val="406"/>
          <w:jc w:val="center"/>
        </w:trPr>
        <w:tc>
          <w:tcPr>
            <w:tcW w:w="1913" w:type="dxa"/>
            <w:vAlign w:val="center"/>
          </w:tcPr>
          <w:p w:rsidR="00B04AE3" w:rsidRDefault="00B04AE3">
            <w:pPr>
              <w:jc w:val="center"/>
              <w:rPr>
                <w:sz w:val="21"/>
                <w:szCs w:val="21"/>
              </w:rPr>
            </w:pPr>
            <w:r>
              <w:rPr>
                <w:sz w:val="21"/>
                <w:szCs w:val="21"/>
              </w:rPr>
              <w:t>BOD</w:t>
            </w:r>
            <w:r>
              <w:rPr>
                <w:sz w:val="21"/>
                <w:szCs w:val="21"/>
                <w:vertAlign w:val="subscript"/>
              </w:rPr>
              <w:t>5</w:t>
            </w:r>
          </w:p>
        </w:tc>
        <w:tc>
          <w:tcPr>
            <w:tcW w:w="3903" w:type="dxa"/>
            <w:vAlign w:val="center"/>
          </w:tcPr>
          <w:p w:rsidR="00B04AE3" w:rsidRDefault="00B04AE3">
            <w:pPr>
              <w:jc w:val="center"/>
              <w:rPr>
                <w:sz w:val="21"/>
                <w:szCs w:val="21"/>
              </w:rPr>
            </w:pPr>
            <w:r>
              <w:rPr>
                <w:sz w:val="21"/>
                <w:szCs w:val="21"/>
              </w:rPr>
              <w:t>6</w:t>
            </w:r>
          </w:p>
        </w:tc>
        <w:tc>
          <w:tcPr>
            <w:tcW w:w="3204" w:type="dxa"/>
            <w:vMerge/>
            <w:vAlign w:val="center"/>
          </w:tcPr>
          <w:p w:rsidR="00B04AE3" w:rsidRDefault="00B04AE3">
            <w:pPr>
              <w:jc w:val="center"/>
              <w:rPr>
                <w:sz w:val="21"/>
                <w:szCs w:val="21"/>
              </w:rPr>
            </w:pPr>
          </w:p>
        </w:tc>
      </w:tr>
      <w:tr w:rsidR="00B04AE3">
        <w:trPr>
          <w:cantSplit/>
          <w:trHeight w:val="406"/>
          <w:jc w:val="center"/>
        </w:trPr>
        <w:tc>
          <w:tcPr>
            <w:tcW w:w="1913" w:type="dxa"/>
            <w:vAlign w:val="center"/>
          </w:tcPr>
          <w:p w:rsidR="00B04AE3" w:rsidRDefault="00B04AE3">
            <w:pPr>
              <w:jc w:val="center"/>
              <w:rPr>
                <w:sz w:val="21"/>
                <w:szCs w:val="21"/>
              </w:rPr>
            </w:pPr>
            <w:r>
              <w:rPr>
                <w:rFonts w:hint="eastAsia"/>
                <w:sz w:val="21"/>
                <w:szCs w:val="21"/>
              </w:rPr>
              <w:t>氨氮</w:t>
            </w:r>
          </w:p>
        </w:tc>
        <w:tc>
          <w:tcPr>
            <w:tcW w:w="3903" w:type="dxa"/>
            <w:vAlign w:val="center"/>
          </w:tcPr>
          <w:p w:rsidR="00B04AE3" w:rsidRDefault="00B04AE3">
            <w:pPr>
              <w:jc w:val="center"/>
              <w:rPr>
                <w:sz w:val="21"/>
                <w:szCs w:val="21"/>
              </w:rPr>
            </w:pPr>
            <w:r>
              <w:rPr>
                <w:sz w:val="21"/>
                <w:szCs w:val="21"/>
              </w:rPr>
              <w:t>1.5</w:t>
            </w:r>
          </w:p>
        </w:tc>
        <w:tc>
          <w:tcPr>
            <w:tcW w:w="3204" w:type="dxa"/>
            <w:vMerge/>
            <w:vAlign w:val="center"/>
          </w:tcPr>
          <w:p w:rsidR="00B04AE3" w:rsidRDefault="00B04AE3">
            <w:pPr>
              <w:jc w:val="center"/>
              <w:rPr>
                <w:sz w:val="21"/>
                <w:szCs w:val="21"/>
              </w:rPr>
            </w:pPr>
          </w:p>
        </w:tc>
      </w:tr>
      <w:tr w:rsidR="00B04AE3">
        <w:trPr>
          <w:cantSplit/>
          <w:trHeight w:val="406"/>
          <w:jc w:val="center"/>
        </w:trPr>
        <w:tc>
          <w:tcPr>
            <w:tcW w:w="1913" w:type="dxa"/>
            <w:vAlign w:val="center"/>
          </w:tcPr>
          <w:p w:rsidR="00B04AE3" w:rsidRDefault="00B04AE3">
            <w:pPr>
              <w:jc w:val="center"/>
              <w:rPr>
                <w:sz w:val="21"/>
                <w:szCs w:val="21"/>
              </w:rPr>
            </w:pPr>
            <w:r>
              <w:rPr>
                <w:rFonts w:hint="eastAsia"/>
                <w:sz w:val="21"/>
                <w:szCs w:val="21"/>
              </w:rPr>
              <w:t>总磷</w:t>
            </w:r>
          </w:p>
        </w:tc>
        <w:tc>
          <w:tcPr>
            <w:tcW w:w="3903" w:type="dxa"/>
            <w:vAlign w:val="center"/>
          </w:tcPr>
          <w:p w:rsidR="00B04AE3" w:rsidRDefault="00B04AE3">
            <w:pPr>
              <w:jc w:val="center"/>
              <w:rPr>
                <w:sz w:val="21"/>
                <w:szCs w:val="21"/>
              </w:rPr>
            </w:pPr>
            <w:r>
              <w:rPr>
                <w:sz w:val="21"/>
                <w:szCs w:val="21"/>
              </w:rPr>
              <w:t>0.3</w:t>
            </w:r>
          </w:p>
        </w:tc>
        <w:tc>
          <w:tcPr>
            <w:tcW w:w="3204" w:type="dxa"/>
            <w:vMerge/>
            <w:vAlign w:val="center"/>
          </w:tcPr>
          <w:p w:rsidR="00B04AE3" w:rsidRDefault="00B04AE3">
            <w:pPr>
              <w:jc w:val="center"/>
              <w:rPr>
                <w:sz w:val="21"/>
                <w:szCs w:val="21"/>
              </w:rPr>
            </w:pPr>
          </w:p>
        </w:tc>
      </w:tr>
      <w:tr w:rsidR="00B04AE3">
        <w:trPr>
          <w:cantSplit/>
          <w:trHeight w:val="406"/>
          <w:jc w:val="center"/>
        </w:trPr>
        <w:tc>
          <w:tcPr>
            <w:tcW w:w="1913" w:type="dxa"/>
            <w:vAlign w:val="center"/>
          </w:tcPr>
          <w:p w:rsidR="00B04AE3" w:rsidRDefault="00B04AE3">
            <w:pPr>
              <w:jc w:val="center"/>
              <w:rPr>
                <w:sz w:val="21"/>
                <w:szCs w:val="21"/>
              </w:rPr>
            </w:pPr>
            <w:r>
              <w:rPr>
                <w:rFonts w:hint="eastAsia"/>
                <w:sz w:val="21"/>
                <w:szCs w:val="21"/>
              </w:rPr>
              <w:t>石油类</w:t>
            </w:r>
          </w:p>
        </w:tc>
        <w:tc>
          <w:tcPr>
            <w:tcW w:w="3903" w:type="dxa"/>
            <w:vAlign w:val="center"/>
          </w:tcPr>
          <w:p w:rsidR="00B04AE3" w:rsidRDefault="00B04AE3">
            <w:pPr>
              <w:jc w:val="center"/>
              <w:rPr>
                <w:sz w:val="21"/>
                <w:szCs w:val="21"/>
              </w:rPr>
            </w:pPr>
            <w:r>
              <w:rPr>
                <w:sz w:val="21"/>
                <w:szCs w:val="21"/>
              </w:rPr>
              <w:t>0. 5</w:t>
            </w:r>
          </w:p>
        </w:tc>
        <w:tc>
          <w:tcPr>
            <w:tcW w:w="3204" w:type="dxa"/>
            <w:vMerge/>
            <w:vAlign w:val="center"/>
          </w:tcPr>
          <w:p w:rsidR="00B04AE3" w:rsidRDefault="00B04AE3">
            <w:pPr>
              <w:jc w:val="center"/>
              <w:rPr>
                <w:sz w:val="21"/>
                <w:szCs w:val="21"/>
              </w:rPr>
            </w:pPr>
          </w:p>
        </w:tc>
      </w:tr>
      <w:tr w:rsidR="00B04AE3">
        <w:trPr>
          <w:cantSplit/>
          <w:trHeight w:val="406"/>
          <w:jc w:val="center"/>
        </w:trPr>
        <w:tc>
          <w:tcPr>
            <w:tcW w:w="1913" w:type="dxa"/>
            <w:vAlign w:val="center"/>
          </w:tcPr>
          <w:p w:rsidR="00B04AE3" w:rsidRDefault="00B04AE3">
            <w:pPr>
              <w:jc w:val="center"/>
              <w:rPr>
                <w:sz w:val="21"/>
                <w:szCs w:val="21"/>
              </w:rPr>
            </w:pPr>
            <w:r>
              <w:rPr>
                <w:rFonts w:hint="eastAsia"/>
                <w:sz w:val="21"/>
                <w:szCs w:val="21"/>
              </w:rPr>
              <w:t>锰</w:t>
            </w:r>
          </w:p>
        </w:tc>
        <w:tc>
          <w:tcPr>
            <w:tcW w:w="3903" w:type="dxa"/>
            <w:vAlign w:val="center"/>
          </w:tcPr>
          <w:p w:rsidR="00B04AE3" w:rsidRDefault="00B04AE3">
            <w:pPr>
              <w:jc w:val="center"/>
              <w:rPr>
                <w:sz w:val="21"/>
                <w:szCs w:val="21"/>
              </w:rPr>
            </w:pPr>
            <w:r>
              <w:rPr>
                <w:sz w:val="21"/>
                <w:szCs w:val="21"/>
              </w:rPr>
              <w:t>0.1</w:t>
            </w:r>
          </w:p>
        </w:tc>
        <w:tc>
          <w:tcPr>
            <w:tcW w:w="3204" w:type="dxa"/>
            <w:vMerge/>
            <w:vAlign w:val="center"/>
          </w:tcPr>
          <w:p w:rsidR="00B04AE3" w:rsidRDefault="00B04AE3">
            <w:pPr>
              <w:jc w:val="center"/>
              <w:rPr>
                <w:sz w:val="21"/>
                <w:szCs w:val="21"/>
              </w:rPr>
            </w:pPr>
          </w:p>
        </w:tc>
      </w:tr>
      <w:tr w:rsidR="00B04AE3">
        <w:trPr>
          <w:cantSplit/>
          <w:trHeight w:val="416"/>
          <w:jc w:val="center"/>
        </w:trPr>
        <w:tc>
          <w:tcPr>
            <w:tcW w:w="1913" w:type="dxa"/>
            <w:vAlign w:val="center"/>
          </w:tcPr>
          <w:p w:rsidR="00B04AE3" w:rsidRDefault="00B04AE3">
            <w:pPr>
              <w:jc w:val="center"/>
              <w:rPr>
                <w:sz w:val="21"/>
                <w:szCs w:val="21"/>
              </w:rPr>
            </w:pPr>
            <w:r>
              <w:rPr>
                <w:rFonts w:hint="eastAsia"/>
                <w:sz w:val="21"/>
                <w:szCs w:val="21"/>
              </w:rPr>
              <w:t>锌</w:t>
            </w:r>
          </w:p>
        </w:tc>
        <w:tc>
          <w:tcPr>
            <w:tcW w:w="3903" w:type="dxa"/>
            <w:vAlign w:val="center"/>
          </w:tcPr>
          <w:p w:rsidR="00B04AE3" w:rsidRDefault="00B04AE3">
            <w:pPr>
              <w:jc w:val="center"/>
              <w:rPr>
                <w:sz w:val="21"/>
                <w:szCs w:val="21"/>
              </w:rPr>
            </w:pPr>
            <w:r>
              <w:rPr>
                <w:sz w:val="21"/>
                <w:szCs w:val="21"/>
              </w:rPr>
              <w:t>2.0</w:t>
            </w:r>
          </w:p>
        </w:tc>
        <w:tc>
          <w:tcPr>
            <w:tcW w:w="3204" w:type="dxa"/>
            <w:vMerge/>
            <w:vAlign w:val="center"/>
          </w:tcPr>
          <w:p w:rsidR="00B04AE3" w:rsidRDefault="00B04AE3">
            <w:pPr>
              <w:jc w:val="center"/>
              <w:rPr>
                <w:sz w:val="21"/>
                <w:szCs w:val="21"/>
              </w:rPr>
            </w:pPr>
          </w:p>
        </w:tc>
      </w:tr>
    </w:tbl>
    <w:p w:rsidR="00B04AE3" w:rsidRDefault="00B04AE3">
      <w:pPr>
        <w:pStyle w:val="BodyText"/>
        <w:spacing w:before="20" w:line="360" w:lineRule="auto"/>
        <w:ind w:left="334" w:right="334" w:firstLine="482"/>
        <w:jc w:val="both"/>
        <w:rPr>
          <w:spacing w:val="-6"/>
          <w:szCs w:val="22"/>
        </w:rPr>
      </w:pPr>
      <w:r>
        <w:rPr>
          <w:spacing w:val="-6"/>
          <w:szCs w:val="22"/>
        </w:rPr>
        <w:t xml:space="preserve">(3)  </w:t>
      </w:r>
      <w:r>
        <w:rPr>
          <w:rFonts w:hint="eastAsia"/>
          <w:spacing w:val="-6"/>
          <w:szCs w:val="22"/>
        </w:rPr>
        <w:t>声环境</w:t>
      </w:r>
    </w:p>
    <w:p w:rsidR="00B04AE3" w:rsidRDefault="00B04AE3">
      <w:pPr>
        <w:pStyle w:val="BodyText"/>
        <w:spacing w:before="20" w:line="360" w:lineRule="auto"/>
        <w:ind w:left="334" w:right="334" w:firstLine="482"/>
        <w:jc w:val="both"/>
        <w:rPr>
          <w:spacing w:val="-6"/>
          <w:szCs w:val="22"/>
        </w:rPr>
      </w:pPr>
      <w:r>
        <w:rPr>
          <w:rFonts w:hint="eastAsia"/>
          <w:spacing w:val="-6"/>
          <w:szCs w:val="22"/>
        </w:rPr>
        <w:t>声环境执行《声环境质量标准》</w:t>
      </w:r>
      <w:r>
        <w:rPr>
          <w:spacing w:val="-6"/>
          <w:szCs w:val="22"/>
        </w:rPr>
        <w:t>(GB3096-2008)</w:t>
      </w:r>
      <w:r>
        <w:rPr>
          <w:rFonts w:hint="eastAsia"/>
          <w:spacing w:val="-6"/>
          <w:szCs w:val="22"/>
        </w:rPr>
        <w:t>中</w:t>
      </w:r>
      <w:r>
        <w:rPr>
          <w:spacing w:val="-6"/>
          <w:szCs w:val="22"/>
        </w:rPr>
        <w:t>2</w:t>
      </w:r>
      <w:r>
        <w:rPr>
          <w:rFonts w:hint="eastAsia"/>
          <w:spacing w:val="-6"/>
          <w:szCs w:val="22"/>
        </w:rPr>
        <w:t>类标准，具体指标见表</w:t>
      </w:r>
      <w:r>
        <w:rPr>
          <w:spacing w:val="-6"/>
          <w:szCs w:val="22"/>
          <w:lang w:val="en-US"/>
        </w:rPr>
        <w:t>2.4-3</w:t>
      </w:r>
      <w:r>
        <w:rPr>
          <w:rFonts w:hint="eastAsia"/>
          <w:spacing w:val="-6"/>
          <w:szCs w:val="22"/>
        </w:rPr>
        <w:t>。</w:t>
      </w:r>
    </w:p>
    <w:p w:rsidR="00B04AE3" w:rsidRDefault="00B04AE3">
      <w:pPr>
        <w:tabs>
          <w:tab w:val="left" w:pos="1830"/>
          <w:tab w:val="center" w:pos="4479"/>
        </w:tabs>
        <w:adjustRightInd w:val="0"/>
        <w:snapToGrid w:val="0"/>
        <w:spacing w:line="360" w:lineRule="auto"/>
        <w:rPr>
          <w:sz w:val="24"/>
        </w:rPr>
      </w:pPr>
      <w:r>
        <w:rPr>
          <w:bCs/>
          <w:sz w:val="24"/>
        </w:rPr>
        <w:tab/>
      </w:r>
      <w:r>
        <w:rPr>
          <w:bCs/>
          <w:sz w:val="24"/>
        </w:rPr>
        <w:tab/>
      </w:r>
      <w:r>
        <w:rPr>
          <w:rFonts w:hint="eastAsia"/>
          <w:bCs/>
          <w:sz w:val="24"/>
        </w:rPr>
        <w:t>表</w:t>
      </w:r>
      <w:r>
        <w:rPr>
          <w:bCs/>
          <w:sz w:val="24"/>
          <w:lang w:val="en-US"/>
        </w:rPr>
        <w:t>2.4-3</w:t>
      </w:r>
      <w:r>
        <w:rPr>
          <w:bCs/>
          <w:sz w:val="24"/>
        </w:rPr>
        <w:t xml:space="preserve"> </w:t>
      </w:r>
      <w:r>
        <w:rPr>
          <w:rFonts w:hint="eastAsia"/>
          <w:bCs/>
          <w:sz w:val="24"/>
        </w:rPr>
        <w:t>声环境质量标准</w:t>
      </w:r>
      <w:r>
        <w:rPr>
          <w:bCs/>
          <w:sz w:val="24"/>
        </w:rPr>
        <w:t>(</w:t>
      </w:r>
      <w:r>
        <w:rPr>
          <w:rFonts w:hint="eastAsia"/>
          <w:bCs/>
          <w:sz w:val="24"/>
        </w:rPr>
        <w:t>等效声级</w:t>
      </w:r>
      <w:r>
        <w:rPr>
          <w:bCs/>
          <w:sz w:val="24"/>
        </w:rPr>
        <w:t>L</w:t>
      </w:r>
      <w:r>
        <w:rPr>
          <w:bCs/>
          <w:sz w:val="24"/>
          <w:vertAlign w:val="subscript"/>
        </w:rPr>
        <w:t>Aeq</w:t>
      </w:r>
      <w:r>
        <w:rPr>
          <w:rFonts w:hint="eastAsia"/>
          <w:bCs/>
          <w:sz w:val="24"/>
        </w:rPr>
        <w:t>：</w:t>
      </w:r>
      <w:r>
        <w:rPr>
          <w:bCs/>
          <w:sz w:val="24"/>
        </w:rPr>
        <w:t>dB)</w:t>
      </w:r>
    </w:p>
    <w:tbl>
      <w:tblPr>
        <w:tblW w:w="8920" w:type="dxa"/>
        <w:jc w:val="center"/>
        <w:tblInd w:w="-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2"/>
        <w:gridCol w:w="3012"/>
        <w:gridCol w:w="3816"/>
      </w:tblGrid>
      <w:tr w:rsidR="00B04AE3">
        <w:trPr>
          <w:trHeight w:val="400"/>
          <w:jc w:val="center"/>
        </w:trPr>
        <w:tc>
          <w:tcPr>
            <w:tcW w:w="2092" w:type="dxa"/>
            <w:vAlign w:val="center"/>
          </w:tcPr>
          <w:p w:rsidR="00B04AE3" w:rsidRDefault="00B04AE3">
            <w:pPr>
              <w:jc w:val="center"/>
              <w:rPr>
                <w:bCs/>
                <w:szCs w:val="21"/>
              </w:rPr>
            </w:pPr>
            <w:r>
              <w:rPr>
                <w:rFonts w:hint="eastAsia"/>
                <w:bCs/>
                <w:szCs w:val="21"/>
              </w:rPr>
              <w:t>类别</w:t>
            </w:r>
          </w:p>
        </w:tc>
        <w:tc>
          <w:tcPr>
            <w:tcW w:w="3012" w:type="dxa"/>
            <w:vAlign w:val="center"/>
          </w:tcPr>
          <w:p w:rsidR="00B04AE3" w:rsidRDefault="00B04AE3">
            <w:pPr>
              <w:jc w:val="center"/>
              <w:rPr>
                <w:bCs/>
                <w:szCs w:val="21"/>
              </w:rPr>
            </w:pPr>
            <w:r>
              <w:rPr>
                <w:rFonts w:hint="eastAsia"/>
                <w:bCs/>
                <w:szCs w:val="21"/>
              </w:rPr>
              <w:t>昼间</w:t>
            </w:r>
          </w:p>
        </w:tc>
        <w:tc>
          <w:tcPr>
            <w:tcW w:w="3816" w:type="dxa"/>
            <w:vAlign w:val="center"/>
          </w:tcPr>
          <w:p w:rsidR="00B04AE3" w:rsidRDefault="00B04AE3">
            <w:pPr>
              <w:jc w:val="center"/>
              <w:rPr>
                <w:bCs/>
                <w:szCs w:val="21"/>
              </w:rPr>
            </w:pPr>
            <w:r>
              <w:rPr>
                <w:rFonts w:hint="eastAsia"/>
                <w:bCs/>
                <w:szCs w:val="21"/>
              </w:rPr>
              <w:t>夜间</w:t>
            </w:r>
          </w:p>
        </w:tc>
      </w:tr>
      <w:tr w:rsidR="00B04AE3">
        <w:trPr>
          <w:trHeight w:val="410"/>
          <w:jc w:val="center"/>
        </w:trPr>
        <w:tc>
          <w:tcPr>
            <w:tcW w:w="2092" w:type="dxa"/>
            <w:vAlign w:val="center"/>
          </w:tcPr>
          <w:p w:rsidR="00B04AE3" w:rsidRDefault="00B04AE3">
            <w:pPr>
              <w:jc w:val="center"/>
              <w:rPr>
                <w:szCs w:val="21"/>
              </w:rPr>
            </w:pPr>
            <w:r>
              <w:rPr>
                <w:szCs w:val="21"/>
              </w:rPr>
              <w:t>2</w:t>
            </w:r>
            <w:r>
              <w:rPr>
                <w:rFonts w:hint="eastAsia"/>
                <w:szCs w:val="21"/>
              </w:rPr>
              <w:t>类</w:t>
            </w:r>
          </w:p>
        </w:tc>
        <w:tc>
          <w:tcPr>
            <w:tcW w:w="3012" w:type="dxa"/>
            <w:vAlign w:val="center"/>
          </w:tcPr>
          <w:p w:rsidR="00B04AE3" w:rsidRDefault="00B04AE3">
            <w:pPr>
              <w:jc w:val="center"/>
              <w:rPr>
                <w:szCs w:val="21"/>
              </w:rPr>
            </w:pPr>
            <w:r>
              <w:rPr>
                <w:szCs w:val="21"/>
              </w:rPr>
              <w:t>60</w:t>
            </w:r>
          </w:p>
        </w:tc>
        <w:tc>
          <w:tcPr>
            <w:tcW w:w="3816" w:type="dxa"/>
            <w:vAlign w:val="center"/>
          </w:tcPr>
          <w:p w:rsidR="00B04AE3" w:rsidRDefault="00B04AE3">
            <w:pPr>
              <w:jc w:val="center"/>
              <w:rPr>
                <w:szCs w:val="21"/>
              </w:rPr>
            </w:pPr>
            <w:r>
              <w:rPr>
                <w:szCs w:val="21"/>
              </w:rPr>
              <w:t>50</w:t>
            </w:r>
          </w:p>
        </w:tc>
      </w:tr>
    </w:tbl>
    <w:p w:rsidR="00B04AE3" w:rsidRDefault="00B04AE3">
      <w:pPr>
        <w:pStyle w:val="ListParagraph"/>
        <w:tabs>
          <w:tab w:val="left" w:pos="878"/>
        </w:tabs>
        <w:spacing w:before="1"/>
        <w:ind w:firstLine="0"/>
        <w:rPr>
          <w:b/>
          <w:sz w:val="24"/>
        </w:rPr>
      </w:pPr>
      <w:bookmarkStart w:id="57" w:name="2.4.2周围道路情况"/>
      <w:bookmarkEnd w:id="57"/>
      <w:r>
        <w:rPr>
          <w:b/>
          <w:sz w:val="24"/>
          <w:lang w:val="en-US"/>
        </w:rPr>
        <w:t>2.4.2</w:t>
      </w:r>
      <w:r>
        <w:rPr>
          <w:rFonts w:hint="eastAsia"/>
          <w:b/>
          <w:sz w:val="24"/>
        </w:rPr>
        <w:t>周围道路情况</w:t>
      </w:r>
    </w:p>
    <w:p w:rsidR="00B04AE3" w:rsidRDefault="00B04AE3">
      <w:pPr>
        <w:pStyle w:val="BodyText"/>
        <w:spacing w:before="159"/>
        <w:ind w:left="817"/>
      </w:pPr>
      <w:r>
        <w:rPr>
          <w:rFonts w:hint="eastAsia"/>
        </w:rPr>
        <w:t>公司周围道路情况详见表</w:t>
      </w:r>
      <w:r>
        <w:t xml:space="preserve"> </w:t>
      </w:r>
      <w:r>
        <w:rPr>
          <w:rFonts w:ascii="Times New Roman" w:eastAsia="Times New Roman"/>
        </w:rPr>
        <w:t>2.4-</w:t>
      </w:r>
      <w:r>
        <w:rPr>
          <w:rFonts w:ascii="Times New Roman"/>
          <w:lang w:val="en-US"/>
        </w:rPr>
        <w:t>4</w:t>
      </w:r>
      <w:r>
        <w:rPr>
          <w:rFonts w:hint="eastAsia"/>
        </w:rPr>
        <w:t>。</w:t>
      </w:r>
    </w:p>
    <w:p w:rsidR="00B04AE3" w:rsidRDefault="00B04AE3">
      <w:pPr>
        <w:tabs>
          <w:tab w:val="left" w:pos="1166"/>
        </w:tabs>
        <w:spacing w:before="160" w:after="3"/>
        <w:ind w:left="7"/>
        <w:jc w:val="center"/>
        <w:rPr>
          <w:b/>
          <w:sz w:val="24"/>
        </w:rPr>
      </w:pPr>
      <w:r>
        <w:rPr>
          <w:rFonts w:hint="eastAsia"/>
          <w:b/>
          <w:sz w:val="24"/>
        </w:rPr>
        <w:t>表</w:t>
      </w:r>
      <w:r>
        <w:rPr>
          <w:b/>
          <w:spacing w:val="-62"/>
          <w:sz w:val="24"/>
        </w:rPr>
        <w:t xml:space="preserve"> </w:t>
      </w:r>
      <w:r>
        <w:rPr>
          <w:rFonts w:ascii="Times New Roman" w:eastAsia="Times New Roman"/>
          <w:b/>
          <w:sz w:val="24"/>
        </w:rPr>
        <w:t>2.4-</w:t>
      </w:r>
      <w:r>
        <w:rPr>
          <w:rFonts w:ascii="Times New Roman"/>
          <w:b/>
          <w:sz w:val="24"/>
          <w:lang w:val="en-US"/>
        </w:rPr>
        <w:t>4</w:t>
      </w:r>
      <w:r>
        <w:rPr>
          <w:rFonts w:ascii="Times New Roman" w:eastAsia="Times New Roman"/>
          <w:b/>
          <w:sz w:val="24"/>
        </w:rPr>
        <w:tab/>
      </w:r>
      <w:r>
        <w:rPr>
          <w:rFonts w:hint="eastAsia"/>
          <w:b/>
          <w:sz w:val="24"/>
        </w:rPr>
        <w:t>公司周围道路情况表</w:t>
      </w:r>
    </w:p>
    <w:tbl>
      <w:tblPr>
        <w:tblW w:w="898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A0"/>
      </w:tblPr>
      <w:tblGrid>
        <w:gridCol w:w="774"/>
        <w:gridCol w:w="3840"/>
        <w:gridCol w:w="1577"/>
        <w:gridCol w:w="2789"/>
      </w:tblGrid>
      <w:tr w:rsidR="00B04AE3">
        <w:trPr>
          <w:trHeight w:val="636"/>
          <w:jc w:val="center"/>
        </w:trPr>
        <w:tc>
          <w:tcPr>
            <w:tcW w:w="774" w:type="dxa"/>
            <w:tcBorders>
              <w:top w:val="single" w:sz="4" w:space="0" w:color="auto"/>
              <w:left w:val="single" w:sz="4" w:space="0" w:color="auto"/>
            </w:tcBorders>
            <w:vAlign w:val="center"/>
          </w:tcPr>
          <w:p w:rsidR="00B04AE3" w:rsidRDefault="00B04AE3">
            <w:pPr>
              <w:spacing w:line="320" w:lineRule="exact"/>
              <w:jc w:val="center"/>
              <w:rPr>
                <w:color w:val="000000"/>
                <w:sz w:val="21"/>
                <w:szCs w:val="21"/>
              </w:rPr>
            </w:pPr>
            <w:r>
              <w:rPr>
                <w:rFonts w:hint="eastAsia"/>
                <w:color w:val="000000"/>
                <w:sz w:val="21"/>
                <w:szCs w:val="21"/>
              </w:rPr>
              <w:t>方位</w:t>
            </w:r>
          </w:p>
        </w:tc>
        <w:tc>
          <w:tcPr>
            <w:tcW w:w="3840" w:type="dxa"/>
            <w:tcBorders>
              <w:top w:val="single" w:sz="4" w:space="0" w:color="auto"/>
            </w:tcBorders>
            <w:vAlign w:val="center"/>
          </w:tcPr>
          <w:p w:rsidR="00B04AE3" w:rsidRDefault="00B04AE3">
            <w:pPr>
              <w:spacing w:line="320" w:lineRule="exact"/>
              <w:jc w:val="center"/>
              <w:rPr>
                <w:color w:val="000000"/>
                <w:sz w:val="21"/>
                <w:szCs w:val="21"/>
              </w:rPr>
            </w:pPr>
            <w:r>
              <w:rPr>
                <w:rFonts w:hint="eastAsia"/>
                <w:color w:val="000000"/>
                <w:sz w:val="21"/>
                <w:szCs w:val="21"/>
              </w:rPr>
              <w:t>相邻建筑</w:t>
            </w:r>
          </w:p>
        </w:tc>
        <w:tc>
          <w:tcPr>
            <w:tcW w:w="1577" w:type="dxa"/>
            <w:tcBorders>
              <w:top w:val="single" w:sz="4" w:space="0" w:color="auto"/>
            </w:tcBorders>
            <w:vAlign w:val="center"/>
          </w:tcPr>
          <w:p w:rsidR="00B04AE3" w:rsidRDefault="00B04AE3">
            <w:pPr>
              <w:spacing w:line="320" w:lineRule="exact"/>
              <w:jc w:val="center"/>
              <w:rPr>
                <w:color w:val="000000"/>
                <w:sz w:val="21"/>
                <w:szCs w:val="21"/>
              </w:rPr>
            </w:pPr>
            <w:r>
              <w:rPr>
                <w:rFonts w:hint="eastAsia"/>
                <w:color w:val="000000"/>
                <w:sz w:val="21"/>
                <w:szCs w:val="21"/>
              </w:rPr>
              <w:t>最近点距离（</w:t>
            </w:r>
            <w:r>
              <w:rPr>
                <w:color w:val="000000"/>
                <w:sz w:val="21"/>
                <w:szCs w:val="21"/>
              </w:rPr>
              <w:t>m</w:t>
            </w:r>
            <w:r>
              <w:rPr>
                <w:rFonts w:hint="eastAsia"/>
                <w:color w:val="000000"/>
                <w:sz w:val="21"/>
                <w:szCs w:val="21"/>
              </w:rPr>
              <w:t>）</w:t>
            </w:r>
          </w:p>
        </w:tc>
        <w:tc>
          <w:tcPr>
            <w:tcW w:w="2789" w:type="dxa"/>
            <w:tcBorders>
              <w:top w:val="single" w:sz="4" w:space="0" w:color="auto"/>
              <w:right w:val="single" w:sz="4" w:space="0" w:color="auto"/>
            </w:tcBorders>
            <w:vAlign w:val="center"/>
          </w:tcPr>
          <w:p w:rsidR="00B04AE3" w:rsidRDefault="00B04AE3">
            <w:pPr>
              <w:spacing w:line="320" w:lineRule="exact"/>
              <w:jc w:val="center"/>
              <w:rPr>
                <w:color w:val="000000"/>
                <w:sz w:val="21"/>
                <w:szCs w:val="21"/>
              </w:rPr>
            </w:pPr>
            <w:r>
              <w:rPr>
                <w:rFonts w:hint="eastAsia"/>
                <w:color w:val="000000"/>
                <w:sz w:val="21"/>
                <w:szCs w:val="21"/>
              </w:rPr>
              <w:t>备注</w:t>
            </w:r>
          </w:p>
        </w:tc>
      </w:tr>
      <w:tr w:rsidR="00B04AE3">
        <w:trPr>
          <w:trHeight w:val="452"/>
          <w:jc w:val="center"/>
        </w:trPr>
        <w:tc>
          <w:tcPr>
            <w:tcW w:w="774" w:type="dxa"/>
            <w:tcBorders>
              <w:left w:val="single" w:sz="4" w:space="0" w:color="auto"/>
            </w:tcBorders>
            <w:vAlign w:val="center"/>
          </w:tcPr>
          <w:p w:rsidR="00B04AE3" w:rsidRDefault="00B04AE3">
            <w:pPr>
              <w:spacing w:line="320" w:lineRule="exact"/>
              <w:jc w:val="center"/>
              <w:rPr>
                <w:color w:val="000000"/>
                <w:sz w:val="21"/>
                <w:szCs w:val="21"/>
              </w:rPr>
            </w:pPr>
            <w:r>
              <w:rPr>
                <w:rFonts w:hint="eastAsia"/>
                <w:color w:val="000000"/>
                <w:sz w:val="21"/>
                <w:szCs w:val="21"/>
              </w:rPr>
              <w:t>东</w:t>
            </w:r>
          </w:p>
        </w:tc>
        <w:tc>
          <w:tcPr>
            <w:tcW w:w="3840" w:type="dxa"/>
            <w:vAlign w:val="center"/>
          </w:tcPr>
          <w:p w:rsidR="00B04AE3" w:rsidRDefault="00B04AE3">
            <w:pPr>
              <w:spacing w:line="320" w:lineRule="exact"/>
              <w:jc w:val="center"/>
              <w:rPr>
                <w:color w:val="000000"/>
                <w:sz w:val="21"/>
                <w:szCs w:val="21"/>
              </w:rPr>
            </w:pPr>
            <w:r>
              <w:rPr>
                <w:rFonts w:hint="eastAsia"/>
                <w:sz w:val="21"/>
                <w:szCs w:val="21"/>
              </w:rPr>
              <w:t>经开大道</w:t>
            </w:r>
          </w:p>
        </w:tc>
        <w:tc>
          <w:tcPr>
            <w:tcW w:w="1577" w:type="dxa"/>
            <w:vAlign w:val="center"/>
          </w:tcPr>
          <w:p w:rsidR="00B04AE3" w:rsidRDefault="00B04AE3">
            <w:pPr>
              <w:spacing w:line="320" w:lineRule="exact"/>
              <w:jc w:val="center"/>
              <w:rPr>
                <w:color w:val="000000"/>
                <w:sz w:val="21"/>
                <w:szCs w:val="21"/>
              </w:rPr>
            </w:pPr>
            <w:r>
              <w:rPr>
                <w:color w:val="000000"/>
                <w:sz w:val="21"/>
                <w:szCs w:val="21"/>
              </w:rPr>
              <w:t>80</w:t>
            </w:r>
          </w:p>
        </w:tc>
        <w:tc>
          <w:tcPr>
            <w:tcW w:w="2789" w:type="dxa"/>
            <w:tcBorders>
              <w:right w:val="single" w:sz="4" w:space="0" w:color="auto"/>
            </w:tcBorders>
            <w:vAlign w:val="center"/>
          </w:tcPr>
          <w:p w:rsidR="00B04AE3" w:rsidRDefault="00B04AE3">
            <w:pPr>
              <w:spacing w:line="320" w:lineRule="exact"/>
              <w:jc w:val="center"/>
              <w:rPr>
                <w:color w:val="000000"/>
                <w:sz w:val="21"/>
                <w:szCs w:val="21"/>
              </w:rPr>
            </w:pPr>
          </w:p>
        </w:tc>
      </w:tr>
      <w:tr w:rsidR="00B04AE3">
        <w:trPr>
          <w:trHeight w:val="423"/>
          <w:jc w:val="center"/>
        </w:trPr>
        <w:tc>
          <w:tcPr>
            <w:tcW w:w="774" w:type="dxa"/>
            <w:tcBorders>
              <w:left w:val="single" w:sz="4" w:space="0" w:color="auto"/>
            </w:tcBorders>
            <w:vAlign w:val="center"/>
          </w:tcPr>
          <w:p w:rsidR="00B04AE3" w:rsidRDefault="00B04AE3">
            <w:pPr>
              <w:spacing w:line="320" w:lineRule="exact"/>
              <w:jc w:val="center"/>
              <w:rPr>
                <w:color w:val="000000"/>
                <w:sz w:val="21"/>
                <w:szCs w:val="21"/>
              </w:rPr>
            </w:pPr>
            <w:r>
              <w:rPr>
                <w:rFonts w:hint="eastAsia"/>
                <w:color w:val="000000"/>
                <w:sz w:val="21"/>
                <w:szCs w:val="21"/>
              </w:rPr>
              <w:t>南</w:t>
            </w:r>
          </w:p>
        </w:tc>
        <w:tc>
          <w:tcPr>
            <w:tcW w:w="3840" w:type="dxa"/>
            <w:vAlign w:val="center"/>
          </w:tcPr>
          <w:p w:rsidR="00B04AE3" w:rsidRDefault="00B04AE3">
            <w:pPr>
              <w:spacing w:line="320" w:lineRule="exact"/>
              <w:jc w:val="center"/>
              <w:rPr>
                <w:color w:val="000000"/>
                <w:sz w:val="21"/>
                <w:szCs w:val="21"/>
              </w:rPr>
            </w:pPr>
            <w:r>
              <w:rPr>
                <w:rFonts w:hint="eastAsia"/>
                <w:sz w:val="21"/>
                <w:szCs w:val="21"/>
              </w:rPr>
              <w:t>幸福里水渠、江西水利职业学院</w:t>
            </w:r>
          </w:p>
        </w:tc>
        <w:tc>
          <w:tcPr>
            <w:tcW w:w="1577" w:type="dxa"/>
            <w:vAlign w:val="center"/>
          </w:tcPr>
          <w:p w:rsidR="00B04AE3" w:rsidRDefault="00B04AE3">
            <w:pPr>
              <w:spacing w:line="320" w:lineRule="exact"/>
              <w:jc w:val="center"/>
              <w:rPr>
                <w:color w:val="000000"/>
                <w:sz w:val="21"/>
                <w:szCs w:val="21"/>
              </w:rPr>
            </w:pPr>
            <w:r>
              <w:rPr>
                <w:color w:val="000000"/>
                <w:sz w:val="21"/>
                <w:szCs w:val="21"/>
              </w:rPr>
              <w:t>100</w:t>
            </w:r>
          </w:p>
        </w:tc>
        <w:tc>
          <w:tcPr>
            <w:tcW w:w="2789" w:type="dxa"/>
            <w:tcBorders>
              <w:right w:val="single" w:sz="4" w:space="0" w:color="auto"/>
            </w:tcBorders>
            <w:vAlign w:val="center"/>
          </w:tcPr>
          <w:p w:rsidR="00B04AE3" w:rsidRDefault="00B04AE3">
            <w:pPr>
              <w:spacing w:line="320" w:lineRule="exact"/>
              <w:jc w:val="center"/>
              <w:rPr>
                <w:color w:val="000000"/>
                <w:sz w:val="21"/>
                <w:szCs w:val="21"/>
              </w:rPr>
            </w:pPr>
          </w:p>
        </w:tc>
      </w:tr>
      <w:tr w:rsidR="00B04AE3">
        <w:trPr>
          <w:trHeight w:val="423"/>
          <w:jc w:val="center"/>
        </w:trPr>
        <w:tc>
          <w:tcPr>
            <w:tcW w:w="774" w:type="dxa"/>
            <w:tcBorders>
              <w:left w:val="single" w:sz="4" w:space="0" w:color="auto"/>
            </w:tcBorders>
            <w:vAlign w:val="center"/>
          </w:tcPr>
          <w:p w:rsidR="00B04AE3" w:rsidRDefault="00B04AE3">
            <w:pPr>
              <w:spacing w:line="320" w:lineRule="exact"/>
              <w:jc w:val="center"/>
              <w:rPr>
                <w:color w:val="000000"/>
                <w:sz w:val="21"/>
                <w:szCs w:val="21"/>
              </w:rPr>
            </w:pPr>
            <w:r>
              <w:rPr>
                <w:rFonts w:hint="eastAsia"/>
                <w:color w:val="000000"/>
                <w:sz w:val="21"/>
                <w:szCs w:val="21"/>
              </w:rPr>
              <w:t>西</w:t>
            </w:r>
          </w:p>
        </w:tc>
        <w:tc>
          <w:tcPr>
            <w:tcW w:w="3840" w:type="dxa"/>
            <w:vAlign w:val="center"/>
          </w:tcPr>
          <w:p w:rsidR="00B04AE3" w:rsidRDefault="00B04AE3">
            <w:pPr>
              <w:spacing w:line="320" w:lineRule="exact"/>
              <w:jc w:val="center"/>
              <w:rPr>
                <w:color w:val="000000"/>
                <w:sz w:val="21"/>
                <w:szCs w:val="21"/>
              </w:rPr>
            </w:pPr>
            <w:r>
              <w:rPr>
                <w:rFonts w:hint="eastAsia"/>
                <w:sz w:val="21"/>
                <w:szCs w:val="21"/>
              </w:rPr>
              <w:t>曰修路</w:t>
            </w:r>
          </w:p>
        </w:tc>
        <w:tc>
          <w:tcPr>
            <w:tcW w:w="1577" w:type="dxa"/>
            <w:vAlign w:val="center"/>
          </w:tcPr>
          <w:p w:rsidR="00B04AE3" w:rsidRDefault="00B04AE3">
            <w:pPr>
              <w:spacing w:line="320" w:lineRule="exact"/>
              <w:jc w:val="center"/>
              <w:rPr>
                <w:color w:val="000000"/>
                <w:sz w:val="21"/>
                <w:szCs w:val="21"/>
              </w:rPr>
            </w:pPr>
            <w:r>
              <w:rPr>
                <w:color w:val="000000"/>
                <w:sz w:val="21"/>
                <w:szCs w:val="21"/>
              </w:rPr>
              <w:t>50</w:t>
            </w:r>
          </w:p>
        </w:tc>
        <w:tc>
          <w:tcPr>
            <w:tcW w:w="2789" w:type="dxa"/>
            <w:tcBorders>
              <w:right w:val="single" w:sz="4" w:space="0" w:color="auto"/>
            </w:tcBorders>
            <w:vAlign w:val="center"/>
          </w:tcPr>
          <w:p w:rsidR="00B04AE3" w:rsidRDefault="00B04AE3">
            <w:pPr>
              <w:spacing w:line="320" w:lineRule="exact"/>
              <w:jc w:val="center"/>
              <w:rPr>
                <w:color w:val="000000"/>
                <w:sz w:val="21"/>
                <w:szCs w:val="21"/>
              </w:rPr>
            </w:pPr>
          </w:p>
        </w:tc>
      </w:tr>
      <w:tr w:rsidR="00B04AE3">
        <w:trPr>
          <w:trHeight w:val="665"/>
          <w:jc w:val="center"/>
        </w:trPr>
        <w:tc>
          <w:tcPr>
            <w:tcW w:w="774" w:type="dxa"/>
            <w:tcBorders>
              <w:left w:val="single" w:sz="4" w:space="0" w:color="auto"/>
              <w:bottom w:val="single" w:sz="4" w:space="0" w:color="auto"/>
            </w:tcBorders>
            <w:vAlign w:val="center"/>
          </w:tcPr>
          <w:p w:rsidR="00B04AE3" w:rsidRDefault="00B04AE3">
            <w:pPr>
              <w:spacing w:line="320" w:lineRule="exact"/>
              <w:jc w:val="center"/>
              <w:rPr>
                <w:color w:val="000000"/>
                <w:sz w:val="21"/>
                <w:szCs w:val="21"/>
              </w:rPr>
            </w:pPr>
            <w:r>
              <w:rPr>
                <w:rFonts w:hint="eastAsia"/>
                <w:color w:val="000000"/>
                <w:sz w:val="21"/>
                <w:szCs w:val="21"/>
              </w:rPr>
              <w:t>北</w:t>
            </w:r>
          </w:p>
        </w:tc>
        <w:tc>
          <w:tcPr>
            <w:tcW w:w="3840" w:type="dxa"/>
            <w:tcBorders>
              <w:bottom w:val="single" w:sz="4" w:space="0" w:color="auto"/>
            </w:tcBorders>
            <w:vAlign w:val="center"/>
          </w:tcPr>
          <w:p w:rsidR="00B04AE3" w:rsidRDefault="00B04AE3">
            <w:pPr>
              <w:spacing w:line="320" w:lineRule="exact"/>
              <w:jc w:val="center"/>
              <w:rPr>
                <w:color w:val="000000"/>
                <w:sz w:val="21"/>
                <w:szCs w:val="21"/>
              </w:rPr>
            </w:pPr>
            <w:r>
              <w:rPr>
                <w:rFonts w:hint="eastAsia"/>
                <w:sz w:val="21"/>
                <w:szCs w:val="21"/>
              </w:rPr>
              <w:t>梅林大道</w:t>
            </w:r>
          </w:p>
        </w:tc>
        <w:tc>
          <w:tcPr>
            <w:tcW w:w="1577" w:type="dxa"/>
            <w:tcBorders>
              <w:bottom w:val="single" w:sz="4" w:space="0" w:color="auto"/>
            </w:tcBorders>
            <w:vAlign w:val="center"/>
          </w:tcPr>
          <w:p w:rsidR="00B04AE3" w:rsidRDefault="00B04AE3">
            <w:pPr>
              <w:spacing w:line="320" w:lineRule="exact"/>
              <w:jc w:val="center"/>
              <w:rPr>
                <w:color w:val="000000"/>
                <w:sz w:val="21"/>
                <w:szCs w:val="21"/>
              </w:rPr>
            </w:pPr>
            <w:r>
              <w:rPr>
                <w:color w:val="000000"/>
                <w:sz w:val="21"/>
                <w:szCs w:val="21"/>
              </w:rPr>
              <w:t>30</w:t>
            </w:r>
          </w:p>
        </w:tc>
        <w:tc>
          <w:tcPr>
            <w:tcW w:w="2789" w:type="dxa"/>
            <w:tcBorders>
              <w:bottom w:val="single" w:sz="4" w:space="0" w:color="auto"/>
              <w:right w:val="single" w:sz="4" w:space="0" w:color="auto"/>
            </w:tcBorders>
            <w:vAlign w:val="center"/>
          </w:tcPr>
          <w:p w:rsidR="00B04AE3" w:rsidRDefault="00B04AE3">
            <w:pPr>
              <w:spacing w:line="320" w:lineRule="exact"/>
              <w:jc w:val="center"/>
              <w:rPr>
                <w:color w:val="000000"/>
                <w:sz w:val="21"/>
                <w:szCs w:val="21"/>
              </w:rPr>
            </w:pPr>
            <w:r>
              <w:rPr>
                <w:rFonts w:hint="eastAsia"/>
                <w:color w:val="000000"/>
                <w:sz w:val="21"/>
                <w:szCs w:val="21"/>
              </w:rPr>
              <w:t>道路北侧南昌洪钢汽车运输公司</w:t>
            </w:r>
          </w:p>
        </w:tc>
      </w:tr>
    </w:tbl>
    <w:p w:rsidR="00B04AE3" w:rsidRDefault="00B04AE3">
      <w:pPr>
        <w:pStyle w:val="ListParagraph"/>
        <w:tabs>
          <w:tab w:val="left" w:pos="878"/>
        </w:tabs>
        <w:spacing w:before="1"/>
        <w:ind w:firstLine="0"/>
        <w:rPr>
          <w:b/>
          <w:sz w:val="24"/>
        </w:rPr>
      </w:pPr>
      <w:bookmarkStart w:id="58" w:name="2.4.3厂区周围主要环境保护目标"/>
      <w:bookmarkEnd w:id="58"/>
      <w:r>
        <w:rPr>
          <w:b/>
          <w:sz w:val="24"/>
          <w:lang w:val="en-US"/>
        </w:rPr>
        <w:t>2.4.3</w:t>
      </w:r>
      <w:r>
        <w:rPr>
          <w:rFonts w:hint="eastAsia"/>
          <w:b/>
          <w:sz w:val="24"/>
        </w:rPr>
        <w:t>厂区周围主要环境保护目标</w:t>
      </w:r>
    </w:p>
    <w:p w:rsidR="00B04AE3" w:rsidRDefault="00B04AE3">
      <w:pPr>
        <w:pStyle w:val="BodyText"/>
        <w:spacing w:before="158"/>
        <w:ind w:left="817"/>
      </w:pPr>
      <w:r>
        <w:rPr>
          <w:rFonts w:ascii="Times New Roman" w:eastAsia="Times New Roman"/>
        </w:rPr>
        <w:t>1</w:t>
      </w:r>
      <w:r>
        <w:rPr>
          <w:rFonts w:hint="eastAsia"/>
        </w:rPr>
        <w:t>、大气环境风险受体</w:t>
      </w:r>
    </w:p>
    <w:p w:rsidR="00B04AE3" w:rsidRDefault="00B04AE3">
      <w:pPr>
        <w:tabs>
          <w:tab w:val="left" w:pos="3212"/>
        </w:tabs>
        <w:spacing w:before="161" w:line="364" w:lineRule="auto"/>
        <w:ind w:left="2173" w:right="2159" w:hanging="1356"/>
        <w:rPr>
          <w:b/>
          <w:spacing w:val="-15"/>
          <w:sz w:val="24"/>
        </w:rPr>
      </w:pPr>
      <w:r>
        <w:rPr>
          <w:noProof/>
          <w:lang w:val="en-US"/>
        </w:rPr>
        <w:pict>
          <v:shape id="_x0000_s1124" type="#_x0000_t202" style="position:absolute;left:0;text-align:left;margin-left:84.9pt;margin-top:46.9pt;width:425.75pt;height:17.9pt;z-index:251654656;mso-position-horizontal-relative:page" filled="f" stroked="f">
            <v:textbox inset="0,0,0,0">
              <w:txbxContent>
                <w:p w:rsidR="00B04AE3" w:rsidRDefault="00B04AE3"/>
              </w:txbxContent>
            </v:textbox>
            <w10:wrap anchorx="page"/>
          </v:shape>
        </w:pict>
      </w:r>
      <w:r>
        <w:rPr>
          <w:rFonts w:hint="eastAsia"/>
          <w:sz w:val="24"/>
        </w:rPr>
        <w:t>公司周围</w:t>
      </w:r>
      <w:r>
        <w:rPr>
          <w:spacing w:val="-61"/>
          <w:sz w:val="24"/>
        </w:rPr>
        <w:t xml:space="preserve"> </w:t>
      </w:r>
      <w:r>
        <w:rPr>
          <w:rFonts w:ascii="Times New Roman" w:eastAsia="Times New Roman"/>
          <w:sz w:val="24"/>
        </w:rPr>
        <w:t xml:space="preserve">5 </w:t>
      </w:r>
      <w:r>
        <w:rPr>
          <w:rFonts w:hint="eastAsia"/>
          <w:sz w:val="24"/>
        </w:rPr>
        <w:t>公里范围内的大气环境风险受体见表</w:t>
      </w:r>
      <w:r>
        <w:rPr>
          <w:spacing w:val="-60"/>
          <w:sz w:val="24"/>
        </w:rPr>
        <w:t xml:space="preserve"> </w:t>
      </w:r>
      <w:r>
        <w:rPr>
          <w:rFonts w:ascii="Times New Roman" w:eastAsia="Times New Roman"/>
          <w:sz w:val="24"/>
        </w:rPr>
        <w:t>2.4-</w:t>
      </w:r>
      <w:r>
        <w:rPr>
          <w:rFonts w:ascii="Times New Roman"/>
          <w:sz w:val="24"/>
          <w:lang w:val="en-US"/>
        </w:rPr>
        <w:t>5</w:t>
      </w:r>
      <w:r>
        <w:rPr>
          <w:rFonts w:hint="eastAsia"/>
          <w:sz w:val="24"/>
        </w:rPr>
        <w:t>。</w:t>
      </w:r>
      <w:r>
        <w:rPr>
          <w:rFonts w:hint="eastAsia"/>
          <w:b/>
          <w:sz w:val="24"/>
        </w:rPr>
        <w:t>表</w:t>
      </w:r>
      <w:r>
        <w:rPr>
          <w:b/>
          <w:spacing w:val="-62"/>
          <w:sz w:val="24"/>
        </w:rPr>
        <w:t xml:space="preserve"> </w:t>
      </w:r>
      <w:r>
        <w:rPr>
          <w:rFonts w:ascii="Times New Roman" w:eastAsia="Times New Roman"/>
          <w:b/>
          <w:sz w:val="24"/>
        </w:rPr>
        <w:t>2.4-</w:t>
      </w:r>
      <w:r>
        <w:rPr>
          <w:rFonts w:ascii="Times New Roman"/>
          <w:b/>
          <w:sz w:val="24"/>
          <w:lang w:val="en-US"/>
        </w:rPr>
        <w:t>5</w:t>
      </w:r>
      <w:r>
        <w:rPr>
          <w:rFonts w:ascii="Times New Roman" w:eastAsia="Times New Roman"/>
          <w:b/>
          <w:sz w:val="24"/>
        </w:rPr>
        <w:tab/>
      </w:r>
      <w:r>
        <w:rPr>
          <w:rFonts w:hint="eastAsia"/>
          <w:b/>
          <w:sz w:val="24"/>
        </w:rPr>
        <w:t>公司周围环境保护目标情况一览</w:t>
      </w:r>
      <w:r>
        <w:rPr>
          <w:rFonts w:hint="eastAsia"/>
          <w:b/>
          <w:spacing w:val="-15"/>
          <w:sz w:val="24"/>
        </w:rPr>
        <w:t>表</w:t>
      </w:r>
    </w:p>
    <w:tbl>
      <w:tblPr>
        <w:tblW w:w="8914" w:type="dxa"/>
        <w:tblBorders>
          <w:top w:val="thinThickSmallGap" w:sz="24" w:space="0" w:color="auto"/>
          <w:left w:val="single" w:sz="4" w:space="0" w:color="auto"/>
          <w:bottom w:val="thinThickSmallGap" w:sz="24" w:space="0" w:color="auto"/>
          <w:right w:val="single" w:sz="4" w:space="0" w:color="auto"/>
          <w:insideH w:val="single" w:sz="4" w:space="0" w:color="auto"/>
          <w:insideV w:val="single" w:sz="4" w:space="0" w:color="auto"/>
        </w:tblBorders>
        <w:tblLayout w:type="fixed"/>
        <w:tblLook w:val="00A0"/>
      </w:tblPr>
      <w:tblGrid>
        <w:gridCol w:w="1186"/>
        <w:gridCol w:w="2453"/>
        <w:gridCol w:w="941"/>
        <w:gridCol w:w="1021"/>
        <w:gridCol w:w="1248"/>
        <w:gridCol w:w="2065"/>
      </w:tblGrid>
      <w:tr w:rsidR="00B04AE3">
        <w:trPr>
          <w:trHeight w:val="465"/>
        </w:trPr>
        <w:tc>
          <w:tcPr>
            <w:tcW w:w="1186"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环境要素</w:t>
            </w: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保护目标</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方位</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距离</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规模</w:t>
            </w:r>
          </w:p>
        </w:tc>
        <w:tc>
          <w:tcPr>
            <w:tcW w:w="2065"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环境功能</w:t>
            </w:r>
          </w:p>
        </w:tc>
      </w:tr>
      <w:tr w:rsidR="00B04AE3">
        <w:trPr>
          <w:trHeight w:val="465"/>
        </w:trPr>
        <w:tc>
          <w:tcPr>
            <w:tcW w:w="1186" w:type="dxa"/>
            <w:vMerge w:val="restart"/>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大气环境</w:t>
            </w:r>
          </w:p>
          <w:p w:rsidR="00B04AE3" w:rsidRDefault="00B04AE3">
            <w:pPr>
              <w:widowControl/>
              <w:jc w:val="center"/>
            </w:pPr>
            <w:r>
              <w:rPr>
                <w:rFonts w:hint="eastAsia"/>
              </w:rPr>
              <w:t>声环境</w:t>
            </w: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江西水利职业学院</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527m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5000</w:t>
            </w:r>
            <w:r>
              <w:rPr>
                <w:rFonts w:hint="eastAsia"/>
              </w:rPr>
              <w:t>人</w:t>
            </w:r>
          </w:p>
        </w:tc>
        <w:tc>
          <w:tcPr>
            <w:tcW w:w="2065" w:type="dxa"/>
            <w:vMerge w:val="restart"/>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szCs w:val="21"/>
              </w:rPr>
            </w:pPr>
            <w:r>
              <w:rPr>
                <w:rFonts w:hint="eastAsia"/>
              </w:rPr>
              <w:t>（</w:t>
            </w:r>
            <w:r>
              <w:t>GB3</w:t>
            </w:r>
            <w:r>
              <w:rPr>
                <w:szCs w:val="21"/>
              </w:rPr>
              <w:t>095-2012</w:t>
            </w:r>
            <w:r>
              <w:rPr>
                <w:rFonts w:hint="eastAsia"/>
                <w:szCs w:val="21"/>
              </w:rPr>
              <w:t>）中二级标准</w:t>
            </w:r>
          </w:p>
          <w:p w:rsidR="00B04AE3" w:rsidRDefault="00B04AE3">
            <w:pPr>
              <w:pStyle w:val="Default"/>
              <w:jc w:val="center"/>
              <w:rPr>
                <w:rFonts w:ascii="Times New Roman"/>
                <w:color w:val="auto"/>
              </w:rPr>
            </w:pPr>
            <w:r>
              <w:rPr>
                <w:rFonts w:ascii="Times New Roman" w:hint="eastAsia"/>
                <w:color w:val="auto"/>
                <w:sz w:val="21"/>
                <w:szCs w:val="21"/>
              </w:rPr>
              <w:t>（</w:t>
            </w:r>
            <w:r>
              <w:rPr>
                <w:rFonts w:ascii="Times New Roman"/>
                <w:color w:val="auto"/>
                <w:sz w:val="21"/>
                <w:szCs w:val="21"/>
              </w:rPr>
              <w:t>GB3096-2008</w:t>
            </w:r>
            <w:r>
              <w:rPr>
                <w:rFonts w:ascii="Times New Roman" w:hint="eastAsia"/>
                <w:color w:val="auto"/>
                <w:sz w:val="21"/>
                <w:szCs w:val="21"/>
              </w:rPr>
              <w:t>）中</w:t>
            </w:r>
            <w:r>
              <w:rPr>
                <w:rFonts w:ascii="Times New Roman"/>
                <w:color w:val="auto"/>
                <w:sz w:val="21"/>
                <w:szCs w:val="21"/>
              </w:rPr>
              <w:t>3</w:t>
            </w:r>
            <w:r>
              <w:rPr>
                <w:rFonts w:ascii="Times New Roman" w:hint="eastAsia"/>
                <w:color w:val="auto"/>
                <w:sz w:val="21"/>
                <w:szCs w:val="21"/>
              </w:rPr>
              <w:t>类标准</w:t>
            </w: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华东交通大学北区</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840m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15000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汪家村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420m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1500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吉都居</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700m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2000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凯梦仙缘</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732m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4500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棚上</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1000m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300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双港新村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887m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400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双港</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1100m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300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三叉角</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1300m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吴家山</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1700m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250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邹家村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1600m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250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港口村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1072m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1500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排头裘家</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1156m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600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江西理工大学南昌校区</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1500m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8000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曹家村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2020m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550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吴家山</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1600m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trPr>
        <w:tc>
          <w:tcPr>
            <w:tcW w:w="1186" w:type="dxa"/>
            <w:tcBorders>
              <w:top w:val="single" w:sz="8" w:space="0" w:color="auto"/>
              <w:left w:val="single" w:sz="8" w:space="0" w:color="auto"/>
              <w:bottom w:val="single" w:sz="8" w:space="0" w:color="auto"/>
              <w:right w:val="single" w:sz="8" w:space="0" w:color="auto"/>
            </w:tcBorders>
            <w:vAlign w:val="center"/>
          </w:tcPr>
          <w:p w:rsidR="00B04AE3" w:rsidRDefault="00B04AE3">
            <w:pPr>
              <w:jc w:val="center"/>
            </w:pPr>
            <w:r>
              <w:rPr>
                <w:rFonts w:hint="eastAsia"/>
              </w:rPr>
              <w:t>水环境</w:t>
            </w: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赣江北支</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15km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中河</w:t>
            </w:r>
          </w:p>
        </w:tc>
        <w:tc>
          <w:tcPr>
            <w:tcW w:w="2065"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pPr>
            <w:r>
              <w:t>GB3838-2002</w:t>
            </w:r>
            <w:r>
              <w:rPr>
                <w:rFonts w:hint="eastAsia"/>
              </w:rPr>
              <w:t>中</w:t>
            </w:r>
            <w:r>
              <w:rPr>
                <w:sz w:val="24"/>
              </w:rPr>
              <w:t>IV</w:t>
            </w:r>
            <w:r>
              <w:rPr>
                <w:rFonts w:hint="eastAsia"/>
              </w:rPr>
              <w:t>类水体标准</w:t>
            </w:r>
          </w:p>
        </w:tc>
      </w:tr>
    </w:tbl>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、地面水环境风险受体</w:t>
      </w:r>
    </w:p>
    <w:p w:rsidR="00B04AE3" w:rsidRDefault="00B04AE3">
      <w:pPr>
        <w:pStyle w:val="BodyText"/>
        <w:spacing w:before="20" w:line="360" w:lineRule="auto"/>
        <w:ind w:left="334" w:right="334" w:firstLine="482"/>
        <w:jc w:val="both"/>
        <w:rPr>
          <w:spacing w:val="-6"/>
          <w:szCs w:val="22"/>
        </w:rPr>
      </w:pPr>
      <w:r>
        <w:rPr>
          <w:rFonts w:hint="eastAsia"/>
          <w:spacing w:val="-6"/>
          <w:szCs w:val="22"/>
        </w:rPr>
        <w:t>厂区雨污分流，雨水经雨水管网收集后直接排入厂外雨水沟；废水经厂区污水车间处理后通过污水管网排至白水湖污水处理厂处理，最终汇入赣江。</w:t>
      </w:r>
    </w:p>
    <w:p w:rsidR="00B04AE3" w:rsidRDefault="00B04AE3">
      <w:pPr>
        <w:pStyle w:val="BodyText"/>
        <w:spacing w:before="20" w:line="360" w:lineRule="auto"/>
        <w:ind w:left="334" w:right="334" w:firstLine="482"/>
        <w:jc w:val="both"/>
        <w:rPr>
          <w:spacing w:val="-6"/>
          <w:szCs w:val="22"/>
        </w:rPr>
      </w:pPr>
      <w:r>
        <w:rPr>
          <w:rFonts w:hint="eastAsia"/>
          <w:spacing w:val="-6"/>
          <w:szCs w:val="22"/>
        </w:rPr>
        <w:t>受纳水体基本情况见表</w:t>
      </w:r>
      <w:r>
        <w:rPr>
          <w:spacing w:val="-6"/>
          <w:szCs w:val="22"/>
        </w:rPr>
        <w:t xml:space="preserve"> 2.4-</w:t>
      </w:r>
      <w:r>
        <w:rPr>
          <w:spacing w:val="-6"/>
          <w:szCs w:val="22"/>
          <w:lang w:val="en-US"/>
        </w:rPr>
        <w:t>6</w:t>
      </w:r>
      <w:r>
        <w:rPr>
          <w:rFonts w:hint="eastAsia"/>
          <w:spacing w:val="-6"/>
          <w:szCs w:val="22"/>
        </w:rPr>
        <w:t>。</w:t>
      </w:r>
    </w:p>
    <w:p w:rsidR="00B04AE3" w:rsidRDefault="00B04AE3">
      <w:pPr>
        <w:tabs>
          <w:tab w:val="left" w:pos="1051"/>
        </w:tabs>
        <w:spacing w:before="158" w:after="4"/>
        <w:ind w:left="12"/>
        <w:jc w:val="center"/>
        <w:rPr>
          <w:b/>
          <w:sz w:val="24"/>
        </w:rPr>
      </w:pPr>
      <w:r>
        <w:rPr>
          <w:rFonts w:hint="eastAsia"/>
          <w:b/>
          <w:sz w:val="24"/>
        </w:rPr>
        <w:t>表</w:t>
      </w:r>
      <w:r>
        <w:rPr>
          <w:b/>
          <w:spacing w:val="-62"/>
          <w:sz w:val="24"/>
        </w:rPr>
        <w:t xml:space="preserve"> </w:t>
      </w:r>
      <w:r>
        <w:rPr>
          <w:rFonts w:ascii="Times New Roman" w:eastAsia="Times New Roman"/>
          <w:b/>
          <w:sz w:val="24"/>
        </w:rPr>
        <w:t>2.4-</w:t>
      </w:r>
      <w:r>
        <w:rPr>
          <w:rFonts w:ascii="Times New Roman"/>
          <w:b/>
          <w:sz w:val="24"/>
          <w:lang w:val="en-US"/>
        </w:rPr>
        <w:t>6</w:t>
      </w:r>
      <w:r>
        <w:rPr>
          <w:rFonts w:ascii="Times New Roman" w:eastAsia="Times New Roman"/>
          <w:b/>
          <w:sz w:val="24"/>
        </w:rPr>
        <w:tab/>
      </w:r>
      <w:r>
        <w:rPr>
          <w:rFonts w:hint="eastAsia"/>
          <w:b/>
          <w:sz w:val="24"/>
        </w:rPr>
        <w:t>企业排污受纳水体基本情况表</w:t>
      </w:r>
    </w:p>
    <w:tbl>
      <w:tblPr>
        <w:tblW w:w="8522"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448"/>
        <w:gridCol w:w="1765"/>
        <w:gridCol w:w="1573"/>
        <w:gridCol w:w="1155"/>
        <w:gridCol w:w="1364"/>
        <w:gridCol w:w="1217"/>
      </w:tblGrid>
      <w:tr w:rsidR="00B04AE3">
        <w:trPr>
          <w:trHeight w:val="340"/>
        </w:trPr>
        <w:tc>
          <w:tcPr>
            <w:tcW w:w="1448" w:type="dxa"/>
            <w:vMerge w:val="restart"/>
            <w:shd w:val="clear" w:color="auto" w:fill="DFDFDF"/>
          </w:tcPr>
          <w:p w:rsidR="00B04AE3" w:rsidRDefault="00B04AE3">
            <w:pPr>
              <w:pStyle w:val="TableParagraph"/>
              <w:jc w:val="left"/>
              <w:rPr>
                <w:b/>
                <w:sz w:val="16"/>
              </w:rPr>
            </w:pPr>
          </w:p>
          <w:p w:rsidR="00B04AE3" w:rsidRDefault="00B04AE3">
            <w:pPr>
              <w:pStyle w:val="TableParagraph"/>
              <w:spacing w:before="1"/>
              <w:ind w:left="281" w:right="271"/>
              <w:rPr>
                <w:b/>
                <w:sz w:val="21"/>
              </w:rPr>
            </w:pPr>
            <w:r>
              <w:rPr>
                <w:rFonts w:hint="eastAsia"/>
                <w:b/>
                <w:sz w:val="21"/>
              </w:rPr>
              <w:t>分类</w:t>
            </w:r>
          </w:p>
        </w:tc>
        <w:tc>
          <w:tcPr>
            <w:tcW w:w="1765" w:type="dxa"/>
            <w:vMerge w:val="restart"/>
            <w:shd w:val="clear" w:color="auto" w:fill="DFDFDF"/>
          </w:tcPr>
          <w:p w:rsidR="00B04AE3" w:rsidRDefault="00B04AE3">
            <w:pPr>
              <w:pStyle w:val="TableParagraph"/>
              <w:jc w:val="left"/>
              <w:rPr>
                <w:b/>
                <w:sz w:val="16"/>
              </w:rPr>
            </w:pPr>
          </w:p>
          <w:p w:rsidR="00B04AE3" w:rsidRDefault="00B04AE3">
            <w:pPr>
              <w:pStyle w:val="TableParagraph"/>
              <w:spacing w:before="1"/>
              <w:ind w:left="462"/>
              <w:jc w:val="left"/>
              <w:rPr>
                <w:b/>
                <w:sz w:val="21"/>
              </w:rPr>
            </w:pPr>
            <w:r>
              <w:rPr>
                <w:rFonts w:hint="eastAsia"/>
                <w:b/>
                <w:sz w:val="21"/>
              </w:rPr>
              <w:t>排放去向</w:t>
            </w:r>
          </w:p>
        </w:tc>
        <w:tc>
          <w:tcPr>
            <w:tcW w:w="5309" w:type="dxa"/>
            <w:gridSpan w:val="4"/>
            <w:shd w:val="clear" w:color="auto" w:fill="DFDFDF"/>
          </w:tcPr>
          <w:p w:rsidR="00B04AE3" w:rsidRDefault="00B04AE3">
            <w:pPr>
              <w:pStyle w:val="TableParagraph"/>
              <w:spacing w:before="30"/>
              <w:ind w:left="2002" w:right="1991"/>
              <w:rPr>
                <w:b/>
                <w:sz w:val="21"/>
              </w:rPr>
            </w:pPr>
            <w:r>
              <w:rPr>
                <w:rFonts w:hint="eastAsia"/>
                <w:b/>
                <w:sz w:val="21"/>
              </w:rPr>
              <w:t>受纳水体情况</w:t>
            </w:r>
          </w:p>
        </w:tc>
      </w:tr>
      <w:tr w:rsidR="00B04AE3">
        <w:trPr>
          <w:trHeight w:val="340"/>
        </w:trPr>
        <w:tc>
          <w:tcPr>
            <w:tcW w:w="1448" w:type="dxa"/>
            <w:vMerge/>
            <w:tcBorders>
              <w:top w:val="nil"/>
            </w:tcBorders>
            <w:shd w:val="clear" w:color="auto" w:fill="DFDFDF"/>
          </w:tcPr>
          <w:p w:rsidR="00B04AE3" w:rsidRDefault="00B04AE3">
            <w:pPr>
              <w:rPr>
                <w:sz w:val="2"/>
                <w:szCs w:val="2"/>
              </w:rPr>
            </w:pPr>
          </w:p>
        </w:tc>
        <w:tc>
          <w:tcPr>
            <w:tcW w:w="1765" w:type="dxa"/>
            <w:vMerge/>
            <w:tcBorders>
              <w:top w:val="nil"/>
            </w:tcBorders>
            <w:shd w:val="clear" w:color="auto" w:fill="DFDFDF"/>
          </w:tcPr>
          <w:p w:rsidR="00B04AE3" w:rsidRDefault="00B04AE3">
            <w:pPr>
              <w:rPr>
                <w:sz w:val="2"/>
                <w:szCs w:val="2"/>
              </w:rPr>
            </w:pPr>
          </w:p>
        </w:tc>
        <w:tc>
          <w:tcPr>
            <w:tcW w:w="1573" w:type="dxa"/>
            <w:tcBorders>
              <w:right w:val="single" w:sz="6" w:space="0" w:color="000000"/>
            </w:tcBorders>
            <w:shd w:val="clear" w:color="auto" w:fill="DFDFDF"/>
          </w:tcPr>
          <w:p w:rsidR="00B04AE3" w:rsidRDefault="00B04AE3">
            <w:pPr>
              <w:pStyle w:val="TableParagraph"/>
              <w:spacing w:before="31"/>
              <w:ind w:left="344" w:right="331"/>
              <w:rPr>
                <w:b/>
                <w:sz w:val="21"/>
              </w:rPr>
            </w:pPr>
            <w:r>
              <w:rPr>
                <w:rFonts w:hint="eastAsia"/>
                <w:b/>
                <w:sz w:val="21"/>
              </w:rPr>
              <w:t>汇入河流</w:t>
            </w:r>
          </w:p>
        </w:tc>
        <w:tc>
          <w:tcPr>
            <w:tcW w:w="1155" w:type="dxa"/>
            <w:tcBorders>
              <w:left w:val="single" w:sz="6" w:space="0" w:color="000000"/>
            </w:tcBorders>
            <w:shd w:val="clear" w:color="auto" w:fill="DFDFDF"/>
          </w:tcPr>
          <w:p w:rsidR="00B04AE3" w:rsidRDefault="00B04AE3">
            <w:pPr>
              <w:pStyle w:val="TableParagraph"/>
              <w:spacing w:before="31"/>
              <w:ind w:left="131" w:right="124"/>
              <w:rPr>
                <w:b/>
                <w:sz w:val="21"/>
              </w:rPr>
            </w:pPr>
            <w:r>
              <w:rPr>
                <w:rFonts w:hint="eastAsia"/>
                <w:b/>
                <w:sz w:val="21"/>
              </w:rPr>
              <w:t>闸坝信息</w:t>
            </w:r>
          </w:p>
        </w:tc>
        <w:tc>
          <w:tcPr>
            <w:tcW w:w="1364" w:type="dxa"/>
            <w:shd w:val="clear" w:color="auto" w:fill="DFDFDF"/>
          </w:tcPr>
          <w:p w:rsidR="00B04AE3" w:rsidRDefault="00B04AE3">
            <w:pPr>
              <w:pStyle w:val="TableParagraph"/>
              <w:spacing w:before="31"/>
              <w:ind w:right="459"/>
              <w:jc w:val="right"/>
              <w:rPr>
                <w:b/>
                <w:sz w:val="21"/>
              </w:rPr>
            </w:pPr>
            <w:r>
              <w:rPr>
                <w:rFonts w:hint="eastAsia"/>
                <w:b/>
                <w:w w:val="95"/>
                <w:sz w:val="21"/>
              </w:rPr>
              <w:t>长度</w:t>
            </w:r>
          </w:p>
        </w:tc>
        <w:tc>
          <w:tcPr>
            <w:tcW w:w="1217" w:type="dxa"/>
            <w:shd w:val="clear" w:color="auto" w:fill="DFDFDF"/>
          </w:tcPr>
          <w:p w:rsidR="00B04AE3" w:rsidRDefault="00B04AE3">
            <w:pPr>
              <w:pStyle w:val="TableParagraph"/>
              <w:spacing w:before="31"/>
              <w:ind w:left="149" w:right="138"/>
              <w:rPr>
                <w:b/>
                <w:sz w:val="21"/>
              </w:rPr>
            </w:pPr>
            <w:r>
              <w:rPr>
                <w:rFonts w:hint="eastAsia"/>
                <w:b/>
                <w:sz w:val="21"/>
              </w:rPr>
              <w:t>流域面积</w:t>
            </w:r>
          </w:p>
        </w:tc>
      </w:tr>
      <w:tr w:rsidR="00B04AE3">
        <w:trPr>
          <w:trHeight w:val="340"/>
        </w:trPr>
        <w:tc>
          <w:tcPr>
            <w:tcW w:w="1448" w:type="dxa"/>
          </w:tcPr>
          <w:p w:rsidR="00B04AE3" w:rsidRDefault="00B04AE3">
            <w:pPr>
              <w:pStyle w:val="TableParagraph"/>
              <w:spacing w:before="31"/>
              <w:ind w:left="280" w:right="275"/>
              <w:rPr>
                <w:sz w:val="21"/>
              </w:rPr>
            </w:pPr>
            <w:r>
              <w:rPr>
                <w:rFonts w:hint="eastAsia"/>
                <w:sz w:val="21"/>
              </w:rPr>
              <w:t>生活污水</w:t>
            </w:r>
          </w:p>
        </w:tc>
        <w:tc>
          <w:tcPr>
            <w:tcW w:w="1765" w:type="dxa"/>
          </w:tcPr>
          <w:p w:rsidR="00B04AE3" w:rsidRDefault="00B04AE3">
            <w:pPr>
              <w:pStyle w:val="TableParagraph"/>
              <w:spacing w:before="31"/>
              <w:ind w:left="336" w:right="328"/>
              <w:rPr>
                <w:sz w:val="21"/>
              </w:rPr>
            </w:pPr>
            <w:r>
              <w:rPr>
                <w:rFonts w:hint="eastAsia"/>
                <w:sz w:val="21"/>
              </w:rPr>
              <w:t>污水处理厂</w:t>
            </w:r>
          </w:p>
        </w:tc>
        <w:tc>
          <w:tcPr>
            <w:tcW w:w="1573" w:type="dxa"/>
            <w:tcBorders>
              <w:right w:val="single" w:sz="6" w:space="0" w:color="000000"/>
            </w:tcBorders>
          </w:tcPr>
          <w:p w:rsidR="00B04AE3" w:rsidRDefault="00B04AE3">
            <w:pPr>
              <w:pStyle w:val="TableParagraph"/>
              <w:spacing w:before="34"/>
              <w:ind w:left="343" w:right="332"/>
              <w:rPr>
                <w:sz w:val="21"/>
              </w:rPr>
            </w:pPr>
            <w:r>
              <w:rPr>
                <w:rFonts w:hint="eastAsia"/>
                <w:sz w:val="21"/>
              </w:rPr>
              <w:t>赣江</w:t>
            </w:r>
          </w:p>
        </w:tc>
        <w:tc>
          <w:tcPr>
            <w:tcW w:w="1155" w:type="dxa"/>
            <w:tcBorders>
              <w:left w:val="single" w:sz="6" w:space="0" w:color="000000"/>
            </w:tcBorders>
          </w:tcPr>
          <w:p w:rsidR="00B04AE3" w:rsidRDefault="00B04AE3">
            <w:pPr>
              <w:pStyle w:val="TableParagraph"/>
              <w:spacing w:before="34"/>
              <w:ind w:left="7"/>
              <w:rPr>
                <w:sz w:val="21"/>
              </w:rPr>
            </w:pPr>
            <w:r>
              <w:rPr>
                <w:rFonts w:hint="eastAsia"/>
                <w:w w:val="99"/>
                <w:sz w:val="21"/>
              </w:rPr>
              <w:t>无</w:t>
            </w:r>
          </w:p>
        </w:tc>
        <w:tc>
          <w:tcPr>
            <w:tcW w:w="1364" w:type="dxa"/>
          </w:tcPr>
          <w:p w:rsidR="00B04AE3" w:rsidRDefault="00B04AE3">
            <w:pPr>
              <w:pStyle w:val="TableParagraph"/>
              <w:spacing w:before="47"/>
              <w:ind w:right="431"/>
              <w:jc w:val="right"/>
              <w:rPr>
                <w:rFonts w:ascii="Times New Roman"/>
                <w:sz w:val="21"/>
              </w:rPr>
            </w:pPr>
            <w:r>
              <w:rPr>
                <w:rFonts w:ascii="Times New Roman"/>
                <w:w w:val="95"/>
                <w:sz w:val="21"/>
              </w:rPr>
              <w:t>15km</w:t>
            </w:r>
          </w:p>
        </w:tc>
        <w:tc>
          <w:tcPr>
            <w:tcW w:w="1217" w:type="dxa"/>
          </w:tcPr>
          <w:p w:rsidR="00B04AE3" w:rsidRDefault="00B04AE3">
            <w:pPr>
              <w:pStyle w:val="TableParagraph"/>
              <w:spacing w:before="47"/>
              <w:ind w:left="149" w:right="140"/>
              <w:rPr>
                <w:rFonts w:ascii="Times New Roman"/>
                <w:sz w:val="21"/>
              </w:rPr>
            </w:pPr>
            <w:r>
              <w:rPr>
                <w:rFonts w:ascii="Times New Roman"/>
                <w:sz w:val="21"/>
              </w:rPr>
              <w:t>--</w:t>
            </w:r>
          </w:p>
        </w:tc>
      </w:tr>
      <w:tr w:rsidR="00B04AE3">
        <w:trPr>
          <w:trHeight w:val="340"/>
        </w:trPr>
        <w:tc>
          <w:tcPr>
            <w:tcW w:w="1448" w:type="dxa"/>
          </w:tcPr>
          <w:p w:rsidR="00B04AE3" w:rsidRDefault="00B04AE3">
            <w:pPr>
              <w:pStyle w:val="TableParagraph"/>
              <w:spacing w:before="32"/>
              <w:ind w:left="281" w:right="274"/>
              <w:rPr>
                <w:sz w:val="21"/>
              </w:rPr>
            </w:pPr>
            <w:r>
              <w:rPr>
                <w:rFonts w:hint="eastAsia"/>
                <w:sz w:val="21"/>
              </w:rPr>
              <w:t>雨水</w:t>
            </w:r>
          </w:p>
        </w:tc>
        <w:tc>
          <w:tcPr>
            <w:tcW w:w="1765" w:type="dxa"/>
          </w:tcPr>
          <w:p w:rsidR="00B04AE3" w:rsidRDefault="00B04AE3">
            <w:pPr>
              <w:pStyle w:val="TableParagraph"/>
              <w:spacing w:before="32"/>
              <w:ind w:left="336" w:right="328"/>
              <w:rPr>
                <w:sz w:val="21"/>
              </w:rPr>
            </w:pPr>
            <w:r>
              <w:rPr>
                <w:rFonts w:hint="eastAsia"/>
                <w:sz w:val="21"/>
              </w:rPr>
              <w:t>雨水管网</w:t>
            </w:r>
          </w:p>
        </w:tc>
        <w:tc>
          <w:tcPr>
            <w:tcW w:w="1573" w:type="dxa"/>
            <w:tcBorders>
              <w:right w:val="single" w:sz="6" w:space="0" w:color="000000"/>
            </w:tcBorders>
          </w:tcPr>
          <w:p w:rsidR="00B04AE3" w:rsidRDefault="00B04AE3">
            <w:pPr>
              <w:pStyle w:val="TableParagraph"/>
              <w:spacing w:before="34"/>
              <w:ind w:left="343" w:right="332"/>
              <w:rPr>
                <w:sz w:val="21"/>
              </w:rPr>
            </w:pPr>
            <w:r>
              <w:rPr>
                <w:rFonts w:hint="eastAsia"/>
                <w:sz w:val="21"/>
              </w:rPr>
              <w:t>赣江</w:t>
            </w:r>
          </w:p>
        </w:tc>
        <w:tc>
          <w:tcPr>
            <w:tcW w:w="1155" w:type="dxa"/>
            <w:tcBorders>
              <w:left w:val="single" w:sz="6" w:space="0" w:color="000000"/>
            </w:tcBorders>
          </w:tcPr>
          <w:p w:rsidR="00B04AE3" w:rsidRDefault="00B04AE3">
            <w:pPr>
              <w:pStyle w:val="TableParagraph"/>
              <w:spacing w:before="34"/>
              <w:ind w:left="7"/>
              <w:rPr>
                <w:sz w:val="21"/>
              </w:rPr>
            </w:pPr>
            <w:r>
              <w:rPr>
                <w:rFonts w:hint="eastAsia"/>
                <w:w w:val="99"/>
                <w:sz w:val="21"/>
              </w:rPr>
              <w:t>无</w:t>
            </w:r>
          </w:p>
        </w:tc>
        <w:tc>
          <w:tcPr>
            <w:tcW w:w="1364" w:type="dxa"/>
          </w:tcPr>
          <w:p w:rsidR="00B04AE3" w:rsidRDefault="00B04AE3">
            <w:pPr>
              <w:pStyle w:val="TableParagraph"/>
              <w:spacing w:before="48"/>
              <w:ind w:right="431"/>
              <w:jc w:val="right"/>
              <w:rPr>
                <w:rFonts w:ascii="Times New Roman"/>
                <w:sz w:val="21"/>
              </w:rPr>
            </w:pPr>
            <w:r>
              <w:rPr>
                <w:rFonts w:ascii="Times New Roman"/>
                <w:w w:val="95"/>
                <w:sz w:val="21"/>
              </w:rPr>
              <w:t>15km</w:t>
            </w:r>
          </w:p>
        </w:tc>
        <w:tc>
          <w:tcPr>
            <w:tcW w:w="1217" w:type="dxa"/>
          </w:tcPr>
          <w:p w:rsidR="00B04AE3" w:rsidRDefault="00B04AE3">
            <w:pPr>
              <w:pStyle w:val="TableParagraph"/>
              <w:spacing w:before="45"/>
              <w:ind w:left="149" w:right="140"/>
              <w:rPr>
                <w:rFonts w:ascii="Times New Roman"/>
                <w:sz w:val="21"/>
              </w:rPr>
            </w:pPr>
            <w:r>
              <w:rPr>
                <w:rFonts w:ascii="Times New Roman"/>
                <w:sz w:val="21"/>
              </w:rPr>
              <w:t>--</w:t>
            </w:r>
          </w:p>
        </w:tc>
      </w:tr>
    </w:tbl>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、地下水环境风险受体</w:t>
      </w:r>
    </w:p>
    <w:p w:rsidR="00B04AE3" w:rsidRDefault="00B04AE3">
      <w:pPr>
        <w:tabs>
          <w:tab w:val="left" w:pos="1053"/>
        </w:tabs>
        <w:spacing w:before="160" w:after="2"/>
        <w:ind w:left="14"/>
        <w:jc w:val="center"/>
        <w:rPr>
          <w:b/>
          <w:sz w:val="24"/>
        </w:rPr>
      </w:pPr>
      <w:r>
        <w:rPr>
          <w:rFonts w:hint="eastAsia"/>
          <w:b/>
          <w:sz w:val="24"/>
        </w:rPr>
        <w:t>表</w:t>
      </w:r>
      <w:r>
        <w:rPr>
          <w:b/>
          <w:spacing w:val="-62"/>
          <w:sz w:val="24"/>
        </w:rPr>
        <w:t xml:space="preserve"> </w:t>
      </w:r>
      <w:r>
        <w:rPr>
          <w:rFonts w:ascii="Times New Roman" w:eastAsia="Times New Roman"/>
          <w:b/>
          <w:sz w:val="24"/>
        </w:rPr>
        <w:t>2.4-</w:t>
      </w:r>
      <w:r>
        <w:rPr>
          <w:rFonts w:ascii="Times New Roman"/>
          <w:b/>
          <w:sz w:val="24"/>
          <w:lang w:val="en-US"/>
        </w:rPr>
        <w:t>7</w:t>
      </w:r>
      <w:r>
        <w:rPr>
          <w:rFonts w:ascii="Times New Roman" w:eastAsia="Times New Roman"/>
          <w:b/>
          <w:sz w:val="24"/>
        </w:rPr>
        <w:tab/>
      </w:r>
      <w:r>
        <w:rPr>
          <w:rFonts w:hint="eastAsia"/>
          <w:b/>
          <w:sz w:val="24"/>
        </w:rPr>
        <w:t>企业地下水环境风险受体基本情况表</w:t>
      </w:r>
    </w:p>
    <w:tbl>
      <w:tblPr>
        <w:tblW w:w="8328" w:type="dxa"/>
        <w:tblInd w:w="33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1001"/>
        <w:gridCol w:w="1984"/>
        <w:gridCol w:w="3686"/>
        <w:gridCol w:w="1657"/>
      </w:tblGrid>
      <w:tr w:rsidR="00B04AE3">
        <w:trPr>
          <w:trHeight w:val="325"/>
        </w:trPr>
        <w:tc>
          <w:tcPr>
            <w:tcW w:w="1001" w:type="dxa"/>
            <w:shd w:val="clear" w:color="auto" w:fill="D9D9D9"/>
          </w:tcPr>
          <w:p w:rsidR="00B04AE3" w:rsidRDefault="00B04AE3">
            <w:pPr>
              <w:pStyle w:val="TableParagraph"/>
              <w:spacing w:before="27"/>
              <w:ind w:left="59" w:right="42"/>
              <w:rPr>
                <w:b/>
                <w:sz w:val="21"/>
              </w:rPr>
            </w:pPr>
            <w:r>
              <w:rPr>
                <w:rFonts w:hint="eastAsia"/>
                <w:b/>
                <w:sz w:val="21"/>
              </w:rPr>
              <w:t>环境要素</w:t>
            </w:r>
          </w:p>
        </w:tc>
        <w:tc>
          <w:tcPr>
            <w:tcW w:w="1984" w:type="dxa"/>
            <w:shd w:val="clear" w:color="auto" w:fill="D9D9D9"/>
          </w:tcPr>
          <w:p w:rsidR="00B04AE3" w:rsidRDefault="00B04AE3">
            <w:pPr>
              <w:pStyle w:val="TableParagraph"/>
              <w:spacing w:before="27"/>
              <w:ind w:left="131" w:right="111"/>
              <w:rPr>
                <w:b/>
                <w:sz w:val="21"/>
              </w:rPr>
            </w:pPr>
            <w:r>
              <w:rPr>
                <w:rFonts w:hint="eastAsia"/>
                <w:b/>
                <w:sz w:val="21"/>
              </w:rPr>
              <w:t>环境保护对象名称</w:t>
            </w:r>
          </w:p>
        </w:tc>
        <w:tc>
          <w:tcPr>
            <w:tcW w:w="3686" w:type="dxa"/>
            <w:shd w:val="clear" w:color="auto" w:fill="D9D9D9"/>
          </w:tcPr>
          <w:p w:rsidR="00B04AE3" w:rsidRDefault="00B04AE3">
            <w:pPr>
              <w:pStyle w:val="TableParagraph"/>
              <w:spacing w:before="27"/>
              <w:ind w:right="367"/>
              <w:jc w:val="right"/>
              <w:rPr>
                <w:b/>
                <w:sz w:val="21"/>
              </w:rPr>
            </w:pPr>
            <w:r>
              <w:rPr>
                <w:rFonts w:hint="eastAsia"/>
                <w:b/>
                <w:w w:val="95"/>
                <w:sz w:val="21"/>
              </w:rPr>
              <w:t>距作业场所最近距离（</w:t>
            </w:r>
            <w:r>
              <w:rPr>
                <w:rFonts w:ascii="Times New Roman" w:eastAsia="Times New Roman"/>
                <w:b/>
                <w:w w:val="95"/>
                <w:sz w:val="21"/>
              </w:rPr>
              <w:t>m</w:t>
            </w:r>
            <w:r>
              <w:rPr>
                <w:rFonts w:hint="eastAsia"/>
                <w:b/>
                <w:w w:val="95"/>
                <w:sz w:val="21"/>
              </w:rPr>
              <w:t>）</w:t>
            </w:r>
          </w:p>
        </w:tc>
        <w:tc>
          <w:tcPr>
            <w:tcW w:w="1657" w:type="dxa"/>
            <w:shd w:val="clear" w:color="auto" w:fill="D9D9D9"/>
          </w:tcPr>
          <w:p w:rsidR="00B04AE3" w:rsidRDefault="00B04AE3">
            <w:pPr>
              <w:pStyle w:val="TableParagraph"/>
              <w:spacing w:before="27"/>
              <w:ind w:left="175" w:right="162"/>
              <w:rPr>
                <w:b/>
                <w:sz w:val="21"/>
              </w:rPr>
            </w:pPr>
            <w:r>
              <w:rPr>
                <w:rFonts w:hint="eastAsia"/>
                <w:b/>
                <w:sz w:val="21"/>
              </w:rPr>
              <w:t>环境功能区划</w:t>
            </w:r>
          </w:p>
        </w:tc>
      </w:tr>
      <w:tr w:rsidR="00B04AE3">
        <w:trPr>
          <w:trHeight w:val="325"/>
        </w:trPr>
        <w:tc>
          <w:tcPr>
            <w:tcW w:w="1001" w:type="dxa"/>
          </w:tcPr>
          <w:p w:rsidR="00B04AE3" w:rsidRDefault="00B04AE3">
            <w:pPr>
              <w:pStyle w:val="TableParagraph"/>
              <w:spacing w:before="26"/>
              <w:ind w:left="51" w:right="42"/>
              <w:rPr>
                <w:sz w:val="21"/>
              </w:rPr>
            </w:pPr>
            <w:r>
              <w:rPr>
                <w:rFonts w:hint="eastAsia"/>
                <w:sz w:val="21"/>
              </w:rPr>
              <w:t>地下水</w:t>
            </w:r>
          </w:p>
        </w:tc>
        <w:tc>
          <w:tcPr>
            <w:tcW w:w="1984" w:type="dxa"/>
          </w:tcPr>
          <w:p w:rsidR="00B04AE3" w:rsidRDefault="00B04AE3">
            <w:pPr>
              <w:pStyle w:val="TableParagraph"/>
              <w:spacing w:before="26"/>
              <w:ind w:left="126" w:right="111"/>
              <w:rPr>
                <w:sz w:val="21"/>
              </w:rPr>
            </w:pPr>
            <w:r>
              <w:rPr>
                <w:rFonts w:hint="eastAsia"/>
                <w:sz w:val="21"/>
              </w:rPr>
              <w:t>地下水</w:t>
            </w:r>
          </w:p>
        </w:tc>
        <w:tc>
          <w:tcPr>
            <w:tcW w:w="3686" w:type="dxa"/>
          </w:tcPr>
          <w:p w:rsidR="00B04AE3" w:rsidRDefault="00B04AE3">
            <w:pPr>
              <w:pStyle w:val="TableParagraph"/>
              <w:spacing w:before="26"/>
              <w:ind w:right="357"/>
              <w:jc w:val="right"/>
              <w:rPr>
                <w:sz w:val="21"/>
              </w:rPr>
            </w:pPr>
            <w:r>
              <w:rPr>
                <w:rFonts w:hint="eastAsia"/>
                <w:sz w:val="21"/>
              </w:rPr>
              <w:t>项目周围</w:t>
            </w:r>
            <w:r>
              <w:rPr>
                <w:sz w:val="21"/>
              </w:rPr>
              <w:t xml:space="preserve"> </w:t>
            </w:r>
            <w:r>
              <w:rPr>
                <w:rFonts w:ascii="Times New Roman" w:eastAsia="Times New Roman"/>
                <w:sz w:val="21"/>
              </w:rPr>
              <w:t>20km</w:t>
            </w:r>
            <w:r>
              <w:rPr>
                <w:rFonts w:ascii="Times New Roman" w:eastAsia="Times New Roman"/>
                <w:position w:val="7"/>
                <w:sz w:val="13"/>
              </w:rPr>
              <w:t xml:space="preserve">2 </w:t>
            </w:r>
            <w:r>
              <w:rPr>
                <w:rFonts w:hint="eastAsia"/>
                <w:sz w:val="21"/>
              </w:rPr>
              <w:t>范围内的地下水</w:t>
            </w:r>
          </w:p>
        </w:tc>
        <w:tc>
          <w:tcPr>
            <w:tcW w:w="1657" w:type="dxa"/>
          </w:tcPr>
          <w:p w:rsidR="00B04AE3" w:rsidRDefault="00B04AE3">
            <w:pPr>
              <w:pStyle w:val="TableParagraph"/>
              <w:spacing w:before="26"/>
              <w:ind w:left="173" w:right="162"/>
              <w:rPr>
                <w:sz w:val="21"/>
              </w:rPr>
            </w:pPr>
            <w:r>
              <w:rPr>
                <w:rFonts w:hint="eastAsia"/>
                <w:sz w:val="21"/>
              </w:rPr>
              <w:t>Ⅲ类</w:t>
            </w:r>
          </w:p>
        </w:tc>
      </w:tr>
    </w:tbl>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、土壤环境受体</w:t>
      </w:r>
    </w:p>
    <w:p w:rsidR="00B04AE3" w:rsidRDefault="00B04AE3">
      <w:pPr>
        <w:pStyle w:val="BodyText"/>
        <w:spacing w:before="20" w:line="360" w:lineRule="auto"/>
        <w:ind w:left="334" w:right="334" w:firstLine="482"/>
        <w:jc w:val="both"/>
      </w:pPr>
      <w:r>
        <w:rPr>
          <w:rFonts w:hint="eastAsia"/>
          <w:spacing w:val="-6"/>
          <w:szCs w:val="22"/>
        </w:rPr>
        <w:t>厂区及周边土壤受体</w:t>
      </w:r>
      <w:r>
        <w:rPr>
          <w:rFonts w:hint="eastAsia"/>
        </w:rPr>
        <w:t>。</w:t>
      </w:r>
    </w:p>
    <w:p w:rsidR="00B04AE3" w:rsidRDefault="00B04AE3">
      <w:pPr>
        <w:sectPr w:rsidR="00B04AE3">
          <w:pgSz w:w="11910" w:h="16840"/>
          <w:pgMar w:top="1340" w:right="1460" w:bottom="1180" w:left="1460" w:header="878" w:footer="993" w:gutter="0"/>
          <w:cols w:space="720"/>
        </w:sectPr>
      </w:pPr>
    </w:p>
    <w:p w:rsidR="00B04AE3" w:rsidRDefault="00B04AE3">
      <w:pPr>
        <w:pStyle w:val="ListParagraph"/>
        <w:numPr>
          <w:ilvl w:val="0"/>
          <w:numId w:val="18"/>
        </w:numPr>
        <w:tabs>
          <w:tab w:val="left" w:pos="698"/>
        </w:tabs>
        <w:spacing w:before="97"/>
        <w:ind w:left="697" w:hanging="360"/>
        <w:rPr>
          <w:rFonts w:ascii="Times New Roman" w:eastAsia="Times New Roman"/>
          <w:b/>
          <w:sz w:val="36"/>
        </w:rPr>
      </w:pPr>
      <w:r>
        <w:rPr>
          <w:rFonts w:hint="eastAsia"/>
          <w:b/>
          <w:sz w:val="36"/>
        </w:rPr>
        <w:t>环境风险源辨识与风险评估</w:t>
      </w:r>
    </w:p>
    <w:p w:rsidR="00B04AE3" w:rsidRDefault="00B04AE3">
      <w:pPr>
        <w:pStyle w:val="ListParagraph"/>
        <w:numPr>
          <w:ilvl w:val="1"/>
          <w:numId w:val="18"/>
        </w:numPr>
        <w:tabs>
          <w:tab w:val="left" w:pos="861"/>
        </w:tabs>
        <w:spacing w:before="239"/>
        <w:ind w:left="860" w:hanging="523"/>
        <w:rPr>
          <w:b/>
          <w:sz w:val="30"/>
        </w:rPr>
      </w:pPr>
      <w:bookmarkStart w:id="59" w:name="3.1_环境风险源识别"/>
      <w:bookmarkStart w:id="60" w:name="_bookmark13"/>
      <w:bookmarkEnd w:id="59"/>
      <w:bookmarkEnd w:id="60"/>
      <w:r>
        <w:rPr>
          <w:rFonts w:hint="eastAsia"/>
          <w:b/>
          <w:sz w:val="30"/>
        </w:rPr>
        <w:t>环境风险源识别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风险源识别的目的是确定风险类型。风险源识别包括物质源风险识别和生产设施风险源识别。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物质风险源识别：对公司涉及的原材料及辅料，以及“三废”污染物，按其危险性和毒性，进行危险性识别。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风险类型：根据有毒有害物质泄露起因，分为火灾爆炸、中毒窒息、化学灼伤、泄露四种类型。</w:t>
      </w:r>
    </w:p>
    <w:p w:rsidR="00B04AE3" w:rsidRDefault="00B04AE3">
      <w:pPr>
        <w:pStyle w:val="ListParagraph"/>
        <w:tabs>
          <w:tab w:val="left" w:pos="878"/>
        </w:tabs>
        <w:spacing w:before="159"/>
        <w:ind w:firstLine="0"/>
        <w:rPr>
          <w:b/>
          <w:sz w:val="24"/>
        </w:rPr>
      </w:pPr>
      <w:bookmarkStart w:id="61" w:name="3.1.1物质风险源识别"/>
      <w:bookmarkEnd w:id="61"/>
      <w:r>
        <w:rPr>
          <w:b/>
          <w:sz w:val="24"/>
          <w:lang w:val="en-US"/>
        </w:rPr>
        <w:t>3.1.1</w:t>
      </w:r>
      <w:r>
        <w:rPr>
          <w:rFonts w:hint="eastAsia"/>
          <w:b/>
          <w:sz w:val="24"/>
        </w:rPr>
        <w:t>物质风险源识别</w:t>
      </w:r>
    </w:p>
    <w:p w:rsidR="00B04AE3" w:rsidRDefault="00B04AE3">
      <w:pPr>
        <w:spacing w:before="159"/>
        <w:ind w:left="817"/>
        <w:rPr>
          <w:b/>
          <w:sz w:val="24"/>
        </w:rPr>
      </w:pPr>
      <w:r>
        <w:rPr>
          <w:rFonts w:ascii="Times New Roman" w:eastAsia="Times New Roman"/>
          <w:b/>
          <w:sz w:val="24"/>
        </w:rPr>
        <w:t>1</w:t>
      </w:r>
      <w:r>
        <w:rPr>
          <w:rFonts w:hint="eastAsia"/>
          <w:b/>
          <w:sz w:val="24"/>
        </w:rPr>
        <w:t>、项目风险物质</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根据《建设项目环境风险评价技术导则》（</w:t>
      </w:r>
      <w:r>
        <w:rPr>
          <w:spacing w:val="-6"/>
          <w:szCs w:val="22"/>
        </w:rPr>
        <w:t>HJ/T 169-2004</w:t>
      </w:r>
      <w:r>
        <w:rPr>
          <w:rFonts w:hint="eastAsia"/>
          <w:spacing w:val="-6"/>
          <w:szCs w:val="22"/>
        </w:rPr>
        <w:t>）和《危险化学品重大危险源辨识》（</w:t>
      </w:r>
      <w:r>
        <w:rPr>
          <w:spacing w:val="-6"/>
          <w:szCs w:val="22"/>
        </w:rPr>
        <w:t>GB18218-2009</w:t>
      </w:r>
      <w:r>
        <w:rPr>
          <w:rFonts w:hint="eastAsia"/>
          <w:spacing w:val="-6"/>
          <w:szCs w:val="22"/>
        </w:rPr>
        <w:t>），本公司涉及的风险物质为天然气、液氩、液氧、液氮、硫酸、氢氧化钠本次风险评估针对公司可能发生的突发环境事件情形进行评估。本公司涉及的风险物质理化性质见表</w:t>
      </w:r>
      <w:r>
        <w:rPr>
          <w:spacing w:val="-6"/>
          <w:szCs w:val="22"/>
        </w:rPr>
        <w:t xml:space="preserve"> 3.1-1-</w:t>
      </w:r>
      <w:r>
        <w:rPr>
          <w:spacing w:val="-6"/>
          <w:szCs w:val="22"/>
          <w:lang w:val="en-US"/>
        </w:rPr>
        <w:t>7</w:t>
      </w:r>
      <w:r>
        <w:rPr>
          <w:rFonts w:hint="eastAsia"/>
          <w:spacing w:val="-6"/>
          <w:szCs w:val="22"/>
        </w:rPr>
        <w:t>。</w:t>
      </w:r>
    </w:p>
    <w:p w:rsidR="00B04AE3" w:rsidRDefault="00B04AE3">
      <w:pPr>
        <w:ind w:left="2300"/>
        <w:rPr>
          <w:b/>
          <w:sz w:val="24"/>
        </w:rPr>
      </w:pPr>
      <w:r>
        <w:rPr>
          <w:rFonts w:hint="eastAsia"/>
          <w:b/>
          <w:sz w:val="24"/>
        </w:rPr>
        <w:t>表</w:t>
      </w:r>
      <w:r>
        <w:rPr>
          <w:b/>
          <w:sz w:val="24"/>
        </w:rPr>
        <w:t xml:space="preserve"> </w:t>
      </w:r>
      <w:r>
        <w:rPr>
          <w:rFonts w:ascii="Times New Roman" w:eastAsia="Times New Roman"/>
          <w:b/>
          <w:sz w:val="24"/>
        </w:rPr>
        <w:t xml:space="preserve">3.1-1 </w:t>
      </w:r>
      <w:r>
        <w:rPr>
          <w:rFonts w:hint="eastAsia"/>
          <w:b/>
          <w:sz w:val="24"/>
        </w:rPr>
        <w:t>液氧主要成分理化性质及危险特性</w:t>
      </w:r>
    </w:p>
    <w:tbl>
      <w:tblPr>
        <w:tblW w:w="8528" w:type="dxa"/>
        <w:tblInd w:w="23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944"/>
        <w:gridCol w:w="2045"/>
        <w:gridCol w:w="2887"/>
        <w:gridCol w:w="2652"/>
      </w:tblGrid>
      <w:tr w:rsidR="00B04AE3">
        <w:trPr>
          <w:trHeight w:val="272"/>
        </w:trPr>
        <w:tc>
          <w:tcPr>
            <w:tcW w:w="944" w:type="dxa"/>
            <w:vMerge w:val="restart"/>
            <w:shd w:val="clear" w:color="auto" w:fill="D9D9D9"/>
          </w:tcPr>
          <w:p w:rsidR="00B04AE3" w:rsidRDefault="00B04AE3">
            <w:pPr>
              <w:pStyle w:val="TableParagraph"/>
              <w:spacing w:before="5"/>
              <w:jc w:val="left"/>
              <w:rPr>
                <w:b/>
              </w:rPr>
            </w:pPr>
          </w:p>
          <w:p w:rsidR="00B04AE3" w:rsidRDefault="00B04AE3">
            <w:pPr>
              <w:pStyle w:val="TableParagraph"/>
              <w:spacing w:before="1"/>
              <w:ind w:left="261"/>
              <w:jc w:val="left"/>
              <w:rPr>
                <w:b/>
                <w:sz w:val="21"/>
              </w:rPr>
            </w:pPr>
            <w:r>
              <w:rPr>
                <w:rFonts w:hint="eastAsia"/>
                <w:b/>
                <w:sz w:val="21"/>
              </w:rPr>
              <w:t>标识</w:t>
            </w:r>
          </w:p>
        </w:tc>
        <w:tc>
          <w:tcPr>
            <w:tcW w:w="2045" w:type="dxa"/>
          </w:tcPr>
          <w:p w:rsidR="00B04AE3" w:rsidRDefault="00B04AE3">
            <w:pPr>
              <w:pStyle w:val="TableParagraph"/>
              <w:tabs>
                <w:tab w:val="left" w:pos="947"/>
              </w:tabs>
              <w:spacing w:before="2" w:line="251" w:lineRule="exact"/>
              <w:ind w:left="107"/>
              <w:jc w:val="left"/>
              <w:rPr>
                <w:sz w:val="21"/>
              </w:rPr>
            </w:pPr>
            <w:r>
              <w:rPr>
                <w:rFonts w:hint="eastAsia"/>
                <w:sz w:val="21"/>
              </w:rPr>
              <w:t>中文名</w:t>
            </w:r>
            <w:r>
              <w:rPr>
                <w:sz w:val="21"/>
              </w:rPr>
              <w:tab/>
            </w:r>
            <w:r>
              <w:rPr>
                <w:rFonts w:hint="eastAsia"/>
                <w:sz w:val="21"/>
              </w:rPr>
              <w:t>液氧</w:t>
            </w:r>
          </w:p>
        </w:tc>
        <w:tc>
          <w:tcPr>
            <w:tcW w:w="5539" w:type="dxa"/>
            <w:gridSpan w:val="2"/>
          </w:tcPr>
          <w:p w:rsidR="00B04AE3" w:rsidRDefault="00B04AE3">
            <w:pPr>
              <w:pStyle w:val="TableParagraph"/>
              <w:tabs>
                <w:tab w:val="left" w:pos="947"/>
                <w:tab w:val="left" w:pos="1938"/>
              </w:tabs>
              <w:spacing w:before="2" w:line="251" w:lineRule="exact"/>
              <w:ind w:left="107"/>
              <w:jc w:val="left"/>
              <w:rPr>
                <w:rFonts w:ascii="Times New Roman" w:eastAsia="Times New Roman"/>
                <w:sz w:val="21"/>
              </w:rPr>
            </w:pPr>
            <w:r>
              <w:rPr>
                <w:rFonts w:hint="eastAsia"/>
                <w:sz w:val="21"/>
              </w:rPr>
              <w:t>英文名</w:t>
            </w:r>
            <w:r>
              <w:rPr>
                <w:sz w:val="21"/>
              </w:rPr>
              <w:tab/>
            </w:r>
            <w:r>
              <w:rPr>
                <w:rFonts w:ascii="Arial" w:hAnsi="Arial" w:cs="Arial"/>
                <w:color w:val="000000"/>
                <w:sz w:val="18"/>
                <w:szCs w:val="18"/>
                <w:shd w:val="clear" w:color="auto" w:fill="FFFFFF"/>
              </w:rPr>
              <w:t>Liquid Oxygen</w:t>
            </w:r>
          </w:p>
        </w:tc>
      </w:tr>
      <w:tr w:rsidR="00B04AE3">
        <w:trPr>
          <w:trHeight w:val="272"/>
        </w:trPr>
        <w:tc>
          <w:tcPr>
            <w:tcW w:w="944" w:type="dxa"/>
            <w:vMerge/>
            <w:tcBorders>
              <w:top w:val="nil"/>
            </w:tcBorders>
            <w:shd w:val="clear" w:color="auto" w:fill="D9D9D9"/>
          </w:tcPr>
          <w:p w:rsidR="00B04AE3" w:rsidRDefault="00B04AE3">
            <w:pPr>
              <w:rPr>
                <w:sz w:val="2"/>
                <w:szCs w:val="2"/>
              </w:rPr>
            </w:pPr>
          </w:p>
        </w:tc>
        <w:tc>
          <w:tcPr>
            <w:tcW w:w="2045" w:type="dxa"/>
          </w:tcPr>
          <w:p w:rsidR="00B04AE3" w:rsidRDefault="00B04AE3">
            <w:pPr>
              <w:pStyle w:val="TableParagraph"/>
              <w:tabs>
                <w:tab w:val="left" w:pos="947"/>
              </w:tabs>
              <w:spacing w:line="252" w:lineRule="exact"/>
              <w:ind w:left="107"/>
              <w:jc w:val="left"/>
              <w:rPr>
                <w:rFonts w:ascii="Times New Roman"/>
                <w:sz w:val="21"/>
              </w:rPr>
            </w:pPr>
            <w:r>
              <w:rPr>
                <w:rFonts w:hint="eastAsia"/>
                <w:position w:val="2"/>
                <w:sz w:val="21"/>
              </w:rPr>
              <w:t>分子式</w:t>
            </w:r>
            <w:r>
              <w:rPr>
                <w:position w:val="2"/>
                <w:sz w:val="21"/>
              </w:rPr>
              <w:tab/>
            </w:r>
            <w:r>
              <w:rPr>
                <w:position w:val="2"/>
                <w:sz w:val="21"/>
                <w:lang w:val="en-US"/>
              </w:rPr>
              <w:t>O</w:t>
            </w:r>
            <w:r>
              <w:rPr>
                <w:rFonts w:ascii="Times New Roman"/>
                <w:position w:val="2"/>
                <w:sz w:val="21"/>
                <w:vertAlign w:val="subscript"/>
                <w:lang w:val="en-US"/>
              </w:rPr>
              <w:t>2</w:t>
            </w:r>
          </w:p>
        </w:tc>
        <w:tc>
          <w:tcPr>
            <w:tcW w:w="2887" w:type="dxa"/>
          </w:tcPr>
          <w:p w:rsidR="00B04AE3" w:rsidRDefault="00B04AE3">
            <w:pPr>
              <w:pStyle w:val="TableParagraph"/>
              <w:spacing w:line="252" w:lineRule="exact"/>
              <w:ind w:left="107"/>
              <w:jc w:val="left"/>
              <w:rPr>
                <w:rFonts w:ascii="Times New Roman"/>
                <w:sz w:val="21"/>
                <w:lang w:val="en-US"/>
              </w:rPr>
            </w:pPr>
            <w:r>
              <w:rPr>
                <w:rFonts w:hint="eastAsia"/>
                <w:sz w:val="21"/>
              </w:rPr>
              <w:t>分子量</w:t>
            </w:r>
            <w:r>
              <w:rPr>
                <w:sz w:val="21"/>
              </w:rPr>
              <w:t xml:space="preserve"> </w:t>
            </w:r>
            <w:r>
              <w:rPr>
                <w:rFonts w:ascii="Times New Roman"/>
                <w:sz w:val="21"/>
                <w:lang w:val="en-US"/>
              </w:rPr>
              <w:t>32</w:t>
            </w:r>
          </w:p>
        </w:tc>
        <w:tc>
          <w:tcPr>
            <w:tcW w:w="2652" w:type="dxa"/>
          </w:tcPr>
          <w:p w:rsidR="00B04AE3" w:rsidRDefault="00B04AE3">
            <w:pPr>
              <w:pStyle w:val="TableParagraph"/>
              <w:tabs>
                <w:tab w:val="left" w:pos="988"/>
              </w:tabs>
              <w:spacing w:line="252" w:lineRule="exact"/>
              <w:ind w:left="107"/>
              <w:jc w:val="left"/>
              <w:rPr>
                <w:rFonts w:ascii="Times New Roman" w:eastAsia="Times New Roman"/>
                <w:sz w:val="21"/>
              </w:rPr>
            </w:pPr>
            <w:r>
              <w:rPr>
                <w:rFonts w:ascii="Times New Roman" w:eastAsia="Times New Roman"/>
                <w:sz w:val="21"/>
              </w:rPr>
              <w:t>CAS</w:t>
            </w:r>
            <w:r>
              <w:rPr>
                <w:rFonts w:ascii="Times New Roman" w:eastAsia="Times New Roman"/>
                <w:spacing w:val="-1"/>
                <w:sz w:val="21"/>
              </w:rPr>
              <w:t xml:space="preserve"> </w:t>
            </w:r>
            <w:r>
              <w:rPr>
                <w:rFonts w:hint="eastAsia"/>
                <w:sz w:val="21"/>
              </w:rPr>
              <w:t>号</w:t>
            </w:r>
            <w:r>
              <w:rPr>
                <w:sz w:val="21"/>
              </w:rPr>
              <w:tab/>
            </w:r>
          </w:p>
        </w:tc>
      </w:tr>
      <w:tr w:rsidR="00B04AE3">
        <w:trPr>
          <w:trHeight w:val="1617"/>
        </w:trPr>
        <w:tc>
          <w:tcPr>
            <w:tcW w:w="944" w:type="dxa"/>
            <w:shd w:val="clear" w:color="auto" w:fill="D9D9D9"/>
          </w:tcPr>
          <w:p w:rsidR="00B04AE3" w:rsidRDefault="00B04AE3">
            <w:pPr>
              <w:pStyle w:val="TableParagraph"/>
              <w:jc w:val="left"/>
              <w:rPr>
                <w:b/>
                <w:sz w:val="20"/>
              </w:rPr>
            </w:pPr>
          </w:p>
          <w:p w:rsidR="00B04AE3" w:rsidRDefault="00B04AE3">
            <w:pPr>
              <w:pStyle w:val="TableParagraph"/>
              <w:spacing w:before="11"/>
              <w:jc w:val="left"/>
              <w:rPr>
                <w:b/>
                <w:sz w:val="24"/>
              </w:rPr>
            </w:pPr>
          </w:p>
          <w:p w:rsidR="00B04AE3" w:rsidRDefault="00B04AE3">
            <w:pPr>
              <w:pStyle w:val="TableParagraph"/>
              <w:spacing w:line="242" w:lineRule="auto"/>
              <w:ind w:left="261" w:right="244"/>
              <w:jc w:val="left"/>
              <w:rPr>
                <w:b/>
                <w:sz w:val="21"/>
              </w:rPr>
            </w:pPr>
            <w:r>
              <w:rPr>
                <w:rFonts w:hint="eastAsia"/>
                <w:b/>
                <w:sz w:val="21"/>
              </w:rPr>
              <w:t>基本特性</w:t>
            </w:r>
          </w:p>
        </w:tc>
        <w:tc>
          <w:tcPr>
            <w:tcW w:w="7584" w:type="dxa"/>
            <w:gridSpan w:val="3"/>
          </w:tcPr>
          <w:p w:rsidR="00B04AE3" w:rsidRDefault="00B04AE3">
            <w:pPr>
              <w:pStyle w:val="TableParagraph"/>
              <w:spacing w:before="1" w:line="251" w:lineRule="exact"/>
              <w:ind w:left="107"/>
              <w:jc w:val="left"/>
              <w:rPr>
                <w:sz w:val="21"/>
              </w:rPr>
            </w:pPr>
            <w:r>
              <w:rPr>
                <w:rFonts w:hint="eastAsia"/>
                <w:sz w:val="21"/>
              </w:rPr>
              <w:t>外观与性状：</w:t>
            </w:r>
            <w:r>
              <w:rPr>
                <w:rFonts w:ascii="Arial" w:hAnsi="Arial" w:cs="Arial" w:hint="eastAsia"/>
                <w:sz w:val="21"/>
                <w:szCs w:val="21"/>
                <w:shd w:val="clear" w:color="auto" w:fill="FFFFFF"/>
              </w:rPr>
              <w:t>液氧为浅蓝色液体，并具有强顺磁性</w:t>
            </w:r>
          </w:p>
          <w:p w:rsidR="00B04AE3" w:rsidRDefault="00B04AE3">
            <w:pPr>
              <w:pStyle w:val="TableParagraph"/>
              <w:spacing w:line="253" w:lineRule="exact"/>
              <w:ind w:left="106"/>
              <w:jc w:val="left"/>
              <w:rPr>
                <w:rFonts w:ascii="Times New Roman" w:hAnsi="Times New Roman"/>
                <w:sz w:val="21"/>
              </w:rPr>
            </w:pPr>
            <w:r>
              <w:rPr>
                <w:rFonts w:ascii="Arial" w:hAnsi="Arial" w:cs="Arial" w:hint="eastAsia"/>
                <w:sz w:val="21"/>
                <w:szCs w:val="21"/>
                <w:shd w:val="clear" w:color="auto" w:fill="FFFFFF"/>
              </w:rPr>
              <w:t>气态氧由液态氧经汽化而成，液态氧</w:t>
            </w:r>
            <w:hyperlink r:id="rId20" w:tgtFrame="https://baike.so.com/doc/_blank" w:history="1">
              <w:r>
                <w:rPr>
                  <w:rStyle w:val="Hyperlink"/>
                  <w:rFonts w:ascii="Arial" w:hAnsi="Arial" w:cs="Arial" w:hint="eastAsia"/>
                  <w:color w:val="auto"/>
                  <w:sz w:val="21"/>
                  <w:szCs w:val="21"/>
                  <w:u w:val="none"/>
                  <w:shd w:val="clear" w:color="auto" w:fill="FFFFFF"/>
                </w:rPr>
                <w:t>化学符号</w:t>
              </w:r>
            </w:hyperlink>
            <w:r>
              <w:rPr>
                <w:rFonts w:ascii="Arial" w:hAnsi="Arial" w:cs="Arial" w:hint="eastAsia"/>
                <w:sz w:val="21"/>
                <w:szCs w:val="21"/>
                <w:shd w:val="clear" w:color="auto" w:fill="FFFFFF"/>
              </w:rPr>
              <w:t>为</w:t>
            </w:r>
            <w:r>
              <w:rPr>
                <w:rFonts w:ascii="Arial" w:hAnsi="Arial" w:cs="Arial"/>
                <w:sz w:val="21"/>
                <w:szCs w:val="21"/>
                <w:shd w:val="clear" w:color="auto" w:fill="FFFFFF"/>
              </w:rPr>
              <w:t>O2</w:t>
            </w:r>
            <w:r>
              <w:rPr>
                <w:rFonts w:ascii="Arial" w:hAnsi="Arial" w:cs="Arial" w:hint="eastAsia"/>
                <w:sz w:val="21"/>
                <w:szCs w:val="21"/>
                <w:shd w:val="clear" w:color="auto" w:fill="FFFFFF"/>
              </w:rPr>
              <w:t>，呈浅蓝色，沸点为</w:t>
            </w:r>
            <w:r>
              <w:rPr>
                <w:rFonts w:ascii="Arial" w:hAnsi="Arial" w:cs="Arial"/>
                <w:sz w:val="21"/>
                <w:szCs w:val="21"/>
                <w:shd w:val="clear" w:color="auto" w:fill="FFFFFF"/>
              </w:rPr>
              <w:t>-183</w:t>
            </w:r>
            <w:r>
              <w:rPr>
                <w:rFonts w:hint="eastAsia"/>
                <w:sz w:val="21"/>
                <w:szCs w:val="21"/>
                <w:shd w:val="clear" w:color="auto" w:fill="FFFFFF"/>
              </w:rPr>
              <w:t>℃</w:t>
            </w:r>
            <w:r>
              <w:rPr>
                <w:rFonts w:ascii="Arial" w:hAnsi="Arial" w:cs="Arial" w:hint="eastAsia"/>
                <w:sz w:val="21"/>
                <w:szCs w:val="21"/>
                <w:shd w:val="clear" w:color="auto" w:fill="FFFFFF"/>
              </w:rPr>
              <w:t>，冷却到</w:t>
            </w:r>
            <w:r>
              <w:rPr>
                <w:rFonts w:ascii="Arial" w:hAnsi="Arial" w:cs="Arial"/>
                <w:sz w:val="21"/>
                <w:szCs w:val="21"/>
                <w:shd w:val="clear" w:color="auto" w:fill="FFFFFF"/>
              </w:rPr>
              <w:t>-218.8</w:t>
            </w:r>
            <w:r>
              <w:rPr>
                <w:rFonts w:hint="eastAsia"/>
                <w:sz w:val="21"/>
                <w:szCs w:val="21"/>
                <w:shd w:val="clear" w:color="auto" w:fill="FFFFFF"/>
              </w:rPr>
              <w:t>℃</w:t>
            </w:r>
            <w:r>
              <w:rPr>
                <w:rFonts w:ascii="Arial" w:hAnsi="Arial" w:cs="Arial" w:hint="eastAsia"/>
                <w:sz w:val="21"/>
                <w:szCs w:val="21"/>
                <w:shd w:val="clear" w:color="auto" w:fill="FFFFFF"/>
              </w:rPr>
              <w:t>成为雪花状的淡蓝色固体，液氧的密度</w:t>
            </w:r>
            <w:r>
              <w:rPr>
                <w:rFonts w:ascii="Arial" w:hAnsi="Arial" w:cs="Arial"/>
                <w:sz w:val="21"/>
                <w:szCs w:val="21"/>
                <w:shd w:val="clear" w:color="auto" w:fill="FFFFFF"/>
              </w:rPr>
              <w:t>(</w:t>
            </w:r>
            <w:r>
              <w:rPr>
                <w:rFonts w:ascii="Arial" w:hAnsi="Arial" w:cs="Arial" w:hint="eastAsia"/>
                <w:sz w:val="21"/>
                <w:szCs w:val="21"/>
                <w:shd w:val="clear" w:color="auto" w:fill="FFFFFF"/>
              </w:rPr>
              <w:t>在沸点时</w:t>
            </w:r>
            <w:r>
              <w:rPr>
                <w:rFonts w:ascii="Arial" w:hAnsi="Arial" w:cs="Arial"/>
                <w:sz w:val="21"/>
                <w:szCs w:val="21"/>
                <w:shd w:val="clear" w:color="auto" w:fill="FFFFFF"/>
              </w:rPr>
              <w:t>)</w:t>
            </w:r>
            <w:r>
              <w:rPr>
                <w:rFonts w:ascii="Arial" w:hAnsi="Arial" w:cs="Arial" w:hint="eastAsia"/>
                <w:sz w:val="21"/>
                <w:szCs w:val="21"/>
                <w:shd w:val="clear" w:color="auto" w:fill="FFFFFF"/>
              </w:rPr>
              <w:t>为</w:t>
            </w:r>
            <w:r>
              <w:rPr>
                <w:rFonts w:ascii="Arial" w:hAnsi="Arial" w:cs="Arial"/>
                <w:sz w:val="21"/>
                <w:szCs w:val="21"/>
                <w:shd w:val="clear" w:color="auto" w:fill="FFFFFF"/>
              </w:rPr>
              <w:t>1.14g/cm3</w:t>
            </w:r>
            <w:r>
              <w:rPr>
                <w:rFonts w:ascii="Arial" w:hAnsi="Arial" w:cs="Arial" w:hint="eastAsia"/>
                <w:sz w:val="21"/>
                <w:szCs w:val="21"/>
                <w:shd w:val="clear" w:color="auto" w:fill="FFFFFF"/>
              </w:rPr>
              <w:t>。液氧还有一个有趣的性质是可以被</w:t>
            </w:r>
            <w:hyperlink r:id="rId21" w:tgtFrame="https://baike.so.com/doc/_blank" w:history="1">
              <w:r>
                <w:rPr>
                  <w:rStyle w:val="Hyperlink"/>
                  <w:rFonts w:ascii="Arial" w:hAnsi="Arial" w:cs="Arial" w:hint="eastAsia"/>
                  <w:color w:val="auto"/>
                  <w:sz w:val="21"/>
                  <w:szCs w:val="21"/>
                  <w:u w:val="none"/>
                  <w:shd w:val="clear" w:color="auto" w:fill="FFFFFF"/>
                </w:rPr>
                <w:t>磁铁</w:t>
              </w:r>
            </w:hyperlink>
            <w:r>
              <w:rPr>
                <w:rFonts w:ascii="Arial" w:hAnsi="Arial" w:cs="Arial" w:hint="eastAsia"/>
                <w:sz w:val="21"/>
                <w:szCs w:val="21"/>
                <w:shd w:val="clear" w:color="auto" w:fill="FFFFFF"/>
              </w:rPr>
              <w:t>所吸引</w:t>
            </w:r>
            <w:r>
              <w:rPr>
                <w:rFonts w:ascii="Arial" w:hAnsi="Arial" w:cs="Arial"/>
                <w:sz w:val="21"/>
                <w:szCs w:val="21"/>
                <w:shd w:val="clear" w:color="auto" w:fill="FFFFFF"/>
              </w:rPr>
              <w:t>!</w:t>
            </w:r>
            <w:r>
              <w:rPr>
                <w:rFonts w:ascii="Arial" w:hAnsi="Arial" w:cs="Arial" w:hint="eastAsia"/>
                <w:sz w:val="21"/>
                <w:szCs w:val="21"/>
                <w:shd w:val="clear" w:color="auto" w:fill="FFFFFF"/>
              </w:rPr>
              <w:t>它的主要物理性质如下</w:t>
            </w:r>
            <w:r>
              <w:rPr>
                <w:rFonts w:ascii="Arial" w:hAnsi="Arial" w:cs="Arial"/>
                <w:sz w:val="21"/>
                <w:szCs w:val="21"/>
                <w:shd w:val="clear" w:color="auto" w:fill="FFFFFF"/>
              </w:rPr>
              <w:t>:</w:t>
            </w:r>
            <w:r>
              <w:rPr>
                <w:rFonts w:ascii="Arial" w:hAnsi="Arial" w:cs="Arial" w:hint="eastAsia"/>
                <w:sz w:val="21"/>
                <w:szCs w:val="21"/>
                <w:shd w:val="clear" w:color="auto" w:fill="FFFFFF"/>
              </w:rPr>
              <w:t>通常气压</w:t>
            </w:r>
            <w:r>
              <w:rPr>
                <w:rFonts w:ascii="Arial" w:hAnsi="Arial" w:cs="Arial"/>
                <w:sz w:val="21"/>
                <w:szCs w:val="21"/>
                <w:shd w:val="clear" w:color="auto" w:fill="FFFFFF"/>
              </w:rPr>
              <w:t>(101.325 kPa)</w:t>
            </w:r>
            <w:r>
              <w:rPr>
                <w:rFonts w:ascii="Arial" w:hAnsi="Arial" w:cs="Arial" w:hint="eastAsia"/>
                <w:sz w:val="21"/>
                <w:szCs w:val="21"/>
                <w:shd w:val="clear" w:color="auto" w:fill="FFFFFF"/>
              </w:rPr>
              <w:t>下密度</w:t>
            </w:r>
            <w:r>
              <w:rPr>
                <w:rFonts w:ascii="Arial" w:hAnsi="Arial" w:cs="Arial"/>
                <w:sz w:val="21"/>
                <w:szCs w:val="21"/>
                <w:shd w:val="clear" w:color="auto" w:fill="FFFFFF"/>
              </w:rPr>
              <w:t>1.141 t/m3 (1141kg/m3)</w:t>
            </w:r>
            <w:r>
              <w:rPr>
                <w:rFonts w:ascii="Arial" w:hAnsi="Arial" w:cs="Arial" w:hint="eastAsia"/>
                <w:sz w:val="21"/>
                <w:szCs w:val="21"/>
                <w:shd w:val="clear" w:color="auto" w:fill="FFFFFF"/>
              </w:rPr>
              <w:t>，凝固点</w:t>
            </w:r>
            <w:r>
              <w:rPr>
                <w:rFonts w:ascii="Arial" w:hAnsi="Arial" w:cs="Arial"/>
                <w:sz w:val="21"/>
                <w:szCs w:val="21"/>
                <w:shd w:val="clear" w:color="auto" w:fill="FFFFFF"/>
              </w:rPr>
              <w:t>50.5 K(-222.65 °C)</w:t>
            </w:r>
            <w:r>
              <w:rPr>
                <w:rFonts w:ascii="Arial" w:hAnsi="Arial" w:cs="Arial" w:hint="eastAsia"/>
                <w:sz w:val="21"/>
                <w:szCs w:val="21"/>
                <w:shd w:val="clear" w:color="auto" w:fill="FFFFFF"/>
              </w:rPr>
              <w:t>，沸点</w:t>
            </w:r>
            <w:r>
              <w:rPr>
                <w:rFonts w:ascii="Arial" w:hAnsi="Arial" w:cs="Arial"/>
                <w:sz w:val="21"/>
                <w:szCs w:val="21"/>
                <w:shd w:val="clear" w:color="auto" w:fill="FFFFFF"/>
              </w:rPr>
              <w:t>90.188 K(-182.96 °C)</w:t>
            </w:r>
            <w:r>
              <w:rPr>
                <w:rFonts w:ascii="Arial" w:hAnsi="Arial" w:cs="Arial" w:hint="eastAsia"/>
                <w:sz w:val="21"/>
                <w:szCs w:val="21"/>
                <w:shd w:val="clear" w:color="auto" w:fill="FFFFFF"/>
              </w:rPr>
              <w:t>。</w:t>
            </w:r>
          </w:p>
        </w:tc>
      </w:tr>
      <w:tr w:rsidR="00B04AE3">
        <w:trPr>
          <w:trHeight w:val="2706"/>
        </w:trPr>
        <w:tc>
          <w:tcPr>
            <w:tcW w:w="944" w:type="dxa"/>
            <w:shd w:val="clear" w:color="auto" w:fill="D9D9D9"/>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12"/>
              <w:jc w:val="left"/>
              <w:rPr>
                <w:b/>
                <w:sz w:val="25"/>
              </w:rPr>
            </w:pPr>
          </w:p>
          <w:p w:rsidR="00B04AE3" w:rsidRDefault="00B04AE3">
            <w:pPr>
              <w:pStyle w:val="TableParagraph"/>
              <w:spacing w:line="242" w:lineRule="auto"/>
              <w:ind w:left="261" w:right="244"/>
              <w:jc w:val="both"/>
              <w:rPr>
                <w:b/>
                <w:sz w:val="21"/>
              </w:rPr>
            </w:pPr>
            <w:r>
              <w:rPr>
                <w:rFonts w:hint="eastAsia"/>
                <w:b/>
                <w:sz w:val="21"/>
              </w:rPr>
              <w:t>火灾爆炸危险性</w:t>
            </w:r>
          </w:p>
        </w:tc>
        <w:tc>
          <w:tcPr>
            <w:tcW w:w="7584" w:type="dxa"/>
            <w:gridSpan w:val="3"/>
          </w:tcPr>
          <w:p w:rsidR="00B04AE3" w:rsidRDefault="00B04AE3">
            <w:pPr>
              <w:pStyle w:val="TableParagraph"/>
              <w:spacing w:before="1" w:line="252" w:lineRule="exact"/>
              <w:ind w:left="107"/>
              <w:jc w:val="left"/>
              <w:rPr>
                <w:rFonts w:ascii="Arial" w:hAnsi="Arial" w:cs="Arial"/>
                <w:sz w:val="21"/>
                <w:szCs w:val="21"/>
                <w:shd w:val="clear" w:color="auto" w:fill="FFFFFF"/>
              </w:rPr>
            </w:pPr>
            <w:r>
              <w:rPr>
                <w:rFonts w:ascii="Arial" w:hAnsi="Arial" w:cs="Arial" w:hint="eastAsia"/>
                <w:sz w:val="21"/>
                <w:szCs w:val="21"/>
                <w:shd w:val="clear" w:color="auto" w:fill="FFFFFF"/>
              </w:rPr>
              <w:t>液氧是不可燃的，但它能强烈地助燃，火灾危险性为乙类。它和燃料接触通常也不能自燃，如果两种液体碰在一起，液氧将引起液体燃料的冷却并凝固。凝固的燃料和液氧的混合物对撞击是敏感的，在加压情况下常常转为爆炸。有两种类型的燃烧反应，这取决于氧和燃料的混合比和点火情况</w:t>
            </w:r>
            <w:r>
              <w:rPr>
                <w:rFonts w:ascii="Arial" w:hAnsi="Arial" w:cs="Arial"/>
                <w:sz w:val="21"/>
                <w:szCs w:val="21"/>
                <w:shd w:val="clear" w:color="auto" w:fill="FFFFFF"/>
              </w:rPr>
              <w:t>:</w:t>
            </w:r>
            <w:r>
              <w:rPr>
                <w:rFonts w:ascii="Arial" w:hAnsi="Arial" w:cs="Arial" w:hint="eastAsia"/>
                <w:sz w:val="21"/>
                <w:szCs w:val="21"/>
                <w:shd w:val="clear" w:color="auto" w:fill="FFFFFF"/>
              </w:rPr>
              <w:t>一种是燃料和液氧在混合时没有发生着火，但是这种混合物当点火或受到机械撞击时能发生</w:t>
            </w:r>
            <w:hyperlink r:id="rId22" w:tgtFrame="https://baike.so.com/doc/_blank" w:history="1">
              <w:r>
                <w:rPr>
                  <w:rStyle w:val="Hyperlink"/>
                  <w:rFonts w:ascii="Arial" w:hAnsi="Arial" w:cs="Arial" w:hint="eastAsia"/>
                  <w:color w:val="auto"/>
                  <w:sz w:val="21"/>
                  <w:szCs w:val="21"/>
                  <w:u w:val="none"/>
                  <w:shd w:val="clear" w:color="auto" w:fill="FFFFFF"/>
                </w:rPr>
                <w:t>爆轰</w:t>
              </w:r>
            </w:hyperlink>
            <w:r>
              <w:rPr>
                <w:rFonts w:ascii="Arial" w:hAnsi="Arial" w:cs="Arial"/>
                <w:sz w:val="21"/>
                <w:szCs w:val="21"/>
                <w:shd w:val="clear" w:color="auto" w:fill="FFFFFF"/>
              </w:rPr>
              <w:t>;</w:t>
            </w:r>
            <w:r>
              <w:rPr>
                <w:rFonts w:ascii="Arial" w:hAnsi="Arial" w:cs="Arial" w:hint="eastAsia"/>
                <w:sz w:val="21"/>
                <w:szCs w:val="21"/>
                <w:shd w:val="clear" w:color="auto" w:fill="FFFFFF"/>
              </w:rPr>
              <w:t>另一种液氧与燃料互相接触之前或接触时燃烧已经开始，着火或燃烧并伴随有反复的爆炸。燃烧反应的强度取决于燃料的性能。</w:t>
            </w:r>
          </w:p>
          <w:p w:rsidR="00B04AE3" w:rsidRDefault="00B04AE3">
            <w:pPr>
              <w:pStyle w:val="TableParagraph"/>
              <w:spacing w:before="1" w:line="252" w:lineRule="exact"/>
              <w:ind w:left="107"/>
              <w:jc w:val="left"/>
              <w:rPr>
                <w:rFonts w:ascii="Arial" w:hAnsi="Arial" w:cs="Arial"/>
                <w:sz w:val="21"/>
                <w:szCs w:val="21"/>
                <w:shd w:val="clear" w:color="auto" w:fill="FFFFFF"/>
              </w:rPr>
            </w:pPr>
            <w:r>
              <w:rPr>
                <w:rFonts w:ascii="Arial" w:hAnsi="Arial" w:cs="Arial" w:hint="eastAsia"/>
                <w:sz w:val="21"/>
                <w:szCs w:val="21"/>
                <w:shd w:val="clear" w:color="auto" w:fill="FFFFFF"/>
              </w:rPr>
              <w:t>所有可燃物质</w:t>
            </w:r>
            <w:r>
              <w:rPr>
                <w:rFonts w:ascii="Arial" w:hAnsi="Arial" w:cs="Arial"/>
                <w:sz w:val="21"/>
                <w:szCs w:val="21"/>
                <w:shd w:val="clear" w:color="auto" w:fill="FFFFFF"/>
              </w:rPr>
              <w:t>(</w:t>
            </w:r>
            <w:r>
              <w:rPr>
                <w:rFonts w:ascii="Arial" w:hAnsi="Arial" w:cs="Arial" w:hint="eastAsia"/>
                <w:sz w:val="21"/>
                <w:szCs w:val="21"/>
                <w:shd w:val="clear" w:color="auto" w:fill="FFFFFF"/>
              </w:rPr>
              <w:t>包括气、液、固</w:t>
            </w:r>
            <w:r>
              <w:rPr>
                <w:rFonts w:ascii="Arial" w:hAnsi="Arial" w:cs="Arial"/>
                <w:sz w:val="21"/>
                <w:szCs w:val="21"/>
                <w:shd w:val="clear" w:color="auto" w:fill="FFFFFF"/>
              </w:rPr>
              <w:t>)</w:t>
            </w:r>
            <w:r>
              <w:rPr>
                <w:rFonts w:ascii="Arial" w:hAnsi="Arial" w:cs="Arial" w:hint="eastAsia"/>
                <w:sz w:val="21"/>
                <w:szCs w:val="21"/>
                <w:shd w:val="clear" w:color="auto" w:fill="FFFFFF"/>
              </w:rPr>
              <w:t>和液氧混合时就呈现爆炸危险性，这种混合物常常由于静电、机械撞击、电火花和其它类似的作用，特别是当混合物被凝固时经常能发生爆炸。</w:t>
            </w:r>
          </w:p>
        </w:tc>
      </w:tr>
    </w:tbl>
    <w:p w:rsidR="00B04AE3" w:rsidRDefault="00B04AE3">
      <w:pPr>
        <w:pStyle w:val="BodyText"/>
        <w:spacing w:before="6"/>
        <w:rPr>
          <w:b/>
          <w:sz w:val="7"/>
        </w:rPr>
      </w:pPr>
    </w:p>
    <w:p w:rsidR="00B04AE3" w:rsidRDefault="00B04AE3">
      <w:pPr>
        <w:ind w:left="2300"/>
        <w:rPr>
          <w:b/>
          <w:sz w:val="24"/>
        </w:rPr>
      </w:pPr>
      <w:r>
        <w:rPr>
          <w:rFonts w:hint="eastAsia"/>
          <w:b/>
          <w:sz w:val="24"/>
        </w:rPr>
        <w:t>表</w:t>
      </w:r>
      <w:r>
        <w:rPr>
          <w:b/>
          <w:sz w:val="24"/>
        </w:rPr>
        <w:t xml:space="preserve"> </w:t>
      </w:r>
      <w:r>
        <w:rPr>
          <w:rFonts w:ascii="Times New Roman" w:eastAsia="Times New Roman"/>
          <w:b/>
          <w:sz w:val="24"/>
        </w:rPr>
        <w:t>3.1-</w:t>
      </w:r>
      <w:r>
        <w:rPr>
          <w:rFonts w:ascii="Times New Roman"/>
          <w:b/>
          <w:sz w:val="24"/>
          <w:lang w:val="en-US"/>
        </w:rPr>
        <w:t>2</w:t>
      </w:r>
      <w:r>
        <w:rPr>
          <w:rFonts w:ascii="Times New Roman" w:eastAsia="Times New Roman"/>
          <w:b/>
          <w:sz w:val="24"/>
        </w:rPr>
        <w:t xml:space="preserve"> </w:t>
      </w:r>
      <w:r>
        <w:rPr>
          <w:rFonts w:hint="eastAsia"/>
          <w:b/>
          <w:sz w:val="24"/>
        </w:rPr>
        <w:t>液氩主要成分理化性质及危险特性</w:t>
      </w:r>
    </w:p>
    <w:tbl>
      <w:tblPr>
        <w:tblW w:w="8528" w:type="dxa"/>
        <w:tblInd w:w="23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944"/>
        <w:gridCol w:w="7584"/>
      </w:tblGrid>
      <w:tr w:rsidR="00B04AE3">
        <w:trPr>
          <w:trHeight w:val="90"/>
        </w:trPr>
        <w:tc>
          <w:tcPr>
            <w:tcW w:w="944" w:type="dxa"/>
            <w:shd w:val="clear" w:color="auto" w:fill="D9D9D9"/>
          </w:tcPr>
          <w:p w:rsidR="00B04AE3" w:rsidRDefault="00B04AE3">
            <w:pPr>
              <w:pStyle w:val="TableParagraph"/>
              <w:spacing w:line="242" w:lineRule="auto"/>
              <w:ind w:left="261" w:right="244"/>
              <w:jc w:val="left"/>
              <w:rPr>
                <w:b/>
                <w:sz w:val="21"/>
              </w:rPr>
            </w:pPr>
            <w:r>
              <w:rPr>
                <w:rFonts w:hint="eastAsia"/>
                <w:b/>
                <w:sz w:val="21"/>
              </w:rPr>
              <w:t>基本特性</w:t>
            </w:r>
          </w:p>
        </w:tc>
        <w:tc>
          <w:tcPr>
            <w:tcW w:w="7584" w:type="dxa"/>
          </w:tcPr>
          <w:p w:rsidR="00B04AE3" w:rsidRDefault="00B04AE3">
            <w:pPr>
              <w:pStyle w:val="TableParagraph"/>
              <w:spacing w:line="253" w:lineRule="exact"/>
              <w:ind w:left="106"/>
              <w:jc w:val="left"/>
              <w:rPr>
                <w:rFonts w:ascii="Times New Roman" w:hAnsi="Times New Roman"/>
                <w:sz w:val="21"/>
              </w:rPr>
            </w:pPr>
            <w:r>
              <w:rPr>
                <w:rFonts w:ascii="Arial" w:hAnsi="Arial" w:cs="Arial" w:hint="eastAsia"/>
                <w:color w:val="333333"/>
                <w:sz w:val="21"/>
                <w:szCs w:val="21"/>
                <w:shd w:val="clear" w:color="auto" w:fill="FFFFFF"/>
              </w:rPr>
              <w:t>危险货物编号为</w:t>
            </w:r>
            <w:r>
              <w:rPr>
                <w:rFonts w:ascii="Arial" w:hAnsi="Arial" w:cs="Arial"/>
                <w:color w:val="333333"/>
                <w:sz w:val="21"/>
                <w:szCs w:val="21"/>
                <w:shd w:val="clear" w:color="auto" w:fill="FFFFFF"/>
              </w:rPr>
              <w:t>22012</w:t>
            </w:r>
            <w:r>
              <w:rPr>
                <w:rFonts w:ascii="Arial" w:hAnsi="Arial" w:cs="Arial" w:hint="eastAsia"/>
                <w:color w:val="333333"/>
                <w:sz w:val="21"/>
                <w:szCs w:val="21"/>
                <w:shd w:val="clear" w:color="auto" w:fill="FFFFFF"/>
              </w:rPr>
              <w:t>，氩气纯度</w:t>
            </w:r>
            <w:r>
              <w:rPr>
                <w:rFonts w:ascii="Arial" w:hAnsi="Arial" w:cs="Arial"/>
                <w:color w:val="333333"/>
                <w:sz w:val="21"/>
                <w:szCs w:val="21"/>
                <w:shd w:val="clear" w:color="auto" w:fill="FFFFFF"/>
              </w:rPr>
              <w:t>99.9995%</w:t>
            </w:r>
            <w:r>
              <w:rPr>
                <w:rFonts w:ascii="Arial" w:hAnsi="Arial" w:cs="Arial" w:hint="eastAsia"/>
                <w:color w:val="333333"/>
                <w:sz w:val="21"/>
                <w:szCs w:val="21"/>
                <w:shd w:val="clear" w:color="auto" w:fill="FFFFFF"/>
              </w:rPr>
              <w:t>，微溶于水，熔点为</w:t>
            </w:r>
            <w:r>
              <w:rPr>
                <w:rFonts w:ascii="Arial" w:hAnsi="Arial" w:cs="Arial"/>
                <w:color w:val="333333"/>
                <w:sz w:val="21"/>
                <w:szCs w:val="21"/>
                <w:shd w:val="clear" w:color="auto" w:fill="FFFFFF"/>
              </w:rPr>
              <w:t>-189.2</w:t>
            </w:r>
            <w:r>
              <w:rPr>
                <w:rFonts w:hint="eastAsia"/>
                <w:color w:val="333333"/>
                <w:sz w:val="21"/>
                <w:szCs w:val="21"/>
                <w:shd w:val="clear" w:color="auto" w:fill="FFFFFF"/>
              </w:rPr>
              <w:t>℃</w:t>
            </w:r>
            <w:r>
              <w:rPr>
                <w:rFonts w:ascii="Arial" w:hAnsi="Arial" w:cs="Arial" w:hint="eastAsia"/>
                <w:color w:val="333333"/>
                <w:sz w:val="21"/>
                <w:szCs w:val="21"/>
                <w:shd w:val="clear" w:color="auto" w:fill="FFFFFF"/>
              </w:rPr>
              <w:t>，沸点为</w:t>
            </w:r>
            <w:r>
              <w:rPr>
                <w:rFonts w:ascii="Arial" w:hAnsi="Arial" w:cs="Arial"/>
                <w:color w:val="333333"/>
                <w:sz w:val="21"/>
                <w:szCs w:val="21"/>
                <w:shd w:val="clear" w:color="auto" w:fill="FFFFFF"/>
              </w:rPr>
              <w:t>-185.7</w:t>
            </w:r>
            <w:r>
              <w:rPr>
                <w:rFonts w:hint="eastAsia"/>
                <w:color w:val="333333"/>
                <w:sz w:val="21"/>
                <w:szCs w:val="21"/>
                <w:shd w:val="clear" w:color="auto" w:fill="FFFFFF"/>
              </w:rPr>
              <w:t>℃</w:t>
            </w:r>
            <w:r>
              <w:rPr>
                <w:rFonts w:ascii="Arial" w:hAnsi="Arial" w:cs="Arial" w:hint="eastAsia"/>
                <w:color w:val="333333"/>
                <w:sz w:val="21"/>
                <w:szCs w:val="21"/>
                <w:shd w:val="clear" w:color="auto" w:fill="FFFFFF"/>
              </w:rPr>
              <w:t>，临界温度为</w:t>
            </w:r>
            <w:r>
              <w:rPr>
                <w:rFonts w:ascii="Arial" w:hAnsi="Arial" w:cs="Arial"/>
                <w:color w:val="333333"/>
                <w:sz w:val="21"/>
                <w:szCs w:val="21"/>
                <w:shd w:val="clear" w:color="auto" w:fill="FFFFFF"/>
              </w:rPr>
              <w:t>-122.3</w:t>
            </w:r>
            <w:r>
              <w:rPr>
                <w:rFonts w:hint="eastAsia"/>
                <w:color w:val="333333"/>
                <w:sz w:val="21"/>
                <w:szCs w:val="21"/>
                <w:shd w:val="clear" w:color="auto" w:fill="FFFFFF"/>
              </w:rPr>
              <w:t>℃</w:t>
            </w:r>
            <w:r>
              <w:rPr>
                <w:rFonts w:ascii="Arial" w:hAnsi="Arial" w:cs="Arial" w:hint="eastAsia"/>
                <w:color w:val="333333"/>
                <w:sz w:val="21"/>
                <w:szCs w:val="21"/>
                <w:shd w:val="clear" w:color="auto" w:fill="FFFFFF"/>
              </w:rPr>
              <w:t>，临界压力为</w:t>
            </w:r>
            <w:r>
              <w:rPr>
                <w:rFonts w:ascii="Arial" w:hAnsi="Arial" w:cs="Arial"/>
                <w:color w:val="333333"/>
                <w:sz w:val="21"/>
                <w:szCs w:val="21"/>
                <w:shd w:val="clear" w:color="auto" w:fill="FFFFFF"/>
              </w:rPr>
              <w:t>4.86MPa</w:t>
            </w:r>
            <w:r>
              <w:rPr>
                <w:rFonts w:ascii="Arial" w:hAnsi="Arial" w:cs="Arial" w:hint="eastAsia"/>
                <w:color w:val="333333"/>
                <w:sz w:val="21"/>
                <w:szCs w:val="21"/>
                <w:shd w:val="clear" w:color="auto" w:fill="FFFFFF"/>
              </w:rPr>
              <w:t>，燃烧性能为不可燃，遇高热，容器内压增大，有爆炸的危险。液氩密度为</w:t>
            </w:r>
            <w:r>
              <w:rPr>
                <w:rFonts w:ascii="Arial" w:hAnsi="Arial" w:cs="Arial"/>
                <w:color w:val="333333"/>
                <w:sz w:val="21"/>
                <w:szCs w:val="21"/>
                <w:shd w:val="clear" w:color="auto" w:fill="FFFFFF"/>
              </w:rPr>
              <w:t>1410Kg/m³.</w:t>
            </w:r>
          </w:p>
        </w:tc>
      </w:tr>
    </w:tbl>
    <w:p w:rsidR="00B04AE3" w:rsidRDefault="00B04AE3">
      <w:pPr>
        <w:ind w:left="2300"/>
        <w:rPr>
          <w:b/>
          <w:sz w:val="24"/>
        </w:rPr>
      </w:pPr>
      <w:r>
        <w:rPr>
          <w:rFonts w:hint="eastAsia"/>
          <w:b/>
          <w:sz w:val="24"/>
        </w:rPr>
        <w:t>表</w:t>
      </w:r>
      <w:r>
        <w:rPr>
          <w:b/>
          <w:sz w:val="24"/>
        </w:rPr>
        <w:t xml:space="preserve"> </w:t>
      </w:r>
      <w:r>
        <w:rPr>
          <w:rFonts w:ascii="Times New Roman" w:eastAsia="Times New Roman"/>
          <w:b/>
          <w:sz w:val="24"/>
        </w:rPr>
        <w:t>3.1-</w:t>
      </w:r>
      <w:r>
        <w:rPr>
          <w:rFonts w:ascii="Times New Roman"/>
          <w:b/>
          <w:sz w:val="24"/>
          <w:lang w:val="en-US"/>
        </w:rPr>
        <w:t>3</w:t>
      </w:r>
      <w:r>
        <w:rPr>
          <w:rFonts w:ascii="Times New Roman" w:eastAsia="Times New Roman"/>
          <w:b/>
          <w:sz w:val="24"/>
        </w:rPr>
        <w:t xml:space="preserve"> </w:t>
      </w:r>
      <w:r>
        <w:rPr>
          <w:rFonts w:hint="eastAsia"/>
          <w:b/>
          <w:sz w:val="24"/>
        </w:rPr>
        <w:t>液氮主要成分理化性质及危险特性</w:t>
      </w:r>
    </w:p>
    <w:tbl>
      <w:tblPr>
        <w:tblW w:w="855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tblPr>
      <w:tblGrid>
        <w:gridCol w:w="447"/>
        <w:gridCol w:w="2325"/>
        <w:gridCol w:w="5786"/>
      </w:tblGrid>
      <w:tr w:rsidR="00B04AE3">
        <w:trPr>
          <w:trHeight w:val="369"/>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标</w:t>
            </w:r>
          </w:p>
          <w:p w:rsidR="00B04AE3" w:rsidRDefault="00B04AE3">
            <w:pPr>
              <w:widowControl/>
              <w:spacing w:before="100" w:beforeAutospacing="1" w:after="100" w:afterAutospacing="1" w:line="320" w:lineRule="exact"/>
              <w:rPr>
                <w:color w:val="000000"/>
                <w:sz w:val="21"/>
                <w:szCs w:val="21"/>
              </w:rPr>
            </w:pPr>
            <w:r>
              <w:rPr>
                <w:color w:val="000000"/>
                <w:sz w:val="21"/>
                <w:szCs w:val="21"/>
              </w:rPr>
              <w:t> </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识</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中文名：</w:t>
            </w:r>
          </w:p>
        </w:tc>
        <w:tc>
          <w:tcPr>
            <w:tcW w:w="5786" w:type="dxa"/>
            <w:vAlign w:val="center"/>
          </w:tcPr>
          <w:p w:rsidR="00B04AE3" w:rsidRDefault="00B04AE3">
            <w:pPr>
              <w:widowControl/>
              <w:spacing w:line="320" w:lineRule="exact"/>
              <w:rPr>
                <w:color w:val="000000"/>
                <w:sz w:val="21"/>
                <w:szCs w:val="21"/>
              </w:rPr>
            </w:pPr>
            <w:r>
              <w:rPr>
                <w:rFonts w:hint="eastAsia"/>
                <w:color w:val="000000"/>
                <w:sz w:val="21"/>
                <w:szCs w:val="21"/>
              </w:rPr>
              <w:t>液氮</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英文名：</w:t>
            </w:r>
          </w:p>
        </w:tc>
        <w:tc>
          <w:tcPr>
            <w:tcW w:w="578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Liquid nitrogen</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分子式：</w:t>
            </w:r>
          </w:p>
        </w:tc>
        <w:tc>
          <w:tcPr>
            <w:tcW w:w="5786" w:type="dxa"/>
            <w:vAlign w:val="center"/>
          </w:tcPr>
          <w:p w:rsidR="00B04AE3" w:rsidRDefault="00B04AE3">
            <w:pPr>
              <w:widowControl/>
              <w:spacing w:line="320" w:lineRule="exact"/>
              <w:rPr>
                <w:color w:val="000000"/>
                <w:sz w:val="21"/>
                <w:szCs w:val="21"/>
                <w:lang w:val="en-US"/>
              </w:rPr>
            </w:pPr>
            <w:r>
              <w:rPr>
                <w:color w:val="000000"/>
                <w:sz w:val="21"/>
                <w:szCs w:val="21"/>
              </w:rPr>
              <w:t>N</w:t>
            </w:r>
            <w:r>
              <w:rPr>
                <w:color w:val="000000"/>
                <w:sz w:val="21"/>
                <w:szCs w:val="21"/>
                <w:lang w:val="en-US"/>
              </w:rPr>
              <w:t>2</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分子量：</w:t>
            </w:r>
          </w:p>
        </w:tc>
        <w:tc>
          <w:tcPr>
            <w:tcW w:w="5786" w:type="dxa"/>
            <w:vAlign w:val="center"/>
          </w:tcPr>
          <w:p w:rsidR="00B04AE3" w:rsidRDefault="00B04AE3">
            <w:pPr>
              <w:widowControl/>
              <w:spacing w:line="320" w:lineRule="exact"/>
              <w:rPr>
                <w:color w:val="000000"/>
                <w:sz w:val="21"/>
                <w:szCs w:val="21"/>
              </w:rPr>
            </w:pPr>
            <w:r>
              <w:rPr>
                <w:color w:val="000000"/>
                <w:sz w:val="21"/>
                <w:szCs w:val="21"/>
                <w:lang w:val="en-US"/>
              </w:rPr>
              <w:t>28</w:t>
            </w:r>
            <w:r>
              <w:rPr>
                <w:color w:val="000000"/>
                <w:sz w:val="21"/>
                <w:szCs w:val="21"/>
              </w:rPr>
              <w:t>.01</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color w:val="000000"/>
                <w:sz w:val="21"/>
                <w:szCs w:val="21"/>
              </w:rPr>
              <w:t>CAS</w:t>
            </w:r>
            <w:r>
              <w:rPr>
                <w:rFonts w:hint="eastAsia"/>
                <w:color w:val="000000"/>
                <w:sz w:val="21"/>
                <w:szCs w:val="21"/>
              </w:rPr>
              <w:t>号：</w:t>
            </w:r>
          </w:p>
        </w:tc>
        <w:tc>
          <w:tcPr>
            <w:tcW w:w="578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7727-37-9</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危险货物编号：</w:t>
            </w:r>
          </w:p>
        </w:tc>
        <w:tc>
          <w:tcPr>
            <w:tcW w:w="578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22006</w:t>
            </w:r>
          </w:p>
        </w:tc>
      </w:tr>
      <w:tr w:rsidR="00B04AE3">
        <w:trPr>
          <w:trHeight w:val="354"/>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理</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化</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性</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质</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外观与性状：</w:t>
            </w:r>
          </w:p>
        </w:tc>
        <w:tc>
          <w:tcPr>
            <w:tcW w:w="5786" w:type="dxa"/>
            <w:vAlign w:val="center"/>
          </w:tcPr>
          <w:p w:rsidR="00B04AE3" w:rsidRDefault="00B04AE3">
            <w:pPr>
              <w:widowControl/>
              <w:spacing w:line="320" w:lineRule="exact"/>
              <w:rPr>
                <w:rFonts w:ascii="Arial" w:hAnsi="Arial" w:cs="Arial"/>
                <w:color w:val="333333"/>
                <w:sz w:val="21"/>
                <w:szCs w:val="21"/>
                <w:shd w:val="clear" w:color="auto" w:fill="FFFFFF"/>
              </w:rPr>
            </w:pPr>
            <w:r>
              <w:rPr>
                <w:rFonts w:ascii="Arial" w:hAnsi="Arial" w:cs="Arial" w:hint="eastAsia"/>
                <w:color w:val="333333"/>
                <w:sz w:val="21"/>
                <w:szCs w:val="21"/>
                <w:shd w:val="clear" w:color="auto" w:fill="FFFFFF"/>
              </w:rPr>
              <w:t>无色透明液体</w:t>
            </w:r>
            <w:r>
              <w:rPr>
                <w:rFonts w:ascii="Arial" w:hAnsi="Arial" w:cs="Arial"/>
                <w:color w:val="333333"/>
                <w:sz w:val="21"/>
                <w:szCs w:val="21"/>
                <w:shd w:val="clear" w:color="auto" w:fill="FFFFFF"/>
              </w:rPr>
              <w:t xml:space="preserve"> </w:t>
            </w:r>
          </w:p>
        </w:tc>
      </w:tr>
      <w:tr w:rsidR="00B04AE3">
        <w:trPr>
          <w:trHeight w:val="413"/>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主要用途：</w:t>
            </w:r>
          </w:p>
        </w:tc>
        <w:tc>
          <w:tcPr>
            <w:tcW w:w="5786" w:type="dxa"/>
            <w:vAlign w:val="center"/>
          </w:tcPr>
          <w:p w:rsidR="00B04AE3" w:rsidRDefault="00B04AE3">
            <w:pPr>
              <w:widowControl/>
              <w:spacing w:line="320" w:lineRule="exact"/>
              <w:rPr>
                <w:rFonts w:ascii="Arial" w:hAnsi="Arial" w:cs="Arial"/>
                <w:color w:val="333333"/>
                <w:sz w:val="21"/>
                <w:szCs w:val="21"/>
                <w:shd w:val="clear" w:color="auto" w:fill="FFFFFF"/>
              </w:rPr>
            </w:pPr>
            <w:r>
              <w:rPr>
                <w:rFonts w:ascii="Arial" w:hAnsi="Arial" w:cs="Arial" w:hint="eastAsia"/>
                <w:color w:val="333333"/>
                <w:sz w:val="21"/>
                <w:szCs w:val="21"/>
                <w:shd w:val="clear" w:color="auto" w:fill="FFFFFF"/>
              </w:rPr>
              <w:t>快速冷冻、冷冻麻醉</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熔点：</w:t>
            </w:r>
          </w:p>
        </w:tc>
        <w:tc>
          <w:tcPr>
            <w:tcW w:w="578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-209.8</w:t>
            </w:r>
            <w:r>
              <w:rPr>
                <w:rFonts w:hint="eastAsia"/>
                <w:color w:val="000000"/>
                <w:sz w:val="18"/>
                <w:szCs w:val="18"/>
                <w:shd w:val="clear" w:color="auto" w:fill="FFFFFF"/>
              </w:rPr>
              <w:t>℃</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沸点：</w:t>
            </w:r>
          </w:p>
        </w:tc>
        <w:tc>
          <w:tcPr>
            <w:tcW w:w="578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-196.56</w:t>
            </w:r>
            <w:r>
              <w:rPr>
                <w:rFonts w:hint="eastAsia"/>
                <w:color w:val="000000"/>
                <w:sz w:val="18"/>
                <w:szCs w:val="18"/>
                <w:shd w:val="clear" w:color="auto" w:fill="FFFFFF"/>
              </w:rPr>
              <w:t>℃</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相对密度</w:t>
            </w:r>
            <w:r>
              <w:rPr>
                <w:color w:val="000000"/>
                <w:sz w:val="21"/>
                <w:szCs w:val="21"/>
              </w:rPr>
              <w:t>(</w:t>
            </w:r>
            <w:r>
              <w:rPr>
                <w:rFonts w:hint="eastAsia"/>
                <w:color w:val="000000"/>
                <w:sz w:val="21"/>
                <w:szCs w:val="21"/>
              </w:rPr>
              <w:t>水</w:t>
            </w:r>
            <w:r>
              <w:rPr>
                <w:color w:val="000000"/>
                <w:sz w:val="21"/>
                <w:szCs w:val="21"/>
              </w:rPr>
              <w:t>=1)</w:t>
            </w:r>
            <w:r>
              <w:rPr>
                <w:rFonts w:hint="eastAsia"/>
                <w:color w:val="000000"/>
                <w:sz w:val="21"/>
                <w:szCs w:val="21"/>
              </w:rPr>
              <w:t>：</w:t>
            </w:r>
          </w:p>
        </w:tc>
        <w:tc>
          <w:tcPr>
            <w:tcW w:w="578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0.808(-196</w:t>
            </w:r>
            <w:r>
              <w:rPr>
                <w:rFonts w:hint="eastAsia"/>
                <w:color w:val="333333"/>
                <w:sz w:val="21"/>
                <w:szCs w:val="21"/>
                <w:shd w:val="clear" w:color="auto" w:fill="FFFFFF"/>
              </w:rPr>
              <w:t>℃</w:t>
            </w:r>
            <w:r>
              <w:rPr>
                <w:rFonts w:ascii="Arial" w:hAnsi="Arial" w:cs="Arial"/>
                <w:color w:val="333333"/>
                <w:sz w:val="21"/>
                <w:szCs w:val="21"/>
                <w:shd w:val="clear" w:color="auto" w:fill="FFFFFF"/>
              </w:rPr>
              <w:t>)</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相对密度</w:t>
            </w:r>
            <w:r>
              <w:rPr>
                <w:color w:val="000000"/>
                <w:sz w:val="21"/>
                <w:szCs w:val="21"/>
              </w:rPr>
              <w:t>(</w:t>
            </w:r>
            <w:r>
              <w:rPr>
                <w:rFonts w:hint="eastAsia"/>
                <w:color w:val="000000"/>
                <w:sz w:val="21"/>
                <w:szCs w:val="21"/>
              </w:rPr>
              <w:t>空气</w:t>
            </w:r>
            <w:r>
              <w:rPr>
                <w:color w:val="000000"/>
                <w:sz w:val="21"/>
                <w:szCs w:val="21"/>
              </w:rPr>
              <w:t>=1):</w:t>
            </w:r>
          </w:p>
        </w:tc>
        <w:tc>
          <w:tcPr>
            <w:tcW w:w="578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0.97</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饱和蒸汽压</w:t>
            </w:r>
            <w:r>
              <w:rPr>
                <w:color w:val="000000"/>
                <w:sz w:val="21"/>
                <w:szCs w:val="21"/>
              </w:rPr>
              <w:t>(kPa)</w:t>
            </w:r>
            <w:r>
              <w:rPr>
                <w:rFonts w:hint="eastAsia"/>
                <w:color w:val="000000"/>
                <w:sz w:val="21"/>
                <w:szCs w:val="21"/>
              </w:rPr>
              <w:t>：</w:t>
            </w:r>
          </w:p>
        </w:tc>
        <w:tc>
          <w:tcPr>
            <w:tcW w:w="578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 1026.42(-173</w:t>
            </w:r>
            <w:r>
              <w:rPr>
                <w:rFonts w:hint="eastAsia"/>
                <w:color w:val="333333"/>
                <w:sz w:val="21"/>
                <w:szCs w:val="21"/>
                <w:shd w:val="clear" w:color="auto" w:fill="FFFFFF"/>
              </w:rPr>
              <w:t>℃</w:t>
            </w:r>
            <w:r>
              <w:rPr>
                <w:rFonts w:ascii="Arial" w:hAnsi="Arial" w:cs="Arial"/>
                <w:color w:val="333333"/>
                <w:sz w:val="21"/>
                <w:szCs w:val="21"/>
                <w:shd w:val="clear" w:color="auto" w:fill="FFFFFF"/>
              </w:rPr>
              <w:t>)</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溶解性：</w:t>
            </w:r>
          </w:p>
        </w:tc>
        <w:tc>
          <w:tcPr>
            <w:tcW w:w="5786" w:type="dxa"/>
            <w:vAlign w:val="center"/>
          </w:tcPr>
          <w:p w:rsidR="00B04AE3" w:rsidRDefault="00B04AE3">
            <w:pPr>
              <w:widowControl/>
              <w:spacing w:line="320" w:lineRule="exact"/>
              <w:rPr>
                <w:color w:val="000000"/>
                <w:sz w:val="21"/>
                <w:szCs w:val="21"/>
              </w:rPr>
            </w:pPr>
            <w:r>
              <w:rPr>
                <w:rFonts w:ascii="Arial" w:hAnsi="Arial" w:cs="Arial" w:hint="eastAsia"/>
                <w:color w:val="333333"/>
                <w:sz w:val="21"/>
                <w:szCs w:val="21"/>
                <w:shd w:val="clear" w:color="auto" w:fill="FFFFFF"/>
              </w:rPr>
              <w:t>微溶于水、乙醇。</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临界温度</w:t>
            </w:r>
            <w:r>
              <w:rPr>
                <w:color w:val="000000"/>
                <w:sz w:val="21"/>
                <w:szCs w:val="21"/>
              </w:rPr>
              <w:t>(</w:t>
            </w:r>
            <w:r>
              <w:rPr>
                <w:rFonts w:hint="eastAsia"/>
                <w:color w:val="000000"/>
                <w:sz w:val="21"/>
                <w:szCs w:val="21"/>
              </w:rPr>
              <w:t>℃</w:t>
            </w:r>
            <w:r>
              <w:rPr>
                <w:color w:val="000000"/>
                <w:sz w:val="21"/>
                <w:szCs w:val="21"/>
              </w:rPr>
              <w:t>)</w:t>
            </w:r>
            <w:r>
              <w:rPr>
                <w:rFonts w:hint="eastAsia"/>
                <w:color w:val="000000"/>
                <w:sz w:val="21"/>
                <w:szCs w:val="21"/>
              </w:rPr>
              <w:t>：</w:t>
            </w:r>
          </w:p>
        </w:tc>
        <w:tc>
          <w:tcPr>
            <w:tcW w:w="578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-147</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临界压力</w:t>
            </w:r>
            <w:r>
              <w:rPr>
                <w:color w:val="000000"/>
                <w:sz w:val="21"/>
                <w:szCs w:val="21"/>
              </w:rPr>
              <w:t>(MPa)</w:t>
            </w:r>
            <w:r>
              <w:rPr>
                <w:rFonts w:hint="eastAsia"/>
                <w:color w:val="000000"/>
                <w:sz w:val="21"/>
                <w:szCs w:val="21"/>
              </w:rPr>
              <w:t>：</w:t>
            </w:r>
          </w:p>
        </w:tc>
        <w:tc>
          <w:tcPr>
            <w:tcW w:w="578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3.40</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燃烧热</w:t>
            </w:r>
            <w:r>
              <w:rPr>
                <w:color w:val="000000"/>
                <w:sz w:val="21"/>
                <w:szCs w:val="21"/>
              </w:rPr>
              <w:t>(kj/mol)</w:t>
            </w:r>
            <w:r>
              <w:rPr>
                <w:rFonts w:hint="eastAsia"/>
                <w:color w:val="000000"/>
                <w:sz w:val="21"/>
                <w:szCs w:val="21"/>
              </w:rPr>
              <w:t>：</w:t>
            </w:r>
          </w:p>
        </w:tc>
        <w:tc>
          <w:tcPr>
            <w:tcW w:w="5786"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54"/>
          <w:jc w:val="center"/>
        </w:trPr>
        <w:tc>
          <w:tcPr>
            <w:tcW w:w="447" w:type="dxa"/>
            <w:vMerge w:val="restart"/>
            <w:vAlign w:val="center"/>
          </w:tcPr>
          <w:p w:rsidR="00B04AE3" w:rsidRDefault="00B04AE3">
            <w:pPr>
              <w:widowControl/>
              <w:spacing w:line="320" w:lineRule="exact"/>
              <w:rPr>
                <w:color w:val="000000"/>
                <w:sz w:val="21"/>
                <w:szCs w:val="21"/>
              </w:rPr>
            </w:pPr>
            <w:r>
              <w:rPr>
                <w:rFonts w:hint="eastAsia"/>
                <w:b/>
                <w:bCs/>
                <w:color w:val="000000"/>
                <w:sz w:val="21"/>
                <w:szCs w:val="21"/>
              </w:rPr>
              <w:t>包装与储运</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危险性类别：</w:t>
            </w:r>
          </w:p>
        </w:tc>
        <w:tc>
          <w:tcPr>
            <w:tcW w:w="5786" w:type="dxa"/>
            <w:vAlign w:val="center"/>
          </w:tcPr>
          <w:p w:rsidR="00B04AE3" w:rsidRDefault="00B04AE3">
            <w:pPr>
              <w:widowControl/>
              <w:spacing w:line="320" w:lineRule="exact"/>
              <w:rPr>
                <w:color w:val="000000"/>
                <w:sz w:val="21"/>
                <w:szCs w:val="21"/>
                <w:lang w:val="en-US"/>
              </w:rPr>
            </w:pPr>
            <w:r>
              <w:rPr>
                <w:color w:val="000000"/>
                <w:sz w:val="21"/>
                <w:szCs w:val="21"/>
                <w:lang w:val="en-US"/>
              </w:rPr>
              <w:t>22006</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危险货物包装标志：</w:t>
            </w:r>
          </w:p>
        </w:tc>
        <w:tc>
          <w:tcPr>
            <w:tcW w:w="5786" w:type="dxa"/>
            <w:vAlign w:val="center"/>
          </w:tcPr>
          <w:p w:rsidR="00B04AE3" w:rsidRDefault="00B04AE3">
            <w:pPr>
              <w:widowControl/>
              <w:spacing w:line="320" w:lineRule="exact"/>
              <w:rPr>
                <w:color w:val="000000"/>
                <w:sz w:val="21"/>
                <w:szCs w:val="21"/>
                <w:lang w:val="en-US"/>
              </w:rPr>
            </w:pPr>
            <w:r>
              <w:rPr>
                <w:color w:val="000000"/>
                <w:sz w:val="21"/>
                <w:szCs w:val="21"/>
                <w:lang w:val="en-US"/>
              </w:rPr>
              <w:t>1977</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包装类别：</w:t>
            </w:r>
          </w:p>
        </w:tc>
        <w:tc>
          <w:tcPr>
            <w:tcW w:w="578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Z01</w:t>
            </w:r>
          </w:p>
        </w:tc>
      </w:tr>
      <w:tr w:rsidR="00B04AE3">
        <w:trPr>
          <w:trHeight w:val="1146"/>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储运注意事项：</w:t>
            </w:r>
          </w:p>
        </w:tc>
        <w:tc>
          <w:tcPr>
            <w:tcW w:w="5786" w:type="dxa"/>
            <w:vAlign w:val="center"/>
          </w:tcPr>
          <w:p w:rsidR="00B04AE3" w:rsidRDefault="00B04AE3">
            <w:pPr>
              <w:widowControl/>
              <w:spacing w:line="320" w:lineRule="exact"/>
              <w:rPr>
                <w:color w:val="000000"/>
                <w:sz w:val="21"/>
                <w:szCs w:val="21"/>
              </w:rPr>
            </w:pPr>
            <w:r>
              <w:rPr>
                <w:rFonts w:ascii="Arial" w:hAnsi="Arial" w:cs="Arial" w:hint="eastAsia"/>
                <w:color w:val="333333"/>
                <w:sz w:val="21"/>
                <w:szCs w:val="21"/>
                <w:shd w:val="clear" w:color="auto" w:fill="FFFFFF"/>
              </w:rPr>
              <w:t>储槽必须定时巡检增压盘等，保持无故障状态，运输工具内不可人货同车，且保持封闭空间内的通风情况，装卸时严禁倾倒、滚动储槽，装车后应加装防倒翻措施。</w:t>
            </w:r>
          </w:p>
        </w:tc>
      </w:tr>
      <w:tr w:rsidR="00B04AE3">
        <w:trPr>
          <w:trHeight w:val="989"/>
          <w:jc w:val="center"/>
        </w:trPr>
        <w:tc>
          <w:tcPr>
            <w:tcW w:w="447" w:type="dxa"/>
            <w:vMerge w:val="restart"/>
            <w:vAlign w:val="center"/>
          </w:tcPr>
          <w:p w:rsidR="00B04AE3" w:rsidRDefault="00B04AE3">
            <w:pPr>
              <w:widowControl/>
              <w:spacing w:line="320" w:lineRule="exact"/>
              <w:rPr>
                <w:color w:val="000000"/>
                <w:sz w:val="21"/>
                <w:szCs w:val="21"/>
              </w:rPr>
            </w:pPr>
            <w:r>
              <w:rPr>
                <w:rFonts w:hint="eastAsia"/>
                <w:b/>
                <w:bCs/>
                <w:color w:val="000000"/>
                <w:sz w:val="21"/>
                <w:szCs w:val="21"/>
              </w:rPr>
              <w:t>急救与外泻处理</w:t>
            </w:r>
          </w:p>
        </w:tc>
        <w:tc>
          <w:tcPr>
            <w:tcW w:w="8111" w:type="dxa"/>
            <w:gridSpan w:val="2"/>
            <w:vAlign w:val="center"/>
          </w:tcPr>
          <w:p w:rsidR="00B04AE3" w:rsidRDefault="00B04AE3">
            <w:pPr>
              <w:pStyle w:val="Heading3"/>
              <w:widowControl/>
              <w:pBdr>
                <w:bottom w:val="single" w:sz="6" w:space="9" w:color="ECECEC"/>
              </w:pBdr>
              <w:shd w:val="clear" w:color="auto" w:fill="FFFFFF"/>
              <w:spacing w:before="300" w:after="180" w:line="270" w:lineRule="atLeast"/>
              <w:ind w:left="0"/>
              <w:rPr>
                <w:color w:val="000000"/>
                <w:sz w:val="21"/>
                <w:szCs w:val="21"/>
              </w:rPr>
            </w:pPr>
            <w:hyperlink r:id="rId23" w:history="1">
              <w:r>
                <w:rPr>
                  <w:rStyle w:val="Hyperlink"/>
                  <w:rFonts w:ascii="微软雅黑" w:eastAsia="微软雅黑" w:hAnsi="微软雅黑" w:cs="微软雅黑" w:hint="eastAsia"/>
                  <w:sz w:val="2"/>
                  <w:u w:val="none"/>
                  <w:shd w:val="clear" w:color="auto" w:fill="FFFFFF"/>
                </w:rPr>
                <w:t>折叠</w:t>
              </w:r>
            </w:hyperlink>
            <w:r>
              <w:rPr>
                <w:rFonts w:ascii="Arial" w:hAnsi="Arial" w:cs="Arial" w:hint="eastAsia"/>
                <w:b w:val="0"/>
                <w:color w:val="333333"/>
                <w:sz w:val="21"/>
                <w:szCs w:val="21"/>
                <w:shd w:val="clear" w:color="auto" w:fill="FFFFFF"/>
              </w:rPr>
              <w:t>皮肤接触</w:t>
            </w:r>
            <w:r>
              <w:rPr>
                <w:rFonts w:ascii="Arial" w:hAnsi="Arial" w:cs="Arial"/>
                <w:b w:val="0"/>
                <w:color w:val="333333"/>
                <w:sz w:val="21"/>
                <w:szCs w:val="21"/>
                <w:shd w:val="clear" w:color="auto" w:fill="FFFFFF"/>
              </w:rPr>
              <w:t xml:space="preserve">: </w:t>
            </w:r>
            <w:r>
              <w:rPr>
                <w:rFonts w:ascii="Arial" w:hAnsi="Arial" w:cs="Arial" w:hint="eastAsia"/>
                <w:b w:val="0"/>
                <w:color w:val="333333"/>
                <w:sz w:val="21"/>
                <w:szCs w:val="21"/>
                <w:shd w:val="clear" w:color="auto" w:fill="FFFFFF"/>
              </w:rPr>
              <w:t>若有冻伤，就医治疗。吸入</w:t>
            </w:r>
            <w:r>
              <w:rPr>
                <w:rFonts w:ascii="Arial" w:hAnsi="Arial" w:cs="Arial"/>
                <w:b w:val="0"/>
                <w:color w:val="333333"/>
                <w:sz w:val="21"/>
                <w:szCs w:val="21"/>
                <w:shd w:val="clear" w:color="auto" w:fill="FFFFFF"/>
              </w:rPr>
              <w:t xml:space="preserve">: </w:t>
            </w:r>
            <w:r>
              <w:rPr>
                <w:rFonts w:ascii="Arial" w:hAnsi="Arial" w:cs="Arial" w:hint="eastAsia"/>
                <w:b w:val="0"/>
                <w:color w:val="333333"/>
                <w:sz w:val="21"/>
                <w:szCs w:val="21"/>
                <w:shd w:val="clear" w:color="auto" w:fill="FFFFFF"/>
              </w:rPr>
              <w:t>迅速脱离现场至空气新鲜处。保持呼吸道通畅。如呼吸困难，给输氧。如呼吸停止，立即进行人工呼吸。就医。</w:t>
            </w:r>
          </w:p>
        </w:tc>
      </w:tr>
      <w:tr w:rsidR="00B04AE3">
        <w:trPr>
          <w:trHeight w:val="992"/>
          <w:jc w:val="center"/>
        </w:trPr>
        <w:tc>
          <w:tcPr>
            <w:tcW w:w="447" w:type="dxa"/>
            <w:vMerge/>
            <w:vAlign w:val="center"/>
          </w:tcPr>
          <w:p w:rsidR="00B04AE3" w:rsidRDefault="00B04AE3">
            <w:pPr>
              <w:widowControl/>
              <w:spacing w:line="320" w:lineRule="exact"/>
              <w:rPr>
                <w:color w:val="000000"/>
                <w:sz w:val="21"/>
                <w:szCs w:val="21"/>
              </w:rPr>
            </w:pPr>
          </w:p>
        </w:tc>
        <w:tc>
          <w:tcPr>
            <w:tcW w:w="8111" w:type="dxa"/>
            <w:gridSpan w:val="2"/>
            <w:vAlign w:val="center"/>
          </w:tcPr>
          <w:p w:rsidR="00B04AE3" w:rsidRDefault="00B04AE3">
            <w:pPr>
              <w:pStyle w:val="NormalWeb"/>
              <w:widowControl/>
              <w:shd w:val="clear" w:color="auto" w:fill="FFFFFF"/>
              <w:spacing w:beforeAutospacing="0" w:after="225" w:afterAutospacing="0" w:line="360" w:lineRule="atLeast"/>
              <w:ind w:firstLine="420"/>
              <w:rPr>
                <w:rFonts w:ascii="Arial" w:hAnsi="Arial" w:cs="Arial"/>
                <w:b/>
                <w:bCs/>
                <w:color w:val="333333"/>
                <w:sz w:val="21"/>
                <w:szCs w:val="21"/>
              </w:rPr>
            </w:pPr>
            <w:r>
              <w:rPr>
                <w:rFonts w:ascii="Arial" w:hAnsi="Arial" w:cs="Arial" w:hint="eastAsia"/>
                <w:b/>
                <w:bCs/>
                <w:color w:val="333333"/>
                <w:sz w:val="21"/>
                <w:szCs w:val="21"/>
                <w:shd w:val="clear" w:color="auto" w:fill="FFFFFF"/>
              </w:rPr>
              <w:t>液氮外泻处理方法</w:t>
            </w:r>
          </w:p>
          <w:p w:rsidR="00B04AE3" w:rsidRDefault="00B04AE3">
            <w:pPr>
              <w:pStyle w:val="NormalWeb"/>
              <w:widowControl/>
              <w:shd w:val="clear" w:color="auto" w:fill="FFFFFF"/>
              <w:spacing w:beforeAutospacing="0" w:after="225" w:afterAutospacing="0" w:line="360" w:lineRule="atLeast"/>
              <w:ind w:firstLine="420"/>
              <w:rPr>
                <w:rFonts w:ascii="Arial" w:hAnsi="Arial" w:cs="Arial"/>
                <w:color w:val="333333"/>
                <w:sz w:val="21"/>
                <w:szCs w:val="21"/>
              </w:rPr>
            </w:pPr>
            <w:r>
              <w:rPr>
                <w:rFonts w:ascii="Arial" w:hAnsi="Arial" w:cs="Arial" w:hint="eastAsia"/>
                <w:color w:val="333333"/>
                <w:sz w:val="21"/>
                <w:szCs w:val="21"/>
                <w:shd w:val="clear" w:color="auto" w:fill="FFFFFF"/>
              </w:rPr>
              <w:t>吸入氮气浓度不太高时，患者最初感胸闷、气短、疲软无力</w:t>
            </w:r>
            <w:r>
              <w:rPr>
                <w:rFonts w:ascii="Arial" w:hAnsi="Arial" w:cs="Arial"/>
                <w:color w:val="333333"/>
                <w:sz w:val="21"/>
                <w:szCs w:val="21"/>
                <w:shd w:val="clear" w:color="auto" w:fill="FFFFFF"/>
              </w:rPr>
              <w:t>;</w:t>
            </w:r>
            <w:r>
              <w:rPr>
                <w:rFonts w:ascii="Arial" w:hAnsi="Arial" w:cs="Arial" w:hint="eastAsia"/>
                <w:color w:val="333333"/>
                <w:sz w:val="21"/>
                <w:szCs w:val="21"/>
                <w:shd w:val="clear" w:color="auto" w:fill="FFFFFF"/>
              </w:rPr>
              <w:t>继而有烦躁不安、极度兴奋、乱跑、叫喊、神情恍惚、步态不稳，称之为</w:t>
            </w:r>
            <w:r>
              <w:rPr>
                <w:rFonts w:ascii="Arial" w:hAnsi="Arial" w:cs="Arial"/>
                <w:color w:val="333333"/>
                <w:sz w:val="21"/>
                <w:szCs w:val="21"/>
                <w:shd w:val="clear" w:color="auto" w:fill="FFFFFF"/>
              </w:rPr>
              <w:t>"</w:t>
            </w:r>
            <w:r>
              <w:rPr>
                <w:rFonts w:ascii="Arial" w:hAnsi="Arial" w:cs="Arial" w:hint="eastAsia"/>
                <w:color w:val="333333"/>
                <w:sz w:val="21"/>
                <w:szCs w:val="21"/>
                <w:shd w:val="clear" w:color="auto" w:fill="FFFFFF"/>
              </w:rPr>
              <w:t>氮酩酊</w:t>
            </w:r>
            <w:r>
              <w:rPr>
                <w:rFonts w:ascii="Arial" w:hAnsi="Arial" w:cs="Arial"/>
                <w:color w:val="333333"/>
                <w:sz w:val="21"/>
                <w:szCs w:val="21"/>
                <w:shd w:val="clear" w:color="auto" w:fill="FFFFFF"/>
              </w:rPr>
              <w:t>"</w:t>
            </w:r>
            <w:r>
              <w:rPr>
                <w:rFonts w:ascii="Arial" w:hAnsi="Arial" w:cs="Arial" w:hint="eastAsia"/>
                <w:color w:val="333333"/>
                <w:sz w:val="21"/>
                <w:szCs w:val="21"/>
                <w:shd w:val="clear" w:color="auto" w:fill="FFFFFF"/>
              </w:rPr>
              <w:t>，可进入昏睡或昏迷状态。吸入高浓度，患者可迅速昏迷、因呼吸和心跳停止而死亡。</w:t>
            </w:r>
          </w:p>
          <w:p w:rsidR="00B04AE3" w:rsidRDefault="00B04AE3">
            <w:pPr>
              <w:pStyle w:val="NormalWeb"/>
              <w:widowControl/>
              <w:shd w:val="clear" w:color="auto" w:fill="FFFFFF"/>
              <w:spacing w:beforeAutospacing="0" w:after="225" w:afterAutospacing="0" w:line="360" w:lineRule="atLeast"/>
              <w:ind w:firstLine="420"/>
              <w:rPr>
                <w:rFonts w:ascii="Arial" w:hAnsi="Arial" w:cs="Arial"/>
                <w:color w:val="333333"/>
                <w:sz w:val="21"/>
                <w:szCs w:val="21"/>
              </w:rPr>
            </w:pPr>
            <w:r>
              <w:rPr>
                <w:rFonts w:ascii="Arial" w:hAnsi="Arial" w:cs="Arial"/>
                <w:color w:val="333333"/>
                <w:sz w:val="21"/>
                <w:szCs w:val="21"/>
                <w:shd w:val="clear" w:color="auto" w:fill="FFFFFF"/>
              </w:rPr>
              <w:t xml:space="preserve">1. </w:t>
            </w:r>
            <w:r>
              <w:rPr>
                <w:rFonts w:ascii="Arial" w:hAnsi="Arial" w:cs="Arial" w:hint="eastAsia"/>
                <w:color w:val="333333"/>
                <w:sz w:val="21"/>
                <w:szCs w:val="21"/>
                <w:shd w:val="clear" w:color="auto" w:fill="FFFFFF"/>
              </w:rPr>
              <w:t>迅速撤离泄漏污染区人员至上风处，并设置隔离区域，严格限制出入。</w:t>
            </w:r>
          </w:p>
          <w:p w:rsidR="00B04AE3" w:rsidRDefault="00B04AE3">
            <w:pPr>
              <w:pStyle w:val="NormalWeb"/>
              <w:widowControl/>
              <w:shd w:val="clear" w:color="auto" w:fill="FFFFFF"/>
              <w:spacing w:beforeAutospacing="0" w:after="225" w:afterAutospacing="0" w:line="360" w:lineRule="atLeast"/>
              <w:ind w:firstLine="420"/>
              <w:rPr>
                <w:rFonts w:ascii="Arial" w:hAnsi="Arial" w:cs="Arial"/>
                <w:color w:val="333333"/>
                <w:sz w:val="21"/>
                <w:szCs w:val="21"/>
              </w:rPr>
            </w:pPr>
            <w:r>
              <w:rPr>
                <w:rFonts w:ascii="Arial" w:hAnsi="Arial" w:cs="Arial"/>
                <w:color w:val="333333"/>
                <w:sz w:val="21"/>
                <w:szCs w:val="21"/>
                <w:shd w:val="clear" w:color="auto" w:fill="FFFFFF"/>
              </w:rPr>
              <w:t xml:space="preserve">2. </w:t>
            </w:r>
            <w:r>
              <w:rPr>
                <w:rFonts w:ascii="Arial" w:hAnsi="Arial" w:cs="Arial" w:hint="eastAsia"/>
                <w:color w:val="333333"/>
                <w:sz w:val="21"/>
                <w:szCs w:val="21"/>
                <w:shd w:val="clear" w:color="auto" w:fill="FFFFFF"/>
              </w:rPr>
              <w:t>通知消防及相关单位。</w:t>
            </w:r>
          </w:p>
          <w:p w:rsidR="00B04AE3" w:rsidRDefault="00B04AE3">
            <w:pPr>
              <w:pStyle w:val="NormalWeb"/>
              <w:widowControl/>
              <w:shd w:val="clear" w:color="auto" w:fill="FFFFFF"/>
              <w:spacing w:beforeAutospacing="0" w:after="225" w:afterAutospacing="0" w:line="360" w:lineRule="atLeast"/>
              <w:ind w:firstLine="420"/>
              <w:rPr>
                <w:rFonts w:ascii="Arial" w:hAnsi="Arial" w:cs="Arial"/>
                <w:color w:val="333333"/>
                <w:sz w:val="21"/>
                <w:szCs w:val="21"/>
              </w:rPr>
            </w:pPr>
            <w:r>
              <w:rPr>
                <w:rFonts w:ascii="Arial" w:hAnsi="Arial" w:cs="Arial"/>
                <w:color w:val="333333"/>
                <w:sz w:val="21"/>
                <w:szCs w:val="21"/>
                <w:shd w:val="clear" w:color="auto" w:fill="FFFFFF"/>
              </w:rPr>
              <w:t xml:space="preserve">3. </w:t>
            </w:r>
            <w:r>
              <w:rPr>
                <w:rFonts w:ascii="Arial" w:hAnsi="Arial" w:cs="Arial" w:hint="eastAsia"/>
                <w:color w:val="333333"/>
                <w:sz w:val="21"/>
                <w:szCs w:val="21"/>
                <w:shd w:val="clear" w:color="auto" w:fill="FFFFFF"/>
              </w:rPr>
              <w:t>应急处理人员戴自给正压式呼吸器，穿防寒服，戴防寒手套。</w:t>
            </w:r>
          </w:p>
          <w:p w:rsidR="00B04AE3" w:rsidRDefault="00B04AE3">
            <w:pPr>
              <w:pStyle w:val="NormalWeb"/>
              <w:widowControl/>
              <w:shd w:val="clear" w:color="auto" w:fill="FFFFFF"/>
              <w:spacing w:beforeAutospacing="0" w:after="225" w:afterAutospacing="0" w:line="360" w:lineRule="atLeast"/>
              <w:ind w:firstLine="420"/>
              <w:rPr>
                <w:rFonts w:ascii="Arial" w:hAnsi="Arial" w:cs="Arial"/>
                <w:color w:val="333333"/>
                <w:sz w:val="21"/>
                <w:szCs w:val="21"/>
              </w:rPr>
            </w:pPr>
            <w:r>
              <w:rPr>
                <w:rFonts w:ascii="Arial" w:hAnsi="Arial" w:cs="Arial"/>
                <w:color w:val="333333"/>
                <w:sz w:val="21"/>
                <w:szCs w:val="21"/>
                <w:shd w:val="clear" w:color="auto" w:fill="FFFFFF"/>
              </w:rPr>
              <w:t xml:space="preserve">4. </w:t>
            </w:r>
            <w:r>
              <w:rPr>
                <w:rFonts w:ascii="Arial" w:hAnsi="Arial" w:cs="Arial" w:hint="eastAsia"/>
                <w:color w:val="333333"/>
                <w:sz w:val="21"/>
                <w:szCs w:val="21"/>
                <w:shd w:val="clear" w:color="auto" w:fill="FFFFFF"/>
              </w:rPr>
              <w:t>避免泄漏液体流入地下室或其他密闭有人工作空间，如无法避免应立即通知相关部门。</w:t>
            </w:r>
          </w:p>
          <w:p w:rsidR="00B04AE3" w:rsidRDefault="00B04AE3">
            <w:pPr>
              <w:pStyle w:val="NormalWeb"/>
              <w:widowControl/>
              <w:shd w:val="clear" w:color="auto" w:fill="FFFFFF"/>
              <w:spacing w:beforeAutospacing="0" w:after="225" w:afterAutospacing="0" w:line="360" w:lineRule="atLeast"/>
              <w:ind w:firstLine="420"/>
              <w:rPr>
                <w:rFonts w:ascii="Arial" w:hAnsi="Arial" w:cs="Arial"/>
                <w:color w:val="333333"/>
                <w:sz w:val="21"/>
                <w:szCs w:val="21"/>
              </w:rPr>
            </w:pPr>
            <w:r>
              <w:rPr>
                <w:rFonts w:ascii="Arial" w:hAnsi="Arial" w:cs="Arial"/>
                <w:color w:val="333333"/>
                <w:sz w:val="21"/>
                <w:szCs w:val="21"/>
                <w:shd w:val="clear" w:color="auto" w:fill="FFFFFF"/>
              </w:rPr>
              <w:t xml:space="preserve">5. </w:t>
            </w:r>
            <w:r>
              <w:rPr>
                <w:rFonts w:ascii="Arial" w:hAnsi="Arial" w:cs="Arial" w:hint="eastAsia"/>
                <w:color w:val="333333"/>
                <w:sz w:val="21"/>
                <w:szCs w:val="21"/>
                <w:shd w:val="clear" w:color="auto" w:fill="FFFFFF"/>
              </w:rPr>
              <w:t>不要直接接触泄漏物。</w:t>
            </w:r>
          </w:p>
          <w:p w:rsidR="00B04AE3" w:rsidRDefault="00B04AE3">
            <w:pPr>
              <w:pStyle w:val="NormalWeb"/>
              <w:widowControl/>
              <w:shd w:val="clear" w:color="auto" w:fill="FFFFFF"/>
              <w:spacing w:beforeAutospacing="0" w:after="225" w:afterAutospacing="0" w:line="360" w:lineRule="atLeast"/>
              <w:ind w:firstLine="420"/>
              <w:rPr>
                <w:rFonts w:ascii="Arial" w:hAnsi="Arial" w:cs="Arial"/>
                <w:color w:val="333333"/>
                <w:sz w:val="21"/>
                <w:szCs w:val="21"/>
              </w:rPr>
            </w:pPr>
            <w:r>
              <w:rPr>
                <w:rFonts w:ascii="Arial" w:hAnsi="Arial" w:cs="Arial"/>
                <w:color w:val="333333"/>
                <w:sz w:val="21"/>
                <w:szCs w:val="21"/>
                <w:shd w:val="clear" w:color="auto" w:fill="FFFFFF"/>
              </w:rPr>
              <w:t xml:space="preserve">6. </w:t>
            </w:r>
            <w:r>
              <w:rPr>
                <w:rFonts w:ascii="Arial" w:hAnsi="Arial" w:cs="Arial" w:hint="eastAsia"/>
                <w:color w:val="333333"/>
                <w:sz w:val="21"/>
                <w:szCs w:val="21"/>
                <w:shd w:val="clear" w:color="auto" w:fill="FFFFFF"/>
              </w:rPr>
              <w:t>尽可能切断泄漏源。</w:t>
            </w:r>
          </w:p>
          <w:p w:rsidR="00B04AE3" w:rsidRDefault="00B04AE3">
            <w:pPr>
              <w:pStyle w:val="NormalWeb"/>
              <w:widowControl/>
              <w:shd w:val="clear" w:color="auto" w:fill="FFFFFF"/>
              <w:spacing w:beforeAutospacing="0" w:after="225" w:afterAutospacing="0" w:line="360" w:lineRule="atLeast"/>
              <w:ind w:firstLine="420"/>
              <w:rPr>
                <w:rFonts w:ascii="Arial" w:hAnsi="Arial" w:cs="Arial"/>
                <w:color w:val="333333"/>
                <w:sz w:val="21"/>
                <w:szCs w:val="21"/>
              </w:rPr>
            </w:pPr>
            <w:r>
              <w:rPr>
                <w:rFonts w:ascii="Arial" w:hAnsi="Arial" w:cs="Arial"/>
                <w:color w:val="333333"/>
                <w:sz w:val="21"/>
                <w:szCs w:val="21"/>
                <w:shd w:val="clear" w:color="auto" w:fill="FFFFFF"/>
              </w:rPr>
              <w:t xml:space="preserve">7. </w:t>
            </w:r>
            <w:r>
              <w:rPr>
                <w:rFonts w:ascii="Arial" w:hAnsi="Arial" w:cs="Arial" w:hint="eastAsia"/>
                <w:color w:val="333333"/>
                <w:sz w:val="21"/>
                <w:szCs w:val="21"/>
                <w:shd w:val="clear" w:color="auto" w:fill="FFFFFF"/>
              </w:rPr>
              <w:t>可用雾状水喷淋加速液体蒸发，但不可使水枪射至液体。</w:t>
            </w:r>
          </w:p>
          <w:p w:rsidR="00B04AE3" w:rsidRDefault="00B04AE3">
            <w:pPr>
              <w:pStyle w:val="NormalWeb"/>
              <w:widowControl/>
              <w:shd w:val="clear" w:color="auto" w:fill="FFFFFF"/>
              <w:spacing w:beforeAutospacing="0" w:after="225" w:afterAutospacing="0" w:line="360" w:lineRule="atLeast"/>
              <w:ind w:firstLine="420"/>
              <w:rPr>
                <w:rFonts w:ascii="Arial" w:hAnsi="Arial" w:cs="Arial"/>
                <w:color w:val="333333"/>
                <w:sz w:val="21"/>
                <w:szCs w:val="21"/>
              </w:rPr>
            </w:pPr>
            <w:r>
              <w:rPr>
                <w:rFonts w:ascii="Arial" w:hAnsi="Arial" w:cs="Arial"/>
                <w:color w:val="333333"/>
                <w:sz w:val="21"/>
                <w:szCs w:val="21"/>
                <w:shd w:val="clear" w:color="auto" w:fill="FFFFFF"/>
              </w:rPr>
              <w:t xml:space="preserve">8. </w:t>
            </w:r>
            <w:r>
              <w:rPr>
                <w:rFonts w:ascii="Arial" w:hAnsi="Arial" w:cs="Arial" w:hint="eastAsia"/>
                <w:color w:val="333333"/>
                <w:sz w:val="21"/>
                <w:szCs w:val="21"/>
                <w:shd w:val="clear" w:color="auto" w:fill="FFFFFF"/>
              </w:rPr>
              <w:t>防止气体在低凹处积聚，用排风机将漏出气送至空旷处。</w:t>
            </w:r>
          </w:p>
          <w:p w:rsidR="00B04AE3" w:rsidRDefault="00B04AE3">
            <w:pPr>
              <w:pStyle w:val="NormalWeb"/>
              <w:widowControl/>
              <w:shd w:val="clear" w:color="auto" w:fill="FFFFFF"/>
              <w:spacing w:beforeAutospacing="0" w:after="225" w:afterAutospacing="0" w:line="360" w:lineRule="atLeast"/>
              <w:ind w:firstLine="420"/>
              <w:rPr>
                <w:color w:val="000000"/>
                <w:sz w:val="21"/>
                <w:szCs w:val="21"/>
              </w:rPr>
            </w:pPr>
            <w:r>
              <w:rPr>
                <w:rFonts w:ascii="Arial" w:hAnsi="Arial" w:cs="Arial"/>
                <w:color w:val="333333"/>
                <w:sz w:val="21"/>
                <w:szCs w:val="21"/>
                <w:shd w:val="clear" w:color="auto" w:fill="FFFFFF"/>
              </w:rPr>
              <w:t xml:space="preserve">9. </w:t>
            </w:r>
            <w:r>
              <w:rPr>
                <w:rFonts w:ascii="Arial" w:hAnsi="Arial" w:cs="Arial" w:hint="eastAsia"/>
                <w:color w:val="333333"/>
                <w:sz w:val="21"/>
                <w:szCs w:val="21"/>
                <w:shd w:val="clear" w:color="auto" w:fill="FFFFFF"/>
              </w:rPr>
              <w:t>禁止人员在低洼或下风区停留。</w:t>
            </w:r>
          </w:p>
        </w:tc>
      </w:tr>
    </w:tbl>
    <w:p w:rsidR="00B04AE3" w:rsidRDefault="00B04AE3">
      <w:pPr>
        <w:spacing w:before="2" w:after="3"/>
        <w:ind w:left="2773"/>
        <w:rPr>
          <w:b/>
          <w:sz w:val="24"/>
        </w:rPr>
      </w:pPr>
      <w:r>
        <w:rPr>
          <w:rFonts w:hint="eastAsia"/>
          <w:b/>
          <w:sz w:val="24"/>
        </w:rPr>
        <w:t>表</w:t>
      </w:r>
      <w:r>
        <w:rPr>
          <w:b/>
          <w:sz w:val="24"/>
        </w:rPr>
        <w:t xml:space="preserve"> </w:t>
      </w:r>
      <w:r>
        <w:rPr>
          <w:rFonts w:ascii="Times New Roman" w:eastAsia="Times New Roman"/>
          <w:b/>
          <w:sz w:val="24"/>
        </w:rPr>
        <w:t>3.1-</w:t>
      </w:r>
      <w:r>
        <w:rPr>
          <w:rFonts w:ascii="Times New Roman"/>
          <w:b/>
          <w:sz w:val="24"/>
          <w:lang w:val="en-US"/>
        </w:rPr>
        <w:t>4</w:t>
      </w:r>
      <w:r>
        <w:rPr>
          <w:rFonts w:ascii="Times New Roman" w:eastAsia="Times New Roman"/>
          <w:b/>
          <w:sz w:val="24"/>
        </w:rPr>
        <w:t xml:space="preserve"> </w:t>
      </w:r>
      <w:r>
        <w:rPr>
          <w:rFonts w:hint="eastAsia"/>
          <w:b/>
          <w:sz w:val="24"/>
        </w:rPr>
        <w:t>硫酸理化性质及危险特性</w:t>
      </w:r>
    </w:p>
    <w:tbl>
      <w:tblPr>
        <w:tblW w:w="8551"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028"/>
        <w:gridCol w:w="1841"/>
        <w:gridCol w:w="1359"/>
        <w:gridCol w:w="1360"/>
        <w:gridCol w:w="1661"/>
        <w:gridCol w:w="1302"/>
      </w:tblGrid>
      <w:tr w:rsidR="00B04AE3">
        <w:trPr>
          <w:trHeight w:val="551"/>
        </w:trPr>
        <w:tc>
          <w:tcPr>
            <w:tcW w:w="1028" w:type="dxa"/>
            <w:shd w:val="clear" w:color="auto" w:fill="D9D9D9"/>
          </w:tcPr>
          <w:p w:rsidR="00B04AE3" w:rsidRDefault="00B04AE3">
            <w:pPr>
              <w:pStyle w:val="TableParagraph"/>
              <w:ind w:left="6"/>
              <w:rPr>
                <w:b/>
                <w:sz w:val="21"/>
              </w:rPr>
            </w:pPr>
            <w:r>
              <w:rPr>
                <w:rFonts w:hint="eastAsia"/>
                <w:b/>
                <w:w w:val="99"/>
                <w:sz w:val="21"/>
              </w:rPr>
              <w:t>品</w:t>
            </w:r>
          </w:p>
          <w:p w:rsidR="00B04AE3" w:rsidRDefault="00B04AE3">
            <w:pPr>
              <w:pStyle w:val="TableParagraph"/>
              <w:spacing w:before="2" w:line="253" w:lineRule="exact"/>
              <w:ind w:left="6"/>
              <w:rPr>
                <w:b/>
                <w:sz w:val="21"/>
              </w:rPr>
            </w:pPr>
            <w:r>
              <w:rPr>
                <w:rFonts w:hint="eastAsia"/>
                <w:b/>
                <w:w w:val="99"/>
                <w:sz w:val="21"/>
              </w:rPr>
              <w:t>名</w:t>
            </w:r>
          </w:p>
        </w:tc>
        <w:tc>
          <w:tcPr>
            <w:tcW w:w="1841" w:type="dxa"/>
          </w:tcPr>
          <w:p w:rsidR="00B04AE3" w:rsidRDefault="00B04AE3">
            <w:pPr>
              <w:pStyle w:val="TableParagraph"/>
              <w:spacing w:before="134"/>
              <w:ind w:left="324" w:right="320"/>
              <w:rPr>
                <w:sz w:val="21"/>
              </w:rPr>
            </w:pPr>
            <w:r>
              <w:rPr>
                <w:rFonts w:hint="eastAsia"/>
                <w:sz w:val="21"/>
              </w:rPr>
              <w:t>硫酸</w:t>
            </w:r>
          </w:p>
        </w:tc>
        <w:tc>
          <w:tcPr>
            <w:tcW w:w="1359" w:type="dxa"/>
          </w:tcPr>
          <w:p w:rsidR="00B04AE3" w:rsidRDefault="00B04AE3">
            <w:pPr>
              <w:pStyle w:val="TableParagraph"/>
              <w:tabs>
                <w:tab w:val="left" w:pos="839"/>
              </w:tabs>
              <w:spacing w:before="134"/>
              <w:ind w:right="122"/>
              <w:jc w:val="right"/>
              <w:rPr>
                <w:b/>
                <w:sz w:val="21"/>
              </w:rPr>
            </w:pPr>
            <w:r>
              <w:rPr>
                <w:rFonts w:hint="eastAsia"/>
                <w:b/>
                <w:sz w:val="21"/>
              </w:rPr>
              <w:t>别</w:t>
            </w:r>
            <w:r>
              <w:rPr>
                <w:b/>
                <w:sz w:val="21"/>
              </w:rPr>
              <w:tab/>
            </w:r>
            <w:r>
              <w:rPr>
                <w:rFonts w:hint="eastAsia"/>
                <w:b/>
                <w:w w:val="95"/>
                <w:sz w:val="21"/>
              </w:rPr>
              <w:t>名</w:t>
            </w:r>
          </w:p>
        </w:tc>
        <w:tc>
          <w:tcPr>
            <w:tcW w:w="1360" w:type="dxa"/>
          </w:tcPr>
          <w:p w:rsidR="00B04AE3" w:rsidRDefault="00B04AE3">
            <w:pPr>
              <w:pStyle w:val="TableParagraph"/>
              <w:jc w:val="left"/>
              <w:rPr>
                <w:rFonts w:ascii="Times New Roman"/>
                <w:sz w:val="20"/>
              </w:rPr>
            </w:pPr>
          </w:p>
        </w:tc>
        <w:tc>
          <w:tcPr>
            <w:tcW w:w="1661" w:type="dxa"/>
          </w:tcPr>
          <w:p w:rsidR="00B04AE3" w:rsidRDefault="00B04AE3">
            <w:pPr>
              <w:pStyle w:val="TableParagraph"/>
              <w:spacing w:before="134"/>
              <w:ind w:left="108"/>
              <w:jc w:val="left"/>
              <w:rPr>
                <w:sz w:val="21"/>
              </w:rPr>
            </w:pPr>
            <w:r>
              <w:rPr>
                <w:rFonts w:hint="eastAsia"/>
                <w:sz w:val="21"/>
              </w:rPr>
              <w:t>危险化学品序号</w:t>
            </w:r>
          </w:p>
        </w:tc>
        <w:tc>
          <w:tcPr>
            <w:tcW w:w="1302" w:type="dxa"/>
          </w:tcPr>
          <w:p w:rsidR="00B04AE3" w:rsidRDefault="00B04AE3">
            <w:pPr>
              <w:pStyle w:val="TableParagraph"/>
              <w:spacing w:before="151"/>
              <w:ind w:left="528"/>
              <w:jc w:val="left"/>
              <w:rPr>
                <w:rFonts w:ascii="Times New Roman"/>
                <w:sz w:val="21"/>
              </w:rPr>
            </w:pPr>
            <w:r>
              <w:rPr>
                <w:rFonts w:ascii="Times New Roman"/>
                <w:sz w:val="21"/>
              </w:rPr>
              <w:t>1302</w:t>
            </w:r>
          </w:p>
        </w:tc>
      </w:tr>
      <w:tr w:rsidR="00B04AE3">
        <w:trPr>
          <w:trHeight w:val="553"/>
        </w:trPr>
        <w:tc>
          <w:tcPr>
            <w:tcW w:w="1028" w:type="dxa"/>
            <w:shd w:val="clear" w:color="auto" w:fill="D9D9D9"/>
          </w:tcPr>
          <w:p w:rsidR="00B04AE3" w:rsidRDefault="00B04AE3">
            <w:pPr>
              <w:pStyle w:val="TableParagraph"/>
              <w:ind w:left="288"/>
              <w:jc w:val="left"/>
              <w:rPr>
                <w:b/>
                <w:sz w:val="21"/>
              </w:rPr>
            </w:pPr>
            <w:r>
              <w:rPr>
                <w:rFonts w:hint="eastAsia"/>
                <w:b/>
                <w:w w:val="95"/>
                <w:sz w:val="21"/>
              </w:rPr>
              <w:t>英文</w:t>
            </w:r>
          </w:p>
          <w:p w:rsidR="00B04AE3" w:rsidRDefault="00B04AE3">
            <w:pPr>
              <w:pStyle w:val="TableParagraph"/>
              <w:spacing w:before="5" w:line="251" w:lineRule="exact"/>
              <w:ind w:left="288"/>
              <w:jc w:val="left"/>
              <w:rPr>
                <w:b/>
                <w:sz w:val="21"/>
              </w:rPr>
            </w:pPr>
            <w:r>
              <w:rPr>
                <w:rFonts w:hint="eastAsia"/>
                <w:b/>
                <w:w w:val="95"/>
                <w:sz w:val="21"/>
              </w:rPr>
              <w:t>名称</w:t>
            </w:r>
          </w:p>
        </w:tc>
        <w:tc>
          <w:tcPr>
            <w:tcW w:w="1841" w:type="dxa"/>
          </w:tcPr>
          <w:p w:rsidR="00B04AE3" w:rsidRDefault="00B04AE3">
            <w:pPr>
              <w:pStyle w:val="TableParagraph"/>
              <w:spacing w:before="151"/>
              <w:ind w:left="333" w:right="320"/>
              <w:rPr>
                <w:rFonts w:ascii="Times New Roman"/>
                <w:sz w:val="21"/>
              </w:rPr>
            </w:pPr>
            <w:r>
              <w:rPr>
                <w:rFonts w:ascii="Times New Roman"/>
                <w:sz w:val="21"/>
              </w:rPr>
              <w:t>Sulfuric acid</w:t>
            </w:r>
          </w:p>
        </w:tc>
        <w:tc>
          <w:tcPr>
            <w:tcW w:w="1359" w:type="dxa"/>
          </w:tcPr>
          <w:p w:rsidR="00B04AE3" w:rsidRDefault="00B04AE3">
            <w:pPr>
              <w:pStyle w:val="TableParagraph"/>
              <w:tabs>
                <w:tab w:val="left" w:pos="419"/>
                <w:tab w:val="left" w:pos="839"/>
              </w:tabs>
              <w:spacing w:before="135"/>
              <w:ind w:right="122"/>
              <w:jc w:val="right"/>
              <w:rPr>
                <w:b/>
                <w:sz w:val="21"/>
              </w:rPr>
            </w:pPr>
            <w:r>
              <w:rPr>
                <w:rFonts w:hint="eastAsia"/>
                <w:b/>
                <w:sz w:val="21"/>
              </w:rPr>
              <w:t>分</w:t>
            </w:r>
            <w:r>
              <w:rPr>
                <w:b/>
                <w:sz w:val="21"/>
              </w:rPr>
              <w:tab/>
            </w:r>
            <w:r>
              <w:rPr>
                <w:rFonts w:hint="eastAsia"/>
                <w:b/>
                <w:sz w:val="21"/>
              </w:rPr>
              <w:t>子</w:t>
            </w:r>
            <w:r>
              <w:rPr>
                <w:b/>
                <w:sz w:val="21"/>
              </w:rPr>
              <w:tab/>
            </w:r>
            <w:r>
              <w:rPr>
                <w:rFonts w:hint="eastAsia"/>
                <w:b/>
                <w:w w:val="95"/>
                <w:sz w:val="21"/>
              </w:rPr>
              <w:t>式</w:t>
            </w:r>
          </w:p>
        </w:tc>
        <w:tc>
          <w:tcPr>
            <w:tcW w:w="1360" w:type="dxa"/>
          </w:tcPr>
          <w:p w:rsidR="00B04AE3" w:rsidRDefault="00B04AE3">
            <w:pPr>
              <w:pStyle w:val="TableParagraph"/>
              <w:spacing w:before="148"/>
              <w:ind w:left="381"/>
              <w:jc w:val="left"/>
              <w:rPr>
                <w:rFonts w:ascii="Times New Roman"/>
                <w:sz w:val="21"/>
              </w:rPr>
            </w:pPr>
            <w:r>
              <w:rPr>
                <w:rFonts w:ascii="Times New Roman"/>
                <w:position w:val="2"/>
                <w:sz w:val="21"/>
              </w:rPr>
              <w:t>H</w:t>
            </w:r>
            <w:r>
              <w:rPr>
                <w:rFonts w:ascii="Times New Roman"/>
                <w:position w:val="2"/>
                <w:sz w:val="21"/>
                <w:vertAlign w:val="subscript"/>
              </w:rPr>
              <w:t>2</w:t>
            </w:r>
            <w:r>
              <w:rPr>
                <w:rFonts w:ascii="Times New Roman"/>
                <w:position w:val="2"/>
                <w:sz w:val="21"/>
              </w:rPr>
              <w:t>SO</w:t>
            </w:r>
            <w:r>
              <w:rPr>
                <w:rFonts w:ascii="Times New Roman"/>
                <w:position w:val="2"/>
                <w:sz w:val="21"/>
                <w:vertAlign w:val="subscript"/>
              </w:rPr>
              <w:t>4</w:t>
            </w:r>
          </w:p>
        </w:tc>
        <w:tc>
          <w:tcPr>
            <w:tcW w:w="1661" w:type="dxa"/>
          </w:tcPr>
          <w:p w:rsidR="00B04AE3" w:rsidRDefault="00B04AE3">
            <w:pPr>
              <w:pStyle w:val="TableParagraph"/>
              <w:tabs>
                <w:tab w:val="left" w:pos="631"/>
                <w:tab w:val="left" w:pos="1159"/>
              </w:tabs>
              <w:spacing w:before="135"/>
              <w:ind w:left="108"/>
              <w:jc w:val="left"/>
              <w:rPr>
                <w:b/>
                <w:sz w:val="21"/>
              </w:rPr>
            </w:pPr>
            <w:r>
              <w:rPr>
                <w:rFonts w:hint="eastAsia"/>
                <w:b/>
                <w:sz w:val="21"/>
              </w:rPr>
              <w:t>分</w:t>
            </w:r>
            <w:r>
              <w:rPr>
                <w:b/>
                <w:sz w:val="21"/>
              </w:rPr>
              <w:tab/>
            </w:r>
            <w:r>
              <w:rPr>
                <w:rFonts w:hint="eastAsia"/>
                <w:b/>
                <w:sz w:val="21"/>
              </w:rPr>
              <w:t>子</w:t>
            </w:r>
            <w:r>
              <w:rPr>
                <w:b/>
                <w:sz w:val="21"/>
              </w:rPr>
              <w:tab/>
            </w:r>
            <w:r>
              <w:rPr>
                <w:rFonts w:hint="eastAsia"/>
                <w:b/>
                <w:sz w:val="21"/>
              </w:rPr>
              <w:t>量</w:t>
            </w:r>
          </w:p>
        </w:tc>
        <w:tc>
          <w:tcPr>
            <w:tcW w:w="1302" w:type="dxa"/>
          </w:tcPr>
          <w:p w:rsidR="00B04AE3" w:rsidRDefault="00B04AE3">
            <w:pPr>
              <w:pStyle w:val="TableParagraph"/>
              <w:spacing w:before="151"/>
              <w:ind w:left="549"/>
              <w:jc w:val="left"/>
              <w:rPr>
                <w:rFonts w:ascii="Times New Roman"/>
                <w:sz w:val="21"/>
              </w:rPr>
            </w:pPr>
            <w:r>
              <w:rPr>
                <w:rFonts w:ascii="Times New Roman"/>
                <w:sz w:val="21"/>
              </w:rPr>
              <w:t>98</w:t>
            </w:r>
          </w:p>
        </w:tc>
      </w:tr>
      <w:tr w:rsidR="00B04AE3">
        <w:trPr>
          <w:trHeight w:val="894"/>
        </w:trPr>
        <w:tc>
          <w:tcPr>
            <w:tcW w:w="1028" w:type="dxa"/>
            <w:shd w:val="clear" w:color="auto" w:fill="D9D9D9"/>
          </w:tcPr>
          <w:p w:rsidR="00B04AE3" w:rsidRDefault="00B04AE3">
            <w:pPr>
              <w:pStyle w:val="TableParagraph"/>
              <w:spacing w:line="242" w:lineRule="auto"/>
              <w:ind w:left="391" w:right="383"/>
              <w:jc w:val="both"/>
              <w:rPr>
                <w:b/>
                <w:sz w:val="21"/>
              </w:rPr>
            </w:pPr>
            <w:r>
              <w:rPr>
                <w:rFonts w:hint="eastAsia"/>
                <w:b/>
                <w:sz w:val="21"/>
              </w:rPr>
              <w:t>理化性</w:t>
            </w:r>
          </w:p>
          <w:p w:rsidR="00B04AE3" w:rsidRDefault="00B04AE3">
            <w:pPr>
              <w:pStyle w:val="TableParagraph"/>
              <w:spacing w:line="253" w:lineRule="exact"/>
              <w:ind w:left="6"/>
              <w:rPr>
                <w:b/>
                <w:sz w:val="21"/>
              </w:rPr>
            </w:pPr>
            <w:r>
              <w:rPr>
                <w:rFonts w:hint="eastAsia"/>
                <w:b/>
                <w:w w:val="99"/>
                <w:sz w:val="21"/>
              </w:rPr>
              <w:t>质</w:t>
            </w:r>
          </w:p>
        </w:tc>
        <w:tc>
          <w:tcPr>
            <w:tcW w:w="7523" w:type="dxa"/>
            <w:gridSpan w:val="5"/>
          </w:tcPr>
          <w:p w:rsidR="00B04AE3" w:rsidRDefault="00B04AE3">
            <w:pPr>
              <w:pStyle w:val="TableParagraph"/>
              <w:ind w:left="108"/>
              <w:jc w:val="left"/>
              <w:rPr>
                <w:sz w:val="21"/>
              </w:rPr>
            </w:pPr>
            <w:r>
              <w:rPr>
                <w:rFonts w:hint="eastAsia"/>
                <w:sz w:val="21"/>
              </w:rPr>
              <w:t>外观与性状：无色透明油状液体，无臭。</w:t>
            </w:r>
          </w:p>
          <w:p w:rsidR="00B04AE3" w:rsidRDefault="00B04AE3">
            <w:pPr>
              <w:pStyle w:val="TableParagraph"/>
              <w:tabs>
                <w:tab w:val="left" w:pos="2587"/>
                <w:tab w:val="left" w:pos="6535"/>
              </w:tabs>
              <w:spacing w:before="2"/>
              <w:ind w:left="108" w:right="-15"/>
              <w:jc w:val="left"/>
              <w:rPr>
                <w:sz w:val="21"/>
              </w:rPr>
            </w:pPr>
            <w:r>
              <w:rPr>
                <w:rFonts w:hint="eastAsia"/>
                <w:sz w:val="21"/>
              </w:rPr>
              <w:t>熔点</w:t>
            </w:r>
            <w:r>
              <w:rPr>
                <w:rFonts w:hint="eastAsia"/>
                <w:spacing w:val="-9"/>
                <w:sz w:val="21"/>
              </w:rPr>
              <w:t>：</w:t>
            </w:r>
            <w:r>
              <w:rPr>
                <w:rFonts w:ascii="Times New Roman" w:hAnsi="Times New Roman"/>
                <w:spacing w:val="-9"/>
                <w:sz w:val="21"/>
              </w:rPr>
              <w:t>10.5</w:t>
            </w:r>
            <w:r>
              <w:rPr>
                <w:rFonts w:hint="eastAsia"/>
                <w:spacing w:val="-9"/>
                <w:sz w:val="21"/>
              </w:rPr>
              <w:t>℃（</w:t>
            </w:r>
            <w:r>
              <w:rPr>
                <w:rFonts w:hint="eastAsia"/>
                <w:sz w:val="21"/>
              </w:rPr>
              <w:t>纯）</w:t>
            </w:r>
            <w:r>
              <w:rPr>
                <w:sz w:val="21"/>
              </w:rPr>
              <w:tab/>
            </w:r>
            <w:r>
              <w:rPr>
                <w:rFonts w:hint="eastAsia"/>
                <w:sz w:val="21"/>
              </w:rPr>
              <w:t>沸点</w:t>
            </w:r>
            <w:r>
              <w:rPr>
                <w:rFonts w:hint="eastAsia"/>
                <w:spacing w:val="-4"/>
                <w:sz w:val="21"/>
              </w:rPr>
              <w:t>：</w:t>
            </w:r>
            <w:r>
              <w:rPr>
                <w:rFonts w:ascii="Times New Roman" w:hAnsi="Times New Roman"/>
                <w:spacing w:val="-4"/>
                <w:sz w:val="21"/>
              </w:rPr>
              <w:t>330.0</w:t>
            </w:r>
            <w:r>
              <w:rPr>
                <w:rFonts w:hint="eastAsia"/>
                <w:spacing w:val="-4"/>
                <w:sz w:val="21"/>
              </w:rPr>
              <w:t>℃</w:t>
            </w:r>
            <w:r>
              <w:rPr>
                <w:spacing w:val="-3"/>
                <w:sz w:val="21"/>
              </w:rPr>
              <w:t xml:space="preserve"> </w:t>
            </w:r>
            <w:r>
              <w:rPr>
                <w:rFonts w:hint="eastAsia"/>
                <w:sz w:val="21"/>
              </w:rPr>
              <w:t>相对密度</w:t>
            </w:r>
            <w:r>
              <w:rPr>
                <w:rFonts w:hint="eastAsia"/>
                <w:spacing w:val="-15"/>
                <w:sz w:val="21"/>
              </w:rPr>
              <w:t>：</w:t>
            </w:r>
            <w:r>
              <w:rPr>
                <w:rFonts w:ascii="Times New Roman" w:hAnsi="Times New Roman"/>
                <w:spacing w:val="-15"/>
                <w:sz w:val="21"/>
              </w:rPr>
              <w:t>(</w:t>
            </w:r>
            <w:r>
              <w:rPr>
                <w:rFonts w:hint="eastAsia"/>
                <w:sz w:val="21"/>
              </w:rPr>
              <w:t>水</w:t>
            </w:r>
            <w:r>
              <w:rPr>
                <w:rFonts w:ascii="Times New Roman" w:hAnsi="Times New Roman"/>
                <w:spacing w:val="-4"/>
                <w:sz w:val="21"/>
              </w:rPr>
              <w:t>=1)</w:t>
            </w:r>
            <w:r>
              <w:rPr>
                <w:rFonts w:hint="eastAsia"/>
                <w:spacing w:val="-4"/>
                <w:sz w:val="21"/>
              </w:rPr>
              <w:t>：</w:t>
            </w:r>
            <w:r>
              <w:rPr>
                <w:rFonts w:ascii="Times New Roman" w:hAnsi="Times New Roman"/>
                <w:spacing w:val="-4"/>
                <w:sz w:val="21"/>
              </w:rPr>
              <w:t>1.83</w:t>
            </w:r>
            <w:r>
              <w:rPr>
                <w:rFonts w:ascii="Times New Roman" w:hAnsi="Times New Roman"/>
                <w:spacing w:val="-4"/>
                <w:sz w:val="21"/>
              </w:rPr>
              <w:tab/>
            </w:r>
            <w:r>
              <w:rPr>
                <w:rFonts w:ascii="Times New Roman" w:hAnsi="Times New Roman"/>
                <w:sz w:val="21"/>
              </w:rPr>
              <w:t>(</w:t>
            </w:r>
            <w:r>
              <w:rPr>
                <w:rFonts w:hint="eastAsia"/>
                <w:sz w:val="21"/>
              </w:rPr>
              <w:t>空气</w:t>
            </w:r>
            <w:r>
              <w:rPr>
                <w:rFonts w:ascii="Times New Roman" w:hAnsi="Times New Roman"/>
                <w:sz w:val="21"/>
              </w:rPr>
              <w:t>=1)</w:t>
            </w:r>
            <w:r>
              <w:rPr>
                <w:rFonts w:hint="eastAsia"/>
                <w:sz w:val="21"/>
              </w:rPr>
              <w:t>：</w:t>
            </w:r>
            <w:r>
              <w:rPr>
                <w:rFonts w:ascii="Times New Roman" w:hAnsi="Times New Roman"/>
                <w:sz w:val="21"/>
              </w:rPr>
              <w:t xml:space="preserve">3.4 </w:t>
            </w:r>
            <w:r>
              <w:rPr>
                <w:rFonts w:hint="eastAsia"/>
                <w:sz w:val="21"/>
              </w:rPr>
              <w:t>饱和蒸气压</w:t>
            </w:r>
            <w:r>
              <w:rPr>
                <w:rFonts w:ascii="Times New Roman" w:hAnsi="Times New Roman"/>
                <w:sz w:val="21"/>
              </w:rPr>
              <w:t>(kPa)</w:t>
            </w:r>
            <w:r>
              <w:rPr>
                <w:rFonts w:hint="eastAsia"/>
                <w:sz w:val="21"/>
              </w:rPr>
              <w:t>：</w:t>
            </w:r>
            <w:r>
              <w:rPr>
                <w:rFonts w:ascii="Times New Roman" w:hAnsi="Times New Roman"/>
                <w:sz w:val="21"/>
              </w:rPr>
              <w:t>0.13/145.8</w:t>
            </w:r>
            <w:r>
              <w:rPr>
                <w:rFonts w:hint="eastAsia"/>
                <w:sz w:val="21"/>
              </w:rPr>
              <w:t>℃</w:t>
            </w:r>
            <w:r>
              <w:rPr>
                <w:sz w:val="21"/>
              </w:rPr>
              <w:t xml:space="preserve"> </w:t>
            </w:r>
            <w:r>
              <w:rPr>
                <w:rFonts w:hint="eastAsia"/>
                <w:sz w:val="21"/>
              </w:rPr>
              <w:t>溶解性：与水混溶。</w:t>
            </w:r>
          </w:p>
        </w:tc>
      </w:tr>
      <w:tr w:rsidR="00B04AE3">
        <w:trPr>
          <w:trHeight w:val="2192"/>
        </w:trPr>
        <w:tc>
          <w:tcPr>
            <w:tcW w:w="1028" w:type="dxa"/>
            <w:shd w:val="clear" w:color="auto" w:fill="D9D9D9"/>
          </w:tcPr>
          <w:p w:rsidR="00B04AE3" w:rsidRDefault="00B04AE3">
            <w:pPr>
              <w:pStyle w:val="TableParagraph"/>
              <w:spacing w:before="137" w:line="242" w:lineRule="auto"/>
              <w:ind w:left="391" w:right="383"/>
              <w:jc w:val="both"/>
              <w:rPr>
                <w:b/>
                <w:sz w:val="21"/>
              </w:rPr>
            </w:pPr>
            <w:r>
              <w:rPr>
                <w:rFonts w:hint="eastAsia"/>
                <w:b/>
                <w:sz w:val="21"/>
              </w:rPr>
              <w:t>燃烧爆炸危险性</w:t>
            </w:r>
          </w:p>
        </w:tc>
        <w:tc>
          <w:tcPr>
            <w:tcW w:w="7523" w:type="dxa"/>
            <w:gridSpan w:val="5"/>
          </w:tcPr>
          <w:p w:rsidR="00B04AE3" w:rsidRDefault="00B04AE3">
            <w:pPr>
              <w:pStyle w:val="TableParagraph"/>
              <w:spacing w:before="2" w:line="242" w:lineRule="auto"/>
              <w:ind w:left="108" w:right="96"/>
              <w:jc w:val="both"/>
              <w:rPr>
                <w:sz w:val="21"/>
              </w:rPr>
            </w:pPr>
            <w:r>
              <w:rPr>
                <w:rFonts w:hint="eastAsia"/>
                <w:sz w:val="21"/>
              </w:rPr>
              <w:t>燃烧性：不燃</w:t>
            </w:r>
            <w:r>
              <w:rPr>
                <w:sz w:val="21"/>
              </w:rPr>
              <w:tab/>
            </w:r>
            <w:r>
              <w:rPr>
                <w:rFonts w:hint="eastAsia"/>
                <w:sz w:val="21"/>
              </w:rPr>
              <w:t>建规火险等级：</w:t>
            </w:r>
          </w:p>
          <w:p w:rsidR="00B04AE3" w:rsidRDefault="00B04AE3">
            <w:pPr>
              <w:pStyle w:val="TableParagraph"/>
              <w:spacing w:before="2" w:line="242" w:lineRule="auto"/>
              <w:ind w:left="108" w:right="96"/>
              <w:jc w:val="both"/>
              <w:rPr>
                <w:sz w:val="21"/>
              </w:rPr>
            </w:pPr>
            <w:r>
              <w:rPr>
                <w:rFonts w:hint="eastAsia"/>
                <w:sz w:val="21"/>
              </w:rPr>
              <w:t>闪点：无意义</w:t>
            </w:r>
            <w:r>
              <w:rPr>
                <w:sz w:val="21"/>
              </w:rPr>
              <w:tab/>
            </w:r>
            <w:r>
              <w:rPr>
                <w:rFonts w:hint="eastAsia"/>
                <w:sz w:val="21"/>
              </w:rPr>
              <w:t>爆炸性（</w:t>
            </w:r>
            <w:r>
              <w:rPr>
                <w:sz w:val="21"/>
              </w:rPr>
              <w:t>V%</w:t>
            </w:r>
            <w:r>
              <w:rPr>
                <w:rFonts w:hint="eastAsia"/>
                <w:sz w:val="21"/>
              </w:rPr>
              <w:t>）：无资料</w:t>
            </w:r>
            <w:r>
              <w:rPr>
                <w:sz w:val="21"/>
              </w:rPr>
              <w:tab/>
            </w:r>
            <w:r>
              <w:rPr>
                <w:rFonts w:hint="eastAsia"/>
                <w:sz w:val="21"/>
              </w:rPr>
              <w:t>自燃温度：无意义</w:t>
            </w:r>
          </w:p>
          <w:p w:rsidR="00B04AE3" w:rsidRDefault="00B04AE3">
            <w:pPr>
              <w:pStyle w:val="TableParagraph"/>
              <w:spacing w:before="2" w:line="242" w:lineRule="auto"/>
              <w:ind w:left="108" w:right="96"/>
              <w:jc w:val="both"/>
              <w:rPr>
                <w:sz w:val="21"/>
              </w:rPr>
            </w:pPr>
            <w:r>
              <w:rPr>
                <w:rFonts w:hint="eastAsia"/>
                <w:sz w:val="21"/>
              </w:rPr>
              <w:t>危险特性：能与一些活性金属粉末发生反应，放出氢气。遇氰化物能产生剧毒的</w:t>
            </w:r>
            <w:r>
              <w:rPr>
                <w:sz w:val="21"/>
              </w:rPr>
              <w:t xml:space="preserve">  </w:t>
            </w:r>
            <w:r>
              <w:rPr>
                <w:rFonts w:hint="eastAsia"/>
                <w:sz w:val="21"/>
              </w:rPr>
              <w:t>氰化氢气体。与碱发生中和反应，并放出大量的热。具有较强的腐蚀性。</w:t>
            </w:r>
          </w:p>
          <w:p w:rsidR="00B04AE3" w:rsidRDefault="00B04AE3">
            <w:pPr>
              <w:pStyle w:val="TableParagraph"/>
              <w:spacing w:before="2" w:line="242" w:lineRule="auto"/>
              <w:ind w:left="108" w:right="96"/>
              <w:jc w:val="both"/>
              <w:rPr>
                <w:sz w:val="21"/>
              </w:rPr>
            </w:pPr>
            <w:r>
              <w:rPr>
                <w:rFonts w:hint="eastAsia"/>
                <w:sz w:val="21"/>
              </w:rPr>
              <w:t>燃烧（分解）产物：氯化氢。</w:t>
            </w:r>
          </w:p>
          <w:p w:rsidR="00B04AE3" w:rsidRDefault="00B04AE3">
            <w:pPr>
              <w:pStyle w:val="TableParagraph"/>
              <w:spacing w:before="2" w:line="242" w:lineRule="auto"/>
              <w:ind w:left="108" w:right="96"/>
              <w:jc w:val="both"/>
              <w:rPr>
                <w:sz w:val="21"/>
              </w:rPr>
            </w:pPr>
            <w:r>
              <w:rPr>
                <w:rFonts w:hint="eastAsia"/>
                <w:sz w:val="21"/>
              </w:rPr>
              <w:t>稳定性：稳定</w:t>
            </w:r>
            <w:r>
              <w:rPr>
                <w:sz w:val="21"/>
              </w:rPr>
              <w:tab/>
            </w:r>
            <w:r>
              <w:rPr>
                <w:rFonts w:hint="eastAsia"/>
                <w:sz w:val="21"/>
              </w:rPr>
              <w:t>避免接触的条件：</w:t>
            </w:r>
          </w:p>
          <w:p w:rsidR="00B04AE3" w:rsidRDefault="00B04AE3">
            <w:pPr>
              <w:pStyle w:val="TableParagraph"/>
              <w:spacing w:before="2" w:line="242" w:lineRule="auto"/>
              <w:ind w:left="108" w:right="96"/>
              <w:jc w:val="both"/>
              <w:rPr>
                <w:sz w:val="21"/>
              </w:rPr>
            </w:pPr>
            <w:r>
              <w:rPr>
                <w:rFonts w:hint="eastAsia"/>
                <w:sz w:val="21"/>
              </w:rPr>
              <w:t>聚合危害：不能出现</w:t>
            </w:r>
            <w:r>
              <w:rPr>
                <w:sz w:val="21"/>
              </w:rPr>
              <w:t xml:space="preserve"> </w:t>
            </w:r>
            <w:r>
              <w:rPr>
                <w:rFonts w:hint="eastAsia"/>
                <w:sz w:val="21"/>
              </w:rPr>
              <w:t>禁忌物：碱类、胺类、碱金属、易燃或可燃物。灭火方法：雾状水、砂。</w:t>
            </w:r>
          </w:p>
        </w:tc>
      </w:tr>
      <w:tr w:rsidR="00B04AE3">
        <w:trPr>
          <w:trHeight w:val="1374"/>
        </w:trPr>
        <w:tc>
          <w:tcPr>
            <w:tcW w:w="1028" w:type="dxa"/>
            <w:shd w:val="clear" w:color="auto" w:fill="D9D9D9"/>
          </w:tcPr>
          <w:p w:rsidR="00B04AE3" w:rsidRDefault="00B04AE3">
            <w:pPr>
              <w:pStyle w:val="TableParagraph"/>
              <w:spacing w:line="242" w:lineRule="auto"/>
              <w:ind w:left="391" w:right="383"/>
              <w:jc w:val="both"/>
              <w:rPr>
                <w:b/>
                <w:sz w:val="21"/>
              </w:rPr>
            </w:pPr>
            <w:r>
              <w:rPr>
                <w:rFonts w:hint="eastAsia"/>
                <w:b/>
                <w:sz w:val="21"/>
              </w:rPr>
              <w:t>包装与</w:t>
            </w:r>
          </w:p>
          <w:p w:rsidR="00B04AE3" w:rsidRDefault="00B04AE3">
            <w:pPr>
              <w:pStyle w:val="TableParagraph"/>
              <w:spacing w:before="2" w:line="270" w:lineRule="atLeast"/>
              <w:ind w:left="391" w:right="383"/>
              <w:rPr>
                <w:b/>
                <w:sz w:val="21"/>
              </w:rPr>
            </w:pPr>
            <w:r>
              <w:rPr>
                <w:rFonts w:hint="eastAsia"/>
                <w:b/>
                <w:w w:val="95"/>
                <w:sz w:val="21"/>
              </w:rPr>
              <w:t>储运</w:t>
            </w:r>
          </w:p>
        </w:tc>
        <w:tc>
          <w:tcPr>
            <w:tcW w:w="7523" w:type="dxa"/>
            <w:gridSpan w:val="5"/>
          </w:tcPr>
          <w:p w:rsidR="00B04AE3" w:rsidRDefault="00B04AE3">
            <w:pPr>
              <w:pStyle w:val="TableParagraph"/>
              <w:spacing w:before="2" w:line="242" w:lineRule="auto"/>
              <w:ind w:left="108" w:right="96"/>
              <w:jc w:val="both"/>
              <w:rPr>
                <w:sz w:val="21"/>
              </w:rPr>
            </w:pPr>
            <w:r>
              <w:rPr>
                <w:rFonts w:hint="eastAsia"/>
                <w:sz w:val="21"/>
              </w:rPr>
              <w:t>危险性类别：第</w:t>
            </w:r>
            <w:r>
              <w:rPr>
                <w:sz w:val="21"/>
              </w:rPr>
              <w:t xml:space="preserve"> 8.1 </w:t>
            </w:r>
            <w:r>
              <w:rPr>
                <w:rFonts w:hint="eastAsia"/>
                <w:sz w:val="21"/>
              </w:rPr>
              <w:t>类酸性腐蚀品危险货物包装标志：</w:t>
            </w:r>
            <w:r>
              <w:rPr>
                <w:sz w:val="21"/>
              </w:rPr>
              <w:t xml:space="preserve"> 20</w:t>
            </w:r>
            <w:r>
              <w:rPr>
                <w:sz w:val="21"/>
              </w:rPr>
              <w:tab/>
            </w:r>
            <w:r>
              <w:rPr>
                <w:rFonts w:hint="eastAsia"/>
                <w:sz w:val="21"/>
              </w:rPr>
              <w:t>包装类别：Ⅱ</w:t>
            </w:r>
          </w:p>
          <w:p w:rsidR="00B04AE3" w:rsidRDefault="00B04AE3">
            <w:pPr>
              <w:pStyle w:val="TableParagraph"/>
              <w:spacing w:before="2" w:line="242" w:lineRule="auto"/>
              <w:ind w:left="108" w:right="96"/>
              <w:jc w:val="both"/>
              <w:rPr>
                <w:sz w:val="21"/>
              </w:rPr>
            </w:pPr>
            <w:r>
              <w:rPr>
                <w:rFonts w:hint="eastAsia"/>
                <w:sz w:val="21"/>
              </w:rPr>
              <w:t>储运注意事项：储存于阴凉、干燥、通风外。应与碱类、金属粉末、卤素（氟、氯、溴）、易燃、可燃物等分开存放。不可混储混运。搬运时轻装轻卸，防止包</w:t>
            </w:r>
            <w:r>
              <w:rPr>
                <w:sz w:val="21"/>
              </w:rPr>
              <w:t xml:space="preserve">  </w:t>
            </w:r>
            <w:r>
              <w:rPr>
                <w:rFonts w:hint="eastAsia"/>
                <w:sz w:val="21"/>
              </w:rPr>
              <w:t>装及容器损坏。分装和搬运作业要注意个人防护。运输按规定路线行驶。</w:t>
            </w:r>
          </w:p>
        </w:tc>
      </w:tr>
      <w:tr w:rsidR="00B04AE3">
        <w:trPr>
          <w:trHeight w:val="404"/>
        </w:trPr>
        <w:tc>
          <w:tcPr>
            <w:tcW w:w="1028" w:type="dxa"/>
            <w:shd w:val="clear" w:color="auto" w:fill="D9D9D9"/>
          </w:tcPr>
          <w:p w:rsidR="00B04AE3" w:rsidRDefault="00B04AE3">
            <w:pPr>
              <w:pStyle w:val="TableParagraph"/>
              <w:spacing w:before="63"/>
              <w:ind w:left="288"/>
              <w:jc w:val="left"/>
              <w:rPr>
                <w:b/>
                <w:sz w:val="21"/>
              </w:rPr>
            </w:pPr>
            <w:r>
              <w:rPr>
                <w:rFonts w:hint="eastAsia"/>
                <w:b/>
                <w:sz w:val="21"/>
              </w:rPr>
              <w:t>毒性</w:t>
            </w:r>
          </w:p>
        </w:tc>
        <w:tc>
          <w:tcPr>
            <w:tcW w:w="7523" w:type="dxa"/>
            <w:gridSpan w:val="5"/>
          </w:tcPr>
          <w:p w:rsidR="00B04AE3" w:rsidRDefault="00B04AE3">
            <w:pPr>
              <w:pStyle w:val="TableParagraph"/>
              <w:tabs>
                <w:tab w:val="left" w:pos="3326"/>
              </w:tabs>
              <w:spacing w:before="63"/>
              <w:ind w:left="108"/>
              <w:jc w:val="left"/>
              <w:rPr>
                <w:sz w:val="21"/>
              </w:rPr>
            </w:pPr>
            <w:r>
              <w:rPr>
                <w:rFonts w:hint="eastAsia"/>
                <w:sz w:val="21"/>
              </w:rPr>
              <w:t>接触限值：中国</w:t>
            </w:r>
            <w:r>
              <w:rPr>
                <w:spacing w:val="-55"/>
                <w:sz w:val="21"/>
              </w:rPr>
              <w:t xml:space="preserve"> </w:t>
            </w:r>
            <w:r>
              <w:rPr>
                <w:rFonts w:ascii="Times New Roman" w:eastAsia="Times New Roman"/>
                <w:sz w:val="21"/>
              </w:rPr>
              <w:t>MAC</w:t>
            </w:r>
            <w:r>
              <w:rPr>
                <w:rFonts w:hint="eastAsia"/>
                <w:sz w:val="21"/>
              </w:rPr>
              <w:t>：</w:t>
            </w:r>
            <w:r>
              <w:rPr>
                <w:rFonts w:ascii="Times New Roman" w:eastAsia="Times New Roman"/>
                <w:sz w:val="21"/>
              </w:rPr>
              <w:t>2mg/m</w:t>
            </w:r>
            <w:r>
              <w:rPr>
                <w:rFonts w:ascii="Times New Roman" w:eastAsia="Times New Roman"/>
                <w:position w:val="7"/>
                <w:sz w:val="13"/>
              </w:rPr>
              <w:t>3</w:t>
            </w:r>
            <w:r>
              <w:rPr>
                <w:rFonts w:ascii="Times New Roman" w:eastAsia="Times New Roman"/>
                <w:position w:val="7"/>
                <w:sz w:val="13"/>
              </w:rPr>
              <w:tab/>
            </w:r>
            <w:r>
              <w:rPr>
                <w:rFonts w:hint="eastAsia"/>
                <w:sz w:val="21"/>
              </w:rPr>
              <w:t>侵入途径：吸入、食入</w:t>
            </w:r>
          </w:p>
        </w:tc>
      </w:tr>
      <w:tr w:rsidR="00B04AE3">
        <w:trPr>
          <w:trHeight w:val="1636"/>
        </w:trPr>
        <w:tc>
          <w:tcPr>
            <w:tcW w:w="1028" w:type="dxa"/>
            <w:shd w:val="clear" w:color="auto" w:fill="D9D9D9"/>
          </w:tcPr>
          <w:p w:rsidR="00B04AE3" w:rsidRDefault="00B04AE3">
            <w:pPr>
              <w:pStyle w:val="TableParagraph"/>
              <w:spacing w:before="2" w:line="242" w:lineRule="auto"/>
              <w:ind w:left="288" w:right="275"/>
              <w:jc w:val="both"/>
              <w:rPr>
                <w:b/>
                <w:sz w:val="21"/>
              </w:rPr>
            </w:pPr>
            <w:r>
              <w:rPr>
                <w:rFonts w:hint="eastAsia"/>
                <w:b/>
                <w:sz w:val="21"/>
              </w:rPr>
              <w:t>及健康危害性</w:t>
            </w:r>
          </w:p>
        </w:tc>
        <w:tc>
          <w:tcPr>
            <w:tcW w:w="7523" w:type="dxa"/>
            <w:gridSpan w:val="5"/>
          </w:tcPr>
          <w:p w:rsidR="00B04AE3" w:rsidRDefault="00B04AE3">
            <w:pPr>
              <w:pStyle w:val="TableParagraph"/>
              <w:spacing w:before="2" w:line="242" w:lineRule="auto"/>
              <w:ind w:left="108" w:right="96"/>
              <w:jc w:val="both"/>
              <w:rPr>
                <w:sz w:val="21"/>
              </w:rPr>
            </w:pPr>
            <w:r>
              <w:rPr>
                <w:rFonts w:hint="eastAsia"/>
                <w:sz w:val="21"/>
              </w:rPr>
              <w:t>健康危害：属中等毒类。对皮肤、粘膜等组织有强烈的刺激和腐蚀作用。对眼睛可引起结膜炎、水肿、角膜混浊，以致失明；引起呼吸道刺激症状，重者发生呼吸困难和肺水肿；高浓度引起喉痉挛或声门水肿而死亡。口服后引起消化道烧伤</w:t>
            </w:r>
            <w:r>
              <w:rPr>
                <w:sz w:val="21"/>
              </w:rPr>
              <w:t xml:space="preserve">  </w:t>
            </w:r>
            <w:r>
              <w:rPr>
                <w:rFonts w:hint="eastAsia"/>
                <w:sz w:val="21"/>
              </w:rPr>
              <w:t>以至溃疡形成。严重者可能有胃穿孔、腹膜炎、喉痉挛和声门水肿、肾损害、休</w:t>
            </w:r>
            <w:r>
              <w:rPr>
                <w:rFonts w:hint="eastAsia"/>
                <w:spacing w:val="-8"/>
                <w:sz w:val="21"/>
              </w:rPr>
              <w:t>克等。</w:t>
            </w:r>
          </w:p>
          <w:p w:rsidR="00B04AE3" w:rsidRDefault="00B04AE3">
            <w:pPr>
              <w:pStyle w:val="TableParagraph"/>
              <w:spacing w:before="2" w:line="251" w:lineRule="exact"/>
              <w:ind w:left="108"/>
              <w:jc w:val="both"/>
              <w:rPr>
                <w:sz w:val="21"/>
              </w:rPr>
            </w:pPr>
            <w:r>
              <w:rPr>
                <w:rFonts w:hint="eastAsia"/>
                <w:sz w:val="21"/>
              </w:rPr>
              <w:t>慢性影响：有牙齿酸蚀症、慢性支气管炎、肺水肿和肝硬化。</w:t>
            </w:r>
          </w:p>
        </w:tc>
      </w:tr>
      <w:tr w:rsidR="00B04AE3">
        <w:trPr>
          <w:trHeight w:val="1637"/>
        </w:trPr>
        <w:tc>
          <w:tcPr>
            <w:tcW w:w="1028" w:type="dxa"/>
            <w:shd w:val="clear" w:color="auto" w:fill="D9D9D9"/>
          </w:tcPr>
          <w:p w:rsidR="00B04AE3" w:rsidRDefault="00B04AE3">
            <w:pPr>
              <w:pStyle w:val="TableParagraph"/>
              <w:jc w:val="left"/>
              <w:rPr>
                <w:b/>
                <w:sz w:val="20"/>
              </w:rPr>
            </w:pPr>
          </w:p>
          <w:p w:rsidR="00B04AE3" w:rsidRDefault="00B04AE3">
            <w:pPr>
              <w:pStyle w:val="TableParagraph"/>
              <w:spacing w:before="168" w:line="458" w:lineRule="auto"/>
              <w:ind w:left="391" w:right="383"/>
              <w:rPr>
                <w:b/>
                <w:sz w:val="21"/>
              </w:rPr>
            </w:pPr>
            <w:r>
              <w:rPr>
                <w:rFonts w:hint="eastAsia"/>
                <w:b/>
                <w:w w:val="95"/>
                <w:sz w:val="21"/>
              </w:rPr>
              <w:t>急救</w:t>
            </w:r>
          </w:p>
        </w:tc>
        <w:tc>
          <w:tcPr>
            <w:tcW w:w="7523" w:type="dxa"/>
            <w:gridSpan w:val="5"/>
          </w:tcPr>
          <w:p w:rsidR="00B04AE3" w:rsidRDefault="00B04AE3">
            <w:pPr>
              <w:pStyle w:val="TableParagraph"/>
              <w:spacing w:before="2" w:line="242" w:lineRule="auto"/>
              <w:ind w:left="108" w:right="43"/>
              <w:jc w:val="both"/>
              <w:rPr>
                <w:sz w:val="21"/>
              </w:rPr>
            </w:pPr>
            <w:r>
              <w:rPr>
                <w:rFonts w:hint="eastAsia"/>
                <w:spacing w:val="-5"/>
                <w:sz w:val="21"/>
              </w:rPr>
              <w:t>皮肤接触：立即用水冲洗至少</w:t>
            </w:r>
            <w:r>
              <w:rPr>
                <w:spacing w:val="-5"/>
                <w:sz w:val="21"/>
              </w:rPr>
              <w:t xml:space="preserve"> </w:t>
            </w:r>
            <w:r>
              <w:rPr>
                <w:rFonts w:ascii="Times New Roman" w:eastAsia="Times New Roman"/>
                <w:sz w:val="21"/>
              </w:rPr>
              <w:t xml:space="preserve">15 </w:t>
            </w:r>
            <w:r>
              <w:rPr>
                <w:rFonts w:hint="eastAsia"/>
                <w:spacing w:val="-10"/>
                <w:sz w:val="21"/>
              </w:rPr>
              <w:t>分钟。或用</w:t>
            </w:r>
            <w:r>
              <w:rPr>
                <w:spacing w:val="-10"/>
                <w:sz w:val="21"/>
              </w:rPr>
              <w:t xml:space="preserve"> </w:t>
            </w:r>
            <w:r>
              <w:rPr>
                <w:rFonts w:ascii="Times New Roman" w:eastAsia="Times New Roman"/>
                <w:sz w:val="21"/>
              </w:rPr>
              <w:t>2%</w:t>
            </w:r>
            <w:r>
              <w:rPr>
                <w:rFonts w:hint="eastAsia"/>
                <w:sz w:val="21"/>
              </w:rPr>
              <w:t>碳酸氢钠溶液冲洗。若有灼伤，</w:t>
            </w:r>
            <w:r>
              <w:rPr>
                <w:sz w:val="21"/>
              </w:rPr>
              <w:t xml:space="preserve"> </w:t>
            </w:r>
            <w:r>
              <w:rPr>
                <w:rFonts w:hint="eastAsia"/>
                <w:sz w:val="21"/>
              </w:rPr>
              <w:t>就医。</w:t>
            </w:r>
          </w:p>
          <w:p w:rsidR="00B04AE3" w:rsidRDefault="00B04AE3">
            <w:pPr>
              <w:pStyle w:val="TableParagraph"/>
              <w:spacing w:line="242" w:lineRule="auto"/>
              <w:ind w:left="108" w:right="45"/>
              <w:jc w:val="both"/>
              <w:rPr>
                <w:sz w:val="21"/>
              </w:rPr>
            </w:pPr>
            <w:r>
              <w:rPr>
                <w:rFonts w:hint="eastAsia"/>
                <w:spacing w:val="-3"/>
                <w:sz w:val="21"/>
              </w:rPr>
              <w:t>眼睛接触：立即提起眼睑，用流动清水冲洗</w:t>
            </w:r>
            <w:r>
              <w:rPr>
                <w:spacing w:val="-3"/>
                <w:sz w:val="21"/>
              </w:rPr>
              <w:t xml:space="preserve"> </w:t>
            </w:r>
            <w:r>
              <w:rPr>
                <w:rFonts w:ascii="Times New Roman" w:eastAsia="Times New Roman"/>
                <w:sz w:val="21"/>
              </w:rPr>
              <w:t xml:space="preserve">10 </w:t>
            </w:r>
            <w:r>
              <w:rPr>
                <w:rFonts w:hint="eastAsia"/>
                <w:spacing w:val="-12"/>
                <w:sz w:val="21"/>
              </w:rPr>
              <w:t>分钟或用</w:t>
            </w:r>
            <w:r>
              <w:rPr>
                <w:spacing w:val="-12"/>
                <w:sz w:val="21"/>
              </w:rPr>
              <w:t xml:space="preserve"> </w:t>
            </w:r>
            <w:r>
              <w:rPr>
                <w:rFonts w:ascii="Times New Roman" w:eastAsia="Times New Roman"/>
                <w:sz w:val="21"/>
              </w:rPr>
              <w:t>2%</w:t>
            </w:r>
            <w:r>
              <w:rPr>
                <w:rFonts w:hint="eastAsia"/>
                <w:sz w:val="21"/>
              </w:rPr>
              <w:t>碳酸氢钠溶液冲洗。</w:t>
            </w:r>
            <w:r>
              <w:rPr>
                <w:rFonts w:hint="eastAsia"/>
                <w:spacing w:val="-25"/>
                <w:sz w:val="21"/>
              </w:rPr>
              <w:t>吸入：迅速脱离现场至空气新鲜处。保持呼吸通畅。呼吸困难时给输氧。给予</w:t>
            </w:r>
            <w:r>
              <w:rPr>
                <w:spacing w:val="-25"/>
                <w:sz w:val="21"/>
              </w:rPr>
              <w:t xml:space="preserve"> </w:t>
            </w:r>
            <w:r>
              <w:rPr>
                <w:rFonts w:ascii="Times New Roman" w:eastAsia="Times New Roman"/>
                <w:sz w:val="21"/>
              </w:rPr>
              <w:t xml:space="preserve">2~4% </w:t>
            </w:r>
            <w:r>
              <w:rPr>
                <w:rFonts w:hint="eastAsia"/>
                <w:sz w:val="21"/>
              </w:rPr>
              <w:t>碳酸氢钠溶液雾化吸入。应医。</w:t>
            </w:r>
          </w:p>
          <w:p w:rsidR="00B04AE3" w:rsidRDefault="00B04AE3">
            <w:pPr>
              <w:pStyle w:val="TableParagraph"/>
              <w:spacing w:before="2" w:line="251" w:lineRule="exact"/>
              <w:ind w:left="108"/>
              <w:jc w:val="both"/>
              <w:rPr>
                <w:sz w:val="21"/>
              </w:rPr>
            </w:pPr>
            <w:r>
              <w:rPr>
                <w:rFonts w:hint="eastAsia"/>
                <w:sz w:val="21"/>
              </w:rPr>
              <w:t>食入：误服者立即漱口，饮牛奶或蛋清、植物油等口服，不可催吐，立即就医。</w:t>
            </w:r>
          </w:p>
        </w:tc>
      </w:tr>
      <w:tr w:rsidR="00B04AE3">
        <w:trPr>
          <w:trHeight w:val="1553"/>
        </w:trPr>
        <w:tc>
          <w:tcPr>
            <w:tcW w:w="1028" w:type="dxa"/>
            <w:shd w:val="clear" w:color="auto" w:fill="D9D9D9"/>
          </w:tcPr>
          <w:p w:rsidR="00B04AE3" w:rsidRDefault="00B04AE3">
            <w:pPr>
              <w:pStyle w:val="TableParagraph"/>
              <w:jc w:val="left"/>
              <w:rPr>
                <w:b/>
                <w:sz w:val="20"/>
              </w:rPr>
            </w:pPr>
          </w:p>
          <w:p w:rsidR="00B04AE3" w:rsidRDefault="00B04AE3">
            <w:pPr>
              <w:pStyle w:val="TableParagraph"/>
              <w:spacing w:before="153" w:line="242" w:lineRule="auto"/>
              <w:ind w:left="391" w:right="383"/>
              <w:jc w:val="both"/>
              <w:rPr>
                <w:b/>
                <w:sz w:val="21"/>
              </w:rPr>
            </w:pPr>
            <w:r>
              <w:rPr>
                <w:rFonts w:hint="eastAsia"/>
                <w:b/>
                <w:sz w:val="21"/>
              </w:rPr>
              <w:t>防护措施</w:t>
            </w:r>
          </w:p>
        </w:tc>
        <w:tc>
          <w:tcPr>
            <w:tcW w:w="7523" w:type="dxa"/>
            <w:gridSpan w:val="5"/>
          </w:tcPr>
          <w:p w:rsidR="00B04AE3" w:rsidRDefault="00B04AE3">
            <w:pPr>
              <w:pStyle w:val="TableParagraph"/>
              <w:spacing w:line="242" w:lineRule="auto"/>
              <w:ind w:left="108" w:right="45"/>
              <w:jc w:val="both"/>
              <w:rPr>
                <w:spacing w:val="-3"/>
                <w:sz w:val="21"/>
              </w:rPr>
            </w:pPr>
            <w:r>
              <w:rPr>
                <w:rFonts w:hint="eastAsia"/>
                <w:spacing w:val="-3"/>
                <w:sz w:val="21"/>
              </w:rPr>
              <w:t>工程控制：密闭操作，注意通风。尽可能机械化、自动化。</w:t>
            </w:r>
          </w:p>
          <w:p w:rsidR="00B04AE3" w:rsidRDefault="00B04AE3">
            <w:pPr>
              <w:pStyle w:val="TableParagraph"/>
              <w:spacing w:line="242" w:lineRule="auto"/>
              <w:ind w:left="108" w:right="45"/>
              <w:jc w:val="both"/>
              <w:rPr>
                <w:spacing w:val="-3"/>
                <w:sz w:val="21"/>
              </w:rPr>
            </w:pPr>
            <w:r>
              <w:rPr>
                <w:rFonts w:hint="eastAsia"/>
                <w:spacing w:val="-3"/>
                <w:sz w:val="21"/>
              </w:rPr>
              <w:t>呼吸系统防护：可能接触其蒸气时，应该佩带防毒面具或供气式头盔。紧急事态</w:t>
            </w:r>
            <w:r>
              <w:rPr>
                <w:spacing w:val="-3"/>
                <w:sz w:val="21"/>
              </w:rPr>
              <w:t xml:space="preserve">  </w:t>
            </w:r>
            <w:r>
              <w:rPr>
                <w:rFonts w:hint="eastAsia"/>
                <w:spacing w:val="-3"/>
                <w:sz w:val="21"/>
              </w:rPr>
              <w:t>抢救或逃生时，建议佩带自给式呼吸器。</w:t>
            </w:r>
            <w:r>
              <w:rPr>
                <w:spacing w:val="-3"/>
                <w:sz w:val="21"/>
              </w:rPr>
              <w:tab/>
            </w:r>
            <w:r>
              <w:rPr>
                <w:rFonts w:hint="eastAsia"/>
                <w:spacing w:val="-3"/>
                <w:sz w:val="21"/>
              </w:rPr>
              <w:t>眼睛防护：戴化学安全防护眼镜。</w:t>
            </w:r>
          </w:p>
          <w:p w:rsidR="00B04AE3" w:rsidRDefault="00B04AE3">
            <w:pPr>
              <w:pStyle w:val="TableParagraph"/>
              <w:spacing w:line="242" w:lineRule="auto"/>
              <w:ind w:left="108" w:right="45"/>
              <w:jc w:val="both"/>
              <w:rPr>
                <w:spacing w:val="-3"/>
                <w:sz w:val="21"/>
              </w:rPr>
            </w:pPr>
            <w:r>
              <w:rPr>
                <w:rFonts w:hint="eastAsia"/>
                <w:spacing w:val="-3"/>
                <w:sz w:val="21"/>
              </w:rPr>
              <w:t>防护服：穿工作服（防腐材料制作）。</w:t>
            </w:r>
            <w:r>
              <w:rPr>
                <w:spacing w:val="-3"/>
                <w:sz w:val="21"/>
              </w:rPr>
              <w:tab/>
            </w:r>
            <w:r>
              <w:rPr>
                <w:rFonts w:hint="eastAsia"/>
                <w:spacing w:val="-3"/>
                <w:sz w:val="21"/>
              </w:rPr>
              <w:t>手防护：戴橡皮手套。</w:t>
            </w:r>
          </w:p>
          <w:p w:rsidR="00B04AE3" w:rsidRDefault="00B04AE3">
            <w:pPr>
              <w:pStyle w:val="TableParagraph"/>
              <w:spacing w:line="242" w:lineRule="auto"/>
              <w:ind w:left="108" w:right="45"/>
              <w:jc w:val="both"/>
              <w:rPr>
                <w:spacing w:val="-3"/>
                <w:sz w:val="21"/>
              </w:rPr>
            </w:pPr>
            <w:r>
              <w:rPr>
                <w:rFonts w:hint="eastAsia"/>
                <w:spacing w:val="-3"/>
                <w:sz w:val="21"/>
              </w:rPr>
              <w:t>其它：工作后，沐浴更衣。单独存放被毒物污染的衣服，洗后再用。注意良好的</w:t>
            </w:r>
            <w:r>
              <w:rPr>
                <w:spacing w:val="-3"/>
                <w:sz w:val="21"/>
              </w:rPr>
              <w:t xml:space="preserve">  </w:t>
            </w:r>
            <w:r>
              <w:rPr>
                <w:rFonts w:hint="eastAsia"/>
                <w:spacing w:val="-3"/>
                <w:sz w:val="21"/>
              </w:rPr>
              <w:t>卫生习惯。</w:t>
            </w:r>
          </w:p>
        </w:tc>
      </w:tr>
      <w:tr w:rsidR="00B04AE3">
        <w:trPr>
          <w:trHeight w:val="1375"/>
        </w:trPr>
        <w:tc>
          <w:tcPr>
            <w:tcW w:w="1028" w:type="dxa"/>
            <w:shd w:val="clear" w:color="auto" w:fill="D9D9D9"/>
          </w:tcPr>
          <w:p w:rsidR="00B04AE3" w:rsidRDefault="00B04AE3">
            <w:pPr>
              <w:pStyle w:val="TableParagraph"/>
              <w:spacing w:before="134" w:line="242" w:lineRule="auto"/>
              <w:ind w:left="391" w:right="383"/>
              <w:jc w:val="both"/>
              <w:rPr>
                <w:b/>
                <w:sz w:val="21"/>
              </w:rPr>
            </w:pPr>
            <w:r>
              <w:rPr>
                <w:rFonts w:hint="eastAsia"/>
                <w:b/>
                <w:sz w:val="21"/>
              </w:rPr>
              <w:t>泄漏处置</w:t>
            </w:r>
          </w:p>
        </w:tc>
        <w:tc>
          <w:tcPr>
            <w:tcW w:w="7523" w:type="dxa"/>
            <w:gridSpan w:val="5"/>
          </w:tcPr>
          <w:p w:rsidR="00B04AE3" w:rsidRDefault="00B04AE3">
            <w:pPr>
              <w:pStyle w:val="TableParagraph"/>
              <w:spacing w:line="242" w:lineRule="auto"/>
              <w:ind w:left="108" w:right="45"/>
              <w:jc w:val="both"/>
              <w:rPr>
                <w:spacing w:val="-3"/>
                <w:sz w:val="21"/>
              </w:rPr>
            </w:pPr>
            <w:r>
              <w:rPr>
                <w:rFonts w:hint="eastAsia"/>
                <w:spacing w:val="-3"/>
                <w:sz w:val="21"/>
              </w:rPr>
              <w:t>疏散泄漏污染区人员至安全区，禁止无关人员进入污染区。建议应急处理人员戴好防毒面具，穿化学防防护服。不要直接接触泄漏物，禁止向泄漏物直接喷水，</w:t>
            </w:r>
            <w:r>
              <w:rPr>
                <w:spacing w:val="-3"/>
                <w:sz w:val="21"/>
              </w:rPr>
              <w:t xml:space="preserve">  </w:t>
            </w:r>
            <w:r>
              <w:rPr>
                <w:rFonts w:hint="eastAsia"/>
                <w:spacing w:val="-3"/>
                <w:sz w:val="21"/>
              </w:rPr>
              <w:t>更不要让水进入包装容器内。用沙土、干燥石灰或苏打灰混合，，然后收集运至废物处理场所处置。也可以用大量水冲洗，经稀释的洗水放入废水系统。如大量</w:t>
            </w:r>
          </w:p>
          <w:p w:rsidR="00B04AE3" w:rsidRDefault="00B04AE3">
            <w:pPr>
              <w:pStyle w:val="TableParagraph"/>
              <w:spacing w:line="242" w:lineRule="auto"/>
              <w:ind w:left="108" w:right="45"/>
              <w:jc w:val="both"/>
              <w:rPr>
                <w:spacing w:val="-3"/>
                <w:sz w:val="21"/>
              </w:rPr>
            </w:pPr>
            <w:r>
              <w:rPr>
                <w:rFonts w:hint="eastAsia"/>
                <w:spacing w:val="-3"/>
                <w:sz w:val="21"/>
              </w:rPr>
              <w:t>泄漏，利用围堤收容，然后收集、转移、回收或无害处理后废弃。</w:t>
            </w:r>
          </w:p>
        </w:tc>
      </w:tr>
    </w:tbl>
    <w:p w:rsidR="00B04AE3" w:rsidRDefault="00B04AE3">
      <w:pPr>
        <w:spacing w:before="123" w:after="2"/>
        <w:ind w:left="2744"/>
        <w:rPr>
          <w:b/>
          <w:sz w:val="24"/>
        </w:rPr>
      </w:pPr>
      <w:r>
        <w:rPr>
          <w:rFonts w:hint="eastAsia"/>
          <w:b/>
          <w:spacing w:val="-34"/>
          <w:sz w:val="24"/>
        </w:rPr>
        <w:t>表</w:t>
      </w:r>
      <w:r>
        <w:rPr>
          <w:b/>
          <w:spacing w:val="-34"/>
          <w:sz w:val="24"/>
        </w:rPr>
        <w:t xml:space="preserve"> </w:t>
      </w:r>
      <w:r>
        <w:rPr>
          <w:rFonts w:ascii="Times New Roman" w:eastAsia="Times New Roman"/>
          <w:b/>
          <w:sz w:val="24"/>
        </w:rPr>
        <w:t>3.1-</w:t>
      </w:r>
      <w:r>
        <w:rPr>
          <w:rFonts w:ascii="Times New Roman"/>
          <w:b/>
          <w:sz w:val="24"/>
          <w:lang w:val="en-US"/>
        </w:rPr>
        <w:t>5</w:t>
      </w:r>
      <w:r>
        <w:rPr>
          <w:rFonts w:ascii="Times New Roman" w:eastAsia="Times New Roman"/>
          <w:b/>
          <w:spacing w:val="51"/>
          <w:sz w:val="24"/>
        </w:rPr>
        <w:t xml:space="preserve"> </w:t>
      </w:r>
      <w:r>
        <w:rPr>
          <w:rFonts w:hint="eastAsia"/>
          <w:b/>
          <w:spacing w:val="-5"/>
          <w:sz w:val="24"/>
        </w:rPr>
        <w:t>天然气化性质及危险特性</w:t>
      </w:r>
    </w:p>
    <w:tbl>
      <w:tblPr>
        <w:tblW w:w="8566"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007"/>
        <w:gridCol w:w="1573"/>
        <w:gridCol w:w="1322"/>
        <w:gridCol w:w="1631"/>
        <w:gridCol w:w="1644"/>
        <w:gridCol w:w="1389"/>
      </w:tblGrid>
      <w:tr w:rsidR="00B04AE3">
        <w:trPr>
          <w:trHeight w:val="320"/>
        </w:trPr>
        <w:tc>
          <w:tcPr>
            <w:tcW w:w="1007" w:type="dxa"/>
            <w:shd w:val="clear" w:color="auto" w:fill="D9D9D9"/>
          </w:tcPr>
          <w:p w:rsidR="00B04AE3" w:rsidRDefault="00B04AE3">
            <w:pPr>
              <w:pStyle w:val="TableParagraph"/>
              <w:spacing w:before="45" w:line="255" w:lineRule="exact"/>
              <w:ind w:left="293"/>
              <w:jc w:val="left"/>
              <w:rPr>
                <w:b/>
                <w:sz w:val="21"/>
              </w:rPr>
            </w:pPr>
            <w:r>
              <w:rPr>
                <w:rFonts w:hint="eastAsia"/>
                <w:b/>
                <w:sz w:val="21"/>
              </w:rPr>
              <w:t>品名</w:t>
            </w:r>
          </w:p>
        </w:tc>
        <w:tc>
          <w:tcPr>
            <w:tcW w:w="1573" w:type="dxa"/>
          </w:tcPr>
          <w:p w:rsidR="00B04AE3" w:rsidRDefault="00B04AE3">
            <w:pPr>
              <w:pStyle w:val="TableParagraph"/>
              <w:spacing w:before="45" w:line="255" w:lineRule="exact"/>
              <w:ind w:left="450" w:right="441"/>
              <w:rPr>
                <w:sz w:val="21"/>
              </w:rPr>
            </w:pPr>
            <w:r>
              <w:rPr>
                <w:rFonts w:hint="eastAsia"/>
                <w:sz w:val="21"/>
              </w:rPr>
              <w:t>天然气</w:t>
            </w:r>
          </w:p>
        </w:tc>
        <w:tc>
          <w:tcPr>
            <w:tcW w:w="1322" w:type="dxa"/>
          </w:tcPr>
          <w:p w:rsidR="00B04AE3" w:rsidRDefault="00B04AE3">
            <w:pPr>
              <w:pStyle w:val="TableParagraph"/>
              <w:tabs>
                <w:tab w:val="left" w:pos="846"/>
              </w:tabs>
              <w:spacing w:before="45" w:line="255" w:lineRule="exact"/>
              <w:ind w:left="6"/>
              <w:rPr>
                <w:sz w:val="21"/>
              </w:rPr>
            </w:pPr>
            <w:r>
              <w:rPr>
                <w:rFonts w:hint="eastAsia"/>
                <w:sz w:val="21"/>
              </w:rPr>
              <w:t>别</w:t>
            </w:r>
            <w:r>
              <w:rPr>
                <w:sz w:val="21"/>
              </w:rPr>
              <w:tab/>
            </w:r>
            <w:r>
              <w:rPr>
                <w:rFonts w:hint="eastAsia"/>
                <w:sz w:val="21"/>
              </w:rPr>
              <w:t>名</w:t>
            </w:r>
          </w:p>
        </w:tc>
        <w:tc>
          <w:tcPr>
            <w:tcW w:w="1631" w:type="dxa"/>
          </w:tcPr>
          <w:p w:rsidR="00B04AE3" w:rsidRDefault="00B04AE3">
            <w:pPr>
              <w:pStyle w:val="TableParagraph"/>
              <w:spacing w:before="58" w:line="241" w:lineRule="exact"/>
              <w:ind w:left="108"/>
              <w:jc w:val="left"/>
              <w:rPr>
                <w:rFonts w:ascii="Times New Roman"/>
                <w:sz w:val="21"/>
              </w:rPr>
            </w:pPr>
            <w:r>
              <w:rPr>
                <w:rFonts w:ascii="Times New Roman"/>
                <w:sz w:val="21"/>
              </w:rPr>
              <w:t>--</w:t>
            </w:r>
          </w:p>
        </w:tc>
        <w:tc>
          <w:tcPr>
            <w:tcW w:w="1644" w:type="dxa"/>
          </w:tcPr>
          <w:p w:rsidR="00B04AE3" w:rsidRDefault="00B04AE3">
            <w:pPr>
              <w:pStyle w:val="TableParagraph"/>
              <w:spacing w:before="23"/>
              <w:ind w:left="107"/>
              <w:jc w:val="left"/>
              <w:rPr>
                <w:sz w:val="21"/>
              </w:rPr>
            </w:pPr>
            <w:r>
              <w:rPr>
                <w:rFonts w:hint="eastAsia"/>
                <w:sz w:val="21"/>
              </w:rPr>
              <w:t>危险化学品序号</w:t>
            </w:r>
          </w:p>
        </w:tc>
        <w:tc>
          <w:tcPr>
            <w:tcW w:w="1389" w:type="dxa"/>
          </w:tcPr>
          <w:p w:rsidR="00B04AE3" w:rsidRDefault="00B04AE3">
            <w:pPr>
              <w:pStyle w:val="TableParagraph"/>
              <w:spacing w:before="37"/>
              <w:ind w:right="452"/>
              <w:jc w:val="right"/>
              <w:rPr>
                <w:rFonts w:ascii="Times New Roman"/>
                <w:sz w:val="21"/>
              </w:rPr>
            </w:pPr>
            <w:r>
              <w:rPr>
                <w:rFonts w:ascii="Times New Roman"/>
                <w:sz w:val="21"/>
              </w:rPr>
              <w:t>2123</w:t>
            </w:r>
          </w:p>
        </w:tc>
      </w:tr>
      <w:tr w:rsidR="00B04AE3">
        <w:trPr>
          <w:trHeight w:val="640"/>
        </w:trPr>
        <w:tc>
          <w:tcPr>
            <w:tcW w:w="1007" w:type="dxa"/>
            <w:shd w:val="clear" w:color="auto" w:fill="D9D9D9"/>
          </w:tcPr>
          <w:p w:rsidR="00B04AE3" w:rsidRDefault="00B04AE3">
            <w:pPr>
              <w:pStyle w:val="TableParagraph"/>
              <w:spacing w:line="320" w:lineRule="exact"/>
              <w:ind w:left="293" w:right="281"/>
              <w:jc w:val="left"/>
              <w:rPr>
                <w:b/>
                <w:sz w:val="21"/>
              </w:rPr>
            </w:pPr>
            <w:r>
              <w:rPr>
                <w:rFonts w:hint="eastAsia"/>
                <w:b/>
                <w:sz w:val="21"/>
              </w:rPr>
              <w:t>英文名称</w:t>
            </w:r>
          </w:p>
        </w:tc>
        <w:tc>
          <w:tcPr>
            <w:tcW w:w="1573" w:type="dxa"/>
          </w:tcPr>
          <w:p w:rsidR="00B04AE3" w:rsidRDefault="00B04AE3">
            <w:pPr>
              <w:pStyle w:val="TableParagraph"/>
              <w:jc w:val="left"/>
              <w:rPr>
                <w:b/>
                <w:sz w:val="17"/>
              </w:rPr>
            </w:pPr>
          </w:p>
          <w:p w:rsidR="00B04AE3" w:rsidRDefault="00B04AE3">
            <w:pPr>
              <w:pStyle w:val="TableParagraph"/>
              <w:ind w:left="450" w:right="441"/>
              <w:rPr>
                <w:rFonts w:ascii="Times New Roman"/>
                <w:sz w:val="21"/>
              </w:rPr>
            </w:pPr>
            <w:r>
              <w:rPr>
                <w:rFonts w:ascii="Times New Roman"/>
                <w:sz w:val="21"/>
              </w:rPr>
              <w:t>--</w:t>
            </w:r>
          </w:p>
        </w:tc>
        <w:tc>
          <w:tcPr>
            <w:tcW w:w="1322" w:type="dxa"/>
          </w:tcPr>
          <w:p w:rsidR="00B04AE3" w:rsidRDefault="00B04AE3">
            <w:pPr>
              <w:pStyle w:val="TableParagraph"/>
              <w:spacing w:before="12"/>
              <w:jc w:val="left"/>
              <w:rPr>
                <w:b/>
                <w:sz w:val="15"/>
              </w:rPr>
            </w:pPr>
          </w:p>
          <w:p w:rsidR="00B04AE3" w:rsidRDefault="00B04AE3">
            <w:pPr>
              <w:pStyle w:val="TableParagraph"/>
              <w:tabs>
                <w:tab w:val="left" w:pos="426"/>
                <w:tab w:val="left" w:pos="846"/>
              </w:tabs>
              <w:ind w:left="6"/>
              <w:rPr>
                <w:sz w:val="21"/>
              </w:rPr>
            </w:pPr>
            <w:r>
              <w:rPr>
                <w:rFonts w:hint="eastAsia"/>
                <w:sz w:val="21"/>
              </w:rPr>
              <w:t>分</w:t>
            </w:r>
            <w:r>
              <w:rPr>
                <w:sz w:val="21"/>
              </w:rPr>
              <w:tab/>
            </w:r>
            <w:r>
              <w:rPr>
                <w:rFonts w:hint="eastAsia"/>
                <w:sz w:val="21"/>
              </w:rPr>
              <w:t>子</w:t>
            </w:r>
            <w:r>
              <w:rPr>
                <w:sz w:val="21"/>
              </w:rPr>
              <w:tab/>
            </w:r>
            <w:r>
              <w:rPr>
                <w:rFonts w:hint="eastAsia"/>
                <w:sz w:val="21"/>
              </w:rPr>
              <w:t>式</w:t>
            </w:r>
          </w:p>
        </w:tc>
        <w:tc>
          <w:tcPr>
            <w:tcW w:w="1631" w:type="dxa"/>
          </w:tcPr>
          <w:p w:rsidR="00B04AE3" w:rsidRDefault="00B04AE3">
            <w:pPr>
              <w:pStyle w:val="TableParagraph"/>
              <w:spacing w:line="320" w:lineRule="exact"/>
              <w:ind w:left="605" w:right="281" w:hanging="317"/>
              <w:jc w:val="left"/>
              <w:rPr>
                <w:sz w:val="21"/>
              </w:rPr>
            </w:pPr>
            <w:r>
              <w:rPr>
                <w:rFonts w:hint="eastAsia"/>
                <w:sz w:val="21"/>
              </w:rPr>
              <w:t>主要成份为甲烷</w:t>
            </w:r>
          </w:p>
        </w:tc>
        <w:tc>
          <w:tcPr>
            <w:tcW w:w="1644" w:type="dxa"/>
          </w:tcPr>
          <w:p w:rsidR="00B04AE3" w:rsidRDefault="00B04AE3">
            <w:pPr>
              <w:pStyle w:val="TableParagraph"/>
              <w:spacing w:before="12"/>
              <w:jc w:val="left"/>
              <w:rPr>
                <w:b/>
                <w:sz w:val="15"/>
              </w:rPr>
            </w:pPr>
          </w:p>
          <w:p w:rsidR="00B04AE3" w:rsidRDefault="00B04AE3">
            <w:pPr>
              <w:pStyle w:val="TableParagraph"/>
              <w:tabs>
                <w:tab w:val="left" w:pos="632"/>
                <w:tab w:val="left" w:pos="1158"/>
              </w:tabs>
              <w:ind w:left="107"/>
              <w:jc w:val="left"/>
              <w:rPr>
                <w:sz w:val="21"/>
              </w:rPr>
            </w:pPr>
            <w:r>
              <w:rPr>
                <w:rFonts w:hint="eastAsia"/>
                <w:sz w:val="21"/>
              </w:rPr>
              <w:t>分</w:t>
            </w:r>
            <w:r>
              <w:rPr>
                <w:sz w:val="21"/>
              </w:rPr>
              <w:tab/>
            </w:r>
            <w:r>
              <w:rPr>
                <w:rFonts w:hint="eastAsia"/>
                <w:sz w:val="21"/>
              </w:rPr>
              <w:t>子</w:t>
            </w:r>
            <w:r>
              <w:rPr>
                <w:sz w:val="21"/>
              </w:rPr>
              <w:tab/>
            </w:r>
            <w:r>
              <w:rPr>
                <w:rFonts w:hint="eastAsia"/>
                <w:sz w:val="21"/>
              </w:rPr>
              <w:t>量</w:t>
            </w:r>
          </w:p>
        </w:tc>
        <w:tc>
          <w:tcPr>
            <w:tcW w:w="1389" w:type="dxa"/>
          </w:tcPr>
          <w:p w:rsidR="00B04AE3" w:rsidRDefault="00B04AE3">
            <w:pPr>
              <w:pStyle w:val="TableParagraph"/>
              <w:jc w:val="left"/>
              <w:rPr>
                <w:b/>
                <w:sz w:val="17"/>
              </w:rPr>
            </w:pPr>
          </w:p>
          <w:p w:rsidR="00B04AE3" w:rsidRDefault="00B04AE3">
            <w:pPr>
              <w:pStyle w:val="TableParagraph"/>
              <w:ind w:right="524"/>
              <w:jc w:val="right"/>
              <w:rPr>
                <w:rFonts w:ascii="Times New Roman"/>
                <w:sz w:val="21"/>
              </w:rPr>
            </w:pPr>
            <w:r>
              <w:rPr>
                <w:rFonts w:ascii="Times New Roman"/>
                <w:sz w:val="21"/>
              </w:rPr>
              <w:t>16.04</w:t>
            </w:r>
          </w:p>
        </w:tc>
      </w:tr>
      <w:tr w:rsidR="00B04AE3">
        <w:trPr>
          <w:trHeight w:val="1327"/>
        </w:trPr>
        <w:tc>
          <w:tcPr>
            <w:tcW w:w="1007" w:type="dxa"/>
            <w:shd w:val="clear" w:color="auto" w:fill="D9D9D9"/>
          </w:tcPr>
          <w:p w:rsidR="00B04AE3" w:rsidRDefault="00B04AE3">
            <w:pPr>
              <w:pStyle w:val="TableParagraph"/>
              <w:spacing w:before="68" w:line="285" w:lineRule="auto"/>
              <w:ind w:left="398" w:right="387"/>
              <w:jc w:val="both"/>
              <w:rPr>
                <w:b/>
                <w:sz w:val="21"/>
              </w:rPr>
            </w:pPr>
            <w:r>
              <w:rPr>
                <w:rFonts w:hint="eastAsia"/>
                <w:b/>
                <w:sz w:val="21"/>
              </w:rPr>
              <w:t>理化性</w:t>
            </w:r>
          </w:p>
          <w:p w:rsidR="00B04AE3" w:rsidRDefault="00B04AE3">
            <w:pPr>
              <w:pStyle w:val="TableParagraph"/>
              <w:spacing w:line="269" w:lineRule="exact"/>
              <w:ind w:left="9"/>
              <w:rPr>
                <w:b/>
                <w:sz w:val="21"/>
              </w:rPr>
            </w:pPr>
            <w:r>
              <w:rPr>
                <w:rFonts w:hint="eastAsia"/>
                <w:b/>
                <w:w w:val="99"/>
                <w:sz w:val="21"/>
              </w:rPr>
              <w:t>质</w:t>
            </w:r>
          </w:p>
        </w:tc>
        <w:tc>
          <w:tcPr>
            <w:tcW w:w="7559" w:type="dxa"/>
            <w:gridSpan w:val="5"/>
          </w:tcPr>
          <w:p w:rsidR="00B04AE3" w:rsidRDefault="00B04AE3">
            <w:pPr>
              <w:pStyle w:val="TableParagraph"/>
              <w:spacing w:line="242" w:lineRule="auto"/>
              <w:ind w:left="108" w:right="45"/>
              <w:jc w:val="both"/>
              <w:rPr>
                <w:spacing w:val="-3"/>
                <w:sz w:val="21"/>
              </w:rPr>
            </w:pPr>
            <w:r>
              <w:rPr>
                <w:rFonts w:hint="eastAsia"/>
                <w:spacing w:val="-3"/>
                <w:sz w:val="21"/>
              </w:rPr>
              <w:t>外观与性状：无色无臭气体。沸点：</w:t>
            </w:r>
            <w:r>
              <w:rPr>
                <w:spacing w:val="-3"/>
                <w:sz w:val="21"/>
              </w:rPr>
              <w:t>-160</w:t>
            </w:r>
            <w:r>
              <w:rPr>
                <w:rFonts w:hint="eastAsia"/>
                <w:spacing w:val="-3"/>
                <w:sz w:val="21"/>
              </w:rPr>
              <w:t>℃</w:t>
            </w:r>
          </w:p>
          <w:p w:rsidR="00B04AE3" w:rsidRDefault="00B04AE3">
            <w:pPr>
              <w:pStyle w:val="TableParagraph"/>
              <w:spacing w:line="242" w:lineRule="auto"/>
              <w:ind w:left="108" w:right="45"/>
              <w:jc w:val="both"/>
              <w:rPr>
                <w:spacing w:val="-3"/>
                <w:sz w:val="21"/>
              </w:rPr>
            </w:pPr>
            <w:r>
              <w:rPr>
                <w:rFonts w:hint="eastAsia"/>
                <w:spacing w:val="-3"/>
                <w:sz w:val="21"/>
              </w:rPr>
              <w:t>相对密度（水</w:t>
            </w:r>
            <w:r>
              <w:rPr>
                <w:spacing w:val="-3"/>
                <w:sz w:val="21"/>
              </w:rPr>
              <w:t>=1</w:t>
            </w:r>
            <w:r>
              <w:rPr>
                <w:rFonts w:hint="eastAsia"/>
                <w:spacing w:val="-3"/>
                <w:sz w:val="21"/>
              </w:rPr>
              <w:t>）：</w:t>
            </w:r>
            <w:r>
              <w:rPr>
                <w:spacing w:val="-3"/>
                <w:sz w:val="21"/>
              </w:rPr>
              <w:t>0.45</w:t>
            </w:r>
            <w:r>
              <w:rPr>
                <w:rFonts w:hint="eastAsia"/>
                <w:spacing w:val="-3"/>
                <w:sz w:val="21"/>
              </w:rPr>
              <w:t>（液化）</w:t>
            </w:r>
            <w:r>
              <w:rPr>
                <w:spacing w:val="-3"/>
                <w:sz w:val="21"/>
              </w:rPr>
              <w:tab/>
            </w:r>
            <w:r>
              <w:rPr>
                <w:rFonts w:hint="eastAsia"/>
                <w:spacing w:val="-3"/>
                <w:sz w:val="21"/>
              </w:rPr>
              <w:t>相对密度（空气</w:t>
            </w:r>
            <w:r>
              <w:rPr>
                <w:spacing w:val="-3"/>
                <w:sz w:val="21"/>
              </w:rPr>
              <w:t>=1</w:t>
            </w:r>
            <w:r>
              <w:rPr>
                <w:rFonts w:hint="eastAsia"/>
                <w:spacing w:val="-3"/>
                <w:sz w:val="21"/>
              </w:rPr>
              <w:t>）：无资料</w:t>
            </w:r>
          </w:p>
          <w:p w:rsidR="00B04AE3" w:rsidRDefault="00B04AE3">
            <w:pPr>
              <w:pStyle w:val="TableParagraph"/>
              <w:spacing w:line="242" w:lineRule="auto"/>
              <w:ind w:left="108" w:right="45"/>
              <w:jc w:val="both"/>
              <w:rPr>
                <w:spacing w:val="-3"/>
                <w:sz w:val="21"/>
              </w:rPr>
            </w:pPr>
            <w:r>
              <w:rPr>
                <w:rFonts w:hint="eastAsia"/>
                <w:spacing w:val="-3"/>
                <w:sz w:val="21"/>
              </w:rPr>
              <w:t>溶解性：微溶于水。</w:t>
            </w:r>
          </w:p>
        </w:tc>
      </w:tr>
      <w:tr w:rsidR="00B04AE3">
        <w:trPr>
          <w:trHeight w:val="2510"/>
        </w:trPr>
        <w:tc>
          <w:tcPr>
            <w:tcW w:w="1007" w:type="dxa"/>
            <w:shd w:val="clear" w:color="auto" w:fill="D9D9D9"/>
          </w:tcPr>
          <w:p w:rsidR="00B04AE3" w:rsidRDefault="00B04AE3">
            <w:pPr>
              <w:pStyle w:val="TableParagraph"/>
              <w:spacing w:before="6"/>
              <w:jc w:val="left"/>
              <w:rPr>
                <w:b/>
                <w:sz w:val="28"/>
              </w:rPr>
            </w:pPr>
          </w:p>
          <w:p w:rsidR="00B04AE3" w:rsidRDefault="00B04AE3">
            <w:pPr>
              <w:pStyle w:val="TableParagraph"/>
              <w:spacing w:line="285" w:lineRule="auto"/>
              <w:ind w:left="398" w:right="387"/>
              <w:jc w:val="both"/>
              <w:rPr>
                <w:b/>
                <w:sz w:val="21"/>
              </w:rPr>
            </w:pPr>
            <w:r>
              <w:rPr>
                <w:rFonts w:hint="eastAsia"/>
                <w:b/>
                <w:sz w:val="21"/>
              </w:rPr>
              <w:t>燃烧爆炸危险性</w:t>
            </w:r>
          </w:p>
        </w:tc>
        <w:tc>
          <w:tcPr>
            <w:tcW w:w="7559" w:type="dxa"/>
            <w:gridSpan w:val="5"/>
          </w:tcPr>
          <w:p w:rsidR="00B04AE3" w:rsidRDefault="00B04AE3">
            <w:pPr>
              <w:pStyle w:val="TableParagraph"/>
              <w:spacing w:line="242" w:lineRule="auto"/>
              <w:ind w:left="108" w:right="45"/>
              <w:jc w:val="both"/>
              <w:rPr>
                <w:spacing w:val="-3"/>
                <w:sz w:val="21"/>
              </w:rPr>
            </w:pPr>
            <w:r>
              <w:rPr>
                <w:rFonts w:hint="eastAsia"/>
                <w:spacing w:val="-3"/>
                <w:sz w:val="21"/>
              </w:rPr>
              <w:t>燃烧性：易燃</w:t>
            </w:r>
            <w:r>
              <w:rPr>
                <w:spacing w:val="-3"/>
                <w:sz w:val="21"/>
              </w:rPr>
              <w:tab/>
            </w:r>
            <w:r>
              <w:rPr>
                <w:rFonts w:hint="eastAsia"/>
                <w:spacing w:val="-3"/>
                <w:sz w:val="21"/>
              </w:rPr>
              <w:t>建规火险等级：甲</w:t>
            </w:r>
          </w:p>
          <w:p w:rsidR="00B04AE3" w:rsidRDefault="00B04AE3">
            <w:pPr>
              <w:pStyle w:val="TableParagraph"/>
              <w:spacing w:line="242" w:lineRule="auto"/>
              <w:ind w:left="108" w:right="45"/>
              <w:jc w:val="both"/>
              <w:rPr>
                <w:spacing w:val="-3"/>
                <w:sz w:val="21"/>
              </w:rPr>
            </w:pPr>
            <w:r>
              <w:rPr>
                <w:rFonts w:hint="eastAsia"/>
                <w:spacing w:val="-3"/>
                <w:sz w:val="21"/>
              </w:rPr>
              <w:t>闪点：</w:t>
            </w:r>
            <w:r>
              <w:rPr>
                <w:spacing w:val="-3"/>
                <w:sz w:val="21"/>
              </w:rPr>
              <w:t xml:space="preserve"> &lt;-50</w:t>
            </w:r>
            <w:r>
              <w:rPr>
                <w:rFonts w:hint="eastAsia"/>
                <w:spacing w:val="-3"/>
                <w:sz w:val="21"/>
              </w:rPr>
              <w:t>℃；爆炸性（</w:t>
            </w:r>
            <w:r>
              <w:rPr>
                <w:spacing w:val="-3"/>
                <w:sz w:val="21"/>
              </w:rPr>
              <w:t>V%</w:t>
            </w:r>
            <w:r>
              <w:rPr>
                <w:rFonts w:hint="eastAsia"/>
                <w:spacing w:val="-3"/>
                <w:sz w:val="21"/>
              </w:rPr>
              <w:t>）：</w:t>
            </w:r>
            <w:r>
              <w:rPr>
                <w:spacing w:val="-3"/>
                <w:sz w:val="21"/>
              </w:rPr>
              <w:t>5.0</w:t>
            </w:r>
            <w:r>
              <w:rPr>
                <w:rFonts w:hint="eastAsia"/>
                <w:spacing w:val="-3"/>
                <w:sz w:val="21"/>
              </w:rPr>
              <w:t>－</w:t>
            </w:r>
            <w:r>
              <w:rPr>
                <w:spacing w:val="-3"/>
                <w:sz w:val="21"/>
              </w:rPr>
              <w:t>14.0</w:t>
            </w:r>
            <w:r>
              <w:rPr>
                <w:spacing w:val="-3"/>
                <w:sz w:val="21"/>
              </w:rPr>
              <w:tab/>
            </w:r>
            <w:r>
              <w:rPr>
                <w:rFonts w:hint="eastAsia"/>
                <w:spacing w:val="-3"/>
                <w:sz w:val="21"/>
              </w:rPr>
              <w:t>自燃温度：</w:t>
            </w:r>
            <w:r>
              <w:rPr>
                <w:spacing w:val="-3"/>
                <w:sz w:val="21"/>
              </w:rPr>
              <w:t>482</w:t>
            </w:r>
            <w:r>
              <w:rPr>
                <w:rFonts w:hint="eastAsia"/>
                <w:spacing w:val="-3"/>
                <w:sz w:val="21"/>
              </w:rPr>
              <w:t>～</w:t>
            </w:r>
            <w:r>
              <w:rPr>
                <w:spacing w:val="-3"/>
                <w:sz w:val="21"/>
              </w:rPr>
              <w:t>632</w:t>
            </w:r>
            <w:r>
              <w:rPr>
                <w:rFonts w:hint="eastAsia"/>
                <w:spacing w:val="-3"/>
                <w:sz w:val="21"/>
              </w:rPr>
              <w:t>℃</w:t>
            </w:r>
          </w:p>
          <w:p w:rsidR="00B04AE3" w:rsidRDefault="00B04AE3">
            <w:pPr>
              <w:pStyle w:val="TableParagraph"/>
              <w:spacing w:line="242" w:lineRule="auto"/>
              <w:ind w:left="108" w:right="45"/>
              <w:jc w:val="both"/>
              <w:rPr>
                <w:spacing w:val="-3"/>
                <w:sz w:val="21"/>
              </w:rPr>
            </w:pPr>
            <w:r>
              <w:rPr>
                <w:rFonts w:hint="eastAsia"/>
                <w:spacing w:val="-3"/>
                <w:sz w:val="21"/>
              </w:rPr>
              <w:t>危险特性：与空气混合能形成爆炸性混合物。遇热源和明火有燃烧爆炸的危险。</w:t>
            </w:r>
            <w:r>
              <w:rPr>
                <w:spacing w:val="-3"/>
                <w:sz w:val="21"/>
              </w:rPr>
              <w:t xml:space="preserve">  </w:t>
            </w:r>
            <w:r>
              <w:rPr>
                <w:rFonts w:hint="eastAsia"/>
                <w:spacing w:val="-3"/>
                <w:sz w:val="21"/>
              </w:rPr>
              <w:t>与氟、氯等接触会发生剧烈的化学反应。若遇高热，容器内压增大，有开裂和爆炸危险。</w:t>
            </w:r>
          </w:p>
          <w:p w:rsidR="00B04AE3" w:rsidRDefault="00B04AE3">
            <w:pPr>
              <w:pStyle w:val="TableParagraph"/>
              <w:spacing w:line="242" w:lineRule="auto"/>
              <w:ind w:left="108" w:right="45"/>
              <w:jc w:val="both"/>
              <w:rPr>
                <w:spacing w:val="-3"/>
                <w:sz w:val="21"/>
              </w:rPr>
            </w:pPr>
            <w:r>
              <w:rPr>
                <w:rFonts w:hint="eastAsia"/>
                <w:spacing w:val="-3"/>
                <w:sz w:val="21"/>
              </w:rPr>
              <w:t>燃烧（分解）产物：水、二氧化碳。</w:t>
            </w:r>
            <w:r>
              <w:rPr>
                <w:spacing w:val="-3"/>
                <w:sz w:val="21"/>
              </w:rPr>
              <w:tab/>
            </w:r>
            <w:r>
              <w:rPr>
                <w:rFonts w:hint="eastAsia"/>
                <w:spacing w:val="-3"/>
                <w:sz w:val="21"/>
              </w:rPr>
              <w:t>稳定性：稳定</w:t>
            </w:r>
            <w:r>
              <w:rPr>
                <w:spacing w:val="-3"/>
                <w:sz w:val="21"/>
              </w:rPr>
              <w:tab/>
            </w:r>
            <w:r>
              <w:rPr>
                <w:rFonts w:hint="eastAsia"/>
                <w:spacing w:val="-3"/>
                <w:sz w:val="21"/>
              </w:rPr>
              <w:t>避免接触的条件：</w:t>
            </w:r>
            <w:r>
              <w:rPr>
                <w:spacing w:val="-3"/>
                <w:sz w:val="21"/>
              </w:rPr>
              <w:t xml:space="preserve"> </w:t>
            </w:r>
            <w:r>
              <w:rPr>
                <w:rFonts w:hint="eastAsia"/>
                <w:spacing w:val="-3"/>
                <w:sz w:val="21"/>
              </w:rPr>
              <w:t>聚合危害：不能出现</w:t>
            </w:r>
            <w:r>
              <w:rPr>
                <w:spacing w:val="-3"/>
                <w:sz w:val="21"/>
              </w:rPr>
              <w:tab/>
            </w:r>
            <w:r>
              <w:rPr>
                <w:rFonts w:hint="eastAsia"/>
                <w:spacing w:val="-3"/>
                <w:sz w:val="21"/>
              </w:rPr>
              <w:t>禁忌物：强氧化剂、卤素。</w:t>
            </w:r>
          </w:p>
          <w:p w:rsidR="00B04AE3" w:rsidRDefault="00B04AE3">
            <w:pPr>
              <w:pStyle w:val="TableParagraph"/>
              <w:spacing w:line="242" w:lineRule="auto"/>
              <w:ind w:left="108" w:right="45"/>
              <w:jc w:val="both"/>
              <w:rPr>
                <w:spacing w:val="-3"/>
                <w:sz w:val="21"/>
              </w:rPr>
            </w:pPr>
            <w:r>
              <w:rPr>
                <w:rFonts w:hint="eastAsia"/>
                <w:spacing w:val="-3"/>
                <w:sz w:val="21"/>
              </w:rPr>
              <w:t>灭火方法：切断气源。若不能立即切断气源，则不允许熄灭正在燃烧的气体。喷</w:t>
            </w:r>
          </w:p>
          <w:p w:rsidR="00B04AE3" w:rsidRDefault="00B04AE3">
            <w:pPr>
              <w:pStyle w:val="TableParagraph"/>
              <w:spacing w:line="242" w:lineRule="auto"/>
              <w:ind w:left="108" w:right="45"/>
              <w:jc w:val="both"/>
              <w:rPr>
                <w:spacing w:val="-3"/>
                <w:sz w:val="21"/>
              </w:rPr>
            </w:pPr>
            <w:r>
              <w:rPr>
                <w:rFonts w:hint="eastAsia"/>
                <w:spacing w:val="-3"/>
                <w:sz w:val="21"/>
              </w:rPr>
              <w:t>水冷却容器，可能的话将容器从火场移至空旷处。雾状水、二氧化碳。</w:t>
            </w:r>
          </w:p>
        </w:tc>
      </w:tr>
      <w:tr w:rsidR="00B04AE3">
        <w:trPr>
          <w:trHeight w:val="1597"/>
        </w:trPr>
        <w:tc>
          <w:tcPr>
            <w:tcW w:w="1007" w:type="dxa"/>
            <w:vMerge w:val="restart"/>
            <w:shd w:val="clear" w:color="auto" w:fill="D9D9D9"/>
          </w:tcPr>
          <w:p w:rsidR="00B04AE3" w:rsidRDefault="00B04AE3">
            <w:pPr>
              <w:pStyle w:val="TableParagraph"/>
              <w:spacing w:before="46" w:line="285" w:lineRule="auto"/>
              <w:ind w:left="398" w:right="387"/>
              <w:jc w:val="both"/>
              <w:rPr>
                <w:b/>
                <w:sz w:val="21"/>
              </w:rPr>
            </w:pPr>
            <w:r>
              <w:rPr>
                <w:rFonts w:hint="eastAsia"/>
                <w:b/>
                <w:sz w:val="21"/>
              </w:rPr>
              <w:t>包装与储</w:t>
            </w:r>
          </w:p>
          <w:p w:rsidR="00B04AE3" w:rsidRDefault="00B04AE3">
            <w:pPr>
              <w:pStyle w:val="TableParagraph"/>
              <w:spacing w:line="251" w:lineRule="exact"/>
              <w:ind w:left="9"/>
              <w:rPr>
                <w:b/>
                <w:sz w:val="21"/>
              </w:rPr>
            </w:pPr>
            <w:r>
              <w:rPr>
                <w:rFonts w:hint="eastAsia"/>
                <w:b/>
                <w:w w:val="99"/>
                <w:sz w:val="21"/>
              </w:rPr>
              <w:t>运</w:t>
            </w:r>
          </w:p>
        </w:tc>
        <w:tc>
          <w:tcPr>
            <w:tcW w:w="7559" w:type="dxa"/>
            <w:gridSpan w:val="5"/>
          </w:tcPr>
          <w:p w:rsidR="00B04AE3" w:rsidRDefault="00B04AE3">
            <w:pPr>
              <w:pStyle w:val="TableParagraph"/>
              <w:spacing w:line="242" w:lineRule="auto"/>
              <w:ind w:left="108" w:right="45"/>
              <w:jc w:val="both"/>
              <w:rPr>
                <w:spacing w:val="-3"/>
                <w:sz w:val="21"/>
              </w:rPr>
            </w:pPr>
            <w:r>
              <w:rPr>
                <w:rFonts w:hint="eastAsia"/>
                <w:spacing w:val="-3"/>
                <w:sz w:val="21"/>
              </w:rPr>
              <w:t>危险性类别：第</w:t>
            </w:r>
            <w:r>
              <w:rPr>
                <w:spacing w:val="-3"/>
                <w:sz w:val="21"/>
              </w:rPr>
              <w:t xml:space="preserve"> 2.1 </w:t>
            </w:r>
            <w:r>
              <w:rPr>
                <w:rFonts w:hint="eastAsia"/>
                <w:spacing w:val="-3"/>
                <w:sz w:val="21"/>
              </w:rPr>
              <w:t>类</w:t>
            </w:r>
            <w:r>
              <w:rPr>
                <w:spacing w:val="-3"/>
                <w:sz w:val="21"/>
                <w:lang w:val="en-US"/>
              </w:rPr>
              <w:t xml:space="preserve">  </w:t>
            </w:r>
            <w:r>
              <w:rPr>
                <w:rFonts w:hint="eastAsia"/>
                <w:spacing w:val="-3"/>
                <w:sz w:val="21"/>
              </w:rPr>
              <w:t>易燃气体危险货物包装标志：</w:t>
            </w:r>
            <w:r>
              <w:rPr>
                <w:spacing w:val="-3"/>
                <w:sz w:val="21"/>
              </w:rPr>
              <w:t>4</w:t>
            </w:r>
            <w:r>
              <w:rPr>
                <w:spacing w:val="-3"/>
                <w:sz w:val="21"/>
              </w:rPr>
              <w:tab/>
            </w:r>
            <w:r>
              <w:rPr>
                <w:rFonts w:hint="eastAsia"/>
                <w:spacing w:val="-3"/>
                <w:sz w:val="21"/>
              </w:rPr>
              <w:t>包装类别：</w:t>
            </w:r>
          </w:p>
          <w:p w:rsidR="00B04AE3" w:rsidRDefault="00B04AE3">
            <w:pPr>
              <w:pStyle w:val="TableParagraph"/>
              <w:spacing w:line="242" w:lineRule="auto"/>
              <w:ind w:left="108" w:right="45"/>
              <w:jc w:val="both"/>
              <w:rPr>
                <w:spacing w:val="-3"/>
                <w:sz w:val="21"/>
              </w:rPr>
            </w:pPr>
            <w:r>
              <w:rPr>
                <w:rFonts w:hint="eastAsia"/>
                <w:spacing w:val="-3"/>
                <w:sz w:val="21"/>
              </w:rPr>
              <w:t>储存于阴凉、干燥、通风良好的不燃仓间。仓内温度不宜超过</w:t>
            </w:r>
            <w:r>
              <w:rPr>
                <w:spacing w:val="-3"/>
                <w:sz w:val="21"/>
              </w:rPr>
              <w:t xml:space="preserve"> 30</w:t>
            </w:r>
            <w:r>
              <w:rPr>
                <w:rFonts w:hint="eastAsia"/>
                <w:spacing w:val="-3"/>
                <w:sz w:val="21"/>
              </w:rPr>
              <w:t>℃。远离火种、</w:t>
            </w:r>
          </w:p>
          <w:p w:rsidR="00B04AE3" w:rsidRDefault="00B04AE3">
            <w:pPr>
              <w:pStyle w:val="TableParagraph"/>
              <w:spacing w:line="242" w:lineRule="auto"/>
              <w:ind w:left="108" w:right="45"/>
              <w:jc w:val="both"/>
              <w:rPr>
                <w:spacing w:val="-3"/>
                <w:sz w:val="21"/>
              </w:rPr>
            </w:pPr>
            <w:r>
              <w:rPr>
                <w:rFonts w:hint="eastAsia"/>
                <w:spacing w:val="-3"/>
                <w:sz w:val="21"/>
              </w:rPr>
              <w:t>热源，防止阳光直射。应与氧气、压缩空气、卤素（氟、氯、溴）、氧化剂等分</w:t>
            </w:r>
            <w:r>
              <w:rPr>
                <w:spacing w:val="-3"/>
                <w:sz w:val="21"/>
              </w:rPr>
              <w:t xml:space="preserve">  </w:t>
            </w:r>
            <w:r>
              <w:rPr>
                <w:rFonts w:hint="eastAsia"/>
                <w:spacing w:val="-3"/>
                <w:sz w:val="21"/>
              </w:rPr>
              <w:t>开存放。储存间内的照明、通风等设施应采用防爆型，开关设在仓外。罐储时要</w:t>
            </w:r>
          </w:p>
        </w:tc>
      </w:tr>
      <w:tr w:rsidR="00B04AE3">
        <w:trPr>
          <w:trHeight w:val="644"/>
        </w:trPr>
        <w:tc>
          <w:tcPr>
            <w:tcW w:w="1007" w:type="dxa"/>
            <w:vMerge/>
            <w:shd w:val="clear" w:color="auto" w:fill="D9D9D9"/>
          </w:tcPr>
          <w:p w:rsidR="00B04AE3" w:rsidRDefault="00B04AE3">
            <w:pPr>
              <w:pStyle w:val="TableParagraph"/>
              <w:spacing w:line="242" w:lineRule="auto"/>
              <w:ind w:left="108" w:right="45"/>
              <w:jc w:val="both"/>
              <w:rPr>
                <w:spacing w:val="-3"/>
                <w:sz w:val="21"/>
              </w:rPr>
            </w:pPr>
          </w:p>
        </w:tc>
        <w:tc>
          <w:tcPr>
            <w:tcW w:w="7559" w:type="dxa"/>
            <w:gridSpan w:val="5"/>
          </w:tcPr>
          <w:p w:rsidR="00B04AE3" w:rsidRDefault="00B04AE3">
            <w:pPr>
              <w:pStyle w:val="TableParagraph"/>
              <w:spacing w:line="242" w:lineRule="auto"/>
              <w:ind w:left="108" w:right="45"/>
              <w:jc w:val="both"/>
              <w:rPr>
                <w:spacing w:val="-3"/>
                <w:sz w:val="21"/>
              </w:rPr>
            </w:pPr>
            <w:r>
              <w:rPr>
                <w:rFonts w:hint="eastAsia"/>
                <w:spacing w:val="-3"/>
                <w:sz w:val="21"/>
              </w:rPr>
              <w:t>有防火防爆技术措施。禁止使用易产生火花的机械设备和工具。不可超压超量运</w:t>
            </w:r>
          </w:p>
          <w:p w:rsidR="00B04AE3" w:rsidRDefault="00B04AE3">
            <w:pPr>
              <w:pStyle w:val="TableParagraph"/>
              <w:spacing w:line="242" w:lineRule="auto"/>
              <w:ind w:left="108" w:right="45"/>
              <w:jc w:val="both"/>
              <w:rPr>
                <w:spacing w:val="-3"/>
                <w:sz w:val="21"/>
              </w:rPr>
            </w:pPr>
            <w:r>
              <w:rPr>
                <w:rFonts w:hint="eastAsia"/>
                <w:spacing w:val="-3"/>
                <w:sz w:val="21"/>
              </w:rPr>
              <w:t>输。搬运时轻装轻卸，防止钢瓶及附件破损。</w:t>
            </w:r>
          </w:p>
        </w:tc>
      </w:tr>
      <w:tr w:rsidR="00B04AE3">
        <w:trPr>
          <w:trHeight w:val="883"/>
        </w:trPr>
        <w:tc>
          <w:tcPr>
            <w:tcW w:w="1007" w:type="dxa"/>
            <w:shd w:val="clear" w:color="auto" w:fill="D9D9D9"/>
          </w:tcPr>
          <w:p w:rsidR="00B04AE3" w:rsidRDefault="00B04AE3">
            <w:pPr>
              <w:pStyle w:val="TableParagraph"/>
              <w:spacing w:line="242" w:lineRule="auto"/>
              <w:ind w:left="108" w:right="45"/>
              <w:jc w:val="both"/>
              <w:rPr>
                <w:spacing w:val="-3"/>
                <w:sz w:val="21"/>
              </w:rPr>
            </w:pPr>
            <w:r>
              <w:rPr>
                <w:rFonts w:hint="eastAsia"/>
                <w:spacing w:val="-3"/>
                <w:sz w:val="21"/>
              </w:rPr>
              <w:t>毒性及</w:t>
            </w:r>
            <w:r>
              <w:rPr>
                <w:spacing w:val="-3"/>
                <w:sz w:val="21"/>
              </w:rPr>
              <w:t xml:space="preserve"> </w:t>
            </w:r>
            <w:r>
              <w:rPr>
                <w:rFonts w:hint="eastAsia"/>
                <w:spacing w:val="-3"/>
                <w:sz w:val="21"/>
              </w:rPr>
              <w:t>健康</w:t>
            </w:r>
          </w:p>
          <w:p w:rsidR="00B04AE3" w:rsidRDefault="00B04AE3">
            <w:pPr>
              <w:pStyle w:val="TableParagraph"/>
              <w:spacing w:line="242" w:lineRule="auto"/>
              <w:ind w:left="108" w:right="45"/>
              <w:jc w:val="both"/>
              <w:rPr>
                <w:spacing w:val="-3"/>
                <w:sz w:val="21"/>
              </w:rPr>
            </w:pPr>
            <w:r>
              <w:rPr>
                <w:rFonts w:hint="eastAsia"/>
                <w:spacing w:val="-3"/>
                <w:sz w:val="21"/>
              </w:rPr>
              <w:t>危害性</w:t>
            </w:r>
          </w:p>
        </w:tc>
        <w:tc>
          <w:tcPr>
            <w:tcW w:w="7559" w:type="dxa"/>
            <w:gridSpan w:val="5"/>
          </w:tcPr>
          <w:p w:rsidR="00B04AE3" w:rsidRDefault="00B04AE3">
            <w:pPr>
              <w:pStyle w:val="TableParagraph"/>
              <w:spacing w:line="242" w:lineRule="auto"/>
              <w:ind w:left="108" w:right="45"/>
              <w:jc w:val="both"/>
              <w:rPr>
                <w:spacing w:val="-3"/>
                <w:sz w:val="21"/>
              </w:rPr>
            </w:pPr>
            <w:r>
              <w:rPr>
                <w:rFonts w:hint="eastAsia"/>
                <w:spacing w:val="-3"/>
                <w:sz w:val="21"/>
              </w:rPr>
              <w:t>接触限值：中国</w:t>
            </w:r>
            <w:r>
              <w:rPr>
                <w:spacing w:val="-3"/>
                <w:sz w:val="21"/>
              </w:rPr>
              <w:t xml:space="preserve"> MAC</w:t>
            </w:r>
            <w:r>
              <w:rPr>
                <w:rFonts w:hint="eastAsia"/>
                <w:spacing w:val="-3"/>
                <w:sz w:val="21"/>
              </w:rPr>
              <w:t>：未制定标准。侵入途径：吸入</w:t>
            </w:r>
          </w:p>
          <w:p w:rsidR="00B04AE3" w:rsidRDefault="00B04AE3">
            <w:pPr>
              <w:pStyle w:val="TableParagraph"/>
              <w:spacing w:line="242" w:lineRule="auto"/>
              <w:ind w:left="108" w:right="45"/>
              <w:jc w:val="both"/>
              <w:rPr>
                <w:spacing w:val="-3"/>
                <w:sz w:val="21"/>
              </w:rPr>
            </w:pPr>
            <w:r>
              <w:rPr>
                <w:rFonts w:hint="eastAsia"/>
                <w:spacing w:val="-3"/>
                <w:sz w:val="21"/>
              </w:rPr>
              <w:t>健康危害：在很高的浓度时，由于正常氧分压的降低造成窒息；在很高的分压下，可出现麻醉作用。</w:t>
            </w:r>
          </w:p>
        </w:tc>
      </w:tr>
      <w:tr w:rsidR="00B04AE3">
        <w:trPr>
          <w:trHeight w:val="644"/>
        </w:trPr>
        <w:tc>
          <w:tcPr>
            <w:tcW w:w="1007" w:type="dxa"/>
            <w:shd w:val="clear" w:color="auto" w:fill="D9D9D9"/>
          </w:tcPr>
          <w:p w:rsidR="00B04AE3" w:rsidRDefault="00B04AE3">
            <w:pPr>
              <w:pStyle w:val="TableParagraph"/>
              <w:spacing w:line="242" w:lineRule="auto"/>
              <w:ind w:left="108" w:right="45"/>
              <w:jc w:val="both"/>
              <w:rPr>
                <w:spacing w:val="-3"/>
                <w:sz w:val="21"/>
              </w:rPr>
            </w:pPr>
            <w:r>
              <w:rPr>
                <w:rFonts w:hint="eastAsia"/>
                <w:spacing w:val="-3"/>
                <w:sz w:val="21"/>
              </w:rPr>
              <w:t>急救</w:t>
            </w:r>
          </w:p>
        </w:tc>
        <w:tc>
          <w:tcPr>
            <w:tcW w:w="7559" w:type="dxa"/>
            <w:gridSpan w:val="5"/>
          </w:tcPr>
          <w:p w:rsidR="00B04AE3" w:rsidRDefault="00B04AE3">
            <w:pPr>
              <w:pStyle w:val="TableParagraph"/>
              <w:spacing w:line="242" w:lineRule="auto"/>
              <w:ind w:left="108" w:right="45"/>
              <w:jc w:val="both"/>
              <w:rPr>
                <w:spacing w:val="-3"/>
                <w:sz w:val="21"/>
              </w:rPr>
            </w:pPr>
            <w:r>
              <w:rPr>
                <w:rFonts w:hint="eastAsia"/>
                <w:spacing w:val="-3"/>
                <w:sz w:val="21"/>
              </w:rPr>
              <w:t>吸入：迅速脱离现场至空气新鲜处。保持呼吸通畅。呼吸困难时给输氧。呼吸停</w:t>
            </w:r>
            <w:r>
              <w:rPr>
                <w:spacing w:val="-3"/>
                <w:sz w:val="21"/>
              </w:rPr>
              <w:t xml:space="preserve">  </w:t>
            </w:r>
            <w:r>
              <w:rPr>
                <w:rFonts w:hint="eastAsia"/>
                <w:spacing w:val="-3"/>
                <w:sz w:val="21"/>
              </w:rPr>
              <w:t>止时，立即进行人工呼吸。就医。</w:t>
            </w:r>
          </w:p>
        </w:tc>
      </w:tr>
      <w:tr w:rsidR="00B04AE3">
        <w:trPr>
          <w:trHeight w:val="1914"/>
        </w:trPr>
        <w:tc>
          <w:tcPr>
            <w:tcW w:w="1007" w:type="dxa"/>
            <w:shd w:val="clear" w:color="auto" w:fill="D9D9D9"/>
          </w:tcPr>
          <w:p w:rsidR="00B04AE3" w:rsidRDefault="00B04AE3">
            <w:pPr>
              <w:pStyle w:val="TableParagraph"/>
              <w:spacing w:line="242" w:lineRule="auto"/>
              <w:ind w:left="108" w:right="45"/>
              <w:jc w:val="both"/>
              <w:rPr>
                <w:spacing w:val="-3"/>
                <w:sz w:val="21"/>
              </w:rPr>
            </w:pPr>
          </w:p>
          <w:p w:rsidR="00B04AE3" w:rsidRDefault="00B04AE3">
            <w:pPr>
              <w:pStyle w:val="TableParagraph"/>
              <w:spacing w:line="242" w:lineRule="auto"/>
              <w:ind w:left="108" w:right="45"/>
              <w:jc w:val="both"/>
              <w:rPr>
                <w:spacing w:val="-3"/>
                <w:sz w:val="21"/>
              </w:rPr>
            </w:pPr>
            <w:r>
              <w:rPr>
                <w:rFonts w:hint="eastAsia"/>
                <w:spacing w:val="-3"/>
                <w:sz w:val="21"/>
              </w:rPr>
              <w:t>防护措施</w:t>
            </w:r>
          </w:p>
        </w:tc>
        <w:tc>
          <w:tcPr>
            <w:tcW w:w="7559" w:type="dxa"/>
            <w:gridSpan w:val="5"/>
          </w:tcPr>
          <w:p w:rsidR="00B04AE3" w:rsidRDefault="00B04AE3">
            <w:pPr>
              <w:pStyle w:val="TableParagraph"/>
              <w:spacing w:line="242" w:lineRule="auto"/>
              <w:ind w:left="108" w:right="45"/>
              <w:jc w:val="both"/>
              <w:rPr>
                <w:spacing w:val="-3"/>
                <w:sz w:val="21"/>
              </w:rPr>
            </w:pPr>
            <w:r>
              <w:rPr>
                <w:rFonts w:hint="eastAsia"/>
                <w:spacing w:val="-3"/>
                <w:sz w:val="21"/>
              </w:rPr>
              <w:t>工程控制：密闭操作，提供良好的自然通风条件。</w:t>
            </w:r>
          </w:p>
          <w:p w:rsidR="00B04AE3" w:rsidRDefault="00B04AE3">
            <w:pPr>
              <w:pStyle w:val="TableParagraph"/>
              <w:spacing w:line="242" w:lineRule="auto"/>
              <w:ind w:left="108" w:right="45"/>
              <w:jc w:val="both"/>
              <w:rPr>
                <w:spacing w:val="-3"/>
                <w:sz w:val="21"/>
              </w:rPr>
            </w:pPr>
            <w:r>
              <w:rPr>
                <w:rFonts w:hint="eastAsia"/>
                <w:spacing w:val="-3"/>
                <w:sz w:val="21"/>
              </w:rPr>
              <w:t>呼吸系统防护：高浓度环境中，佩带供气式呼吸器或自给式呼吸器。</w:t>
            </w:r>
            <w:r>
              <w:rPr>
                <w:spacing w:val="-3"/>
                <w:sz w:val="21"/>
              </w:rPr>
              <w:t xml:space="preserve">  </w:t>
            </w:r>
            <w:r>
              <w:rPr>
                <w:rFonts w:hint="eastAsia"/>
                <w:spacing w:val="-3"/>
                <w:sz w:val="21"/>
              </w:rPr>
              <w:t>眼睛防护：一般不需特殊防护。</w:t>
            </w:r>
          </w:p>
          <w:p w:rsidR="00B04AE3" w:rsidRDefault="00B04AE3">
            <w:pPr>
              <w:pStyle w:val="TableParagraph"/>
              <w:spacing w:line="242" w:lineRule="auto"/>
              <w:ind w:left="108" w:right="45"/>
              <w:jc w:val="both"/>
              <w:rPr>
                <w:spacing w:val="-3"/>
                <w:sz w:val="21"/>
              </w:rPr>
            </w:pPr>
            <w:r>
              <w:rPr>
                <w:rFonts w:hint="eastAsia"/>
                <w:spacing w:val="-3"/>
                <w:sz w:val="21"/>
              </w:rPr>
              <w:t>防护服：穿工作服。</w:t>
            </w:r>
            <w:r>
              <w:rPr>
                <w:spacing w:val="-3"/>
                <w:sz w:val="21"/>
              </w:rPr>
              <w:tab/>
            </w:r>
            <w:r>
              <w:rPr>
                <w:rFonts w:hint="eastAsia"/>
                <w:spacing w:val="-3"/>
                <w:sz w:val="21"/>
              </w:rPr>
              <w:t>手防护：一般不需特殊防护。</w:t>
            </w:r>
          </w:p>
          <w:p w:rsidR="00B04AE3" w:rsidRDefault="00B04AE3">
            <w:pPr>
              <w:pStyle w:val="TableParagraph"/>
              <w:spacing w:line="242" w:lineRule="auto"/>
              <w:ind w:left="108" w:right="45"/>
              <w:jc w:val="both"/>
              <w:rPr>
                <w:spacing w:val="-3"/>
                <w:sz w:val="21"/>
              </w:rPr>
            </w:pPr>
            <w:r>
              <w:rPr>
                <w:rFonts w:hint="eastAsia"/>
                <w:spacing w:val="-3"/>
                <w:sz w:val="21"/>
              </w:rPr>
              <w:t>其它：工作现场禁止吸烟。避免高浓度吸入。进入罐或其它高浓度区作业，须有</w:t>
            </w:r>
            <w:r>
              <w:rPr>
                <w:spacing w:val="-3"/>
                <w:sz w:val="21"/>
              </w:rPr>
              <w:t xml:space="preserve">  </w:t>
            </w:r>
            <w:r>
              <w:rPr>
                <w:rFonts w:hint="eastAsia"/>
                <w:spacing w:val="-3"/>
                <w:sz w:val="21"/>
              </w:rPr>
              <w:t>人监护。</w:t>
            </w:r>
          </w:p>
        </w:tc>
      </w:tr>
      <w:tr w:rsidR="00B04AE3">
        <w:trPr>
          <w:trHeight w:val="1288"/>
        </w:trPr>
        <w:tc>
          <w:tcPr>
            <w:tcW w:w="1007" w:type="dxa"/>
            <w:shd w:val="clear" w:color="auto" w:fill="D9D9D9"/>
          </w:tcPr>
          <w:p w:rsidR="00B04AE3" w:rsidRDefault="00B04AE3">
            <w:pPr>
              <w:pStyle w:val="TableParagraph"/>
              <w:spacing w:line="242" w:lineRule="auto"/>
              <w:ind w:left="108" w:right="45"/>
              <w:jc w:val="both"/>
              <w:rPr>
                <w:spacing w:val="-3"/>
                <w:sz w:val="21"/>
              </w:rPr>
            </w:pPr>
            <w:r>
              <w:rPr>
                <w:rFonts w:hint="eastAsia"/>
                <w:spacing w:val="-3"/>
                <w:sz w:val="21"/>
              </w:rPr>
              <w:t>泄漏处</w:t>
            </w:r>
          </w:p>
          <w:p w:rsidR="00B04AE3" w:rsidRDefault="00B04AE3">
            <w:pPr>
              <w:pStyle w:val="TableParagraph"/>
              <w:spacing w:line="242" w:lineRule="auto"/>
              <w:ind w:left="108" w:right="45"/>
              <w:jc w:val="both"/>
              <w:rPr>
                <w:spacing w:val="-3"/>
                <w:sz w:val="21"/>
              </w:rPr>
            </w:pPr>
            <w:r>
              <w:rPr>
                <w:rFonts w:hint="eastAsia"/>
                <w:spacing w:val="-3"/>
                <w:sz w:val="21"/>
              </w:rPr>
              <w:t>置</w:t>
            </w:r>
          </w:p>
        </w:tc>
        <w:tc>
          <w:tcPr>
            <w:tcW w:w="7559" w:type="dxa"/>
            <w:gridSpan w:val="5"/>
          </w:tcPr>
          <w:p w:rsidR="00B04AE3" w:rsidRDefault="00B04AE3">
            <w:pPr>
              <w:pStyle w:val="TableParagraph"/>
              <w:spacing w:line="242" w:lineRule="auto"/>
              <w:ind w:left="108" w:right="45"/>
              <w:jc w:val="both"/>
              <w:rPr>
                <w:spacing w:val="-3"/>
                <w:sz w:val="21"/>
              </w:rPr>
            </w:pPr>
            <w:r>
              <w:rPr>
                <w:rFonts w:hint="eastAsia"/>
                <w:spacing w:val="-3"/>
                <w:sz w:val="21"/>
              </w:rPr>
              <w:t>迅速撤离泄漏污染区人员至上风外，并隔离直至气体散尽，切断火源。建议应急处理人员戴自给式呼吸器，穿一般消防防护服。切断气源。抽排（室内）或强力通风（室外）。如有可能，将漏出气用排风机送至空旷地方或装设适当喷头烧掉。</w:t>
            </w:r>
          </w:p>
          <w:p w:rsidR="00B04AE3" w:rsidRDefault="00B04AE3">
            <w:pPr>
              <w:pStyle w:val="TableParagraph"/>
              <w:spacing w:line="242" w:lineRule="auto"/>
              <w:ind w:left="108" w:right="45"/>
              <w:jc w:val="both"/>
              <w:rPr>
                <w:spacing w:val="-3"/>
                <w:sz w:val="21"/>
              </w:rPr>
            </w:pPr>
            <w:r>
              <w:rPr>
                <w:rFonts w:hint="eastAsia"/>
                <w:spacing w:val="-3"/>
                <w:sz w:val="21"/>
              </w:rPr>
              <w:t>漏气容器不能再用，且要经过技术处理以清除可能剩下的气体。</w:t>
            </w:r>
          </w:p>
        </w:tc>
      </w:tr>
    </w:tbl>
    <w:p w:rsidR="00B04AE3" w:rsidRDefault="00B04AE3">
      <w:pPr>
        <w:spacing w:before="123" w:after="2"/>
        <w:ind w:left="2744"/>
        <w:rPr>
          <w:b/>
          <w:sz w:val="24"/>
        </w:rPr>
      </w:pPr>
      <w:r>
        <w:rPr>
          <w:rFonts w:hint="eastAsia"/>
          <w:b/>
          <w:spacing w:val="-34"/>
          <w:sz w:val="24"/>
        </w:rPr>
        <w:t>表</w:t>
      </w:r>
      <w:r>
        <w:rPr>
          <w:b/>
          <w:spacing w:val="-34"/>
          <w:sz w:val="24"/>
        </w:rPr>
        <w:t xml:space="preserve"> </w:t>
      </w:r>
      <w:r>
        <w:rPr>
          <w:rFonts w:ascii="Times New Roman" w:eastAsia="Times New Roman"/>
          <w:b/>
          <w:sz w:val="24"/>
        </w:rPr>
        <w:t>3.1-</w:t>
      </w:r>
      <w:r>
        <w:rPr>
          <w:rFonts w:ascii="Times New Roman"/>
          <w:b/>
          <w:sz w:val="24"/>
          <w:lang w:val="en-US"/>
        </w:rPr>
        <w:t>6</w:t>
      </w:r>
      <w:r>
        <w:rPr>
          <w:rFonts w:ascii="Times New Roman" w:eastAsia="Times New Roman"/>
          <w:b/>
          <w:spacing w:val="51"/>
          <w:sz w:val="24"/>
        </w:rPr>
        <w:t xml:space="preserve"> </w:t>
      </w:r>
      <w:r>
        <w:rPr>
          <w:rFonts w:hint="eastAsia"/>
          <w:b/>
          <w:spacing w:val="-5"/>
          <w:sz w:val="24"/>
        </w:rPr>
        <w:t>氢氧化钠化性质及危险特性</w:t>
      </w:r>
    </w:p>
    <w:tbl>
      <w:tblPr>
        <w:tblW w:w="865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tblPr>
      <w:tblGrid>
        <w:gridCol w:w="447"/>
        <w:gridCol w:w="2325"/>
        <w:gridCol w:w="5885"/>
      </w:tblGrid>
      <w:tr w:rsidR="00B04AE3">
        <w:trPr>
          <w:trHeight w:val="369"/>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标</w:t>
            </w:r>
          </w:p>
          <w:p w:rsidR="00B04AE3" w:rsidRDefault="00B04AE3">
            <w:pPr>
              <w:widowControl/>
              <w:spacing w:before="100" w:beforeAutospacing="1" w:after="100" w:afterAutospacing="1" w:line="320" w:lineRule="exact"/>
              <w:rPr>
                <w:color w:val="000000"/>
                <w:sz w:val="21"/>
                <w:szCs w:val="21"/>
              </w:rPr>
            </w:pPr>
            <w:r>
              <w:rPr>
                <w:color w:val="000000"/>
                <w:sz w:val="21"/>
                <w:szCs w:val="21"/>
              </w:rPr>
              <w:t> </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识</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中文名：</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氢氧化钠；烧碱；火碱；苛性钠</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英文名：</w:t>
            </w:r>
          </w:p>
        </w:tc>
        <w:tc>
          <w:tcPr>
            <w:tcW w:w="5885" w:type="dxa"/>
            <w:vAlign w:val="center"/>
          </w:tcPr>
          <w:p w:rsidR="00B04AE3" w:rsidRDefault="00B04AE3">
            <w:pPr>
              <w:widowControl/>
              <w:spacing w:line="320" w:lineRule="exact"/>
              <w:rPr>
                <w:color w:val="000000"/>
                <w:sz w:val="21"/>
                <w:szCs w:val="21"/>
              </w:rPr>
            </w:pPr>
            <w:r>
              <w:rPr>
                <w:color w:val="000000"/>
                <w:sz w:val="21"/>
                <w:szCs w:val="21"/>
              </w:rPr>
              <w:t>Sodiun hydroxide</w:t>
            </w:r>
            <w:r>
              <w:rPr>
                <w:rFonts w:hint="eastAsia"/>
                <w:color w:val="000000"/>
                <w:sz w:val="21"/>
                <w:szCs w:val="21"/>
              </w:rPr>
              <w:t>；</w:t>
            </w:r>
            <w:r>
              <w:rPr>
                <w:color w:val="000000"/>
                <w:sz w:val="21"/>
                <w:szCs w:val="21"/>
              </w:rPr>
              <w:t xml:space="preserve">Caustic soda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分子式：</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NaOH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分子量：</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40.01  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color w:val="000000"/>
                <w:sz w:val="21"/>
                <w:szCs w:val="21"/>
              </w:rPr>
              <w:t>CAS</w:t>
            </w:r>
            <w:r>
              <w:rPr>
                <w:rFonts w:hint="eastAsia"/>
                <w:color w:val="000000"/>
                <w:sz w:val="21"/>
                <w:szCs w:val="21"/>
              </w:rPr>
              <w:t>号：</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1310-73-2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color w:val="000000"/>
                <w:sz w:val="21"/>
                <w:szCs w:val="21"/>
              </w:rPr>
              <w:t>RTECS</w:t>
            </w:r>
            <w:r>
              <w:rPr>
                <w:rFonts w:hint="eastAsia"/>
                <w:color w:val="000000"/>
                <w:sz w:val="21"/>
                <w:szCs w:val="21"/>
              </w:rPr>
              <w:t>号：</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WB4900000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color w:val="000000"/>
                <w:sz w:val="21"/>
                <w:szCs w:val="21"/>
              </w:rPr>
              <w:t>UN</w:t>
            </w:r>
            <w:r>
              <w:rPr>
                <w:rFonts w:hint="eastAsia"/>
                <w:color w:val="000000"/>
                <w:sz w:val="21"/>
                <w:szCs w:val="21"/>
              </w:rPr>
              <w:t>编号：</w:t>
            </w:r>
          </w:p>
        </w:tc>
        <w:tc>
          <w:tcPr>
            <w:tcW w:w="5885" w:type="dxa"/>
            <w:vAlign w:val="center"/>
          </w:tcPr>
          <w:p w:rsidR="00B04AE3" w:rsidRDefault="00B04AE3">
            <w:pPr>
              <w:widowControl/>
              <w:spacing w:line="320" w:lineRule="exact"/>
              <w:rPr>
                <w:color w:val="000000"/>
                <w:sz w:val="21"/>
                <w:szCs w:val="21"/>
              </w:rPr>
            </w:pPr>
            <w:r>
              <w:rPr>
                <w:color w:val="000000"/>
                <w:sz w:val="21"/>
                <w:szCs w:val="21"/>
              </w:rPr>
              <w:t>1823</w:t>
            </w:r>
            <w:r>
              <w:rPr>
                <w:rFonts w:hint="eastAsia"/>
                <w:color w:val="000000"/>
                <w:sz w:val="21"/>
                <w:szCs w:val="21"/>
              </w:rPr>
              <w:t>固体；</w:t>
            </w:r>
            <w:r>
              <w:rPr>
                <w:color w:val="000000"/>
                <w:sz w:val="21"/>
                <w:szCs w:val="21"/>
              </w:rPr>
              <w:t>1824</w:t>
            </w:r>
            <w:r>
              <w:rPr>
                <w:rFonts w:hint="eastAsia"/>
                <w:color w:val="000000"/>
                <w:sz w:val="21"/>
                <w:szCs w:val="21"/>
              </w:rPr>
              <w:t>溶液</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危险货物编号：</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82001  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color w:val="000000"/>
                <w:sz w:val="21"/>
                <w:szCs w:val="21"/>
              </w:rPr>
              <w:t>IMDG</w:t>
            </w:r>
            <w:r>
              <w:rPr>
                <w:rFonts w:hint="eastAsia"/>
                <w:color w:val="000000"/>
                <w:sz w:val="21"/>
                <w:szCs w:val="21"/>
              </w:rPr>
              <w:t>规则页码：</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8225   </w:t>
            </w:r>
          </w:p>
        </w:tc>
      </w:tr>
      <w:tr w:rsidR="00B04AE3">
        <w:trPr>
          <w:trHeight w:val="354"/>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理</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化</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性</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质</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外观与性状：</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白色不透明固体，易潮解。</w:t>
            </w:r>
            <w:r>
              <w:rPr>
                <w:color w:val="000000"/>
                <w:sz w:val="21"/>
                <w:szCs w:val="21"/>
              </w:rPr>
              <w:t xml:space="preserve">   </w:t>
            </w:r>
          </w:p>
        </w:tc>
      </w:tr>
      <w:tr w:rsidR="00B04AE3">
        <w:trPr>
          <w:trHeight w:val="673"/>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主要用途：</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用于肥皂工业、石油精炼、造纸、人造丝、染色、制革、医药、有机合成等。</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熔点：</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318.4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沸点：</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1390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相对密度</w:t>
            </w:r>
            <w:r>
              <w:rPr>
                <w:color w:val="000000"/>
                <w:sz w:val="21"/>
                <w:szCs w:val="21"/>
              </w:rPr>
              <w:t>(</w:t>
            </w:r>
            <w:r>
              <w:rPr>
                <w:rFonts w:hint="eastAsia"/>
                <w:color w:val="000000"/>
                <w:sz w:val="21"/>
                <w:szCs w:val="21"/>
              </w:rPr>
              <w:t>水</w:t>
            </w:r>
            <w:r>
              <w:rPr>
                <w:color w:val="000000"/>
                <w:sz w:val="21"/>
                <w:szCs w:val="21"/>
              </w:rPr>
              <w:t>=1)</w:t>
            </w:r>
            <w:r>
              <w:rPr>
                <w:rFonts w:hint="eastAsia"/>
                <w:color w:val="000000"/>
                <w:sz w:val="21"/>
                <w:szCs w:val="21"/>
              </w:rPr>
              <w:t>：</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2.12  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相对密度</w:t>
            </w:r>
            <w:r>
              <w:rPr>
                <w:color w:val="000000"/>
                <w:sz w:val="21"/>
                <w:szCs w:val="21"/>
              </w:rPr>
              <w:t>(</w:t>
            </w:r>
            <w:r>
              <w:rPr>
                <w:rFonts w:hint="eastAsia"/>
                <w:color w:val="000000"/>
                <w:sz w:val="21"/>
                <w:szCs w:val="21"/>
              </w:rPr>
              <w:t>空气</w:t>
            </w:r>
            <w:r>
              <w:rPr>
                <w:color w:val="000000"/>
                <w:sz w:val="21"/>
                <w:szCs w:val="21"/>
              </w:rPr>
              <w:t>=1):</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无资料</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饱和蒸汽压</w:t>
            </w:r>
            <w:r>
              <w:rPr>
                <w:color w:val="000000"/>
                <w:sz w:val="21"/>
                <w:szCs w:val="21"/>
              </w:rPr>
              <w:t>(kPa)</w:t>
            </w:r>
            <w:r>
              <w:rPr>
                <w:rFonts w:hint="eastAsia"/>
                <w:color w:val="000000"/>
                <w:sz w:val="21"/>
                <w:szCs w:val="21"/>
              </w:rPr>
              <w:t>：</w:t>
            </w:r>
          </w:p>
        </w:tc>
        <w:tc>
          <w:tcPr>
            <w:tcW w:w="5885" w:type="dxa"/>
            <w:vAlign w:val="center"/>
          </w:tcPr>
          <w:p w:rsidR="00B04AE3" w:rsidRDefault="00B04AE3">
            <w:pPr>
              <w:widowControl/>
              <w:spacing w:line="320" w:lineRule="exact"/>
              <w:rPr>
                <w:color w:val="000000"/>
                <w:sz w:val="21"/>
                <w:szCs w:val="21"/>
              </w:rPr>
            </w:pPr>
            <w:r>
              <w:rPr>
                <w:color w:val="000000"/>
                <w:sz w:val="21"/>
                <w:szCs w:val="21"/>
              </w:rPr>
              <w:t>0.13/739</w:t>
            </w:r>
            <w:r>
              <w:rPr>
                <w:rFonts w:hint="eastAsia"/>
                <w:color w:val="000000"/>
                <w:sz w:val="21"/>
                <w:szCs w:val="21"/>
              </w:rPr>
              <w:t>℃</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溶解性：</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易溶于水、乙醇、甘油，不溶于丙酮。</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临界温度</w:t>
            </w:r>
            <w:r>
              <w:rPr>
                <w:color w:val="000000"/>
                <w:sz w:val="21"/>
                <w:szCs w:val="21"/>
              </w:rPr>
              <w:t>(</w:t>
            </w:r>
            <w:r>
              <w:rPr>
                <w:rFonts w:hint="eastAsia"/>
                <w:color w:val="000000"/>
                <w:sz w:val="21"/>
                <w:szCs w:val="21"/>
              </w:rPr>
              <w:t>℃</w:t>
            </w:r>
            <w:r>
              <w:rPr>
                <w:color w:val="000000"/>
                <w:sz w:val="21"/>
                <w:szCs w:val="21"/>
              </w:rPr>
              <w:t>)</w:t>
            </w:r>
            <w:r>
              <w:rPr>
                <w:rFonts w:hint="eastAsia"/>
                <w:color w:val="000000"/>
                <w:sz w:val="21"/>
                <w:szCs w:val="21"/>
              </w:rPr>
              <w:t>：</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临界压力</w:t>
            </w:r>
            <w:r>
              <w:rPr>
                <w:color w:val="000000"/>
                <w:sz w:val="21"/>
                <w:szCs w:val="21"/>
              </w:rPr>
              <w:t>(MPa)</w:t>
            </w:r>
            <w:r>
              <w:rPr>
                <w:rFonts w:hint="eastAsia"/>
                <w:color w:val="000000"/>
                <w:sz w:val="21"/>
                <w:szCs w:val="21"/>
              </w:rPr>
              <w:t>：</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燃烧热</w:t>
            </w:r>
            <w:r>
              <w:rPr>
                <w:color w:val="000000"/>
                <w:sz w:val="21"/>
                <w:szCs w:val="21"/>
              </w:rPr>
              <w:t>(kj/mol)</w:t>
            </w:r>
            <w:r>
              <w:rPr>
                <w:rFonts w:hint="eastAsia"/>
                <w:color w:val="000000"/>
                <w:sz w:val="21"/>
                <w:szCs w:val="21"/>
              </w:rPr>
              <w:t>：</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54"/>
          <w:jc w:val="center"/>
        </w:trPr>
        <w:tc>
          <w:tcPr>
            <w:tcW w:w="447" w:type="dxa"/>
            <w:vMerge w:val="restart"/>
            <w:vAlign w:val="center"/>
          </w:tcPr>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color w:val="000000"/>
                <w:sz w:val="21"/>
                <w:szCs w:val="21"/>
              </w:rPr>
            </w:pPr>
            <w:r>
              <w:rPr>
                <w:rFonts w:hint="eastAsia"/>
                <w:b/>
                <w:bCs/>
                <w:color w:val="000000"/>
                <w:sz w:val="21"/>
                <w:szCs w:val="21"/>
              </w:rPr>
              <w:t>燃</w:t>
            </w:r>
            <w:r>
              <w:rPr>
                <w:b/>
                <w:bCs/>
                <w:color w:val="000000"/>
                <w:sz w:val="21"/>
                <w:szCs w:val="21"/>
              </w:rPr>
              <w:br/>
            </w:r>
            <w:r>
              <w:rPr>
                <w:b/>
                <w:bCs/>
                <w:color w:val="000000"/>
                <w:sz w:val="21"/>
                <w:szCs w:val="21"/>
              </w:rPr>
              <w:br/>
            </w:r>
            <w:r>
              <w:rPr>
                <w:rFonts w:hint="eastAsia"/>
                <w:b/>
                <w:bCs/>
                <w:color w:val="000000"/>
                <w:sz w:val="21"/>
                <w:szCs w:val="21"/>
              </w:rPr>
              <w:t>烧</w:t>
            </w:r>
            <w:r>
              <w:rPr>
                <w:b/>
                <w:bCs/>
                <w:color w:val="000000"/>
                <w:sz w:val="21"/>
                <w:szCs w:val="21"/>
              </w:rPr>
              <w:br/>
            </w:r>
            <w:r>
              <w:rPr>
                <w:b/>
                <w:bCs/>
                <w:color w:val="000000"/>
                <w:sz w:val="21"/>
                <w:szCs w:val="21"/>
              </w:rPr>
              <w:br/>
            </w:r>
            <w:r>
              <w:rPr>
                <w:rFonts w:hint="eastAsia"/>
                <w:b/>
                <w:bCs/>
                <w:color w:val="000000"/>
                <w:sz w:val="21"/>
                <w:szCs w:val="21"/>
              </w:rPr>
              <w:t>爆</w:t>
            </w:r>
            <w:r>
              <w:rPr>
                <w:b/>
                <w:bCs/>
                <w:color w:val="000000"/>
                <w:sz w:val="21"/>
                <w:szCs w:val="21"/>
              </w:rPr>
              <w:br/>
            </w:r>
            <w:r>
              <w:rPr>
                <w:b/>
                <w:bCs/>
                <w:color w:val="000000"/>
                <w:sz w:val="21"/>
                <w:szCs w:val="21"/>
              </w:rPr>
              <w:br/>
            </w:r>
            <w:r>
              <w:rPr>
                <w:rFonts w:hint="eastAsia"/>
                <w:b/>
                <w:bCs/>
                <w:color w:val="000000"/>
                <w:sz w:val="21"/>
                <w:szCs w:val="21"/>
              </w:rPr>
              <w:t>炸</w:t>
            </w:r>
            <w:r>
              <w:rPr>
                <w:b/>
                <w:bCs/>
                <w:color w:val="000000"/>
                <w:sz w:val="21"/>
                <w:szCs w:val="21"/>
              </w:rPr>
              <w:br/>
            </w:r>
            <w:r>
              <w:rPr>
                <w:b/>
                <w:bCs/>
                <w:color w:val="000000"/>
                <w:sz w:val="21"/>
                <w:szCs w:val="21"/>
              </w:rPr>
              <w:br/>
            </w:r>
            <w:r>
              <w:rPr>
                <w:rFonts w:hint="eastAsia"/>
                <w:b/>
                <w:bCs/>
                <w:color w:val="000000"/>
                <w:sz w:val="21"/>
                <w:szCs w:val="21"/>
              </w:rPr>
              <w:t>危</w:t>
            </w:r>
            <w:r>
              <w:rPr>
                <w:b/>
                <w:bCs/>
                <w:color w:val="000000"/>
                <w:sz w:val="21"/>
                <w:szCs w:val="21"/>
              </w:rPr>
              <w:br/>
            </w:r>
            <w:r>
              <w:rPr>
                <w:b/>
                <w:bCs/>
                <w:color w:val="000000"/>
                <w:sz w:val="21"/>
                <w:szCs w:val="21"/>
              </w:rPr>
              <w:br/>
            </w:r>
            <w:r>
              <w:rPr>
                <w:rFonts w:hint="eastAsia"/>
                <w:b/>
                <w:bCs/>
                <w:color w:val="000000"/>
                <w:sz w:val="21"/>
                <w:szCs w:val="21"/>
              </w:rPr>
              <w:t>险</w:t>
            </w:r>
            <w:r>
              <w:rPr>
                <w:b/>
                <w:bCs/>
                <w:color w:val="000000"/>
                <w:sz w:val="21"/>
                <w:szCs w:val="21"/>
              </w:rPr>
              <w:br/>
            </w:r>
            <w:r>
              <w:rPr>
                <w:b/>
                <w:bCs/>
                <w:color w:val="000000"/>
                <w:sz w:val="21"/>
                <w:szCs w:val="21"/>
              </w:rPr>
              <w:br/>
            </w:r>
            <w:r>
              <w:rPr>
                <w:rFonts w:hint="eastAsia"/>
                <w:b/>
                <w:bCs/>
                <w:color w:val="000000"/>
                <w:sz w:val="21"/>
                <w:szCs w:val="21"/>
              </w:rPr>
              <w:t>性</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避免接触的条件：</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接触潮湿空气。</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燃烧性：</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不燃</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建规火险分级：</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丁</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闪点</w:t>
            </w:r>
            <w:r>
              <w:rPr>
                <w:color w:val="000000"/>
                <w:sz w:val="21"/>
                <w:szCs w:val="21"/>
              </w:rPr>
              <w:t>(</w:t>
            </w:r>
            <w:r>
              <w:rPr>
                <w:rFonts w:hint="eastAsia"/>
                <w:color w:val="000000"/>
                <w:sz w:val="21"/>
                <w:szCs w:val="21"/>
              </w:rPr>
              <w:t>℃</w:t>
            </w:r>
            <w:r>
              <w:rPr>
                <w:color w:val="000000"/>
                <w:sz w:val="21"/>
                <w:szCs w:val="21"/>
              </w:rPr>
              <w:t>)</w:t>
            </w:r>
            <w:r>
              <w:rPr>
                <w:rFonts w:hint="eastAsia"/>
                <w:color w:val="000000"/>
                <w:sz w:val="21"/>
                <w:szCs w:val="21"/>
              </w:rPr>
              <w:t>：</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自燃温度</w:t>
            </w:r>
            <w:r>
              <w:rPr>
                <w:color w:val="000000"/>
                <w:sz w:val="21"/>
                <w:szCs w:val="21"/>
              </w:rPr>
              <w:t>(</w:t>
            </w:r>
            <w:r>
              <w:rPr>
                <w:rFonts w:hint="eastAsia"/>
                <w:color w:val="000000"/>
                <w:sz w:val="21"/>
                <w:szCs w:val="21"/>
              </w:rPr>
              <w:t>℃</w:t>
            </w:r>
            <w:r>
              <w:rPr>
                <w:color w:val="000000"/>
                <w:sz w:val="21"/>
                <w:szCs w:val="21"/>
              </w:rPr>
              <w:t>)</w:t>
            </w:r>
            <w:r>
              <w:rPr>
                <w:rFonts w:hint="eastAsia"/>
                <w:color w:val="000000"/>
                <w:sz w:val="21"/>
                <w:szCs w:val="21"/>
              </w:rPr>
              <w:t>：</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爆炸下限</w:t>
            </w:r>
            <w:r>
              <w:rPr>
                <w:color w:val="000000"/>
                <w:sz w:val="21"/>
                <w:szCs w:val="21"/>
              </w:rPr>
              <w:t>(V%)</w:t>
            </w:r>
            <w:r>
              <w:rPr>
                <w:rFonts w:hint="eastAsia"/>
                <w:color w:val="000000"/>
                <w:sz w:val="21"/>
                <w:szCs w:val="21"/>
              </w:rPr>
              <w:t>：</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爆炸上限</w:t>
            </w:r>
            <w:r>
              <w:rPr>
                <w:color w:val="000000"/>
                <w:sz w:val="21"/>
                <w:szCs w:val="21"/>
              </w:rPr>
              <w:t>(V%)</w:t>
            </w:r>
            <w:r>
              <w:rPr>
                <w:rFonts w:hint="eastAsia"/>
                <w:color w:val="000000"/>
                <w:sz w:val="21"/>
                <w:szCs w:val="21"/>
              </w:rPr>
              <w:t>：</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673"/>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危险特性：</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本品不会燃烧，遇水和水蒸气大量放热，形成腐蚀性溶液。与酸发生中和反应并放热。具有强腐蚀性。</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燃烧</w:t>
            </w:r>
            <w:r>
              <w:rPr>
                <w:color w:val="000000"/>
                <w:sz w:val="21"/>
                <w:szCs w:val="21"/>
              </w:rPr>
              <w:t>(</w:t>
            </w:r>
            <w:r>
              <w:rPr>
                <w:rFonts w:hint="eastAsia"/>
                <w:color w:val="000000"/>
                <w:sz w:val="21"/>
                <w:szCs w:val="21"/>
              </w:rPr>
              <w:t>分解</w:t>
            </w:r>
            <w:r>
              <w:rPr>
                <w:color w:val="000000"/>
                <w:sz w:val="21"/>
                <w:szCs w:val="21"/>
              </w:rPr>
              <w:t>)</w:t>
            </w:r>
            <w:r>
              <w:rPr>
                <w:rFonts w:hint="eastAsia"/>
                <w:color w:val="000000"/>
                <w:sz w:val="21"/>
                <w:szCs w:val="21"/>
              </w:rPr>
              <w:t>产物：</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可能产生有害的毒性烟雾。</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稳定性：</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稳定</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聚合危害：</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不能出现</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禁忌物：</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强酸、易燃或可燃物、二氧化碳、过氧化物、水。</w:t>
            </w:r>
            <w:r>
              <w:rPr>
                <w:color w:val="000000"/>
                <w:sz w:val="21"/>
                <w:szCs w:val="21"/>
              </w:rPr>
              <w:t xml:space="preserve">   </w:t>
            </w:r>
          </w:p>
        </w:tc>
      </w:tr>
      <w:tr w:rsidR="00B04AE3">
        <w:trPr>
          <w:trHeight w:val="1629"/>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灭火方法：</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雾状水、砂土。消防器具</w:t>
            </w:r>
            <w:r>
              <w:rPr>
                <w:color w:val="000000"/>
                <w:sz w:val="21"/>
                <w:szCs w:val="21"/>
              </w:rPr>
              <w:t>(</w:t>
            </w:r>
            <w:r>
              <w:rPr>
                <w:rFonts w:hint="eastAsia"/>
                <w:color w:val="000000"/>
                <w:sz w:val="21"/>
                <w:szCs w:val="21"/>
              </w:rPr>
              <w:t>包括</w:t>
            </w:r>
            <w:r>
              <w:rPr>
                <w:color w:val="000000"/>
                <w:sz w:val="21"/>
                <w:szCs w:val="21"/>
              </w:rPr>
              <w:t>SCBA)</w:t>
            </w:r>
            <w:r>
              <w:rPr>
                <w:rFonts w:hint="eastAsia"/>
                <w:color w:val="000000"/>
                <w:sz w:val="21"/>
                <w:szCs w:val="21"/>
              </w:rPr>
              <w:t>不能提供足够有效的防护。若不小心接触，立即撤离现场，隔离器具，对人员彻底清污。如果该物质或被污染的流体进入水路，通知有潜在水体污染的下游用户，通知地方卫生、消防官员和污染控制部门。在安全防爆距离以外，使用雾状水冷却暴露的容器。</w:t>
            </w:r>
            <w:r>
              <w:rPr>
                <w:color w:val="000000"/>
                <w:sz w:val="21"/>
                <w:szCs w:val="21"/>
              </w:rPr>
              <w:t xml:space="preserve">   </w:t>
            </w:r>
          </w:p>
        </w:tc>
      </w:tr>
      <w:tr w:rsidR="00B04AE3">
        <w:trPr>
          <w:trHeight w:val="354"/>
          <w:jc w:val="center"/>
        </w:trPr>
        <w:tc>
          <w:tcPr>
            <w:tcW w:w="447" w:type="dxa"/>
            <w:vMerge w:val="restart"/>
            <w:vAlign w:val="center"/>
          </w:tcPr>
          <w:p w:rsidR="00B04AE3" w:rsidRDefault="00B04AE3">
            <w:pPr>
              <w:widowControl/>
              <w:spacing w:line="320" w:lineRule="exact"/>
              <w:rPr>
                <w:color w:val="000000"/>
                <w:sz w:val="21"/>
                <w:szCs w:val="21"/>
              </w:rPr>
            </w:pPr>
            <w:r>
              <w:rPr>
                <w:rFonts w:hint="eastAsia"/>
                <w:b/>
                <w:bCs/>
                <w:color w:val="000000"/>
                <w:sz w:val="21"/>
                <w:szCs w:val="21"/>
              </w:rPr>
              <w:t>包装与储运</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危险性类别：</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第</w:t>
            </w:r>
            <w:r>
              <w:rPr>
                <w:color w:val="000000"/>
                <w:sz w:val="21"/>
                <w:szCs w:val="21"/>
              </w:rPr>
              <w:t>8.2</w:t>
            </w:r>
            <w:r>
              <w:rPr>
                <w:rFonts w:hint="eastAsia"/>
                <w:color w:val="000000"/>
                <w:sz w:val="21"/>
                <w:szCs w:val="21"/>
              </w:rPr>
              <w:t>类</w:t>
            </w:r>
            <w:r>
              <w:rPr>
                <w:color w:val="000000"/>
                <w:sz w:val="21"/>
                <w:szCs w:val="21"/>
              </w:rPr>
              <w:t>  </w:t>
            </w:r>
            <w:r>
              <w:rPr>
                <w:rFonts w:hint="eastAsia"/>
                <w:color w:val="000000"/>
                <w:sz w:val="21"/>
                <w:szCs w:val="21"/>
              </w:rPr>
              <w:t>碱性腐蚀品</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危险货物包装标志：</w:t>
            </w:r>
          </w:p>
        </w:tc>
        <w:tc>
          <w:tcPr>
            <w:tcW w:w="5885" w:type="dxa"/>
            <w:vAlign w:val="center"/>
          </w:tcPr>
          <w:p w:rsidR="00B04AE3" w:rsidRDefault="00B04AE3">
            <w:pPr>
              <w:widowControl/>
              <w:spacing w:line="320" w:lineRule="exact"/>
              <w:rPr>
                <w:color w:val="000000"/>
                <w:sz w:val="21"/>
                <w:szCs w:val="21"/>
              </w:rPr>
            </w:pPr>
            <w:r>
              <w:rPr>
                <w:color w:val="000000"/>
                <w:sz w:val="21"/>
                <w:szCs w:val="21"/>
              </w:rPr>
              <w:t xml:space="preserve">20  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包装类别：</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Ⅱ</w:t>
            </w:r>
            <w:r>
              <w:rPr>
                <w:color w:val="000000"/>
                <w:sz w:val="21"/>
                <w:szCs w:val="21"/>
              </w:rPr>
              <w:t xml:space="preserve">   </w:t>
            </w:r>
          </w:p>
        </w:tc>
      </w:tr>
      <w:tr w:rsidR="00B04AE3">
        <w:trPr>
          <w:trHeight w:val="2266"/>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储运注意事项：</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储存于高燥清洁的仓间内。注意防潮和雨水浸入。应与易燃、可燃物及酸类分开存放。分装和搬运作业要注意个人防护。搬运时要轻装轻卸，防止包装及容器损坏。雨天不宜运输。</w:t>
            </w:r>
            <w:r>
              <w:rPr>
                <w:color w:val="000000"/>
                <w:sz w:val="21"/>
                <w:szCs w:val="21"/>
              </w:rPr>
              <w:br/>
            </w:r>
            <w:r>
              <w:rPr>
                <w:rFonts w:hint="eastAsia"/>
                <w:color w:val="000000"/>
                <w:sz w:val="21"/>
                <w:szCs w:val="21"/>
              </w:rPr>
              <w:t>废弃：处置前参阅国家和地方有关法规。中和、稀释后，排入下水道。高浓度对水生生物有害。</w:t>
            </w:r>
            <w:r>
              <w:rPr>
                <w:color w:val="000000"/>
                <w:sz w:val="21"/>
                <w:szCs w:val="21"/>
              </w:rPr>
              <w:br/>
            </w:r>
            <w:r>
              <w:rPr>
                <w:rFonts w:hint="eastAsia"/>
                <w:color w:val="000000"/>
                <w:sz w:val="21"/>
                <w:szCs w:val="21"/>
              </w:rPr>
              <w:t>包装方法：小开口塑料桶；塑料袋、多层牛皮纸外木板箱。</w:t>
            </w:r>
            <w:r>
              <w:rPr>
                <w:color w:val="000000"/>
                <w:sz w:val="21"/>
                <w:szCs w:val="21"/>
              </w:rPr>
              <w:t xml:space="preserve"> </w:t>
            </w:r>
          </w:p>
        </w:tc>
      </w:tr>
      <w:tr w:rsidR="00B04AE3">
        <w:trPr>
          <w:trHeight w:val="1310"/>
          <w:jc w:val="center"/>
        </w:trPr>
        <w:tc>
          <w:tcPr>
            <w:tcW w:w="447" w:type="dxa"/>
            <w:vMerge w:val="restart"/>
            <w:vAlign w:val="center"/>
          </w:tcPr>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color w:val="000000"/>
                <w:sz w:val="21"/>
                <w:szCs w:val="21"/>
              </w:rPr>
            </w:pPr>
            <w:r>
              <w:rPr>
                <w:rFonts w:hint="eastAsia"/>
                <w:b/>
                <w:bCs/>
                <w:color w:val="000000"/>
                <w:sz w:val="21"/>
                <w:szCs w:val="21"/>
              </w:rPr>
              <w:t>毒性危害</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接触限值：</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中国</w:t>
            </w:r>
            <w:r>
              <w:rPr>
                <w:color w:val="000000"/>
                <w:sz w:val="21"/>
                <w:szCs w:val="21"/>
              </w:rPr>
              <w:t>MAC</w:t>
            </w:r>
            <w:r>
              <w:rPr>
                <w:rFonts w:hint="eastAsia"/>
                <w:color w:val="000000"/>
                <w:sz w:val="21"/>
                <w:szCs w:val="21"/>
              </w:rPr>
              <w:t>：</w:t>
            </w:r>
            <w:r>
              <w:rPr>
                <w:color w:val="000000"/>
                <w:sz w:val="21"/>
                <w:szCs w:val="21"/>
              </w:rPr>
              <w:t>0.5mg/m</w:t>
            </w:r>
            <w:r>
              <w:rPr>
                <w:color w:val="000000"/>
                <w:sz w:val="21"/>
                <w:szCs w:val="21"/>
                <w:vertAlign w:val="superscript"/>
              </w:rPr>
              <w:t>3</w:t>
            </w:r>
            <w:r>
              <w:rPr>
                <w:color w:val="000000"/>
                <w:sz w:val="21"/>
                <w:szCs w:val="21"/>
              </w:rPr>
              <w:br/>
            </w:r>
            <w:r>
              <w:rPr>
                <w:rFonts w:hint="eastAsia"/>
                <w:color w:val="000000"/>
                <w:sz w:val="21"/>
                <w:szCs w:val="21"/>
              </w:rPr>
              <w:t>苏联</w:t>
            </w:r>
            <w:r>
              <w:rPr>
                <w:color w:val="000000"/>
                <w:sz w:val="21"/>
                <w:szCs w:val="21"/>
              </w:rPr>
              <w:t>MAC</w:t>
            </w:r>
            <w:r>
              <w:rPr>
                <w:rFonts w:hint="eastAsia"/>
                <w:color w:val="000000"/>
                <w:sz w:val="21"/>
                <w:szCs w:val="21"/>
              </w:rPr>
              <w:t>：未制定标准</w:t>
            </w:r>
            <w:r>
              <w:rPr>
                <w:color w:val="000000"/>
                <w:sz w:val="21"/>
                <w:szCs w:val="21"/>
              </w:rPr>
              <w:br/>
            </w:r>
            <w:r>
              <w:rPr>
                <w:rFonts w:hint="eastAsia"/>
                <w:color w:val="000000"/>
                <w:sz w:val="21"/>
                <w:szCs w:val="21"/>
              </w:rPr>
              <w:t>美国</w:t>
            </w:r>
            <w:r>
              <w:rPr>
                <w:color w:val="000000"/>
                <w:sz w:val="21"/>
                <w:szCs w:val="21"/>
              </w:rPr>
              <w:t>TWA</w:t>
            </w:r>
            <w:r>
              <w:rPr>
                <w:rFonts w:hint="eastAsia"/>
                <w:color w:val="000000"/>
                <w:sz w:val="21"/>
                <w:szCs w:val="21"/>
              </w:rPr>
              <w:t>：</w:t>
            </w:r>
            <w:r>
              <w:rPr>
                <w:color w:val="000000"/>
                <w:sz w:val="21"/>
                <w:szCs w:val="21"/>
              </w:rPr>
              <w:t>OSHA 2mg/m</w:t>
            </w:r>
            <w:r>
              <w:rPr>
                <w:color w:val="000000"/>
                <w:sz w:val="21"/>
                <w:szCs w:val="21"/>
                <w:vertAlign w:val="superscript"/>
              </w:rPr>
              <w:t>3</w:t>
            </w:r>
            <w:r>
              <w:rPr>
                <w:rFonts w:hint="eastAsia"/>
                <w:color w:val="000000"/>
                <w:sz w:val="21"/>
                <w:szCs w:val="21"/>
              </w:rPr>
              <w:t>；</w:t>
            </w:r>
            <w:r>
              <w:rPr>
                <w:color w:val="000000"/>
                <w:sz w:val="21"/>
                <w:szCs w:val="21"/>
              </w:rPr>
              <w:t>ACGIH 2mg/m3[</w:t>
            </w:r>
            <w:r>
              <w:rPr>
                <w:rFonts w:hint="eastAsia"/>
                <w:color w:val="000000"/>
                <w:sz w:val="21"/>
                <w:szCs w:val="21"/>
              </w:rPr>
              <w:t>上限值</w:t>
            </w:r>
            <w:r>
              <w:rPr>
                <w:color w:val="000000"/>
                <w:sz w:val="21"/>
                <w:szCs w:val="21"/>
              </w:rPr>
              <w:t>]</w:t>
            </w:r>
            <w:r>
              <w:rPr>
                <w:color w:val="000000"/>
                <w:sz w:val="21"/>
                <w:szCs w:val="21"/>
              </w:rPr>
              <w:br/>
            </w:r>
            <w:r>
              <w:rPr>
                <w:rFonts w:hint="eastAsia"/>
                <w:color w:val="000000"/>
                <w:sz w:val="21"/>
                <w:szCs w:val="21"/>
              </w:rPr>
              <w:t>美国</w:t>
            </w:r>
            <w:r>
              <w:rPr>
                <w:color w:val="000000"/>
                <w:sz w:val="21"/>
                <w:szCs w:val="21"/>
              </w:rPr>
              <w:t>STEL</w:t>
            </w:r>
            <w:r>
              <w:rPr>
                <w:rFonts w:hint="eastAsia"/>
                <w:color w:val="000000"/>
                <w:sz w:val="21"/>
                <w:szCs w:val="21"/>
              </w:rPr>
              <w:t>：未制定标准</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侵入途径：</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吸入</w:t>
            </w:r>
            <w:r>
              <w:rPr>
                <w:color w:val="000000"/>
                <w:sz w:val="21"/>
                <w:szCs w:val="21"/>
              </w:rPr>
              <w:t>  </w:t>
            </w:r>
            <w:r>
              <w:rPr>
                <w:rFonts w:hint="eastAsia"/>
                <w:color w:val="000000"/>
                <w:sz w:val="21"/>
                <w:szCs w:val="21"/>
              </w:rPr>
              <w:t>食入</w:t>
            </w:r>
            <w:r>
              <w:rPr>
                <w:color w:val="000000"/>
                <w:sz w:val="21"/>
                <w:szCs w:val="21"/>
              </w:rPr>
              <w:t xml:space="preserve">   </w:t>
            </w:r>
          </w:p>
        </w:tc>
      </w:tr>
      <w:tr w:rsidR="00B04AE3">
        <w:trPr>
          <w:trHeight w:val="1310"/>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毒性：</w:t>
            </w:r>
          </w:p>
        </w:tc>
        <w:tc>
          <w:tcPr>
            <w:tcW w:w="5885" w:type="dxa"/>
            <w:vAlign w:val="center"/>
          </w:tcPr>
          <w:p w:rsidR="00B04AE3" w:rsidRDefault="00B04AE3">
            <w:pPr>
              <w:widowControl/>
              <w:spacing w:line="320" w:lineRule="exact"/>
              <w:rPr>
                <w:color w:val="000000"/>
                <w:sz w:val="21"/>
                <w:szCs w:val="21"/>
              </w:rPr>
            </w:pPr>
            <w:r>
              <w:rPr>
                <w:color w:val="000000"/>
                <w:sz w:val="21"/>
                <w:szCs w:val="21"/>
              </w:rPr>
              <w:t>IDLH</w:t>
            </w:r>
            <w:r>
              <w:rPr>
                <w:rFonts w:hint="eastAsia"/>
                <w:color w:val="000000"/>
                <w:sz w:val="21"/>
                <w:szCs w:val="21"/>
              </w:rPr>
              <w:t>：</w:t>
            </w:r>
            <w:r>
              <w:rPr>
                <w:color w:val="000000"/>
                <w:sz w:val="21"/>
                <w:szCs w:val="21"/>
              </w:rPr>
              <w:t>10mg/m</w:t>
            </w:r>
            <w:r>
              <w:rPr>
                <w:color w:val="000000"/>
                <w:sz w:val="21"/>
                <w:szCs w:val="21"/>
                <w:vertAlign w:val="superscript"/>
              </w:rPr>
              <w:t>3</w:t>
            </w:r>
            <w:r>
              <w:rPr>
                <w:color w:val="000000"/>
                <w:sz w:val="21"/>
                <w:szCs w:val="21"/>
              </w:rPr>
              <w:br/>
            </w:r>
            <w:r>
              <w:rPr>
                <w:rFonts w:hint="eastAsia"/>
                <w:color w:val="000000"/>
                <w:sz w:val="21"/>
                <w:szCs w:val="21"/>
              </w:rPr>
              <w:t>嗅阈：未被列出；在</w:t>
            </w:r>
            <w:r>
              <w:rPr>
                <w:color w:val="000000"/>
                <w:sz w:val="21"/>
                <w:szCs w:val="21"/>
              </w:rPr>
              <w:t>2mg/m</w:t>
            </w:r>
            <w:r>
              <w:rPr>
                <w:color w:val="000000"/>
                <w:sz w:val="21"/>
                <w:szCs w:val="21"/>
                <w:vertAlign w:val="superscript"/>
              </w:rPr>
              <w:t>3</w:t>
            </w:r>
            <w:r>
              <w:rPr>
                <w:rFonts w:hint="eastAsia"/>
                <w:color w:val="000000"/>
                <w:sz w:val="21"/>
                <w:szCs w:val="21"/>
              </w:rPr>
              <w:t>时有黏膜刺激</w:t>
            </w:r>
            <w:r>
              <w:rPr>
                <w:color w:val="000000"/>
                <w:sz w:val="21"/>
                <w:szCs w:val="21"/>
              </w:rPr>
              <w:br/>
              <w:t>OSHA</w:t>
            </w:r>
            <w:r>
              <w:rPr>
                <w:rFonts w:hint="eastAsia"/>
                <w:color w:val="000000"/>
                <w:sz w:val="21"/>
                <w:szCs w:val="21"/>
              </w:rPr>
              <w:t>：表</w:t>
            </w:r>
            <w:r>
              <w:rPr>
                <w:color w:val="000000"/>
                <w:sz w:val="21"/>
                <w:szCs w:val="21"/>
              </w:rPr>
              <w:t>Z—1</w:t>
            </w:r>
            <w:r>
              <w:rPr>
                <w:rFonts w:hint="eastAsia"/>
                <w:color w:val="000000"/>
                <w:sz w:val="21"/>
                <w:szCs w:val="21"/>
              </w:rPr>
              <w:t>空气污染物</w:t>
            </w:r>
            <w:r>
              <w:rPr>
                <w:color w:val="000000"/>
                <w:sz w:val="21"/>
                <w:szCs w:val="21"/>
              </w:rPr>
              <w:br/>
              <w:t>NIOSH</w:t>
            </w:r>
            <w:r>
              <w:rPr>
                <w:rFonts w:hint="eastAsia"/>
                <w:color w:val="000000"/>
                <w:sz w:val="21"/>
                <w:szCs w:val="21"/>
              </w:rPr>
              <w:t>标准文件：</w:t>
            </w:r>
            <w:r>
              <w:rPr>
                <w:color w:val="000000"/>
                <w:sz w:val="21"/>
                <w:szCs w:val="21"/>
              </w:rPr>
              <w:t xml:space="preserve">NIOSH 76—105   </w:t>
            </w:r>
          </w:p>
        </w:tc>
      </w:tr>
      <w:tr w:rsidR="00B04AE3">
        <w:trPr>
          <w:trHeight w:val="992"/>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健康危害：</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本品有强烈刺激和腐蚀性。粉尘或烟雾刺激眼和呼吸道，腐蚀鼻中隔；皮肤和眼直接接触可引起灼伤；误服可造成消化道灼伤，粘膜糜烂、出血和休克。</w:t>
            </w:r>
            <w:r>
              <w:rPr>
                <w:color w:val="000000"/>
                <w:sz w:val="21"/>
                <w:szCs w:val="21"/>
              </w:rPr>
              <w:t xml:space="preserve"> </w:t>
            </w:r>
          </w:p>
        </w:tc>
      </w:tr>
      <w:tr w:rsidR="00B04AE3">
        <w:trPr>
          <w:trHeight w:val="1629"/>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急</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救</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皮肤接触：</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立即用水冲洗至少</w:t>
            </w:r>
            <w:r>
              <w:rPr>
                <w:color w:val="000000"/>
                <w:sz w:val="21"/>
                <w:szCs w:val="21"/>
              </w:rPr>
              <w:t>15</w:t>
            </w:r>
            <w:r>
              <w:rPr>
                <w:rFonts w:hint="eastAsia"/>
                <w:color w:val="000000"/>
                <w:sz w:val="21"/>
                <w:szCs w:val="21"/>
              </w:rPr>
              <w:t>分钟。若有灼伤，就医治疗。脱去并隔离被污染的衣服和鞋。对少量皮肤接触，避免将物质播散面积扩大。注意患者保暖并且保持安静。吸入、食入或皮肤接触该物质可引起迟发反应。确保医务人员了解该物质相关的个体防护知识，注意自身防护。</w:t>
            </w:r>
            <w:r>
              <w:rPr>
                <w:color w:val="000000"/>
                <w:sz w:val="21"/>
                <w:szCs w:val="21"/>
              </w:rPr>
              <w:t xml:space="preserve">   </w:t>
            </w:r>
          </w:p>
        </w:tc>
      </w:tr>
      <w:tr w:rsidR="00B04AE3">
        <w:trPr>
          <w:trHeight w:val="673"/>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眼睛接触：</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立即提起眼脸，用流动清水或生理盐水冲洗至少</w:t>
            </w:r>
            <w:r>
              <w:rPr>
                <w:color w:val="000000"/>
                <w:sz w:val="21"/>
                <w:szCs w:val="21"/>
              </w:rPr>
              <w:t>15</w:t>
            </w:r>
            <w:r>
              <w:rPr>
                <w:rFonts w:hint="eastAsia"/>
                <w:color w:val="000000"/>
                <w:sz w:val="21"/>
                <w:szCs w:val="21"/>
              </w:rPr>
              <w:t>分钟。或用</w:t>
            </w:r>
            <w:r>
              <w:rPr>
                <w:color w:val="000000"/>
                <w:sz w:val="21"/>
                <w:szCs w:val="21"/>
              </w:rPr>
              <w:t>3%</w:t>
            </w:r>
            <w:r>
              <w:rPr>
                <w:rFonts w:hint="eastAsia"/>
                <w:color w:val="000000"/>
                <w:sz w:val="21"/>
                <w:szCs w:val="21"/>
              </w:rPr>
              <w:t>硼酸溶液冲洗。就医。</w:t>
            </w:r>
            <w:r>
              <w:rPr>
                <w:color w:val="000000"/>
                <w:sz w:val="21"/>
                <w:szCs w:val="21"/>
              </w:rPr>
              <w:t xml:space="preserve">   </w:t>
            </w:r>
          </w:p>
        </w:tc>
      </w:tr>
      <w:tr w:rsidR="00B04AE3">
        <w:trPr>
          <w:trHeight w:val="1310"/>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吸入：</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脱离现场至空气新鲜处。必要时进行人工呼吸。就医。如果呼吸困难，给予吸氧。如果患者食入或吸入该物质不要用口对口进行人工呼吸，可用单向阀小型呼吸器或其他适当的医疗呼吸器。</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食入：</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患者清醒时立即漱口，口服稀释的醋或柠檬汁，就医。</w:t>
            </w:r>
            <w:r>
              <w:rPr>
                <w:color w:val="000000"/>
                <w:sz w:val="21"/>
                <w:szCs w:val="21"/>
              </w:rPr>
              <w:t xml:space="preserve">   </w:t>
            </w:r>
          </w:p>
        </w:tc>
      </w:tr>
      <w:tr w:rsidR="00B04AE3">
        <w:trPr>
          <w:trHeight w:val="354"/>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防</w:t>
            </w:r>
            <w:r>
              <w:rPr>
                <w:b/>
                <w:bCs/>
                <w:color w:val="000000"/>
                <w:sz w:val="21"/>
                <w:szCs w:val="21"/>
              </w:rPr>
              <w:br/>
            </w:r>
            <w:r>
              <w:rPr>
                <w:b/>
                <w:bCs/>
                <w:color w:val="000000"/>
                <w:sz w:val="21"/>
                <w:szCs w:val="21"/>
              </w:rPr>
              <w:br/>
            </w:r>
            <w:r>
              <w:rPr>
                <w:rFonts w:hint="eastAsia"/>
                <w:b/>
                <w:bCs/>
                <w:color w:val="000000"/>
                <w:sz w:val="21"/>
                <w:szCs w:val="21"/>
              </w:rPr>
              <w:t>护</w:t>
            </w:r>
            <w:r>
              <w:rPr>
                <w:b/>
                <w:bCs/>
                <w:color w:val="000000"/>
                <w:sz w:val="21"/>
                <w:szCs w:val="21"/>
              </w:rPr>
              <w:br/>
            </w:r>
            <w:r>
              <w:rPr>
                <w:b/>
                <w:bCs/>
                <w:color w:val="000000"/>
                <w:sz w:val="21"/>
                <w:szCs w:val="21"/>
              </w:rPr>
              <w:br/>
            </w:r>
            <w:r>
              <w:rPr>
                <w:rFonts w:hint="eastAsia"/>
                <w:b/>
                <w:bCs/>
                <w:color w:val="000000"/>
                <w:sz w:val="21"/>
                <w:szCs w:val="21"/>
              </w:rPr>
              <w:t>措</w:t>
            </w:r>
            <w:r>
              <w:rPr>
                <w:b/>
                <w:bCs/>
                <w:color w:val="000000"/>
                <w:sz w:val="21"/>
                <w:szCs w:val="21"/>
              </w:rPr>
              <w:br/>
            </w:r>
            <w:r>
              <w:rPr>
                <w:b/>
                <w:bCs/>
                <w:color w:val="000000"/>
                <w:sz w:val="21"/>
                <w:szCs w:val="21"/>
              </w:rPr>
              <w:br/>
            </w:r>
            <w:r>
              <w:rPr>
                <w:rFonts w:hint="eastAsia"/>
                <w:b/>
                <w:bCs/>
                <w:color w:val="000000"/>
                <w:sz w:val="21"/>
                <w:szCs w:val="21"/>
              </w:rPr>
              <w:t>施</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工程控制：</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密闭操作。</w:t>
            </w:r>
            <w:r>
              <w:rPr>
                <w:color w:val="000000"/>
                <w:sz w:val="21"/>
                <w:szCs w:val="21"/>
              </w:rPr>
              <w:t xml:space="preserve">   </w:t>
            </w:r>
          </w:p>
        </w:tc>
      </w:tr>
      <w:tr w:rsidR="00B04AE3">
        <w:trPr>
          <w:trHeight w:val="258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呼吸系统防护：</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必要时佩带防毒口罩。</w:t>
            </w:r>
            <w:r>
              <w:rPr>
                <w:color w:val="000000"/>
                <w:sz w:val="21"/>
                <w:szCs w:val="21"/>
              </w:rPr>
              <w:t>NIOSH/OSHA  10mg/m</w:t>
            </w:r>
            <w:r>
              <w:rPr>
                <w:color w:val="000000"/>
                <w:sz w:val="21"/>
                <w:szCs w:val="21"/>
                <w:vertAlign w:val="superscript"/>
              </w:rPr>
              <w:t>3</w:t>
            </w:r>
            <w:r>
              <w:rPr>
                <w:rFonts w:hint="eastAsia"/>
                <w:color w:val="000000"/>
                <w:sz w:val="21"/>
                <w:szCs w:val="21"/>
              </w:rPr>
              <w:t>：连续供气式呼吸器、高效滤层防微粒全面罩呼吸器、动力驱动带烟尘过滤层的空气净化呼吸器、自携式呼吸器、全面罩呼吸器。</w:t>
            </w:r>
            <w:r>
              <w:rPr>
                <w:color w:val="000000"/>
                <w:sz w:val="21"/>
                <w:szCs w:val="21"/>
              </w:rPr>
              <w:t>    </w:t>
            </w:r>
            <w:r>
              <w:rPr>
                <w:rFonts w:hint="eastAsia"/>
                <w:color w:val="000000"/>
                <w:sz w:val="21"/>
                <w:szCs w:val="21"/>
              </w:rPr>
              <w:t>应急或有计划进入浓度未知区域，或处于立即危及生命或健康的状况：自携式正压全面罩呼吸器、供气式正压全面罩呼吸器辅之以辅助自携式正压呼吸器。</w:t>
            </w:r>
            <w:r>
              <w:rPr>
                <w:color w:val="000000"/>
                <w:sz w:val="21"/>
                <w:szCs w:val="21"/>
              </w:rPr>
              <w:t> </w:t>
            </w:r>
          </w:p>
          <w:p w:rsidR="00B04AE3" w:rsidRDefault="00B04AE3">
            <w:pPr>
              <w:widowControl/>
              <w:spacing w:line="320" w:lineRule="exact"/>
              <w:rPr>
                <w:color w:val="000000"/>
                <w:sz w:val="21"/>
                <w:szCs w:val="21"/>
              </w:rPr>
            </w:pPr>
            <w:r>
              <w:rPr>
                <w:rFonts w:hint="eastAsia"/>
                <w:color w:val="000000"/>
                <w:sz w:val="21"/>
                <w:szCs w:val="21"/>
              </w:rPr>
              <w:t>逃生：高效滤层防微粒全面罩呼吸器、自携式逃生呼吸器。</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眼睛防护：</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戴化学安全防护眼镜。</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防护服：</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穿工作服</w:t>
            </w:r>
            <w:r>
              <w:rPr>
                <w:color w:val="000000"/>
                <w:sz w:val="21"/>
                <w:szCs w:val="21"/>
              </w:rPr>
              <w:t>(</w:t>
            </w:r>
            <w:r>
              <w:rPr>
                <w:rFonts w:hint="eastAsia"/>
                <w:color w:val="000000"/>
                <w:sz w:val="21"/>
                <w:szCs w:val="21"/>
              </w:rPr>
              <w:t>防腐材料制作</w:t>
            </w:r>
            <w:r>
              <w:rPr>
                <w:color w:val="000000"/>
                <w:sz w:val="21"/>
                <w:szCs w:val="21"/>
              </w:rPr>
              <w:t>)</w:t>
            </w:r>
            <w:r>
              <w:rPr>
                <w:rFonts w:hint="eastAsia"/>
                <w:color w:val="000000"/>
                <w:sz w:val="21"/>
                <w:szCs w:val="21"/>
              </w:rPr>
              <w:t>。</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手防护：</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戴橡皮手套。</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其他：</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工作后，淋浴更衣。注意个人清洁卫生。</w:t>
            </w:r>
            <w:r>
              <w:rPr>
                <w:color w:val="000000"/>
                <w:sz w:val="21"/>
                <w:szCs w:val="21"/>
              </w:rPr>
              <w:t xml:space="preserve">   </w:t>
            </w:r>
          </w:p>
        </w:tc>
      </w:tr>
      <w:tr w:rsidR="00B04AE3">
        <w:trPr>
          <w:trHeight w:val="1997"/>
          <w:jc w:val="center"/>
        </w:trPr>
        <w:tc>
          <w:tcPr>
            <w:tcW w:w="2772" w:type="dxa"/>
            <w:gridSpan w:val="2"/>
            <w:vAlign w:val="center"/>
          </w:tcPr>
          <w:p w:rsidR="00B04AE3" w:rsidRDefault="00B04AE3">
            <w:pPr>
              <w:widowControl/>
              <w:spacing w:line="320" w:lineRule="exact"/>
              <w:rPr>
                <w:b/>
                <w:color w:val="000000"/>
                <w:sz w:val="21"/>
                <w:szCs w:val="21"/>
              </w:rPr>
            </w:pPr>
            <w:r>
              <w:rPr>
                <w:rFonts w:hint="eastAsia"/>
                <w:b/>
                <w:color w:val="000000"/>
                <w:sz w:val="21"/>
                <w:szCs w:val="21"/>
              </w:rPr>
              <w:t>泄漏处置：</w:t>
            </w:r>
          </w:p>
        </w:tc>
        <w:tc>
          <w:tcPr>
            <w:tcW w:w="5885" w:type="dxa"/>
            <w:vAlign w:val="center"/>
          </w:tcPr>
          <w:p w:rsidR="00B04AE3" w:rsidRDefault="00B04AE3">
            <w:pPr>
              <w:widowControl/>
              <w:spacing w:line="320" w:lineRule="exact"/>
              <w:rPr>
                <w:color w:val="000000"/>
                <w:sz w:val="21"/>
                <w:szCs w:val="21"/>
              </w:rPr>
            </w:pPr>
            <w:r>
              <w:rPr>
                <w:rFonts w:hint="eastAsia"/>
                <w:color w:val="000000"/>
                <w:sz w:val="21"/>
                <w:szCs w:val="21"/>
              </w:rPr>
              <w:t>隔离泄漏污染区，周围设警告标志，建议应急处理人员戴好防毒面具，穿化学防护服。不要直接接触泄漏物，用洁清的铲子收集于干燥净洁有盖的容器中，以少量加入大量水中，调节至中性，再放入废水系统。也可以用大量水冲洗，经稀释的洗水放入废水系统。如大量泄漏，收集回收或无害处理后废弃。</w:t>
            </w:r>
          </w:p>
        </w:tc>
      </w:tr>
    </w:tbl>
    <w:p w:rsidR="00B04AE3" w:rsidRDefault="00B04AE3">
      <w:pPr>
        <w:spacing w:before="1"/>
        <w:ind w:left="817"/>
        <w:rPr>
          <w:b/>
          <w:sz w:val="24"/>
        </w:rPr>
      </w:pPr>
      <w:r>
        <w:rPr>
          <w:rFonts w:ascii="Times New Roman" w:eastAsia="Times New Roman"/>
          <w:b/>
          <w:sz w:val="24"/>
        </w:rPr>
        <w:t>2</w:t>
      </w:r>
      <w:r>
        <w:rPr>
          <w:rFonts w:hint="eastAsia"/>
          <w:b/>
          <w:sz w:val="24"/>
        </w:rPr>
        <w:t>、危险废物</w:t>
      </w:r>
    </w:p>
    <w:p w:rsidR="00B04AE3" w:rsidRDefault="00B04AE3">
      <w:pPr>
        <w:pStyle w:val="BodyText"/>
        <w:spacing w:before="161" w:line="362" w:lineRule="auto"/>
        <w:ind w:left="340" w:right="335" w:firstLine="480"/>
      </w:pPr>
      <w:r>
        <w:rPr>
          <w:rFonts w:hint="eastAsia"/>
          <w:spacing w:val="-7"/>
        </w:rPr>
        <w:t>项目危险固废包括废乳化液</w:t>
      </w:r>
      <w:r>
        <w:rPr>
          <w:rFonts w:hint="eastAsia"/>
        </w:rPr>
        <w:t>，危险固废均交由有资质单位统一处置。</w:t>
      </w:r>
    </w:p>
    <w:p w:rsidR="00B04AE3" w:rsidRDefault="00B04AE3">
      <w:pPr>
        <w:pStyle w:val="ListParagraph"/>
        <w:tabs>
          <w:tab w:val="left" w:pos="878"/>
        </w:tabs>
        <w:ind w:firstLine="0"/>
        <w:rPr>
          <w:b/>
          <w:sz w:val="24"/>
        </w:rPr>
      </w:pPr>
      <w:bookmarkStart w:id="62" w:name="3.1.2生产设施风险源识别"/>
      <w:bookmarkEnd w:id="62"/>
      <w:r>
        <w:rPr>
          <w:b/>
          <w:sz w:val="24"/>
          <w:lang w:val="en-US"/>
        </w:rPr>
        <w:t>3.1.2</w:t>
      </w:r>
      <w:r>
        <w:rPr>
          <w:rFonts w:hint="eastAsia"/>
          <w:b/>
          <w:sz w:val="24"/>
        </w:rPr>
        <w:t>生产设施风险源识别</w:t>
      </w:r>
    </w:p>
    <w:p w:rsidR="00B04AE3" w:rsidRDefault="00B04AE3">
      <w:pPr>
        <w:spacing w:before="158"/>
        <w:ind w:left="817"/>
        <w:rPr>
          <w:b/>
          <w:sz w:val="24"/>
        </w:rPr>
      </w:pPr>
      <w:r>
        <w:rPr>
          <w:rFonts w:ascii="Times New Roman" w:eastAsia="Times New Roman"/>
          <w:b/>
          <w:sz w:val="24"/>
        </w:rPr>
        <w:t>1</w:t>
      </w:r>
      <w:r>
        <w:rPr>
          <w:rFonts w:hint="eastAsia"/>
          <w:b/>
          <w:sz w:val="24"/>
        </w:rPr>
        <w:t>、生产装置</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公司涉及的主要风险装置包括危化品库、锅炉房、有机废气净化装置等。其主要危险特性是泄漏、火灾、爆炸、废气非正常排放事故。厂区内各存在风险装置分布情况见表</w:t>
      </w:r>
      <w:r>
        <w:rPr>
          <w:spacing w:val="-6"/>
          <w:szCs w:val="22"/>
        </w:rPr>
        <w:t xml:space="preserve"> 3.1-</w:t>
      </w:r>
      <w:r>
        <w:rPr>
          <w:spacing w:val="-6"/>
          <w:szCs w:val="22"/>
          <w:lang w:val="en-US"/>
        </w:rPr>
        <w:t>8</w:t>
      </w:r>
      <w:r>
        <w:rPr>
          <w:rFonts w:hint="eastAsia"/>
          <w:spacing w:val="-6"/>
          <w:szCs w:val="22"/>
        </w:rPr>
        <w:t>。</w:t>
      </w:r>
    </w:p>
    <w:p w:rsidR="00B04AE3" w:rsidRDefault="00B04AE3">
      <w:pPr>
        <w:spacing w:after="3" w:line="305" w:lineRule="exact"/>
        <w:ind w:left="2593"/>
        <w:rPr>
          <w:b/>
          <w:sz w:val="24"/>
        </w:rPr>
      </w:pPr>
      <w:r>
        <w:rPr>
          <w:rFonts w:hint="eastAsia"/>
          <w:b/>
          <w:sz w:val="24"/>
        </w:rPr>
        <w:t>表</w:t>
      </w:r>
      <w:r>
        <w:rPr>
          <w:b/>
          <w:sz w:val="24"/>
        </w:rPr>
        <w:t xml:space="preserve"> </w:t>
      </w:r>
      <w:r>
        <w:rPr>
          <w:rFonts w:ascii="Times New Roman" w:eastAsia="Times New Roman"/>
          <w:b/>
          <w:sz w:val="24"/>
        </w:rPr>
        <w:t>3.1-</w:t>
      </w:r>
      <w:r>
        <w:rPr>
          <w:rFonts w:ascii="Times New Roman"/>
          <w:b/>
          <w:sz w:val="24"/>
          <w:lang w:val="en-US"/>
        </w:rPr>
        <w:t>8</w:t>
      </w:r>
      <w:r>
        <w:rPr>
          <w:rFonts w:ascii="Times New Roman" w:eastAsia="Times New Roman"/>
          <w:b/>
          <w:sz w:val="24"/>
        </w:rPr>
        <w:t xml:space="preserve">  </w:t>
      </w:r>
      <w:r>
        <w:rPr>
          <w:rFonts w:hint="eastAsia"/>
          <w:b/>
          <w:sz w:val="24"/>
        </w:rPr>
        <w:t>厂内各存在风险装置风险识别表</w:t>
      </w:r>
    </w:p>
    <w:tbl>
      <w:tblPr>
        <w:tblW w:w="8528" w:type="dxa"/>
        <w:tblInd w:w="2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2268"/>
        <w:gridCol w:w="2598"/>
        <w:gridCol w:w="2263"/>
        <w:gridCol w:w="1399"/>
      </w:tblGrid>
      <w:tr w:rsidR="00B04AE3">
        <w:trPr>
          <w:trHeight w:val="397"/>
        </w:trPr>
        <w:tc>
          <w:tcPr>
            <w:tcW w:w="2268" w:type="dxa"/>
            <w:shd w:val="clear" w:color="auto" w:fill="DFDFDF"/>
          </w:tcPr>
          <w:p w:rsidR="00B04AE3" w:rsidRDefault="00B04AE3">
            <w:pPr>
              <w:pStyle w:val="TableParagraph"/>
              <w:spacing w:before="62"/>
              <w:ind w:left="377" w:right="355"/>
              <w:rPr>
                <w:b/>
                <w:sz w:val="21"/>
              </w:rPr>
            </w:pPr>
            <w:r>
              <w:rPr>
                <w:rFonts w:hint="eastAsia"/>
                <w:b/>
                <w:sz w:val="21"/>
              </w:rPr>
              <w:t>易发生事故装置</w:t>
            </w:r>
          </w:p>
        </w:tc>
        <w:tc>
          <w:tcPr>
            <w:tcW w:w="2598" w:type="dxa"/>
            <w:shd w:val="clear" w:color="auto" w:fill="DFDFDF"/>
          </w:tcPr>
          <w:p w:rsidR="00B04AE3" w:rsidRDefault="00B04AE3">
            <w:pPr>
              <w:pStyle w:val="TableParagraph"/>
              <w:spacing w:before="62"/>
              <w:ind w:left="543" w:right="524"/>
              <w:rPr>
                <w:b/>
                <w:sz w:val="21"/>
              </w:rPr>
            </w:pPr>
            <w:r>
              <w:rPr>
                <w:rFonts w:hint="eastAsia"/>
                <w:b/>
                <w:sz w:val="21"/>
              </w:rPr>
              <w:t>项目厂区装置</w:t>
            </w:r>
          </w:p>
        </w:tc>
        <w:tc>
          <w:tcPr>
            <w:tcW w:w="2263" w:type="dxa"/>
            <w:shd w:val="clear" w:color="auto" w:fill="DFDFDF"/>
          </w:tcPr>
          <w:p w:rsidR="00B04AE3" w:rsidRDefault="00B04AE3">
            <w:pPr>
              <w:pStyle w:val="TableParagraph"/>
              <w:spacing w:before="62"/>
              <w:ind w:left="688" w:right="670"/>
              <w:rPr>
                <w:b/>
                <w:sz w:val="21"/>
              </w:rPr>
            </w:pPr>
            <w:r>
              <w:rPr>
                <w:rFonts w:hint="eastAsia"/>
                <w:b/>
                <w:sz w:val="21"/>
              </w:rPr>
              <w:t>危险物质</w:t>
            </w:r>
          </w:p>
        </w:tc>
        <w:tc>
          <w:tcPr>
            <w:tcW w:w="1399" w:type="dxa"/>
            <w:shd w:val="clear" w:color="auto" w:fill="DFDFDF"/>
          </w:tcPr>
          <w:p w:rsidR="00B04AE3" w:rsidRDefault="00B04AE3">
            <w:pPr>
              <w:pStyle w:val="TableParagraph"/>
              <w:spacing w:before="62"/>
              <w:ind w:left="18"/>
              <w:rPr>
                <w:b/>
                <w:sz w:val="21"/>
              </w:rPr>
            </w:pPr>
            <w:r>
              <w:rPr>
                <w:rFonts w:hint="eastAsia"/>
                <w:b/>
                <w:sz w:val="21"/>
              </w:rPr>
              <w:t>事故类型</w:t>
            </w:r>
          </w:p>
        </w:tc>
      </w:tr>
      <w:tr w:rsidR="00B04AE3">
        <w:trPr>
          <w:trHeight w:val="545"/>
        </w:trPr>
        <w:tc>
          <w:tcPr>
            <w:tcW w:w="2268" w:type="dxa"/>
          </w:tcPr>
          <w:p w:rsidR="00B04AE3" w:rsidRDefault="00B04AE3">
            <w:pPr>
              <w:pStyle w:val="TableParagraph"/>
              <w:spacing w:before="137"/>
              <w:ind w:left="373" w:right="355"/>
              <w:rPr>
                <w:sz w:val="21"/>
              </w:rPr>
            </w:pPr>
            <w:r>
              <w:rPr>
                <w:rFonts w:hint="eastAsia"/>
                <w:sz w:val="21"/>
              </w:rPr>
              <w:t>液氮、硫酸、盐酸、氢氧化钠罐区</w:t>
            </w:r>
          </w:p>
        </w:tc>
        <w:tc>
          <w:tcPr>
            <w:tcW w:w="2598" w:type="dxa"/>
          </w:tcPr>
          <w:p w:rsidR="00B04AE3" w:rsidRDefault="00B04AE3">
            <w:pPr>
              <w:pStyle w:val="TableParagraph"/>
              <w:spacing w:before="137"/>
              <w:ind w:left="543" w:right="524"/>
              <w:rPr>
                <w:sz w:val="21"/>
              </w:rPr>
            </w:pPr>
            <w:r>
              <w:rPr>
                <w:rFonts w:hint="eastAsia"/>
                <w:sz w:val="21"/>
              </w:rPr>
              <w:t>液氮、硫酸、盐酸、氢氧化钠罐区</w:t>
            </w:r>
          </w:p>
        </w:tc>
        <w:tc>
          <w:tcPr>
            <w:tcW w:w="2263" w:type="dxa"/>
          </w:tcPr>
          <w:p w:rsidR="00B04AE3" w:rsidRDefault="00B04AE3">
            <w:pPr>
              <w:pStyle w:val="TableParagraph"/>
              <w:spacing w:before="137"/>
              <w:ind w:left="685" w:right="670"/>
              <w:rPr>
                <w:sz w:val="21"/>
              </w:rPr>
            </w:pPr>
            <w:r>
              <w:rPr>
                <w:rFonts w:hint="eastAsia"/>
                <w:sz w:val="21"/>
              </w:rPr>
              <w:t>液氮、硫酸、盐酸、氢氧化钠罐区</w:t>
            </w:r>
          </w:p>
        </w:tc>
        <w:tc>
          <w:tcPr>
            <w:tcW w:w="1399" w:type="dxa"/>
          </w:tcPr>
          <w:p w:rsidR="00B04AE3" w:rsidRDefault="00B04AE3">
            <w:pPr>
              <w:pStyle w:val="TableParagraph"/>
              <w:ind w:left="95"/>
              <w:rPr>
                <w:sz w:val="21"/>
              </w:rPr>
            </w:pPr>
            <w:r>
              <w:rPr>
                <w:rFonts w:hint="eastAsia"/>
                <w:sz w:val="21"/>
              </w:rPr>
              <w:t>泄漏、火灾、</w:t>
            </w:r>
          </w:p>
          <w:p w:rsidR="00B04AE3" w:rsidRDefault="00B04AE3">
            <w:pPr>
              <w:pStyle w:val="TableParagraph"/>
              <w:spacing w:before="5" w:line="251" w:lineRule="exact"/>
              <w:ind w:left="16"/>
              <w:rPr>
                <w:sz w:val="21"/>
              </w:rPr>
            </w:pPr>
            <w:r>
              <w:rPr>
                <w:rFonts w:hint="eastAsia"/>
                <w:sz w:val="21"/>
              </w:rPr>
              <w:t>爆炸</w:t>
            </w:r>
          </w:p>
        </w:tc>
      </w:tr>
      <w:tr w:rsidR="00B04AE3">
        <w:trPr>
          <w:trHeight w:val="397"/>
        </w:trPr>
        <w:tc>
          <w:tcPr>
            <w:tcW w:w="2268" w:type="dxa"/>
          </w:tcPr>
          <w:p w:rsidR="00B04AE3" w:rsidRDefault="00B04AE3">
            <w:pPr>
              <w:pStyle w:val="TableParagraph"/>
              <w:spacing w:before="62"/>
              <w:ind w:left="370" w:right="355"/>
              <w:rPr>
                <w:sz w:val="21"/>
              </w:rPr>
            </w:pPr>
            <w:r>
              <w:rPr>
                <w:rFonts w:hint="eastAsia"/>
                <w:sz w:val="21"/>
              </w:rPr>
              <w:t>锅炉炉</w:t>
            </w:r>
          </w:p>
        </w:tc>
        <w:tc>
          <w:tcPr>
            <w:tcW w:w="2598" w:type="dxa"/>
          </w:tcPr>
          <w:p w:rsidR="00B04AE3" w:rsidRDefault="00B04AE3">
            <w:pPr>
              <w:pStyle w:val="TableParagraph"/>
              <w:spacing w:before="76"/>
              <w:ind w:left="19"/>
              <w:rPr>
                <w:rFonts w:ascii="Times New Roman"/>
                <w:sz w:val="21"/>
              </w:rPr>
            </w:pPr>
            <w:r>
              <w:rPr>
                <w:rFonts w:ascii="Times New Roman"/>
                <w:w w:val="99"/>
                <w:sz w:val="21"/>
              </w:rPr>
              <w:t>/</w:t>
            </w:r>
          </w:p>
        </w:tc>
        <w:tc>
          <w:tcPr>
            <w:tcW w:w="2263" w:type="dxa"/>
          </w:tcPr>
          <w:p w:rsidR="00B04AE3" w:rsidRDefault="00B04AE3">
            <w:pPr>
              <w:pStyle w:val="TableParagraph"/>
              <w:spacing w:before="76"/>
              <w:ind w:left="16"/>
              <w:rPr>
                <w:rFonts w:ascii="Times New Roman"/>
                <w:sz w:val="21"/>
              </w:rPr>
            </w:pPr>
            <w:r>
              <w:rPr>
                <w:rFonts w:ascii="Times New Roman"/>
                <w:w w:val="99"/>
                <w:sz w:val="21"/>
              </w:rPr>
              <w:t>/</w:t>
            </w:r>
          </w:p>
        </w:tc>
        <w:tc>
          <w:tcPr>
            <w:tcW w:w="1399" w:type="dxa"/>
          </w:tcPr>
          <w:p w:rsidR="00B04AE3" w:rsidRDefault="00B04AE3">
            <w:pPr>
              <w:pStyle w:val="TableParagraph"/>
              <w:spacing w:before="62"/>
              <w:ind w:left="18"/>
              <w:rPr>
                <w:sz w:val="21"/>
              </w:rPr>
            </w:pPr>
            <w:r>
              <w:rPr>
                <w:rFonts w:hint="eastAsia"/>
                <w:sz w:val="21"/>
              </w:rPr>
              <w:t>火灾、爆炸</w:t>
            </w:r>
          </w:p>
        </w:tc>
      </w:tr>
    </w:tbl>
    <w:p w:rsidR="00B04AE3" w:rsidRDefault="00B04AE3">
      <w:pPr>
        <w:spacing w:before="1"/>
        <w:ind w:left="817"/>
        <w:rPr>
          <w:b/>
          <w:sz w:val="24"/>
        </w:rPr>
      </w:pPr>
      <w:r>
        <w:rPr>
          <w:rFonts w:ascii="Times New Roman" w:eastAsia="Times New Roman"/>
          <w:b/>
          <w:sz w:val="24"/>
        </w:rPr>
        <w:t>2</w:t>
      </w:r>
      <w:r>
        <w:rPr>
          <w:rFonts w:hint="eastAsia"/>
          <w:b/>
          <w:sz w:val="24"/>
        </w:rPr>
        <w:t>、贮存设施风险源识别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⑴运输过程风险分析</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生产所需原辅材料、成品及产生的危险废物大多需经公路进行运输。各类危险品装卸、运输中可能由于碰撞、震动、挤压等，同时由于操作不当、重装重卸、容器多次回收利用强度强度下降、垫圈失落没有拧紧等，均易造成物品泄漏，甚至引起火灾、爆炸或污染环境等事故。同时在运输途中，由于意外各种原</w:t>
      </w:r>
    </w:p>
    <w:p w:rsidR="00B04AE3" w:rsidRDefault="00B04AE3">
      <w:pPr>
        <w:pStyle w:val="BodyText"/>
        <w:spacing w:before="20" w:line="360" w:lineRule="auto"/>
        <w:ind w:left="334" w:right="334" w:firstLine="482"/>
        <w:jc w:val="both"/>
        <w:rPr>
          <w:spacing w:val="-6"/>
          <w:szCs w:val="22"/>
        </w:rPr>
      </w:pPr>
      <w:r>
        <w:rPr>
          <w:rFonts w:hint="eastAsia"/>
          <w:spacing w:val="-6"/>
          <w:szCs w:val="22"/>
        </w:rPr>
        <w:t>因，可能发生汽车翻车等，造成危险品抛至水体、大气，造成较大事故。</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⑵储存过程风险分析</w:t>
      </w:r>
    </w:p>
    <w:p w:rsidR="00B04AE3" w:rsidRDefault="00B04AE3">
      <w:pPr>
        <w:pStyle w:val="BodyText"/>
        <w:spacing w:before="20" w:line="360" w:lineRule="auto"/>
        <w:ind w:left="334" w:right="334" w:firstLine="482"/>
        <w:jc w:val="both"/>
        <w:rPr>
          <w:spacing w:val="-6"/>
          <w:szCs w:val="22"/>
        </w:rPr>
      </w:pPr>
      <w:r>
        <w:rPr>
          <w:rFonts w:hint="eastAsia"/>
          <w:spacing w:val="-6"/>
          <w:szCs w:val="22"/>
        </w:rPr>
        <w:t>①原辅料储存：公司涉及的主要危险原料为硫酸、液氮，均存放在危化品库，</w:t>
      </w:r>
      <w:r>
        <w:rPr>
          <w:spacing w:val="-6"/>
          <w:szCs w:val="22"/>
        </w:rPr>
        <w:t xml:space="preserve"> </w:t>
      </w:r>
      <w:r>
        <w:rPr>
          <w:rFonts w:hint="eastAsia"/>
          <w:spacing w:val="-6"/>
          <w:szCs w:val="22"/>
        </w:rPr>
        <w:t>有发生泄漏、火灾、爆炸的风险。</w:t>
      </w:r>
    </w:p>
    <w:p w:rsidR="00B04AE3" w:rsidRDefault="00B04AE3">
      <w:pPr>
        <w:pStyle w:val="BodyText"/>
        <w:spacing w:before="20" w:line="360" w:lineRule="auto"/>
        <w:ind w:left="334" w:right="334" w:firstLine="482"/>
        <w:jc w:val="both"/>
        <w:rPr>
          <w:spacing w:val="-6"/>
          <w:szCs w:val="22"/>
        </w:rPr>
      </w:pPr>
      <w:r>
        <w:rPr>
          <w:rFonts w:hint="eastAsia"/>
          <w:spacing w:val="-6"/>
          <w:szCs w:val="22"/>
        </w:rPr>
        <w:t>②危险废物储存：危险固废包括废机油、废乳化液、油雾净化回收的废油、酸洗和表面清洗产生的废酸液，危险固废均交由有资质单位统一处置。</w:t>
      </w:r>
    </w:p>
    <w:p w:rsidR="00B04AE3" w:rsidRDefault="00B04AE3">
      <w:pPr>
        <w:spacing w:line="306" w:lineRule="exact"/>
        <w:ind w:left="817"/>
        <w:rPr>
          <w:b/>
          <w:sz w:val="24"/>
        </w:rPr>
      </w:pPr>
      <w:r>
        <w:rPr>
          <w:rFonts w:ascii="Times New Roman" w:eastAsia="Times New Roman"/>
          <w:b/>
          <w:sz w:val="24"/>
        </w:rPr>
        <w:t>3</w:t>
      </w:r>
      <w:r>
        <w:rPr>
          <w:rFonts w:hint="eastAsia"/>
          <w:b/>
          <w:sz w:val="24"/>
        </w:rPr>
        <w:t>、公用工程风险因素识别</w:t>
      </w:r>
    </w:p>
    <w:p w:rsidR="00B04AE3" w:rsidRDefault="00B04AE3">
      <w:pPr>
        <w:tabs>
          <w:tab w:val="left" w:pos="1692"/>
        </w:tabs>
        <w:spacing w:before="160"/>
        <w:ind w:left="492"/>
        <w:jc w:val="center"/>
        <w:rPr>
          <w:b/>
          <w:sz w:val="24"/>
        </w:rPr>
      </w:pPr>
      <w:r>
        <w:rPr>
          <w:rFonts w:hint="eastAsia"/>
          <w:b/>
          <w:sz w:val="24"/>
        </w:rPr>
        <w:t>表</w:t>
      </w:r>
      <w:r>
        <w:rPr>
          <w:b/>
          <w:spacing w:val="-2"/>
          <w:sz w:val="24"/>
        </w:rPr>
        <w:t xml:space="preserve"> </w:t>
      </w:r>
      <w:r>
        <w:rPr>
          <w:rFonts w:ascii="Times New Roman" w:eastAsia="Times New Roman"/>
          <w:b/>
          <w:sz w:val="24"/>
        </w:rPr>
        <w:t>3.1-</w:t>
      </w:r>
      <w:r>
        <w:rPr>
          <w:rFonts w:ascii="Times New Roman"/>
          <w:b/>
          <w:sz w:val="24"/>
          <w:lang w:val="en-US"/>
        </w:rPr>
        <w:t>8</w:t>
      </w:r>
      <w:r>
        <w:rPr>
          <w:rFonts w:ascii="Times New Roman" w:eastAsia="Times New Roman"/>
          <w:b/>
          <w:sz w:val="24"/>
        </w:rPr>
        <w:tab/>
      </w:r>
      <w:r>
        <w:rPr>
          <w:rFonts w:hint="eastAsia"/>
          <w:b/>
          <w:sz w:val="24"/>
        </w:rPr>
        <w:t>公用工程风险因素识别</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510"/>
        <w:gridCol w:w="721"/>
        <w:gridCol w:w="723"/>
        <w:gridCol w:w="1984"/>
        <w:gridCol w:w="4590"/>
      </w:tblGrid>
      <w:tr w:rsidR="00B04AE3">
        <w:trPr>
          <w:trHeight w:val="480"/>
        </w:trPr>
        <w:tc>
          <w:tcPr>
            <w:tcW w:w="510" w:type="dxa"/>
            <w:shd w:val="clear" w:color="auto" w:fill="DFDFDF"/>
          </w:tcPr>
          <w:p w:rsidR="00B04AE3" w:rsidRDefault="00B04AE3">
            <w:pPr>
              <w:pStyle w:val="TableParagraph"/>
              <w:spacing w:line="240" w:lineRule="exact"/>
              <w:ind w:left="149" w:right="139"/>
              <w:jc w:val="left"/>
              <w:rPr>
                <w:b/>
                <w:sz w:val="21"/>
              </w:rPr>
            </w:pPr>
            <w:r>
              <w:rPr>
                <w:rFonts w:hint="eastAsia"/>
                <w:b/>
                <w:sz w:val="21"/>
              </w:rPr>
              <w:t>序号</w:t>
            </w:r>
          </w:p>
        </w:tc>
        <w:tc>
          <w:tcPr>
            <w:tcW w:w="721" w:type="dxa"/>
            <w:shd w:val="clear" w:color="auto" w:fill="DFDFDF"/>
          </w:tcPr>
          <w:p w:rsidR="00B04AE3" w:rsidRDefault="00B04AE3">
            <w:pPr>
              <w:pStyle w:val="TableParagraph"/>
              <w:spacing w:line="240" w:lineRule="exact"/>
              <w:ind w:left="150" w:right="138"/>
              <w:jc w:val="left"/>
              <w:rPr>
                <w:b/>
                <w:sz w:val="21"/>
              </w:rPr>
            </w:pPr>
            <w:r>
              <w:rPr>
                <w:rFonts w:hint="eastAsia"/>
                <w:b/>
                <w:sz w:val="21"/>
              </w:rPr>
              <w:t>危险目标</w:t>
            </w:r>
          </w:p>
        </w:tc>
        <w:tc>
          <w:tcPr>
            <w:tcW w:w="723" w:type="dxa"/>
            <w:shd w:val="clear" w:color="auto" w:fill="DFDFDF"/>
          </w:tcPr>
          <w:p w:rsidR="00B04AE3" w:rsidRDefault="00B04AE3">
            <w:pPr>
              <w:pStyle w:val="TableParagraph"/>
              <w:spacing w:line="240" w:lineRule="exact"/>
              <w:ind w:left="151" w:right="139"/>
              <w:jc w:val="left"/>
              <w:rPr>
                <w:b/>
                <w:sz w:val="21"/>
              </w:rPr>
            </w:pPr>
            <w:r>
              <w:rPr>
                <w:rFonts w:hint="eastAsia"/>
                <w:b/>
                <w:sz w:val="21"/>
              </w:rPr>
              <w:t>事故类别</w:t>
            </w:r>
          </w:p>
        </w:tc>
        <w:tc>
          <w:tcPr>
            <w:tcW w:w="1984" w:type="dxa"/>
            <w:shd w:val="clear" w:color="auto" w:fill="DFDFDF"/>
          </w:tcPr>
          <w:p w:rsidR="00B04AE3" w:rsidRDefault="00B04AE3">
            <w:pPr>
              <w:pStyle w:val="TableParagraph"/>
              <w:spacing w:before="102"/>
              <w:ind w:left="571"/>
              <w:jc w:val="left"/>
              <w:rPr>
                <w:b/>
                <w:sz w:val="21"/>
              </w:rPr>
            </w:pPr>
            <w:r>
              <w:rPr>
                <w:rFonts w:hint="eastAsia"/>
                <w:b/>
                <w:sz w:val="21"/>
              </w:rPr>
              <w:t>事故诱因</w:t>
            </w:r>
          </w:p>
        </w:tc>
        <w:tc>
          <w:tcPr>
            <w:tcW w:w="4590" w:type="dxa"/>
            <w:shd w:val="clear" w:color="auto" w:fill="DFDFDF"/>
          </w:tcPr>
          <w:p w:rsidR="00B04AE3" w:rsidRDefault="00B04AE3">
            <w:pPr>
              <w:pStyle w:val="TableParagraph"/>
              <w:spacing w:before="102"/>
              <w:ind w:left="1854" w:right="1842"/>
              <w:rPr>
                <w:b/>
                <w:sz w:val="21"/>
              </w:rPr>
            </w:pPr>
            <w:r>
              <w:rPr>
                <w:rFonts w:hint="eastAsia"/>
                <w:b/>
                <w:sz w:val="21"/>
              </w:rPr>
              <w:t>危害类型</w:t>
            </w:r>
          </w:p>
        </w:tc>
      </w:tr>
      <w:tr w:rsidR="00B04AE3">
        <w:trPr>
          <w:trHeight w:val="1440"/>
        </w:trPr>
        <w:tc>
          <w:tcPr>
            <w:tcW w:w="510" w:type="dxa"/>
          </w:tcPr>
          <w:p w:rsidR="00B04AE3" w:rsidRDefault="00B04AE3">
            <w:pPr>
              <w:pStyle w:val="TableParagraph"/>
              <w:jc w:val="left"/>
              <w:rPr>
                <w:b/>
              </w:rPr>
            </w:pPr>
          </w:p>
          <w:p w:rsidR="00B04AE3" w:rsidRDefault="00B04AE3">
            <w:pPr>
              <w:pStyle w:val="TableParagraph"/>
              <w:spacing w:before="6"/>
              <w:jc w:val="left"/>
              <w:rPr>
                <w:b/>
                <w:sz w:val="24"/>
              </w:rPr>
            </w:pPr>
          </w:p>
          <w:p w:rsidR="00B04AE3" w:rsidRDefault="00B04AE3">
            <w:pPr>
              <w:pStyle w:val="TableParagraph"/>
              <w:ind w:left="8"/>
              <w:rPr>
                <w:rFonts w:ascii="Times New Roman"/>
                <w:sz w:val="21"/>
              </w:rPr>
            </w:pPr>
            <w:r>
              <w:rPr>
                <w:rFonts w:ascii="Times New Roman"/>
                <w:w w:val="99"/>
                <w:sz w:val="21"/>
              </w:rPr>
              <w:t>1</w:t>
            </w:r>
          </w:p>
        </w:tc>
        <w:tc>
          <w:tcPr>
            <w:tcW w:w="721" w:type="dxa"/>
          </w:tcPr>
          <w:p w:rsidR="00B04AE3" w:rsidRDefault="00B04AE3">
            <w:pPr>
              <w:pStyle w:val="TableParagraph"/>
              <w:jc w:val="left"/>
              <w:rPr>
                <w:b/>
                <w:sz w:val="20"/>
              </w:rPr>
            </w:pPr>
          </w:p>
          <w:p w:rsidR="00B04AE3" w:rsidRDefault="00B04AE3">
            <w:pPr>
              <w:pStyle w:val="TableParagraph"/>
              <w:spacing w:before="10"/>
              <w:jc w:val="left"/>
              <w:rPr>
                <w:b/>
                <w:sz w:val="17"/>
              </w:rPr>
            </w:pPr>
          </w:p>
          <w:p w:rsidR="00B04AE3" w:rsidRDefault="00B04AE3">
            <w:pPr>
              <w:pStyle w:val="TableParagraph"/>
              <w:spacing w:before="1" w:line="213" w:lineRule="auto"/>
              <w:ind w:left="150" w:right="140"/>
              <w:jc w:val="left"/>
              <w:rPr>
                <w:sz w:val="21"/>
              </w:rPr>
            </w:pPr>
            <w:r>
              <w:rPr>
                <w:rFonts w:hint="eastAsia"/>
                <w:sz w:val="21"/>
              </w:rPr>
              <w:t>突发停电</w:t>
            </w:r>
          </w:p>
        </w:tc>
        <w:tc>
          <w:tcPr>
            <w:tcW w:w="723" w:type="dxa"/>
          </w:tcPr>
          <w:p w:rsidR="00B04AE3" w:rsidRDefault="00B04AE3">
            <w:pPr>
              <w:pStyle w:val="TableParagraph"/>
              <w:jc w:val="left"/>
              <w:rPr>
                <w:b/>
                <w:sz w:val="20"/>
              </w:rPr>
            </w:pPr>
          </w:p>
          <w:p w:rsidR="00B04AE3" w:rsidRDefault="00B04AE3">
            <w:pPr>
              <w:pStyle w:val="TableParagraph"/>
              <w:spacing w:before="10"/>
              <w:jc w:val="left"/>
              <w:rPr>
                <w:b/>
                <w:sz w:val="17"/>
              </w:rPr>
            </w:pPr>
          </w:p>
          <w:p w:rsidR="00B04AE3" w:rsidRDefault="00B04AE3">
            <w:pPr>
              <w:pStyle w:val="TableParagraph"/>
              <w:spacing w:before="1" w:line="213" w:lineRule="auto"/>
              <w:ind w:left="151" w:right="141"/>
              <w:jc w:val="left"/>
              <w:rPr>
                <w:sz w:val="21"/>
              </w:rPr>
            </w:pPr>
            <w:r>
              <w:rPr>
                <w:rFonts w:hint="eastAsia"/>
                <w:sz w:val="21"/>
              </w:rPr>
              <w:t>环境污染</w:t>
            </w:r>
          </w:p>
        </w:tc>
        <w:tc>
          <w:tcPr>
            <w:tcW w:w="1984" w:type="dxa"/>
          </w:tcPr>
          <w:p w:rsidR="00B04AE3" w:rsidRDefault="00B04AE3">
            <w:pPr>
              <w:pStyle w:val="TableParagraph"/>
              <w:spacing w:before="6"/>
              <w:jc w:val="left"/>
              <w:rPr>
                <w:b/>
                <w:sz w:val="28"/>
              </w:rPr>
            </w:pPr>
          </w:p>
          <w:p w:rsidR="00B04AE3" w:rsidRDefault="00B04AE3">
            <w:pPr>
              <w:pStyle w:val="TableParagraph"/>
              <w:spacing w:line="213" w:lineRule="auto"/>
              <w:ind w:left="151" w:right="143"/>
              <w:rPr>
                <w:sz w:val="21"/>
              </w:rPr>
            </w:pPr>
            <w:r>
              <w:rPr>
                <w:rFonts w:hint="eastAsia"/>
                <w:sz w:val="21"/>
              </w:rPr>
              <w:t>废气治理设施等不能工作，导致废气排放超标。</w:t>
            </w:r>
          </w:p>
        </w:tc>
        <w:tc>
          <w:tcPr>
            <w:tcW w:w="4590" w:type="dxa"/>
          </w:tcPr>
          <w:p w:rsidR="00B04AE3" w:rsidRDefault="00B04AE3">
            <w:pPr>
              <w:pStyle w:val="TableParagraph"/>
              <w:spacing w:line="213" w:lineRule="auto"/>
              <w:ind w:left="151" w:right="143"/>
              <w:jc w:val="left"/>
              <w:rPr>
                <w:sz w:val="21"/>
              </w:rPr>
            </w:pPr>
            <w:r>
              <w:rPr>
                <w:sz w:val="21"/>
              </w:rPr>
              <w:t>1</w:t>
            </w:r>
            <w:r>
              <w:rPr>
                <w:rFonts w:hint="eastAsia"/>
                <w:sz w:val="21"/>
              </w:rPr>
              <w:t>、大气环境污染。</w:t>
            </w:r>
          </w:p>
          <w:p w:rsidR="00B04AE3" w:rsidRDefault="00B04AE3">
            <w:pPr>
              <w:pStyle w:val="TableParagraph"/>
              <w:spacing w:line="213" w:lineRule="auto"/>
              <w:ind w:left="151" w:right="143"/>
              <w:jc w:val="left"/>
              <w:rPr>
                <w:sz w:val="21"/>
              </w:rPr>
            </w:pPr>
            <w:r>
              <w:rPr>
                <w:sz w:val="21"/>
              </w:rPr>
              <w:t>2</w:t>
            </w:r>
            <w:r>
              <w:rPr>
                <w:rFonts w:hint="eastAsia"/>
                <w:sz w:val="21"/>
              </w:rPr>
              <w:t>、若未采取有效的防护措施，泄露或爆炸产生</w:t>
            </w:r>
            <w:r>
              <w:rPr>
                <w:sz w:val="21"/>
              </w:rPr>
              <w:t xml:space="preserve"> </w:t>
            </w:r>
            <w:r>
              <w:rPr>
                <w:rFonts w:hint="eastAsia"/>
                <w:sz w:val="21"/>
              </w:rPr>
              <w:t>的腐蚀性废气会使人员灼伤。</w:t>
            </w:r>
          </w:p>
          <w:p w:rsidR="00B04AE3" w:rsidRDefault="00B04AE3">
            <w:pPr>
              <w:pStyle w:val="TableParagraph"/>
              <w:spacing w:line="213" w:lineRule="auto"/>
              <w:ind w:left="151" w:right="143"/>
              <w:jc w:val="left"/>
              <w:rPr>
                <w:sz w:val="21"/>
              </w:rPr>
            </w:pPr>
            <w:r>
              <w:rPr>
                <w:sz w:val="21"/>
              </w:rPr>
              <w:t>3</w:t>
            </w:r>
            <w:r>
              <w:rPr>
                <w:rFonts w:hint="eastAsia"/>
                <w:sz w:val="21"/>
              </w:rPr>
              <w:t>、消防过程中产生的废水处置不当污染水体。</w:t>
            </w:r>
          </w:p>
          <w:p w:rsidR="00B04AE3" w:rsidRDefault="00B04AE3">
            <w:pPr>
              <w:pStyle w:val="TableParagraph"/>
              <w:spacing w:line="213" w:lineRule="auto"/>
              <w:ind w:left="151" w:right="143"/>
              <w:jc w:val="left"/>
              <w:rPr>
                <w:sz w:val="21"/>
              </w:rPr>
            </w:pPr>
            <w:r>
              <w:rPr>
                <w:sz w:val="21"/>
              </w:rPr>
              <w:t>4</w:t>
            </w:r>
            <w:r>
              <w:rPr>
                <w:rFonts w:hint="eastAsia"/>
                <w:sz w:val="21"/>
              </w:rPr>
              <w:t>、未按规定建立应急防护、检测、监视、报警</w:t>
            </w:r>
            <w:r>
              <w:rPr>
                <w:sz w:val="21"/>
              </w:rPr>
              <w:t xml:space="preserve"> </w:t>
            </w:r>
            <w:r>
              <w:rPr>
                <w:rFonts w:hint="eastAsia"/>
                <w:sz w:val="21"/>
              </w:rPr>
              <w:t>设备等导致事故扩大。</w:t>
            </w:r>
          </w:p>
        </w:tc>
      </w:tr>
    </w:tbl>
    <w:p w:rsidR="00B04AE3" w:rsidRDefault="00B04AE3">
      <w:pPr>
        <w:spacing w:before="2"/>
        <w:ind w:left="817"/>
        <w:rPr>
          <w:b/>
          <w:sz w:val="24"/>
        </w:rPr>
      </w:pPr>
      <w:r>
        <w:rPr>
          <w:rFonts w:ascii="Times New Roman" w:eastAsia="Times New Roman"/>
          <w:b/>
          <w:sz w:val="24"/>
        </w:rPr>
        <w:t>4</w:t>
      </w:r>
      <w:r>
        <w:rPr>
          <w:rFonts w:hint="eastAsia"/>
          <w:b/>
          <w:sz w:val="24"/>
        </w:rPr>
        <w:t>、环保设施和环境管理风险因素识别</w:t>
      </w:r>
    </w:p>
    <w:p w:rsidR="00B04AE3" w:rsidRDefault="00B04AE3">
      <w:pPr>
        <w:tabs>
          <w:tab w:val="left" w:pos="1694"/>
        </w:tabs>
        <w:spacing w:before="160" w:after="2"/>
        <w:ind w:left="494"/>
        <w:jc w:val="center"/>
        <w:rPr>
          <w:b/>
          <w:sz w:val="24"/>
        </w:rPr>
      </w:pPr>
      <w:r>
        <w:rPr>
          <w:rFonts w:hint="eastAsia"/>
          <w:b/>
          <w:sz w:val="24"/>
        </w:rPr>
        <w:t>表</w:t>
      </w:r>
      <w:r>
        <w:rPr>
          <w:b/>
          <w:spacing w:val="-2"/>
          <w:sz w:val="24"/>
        </w:rPr>
        <w:t xml:space="preserve"> </w:t>
      </w:r>
      <w:r>
        <w:rPr>
          <w:rFonts w:ascii="Times New Roman" w:eastAsia="Times New Roman"/>
          <w:b/>
          <w:sz w:val="24"/>
        </w:rPr>
        <w:t>3.1-</w:t>
      </w:r>
      <w:r>
        <w:rPr>
          <w:rFonts w:ascii="Times New Roman"/>
          <w:b/>
          <w:sz w:val="24"/>
          <w:lang w:val="en-US"/>
        </w:rPr>
        <w:t>9</w:t>
      </w:r>
      <w:r>
        <w:rPr>
          <w:rFonts w:ascii="Times New Roman" w:eastAsia="Times New Roman"/>
          <w:b/>
          <w:sz w:val="24"/>
        </w:rPr>
        <w:tab/>
      </w:r>
      <w:r>
        <w:rPr>
          <w:rFonts w:hint="eastAsia"/>
          <w:b/>
          <w:sz w:val="24"/>
        </w:rPr>
        <w:t>本工程环保设施风险因素识别</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13"/>
        <w:gridCol w:w="851"/>
        <w:gridCol w:w="851"/>
        <w:gridCol w:w="4600"/>
        <w:gridCol w:w="1613"/>
      </w:tblGrid>
      <w:tr w:rsidR="00B04AE3">
        <w:trPr>
          <w:trHeight w:val="480"/>
        </w:trPr>
        <w:tc>
          <w:tcPr>
            <w:tcW w:w="613" w:type="dxa"/>
            <w:shd w:val="clear" w:color="auto" w:fill="DFDFDF"/>
          </w:tcPr>
          <w:p w:rsidR="00B04AE3" w:rsidRDefault="00B04AE3">
            <w:pPr>
              <w:pStyle w:val="TableParagraph"/>
              <w:spacing w:line="240" w:lineRule="exact"/>
              <w:ind w:left="199" w:right="192"/>
              <w:jc w:val="left"/>
              <w:rPr>
                <w:b/>
                <w:sz w:val="21"/>
              </w:rPr>
            </w:pPr>
            <w:r>
              <w:rPr>
                <w:rFonts w:hint="eastAsia"/>
                <w:b/>
                <w:sz w:val="21"/>
              </w:rPr>
              <w:t>序号</w:t>
            </w:r>
          </w:p>
        </w:tc>
        <w:tc>
          <w:tcPr>
            <w:tcW w:w="851" w:type="dxa"/>
            <w:shd w:val="clear" w:color="auto" w:fill="DFDFDF"/>
          </w:tcPr>
          <w:p w:rsidR="00B04AE3" w:rsidRDefault="00B04AE3">
            <w:pPr>
              <w:pStyle w:val="TableParagraph"/>
              <w:spacing w:line="240" w:lineRule="exact"/>
              <w:ind w:left="318" w:right="97" w:hanging="209"/>
              <w:jc w:val="left"/>
              <w:rPr>
                <w:b/>
                <w:sz w:val="21"/>
              </w:rPr>
            </w:pPr>
            <w:r>
              <w:rPr>
                <w:rFonts w:hint="eastAsia"/>
                <w:b/>
                <w:sz w:val="21"/>
              </w:rPr>
              <w:t>危险目标</w:t>
            </w:r>
          </w:p>
        </w:tc>
        <w:tc>
          <w:tcPr>
            <w:tcW w:w="851" w:type="dxa"/>
            <w:shd w:val="clear" w:color="auto" w:fill="DFDFDF"/>
          </w:tcPr>
          <w:p w:rsidR="00B04AE3" w:rsidRDefault="00B04AE3">
            <w:pPr>
              <w:pStyle w:val="TableParagraph"/>
              <w:spacing w:line="240" w:lineRule="exact"/>
              <w:ind w:left="213" w:right="204"/>
              <w:jc w:val="left"/>
              <w:rPr>
                <w:b/>
                <w:sz w:val="21"/>
              </w:rPr>
            </w:pPr>
            <w:r>
              <w:rPr>
                <w:rFonts w:hint="eastAsia"/>
                <w:b/>
                <w:sz w:val="21"/>
              </w:rPr>
              <w:t>事故类别</w:t>
            </w:r>
          </w:p>
        </w:tc>
        <w:tc>
          <w:tcPr>
            <w:tcW w:w="4600" w:type="dxa"/>
            <w:shd w:val="clear" w:color="auto" w:fill="DFDFDF"/>
          </w:tcPr>
          <w:p w:rsidR="00B04AE3" w:rsidRDefault="00B04AE3">
            <w:pPr>
              <w:pStyle w:val="TableParagraph"/>
              <w:spacing w:before="102"/>
              <w:ind w:left="1859" w:right="1846"/>
              <w:rPr>
                <w:b/>
                <w:sz w:val="21"/>
              </w:rPr>
            </w:pPr>
            <w:r>
              <w:rPr>
                <w:rFonts w:hint="eastAsia"/>
                <w:b/>
                <w:sz w:val="21"/>
              </w:rPr>
              <w:t>事故诱因</w:t>
            </w:r>
          </w:p>
        </w:tc>
        <w:tc>
          <w:tcPr>
            <w:tcW w:w="1613" w:type="dxa"/>
            <w:shd w:val="clear" w:color="auto" w:fill="DFDFDF"/>
          </w:tcPr>
          <w:p w:rsidR="00B04AE3" w:rsidRDefault="00B04AE3">
            <w:pPr>
              <w:pStyle w:val="TableParagraph"/>
              <w:spacing w:before="102"/>
              <w:ind w:left="386"/>
              <w:jc w:val="left"/>
              <w:rPr>
                <w:b/>
                <w:sz w:val="21"/>
              </w:rPr>
            </w:pPr>
            <w:r>
              <w:rPr>
                <w:rFonts w:hint="eastAsia"/>
                <w:b/>
                <w:sz w:val="21"/>
              </w:rPr>
              <w:t>危害类型</w:t>
            </w:r>
          </w:p>
        </w:tc>
      </w:tr>
      <w:tr w:rsidR="00B04AE3">
        <w:trPr>
          <w:trHeight w:val="720"/>
        </w:trPr>
        <w:tc>
          <w:tcPr>
            <w:tcW w:w="613" w:type="dxa"/>
          </w:tcPr>
          <w:p w:rsidR="00B04AE3" w:rsidRDefault="00B04AE3">
            <w:pPr>
              <w:pStyle w:val="TableParagraph"/>
              <w:spacing w:before="4"/>
              <w:jc w:val="left"/>
              <w:rPr>
                <w:b/>
                <w:sz w:val="18"/>
              </w:rPr>
            </w:pPr>
          </w:p>
          <w:p w:rsidR="00B04AE3" w:rsidRDefault="00B04AE3">
            <w:pPr>
              <w:pStyle w:val="TableParagraph"/>
              <w:spacing w:before="1"/>
              <w:ind w:left="11"/>
              <w:rPr>
                <w:rFonts w:ascii="Times New Roman"/>
                <w:sz w:val="21"/>
              </w:rPr>
            </w:pPr>
            <w:r>
              <w:rPr>
                <w:rFonts w:ascii="Times New Roman"/>
                <w:w w:val="99"/>
                <w:sz w:val="21"/>
              </w:rPr>
              <w:t>1</w:t>
            </w:r>
          </w:p>
        </w:tc>
        <w:tc>
          <w:tcPr>
            <w:tcW w:w="851" w:type="dxa"/>
          </w:tcPr>
          <w:p w:rsidR="00B04AE3" w:rsidRDefault="00B04AE3">
            <w:pPr>
              <w:pStyle w:val="TableParagraph"/>
              <w:spacing w:line="213" w:lineRule="auto"/>
              <w:ind w:left="151" w:right="143"/>
              <w:jc w:val="left"/>
              <w:rPr>
                <w:sz w:val="21"/>
              </w:rPr>
            </w:pPr>
            <w:r>
              <w:rPr>
                <w:rFonts w:hint="eastAsia"/>
                <w:sz w:val="21"/>
              </w:rPr>
              <w:t>雨污水回收系</w:t>
            </w:r>
          </w:p>
          <w:p w:rsidR="00B04AE3" w:rsidRDefault="00B04AE3">
            <w:pPr>
              <w:pStyle w:val="TableParagraph"/>
              <w:spacing w:line="213" w:lineRule="auto"/>
              <w:ind w:left="151" w:right="143"/>
              <w:jc w:val="left"/>
              <w:rPr>
                <w:sz w:val="21"/>
              </w:rPr>
            </w:pPr>
            <w:r>
              <w:rPr>
                <w:rFonts w:hint="eastAsia"/>
                <w:sz w:val="21"/>
              </w:rPr>
              <w:t>统</w:t>
            </w:r>
          </w:p>
        </w:tc>
        <w:tc>
          <w:tcPr>
            <w:tcW w:w="851" w:type="dxa"/>
          </w:tcPr>
          <w:p w:rsidR="00B04AE3" w:rsidRDefault="00B04AE3">
            <w:pPr>
              <w:pStyle w:val="TableParagraph"/>
              <w:spacing w:line="213" w:lineRule="auto"/>
              <w:ind w:left="151" w:right="143"/>
              <w:jc w:val="left"/>
              <w:rPr>
                <w:sz w:val="21"/>
              </w:rPr>
            </w:pPr>
            <w:r>
              <w:rPr>
                <w:rFonts w:hint="eastAsia"/>
                <w:sz w:val="21"/>
              </w:rPr>
              <w:t>水体污染</w:t>
            </w:r>
          </w:p>
        </w:tc>
        <w:tc>
          <w:tcPr>
            <w:tcW w:w="4600" w:type="dxa"/>
          </w:tcPr>
          <w:p w:rsidR="00B04AE3" w:rsidRDefault="00B04AE3">
            <w:pPr>
              <w:pStyle w:val="TableParagraph"/>
              <w:spacing w:line="213" w:lineRule="auto"/>
              <w:ind w:left="151" w:right="143"/>
              <w:jc w:val="left"/>
              <w:rPr>
                <w:sz w:val="21"/>
              </w:rPr>
            </w:pPr>
            <w:r>
              <w:rPr>
                <w:sz w:val="21"/>
              </w:rPr>
              <w:t>1</w:t>
            </w:r>
            <w:r>
              <w:rPr>
                <w:rFonts w:hint="eastAsia"/>
                <w:sz w:val="21"/>
              </w:rPr>
              <w:t>、污水未处理直接排出，对水质造成污染。</w:t>
            </w:r>
          </w:p>
          <w:p w:rsidR="00B04AE3" w:rsidRDefault="00B04AE3">
            <w:pPr>
              <w:pStyle w:val="TableParagraph"/>
              <w:spacing w:line="213" w:lineRule="auto"/>
              <w:ind w:left="151" w:right="143"/>
              <w:jc w:val="left"/>
              <w:rPr>
                <w:sz w:val="21"/>
              </w:rPr>
            </w:pPr>
            <w:r>
              <w:rPr>
                <w:sz w:val="21"/>
              </w:rPr>
              <w:t>2</w:t>
            </w:r>
            <w:r>
              <w:rPr>
                <w:rFonts w:hint="eastAsia"/>
                <w:sz w:val="21"/>
              </w:rPr>
              <w:t>、雨污未分流，导致雨水与污水混合后经雨水排放口排出，造成污染事故。</w:t>
            </w:r>
          </w:p>
        </w:tc>
        <w:tc>
          <w:tcPr>
            <w:tcW w:w="1613" w:type="dxa"/>
          </w:tcPr>
          <w:p w:rsidR="00B04AE3" w:rsidRDefault="00B04AE3">
            <w:pPr>
              <w:pStyle w:val="TableParagraph"/>
              <w:spacing w:before="3"/>
              <w:jc w:val="left"/>
              <w:rPr>
                <w:b/>
                <w:sz w:val="17"/>
              </w:rPr>
            </w:pPr>
          </w:p>
          <w:p w:rsidR="00B04AE3" w:rsidRDefault="00B04AE3">
            <w:pPr>
              <w:pStyle w:val="TableParagraph"/>
              <w:ind w:left="386"/>
              <w:jc w:val="left"/>
              <w:rPr>
                <w:sz w:val="21"/>
              </w:rPr>
            </w:pPr>
            <w:r>
              <w:rPr>
                <w:rFonts w:hint="eastAsia"/>
                <w:sz w:val="21"/>
              </w:rPr>
              <w:t>水体污染</w:t>
            </w:r>
          </w:p>
        </w:tc>
      </w:tr>
      <w:tr w:rsidR="00B04AE3">
        <w:trPr>
          <w:trHeight w:val="1680"/>
        </w:trPr>
        <w:tc>
          <w:tcPr>
            <w:tcW w:w="613" w:type="dxa"/>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151"/>
              <w:ind w:left="11"/>
              <w:rPr>
                <w:rFonts w:ascii="Times New Roman"/>
                <w:sz w:val="21"/>
              </w:rPr>
            </w:pPr>
            <w:r>
              <w:rPr>
                <w:rFonts w:ascii="Times New Roman"/>
                <w:w w:val="99"/>
                <w:sz w:val="21"/>
              </w:rPr>
              <w:t>2</w:t>
            </w:r>
          </w:p>
        </w:tc>
        <w:tc>
          <w:tcPr>
            <w:tcW w:w="851" w:type="dxa"/>
          </w:tcPr>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r>
              <w:rPr>
                <w:rFonts w:hint="eastAsia"/>
                <w:sz w:val="21"/>
              </w:rPr>
              <w:t>废气处理系统</w:t>
            </w:r>
          </w:p>
        </w:tc>
        <w:tc>
          <w:tcPr>
            <w:tcW w:w="851" w:type="dxa"/>
          </w:tcPr>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r>
              <w:rPr>
                <w:rFonts w:hint="eastAsia"/>
                <w:sz w:val="21"/>
              </w:rPr>
              <w:t>大气污染</w:t>
            </w:r>
          </w:p>
        </w:tc>
        <w:tc>
          <w:tcPr>
            <w:tcW w:w="4600" w:type="dxa"/>
          </w:tcPr>
          <w:p w:rsidR="00B04AE3" w:rsidRDefault="00B04AE3">
            <w:pPr>
              <w:pStyle w:val="TableParagraph"/>
              <w:spacing w:line="213" w:lineRule="auto"/>
              <w:ind w:left="151" w:right="143"/>
              <w:jc w:val="left"/>
              <w:rPr>
                <w:sz w:val="21"/>
              </w:rPr>
            </w:pPr>
            <w:r>
              <w:rPr>
                <w:sz w:val="21"/>
              </w:rPr>
              <w:t>1</w:t>
            </w:r>
            <w:r>
              <w:rPr>
                <w:rFonts w:hint="eastAsia"/>
                <w:sz w:val="21"/>
              </w:rPr>
              <w:t>、突发性停水、停电可导致废气处理装置无法</w:t>
            </w:r>
            <w:r>
              <w:rPr>
                <w:sz w:val="21"/>
              </w:rPr>
              <w:t xml:space="preserve"> </w:t>
            </w:r>
            <w:r>
              <w:rPr>
                <w:rFonts w:hint="eastAsia"/>
                <w:sz w:val="21"/>
              </w:rPr>
              <w:t>运行，导致废气超标排放，从而导致大气污染事</w:t>
            </w:r>
            <w:r>
              <w:rPr>
                <w:sz w:val="21"/>
              </w:rPr>
              <w:t xml:space="preserve"> </w:t>
            </w:r>
            <w:r>
              <w:rPr>
                <w:rFonts w:hint="eastAsia"/>
                <w:sz w:val="21"/>
              </w:rPr>
              <w:t>故。</w:t>
            </w:r>
          </w:p>
          <w:p w:rsidR="00B04AE3" w:rsidRDefault="00B04AE3">
            <w:pPr>
              <w:pStyle w:val="TableParagraph"/>
              <w:spacing w:line="213" w:lineRule="auto"/>
              <w:ind w:left="151" w:right="143"/>
              <w:jc w:val="left"/>
              <w:rPr>
                <w:sz w:val="21"/>
              </w:rPr>
            </w:pPr>
            <w:r>
              <w:rPr>
                <w:sz w:val="21"/>
              </w:rPr>
              <w:t>2</w:t>
            </w:r>
            <w:r>
              <w:rPr>
                <w:rFonts w:hint="eastAsia"/>
                <w:sz w:val="21"/>
              </w:rPr>
              <w:t>、突发性停电可导致引风机无法吸收停电前系统产生的废气，从而导致污染事故。</w:t>
            </w:r>
          </w:p>
          <w:p w:rsidR="00B04AE3" w:rsidRDefault="00B04AE3">
            <w:pPr>
              <w:pStyle w:val="TableParagraph"/>
              <w:spacing w:line="213" w:lineRule="auto"/>
              <w:ind w:left="151" w:right="143"/>
              <w:jc w:val="left"/>
              <w:rPr>
                <w:sz w:val="21"/>
              </w:rPr>
            </w:pPr>
            <w:r>
              <w:rPr>
                <w:sz w:val="21"/>
              </w:rPr>
              <w:t>3</w:t>
            </w:r>
            <w:r>
              <w:rPr>
                <w:rFonts w:hint="eastAsia"/>
                <w:sz w:val="21"/>
              </w:rPr>
              <w:t>、环保设备出现故障或腐蚀，可导致无法正常</w:t>
            </w:r>
          </w:p>
          <w:p w:rsidR="00B04AE3" w:rsidRDefault="00B04AE3">
            <w:pPr>
              <w:pStyle w:val="TableParagraph"/>
              <w:spacing w:line="213" w:lineRule="auto"/>
              <w:ind w:left="151" w:right="143"/>
              <w:jc w:val="left"/>
              <w:rPr>
                <w:sz w:val="21"/>
              </w:rPr>
            </w:pPr>
            <w:r>
              <w:rPr>
                <w:rFonts w:hint="eastAsia"/>
                <w:sz w:val="21"/>
              </w:rPr>
              <w:t>吸收反应生成的废气，存在环境污染隐患。</w:t>
            </w:r>
          </w:p>
        </w:tc>
        <w:tc>
          <w:tcPr>
            <w:tcW w:w="1613" w:type="dxa"/>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9"/>
              <w:jc w:val="left"/>
              <w:rPr>
                <w:b/>
                <w:sz w:val="14"/>
              </w:rPr>
            </w:pPr>
          </w:p>
          <w:p w:rsidR="00B04AE3" w:rsidRDefault="00B04AE3">
            <w:pPr>
              <w:pStyle w:val="TableParagraph"/>
              <w:ind w:left="386"/>
              <w:jc w:val="left"/>
              <w:rPr>
                <w:sz w:val="21"/>
              </w:rPr>
            </w:pPr>
            <w:r>
              <w:rPr>
                <w:rFonts w:hint="eastAsia"/>
                <w:sz w:val="21"/>
              </w:rPr>
              <w:t>大气污染</w:t>
            </w:r>
          </w:p>
        </w:tc>
      </w:tr>
      <w:tr w:rsidR="00B04AE3">
        <w:trPr>
          <w:trHeight w:val="724"/>
        </w:trPr>
        <w:tc>
          <w:tcPr>
            <w:tcW w:w="613" w:type="dxa"/>
          </w:tcPr>
          <w:p w:rsidR="00B04AE3" w:rsidRDefault="00B04AE3">
            <w:pPr>
              <w:pStyle w:val="TableParagraph"/>
              <w:spacing w:before="6"/>
              <w:jc w:val="left"/>
              <w:rPr>
                <w:b/>
                <w:sz w:val="18"/>
              </w:rPr>
            </w:pPr>
          </w:p>
          <w:p w:rsidR="00B04AE3" w:rsidRDefault="00B04AE3">
            <w:pPr>
              <w:pStyle w:val="TableParagraph"/>
              <w:ind w:left="11"/>
              <w:rPr>
                <w:rFonts w:ascii="Times New Roman"/>
                <w:sz w:val="21"/>
              </w:rPr>
            </w:pPr>
            <w:r>
              <w:rPr>
                <w:rFonts w:ascii="Times New Roman"/>
                <w:w w:val="99"/>
                <w:sz w:val="21"/>
              </w:rPr>
              <w:t>3</w:t>
            </w:r>
          </w:p>
        </w:tc>
        <w:tc>
          <w:tcPr>
            <w:tcW w:w="851" w:type="dxa"/>
          </w:tcPr>
          <w:p w:rsidR="00B04AE3" w:rsidRDefault="00B04AE3">
            <w:pPr>
              <w:pStyle w:val="TableParagraph"/>
              <w:spacing w:line="213" w:lineRule="auto"/>
              <w:ind w:left="151" w:right="143"/>
              <w:jc w:val="left"/>
              <w:rPr>
                <w:sz w:val="21"/>
              </w:rPr>
            </w:pPr>
            <w:r>
              <w:rPr>
                <w:rFonts w:hint="eastAsia"/>
                <w:sz w:val="21"/>
              </w:rPr>
              <w:t>污水处理站</w:t>
            </w:r>
          </w:p>
        </w:tc>
        <w:tc>
          <w:tcPr>
            <w:tcW w:w="851" w:type="dxa"/>
          </w:tcPr>
          <w:p w:rsidR="00B04AE3" w:rsidRDefault="00B04AE3">
            <w:pPr>
              <w:pStyle w:val="TableParagraph"/>
              <w:spacing w:line="213" w:lineRule="auto"/>
              <w:ind w:left="151" w:right="143"/>
              <w:jc w:val="left"/>
              <w:rPr>
                <w:sz w:val="21"/>
              </w:rPr>
            </w:pPr>
            <w:r>
              <w:rPr>
                <w:rFonts w:hint="eastAsia"/>
                <w:sz w:val="21"/>
              </w:rPr>
              <w:t>环境污染</w:t>
            </w:r>
          </w:p>
        </w:tc>
        <w:tc>
          <w:tcPr>
            <w:tcW w:w="4600" w:type="dxa"/>
          </w:tcPr>
          <w:p w:rsidR="00B04AE3" w:rsidRDefault="00B04AE3">
            <w:pPr>
              <w:pStyle w:val="TableParagraph"/>
              <w:spacing w:line="213" w:lineRule="auto"/>
              <w:ind w:left="151" w:right="143"/>
              <w:jc w:val="left"/>
              <w:rPr>
                <w:sz w:val="21"/>
              </w:rPr>
            </w:pPr>
            <w:r>
              <w:rPr>
                <w:sz w:val="21"/>
              </w:rPr>
              <w:t>1</w:t>
            </w:r>
            <w:r>
              <w:rPr>
                <w:rFonts w:hint="eastAsia"/>
                <w:sz w:val="21"/>
              </w:rPr>
              <w:t>、主要设备出现故障、突发性停电，可导致无法正常处理污水，存在环境污染隐患。</w:t>
            </w:r>
          </w:p>
          <w:p w:rsidR="00B04AE3" w:rsidRDefault="00B04AE3">
            <w:pPr>
              <w:pStyle w:val="TableParagraph"/>
              <w:spacing w:line="213" w:lineRule="auto"/>
              <w:ind w:left="151" w:right="143"/>
              <w:jc w:val="left"/>
              <w:rPr>
                <w:sz w:val="21"/>
              </w:rPr>
            </w:pPr>
            <w:r>
              <w:rPr>
                <w:sz w:val="21"/>
              </w:rPr>
              <w:t>2</w:t>
            </w:r>
            <w:r>
              <w:rPr>
                <w:rFonts w:hint="eastAsia"/>
                <w:sz w:val="21"/>
              </w:rPr>
              <w:t>、防渗措施不到位，存在环境污染隐患。</w:t>
            </w:r>
          </w:p>
        </w:tc>
        <w:tc>
          <w:tcPr>
            <w:tcW w:w="1613" w:type="dxa"/>
          </w:tcPr>
          <w:p w:rsidR="00B04AE3" w:rsidRDefault="00B04AE3">
            <w:pPr>
              <w:pStyle w:val="TableParagraph"/>
              <w:spacing w:before="5"/>
              <w:jc w:val="left"/>
              <w:rPr>
                <w:b/>
                <w:sz w:val="17"/>
              </w:rPr>
            </w:pPr>
          </w:p>
          <w:p w:rsidR="00B04AE3" w:rsidRDefault="00B04AE3">
            <w:pPr>
              <w:pStyle w:val="TableParagraph"/>
              <w:ind w:left="386"/>
              <w:jc w:val="left"/>
              <w:rPr>
                <w:sz w:val="21"/>
              </w:rPr>
            </w:pPr>
            <w:r>
              <w:rPr>
                <w:rFonts w:hint="eastAsia"/>
                <w:sz w:val="21"/>
              </w:rPr>
              <w:t>环境污染</w:t>
            </w:r>
          </w:p>
        </w:tc>
      </w:tr>
      <w:tr w:rsidR="00B04AE3">
        <w:trPr>
          <w:trHeight w:val="480"/>
        </w:trPr>
        <w:tc>
          <w:tcPr>
            <w:tcW w:w="613" w:type="dxa"/>
          </w:tcPr>
          <w:p w:rsidR="00B04AE3" w:rsidRDefault="00B04AE3">
            <w:pPr>
              <w:pStyle w:val="TableParagraph"/>
              <w:spacing w:before="115"/>
              <w:ind w:left="11"/>
              <w:rPr>
                <w:rFonts w:ascii="Times New Roman"/>
                <w:sz w:val="21"/>
              </w:rPr>
            </w:pPr>
            <w:r>
              <w:rPr>
                <w:rFonts w:ascii="Times New Roman"/>
                <w:w w:val="99"/>
                <w:sz w:val="21"/>
              </w:rPr>
              <w:t>4</w:t>
            </w:r>
          </w:p>
        </w:tc>
        <w:tc>
          <w:tcPr>
            <w:tcW w:w="851" w:type="dxa"/>
          </w:tcPr>
          <w:p w:rsidR="00B04AE3" w:rsidRDefault="00B04AE3">
            <w:pPr>
              <w:pStyle w:val="TableParagraph"/>
              <w:spacing w:line="213" w:lineRule="auto"/>
              <w:ind w:left="151" w:right="143"/>
              <w:jc w:val="left"/>
              <w:rPr>
                <w:sz w:val="21"/>
              </w:rPr>
            </w:pPr>
            <w:r>
              <w:rPr>
                <w:rFonts w:hint="eastAsia"/>
                <w:sz w:val="21"/>
              </w:rPr>
              <w:t>固废收</w:t>
            </w:r>
          </w:p>
          <w:p w:rsidR="00B04AE3" w:rsidRDefault="00B04AE3">
            <w:pPr>
              <w:pStyle w:val="TableParagraph"/>
              <w:spacing w:line="213" w:lineRule="auto"/>
              <w:ind w:left="151" w:right="143"/>
              <w:jc w:val="left"/>
              <w:rPr>
                <w:sz w:val="21"/>
              </w:rPr>
            </w:pPr>
            <w:r>
              <w:rPr>
                <w:rFonts w:hint="eastAsia"/>
                <w:sz w:val="21"/>
              </w:rPr>
              <w:t>集系统</w:t>
            </w:r>
          </w:p>
        </w:tc>
        <w:tc>
          <w:tcPr>
            <w:tcW w:w="851" w:type="dxa"/>
          </w:tcPr>
          <w:p w:rsidR="00B04AE3" w:rsidRDefault="00B04AE3">
            <w:pPr>
              <w:pStyle w:val="TableParagraph"/>
              <w:spacing w:line="213" w:lineRule="auto"/>
              <w:ind w:left="151" w:right="143"/>
              <w:jc w:val="left"/>
              <w:rPr>
                <w:sz w:val="21"/>
              </w:rPr>
            </w:pPr>
            <w:r>
              <w:rPr>
                <w:rFonts w:hint="eastAsia"/>
                <w:sz w:val="21"/>
              </w:rPr>
              <w:t>环境</w:t>
            </w:r>
          </w:p>
          <w:p w:rsidR="00B04AE3" w:rsidRDefault="00B04AE3">
            <w:pPr>
              <w:pStyle w:val="TableParagraph"/>
              <w:spacing w:line="213" w:lineRule="auto"/>
              <w:ind w:left="151" w:right="143"/>
              <w:jc w:val="left"/>
              <w:rPr>
                <w:sz w:val="21"/>
              </w:rPr>
            </w:pPr>
            <w:r>
              <w:rPr>
                <w:rFonts w:hint="eastAsia"/>
                <w:sz w:val="21"/>
              </w:rPr>
              <w:t>污染</w:t>
            </w:r>
          </w:p>
        </w:tc>
        <w:tc>
          <w:tcPr>
            <w:tcW w:w="4600" w:type="dxa"/>
          </w:tcPr>
          <w:p w:rsidR="00B04AE3" w:rsidRDefault="00B04AE3">
            <w:pPr>
              <w:pStyle w:val="TableParagraph"/>
              <w:spacing w:line="213" w:lineRule="auto"/>
              <w:ind w:left="151" w:right="143"/>
              <w:jc w:val="left"/>
              <w:rPr>
                <w:sz w:val="21"/>
              </w:rPr>
            </w:pPr>
            <w:r>
              <w:rPr>
                <w:rFonts w:hint="eastAsia"/>
                <w:sz w:val="21"/>
              </w:rPr>
              <w:t>固废处置不当，造成环境污染。</w:t>
            </w:r>
          </w:p>
        </w:tc>
        <w:tc>
          <w:tcPr>
            <w:tcW w:w="1613" w:type="dxa"/>
          </w:tcPr>
          <w:p w:rsidR="00B04AE3" w:rsidRDefault="00B04AE3">
            <w:pPr>
              <w:pStyle w:val="TableParagraph"/>
              <w:spacing w:before="101"/>
              <w:ind w:left="386"/>
              <w:jc w:val="left"/>
              <w:rPr>
                <w:sz w:val="21"/>
              </w:rPr>
            </w:pPr>
            <w:r>
              <w:rPr>
                <w:rFonts w:hint="eastAsia"/>
                <w:sz w:val="21"/>
              </w:rPr>
              <w:t>环境污染</w:t>
            </w:r>
          </w:p>
        </w:tc>
      </w:tr>
      <w:tr w:rsidR="00B04AE3">
        <w:trPr>
          <w:trHeight w:val="2880"/>
        </w:trPr>
        <w:tc>
          <w:tcPr>
            <w:tcW w:w="613" w:type="dxa"/>
          </w:tcPr>
          <w:p w:rsidR="00B04AE3" w:rsidRDefault="00B04AE3">
            <w:pPr>
              <w:pStyle w:val="TableParagraph"/>
              <w:spacing w:before="187"/>
              <w:ind w:left="11"/>
              <w:rPr>
                <w:rFonts w:ascii="Times New Roman"/>
                <w:sz w:val="21"/>
              </w:rPr>
            </w:pPr>
            <w:r>
              <w:rPr>
                <w:rFonts w:ascii="Times New Roman"/>
                <w:w w:val="99"/>
                <w:sz w:val="21"/>
              </w:rPr>
              <w:t>5</w:t>
            </w:r>
          </w:p>
        </w:tc>
        <w:tc>
          <w:tcPr>
            <w:tcW w:w="851" w:type="dxa"/>
          </w:tcPr>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r>
              <w:rPr>
                <w:rFonts w:hint="eastAsia"/>
                <w:sz w:val="21"/>
              </w:rPr>
              <w:t>污水</w:t>
            </w:r>
          </w:p>
          <w:p w:rsidR="00B04AE3" w:rsidRDefault="00B04AE3">
            <w:pPr>
              <w:pStyle w:val="TableParagraph"/>
              <w:spacing w:line="213" w:lineRule="auto"/>
              <w:ind w:left="151" w:right="143"/>
              <w:jc w:val="left"/>
              <w:rPr>
                <w:sz w:val="21"/>
              </w:rPr>
            </w:pPr>
            <w:r>
              <w:rPr>
                <w:rFonts w:hint="eastAsia"/>
                <w:sz w:val="21"/>
              </w:rPr>
              <w:t>（事</w:t>
            </w:r>
            <w:r>
              <w:rPr>
                <w:sz w:val="21"/>
              </w:rPr>
              <w:t xml:space="preserve"> </w:t>
            </w:r>
            <w:r>
              <w:rPr>
                <w:rFonts w:hint="eastAsia"/>
                <w:sz w:val="21"/>
              </w:rPr>
              <w:t>故）收集池、围堰</w:t>
            </w:r>
          </w:p>
        </w:tc>
        <w:tc>
          <w:tcPr>
            <w:tcW w:w="851" w:type="dxa"/>
          </w:tcPr>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p>
          <w:p w:rsidR="00B04AE3" w:rsidRDefault="00B04AE3">
            <w:pPr>
              <w:pStyle w:val="TableParagraph"/>
              <w:spacing w:line="213" w:lineRule="auto"/>
              <w:ind w:left="151" w:right="143"/>
              <w:jc w:val="left"/>
              <w:rPr>
                <w:sz w:val="21"/>
              </w:rPr>
            </w:pPr>
            <w:r>
              <w:rPr>
                <w:rFonts w:hint="eastAsia"/>
                <w:sz w:val="21"/>
              </w:rPr>
              <w:t>水体污染</w:t>
            </w:r>
          </w:p>
        </w:tc>
        <w:tc>
          <w:tcPr>
            <w:tcW w:w="4600" w:type="dxa"/>
          </w:tcPr>
          <w:p w:rsidR="00B04AE3" w:rsidRDefault="00B04AE3">
            <w:pPr>
              <w:pStyle w:val="TableParagraph"/>
              <w:spacing w:line="213" w:lineRule="auto"/>
              <w:ind w:left="151" w:right="143"/>
              <w:jc w:val="left"/>
              <w:rPr>
                <w:sz w:val="21"/>
              </w:rPr>
            </w:pPr>
            <w:r>
              <w:rPr>
                <w:sz w:val="21"/>
              </w:rPr>
              <w:t>1</w:t>
            </w:r>
            <w:r>
              <w:rPr>
                <w:rFonts w:hint="eastAsia"/>
                <w:sz w:val="21"/>
              </w:rPr>
              <w:t>、当发生危险化学品及物料泄漏时，如未设置</w:t>
            </w:r>
            <w:r>
              <w:rPr>
                <w:sz w:val="21"/>
              </w:rPr>
              <w:t xml:space="preserve"> </w:t>
            </w:r>
            <w:r>
              <w:rPr>
                <w:rFonts w:hint="eastAsia"/>
                <w:sz w:val="21"/>
              </w:rPr>
              <w:t>污水（事故）收集池和围堰，无法收集泄漏物料</w:t>
            </w:r>
            <w:r>
              <w:rPr>
                <w:sz w:val="21"/>
              </w:rPr>
              <w:t xml:space="preserve"> </w:t>
            </w:r>
            <w:r>
              <w:rPr>
                <w:rFonts w:hint="eastAsia"/>
                <w:sz w:val="21"/>
              </w:rPr>
              <w:t>或处理物料产生的污水，从而造成污染事故。</w:t>
            </w:r>
          </w:p>
          <w:p w:rsidR="00B04AE3" w:rsidRDefault="00B04AE3">
            <w:pPr>
              <w:pStyle w:val="TableParagraph"/>
              <w:spacing w:line="213" w:lineRule="auto"/>
              <w:ind w:left="151" w:right="143"/>
              <w:jc w:val="left"/>
              <w:rPr>
                <w:sz w:val="21"/>
              </w:rPr>
            </w:pPr>
            <w:r>
              <w:rPr>
                <w:sz w:val="21"/>
              </w:rPr>
              <w:t>2</w:t>
            </w:r>
            <w:r>
              <w:rPr>
                <w:rFonts w:hint="eastAsia"/>
                <w:sz w:val="21"/>
              </w:rPr>
              <w:t>、腐蚀性物料处设置污水（事故）收集池和围</w:t>
            </w:r>
            <w:r>
              <w:rPr>
                <w:sz w:val="21"/>
              </w:rPr>
              <w:t xml:space="preserve"> </w:t>
            </w:r>
            <w:r>
              <w:rPr>
                <w:rFonts w:hint="eastAsia"/>
                <w:sz w:val="21"/>
              </w:rPr>
              <w:t>堰未做防腐防渗处理，容易造成泄漏，污染地下</w:t>
            </w:r>
            <w:r>
              <w:rPr>
                <w:sz w:val="21"/>
              </w:rPr>
              <w:t xml:space="preserve"> </w:t>
            </w:r>
            <w:r>
              <w:rPr>
                <w:rFonts w:hint="eastAsia"/>
                <w:sz w:val="21"/>
              </w:rPr>
              <w:t>水质。</w:t>
            </w:r>
          </w:p>
          <w:p w:rsidR="00B04AE3" w:rsidRDefault="00B04AE3">
            <w:pPr>
              <w:pStyle w:val="TableParagraph"/>
              <w:spacing w:line="213" w:lineRule="auto"/>
              <w:ind w:left="151" w:right="143"/>
              <w:jc w:val="left"/>
              <w:rPr>
                <w:sz w:val="21"/>
              </w:rPr>
            </w:pPr>
            <w:r>
              <w:rPr>
                <w:sz w:val="21"/>
              </w:rPr>
              <w:t>3</w:t>
            </w:r>
            <w:r>
              <w:rPr>
                <w:rFonts w:hint="eastAsia"/>
                <w:sz w:val="21"/>
              </w:rPr>
              <w:t>、污水（事故）收集池容量较小、围堰高度较低，当发生异常事故时，无法收集产生的污染物，</w:t>
            </w:r>
            <w:r>
              <w:rPr>
                <w:sz w:val="21"/>
              </w:rPr>
              <w:t xml:space="preserve"> </w:t>
            </w:r>
            <w:r>
              <w:rPr>
                <w:rFonts w:hint="eastAsia"/>
                <w:sz w:val="21"/>
              </w:rPr>
              <w:t>从而造成环境污染。</w:t>
            </w:r>
          </w:p>
          <w:p w:rsidR="00B04AE3" w:rsidRDefault="00B04AE3">
            <w:pPr>
              <w:pStyle w:val="TableParagraph"/>
              <w:spacing w:line="213" w:lineRule="auto"/>
              <w:ind w:left="151" w:right="143"/>
              <w:jc w:val="left"/>
              <w:rPr>
                <w:sz w:val="21"/>
              </w:rPr>
            </w:pPr>
            <w:r>
              <w:rPr>
                <w:sz w:val="21"/>
              </w:rPr>
              <w:t>4</w:t>
            </w:r>
            <w:r>
              <w:rPr>
                <w:rFonts w:hint="eastAsia"/>
                <w:sz w:val="21"/>
              </w:rPr>
              <w:t>、污水（事故）收集池的辅助设施（泵、管道</w:t>
            </w:r>
          </w:p>
          <w:p w:rsidR="00B04AE3" w:rsidRDefault="00B04AE3">
            <w:pPr>
              <w:pStyle w:val="TableParagraph"/>
              <w:spacing w:line="213" w:lineRule="auto"/>
              <w:ind w:left="151" w:right="143"/>
              <w:jc w:val="left"/>
              <w:rPr>
                <w:sz w:val="21"/>
              </w:rPr>
            </w:pPr>
            <w:r>
              <w:rPr>
                <w:rFonts w:hint="eastAsia"/>
                <w:sz w:val="21"/>
              </w:rPr>
              <w:t>等）故障，使产生的污水无法正常收集，造成物料外泄，对环境构成危害。</w:t>
            </w:r>
          </w:p>
        </w:tc>
        <w:tc>
          <w:tcPr>
            <w:tcW w:w="1613" w:type="dxa"/>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6"/>
              <w:jc w:val="left"/>
              <w:rPr>
                <w:b/>
                <w:sz w:val="21"/>
              </w:rPr>
            </w:pPr>
          </w:p>
          <w:p w:rsidR="00B04AE3" w:rsidRDefault="00B04AE3">
            <w:pPr>
              <w:pStyle w:val="TableParagraph"/>
              <w:ind w:left="386"/>
              <w:jc w:val="left"/>
              <w:rPr>
                <w:sz w:val="21"/>
              </w:rPr>
            </w:pPr>
            <w:r>
              <w:rPr>
                <w:rFonts w:hint="eastAsia"/>
                <w:sz w:val="21"/>
              </w:rPr>
              <w:t>水体污染</w:t>
            </w:r>
          </w:p>
        </w:tc>
      </w:tr>
      <w:tr w:rsidR="00B04AE3">
        <w:trPr>
          <w:trHeight w:val="4330"/>
        </w:trPr>
        <w:tc>
          <w:tcPr>
            <w:tcW w:w="613" w:type="dxa"/>
          </w:tcPr>
          <w:p w:rsidR="00B04AE3" w:rsidRDefault="00B04AE3">
            <w:pPr>
              <w:pStyle w:val="TableParagraph"/>
              <w:spacing w:before="114"/>
              <w:ind w:left="11"/>
              <w:rPr>
                <w:rFonts w:ascii="Times New Roman"/>
                <w:sz w:val="21"/>
              </w:rPr>
            </w:pPr>
            <w:r>
              <w:rPr>
                <w:rFonts w:ascii="Times New Roman"/>
                <w:w w:val="99"/>
                <w:sz w:val="21"/>
              </w:rPr>
              <w:t>6</w:t>
            </w:r>
          </w:p>
        </w:tc>
        <w:tc>
          <w:tcPr>
            <w:tcW w:w="851" w:type="dxa"/>
          </w:tcPr>
          <w:p w:rsidR="00B04AE3" w:rsidRDefault="00B04AE3">
            <w:pPr>
              <w:pStyle w:val="TableParagraph"/>
              <w:spacing w:line="213" w:lineRule="auto"/>
              <w:ind w:left="151" w:right="143"/>
              <w:jc w:val="left"/>
              <w:rPr>
                <w:sz w:val="21"/>
              </w:rPr>
            </w:pPr>
            <w:r>
              <w:rPr>
                <w:rFonts w:hint="eastAsia"/>
                <w:sz w:val="21"/>
              </w:rPr>
              <w:t>环境</w:t>
            </w:r>
          </w:p>
          <w:p w:rsidR="00B04AE3" w:rsidRDefault="00B04AE3">
            <w:pPr>
              <w:pStyle w:val="TableParagraph"/>
              <w:spacing w:line="213" w:lineRule="auto"/>
              <w:ind w:left="151" w:right="143"/>
              <w:jc w:val="left"/>
              <w:rPr>
                <w:sz w:val="21"/>
              </w:rPr>
            </w:pPr>
            <w:r>
              <w:rPr>
                <w:rFonts w:hint="eastAsia"/>
                <w:sz w:val="21"/>
              </w:rPr>
              <w:t>管理</w:t>
            </w:r>
          </w:p>
        </w:tc>
        <w:tc>
          <w:tcPr>
            <w:tcW w:w="851" w:type="dxa"/>
          </w:tcPr>
          <w:p w:rsidR="00B04AE3" w:rsidRDefault="00B04AE3">
            <w:pPr>
              <w:pStyle w:val="TableParagraph"/>
              <w:spacing w:line="213" w:lineRule="auto"/>
              <w:ind w:left="151" w:right="143"/>
              <w:jc w:val="left"/>
              <w:rPr>
                <w:sz w:val="21"/>
              </w:rPr>
            </w:pPr>
            <w:r>
              <w:rPr>
                <w:rFonts w:hint="eastAsia"/>
                <w:sz w:val="21"/>
              </w:rPr>
              <w:t>污染</w:t>
            </w:r>
          </w:p>
          <w:p w:rsidR="00B04AE3" w:rsidRDefault="00B04AE3">
            <w:pPr>
              <w:pStyle w:val="TableParagraph"/>
              <w:spacing w:line="213" w:lineRule="auto"/>
              <w:ind w:left="151" w:right="143"/>
              <w:jc w:val="left"/>
              <w:rPr>
                <w:sz w:val="21"/>
              </w:rPr>
            </w:pPr>
            <w:r>
              <w:rPr>
                <w:rFonts w:hint="eastAsia"/>
                <w:sz w:val="21"/>
              </w:rPr>
              <w:t>事故</w:t>
            </w:r>
          </w:p>
        </w:tc>
        <w:tc>
          <w:tcPr>
            <w:tcW w:w="4600" w:type="dxa"/>
          </w:tcPr>
          <w:p w:rsidR="00B04AE3" w:rsidRDefault="00B04AE3">
            <w:pPr>
              <w:pStyle w:val="TableParagraph"/>
              <w:spacing w:line="213" w:lineRule="auto"/>
              <w:ind w:left="151" w:right="143"/>
              <w:jc w:val="left"/>
              <w:rPr>
                <w:sz w:val="21"/>
              </w:rPr>
            </w:pPr>
            <w:r>
              <w:rPr>
                <w:sz w:val="21"/>
              </w:rPr>
              <w:t>1</w:t>
            </w:r>
            <w:r>
              <w:rPr>
                <w:rFonts w:hint="eastAsia"/>
                <w:sz w:val="21"/>
              </w:rPr>
              <w:t>、未制定完善的环境管理制度全面落实环保责</w:t>
            </w:r>
          </w:p>
          <w:p w:rsidR="00B04AE3" w:rsidRDefault="00B04AE3">
            <w:pPr>
              <w:pStyle w:val="TableParagraph"/>
              <w:spacing w:line="213" w:lineRule="auto"/>
              <w:ind w:left="151" w:right="143"/>
              <w:jc w:val="left"/>
              <w:rPr>
                <w:sz w:val="21"/>
              </w:rPr>
            </w:pPr>
            <w:r>
              <w:rPr>
                <w:rFonts w:hint="eastAsia"/>
                <w:sz w:val="21"/>
              </w:rPr>
              <w:t>任，管理人员和员工不能做到全员参与环境保护</w:t>
            </w:r>
          </w:p>
          <w:p w:rsidR="00B04AE3" w:rsidRDefault="00B04AE3">
            <w:pPr>
              <w:pStyle w:val="TableParagraph"/>
              <w:spacing w:line="213" w:lineRule="auto"/>
              <w:ind w:left="151" w:right="143"/>
              <w:jc w:val="left"/>
              <w:rPr>
                <w:sz w:val="21"/>
              </w:rPr>
            </w:pPr>
            <w:r>
              <w:rPr>
                <w:rFonts w:hint="eastAsia"/>
                <w:sz w:val="21"/>
              </w:rPr>
              <w:t>工作，容易发生环境污染事故。</w:t>
            </w:r>
          </w:p>
          <w:p w:rsidR="00B04AE3" w:rsidRDefault="00B04AE3">
            <w:pPr>
              <w:pStyle w:val="TableParagraph"/>
              <w:spacing w:line="213" w:lineRule="auto"/>
              <w:ind w:left="151" w:right="143"/>
              <w:jc w:val="left"/>
              <w:rPr>
                <w:sz w:val="21"/>
              </w:rPr>
            </w:pPr>
            <w:r>
              <w:rPr>
                <w:sz w:val="21"/>
              </w:rPr>
              <w:t>2</w:t>
            </w:r>
            <w:r>
              <w:rPr>
                <w:rFonts w:hint="eastAsia"/>
                <w:sz w:val="21"/>
              </w:rPr>
              <w:t>、未开展环境保护培训工作，提高各级人员的环境保护意识。</w:t>
            </w:r>
          </w:p>
          <w:p w:rsidR="00B04AE3" w:rsidRDefault="00B04AE3">
            <w:pPr>
              <w:pStyle w:val="TableParagraph"/>
              <w:spacing w:line="213" w:lineRule="auto"/>
              <w:ind w:left="151" w:right="143"/>
              <w:jc w:val="left"/>
              <w:rPr>
                <w:sz w:val="21"/>
              </w:rPr>
            </w:pPr>
            <w:r>
              <w:rPr>
                <w:sz w:val="21"/>
              </w:rPr>
              <w:t>3</w:t>
            </w:r>
            <w:r>
              <w:rPr>
                <w:rFonts w:hint="eastAsia"/>
                <w:sz w:val="21"/>
              </w:rPr>
              <w:t>、未制定环境应急预案或预案不完善，当发生</w:t>
            </w:r>
            <w:r>
              <w:rPr>
                <w:sz w:val="21"/>
              </w:rPr>
              <w:t xml:space="preserve"> </w:t>
            </w:r>
            <w:r>
              <w:rPr>
                <w:rFonts w:hint="eastAsia"/>
                <w:sz w:val="21"/>
              </w:rPr>
              <w:t>应急事故时，不能有效组织救援工作，或救援工</w:t>
            </w:r>
            <w:r>
              <w:rPr>
                <w:sz w:val="21"/>
              </w:rPr>
              <w:t xml:space="preserve"> </w:t>
            </w:r>
            <w:r>
              <w:rPr>
                <w:rFonts w:hint="eastAsia"/>
                <w:sz w:val="21"/>
              </w:rPr>
              <w:t>作没有救援依据，导致事故扩大。</w:t>
            </w:r>
          </w:p>
          <w:p w:rsidR="00B04AE3" w:rsidRDefault="00B04AE3">
            <w:pPr>
              <w:pStyle w:val="TableParagraph"/>
              <w:spacing w:line="213" w:lineRule="auto"/>
              <w:ind w:left="151" w:right="143"/>
              <w:jc w:val="left"/>
              <w:rPr>
                <w:sz w:val="21"/>
              </w:rPr>
            </w:pPr>
            <w:r>
              <w:rPr>
                <w:sz w:val="21"/>
              </w:rPr>
              <w:t>4</w:t>
            </w:r>
            <w:r>
              <w:rPr>
                <w:rFonts w:hint="eastAsia"/>
                <w:sz w:val="21"/>
              </w:rPr>
              <w:t>、未设置环境监测机构或人员，定期组织环境</w:t>
            </w:r>
            <w:r>
              <w:rPr>
                <w:sz w:val="21"/>
              </w:rPr>
              <w:t xml:space="preserve"> </w:t>
            </w:r>
            <w:r>
              <w:rPr>
                <w:rFonts w:hint="eastAsia"/>
                <w:sz w:val="21"/>
              </w:rPr>
              <w:t>监测，无法对环境指标进行控制，及时采取相应</w:t>
            </w:r>
            <w:r>
              <w:rPr>
                <w:sz w:val="21"/>
              </w:rPr>
              <w:t xml:space="preserve"> </w:t>
            </w:r>
            <w:r>
              <w:rPr>
                <w:rFonts w:hint="eastAsia"/>
                <w:sz w:val="21"/>
              </w:rPr>
              <w:t>措施，从而造成环境污染事故。</w:t>
            </w:r>
          </w:p>
          <w:p w:rsidR="00B04AE3" w:rsidRDefault="00B04AE3">
            <w:pPr>
              <w:pStyle w:val="TableParagraph"/>
              <w:spacing w:line="213" w:lineRule="auto"/>
              <w:ind w:left="151" w:right="143"/>
              <w:jc w:val="left"/>
              <w:rPr>
                <w:sz w:val="21"/>
              </w:rPr>
            </w:pPr>
            <w:r>
              <w:rPr>
                <w:sz w:val="21"/>
              </w:rPr>
              <w:t>5</w:t>
            </w:r>
            <w:r>
              <w:rPr>
                <w:rFonts w:hint="eastAsia"/>
                <w:sz w:val="21"/>
              </w:rPr>
              <w:t>、环保投入不足，对环保设施不能持续更新、改进或维护，无法保证基本环保需求。</w:t>
            </w:r>
          </w:p>
          <w:p w:rsidR="00B04AE3" w:rsidRDefault="00B04AE3">
            <w:pPr>
              <w:pStyle w:val="TableParagraph"/>
              <w:spacing w:line="213" w:lineRule="auto"/>
              <w:ind w:left="151" w:right="143"/>
              <w:jc w:val="left"/>
              <w:rPr>
                <w:sz w:val="21"/>
              </w:rPr>
            </w:pPr>
            <w:r>
              <w:rPr>
                <w:sz w:val="21"/>
              </w:rPr>
              <w:t>6</w:t>
            </w:r>
            <w:r>
              <w:rPr>
                <w:rFonts w:hint="eastAsia"/>
                <w:sz w:val="21"/>
              </w:rPr>
              <w:t>、未健全环境保护管理网络，做到环保管理“横</w:t>
            </w:r>
          </w:p>
          <w:p w:rsidR="00B04AE3" w:rsidRDefault="00B04AE3">
            <w:pPr>
              <w:pStyle w:val="TableParagraph"/>
              <w:spacing w:line="213" w:lineRule="auto"/>
              <w:ind w:left="151" w:right="143"/>
              <w:jc w:val="left"/>
              <w:rPr>
                <w:sz w:val="21"/>
              </w:rPr>
            </w:pPr>
            <w:r>
              <w:rPr>
                <w:rFonts w:hint="eastAsia"/>
                <w:sz w:val="21"/>
              </w:rPr>
              <w:t>到边、纵到底”，管理存在死角。</w:t>
            </w:r>
          </w:p>
        </w:tc>
        <w:tc>
          <w:tcPr>
            <w:tcW w:w="1613" w:type="dxa"/>
          </w:tcPr>
          <w:p w:rsidR="00B04AE3" w:rsidRDefault="00B04AE3">
            <w:pPr>
              <w:pStyle w:val="TableParagraph"/>
              <w:spacing w:before="100"/>
              <w:ind w:left="386"/>
              <w:jc w:val="left"/>
              <w:rPr>
                <w:sz w:val="21"/>
              </w:rPr>
            </w:pPr>
            <w:r>
              <w:rPr>
                <w:rFonts w:hint="eastAsia"/>
                <w:sz w:val="21"/>
              </w:rPr>
              <w:t>污染事故</w:t>
            </w:r>
          </w:p>
        </w:tc>
      </w:tr>
    </w:tbl>
    <w:p w:rsidR="00B04AE3" w:rsidRDefault="00B04AE3">
      <w:pPr>
        <w:spacing w:before="74"/>
        <w:ind w:left="817"/>
        <w:rPr>
          <w:b/>
          <w:sz w:val="24"/>
        </w:rPr>
      </w:pPr>
      <w:r>
        <w:rPr>
          <w:rFonts w:ascii="Times New Roman" w:eastAsia="Times New Roman"/>
          <w:b/>
          <w:sz w:val="24"/>
        </w:rPr>
        <w:t>5</w:t>
      </w:r>
      <w:r>
        <w:rPr>
          <w:rFonts w:hint="eastAsia"/>
          <w:b/>
          <w:sz w:val="24"/>
        </w:rPr>
        <w:t>、非正常工况风险因素识别</w:t>
      </w:r>
    </w:p>
    <w:p w:rsidR="00B04AE3" w:rsidRDefault="00B04AE3">
      <w:pPr>
        <w:tabs>
          <w:tab w:val="left" w:pos="1692"/>
        </w:tabs>
        <w:spacing w:before="161" w:after="3"/>
        <w:ind w:left="492"/>
        <w:jc w:val="center"/>
        <w:rPr>
          <w:b/>
          <w:sz w:val="24"/>
        </w:rPr>
      </w:pPr>
      <w:r>
        <w:rPr>
          <w:rFonts w:hint="eastAsia"/>
          <w:b/>
          <w:sz w:val="24"/>
        </w:rPr>
        <w:t>表</w:t>
      </w:r>
      <w:r>
        <w:rPr>
          <w:b/>
          <w:spacing w:val="-2"/>
          <w:sz w:val="24"/>
        </w:rPr>
        <w:t xml:space="preserve"> </w:t>
      </w:r>
      <w:r>
        <w:rPr>
          <w:rFonts w:ascii="Times New Roman" w:eastAsia="Times New Roman"/>
          <w:b/>
          <w:sz w:val="24"/>
        </w:rPr>
        <w:t>3.1-</w:t>
      </w:r>
      <w:r>
        <w:rPr>
          <w:rFonts w:ascii="Times New Roman"/>
          <w:b/>
          <w:sz w:val="24"/>
          <w:lang w:val="en-US"/>
        </w:rPr>
        <w:t>10</w:t>
      </w:r>
      <w:r>
        <w:rPr>
          <w:rFonts w:ascii="Times New Roman" w:eastAsia="Times New Roman"/>
          <w:b/>
          <w:sz w:val="24"/>
        </w:rPr>
        <w:tab/>
      </w:r>
      <w:r>
        <w:rPr>
          <w:rFonts w:hint="eastAsia"/>
          <w:b/>
          <w:sz w:val="24"/>
        </w:rPr>
        <w:t>非正常工况风险因素识别</w:t>
      </w:r>
    </w:p>
    <w:tbl>
      <w:tblPr>
        <w:tblW w:w="8521" w:type="dxa"/>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11"/>
        <w:gridCol w:w="682"/>
        <w:gridCol w:w="1023"/>
        <w:gridCol w:w="5126"/>
        <w:gridCol w:w="1079"/>
      </w:tblGrid>
      <w:tr w:rsidR="00B04AE3">
        <w:trPr>
          <w:trHeight w:val="545"/>
        </w:trPr>
        <w:tc>
          <w:tcPr>
            <w:tcW w:w="611" w:type="dxa"/>
            <w:shd w:val="clear" w:color="auto" w:fill="DFDFDF"/>
          </w:tcPr>
          <w:p w:rsidR="00B04AE3" w:rsidRDefault="00B04AE3">
            <w:pPr>
              <w:pStyle w:val="TableParagraph"/>
              <w:spacing w:before="1"/>
              <w:ind w:left="198"/>
              <w:jc w:val="left"/>
              <w:rPr>
                <w:b/>
                <w:sz w:val="21"/>
              </w:rPr>
            </w:pPr>
            <w:r>
              <w:rPr>
                <w:rFonts w:hint="eastAsia"/>
                <w:b/>
                <w:w w:val="99"/>
                <w:sz w:val="21"/>
              </w:rPr>
              <w:t>序</w:t>
            </w:r>
          </w:p>
          <w:p w:rsidR="00B04AE3" w:rsidRDefault="00B04AE3">
            <w:pPr>
              <w:pStyle w:val="TableParagraph"/>
              <w:spacing w:before="2" w:line="253" w:lineRule="exact"/>
              <w:ind w:left="198"/>
              <w:jc w:val="left"/>
              <w:rPr>
                <w:b/>
                <w:sz w:val="21"/>
              </w:rPr>
            </w:pPr>
            <w:r>
              <w:rPr>
                <w:rFonts w:hint="eastAsia"/>
                <w:b/>
                <w:w w:val="99"/>
                <w:sz w:val="21"/>
              </w:rPr>
              <w:t>号</w:t>
            </w:r>
          </w:p>
        </w:tc>
        <w:tc>
          <w:tcPr>
            <w:tcW w:w="682" w:type="dxa"/>
            <w:shd w:val="clear" w:color="auto" w:fill="DFDFDF"/>
          </w:tcPr>
          <w:p w:rsidR="00B04AE3" w:rsidRDefault="00B04AE3">
            <w:pPr>
              <w:pStyle w:val="TableParagraph"/>
              <w:spacing w:before="1"/>
              <w:ind w:left="130"/>
              <w:jc w:val="left"/>
              <w:rPr>
                <w:b/>
                <w:sz w:val="21"/>
              </w:rPr>
            </w:pPr>
            <w:r>
              <w:rPr>
                <w:rFonts w:hint="eastAsia"/>
                <w:b/>
                <w:w w:val="95"/>
                <w:sz w:val="21"/>
              </w:rPr>
              <w:t>危险</w:t>
            </w:r>
          </w:p>
          <w:p w:rsidR="00B04AE3" w:rsidRDefault="00B04AE3">
            <w:pPr>
              <w:pStyle w:val="TableParagraph"/>
              <w:spacing w:before="2" w:line="253" w:lineRule="exact"/>
              <w:ind w:left="130"/>
              <w:jc w:val="left"/>
              <w:rPr>
                <w:b/>
                <w:sz w:val="21"/>
              </w:rPr>
            </w:pPr>
            <w:r>
              <w:rPr>
                <w:rFonts w:hint="eastAsia"/>
                <w:b/>
                <w:w w:val="95"/>
                <w:sz w:val="21"/>
              </w:rPr>
              <w:t>目标</w:t>
            </w:r>
          </w:p>
        </w:tc>
        <w:tc>
          <w:tcPr>
            <w:tcW w:w="1023" w:type="dxa"/>
            <w:shd w:val="clear" w:color="auto" w:fill="DFDFDF"/>
          </w:tcPr>
          <w:p w:rsidR="00B04AE3" w:rsidRDefault="00B04AE3">
            <w:pPr>
              <w:pStyle w:val="TableParagraph"/>
              <w:spacing w:before="1"/>
              <w:ind w:left="336"/>
              <w:jc w:val="left"/>
              <w:rPr>
                <w:b/>
                <w:sz w:val="21"/>
              </w:rPr>
            </w:pPr>
            <w:r>
              <w:rPr>
                <w:rFonts w:hint="eastAsia"/>
                <w:b/>
                <w:w w:val="95"/>
                <w:sz w:val="21"/>
              </w:rPr>
              <w:t>事故</w:t>
            </w:r>
          </w:p>
          <w:p w:rsidR="00B04AE3" w:rsidRDefault="00B04AE3">
            <w:pPr>
              <w:pStyle w:val="TableParagraph"/>
              <w:spacing w:before="2" w:line="253" w:lineRule="exact"/>
              <w:ind w:left="336"/>
              <w:jc w:val="left"/>
              <w:rPr>
                <w:b/>
                <w:sz w:val="21"/>
              </w:rPr>
            </w:pPr>
            <w:r>
              <w:rPr>
                <w:rFonts w:hint="eastAsia"/>
                <w:b/>
                <w:w w:val="95"/>
                <w:sz w:val="21"/>
              </w:rPr>
              <w:t>类别</w:t>
            </w:r>
          </w:p>
        </w:tc>
        <w:tc>
          <w:tcPr>
            <w:tcW w:w="5126" w:type="dxa"/>
            <w:shd w:val="clear" w:color="auto" w:fill="DFDFDF"/>
          </w:tcPr>
          <w:p w:rsidR="00B04AE3" w:rsidRDefault="00B04AE3">
            <w:pPr>
              <w:pStyle w:val="TableParagraph"/>
              <w:spacing w:before="135"/>
              <w:ind w:left="2122" w:right="2110"/>
              <w:rPr>
                <w:b/>
                <w:sz w:val="21"/>
              </w:rPr>
            </w:pPr>
            <w:r>
              <w:rPr>
                <w:rFonts w:hint="eastAsia"/>
                <w:b/>
                <w:sz w:val="21"/>
              </w:rPr>
              <w:t>事故诱因</w:t>
            </w:r>
          </w:p>
        </w:tc>
        <w:tc>
          <w:tcPr>
            <w:tcW w:w="1079" w:type="dxa"/>
            <w:shd w:val="clear" w:color="auto" w:fill="DFDFDF"/>
          </w:tcPr>
          <w:p w:rsidR="00B04AE3" w:rsidRDefault="00B04AE3">
            <w:pPr>
              <w:pStyle w:val="TableParagraph"/>
              <w:spacing w:before="135"/>
              <w:ind w:left="96" w:right="87"/>
              <w:rPr>
                <w:b/>
                <w:sz w:val="21"/>
              </w:rPr>
            </w:pPr>
            <w:r>
              <w:rPr>
                <w:rFonts w:hint="eastAsia"/>
                <w:b/>
                <w:sz w:val="21"/>
              </w:rPr>
              <w:t>危害类型</w:t>
            </w:r>
          </w:p>
        </w:tc>
      </w:tr>
      <w:tr w:rsidR="00B04AE3">
        <w:trPr>
          <w:trHeight w:val="1920"/>
        </w:trPr>
        <w:tc>
          <w:tcPr>
            <w:tcW w:w="611" w:type="dxa"/>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2"/>
              <w:jc w:val="left"/>
              <w:rPr>
                <w:b/>
                <w:sz w:val="21"/>
              </w:rPr>
            </w:pPr>
          </w:p>
          <w:p w:rsidR="00B04AE3" w:rsidRDefault="00B04AE3">
            <w:pPr>
              <w:pStyle w:val="TableParagraph"/>
              <w:ind w:left="7"/>
              <w:rPr>
                <w:rFonts w:ascii="Times New Roman"/>
                <w:sz w:val="21"/>
              </w:rPr>
            </w:pPr>
            <w:r>
              <w:rPr>
                <w:rFonts w:ascii="Times New Roman"/>
                <w:w w:val="99"/>
                <w:sz w:val="21"/>
              </w:rPr>
              <w:t>1</w:t>
            </w:r>
          </w:p>
        </w:tc>
        <w:tc>
          <w:tcPr>
            <w:tcW w:w="682" w:type="dxa"/>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6"/>
              <w:jc w:val="left"/>
              <w:rPr>
                <w:b/>
                <w:sz w:val="16"/>
              </w:rPr>
            </w:pPr>
          </w:p>
          <w:p w:rsidR="00B04AE3" w:rsidRDefault="00B04AE3">
            <w:pPr>
              <w:pStyle w:val="TableParagraph"/>
              <w:spacing w:line="213" w:lineRule="auto"/>
              <w:ind w:left="130" w:right="121"/>
              <w:jc w:val="left"/>
              <w:rPr>
                <w:sz w:val="21"/>
              </w:rPr>
            </w:pPr>
            <w:r>
              <w:rPr>
                <w:rFonts w:hint="eastAsia"/>
                <w:sz w:val="21"/>
              </w:rPr>
              <w:t>突发停车</w:t>
            </w:r>
          </w:p>
        </w:tc>
        <w:tc>
          <w:tcPr>
            <w:tcW w:w="1023" w:type="dxa"/>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6"/>
              <w:jc w:val="left"/>
              <w:rPr>
                <w:b/>
                <w:sz w:val="16"/>
              </w:rPr>
            </w:pPr>
          </w:p>
          <w:p w:rsidR="00B04AE3" w:rsidRDefault="00B04AE3">
            <w:pPr>
              <w:pStyle w:val="TableParagraph"/>
              <w:spacing w:line="213" w:lineRule="auto"/>
              <w:ind w:left="300" w:right="292"/>
              <w:jc w:val="left"/>
              <w:rPr>
                <w:sz w:val="21"/>
              </w:rPr>
            </w:pPr>
            <w:r>
              <w:rPr>
                <w:rFonts w:hint="eastAsia"/>
                <w:sz w:val="21"/>
              </w:rPr>
              <w:t>环境污染</w:t>
            </w:r>
          </w:p>
        </w:tc>
        <w:tc>
          <w:tcPr>
            <w:tcW w:w="5126" w:type="dxa"/>
          </w:tcPr>
          <w:p w:rsidR="00B04AE3" w:rsidRDefault="00B04AE3">
            <w:pPr>
              <w:pStyle w:val="TableParagraph"/>
              <w:spacing w:line="213" w:lineRule="auto"/>
              <w:ind w:left="151" w:right="143"/>
              <w:jc w:val="left"/>
              <w:rPr>
                <w:sz w:val="21"/>
              </w:rPr>
            </w:pPr>
            <w:r>
              <w:rPr>
                <w:sz w:val="21"/>
              </w:rPr>
              <w:t>1</w:t>
            </w:r>
            <w:r>
              <w:rPr>
                <w:rFonts w:hint="eastAsia"/>
                <w:sz w:val="21"/>
              </w:rPr>
              <w:t>、突然停水、停电及不可抗拒的自然灾害情况下（地震、水灾、战争等），易失控而发生火灾、爆炸或有</w:t>
            </w:r>
            <w:r>
              <w:rPr>
                <w:sz w:val="21"/>
              </w:rPr>
              <w:t xml:space="preserve"> </w:t>
            </w:r>
            <w:r>
              <w:rPr>
                <w:rFonts w:hint="eastAsia"/>
                <w:sz w:val="21"/>
              </w:rPr>
              <w:t>毒有害物质外泄，导致环境污染事故发生。</w:t>
            </w:r>
          </w:p>
          <w:p w:rsidR="00B04AE3" w:rsidRDefault="00B04AE3">
            <w:pPr>
              <w:pStyle w:val="TableParagraph"/>
              <w:spacing w:line="213" w:lineRule="auto"/>
              <w:ind w:left="151" w:right="143"/>
              <w:jc w:val="left"/>
              <w:rPr>
                <w:sz w:val="21"/>
              </w:rPr>
            </w:pPr>
            <w:r>
              <w:rPr>
                <w:sz w:val="21"/>
              </w:rPr>
              <w:t>2</w:t>
            </w:r>
            <w:r>
              <w:rPr>
                <w:rFonts w:hint="eastAsia"/>
                <w:sz w:val="21"/>
              </w:rPr>
              <w:t>、生产过程中操作人员由于紧张慌乱、判断不准确等原因引起的误操作。</w:t>
            </w:r>
          </w:p>
          <w:p w:rsidR="00B04AE3" w:rsidRDefault="00B04AE3">
            <w:pPr>
              <w:pStyle w:val="TableParagraph"/>
              <w:spacing w:line="213" w:lineRule="auto"/>
              <w:ind w:left="151" w:right="143"/>
              <w:jc w:val="left"/>
              <w:rPr>
                <w:sz w:val="21"/>
              </w:rPr>
            </w:pPr>
            <w:r>
              <w:rPr>
                <w:sz w:val="21"/>
              </w:rPr>
              <w:t>3</w:t>
            </w:r>
            <w:r>
              <w:rPr>
                <w:rFonts w:hint="eastAsia"/>
                <w:sz w:val="21"/>
              </w:rPr>
              <w:t>、工艺操作过程中技术参数控制不严或误操作，导致转化效率降低，产生的废气和废水超标，必须紧急停</w:t>
            </w:r>
          </w:p>
          <w:p w:rsidR="00B04AE3" w:rsidRDefault="00B04AE3">
            <w:pPr>
              <w:pStyle w:val="TableParagraph"/>
              <w:spacing w:line="213" w:lineRule="auto"/>
              <w:ind w:left="151" w:right="143"/>
              <w:jc w:val="left"/>
              <w:rPr>
                <w:sz w:val="21"/>
              </w:rPr>
            </w:pPr>
            <w:r>
              <w:rPr>
                <w:rFonts w:hint="eastAsia"/>
                <w:sz w:val="21"/>
              </w:rPr>
              <w:t>车。</w:t>
            </w:r>
          </w:p>
        </w:tc>
        <w:tc>
          <w:tcPr>
            <w:tcW w:w="1079" w:type="dxa"/>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1"/>
              <w:jc w:val="left"/>
              <w:rPr>
                <w:b/>
                <w:sz w:val="24"/>
              </w:rPr>
            </w:pPr>
          </w:p>
          <w:p w:rsidR="00B04AE3" w:rsidRDefault="00B04AE3">
            <w:pPr>
              <w:pStyle w:val="TableParagraph"/>
              <w:ind w:left="92" w:right="88"/>
              <w:rPr>
                <w:sz w:val="21"/>
              </w:rPr>
            </w:pPr>
            <w:r>
              <w:rPr>
                <w:rFonts w:hint="eastAsia"/>
                <w:sz w:val="21"/>
              </w:rPr>
              <w:t>环境污染</w:t>
            </w:r>
          </w:p>
        </w:tc>
      </w:tr>
      <w:tr w:rsidR="00B04AE3">
        <w:trPr>
          <w:trHeight w:val="960"/>
        </w:trPr>
        <w:tc>
          <w:tcPr>
            <w:tcW w:w="611" w:type="dxa"/>
          </w:tcPr>
          <w:p w:rsidR="00B04AE3" w:rsidRDefault="00B04AE3">
            <w:pPr>
              <w:pStyle w:val="TableParagraph"/>
              <w:spacing w:before="8"/>
              <w:jc w:val="left"/>
              <w:rPr>
                <w:b/>
                <w:sz w:val="27"/>
              </w:rPr>
            </w:pPr>
          </w:p>
          <w:p w:rsidR="00B04AE3" w:rsidRDefault="00B04AE3">
            <w:pPr>
              <w:pStyle w:val="TableParagraph"/>
              <w:ind w:left="7"/>
              <w:rPr>
                <w:rFonts w:ascii="Times New Roman"/>
                <w:sz w:val="21"/>
              </w:rPr>
            </w:pPr>
            <w:r>
              <w:rPr>
                <w:rFonts w:ascii="Times New Roman"/>
                <w:w w:val="99"/>
                <w:sz w:val="21"/>
              </w:rPr>
              <w:t>2</w:t>
            </w:r>
          </w:p>
        </w:tc>
        <w:tc>
          <w:tcPr>
            <w:tcW w:w="682" w:type="dxa"/>
          </w:tcPr>
          <w:p w:rsidR="00B04AE3" w:rsidRDefault="00B04AE3">
            <w:pPr>
              <w:pStyle w:val="TableParagraph"/>
              <w:jc w:val="left"/>
              <w:rPr>
                <w:b/>
                <w:sz w:val="19"/>
              </w:rPr>
            </w:pPr>
          </w:p>
          <w:p w:rsidR="00B04AE3" w:rsidRDefault="00B04AE3">
            <w:pPr>
              <w:pStyle w:val="TableParagraph"/>
              <w:spacing w:line="213" w:lineRule="auto"/>
              <w:ind w:left="130" w:right="121"/>
              <w:jc w:val="left"/>
              <w:rPr>
                <w:sz w:val="21"/>
              </w:rPr>
            </w:pPr>
            <w:r>
              <w:rPr>
                <w:rFonts w:hint="eastAsia"/>
                <w:sz w:val="21"/>
              </w:rPr>
              <w:t>操作失误</w:t>
            </w:r>
          </w:p>
        </w:tc>
        <w:tc>
          <w:tcPr>
            <w:tcW w:w="1023" w:type="dxa"/>
          </w:tcPr>
          <w:p w:rsidR="00B04AE3" w:rsidRDefault="00B04AE3">
            <w:pPr>
              <w:pStyle w:val="TableParagraph"/>
              <w:jc w:val="left"/>
              <w:rPr>
                <w:b/>
                <w:sz w:val="19"/>
              </w:rPr>
            </w:pPr>
          </w:p>
          <w:p w:rsidR="00B04AE3" w:rsidRDefault="00B04AE3">
            <w:pPr>
              <w:pStyle w:val="TableParagraph"/>
              <w:spacing w:line="213" w:lineRule="auto"/>
              <w:ind w:left="300" w:right="292"/>
              <w:jc w:val="left"/>
              <w:rPr>
                <w:sz w:val="21"/>
              </w:rPr>
            </w:pPr>
            <w:r>
              <w:rPr>
                <w:rFonts w:hint="eastAsia"/>
                <w:sz w:val="21"/>
              </w:rPr>
              <w:t>环境污染</w:t>
            </w:r>
          </w:p>
        </w:tc>
        <w:tc>
          <w:tcPr>
            <w:tcW w:w="5126" w:type="dxa"/>
          </w:tcPr>
          <w:p w:rsidR="00B04AE3" w:rsidRDefault="00B04AE3">
            <w:pPr>
              <w:pStyle w:val="TableParagraph"/>
              <w:spacing w:line="213" w:lineRule="auto"/>
              <w:ind w:left="151" w:right="143"/>
              <w:jc w:val="left"/>
              <w:rPr>
                <w:sz w:val="21"/>
              </w:rPr>
            </w:pPr>
            <w:r>
              <w:rPr>
                <w:sz w:val="21"/>
              </w:rPr>
              <w:t>1</w:t>
            </w:r>
            <w:r>
              <w:rPr>
                <w:rFonts w:hint="eastAsia"/>
                <w:sz w:val="21"/>
              </w:rPr>
              <w:t>、未做好人员培训，导致操作人员安全知识淡薄引发</w:t>
            </w:r>
            <w:r>
              <w:rPr>
                <w:sz w:val="21"/>
              </w:rPr>
              <w:t xml:space="preserve"> </w:t>
            </w:r>
            <w:r>
              <w:rPr>
                <w:rFonts w:hint="eastAsia"/>
                <w:sz w:val="21"/>
              </w:rPr>
              <w:t>操作失误。</w:t>
            </w:r>
          </w:p>
          <w:p w:rsidR="00B04AE3" w:rsidRDefault="00B04AE3">
            <w:pPr>
              <w:pStyle w:val="TableParagraph"/>
              <w:spacing w:line="213" w:lineRule="auto"/>
              <w:ind w:left="151" w:right="143"/>
              <w:jc w:val="left"/>
              <w:rPr>
                <w:sz w:val="21"/>
              </w:rPr>
            </w:pPr>
            <w:r>
              <w:rPr>
                <w:sz w:val="21"/>
              </w:rPr>
              <w:t>2</w:t>
            </w:r>
            <w:r>
              <w:rPr>
                <w:rFonts w:hint="eastAsia"/>
                <w:sz w:val="21"/>
              </w:rPr>
              <w:t>、生产过程中操作人员由于紧张慌乱、判断不准确或</w:t>
            </w:r>
          </w:p>
          <w:p w:rsidR="00B04AE3" w:rsidRDefault="00B04AE3">
            <w:pPr>
              <w:pStyle w:val="TableParagraph"/>
              <w:spacing w:line="213" w:lineRule="auto"/>
              <w:ind w:left="151" w:right="143"/>
              <w:jc w:val="left"/>
              <w:rPr>
                <w:sz w:val="21"/>
              </w:rPr>
            </w:pPr>
            <w:r>
              <w:rPr>
                <w:rFonts w:hint="eastAsia"/>
                <w:sz w:val="21"/>
              </w:rPr>
              <w:t>执行任务时遗漏、不适当、不完善等原因引发的失误。</w:t>
            </w:r>
          </w:p>
        </w:tc>
        <w:tc>
          <w:tcPr>
            <w:tcW w:w="1079" w:type="dxa"/>
          </w:tcPr>
          <w:p w:rsidR="00B04AE3" w:rsidRDefault="00B04AE3">
            <w:pPr>
              <w:pStyle w:val="TableParagraph"/>
              <w:spacing w:before="7"/>
              <w:jc w:val="left"/>
              <w:rPr>
                <w:b/>
                <w:sz w:val="26"/>
              </w:rPr>
            </w:pPr>
          </w:p>
          <w:p w:rsidR="00B04AE3" w:rsidRDefault="00B04AE3">
            <w:pPr>
              <w:pStyle w:val="TableParagraph"/>
              <w:ind w:left="92" w:right="88"/>
              <w:rPr>
                <w:sz w:val="21"/>
              </w:rPr>
            </w:pPr>
            <w:r>
              <w:rPr>
                <w:rFonts w:hint="eastAsia"/>
                <w:sz w:val="21"/>
              </w:rPr>
              <w:t>环境污染</w:t>
            </w:r>
          </w:p>
        </w:tc>
      </w:tr>
      <w:tr w:rsidR="00B04AE3">
        <w:trPr>
          <w:trHeight w:val="720"/>
        </w:trPr>
        <w:tc>
          <w:tcPr>
            <w:tcW w:w="611" w:type="dxa"/>
          </w:tcPr>
          <w:p w:rsidR="00B04AE3" w:rsidRDefault="00B04AE3">
            <w:pPr>
              <w:pStyle w:val="TableParagraph"/>
              <w:spacing w:before="3"/>
              <w:jc w:val="left"/>
              <w:rPr>
                <w:b/>
                <w:sz w:val="18"/>
              </w:rPr>
            </w:pPr>
          </w:p>
          <w:p w:rsidR="00B04AE3" w:rsidRDefault="00B04AE3">
            <w:pPr>
              <w:pStyle w:val="TableParagraph"/>
              <w:ind w:left="7"/>
              <w:rPr>
                <w:rFonts w:ascii="Times New Roman"/>
                <w:sz w:val="21"/>
              </w:rPr>
            </w:pPr>
            <w:r>
              <w:rPr>
                <w:rFonts w:ascii="Times New Roman"/>
                <w:w w:val="99"/>
                <w:sz w:val="21"/>
              </w:rPr>
              <w:t>3</w:t>
            </w:r>
          </w:p>
        </w:tc>
        <w:tc>
          <w:tcPr>
            <w:tcW w:w="682" w:type="dxa"/>
          </w:tcPr>
          <w:p w:rsidR="00B04AE3" w:rsidRDefault="00B04AE3">
            <w:pPr>
              <w:pStyle w:val="TableParagraph"/>
              <w:spacing w:before="3" w:line="213" w:lineRule="auto"/>
              <w:ind w:left="130" w:right="121"/>
              <w:rPr>
                <w:sz w:val="21"/>
              </w:rPr>
            </w:pPr>
            <w:r>
              <w:rPr>
                <w:rFonts w:hint="eastAsia"/>
                <w:sz w:val="21"/>
              </w:rPr>
              <w:t>开车过程</w:t>
            </w:r>
          </w:p>
          <w:p w:rsidR="00B04AE3" w:rsidRDefault="00B04AE3">
            <w:pPr>
              <w:pStyle w:val="TableParagraph"/>
              <w:spacing w:line="218" w:lineRule="exact"/>
              <w:ind w:left="8"/>
              <w:rPr>
                <w:sz w:val="21"/>
              </w:rPr>
            </w:pPr>
            <w:r>
              <w:rPr>
                <w:rFonts w:hint="eastAsia"/>
                <w:w w:val="99"/>
                <w:sz w:val="21"/>
              </w:rPr>
              <w:t>中</w:t>
            </w:r>
          </w:p>
        </w:tc>
        <w:tc>
          <w:tcPr>
            <w:tcW w:w="1023" w:type="dxa"/>
          </w:tcPr>
          <w:p w:rsidR="00B04AE3" w:rsidRDefault="00B04AE3">
            <w:pPr>
              <w:pStyle w:val="TableParagraph"/>
              <w:spacing w:before="123" w:line="213" w:lineRule="auto"/>
              <w:ind w:left="300" w:right="292"/>
              <w:jc w:val="left"/>
              <w:rPr>
                <w:sz w:val="21"/>
              </w:rPr>
            </w:pPr>
            <w:r>
              <w:rPr>
                <w:rFonts w:hint="eastAsia"/>
                <w:sz w:val="21"/>
              </w:rPr>
              <w:t>环境污染</w:t>
            </w:r>
          </w:p>
        </w:tc>
        <w:tc>
          <w:tcPr>
            <w:tcW w:w="5126" w:type="dxa"/>
          </w:tcPr>
          <w:p w:rsidR="00B04AE3" w:rsidRDefault="00B04AE3">
            <w:pPr>
              <w:pStyle w:val="TableParagraph"/>
              <w:spacing w:line="213" w:lineRule="auto"/>
              <w:ind w:left="151" w:right="143"/>
              <w:jc w:val="left"/>
              <w:rPr>
                <w:sz w:val="21"/>
              </w:rPr>
            </w:pPr>
            <w:r>
              <w:rPr>
                <w:rFonts w:hint="eastAsia"/>
                <w:sz w:val="21"/>
              </w:rPr>
              <w:t>生产设备在停机后，内部情况多有异常变化，若安全</w:t>
            </w:r>
            <w:r>
              <w:rPr>
                <w:sz w:val="21"/>
              </w:rPr>
              <w:t xml:space="preserve"> </w:t>
            </w:r>
            <w:r>
              <w:rPr>
                <w:rFonts w:hint="eastAsia"/>
                <w:sz w:val="21"/>
              </w:rPr>
              <w:t>措施不落实，未按开车程序全面检查直接启动开车，</w:t>
            </w:r>
          </w:p>
          <w:p w:rsidR="00B04AE3" w:rsidRDefault="00B04AE3">
            <w:pPr>
              <w:pStyle w:val="TableParagraph"/>
              <w:spacing w:line="213" w:lineRule="auto"/>
              <w:ind w:left="151" w:right="143"/>
              <w:jc w:val="left"/>
              <w:rPr>
                <w:sz w:val="21"/>
              </w:rPr>
            </w:pPr>
            <w:r>
              <w:rPr>
                <w:rFonts w:hint="eastAsia"/>
                <w:sz w:val="21"/>
              </w:rPr>
              <w:t>极易发生事故。</w:t>
            </w:r>
          </w:p>
        </w:tc>
        <w:tc>
          <w:tcPr>
            <w:tcW w:w="1079" w:type="dxa"/>
          </w:tcPr>
          <w:p w:rsidR="00B04AE3" w:rsidRDefault="00B04AE3">
            <w:pPr>
              <w:pStyle w:val="TableParagraph"/>
              <w:spacing w:before="2"/>
              <w:jc w:val="left"/>
              <w:rPr>
                <w:b/>
                <w:sz w:val="17"/>
              </w:rPr>
            </w:pPr>
          </w:p>
          <w:p w:rsidR="00B04AE3" w:rsidRDefault="00B04AE3">
            <w:pPr>
              <w:pStyle w:val="TableParagraph"/>
              <w:ind w:left="92" w:right="88"/>
              <w:rPr>
                <w:sz w:val="21"/>
              </w:rPr>
            </w:pPr>
            <w:r>
              <w:rPr>
                <w:rFonts w:hint="eastAsia"/>
                <w:sz w:val="21"/>
              </w:rPr>
              <w:t>环境污染</w:t>
            </w:r>
          </w:p>
        </w:tc>
      </w:tr>
    </w:tbl>
    <w:p w:rsidR="00B04AE3" w:rsidRDefault="00B04AE3">
      <w:pPr>
        <w:pStyle w:val="ListParagraph"/>
        <w:tabs>
          <w:tab w:val="left" w:pos="938"/>
        </w:tabs>
        <w:ind w:firstLine="0"/>
        <w:rPr>
          <w:b/>
          <w:sz w:val="24"/>
        </w:rPr>
      </w:pPr>
      <w:bookmarkStart w:id="63" w:name="3.1.3_重大危险源识别"/>
      <w:bookmarkEnd w:id="63"/>
      <w:r>
        <w:rPr>
          <w:b/>
          <w:sz w:val="24"/>
          <w:lang w:val="en-US"/>
        </w:rPr>
        <w:t>3.1.3</w:t>
      </w:r>
      <w:r>
        <w:rPr>
          <w:rFonts w:hint="eastAsia"/>
          <w:b/>
          <w:sz w:val="24"/>
        </w:rPr>
        <w:t>重大危险源识别</w:t>
      </w:r>
    </w:p>
    <w:p w:rsidR="00B04AE3" w:rsidRDefault="00B04AE3">
      <w:pPr>
        <w:pStyle w:val="BodyText"/>
        <w:spacing w:before="20" w:line="360" w:lineRule="auto"/>
        <w:ind w:left="334" w:right="334" w:firstLine="482"/>
        <w:jc w:val="both"/>
        <w:rPr>
          <w:spacing w:val="-6"/>
          <w:szCs w:val="22"/>
        </w:rPr>
      </w:pPr>
      <w:bookmarkStart w:id="64" w:name="_bookmark14"/>
      <w:bookmarkEnd w:id="64"/>
      <w:r>
        <w:rPr>
          <w:rFonts w:hint="eastAsia"/>
          <w:spacing w:val="-6"/>
          <w:szCs w:val="22"/>
        </w:rPr>
        <w:t>根据《危险化学品重大危险源辨识》</w:t>
      </w:r>
      <w:r>
        <w:rPr>
          <w:spacing w:val="-6"/>
          <w:szCs w:val="22"/>
        </w:rPr>
        <w:t>(GB18218-2009)</w:t>
      </w:r>
      <w:r>
        <w:rPr>
          <w:rFonts w:hint="eastAsia"/>
          <w:spacing w:val="-6"/>
          <w:szCs w:val="22"/>
        </w:rPr>
        <w:t>和《建设项目环境风险评价技术导则》</w:t>
      </w:r>
      <w:r>
        <w:rPr>
          <w:spacing w:val="-6"/>
          <w:szCs w:val="22"/>
        </w:rPr>
        <w:t>( HJ/T169-2004)</w:t>
      </w:r>
      <w:r>
        <w:rPr>
          <w:rFonts w:hint="eastAsia"/>
          <w:spacing w:val="-6"/>
          <w:szCs w:val="22"/>
        </w:rPr>
        <w:t>的规定，本项目涉及到的各危险物质储存场所临界量及储存量见表</w:t>
      </w:r>
      <w:r>
        <w:rPr>
          <w:spacing w:val="-6"/>
          <w:szCs w:val="22"/>
        </w:rPr>
        <w:t xml:space="preserve"> 3.1-</w:t>
      </w:r>
      <w:r>
        <w:rPr>
          <w:spacing w:val="-6"/>
          <w:szCs w:val="22"/>
          <w:lang w:val="en-US"/>
        </w:rPr>
        <w:t>11</w:t>
      </w:r>
      <w:r>
        <w:rPr>
          <w:rFonts w:hint="eastAsia"/>
          <w:spacing w:val="-6"/>
          <w:szCs w:val="22"/>
        </w:rPr>
        <w:t>。</w:t>
      </w:r>
    </w:p>
    <w:p w:rsidR="00B04AE3" w:rsidRDefault="00B04AE3">
      <w:pPr>
        <w:tabs>
          <w:tab w:val="left" w:pos="1046"/>
        </w:tabs>
        <w:spacing w:line="307" w:lineRule="exact"/>
        <w:ind w:left="7"/>
        <w:jc w:val="center"/>
        <w:rPr>
          <w:b/>
          <w:sz w:val="24"/>
        </w:rPr>
      </w:pPr>
      <w:r>
        <w:rPr>
          <w:rFonts w:hint="eastAsia"/>
          <w:b/>
          <w:sz w:val="24"/>
        </w:rPr>
        <w:t>表</w:t>
      </w:r>
      <w:r>
        <w:rPr>
          <w:b/>
          <w:spacing w:val="-62"/>
          <w:sz w:val="24"/>
        </w:rPr>
        <w:t xml:space="preserve"> </w:t>
      </w:r>
      <w:r>
        <w:rPr>
          <w:rFonts w:ascii="Times New Roman" w:eastAsia="Times New Roman"/>
          <w:b/>
          <w:sz w:val="24"/>
        </w:rPr>
        <w:t>3.1-</w:t>
      </w:r>
      <w:r>
        <w:rPr>
          <w:rFonts w:ascii="Times New Roman"/>
          <w:b/>
          <w:sz w:val="24"/>
          <w:lang w:val="en-US"/>
        </w:rPr>
        <w:t>11</w:t>
      </w:r>
      <w:r>
        <w:rPr>
          <w:rFonts w:ascii="Times New Roman" w:eastAsia="Times New Roman"/>
          <w:b/>
          <w:sz w:val="24"/>
        </w:rPr>
        <w:tab/>
      </w:r>
      <w:r>
        <w:rPr>
          <w:rFonts w:hint="eastAsia"/>
          <w:b/>
          <w:sz w:val="24"/>
        </w:rPr>
        <w:t>重大危险源辨识表</w:t>
      </w:r>
    </w:p>
    <w:tbl>
      <w:tblPr>
        <w:tblW w:w="8600"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16"/>
        <w:gridCol w:w="1326"/>
        <w:gridCol w:w="1296"/>
        <w:gridCol w:w="750"/>
        <w:gridCol w:w="1788"/>
        <w:gridCol w:w="1023"/>
        <w:gridCol w:w="1068"/>
        <w:gridCol w:w="733"/>
      </w:tblGrid>
      <w:tr w:rsidR="00B04AE3">
        <w:trPr>
          <w:trHeight w:val="554"/>
        </w:trPr>
        <w:tc>
          <w:tcPr>
            <w:tcW w:w="616" w:type="dxa"/>
            <w:shd w:val="clear" w:color="auto" w:fill="DFDFDF"/>
          </w:tcPr>
          <w:p w:rsidR="00B04AE3" w:rsidRDefault="00B04AE3">
            <w:pPr>
              <w:pStyle w:val="TableParagraph"/>
              <w:spacing w:before="140"/>
              <w:ind w:left="77" w:right="66"/>
              <w:rPr>
                <w:b/>
                <w:sz w:val="21"/>
              </w:rPr>
            </w:pPr>
            <w:r>
              <w:rPr>
                <w:rFonts w:hint="eastAsia"/>
                <w:b/>
                <w:sz w:val="21"/>
              </w:rPr>
              <w:t>序号</w:t>
            </w:r>
          </w:p>
        </w:tc>
        <w:tc>
          <w:tcPr>
            <w:tcW w:w="1326" w:type="dxa"/>
            <w:shd w:val="clear" w:color="auto" w:fill="DFDFDF"/>
          </w:tcPr>
          <w:p w:rsidR="00B04AE3" w:rsidRDefault="00B04AE3">
            <w:pPr>
              <w:pStyle w:val="TableParagraph"/>
              <w:spacing w:before="140"/>
              <w:ind w:left="326" w:right="318"/>
              <w:rPr>
                <w:b/>
                <w:sz w:val="21"/>
              </w:rPr>
            </w:pPr>
            <w:r>
              <w:rPr>
                <w:rFonts w:hint="eastAsia"/>
                <w:b/>
                <w:sz w:val="21"/>
              </w:rPr>
              <w:t>名称</w:t>
            </w:r>
          </w:p>
        </w:tc>
        <w:tc>
          <w:tcPr>
            <w:tcW w:w="1296" w:type="dxa"/>
            <w:shd w:val="clear" w:color="auto" w:fill="DFDFDF"/>
          </w:tcPr>
          <w:p w:rsidR="00B04AE3" w:rsidRDefault="00B04AE3">
            <w:pPr>
              <w:pStyle w:val="TableParagraph"/>
              <w:spacing w:before="140"/>
              <w:ind w:left="188" w:right="181"/>
              <w:rPr>
                <w:b/>
                <w:sz w:val="21"/>
              </w:rPr>
            </w:pPr>
            <w:r>
              <w:rPr>
                <w:rFonts w:ascii="Times New Roman" w:eastAsia="Times New Roman"/>
                <w:b/>
                <w:sz w:val="21"/>
              </w:rPr>
              <w:t xml:space="preserve">CAS </w:t>
            </w:r>
            <w:r>
              <w:rPr>
                <w:rFonts w:hint="eastAsia"/>
                <w:b/>
                <w:sz w:val="21"/>
              </w:rPr>
              <w:t>号</w:t>
            </w:r>
          </w:p>
        </w:tc>
        <w:tc>
          <w:tcPr>
            <w:tcW w:w="750" w:type="dxa"/>
            <w:shd w:val="clear" w:color="auto" w:fill="DFDFDF"/>
          </w:tcPr>
          <w:p w:rsidR="00B04AE3" w:rsidRDefault="00B04AE3">
            <w:pPr>
              <w:pStyle w:val="TableParagraph"/>
              <w:spacing w:before="3"/>
              <w:ind w:left="165"/>
              <w:jc w:val="left"/>
              <w:rPr>
                <w:b/>
                <w:sz w:val="21"/>
              </w:rPr>
            </w:pPr>
            <w:r>
              <w:rPr>
                <w:rFonts w:hint="eastAsia"/>
                <w:b/>
                <w:w w:val="95"/>
                <w:sz w:val="21"/>
              </w:rPr>
              <w:t>理化</w:t>
            </w:r>
          </w:p>
          <w:p w:rsidR="00B04AE3" w:rsidRDefault="00B04AE3">
            <w:pPr>
              <w:pStyle w:val="TableParagraph"/>
              <w:spacing w:before="5" w:line="257" w:lineRule="exact"/>
              <w:ind w:left="165"/>
              <w:jc w:val="left"/>
              <w:rPr>
                <w:b/>
                <w:sz w:val="21"/>
              </w:rPr>
            </w:pPr>
            <w:r>
              <w:rPr>
                <w:rFonts w:hint="eastAsia"/>
                <w:b/>
                <w:w w:val="95"/>
                <w:sz w:val="21"/>
              </w:rPr>
              <w:t>性质</w:t>
            </w:r>
          </w:p>
        </w:tc>
        <w:tc>
          <w:tcPr>
            <w:tcW w:w="1788" w:type="dxa"/>
            <w:shd w:val="clear" w:color="auto" w:fill="DFDFDF"/>
          </w:tcPr>
          <w:p w:rsidR="00B04AE3" w:rsidRDefault="00B04AE3">
            <w:pPr>
              <w:pStyle w:val="TableParagraph"/>
              <w:spacing w:before="3"/>
              <w:ind w:left="346" w:right="336"/>
              <w:rPr>
                <w:b/>
                <w:sz w:val="21"/>
              </w:rPr>
            </w:pPr>
            <w:r>
              <w:rPr>
                <w:rFonts w:hint="eastAsia"/>
                <w:b/>
                <w:sz w:val="21"/>
              </w:rPr>
              <w:t>最大贮存量</w:t>
            </w:r>
          </w:p>
          <w:p w:rsidR="00B04AE3" w:rsidRDefault="00B04AE3">
            <w:pPr>
              <w:pStyle w:val="TableParagraph"/>
              <w:spacing w:before="5" w:line="257" w:lineRule="exact"/>
              <w:ind w:left="346" w:right="336"/>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023" w:type="dxa"/>
            <w:shd w:val="clear" w:color="auto" w:fill="DFDFDF"/>
          </w:tcPr>
          <w:p w:rsidR="00B04AE3" w:rsidRDefault="00B04AE3">
            <w:pPr>
              <w:pStyle w:val="TableParagraph"/>
              <w:spacing w:before="3"/>
              <w:ind w:left="195"/>
              <w:jc w:val="left"/>
              <w:rPr>
                <w:b/>
                <w:sz w:val="21"/>
              </w:rPr>
            </w:pPr>
            <w:r>
              <w:rPr>
                <w:rFonts w:hint="eastAsia"/>
                <w:b/>
                <w:w w:val="95"/>
                <w:sz w:val="21"/>
              </w:rPr>
              <w:t>临界量</w:t>
            </w:r>
          </w:p>
          <w:p w:rsidR="00B04AE3" w:rsidRDefault="00B04AE3">
            <w:pPr>
              <w:pStyle w:val="TableParagraph"/>
              <w:spacing w:before="5" w:line="257" w:lineRule="exact"/>
              <w:ind w:left="207"/>
              <w:jc w:val="left"/>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068" w:type="dxa"/>
            <w:shd w:val="clear" w:color="auto" w:fill="DFDFDF"/>
          </w:tcPr>
          <w:p w:rsidR="00B04AE3" w:rsidRDefault="00B04AE3">
            <w:pPr>
              <w:pStyle w:val="TableParagraph"/>
              <w:spacing w:before="154"/>
              <w:ind w:left="118" w:right="110"/>
              <w:rPr>
                <w:rFonts w:ascii="Times New Roman"/>
                <w:b/>
                <w:sz w:val="21"/>
              </w:rPr>
            </w:pPr>
            <w:r>
              <w:rPr>
                <w:rFonts w:ascii="Times New Roman"/>
                <w:b/>
                <w:sz w:val="21"/>
              </w:rPr>
              <w:t>q/Q</w:t>
            </w:r>
          </w:p>
        </w:tc>
        <w:tc>
          <w:tcPr>
            <w:tcW w:w="733" w:type="dxa"/>
            <w:shd w:val="clear" w:color="auto" w:fill="DFDFDF"/>
          </w:tcPr>
          <w:p w:rsidR="00B04AE3" w:rsidRDefault="00B04AE3">
            <w:pPr>
              <w:pStyle w:val="TableParagraph"/>
              <w:spacing w:before="3"/>
              <w:ind w:left="156"/>
              <w:jc w:val="left"/>
              <w:rPr>
                <w:b/>
                <w:sz w:val="21"/>
              </w:rPr>
            </w:pPr>
            <w:r>
              <w:rPr>
                <w:rFonts w:hint="eastAsia"/>
                <w:b/>
                <w:w w:val="95"/>
                <w:sz w:val="21"/>
              </w:rPr>
              <w:t>储存</w:t>
            </w:r>
          </w:p>
          <w:p w:rsidR="00B04AE3" w:rsidRDefault="00B04AE3">
            <w:pPr>
              <w:pStyle w:val="TableParagraph"/>
              <w:spacing w:before="5" w:line="257" w:lineRule="exact"/>
              <w:ind w:left="156"/>
              <w:jc w:val="left"/>
              <w:rPr>
                <w:b/>
                <w:sz w:val="21"/>
              </w:rPr>
            </w:pPr>
            <w:r>
              <w:rPr>
                <w:rFonts w:hint="eastAsia"/>
                <w:b/>
                <w:w w:val="95"/>
                <w:sz w:val="21"/>
              </w:rPr>
              <w:t>方式</w:t>
            </w:r>
          </w:p>
        </w:tc>
      </w:tr>
      <w:tr w:rsidR="00B04AE3">
        <w:trPr>
          <w:trHeight w:val="817"/>
        </w:trPr>
        <w:tc>
          <w:tcPr>
            <w:tcW w:w="616" w:type="dxa"/>
          </w:tcPr>
          <w:p w:rsidR="00B04AE3" w:rsidRDefault="00B04AE3">
            <w:pPr>
              <w:pStyle w:val="TableParagraph"/>
              <w:spacing w:before="4"/>
              <w:jc w:val="left"/>
              <w:rPr>
                <w:b/>
              </w:rPr>
            </w:pPr>
          </w:p>
          <w:p w:rsidR="00B04AE3" w:rsidRDefault="00B04AE3">
            <w:pPr>
              <w:pStyle w:val="TableParagraph"/>
              <w:ind w:left="8"/>
              <w:rPr>
                <w:rFonts w:ascii="Times New Roman"/>
                <w:sz w:val="21"/>
              </w:rPr>
            </w:pPr>
            <w:r>
              <w:rPr>
                <w:rFonts w:ascii="Times New Roman"/>
                <w:w w:val="99"/>
                <w:sz w:val="21"/>
              </w:rPr>
              <w:t>1</w:t>
            </w:r>
          </w:p>
        </w:tc>
        <w:tc>
          <w:tcPr>
            <w:tcW w:w="1326" w:type="dxa"/>
          </w:tcPr>
          <w:p w:rsidR="00B04AE3" w:rsidRDefault="00B04AE3">
            <w:pPr>
              <w:pStyle w:val="TableParagraph"/>
              <w:spacing w:before="3"/>
              <w:jc w:val="left"/>
              <w:rPr>
                <w:b/>
                <w:sz w:val="21"/>
              </w:rPr>
            </w:pPr>
          </w:p>
          <w:p w:rsidR="00B04AE3" w:rsidRDefault="00B04AE3">
            <w:pPr>
              <w:pStyle w:val="TableParagraph"/>
              <w:ind w:left="326" w:right="320"/>
              <w:rPr>
                <w:sz w:val="21"/>
              </w:rPr>
            </w:pPr>
            <w:r>
              <w:rPr>
                <w:rFonts w:hint="eastAsia"/>
                <w:sz w:val="21"/>
              </w:rPr>
              <w:t>液氮</w:t>
            </w:r>
          </w:p>
        </w:tc>
        <w:tc>
          <w:tcPr>
            <w:tcW w:w="1296" w:type="dxa"/>
          </w:tcPr>
          <w:p w:rsidR="00B04AE3" w:rsidRDefault="00B04AE3">
            <w:pPr>
              <w:pStyle w:val="TableParagraph"/>
              <w:spacing w:before="4"/>
              <w:jc w:val="left"/>
              <w:rPr>
                <w:b/>
              </w:rPr>
            </w:pPr>
          </w:p>
          <w:p w:rsidR="00B04AE3" w:rsidRDefault="00B04AE3">
            <w:pPr>
              <w:pStyle w:val="TableParagraph"/>
              <w:ind w:left="189" w:right="181"/>
              <w:rPr>
                <w:rFonts w:ascii="Times New Roman"/>
                <w:sz w:val="21"/>
              </w:rPr>
            </w:pPr>
            <w:r>
              <w:rPr>
                <w:rFonts w:ascii="Arial" w:hAnsi="Arial" w:cs="Arial"/>
                <w:color w:val="000000"/>
                <w:sz w:val="18"/>
                <w:szCs w:val="18"/>
                <w:shd w:val="clear" w:color="auto" w:fill="FFFFFF"/>
              </w:rPr>
              <w:t>7727-37-9</w:t>
            </w:r>
          </w:p>
        </w:tc>
        <w:tc>
          <w:tcPr>
            <w:tcW w:w="750" w:type="dxa"/>
          </w:tcPr>
          <w:p w:rsidR="00B04AE3" w:rsidRDefault="00B04AE3">
            <w:pPr>
              <w:pStyle w:val="TableParagraph"/>
              <w:spacing w:before="1" w:line="242" w:lineRule="auto"/>
              <w:ind w:left="107" w:right="97"/>
              <w:rPr>
                <w:sz w:val="21"/>
              </w:rPr>
            </w:pPr>
            <w:r>
              <w:rPr>
                <w:rFonts w:hint="eastAsia"/>
                <w:spacing w:val="-37"/>
                <w:sz w:val="21"/>
              </w:rPr>
              <w:t>有</w:t>
            </w:r>
          </w:p>
          <w:p w:rsidR="00B04AE3" w:rsidRDefault="00B04AE3">
            <w:pPr>
              <w:pStyle w:val="TableParagraph"/>
              <w:spacing w:line="252" w:lineRule="exact"/>
              <w:ind w:left="6"/>
              <w:rPr>
                <w:sz w:val="21"/>
              </w:rPr>
            </w:pPr>
            <w:r>
              <w:rPr>
                <w:rFonts w:hint="eastAsia"/>
                <w:w w:val="99"/>
                <w:sz w:val="21"/>
              </w:rPr>
              <w:t>毒</w:t>
            </w:r>
          </w:p>
        </w:tc>
        <w:tc>
          <w:tcPr>
            <w:tcW w:w="1788" w:type="dxa"/>
          </w:tcPr>
          <w:p w:rsidR="00B04AE3" w:rsidRDefault="00B04AE3">
            <w:pPr>
              <w:pStyle w:val="TableParagraph"/>
              <w:spacing w:before="4"/>
              <w:jc w:val="left"/>
              <w:rPr>
                <w:b/>
              </w:rPr>
            </w:pPr>
          </w:p>
          <w:p w:rsidR="00B04AE3" w:rsidRDefault="00B04AE3">
            <w:pPr>
              <w:pStyle w:val="TableParagraph"/>
              <w:ind w:left="344" w:right="336"/>
              <w:rPr>
                <w:rFonts w:ascii="Times New Roman"/>
                <w:sz w:val="21"/>
                <w:lang w:val="en-US"/>
              </w:rPr>
            </w:pPr>
            <w:r>
              <w:rPr>
                <w:rFonts w:ascii="Times New Roman"/>
                <w:sz w:val="21"/>
                <w:lang w:val="en-US"/>
              </w:rPr>
              <w:t>65</w:t>
            </w:r>
          </w:p>
        </w:tc>
        <w:tc>
          <w:tcPr>
            <w:tcW w:w="1023" w:type="dxa"/>
          </w:tcPr>
          <w:p w:rsidR="00B04AE3" w:rsidRDefault="00B04AE3">
            <w:pPr>
              <w:pStyle w:val="TableParagraph"/>
              <w:spacing w:before="2"/>
              <w:jc w:val="left"/>
              <w:rPr>
                <w:b/>
              </w:rPr>
            </w:pPr>
          </w:p>
          <w:p w:rsidR="00B04AE3" w:rsidRDefault="00B04AE3">
            <w:pPr>
              <w:pStyle w:val="TableParagraph"/>
              <w:ind w:left="10"/>
              <w:rPr>
                <w:rFonts w:ascii="Times New Roman"/>
                <w:sz w:val="21"/>
                <w:lang w:val="en-US"/>
              </w:rPr>
            </w:pPr>
            <w:r>
              <w:rPr>
                <w:rFonts w:ascii="Times New Roman"/>
                <w:sz w:val="21"/>
                <w:lang w:val="en-US"/>
              </w:rPr>
              <w:t>200</w:t>
            </w:r>
          </w:p>
        </w:tc>
        <w:tc>
          <w:tcPr>
            <w:tcW w:w="1068" w:type="dxa"/>
          </w:tcPr>
          <w:p w:rsidR="00B04AE3" w:rsidRDefault="00B04AE3">
            <w:pPr>
              <w:pStyle w:val="TableParagraph"/>
              <w:spacing w:before="4"/>
              <w:jc w:val="left"/>
              <w:rPr>
                <w:b/>
              </w:rPr>
            </w:pPr>
          </w:p>
          <w:p w:rsidR="00B04AE3" w:rsidRDefault="00B04AE3">
            <w:pPr>
              <w:pStyle w:val="TableParagraph"/>
              <w:ind w:left="117" w:right="110"/>
              <w:rPr>
                <w:rFonts w:ascii="Times New Roman"/>
                <w:sz w:val="21"/>
                <w:lang w:val="en-US"/>
              </w:rPr>
            </w:pPr>
            <w:r>
              <w:rPr>
                <w:rFonts w:ascii="Times New Roman"/>
                <w:sz w:val="21"/>
              </w:rPr>
              <w:t>0.</w:t>
            </w:r>
            <w:r>
              <w:rPr>
                <w:rFonts w:ascii="Times New Roman"/>
                <w:sz w:val="21"/>
                <w:lang w:val="en-US"/>
              </w:rPr>
              <w:t>32</w:t>
            </w:r>
          </w:p>
        </w:tc>
        <w:tc>
          <w:tcPr>
            <w:tcW w:w="733" w:type="dxa"/>
          </w:tcPr>
          <w:p w:rsidR="00B04AE3" w:rsidRDefault="00B04AE3">
            <w:pPr>
              <w:pStyle w:val="TableParagraph"/>
              <w:spacing w:before="135" w:line="244" w:lineRule="auto"/>
              <w:ind w:left="259" w:right="146" w:hanging="104"/>
              <w:jc w:val="left"/>
              <w:rPr>
                <w:sz w:val="21"/>
              </w:rPr>
            </w:pPr>
            <w:r>
              <w:rPr>
                <w:rFonts w:hint="eastAsia"/>
                <w:sz w:val="21"/>
              </w:rPr>
              <w:t>储罐装</w:t>
            </w:r>
          </w:p>
        </w:tc>
      </w:tr>
      <w:tr w:rsidR="00B04AE3">
        <w:trPr>
          <w:trHeight w:val="553"/>
        </w:trPr>
        <w:tc>
          <w:tcPr>
            <w:tcW w:w="616" w:type="dxa"/>
          </w:tcPr>
          <w:p w:rsidR="00B04AE3" w:rsidRDefault="00B04AE3">
            <w:pPr>
              <w:pStyle w:val="TableParagraph"/>
              <w:spacing w:before="155"/>
              <w:ind w:left="8"/>
              <w:rPr>
                <w:rFonts w:ascii="Times New Roman"/>
                <w:sz w:val="21"/>
              </w:rPr>
            </w:pPr>
            <w:r>
              <w:rPr>
                <w:rFonts w:ascii="Times New Roman"/>
                <w:w w:val="99"/>
                <w:sz w:val="21"/>
              </w:rPr>
              <w:t>2</w:t>
            </w:r>
          </w:p>
        </w:tc>
        <w:tc>
          <w:tcPr>
            <w:tcW w:w="1326" w:type="dxa"/>
          </w:tcPr>
          <w:p w:rsidR="00B04AE3" w:rsidRDefault="00B04AE3">
            <w:pPr>
              <w:pStyle w:val="TableParagraph"/>
              <w:spacing w:before="139"/>
              <w:ind w:left="326" w:right="320"/>
              <w:rPr>
                <w:sz w:val="21"/>
              </w:rPr>
            </w:pPr>
            <w:r>
              <w:rPr>
                <w:rFonts w:hint="eastAsia"/>
                <w:sz w:val="21"/>
              </w:rPr>
              <w:t>硫酸</w:t>
            </w:r>
          </w:p>
        </w:tc>
        <w:tc>
          <w:tcPr>
            <w:tcW w:w="1296" w:type="dxa"/>
          </w:tcPr>
          <w:p w:rsidR="00B04AE3" w:rsidRDefault="00B04AE3">
            <w:pPr>
              <w:pStyle w:val="TableParagraph"/>
              <w:spacing w:before="155"/>
              <w:ind w:left="189" w:right="181"/>
              <w:rPr>
                <w:rFonts w:ascii="Times New Roman"/>
                <w:sz w:val="21"/>
              </w:rPr>
            </w:pPr>
            <w:r>
              <w:rPr>
                <w:rFonts w:ascii="Times New Roman"/>
                <w:sz w:val="21"/>
              </w:rPr>
              <w:t>7664-93-9</w:t>
            </w:r>
          </w:p>
        </w:tc>
        <w:tc>
          <w:tcPr>
            <w:tcW w:w="750" w:type="dxa"/>
          </w:tcPr>
          <w:p w:rsidR="00B04AE3" w:rsidRDefault="00B04AE3">
            <w:pPr>
              <w:pStyle w:val="TableParagraph"/>
              <w:spacing w:before="3" w:line="270" w:lineRule="atLeast"/>
              <w:ind w:left="268" w:right="154" w:hanging="104"/>
              <w:jc w:val="left"/>
              <w:rPr>
                <w:sz w:val="21"/>
              </w:rPr>
            </w:pPr>
            <w:r>
              <w:rPr>
                <w:rFonts w:hint="eastAsia"/>
                <w:sz w:val="21"/>
              </w:rPr>
              <w:t>腐蚀性</w:t>
            </w:r>
          </w:p>
        </w:tc>
        <w:tc>
          <w:tcPr>
            <w:tcW w:w="1788" w:type="dxa"/>
          </w:tcPr>
          <w:p w:rsidR="00B04AE3" w:rsidRDefault="00B04AE3">
            <w:pPr>
              <w:pStyle w:val="TableParagraph"/>
              <w:spacing w:before="155"/>
              <w:ind w:left="8"/>
              <w:rPr>
                <w:rFonts w:ascii="Times New Roman"/>
                <w:sz w:val="21"/>
              </w:rPr>
            </w:pPr>
            <w:r>
              <w:rPr>
                <w:rFonts w:ascii="Times New Roman"/>
                <w:w w:val="99"/>
                <w:sz w:val="21"/>
                <w:lang w:val="en-US"/>
              </w:rPr>
              <w:t>5</w:t>
            </w:r>
          </w:p>
        </w:tc>
        <w:tc>
          <w:tcPr>
            <w:tcW w:w="1023" w:type="dxa"/>
          </w:tcPr>
          <w:p w:rsidR="00B04AE3" w:rsidRDefault="00B04AE3">
            <w:pPr>
              <w:pStyle w:val="TableParagraph"/>
              <w:spacing w:before="153"/>
              <w:ind w:left="386" w:right="376"/>
              <w:rPr>
                <w:rFonts w:ascii="Times New Roman"/>
                <w:sz w:val="21"/>
                <w:lang w:val="en-US"/>
              </w:rPr>
            </w:pPr>
            <w:r>
              <w:rPr>
                <w:rFonts w:ascii="Times New Roman"/>
                <w:sz w:val="21"/>
                <w:lang w:val="en-US"/>
              </w:rPr>
              <w:t>50</w:t>
            </w:r>
          </w:p>
        </w:tc>
        <w:tc>
          <w:tcPr>
            <w:tcW w:w="1068" w:type="dxa"/>
          </w:tcPr>
          <w:p w:rsidR="00B04AE3" w:rsidRDefault="00B04AE3">
            <w:pPr>
              <w:pStyle w:val="TableParagraph"/>
              <w:spacing w:before="155"/>
              <w:ind w:left="120" w:right="108"/>
              <w:rPr>
                <w:rFonts w:ascii="Times New Roman"/>
                <w:sz w:val="21"/>
              </w:rPr>
            </w:pPr>
            <w:r>
              <w:rPr>
                <w:rFonts w:ascii="Times New Roman"/>
                <w:sz w:val="21"/>
              </w:rPr>
              <w:t>0.</w:t>
            </w:r>
            <w:r>
              <w:rPr>
                <w:rFonts w:ascii="Times New Roman"/>
                <w:sz w:val="21"/>
                <w:lang w:val="en-US"/>
              </w:rPr>
              <w:t>1</w:t>
            </w:r>
          </w:p>
        </w:tc>
        <w:tc>
          <w:tcPr>
            <w:tcW w:w="733" w:type="dxa"/>
          </w:tcPr>
          <w:p w:rsidR="00B04AE3" w:rsidRDefault="00B04AE3">
            <w:pPr>
              <w:pStyle w:val="TableParagraph"/>
              <w:spacing w:before="3" w:line="270" w:lineRule="atLeast"/>
              <w:ind w:left="156" w:right="146"/>
              <w:jc w:val="left"/>
              <w:rPr>
                <w:sz w:val="21"/>
              </w:rPr>
            </w:pPr>
            <w:r>
              <w:rPr>
                <w:rFonts w:hint="eastAsia"/>
                <w:sz w:val="21"/>
              </w:rPr>
              <w:t>钢瓶包装</w:t>
            </w:r>
          </w:p>
        </w:tc>
      </w:tr>
      <w:tr w:rsidR="00B04AE3">
        <w:trPr>
          <w:trHeight w:val="553"/>
        </w:trPr>
        <w:tc>
          <w:tcPr>
            <w:tcW w:w="616" w:type="dxa"/>
          </w:tcPr>
          <w:p w:rsidR="00B04AE3" w:rsidRDefault="00B04AE3">
            <w:pPr>
              <w:pStyle w:val="TableParagraph"/>
              <w:spacing w:before="155"/>
              <w:ind w:left="8"/>
              <w:rPr>
                <w:rFonts w:ascii="Times New Roman"/>
                <w:w w:val="99"/>
                <w:sz w:val="21"/>
                <w:lang w:val="en-US"/>
              </w:rPr>
            </w:pPr>
            <w:r>
              <w:rPr>
                <w:rFonts w:ascii="Times New Roman"/>
                <w:w w:val="99"/>
                <w:sz w:val="21"/>
                <w:lang w:val="en-US"/>
              </w:rPr>
              <w:t>4</w:t>
            </w:r>
          </w:p>
        </w:tc>
        <w:tc>
          <w:tcPr>
            <w:tcW w:w="1326" w:type="dxa"/>
          </w:tcPr>
          <w:p w:rsidR="00B04AE3" w:rsidRDefault="00B04AE3">
            <w:pPr>
              <w:pStyle w:val="TableParagraph"/>
              <w:spacing w:before="139"/>
              <w:ind w:right="320"/>
              <w:jc w:val="both"/>
              <w:rPr>
                <w:sz w:val="21"/>
              </w:rPr>
            </w:pPr>
            <w:r>
              <w:rPr>
                <w:rFonts w:hint="eastAsia"/>
                <w:sz w:val="21"/>
              </w:rPr>
              <w:t>氢氧化钠</w:t>
            </w:r>
          </w:p>
        </w:tc>
        <w:tc>
          <w:tcPr>
            <w:tcW w:w="1296" w:type="dxa"/>
          </w:tcPr>
          <w:p w:rsidR="00B04AE3" w:rsidRDefault="00B04AE3">
            <w:pPr>
              <w:pStyle w:val="TableParagraph"/>
              <w:spacing w:before="155"/>
              <w:ind w:right="181"/>
              <w:jc w:val="both"/>
              <w:rPr>
                <w:rFonts w:ascii="Times New Roman"/>
                <w:sz w:val="21"/>
              </w:rPr>
            </w:pPr>
            <w:r>
              <w:rPr>
                <w:color w:val="000000"/>
                <w:sz w:val="21"/>
                <w:szCs w:val="21"/>
              </w:rPr>
              <w:t>1310-73-2</w:t>
            </w:r>
          </w:p>
        </w:tc>
        <w:tc>
          <w:tcPr>
            <w:tcW w:w="750" w:type="dxa"/>
          </w:tcPr>
          <w:p w:rsidR="00B04AE3" w:rsidRDefault="00B04AE3">
            <w:pPr>
              <w:pStyle w:val="TableParagraph"/>
              <w:spacing w:before="3" w:line="270" w:lineRule="atLeast"/>
              <w:ind w:left="268" w:right="154" w:hanging="104"/>
              <w:jc w:val="left"/>
              <w:rPr>
                <w:sz w:val="21"/>
              </w:rPr>
            </w:pPr>
            <w:r>
              <w:rPr>
                <w:rFonts w:hint="eastAsia"/>
                <w:sz w:val="21"/>
              </w:rPr>
              <w:t>腐蚀性</w:t>
            </w:r>
          </w:p>
        </w:tc>
        <w:tc>
          <w:tcPr>
            <w:tcW w:w="1788" w:type="dxa"/>
          </w:tcPr>
          <w:p w:rsidR="00B04AE3" w:rsidRDefault="00B04AE3">
            <w:pPr>
              <w:pStyle w:val="TableParagraph"/>
              <w:spacing w:before="155"/>
              <w:ind w:left="8"/>
              <w:rPr>
                <w:rFonts w:ascii="Times New Roman"/>
                <w:w w:val="99"/>
                <w:sz w:val="21"/>
                <w:lang w:val="en-US"/>
              </w:rPr>
            </w:pPr>
            <w:r>
              <w:rPr>
                <w:rFonts w:ascii="Times New Roman"/>
                <w:w w:val="99"/>
                <w:sz w:val="21"/>
                <w:lang w:val="en-US"/>
              </w:rPr>
              <w:t>5</w:t>
            </w:r>
          </w:p>
        </w:tc>
        <w:tc>
          <w:tcPr>
            <w:tcW w:w="1023" w:type="dxa"/>
          </w:tcPr>
          <w:p w:rsidR="00B04AE3" w:rsidRDefault="00B04AE3">
            <w:pPr>
              <w:pStyle w:val="TableParagraph"/>
              <w:spacing w:before="153"/>
              <w:ind w:left="386" w:right="376"/>
              <w:rPr>
                <w:rFonts w:ascii="Times New Roman"/>
                <w:sz w:val="21"/>
                <w:lang w:val="en-US"/>
              </w:rPr>
            </w:pPr>
            <w:r>
              <w:rPr>
                <w:rFonts w:ascii="Times New Roman"/>
                <w:sz w:val="21"/>
                <w:lang w:val="en-US"/>
              </w:rPr>
              <w:t>50</w:t>
            </w:r>
          </w:p>
        </w:tc>
        <w:tc>
          <w:tcPr>
            <w:tcW w:w="1068" w:type="dxa"/>
          </w:tcPr>
          <w:p w:rsidR="00B04AE3" w:rsidRDefault="00B04AE3">
            <w:pPr>
              <w:pStyle w:val="TableParagraph"/>
              <w:spacing w:before="155"/>
              <w:ind w:left="120" w:right="108"/>
              <w:rPr>
                <w:rFonts w:ascii="Times New Roman"/>
                <w:sz w:val="21"/>
                <w:lang w:val="en-US"/>
              </w:rPr>
            </w:pPr>
            <w:r>
              <w:rPr>
                <w:rFonts w:ascii="Times New Roman"/>
                <w:sz w:val="21"/>
                <w:lang w:val="en-US"/>
              </w:rPr>
              <w:t>0.1</w:t>
            </w:r>
          </w:p>
        </w:tc>
        <w:tc>
          <w:tcPr>
            <w:tcW w:w="733" w:type="dxa"/>
          </w:tcPr>
          <w:p w:rsidR="00B04AE3" w:rsidRDefault="00B04AE3">
            <w:pPr>
              <w:pStyle w:val="TableParagraph"/>
              <w:spacing w:before="3" w:line="270" w:lineRule="atLeast"/>
              <w:ind w:left="156" w:right="146"/>
              <w:jc w:val="left"/>
              <w:rPr>
                <w:sz w:val="21"/>
              </w:rPr>
            </w:pPr>
          </w:p>
        </w:tc>
      </w:tr>
      <w:tr w:rsidR="00B04AE3">
        <w:trPr>
          <w:trHeight w:val="432"/>
        </w:trPr>
        <w:tc>
          <w:tcPr>
            <w:tcW w:w="616" w:type="dxa"/>
          </w:tcPr>
          <w:p w:rsidR="00B04AE3" w:rsidRDefault="00B04AE3">
            <w:pPr>
              <w:pStyle w:val="TableParagraph"/>
              <w:spacing w:before="93"/>
              <w:ind w:left="8"/>
              <w:rPr>
                <w:rFonts w:ascii="Times New Roman"/>
                <w:sz w:val="21"/>
              </w:rPr>
            </w:pPr>
            <w:r>
              <w:rPr>
                <w:rFonts w:ascii="Times New Roman"/>
                <w:w w:val="99"/>
                <w:sz w:val="21"/>
              </w:rPr>
              <w:t>3</w:t>
            </w:r>
          </w:p>
        </w:tc>
        <w:tc>
          <w:tcPr>
            <w:tcW w:w="1326" w:type="dxa"/>
          </w:tcPr>
          <w:p w:rsidR="00B04AE3" w:rsidRDefault="00B04AE3">
            <w:pPr>
              <w:pStyle w:val="TableParagraph"/>
              <w:spacing w:before="79"/>
              <w:ind w:left="326" w:right="320"/>
              <w:rPr>
                <w:sz w:val="21"/>
              </w:rPr>
            </w:pPr>
            <w:r>
              <w:rPr>
                <w:rFonts w:hint="eastAsia"/>
                <w:sz w:val="21"/>
              </w:rPr>
              <w:t>天然气</w:t>
            </w:r>
          </w:p>
        </w:tc>
        <w:tc>
          <w:tcPr>
            <w:tcW w:w="1296" w:type="dxa"/>
          </w:tcPr>
          <w:p w:rsidR="00B04AE3" w:rsidRDefault="00B04AE3">
            <w:pPr>
              <w:pStyle w:val="TableParagraph"/>
              <w:spacing w:before="93"/>
              <w:ind w:left="189" w:right="181"/>
              <w:rPr>
                <w:rFonts w:ascii="Times New Roman"/>
                <w:sz w:val="21"/>
              </w:rPr>
            </w:pPr>
            <w:r>
              <w:rPr>
                <w:rFonts w:ascii="Times New Roman"/>
                <w:sz w:val="21"/>
              </w:rPr>
              <w:t>74-82-8</w:t>
            </w:r>
          </w:p>
        </w:tc>
        <w:tc>
          <w:tcPr>
            <w:tcW w:w="750" w:type="dxa"/>
          </w:tcPr>
          <w:p w:rsidR="00B04AE3" w:rsidRDefault="00B04AE3">
            <w:pPr>
              <w:pStyle w:val="TableParagraph"/>
              <w:spacing w:before="79"/>
              <w:ind w:left="165"/>
              <w:jc w:val="left"/>
              <w:rPr>
                <w:sz w:val="21"/>
              </w:rPr>
            </w:pPr>
            <w:r>
              <w:rPr>
                <w:rFonts w:hint="eastAsia"/>
                <w:sz w:val="21"/>
              </w:rPr>
              <w:t>易燃</w:t>
            </w:r>
          </w:p>
        </w:tc>
        <w:tc>
          <w:tcPr>
            <w:tcW w:w="1788" w:type="dxa"/>
          </w:tcPr>
          <w:p w:rsidR="00B04AE3" w:rsidRDefault="00B04AE3">
            <w:pPr>
              <w:pStyle w:val="TableParagraph"/>
              <w:spacing w:before="93"/>
              <w:ind w:left="342" w:right="336"/>
              <w:rPr>
                <w:rFonts w:ascii="Times New Roman"/>
                <w:sz w:val="21"/>
              </w:rPr>
            </w:pPr>
            <w:r>
              <w:rPr>
                <w:rFonts w:ascii="Times New Roman"/>
                <w:sz w:val="21"/>
              </w:rPr>
              <w:t>0.0109</w:t>
            </w:r>
          </w:p>
        </w:tc>
        <w:tc>
          <w:tcPr>
            <w:tcW w:w="1023" w:type="dxa"/>
          </w:tcPr>
          <w:p w:rsidR="00B04AE3" w:rsidRDefault="00B04AE3">
            <w:pPr>
              <w:pStyle w:val="TableParagraph"/>
              <w:spacing w:before="90"/>
              <w:ind w:left="386" w:right="376"/>
              <w:rPr>
                <w:rFonts w:ascii="Times New Roman"/>
                <w:sz w:val="21"/>
              </w:rPr>
            </w:pPr>
            <w:r>
              <w:rPr>
                <w:rFonts w:ascii="Times New Roman"/>
                <w:sz w:val="21"/>
              </w:rPr>
              <w:t>50</w:t>
            </w:r>
          </w:p>
        </w:tc>
        <w:tc>
          <w:tcPr>
            <w:tcW w:w="1068" w:type="dxa"/>
          </w:tcPr>
          <w:p w:rsidR="00B04AE3" w:rsidRDefault="00B04AE3">
            <w:pPr>
              <w:pStyle w:val="TableParagraph"/>
              <w:spacing w:before="93"/>
              <w:ind w:left="120" w:right="110"/>
              <w:rPr>
                <w:rFonts w:ascii="Times New Roman"/>
                <w:sz w:val="21"/>
              </w:rPr>
            </w:pPr>
            <w:r>
              <w:rPr>
                <w:rFonts w:ascii="Times New Roman"/>
                <w:sz w:val="21"/>
              </w:rPr>
              <w:t>0.000218</w:t>
            </w:r>
          </w:p>
        </w:tc>
        <w:tc>
          <w:tcPr>
            <w:tcW w:w="733" w:type="dxa"/>
          </w:tcPr>
          <w:p w:rsidR="00B04AE3" w:rsidRDefault="00B04AE3">
            <w:pPr>
              <w:pStyle w:val="TableParagraph"/>
              <w:spacing w:before="79"/>
              <w:ind w:left="135" w:right="128"/>
              <w:rPr>
                <w:sz w:val="21"/>
              </w:rPr>
            </w:pPr>
            <w:r>
              <w:rPr>
                <w:rFonts w:hint="eastAsia"/>
                <w:sz w:val="21"/>
              </w:rPr>
              <w:t>管道</w:t>
            </w:r>
          </w:p>
        </w:tc>
      </w:tr>
      <w:tr w:rsidR="00B04AE3">
        <w:trPr>
          <w:trHeight w:val="452"/>
        </w:trPr>
        <w:tc>
          <w:tcPr>
            <w:tcW w:w="1942" w:type="dxa"/>
            <w:gridSpan w:val="2"/>
          </w:tcPr>
          <w:p w:rsidR="00B04AE3" w:rsidRDefault="00B04AE3">
            <w:pPr>
              <w:pStyle w:val="TableParagraph"/>
              <w:spacing w:before="88"/>
              <w:ind w:left="740" w:right="732"/>
              <w:rPr>
                <w:sz w:val="21"/>
              </w:rPr>
            </w:pPr>
            <w:r>
              <w:rPr>
                <w:rFonts w:hint="eastAsia"/>
                <w:sz w:val="21"/>
              </w:rPr>
              <w:t>合计</w:t>
            </w:r>
          </w:p>
        </w:tc>
        <w:tc>
          <w:tcPr>
            <w:tcW w:w="1296" w:type="dxa"/>
          </w:tcPr>
          <w:p w:rsidR="00B04AE3" w:rsidRDefault="00B04AE3">
            <w:pPr>
              <w:pStyle w:val="TableParagraph"/>
              <w:spacing w:before="104"/>
              <w:ind w:left="189" w:right="180"/>
              <w:rPr>
                <w:rFonts w:ascii="Times New Roman"/>
                <w:sz w:val="21"/>
              </w:rPr>
            </w:pPr>
            <w:r>
              <w:rPr>
                <w:rFonts w:ascii="Times New Roman"/>
                <w:sz w:val="21"/>
              </w:rPr>
              <w:t>--</w:t>
            </w:r>
          </w:p>
        </w:tc>
        <w:tc>
          <w:tcPr>
            <w:tcW w:w="750" w:type="dxa"/>
          </w:tcPr>
          <w:p w:rsidR="00B04AE3" w:rsidRDefault="00B04AE3">
            <w:pPr>
              <w:pStyle w:val="TableParagraph"/>
              <w:jc w:val="left"/>
              <w:rPr>
                <w:rFonts w:ascii="Times New Roman"/>
                <w:sz w:val="20"/>
              </w:rPr>
            </w:pPr>
          </w:p>
        </w:tc>
        <w:tc>
          <w:tcPr>
            <w:tcW w:w="1788" w:type="dxa"/>
          </w:tcPr>
          <w:p w:rsidR="00B04AE3" w:rsidRDefault="00B04AE3">
            <w:pPr>
              <w:pStyle w:val="TableParagraph"/>
              <w:spacing w:before="104"/>
              <w:ind w:left="345" w:right="336"/>
              <w:rPr>
                <w:rFonts w:ascii="Times New Roman"/>
                <w:sz w:val="21"/>
              </w:rPr>
            </w:pPr>
            <w:r>
              <w:rPr>
                <w:rFonts w:ascii="Times New Roman"/>
                <w:sz w:val="21"/>
              </w:rPr>
              <w:t>--</w:t>
            </w:r>
          </w:p>
        </w:tc>
        <w:tc>
          <w:tcPr>
            <w:tcW w:w="1023" w:type="dxa"/>
          </w:tcPr>
          <w:p w:rsidR="00B04AE3" w:rsidRDefault="00B04AE3">
            <w:pPr>
              <w:pStyle w:val="TableParagraph"/>
              <w:spacing w:before="104"/>
              <w:ind w:left="385" w:right="376"/>
              <w:rPr>
                <w:rFonts w:ascii="Times New Roman"/>
                <w:sz w:val="21"/>
              </w:rPr>
            </w:pPr>
            <w:r>
              <w:rPr>
                <w:rFonts w:ascii="Times New Roman"/>
                <w:sz w:val="21"/>
              </w:rPr>
              <w:t>--</w:t>
            </w:r>
          </w:p>
        </w:tc>
        <w:tc>
          <w:tcPr>
            <w:tcW w:w="1068" w:type="dxa"/>
          </w:tcPr>
          <w:p w:rsidR="00B04AE3" w:rsidRDefault="00B04AE3">
            <w:pPr>
              <w:pStyle w:val="TableParagraph"/>
              <w:spacing w:before="104"/>
              <w:ind w:left="120" w:right="110"/>
              <w:rPr>
                <w:rFonts w:ascii="Times New Roman"/>
                <w:sz w:val="21"/>
              </w:rPr>
            </w:pPr>
            <w:r>
              <w:rPr>
                <w:rFonts w:ascii="Times New Roman"/>
                <w:sz w:val="21"/>
              </w:rPr>
              <w:t>0.</w:t>
            </w:r>
            <w:r>
              <w:rPr>
                <w:rFonts w:ascii="Times New Roman"/>
                <w:sz w:val="21"/>
                <w:lang w:val="en-US"/>
              </w:rPr>
              <w:t>52</w:t>
            </w:r>
            <w:r>
              <w:rPr>
                <w:rFonts w:ascii="Times New Roman"/>
                <w:sz w:val="21"/>
              </w:rPr>
              <w:t>0218</w:t>
            </w:r>
          </w:p>
        </w:tc>
        <w:tc>
          <w:tcPr>
            <w:tcW w:w="733" w:type="dxa"/>
          </w:tcPr>
          <w:p w:rsidR="00B04AE3" w:rsidRDefault="00B04AE3">
            <w:pPr>
              <w:pStyle w:val="TableParagraph"/>
              <w:spacing w:before="104"/>
              <w:ind w:left="135" w:right="128"/>
              <w:rPr>
                <w:rFonts w:ascii="Times New Roman"/>
                <w:sz w:val="21"/>
              </w:rPr>
            </w:pPr>
            <w:r>
              <w:rPr>
                <w:rFonts w:ascii="Times New Roman"/>
                <w:sz w:val="21"/>
              </w:rPr>
              <w:t>--</w:t>
            </w:r>
          </w:p>
        </w:tc>
      </w:tr>
    </w:tbl>
    <w:p w:rsidR="00B04AE3" w:rsidRDefault="00B04AE3">
      <w:pPr>
        <w:pStyle w:val="BodyText"/>
        <w:spacing w:before="20" w:line="360" w:lineRule="auto"/>
        <w:ind w:left="334" w:right="334" w:firstLine="482"/>
        <w:jc w:val="both"/>
        <w:rPr>
          <w:spacing w:val="-6"/>
          <w:szCs w:val="22"/>
        </w:rPr>
      </w:pPr>
      <w:r>
        <w:rPr>
          <w:rFonts w:hint="eastAsia"/>
          <w:spacing w:val="-6"/>
          <w:szCs w:val="22"/>
        </w:rPr>
        <w:t>由上表可知，本公司危险化学品总的比例系数为</w:t>
      </w:r>
      <w:r>
        <w:rPr>
          <w:spacing w:val="-6"/>
          <w:szCs w:val="22"/>
        </w:rPr>
        <w:t xml:space="preserve"> 0.</w:t>
      </w:r>
      <w:r>
        <w:rPr>
          <w:spacing w:val="-6"/>
          <w:szCs w:val="22"/>
          <w:lang w:val="en-US"/>
        </w:rPr>
        <w:t>52</w:t>
      </w:r>
      <w:r>
        <w:rPr>
          <w:spacing w:val="-6"/>
          <w:szCs w:val="22"/>
        </w:rPr>
        <w:t>0218</w:t>
      </w:r>
      <w:r>
        <w:rPr>
          <w:rFonts w:hint="eastAsia"/>
          <w:spacing w:val="-6"/>
          <w:szCs w:val="22"/>
        </w:rPr>
        <w:t>＜</w:t>
      </w:r>
      <w:r>
        <w:rPr>
          <w:spacing w:val="-6"/>
          <w:szCs w:val="22"/>
        </w:rPr>
        <w:t>1</w:t>
      </w:r>
      <w:r>
        <w:rPr>
          <w:rFonts w:hint="eastAsia"/>
          <w:spacing w:val="-6"/>
          <w:szCs w:val="22"/>
        </w:rPr>
        <w:t>，则项目储存量未超过《危险化学品重大危险源辨识》（</w:t>
      </w:r>
      <w:r>
        <w:rPr>
          <w:spacing w:val="-6"/>
          <w:szCs w:val="22"/>
        </w:rPr>
        <w:t>GB 18218-2009</w:t>
      </w:r>
      <w:r>
        <w:rPr>
          <w:rFonts w:hint="eastAsia"/>
          <w:spacing w:val="-6"/>
          <w:szCs w:val="22"/>
        </w:rPr>
        <w:t>）规定的临界量，未构成重大危险源。</w:t>
      </w:r>
    </w:p>
    <w:p w:rsidR="00B04AE3" w:rsidRDefault="00B04AE3">
      <w:pPr>
        <w:pStyle w:val="ListParagraph"/>
        <w:numPr>
          <w:ilvl w:val="1"/>
          <w:numId w:val="18"/>
        </w:numPr>
        <w:tabs>
          <w:tab w:val="left" w:pos="787"/>
        </w:tabs>
        <w:spacing w:before="1"/>
        <w:rPr>
          <w:b/>
          <w:sz w:val="30"/>
        </w:rPr>
      </w:pPr>
      <w:bookmarkStart w:id="65" w:name="3.2环境风险评价"/>
      <w:bookmarkEnd w:id="65"/>
      <w:r>
        <w:rPr>
          <w:rFonts w:hint="eastAsia"/>
          <w:b/>
          <w:sz w:val="30"/>
        </w:rPr>
        <w:t>环境风险评价</w:t>
      </w:r>
    </w:p>
    <w:p w:rsidR="00B04AE3" w:rsidRDefault="00B04AE3">
      <w:pPr>
        <w:pStyle w:val="ListParagraph"/>
        <w:tabs>
          <w:tab w:val="left" w:pos="1058"/>
        </w:tabs>
        <w:spacing w:before="196"/>
        <w:ind w:firstLine="0"/>
        <w:rPr>
          <w:b/>
          <w:sz w:val="24"/>
        </w:rPr>
      </w:pPr>
      <w:bookmarkStart w:id="66" w:name="3.2.1__潜在危险性评估"/>
      <w:bookmarkEnd w:id="66"/>
      <w:r>
        <w:rPr>
          <w:b/>
          <w:sz w:val="24"/>
          <w:lang w:val="en-US"/>
        </w:rPr>
        <w:t>3.2.1</w:t>
      </w:r>
      <w:r>
        <w:rPr>
          <w:rFonts w:hint="eastAsia"/>
          <w:b/>
          <w:sz w:val="24"/>
        </w:rPr>
        <w:t>潜在危险性评估</w:t>
      </w:r>
    </w:p>
    <w:p w:rsidR="00B04AE3" w:rsidRDefault="00B04AE3">
      <w:pPr>
        <w:pStyle w:val="BodyText"/>
        <w:spacing w:before="20" w:line="360" w:lineRule="auto"/>
        <w:ind w:left="334" w:right="334" w:firstLine="482"/>
        <w:jc w:val="both"/>
        <w:rPr>
          <w:spacing w:val="-6"/>
          <w:szCs w:val="22"/>
        </w:rPr>
      </w:pPr>
      <w:r>
        <w:rPr>
          <w:rFonts w:hint="eastAsia"/>
          <w:spacing w:val="-6"/>
          <w:szCs w:val="22"/>
        </w:rPr>
        <w:t>潜在风险是指正常情况下，表现为正常状态，但存一定的危险因素，在特定条件下，可诱发事故发生，它的危险性是不易发现，一旦发生可能危害性极大，</w:t>
      </w:r>
      <w:r>
        <w:rPr>
          <w:spacing w:val="-6"/>
          <w:szCs w:val="22"/>
        </w:rPr>
        <w:t xml:space="preserve"> </w:t>
      </w:r>
      <w:r>
        <w:rPr>
          <w:rFonts w:hint="eastAsia"/>
          <w:spacing w:val="-6"/>
          <w:szCs w:val="22"/>
        </w:rPr>
        <w:t>所以潜在性风险的评估尤为重要。</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储存液氮和硫酸等化学物质。由物质风险识别知，硫酸及液氮均属于液体，废机油、废乳化液、油雾净化回收的废油、酸洗和表面清洗产生的废酸液等为危险废物；由生产设施风险源识别知，危化品库、加热炉、感应炉、危废暂存库、混凝沉淀池、废气处理装置为潜在风险源。</w:t>
      </w:r>
    </w:p>
    <w:p w:rsidR="00B04AE3" w:rsidRDefault="00B04AE3">
      <w:pPr>
        <w:pStyle w:val="BodyText"/>
        <w:ind w:left="817"/>
      </w:pPr>
      <w:r>
        <w:rPr>
          <w:rFonts w:hint="eastAsia"/>
          <w:spacing w:val="-4"/>
        </w:rPr>
        <w:t>公司主要的潜在事故源情况详见下表</w:t>
      </w:r>
      <w:r>
        <w:rPr>
          <w:spacing w:val="-4"/>
        </w:rPr>
        <w:t xml:space="preserve"> </w:t>
      </w:r>
      <w:r>
        <w:rPr>
          <w:rFonts w:ascii="Times New Roman" w:eastAsia="Times New Roman"/>
        </w:rPr>
        <w:t>3.2-1</w:t>
      </w:r>
      <w:r>
        <w:rPr>
          <w:rFonts w:ascii="Times New Roman"/>
          <w:lang w:val="en-US"/>
        </w:rPr>
        <w:t>2</w:t>
      </w:r>
      <w:r>
        <w:rPr>
          <w:rFonts w:hint="eastAsia"/>
        </w:rPr>
        <w:t>。</w:t>
      </w:r>
    </w:p>
    <w:p w:rsidR="00B04AE3" w:rsidRDefault="00B04AE3">
      <w:pPr>
        <w:tabs>
          <w:tab w:val="left" w:pos="3452"/>
        </w:tabs>
        <w:spacing w:before="155" w:after="3"/>
        <w:ind w:left="2413"/>
        <w:rPr>
          <w:b/>
          <w:sz w:val="24"/>
        </w:rPr>
      </w:pPr>
      <w:r>
        <w:rPr>
          <w:rFonts w:hint="eastAsia"/>
          <w:b/>
          <w:sz w:val="24"/>
        </w:rPr>
        <w:t>表</w:t>
      </w:r>
      <w:r>
        <w:rPr>
          <w:b/>
          <w:spacing w:val="-62"/>
          <w:sz w:val="24"/>
        </w:rPr>
        <w:t xml:space="preserve"> </w:t>
      </w:r>
      <w:r>
        <w:rPr>
          <w:rFonts w:ascii="Times New Roman" w:eastAsia="Times New Roman"/>
          <w:b/>
          <w:sz w:val="24"/>
        </w:rPr>
        <w:t>3.2-1</w:t>
      </w:r>
      <w:r>
        <w:rPr>
          <w:rFonts w:ascii="Times New Roman"/>
          <w:b/>
          <w:sz w:val="24"/>
          <w:lang w:val="en-US"/>
        </w:rPr>
        <w:t>2</w:t>
      </w:r>
      <w:r>
        <w:rPr>
          <w:rFonts w:ascii="Times New Roman" w:eastAsia="Times New Roman"/>
          <w:b/>
          <w:sz w:val="24"/>
        </w:rPr>
        <w:tab/>
      </w:r>
      <w:r>
        <w:rPr>
          <w:rFonts w:hint="eastAsia"/>
          <w:b/>
          <w:sz w:val="24"/>
        </w:rPr>
        <w:t>公司主要的潜在事故源情况一览表</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12"/>
        <w:gridCol w:w="1583"/>
        <w:gridCol w:w="1583"/>
        <w:gridCol w:w="1370"/>
        <w:gridCol w:w="1620"/>
        <w:gridCol w:w="1760"/>
      </w:tblGrid>
      <w:tr w:rsidR="00B04AE3">
        <w:trPr>
          <w:trHeight w:val="545"/>
        </w:trPr>
        <w:tc>
          <w:tcPr>
            <w:tcW w:w="612" w:type="dxa"/>
            <w:shd w:val="clear" w:color="auto" w:fill="DFDFDF"/>
          </w:tcPr>
          <w:p w:rsidR="00B04AE3" w:rsidRDefault="00B04AE3">
            <w:pPr>
              <w:pStyle w:val="TableParagraph"/>
              <w:spacing w:before="1"/>
              <w:ind w:left="199"/>
              <w:jc w:val="left"/>
              <w:rPr>
                <w:b/>
                <w:sz w:val="21"/>
              </w:rPr>
            </w:pPr>
            <w:r>
              <w:rPr>
                <w:rFonts w:hint="eastAsia"/>
                <w:b/>
                <w:w w:val="99"/>
                <w:sz w:val="21"/>
              </w:rPr>
              <w:t>序</w:t>
            </w:r>
          </w:p>
          <w:p w:rsidR="00B04AE3" w:rsidRDefault="00B04AE3">
            <w:pPr>
              <w:pStyle w:val="TableParagraph"/>
              <w:spacing w:before="2" w:line="253" w:lineRule="exact"/>
              <w:ind w:left="199"/>
              <w:jc w:val="left"/>
              <w:rPr>
                <w:b/>
                <w:sz w:val="21"/>
              </w:rPr>
            </w:pPr>
            <w:r>
              <w:rPr>
                <w:rFonts w:hint="eastAsia"/>
                <w:b/>
                <w:w w:val="99"/>
                <w:sz w:val="21"/>
              </w:rPr>
              <w:t>号</w:t>
            </w:r>
          </w:p>
        </w:tc>
        <w:tc>
          <w:tcPr>
            <w:tcW w:w="1583" w:type="dxa"/>
            <w:shd w:val="clear" w:color="auto" w:fill="DFDFDF"/>
          </w:tcPr>
          <w:p w:rsidR="00B04AE3" w:rsidRDefault="00B04AE3">
            <w:pPr>
              <w:pStyle w:val="TableParagraph"/>
              <w:spacing w:before="135"/>
              <w:ind w:left="35" w:right="26"/>
              <w:rPr>
                <w:b/>
                <w:sz w:val="21"/>
              </w:rPr>
            </w:pPr>
            <w:r>
              <w:rPr>
                <w:rFonts w:hint="eastAsia"/>
                <w:b/>
                <w:sz w:val="21"/>
              </w:rPr>
              <w:t>工段</w:t>
            </w:r>
          </w:p>
        </w:tc>
        <w:tc>
          <w:tcPr>
            <w:tcW w:w="1583" w:type="dxa"/>
            <w:shd w:val="clear" w:color="auto" w:fill="DFDFDF"/>
          </w:tcPr>
          <w:p w:rsidR="00B04AE3" w:rsidRDefault="00B04AE3">
            <w:pPr>
              <w:pStyle w:val="TableParagraph"/>
              <w:spacing w:before="135"/>
              <w:ind w:left="33" w:right="27"/>
              <w:rPr>
                <w:b/>
                <w:sz w:val="21"/>
              </w:rPr>
            </w:pPr>
            <w:r>
              <w:rPr>
                <w:rFonts w:hint="eastAsia"/>
                <w:b/>
                <w:sz w:val="21"/>
              </w:rPr>
              <w:t>装置</w:t>
            </w:r>
          </w:p>
        </w:tc>
        <w:tc>
          <w:tcPr>
            <w:tcW w:w="1370" w:type="dxa"/>
            <w:shd w:val="clear" w:color="auto" w:fill="DFDFDF"/>
          </w:tcPr>
          <w:p w:rsidR="00B04AE3" w:rsidRDefault="00B04AE3">
            <w:pPr>
              <w:pStyle w:val="TableParagraph"/>
              <w:spacing w:before="135"/>
              <w:ind w:left="107" w:right="95"/>
              <w:rPr>
                <w:b/>
                <w:sz w:val="21"/>
              </w:rPr>
            </w:pPr>
            <w:r>
              <w:rPr>
                <w:rFonts w:hint="eastAsia"/>
                <w:b/>
                <w:sz w:val="21"/>
              </w:rPr>
              <w:t>污染物名称</w:t>
            </w:r>
          </w:p>
        </w:tc>
        <w:tc>
          <w:tcPr>
            <w:tcW w:w="1620" w:type="dxa"/>
            <w:shd w:val="clear" w:color="auto" w:fill="DFDFDF"/>
          </w:tcPr>
          <w:p w:rsidR="00B04AE3" w:rsidRDefault="00B04AE3">
            <w:pPr>
              <w:pStyle w:val="TableParagraph"/>
              <w:spacing w:before="135"/>
              <w:ind w:left="159" w:right="149"/>
              <w:rPr>
                <w:b/>
                <w:sz w:val="21"/>
              </w:rPr>
            </w:pPr>
            <w:r>
              <w:rPr>
                <w:rFonts w:hint="eastAsia"/>
                <w:b/>
                <w:sz w:val="21"/>
              </w:rPr>
              <w:t>事故类型</w:t>
            </w:r>
          </w:p>
        </w:tc>
        <w:tc>
          <w:tcPr>
            <w:tcW w:w="1760" w:type="dxa"/>
            <w:shd w:val="clear" w:color="auto" w:fill="DFDFDF"/>
          </w:tcPr>
          <w:p w:rsidR="00B04AE3" w:rsidRDefault="00B04AE3">
            <w:pPr>
              <w:pStyle w:val="TableParagraph"/>
              <w:spacing w:before="135"/>
              <w:ind w:left="123" w:right="111"/>
              <w:rPr>
                <w:b/>
                <w:sz w:val="21"/>
              </w:rPr>
            </w:pPr>
            <w:r>
              <w:rPr>
                <w:rFonts w:hint="eastAsia"/>
                <w:b/>
                <w:sz w:val="21"/>
              </w:rPr>
              <w:t>环境事故类型</w:t>
            </w:r>
          </w:p>
        </w:tc>
      </w:tr>
      <w:tr w:rsidR="00B04AE3">
        <w:trPr>
          <w:trHeight w:val="816"/>
        </w:trPr>
        <w:tc>
          <w:tcPr>
            <w:tcW w:w="612" w:type="dxa"/>
          </w:tcPr>
          <w:p w:rsidR="00B04AE3" w:rsidRDefault="00B04AE3">
            <w:pPr>
              <w:pStyle w:val="TableParagraph"/>
              <w:spacing w:before="5"/>
              <w:jc w:val="left"/>
              <w:rPr>
                <w:b/>
              </w:rPr>
            </w:pPr>
          </w:p>
          <w:p w:rsidR="00B04AE3" w:rsidRDefault="00B04AE3">
            <w:pPr>
              <w:pStyle w:val="TableParagraph"/>
              <w:spacing w:before="1"/>
              <w:ind w:left="7"/>
              <w:rPr>
                <w:rFonts w:ascii="Times New Roman"/>
                <w:sz w:val="21"/>
              </w:rPr>
            </w:pPr>
            <w:r>
              <w:rPr>
                <w:rFonts w:ascii="Times New Roman"/>
                <w:w w:val="99"/>
                <w:sz w:val="21"/>
              </w:rPr>
              <w:t>1</w:t>
            </w:r>
          </w:p>
        </w:tc>
        <w:tc>
          <w:tcPr>
            <w:tcW w:w="1583" w:type="dxa"/>
          </w:tcPr>
          <w:p w:rsidR="00B04AE3" w:rsidRDefault="00B04AE3">
            <w:pPr>
              <w:pStyle w:val="TableParagraph"/>
              <w:spacing w:before="4"/>
              <w:jc w:val="left"/>
              <w:rPr>
                <w:b/>
                <w:sz w:val="21"/>
              </w:rPr>
            </w:pPr>
          </w:p>
          <w:p w:rsidR="00B04AE3" w:rsidRDefault="00B04AE3">
            <w:pPr>
              <w:pStyle w:val="TableParagraph"/>
              <w:ind w:left="34" w:right="27"/>
              <w:rPr>
                <w:sz w:val="21"/>
              </w:rPr>
            </w:pPr>
            <w:r>
              <w:rPr>
                <w:rFonts w:hint="eastAsia"/>
                <w:sz w:val="21"/>
              </w:rPr>
              <w:t>液氮、硫酸罐区、氢氧化钠罐区</w:t>
            </w:r>
          </w:p>
        </w:tc>
        <w:tc>
          <w:tcPr>
            <w:tcW w:w="1583" w:type="dxa"/>
          </w:tcPr>
          <w:p w:rsidR="00B04AE3" w:rsidRDefault="00B04AE3">
            <w:pPr>
              <w:pStyle w:val="TableParagraph"/>
              <w:spacing w:before="137" w:line="242" w:lineRule="auto"/>
              <w:ind w:left="579" w:right="98" w:hanging="473"/>
              <w:jc w:val="left"/>
              <w:rPr>
                <w:sz w:val="21"/>
              </w:rPr>
            </w:pPr>
            <w:r>
              <w:rPr>
                <w:rFonts w:hint="eastAsia"/>
                <w:spacing w:val="-18"/>
                <w:sz w:val="21"/>
              </w:rPr>
              <w:t>液氮钢瓶、硫酸、氢氧化钠</w:t>
            </w:r>
            <w:r>
              <w:rPr>
                <w:rFonts w:hint="eastAsia"/>
                <w:sz w:val="21"/>
              </w:rPr>
              <w:t>储罐</w:t>
            </w:r>
          </w:p>
        </w:tc>
        <w:tc>
          <w:tcPr>
            <w:tcW w:w="1370" w:type="dxa"/>
          </w:tcPr>
          <w:p w:rsidR="00B04AE3" w:rsidRDefault="00B04AE3">
            <w:pPr>
              <w:pStyle w:val="TableParagraph"/>
              <w:spacing w:before="4"/>
              <w:jc w:val="left"/>
              <w:rPr>
                <w:b/>
                <w:sz w:val="21"/>
              </w:rPr>
            </w:pPr>
          </w:p>
          <w:p w:rsidR="00B04AE3" w:rsidRDefault="00B04AE3">
            <w:pPr>
              <w:pStyle w:val="TableParagraph"/>
              <w:ind w:left="107" w:right="99"/>
              <w:rPr>
                <w:sz w:val="21"/>
              </w:rPr>
            </w:pPr>
            <w:r>
              <w:rPr>
                <w:rFonts w:hint="eastAsia"/>
                <w:sz w:val="21"/>
              </w:rPr>
              <w:t>、氢氧化钠、硫酸、液氮</w:t>
            </w:r>
          </w:p>
        </w:tc>
        <w:tc>
          <w:tcPr>
            <w:tcW w:w="1620" w:type="dxa"/>
          </w:tcPr>
          <w:p w:rsidR="00B04AE3" w:rsidRDefault="00B04AE3">
            <w:pPr>
              <w:pStyle w:val="TableParagraph"/>
              <w:spacing w:before="137" w:line="242" w:lineRule="auto"/>
              <w:ind w:left="703" w:right="25" w:hanging="596"/>
              <w:jc w:val="left"/>
              <w:rPr>
                <w:sz w:val="21"/>
              </w:rPr>
            </w:pPr>
            <w:r>
              <w:rPr>
                <w:rFonts w:hint="eastAsia"/>
                <w:sz w:val="21"/>
              </w:rPr>
              <w:t>泄漏、火灾、爆炸</w:t>
            </w:r>
          </w:p>
        </w:tc>
        <w:tc>
          <w:tcPr>
            <w:tcW w:w="1760" w:type="dxa"/>
          </w:tcPr>
          <w:p w:rsidR="00B04AE3" w:rsidRDefault="00B04AE3">
            <w:pPr>
              <w:pStyle w:val="TableParagraph"/>
              <w:ind w:left="144"/>
              <w:jc w:val="left"/>
              <w:rPr>
                <w:sz w:val="21"/>
              </w:rPr>
            </w:pPr>
            <w:r>
              <w:rPr>
                <w:rFonts w:hint="eastAsia"/>
                <w:sz w:val="21"/>
              </w:rPr>
              <w:t>污染物扩散，突</w:t>
            </w:r>
          </w:p>
          <w:p w:rsidR="00B04AE3" w:rsidRDefault="00B04AE3">
            <w:pPr>
              <w:pStyle w:val="TableParagraph"/>
              <w:spacing w:before="3" w:line="270" w:lineRule="atLeast"/>
              <w:ind w:left="249" w:right="134" w:hanging="106"/>
              <w:jc w:val="left"/>
              <w:rPr>
                <w:sz w:val="21"/>
              </w:rPr>
            </w:pPr>
            <w:r>
              <w:rPr>
                <w:rFonts w:hint="eastAsia"/>
                <w:sz w:val="21"/>
              </w:rPr>
              <w:t>然影响周围大气环境、水环境</w:t>
            </w:r>
          </w:p>
        </w:tc>
      </w:tr>
      <w:tr w:rsidR="00B04AE3">
        <w:trPr>
          <w:trHeight w:val="545"/>
        </w:trPr>
        <w:tc>
          <w:tcPr>
            <w:tcW w:w="612" w:type="dxa"/>
          </w:tcPr>
          <w:p w:rsidR="00B04AE3" w:rsidRDefault="00B04AE3">
            <w:pPr>
              <w:pStyle w:val="TableParagraph"/>
              <w:spacing w:before="152"/>
              <w:ind w:left="7"/>
              <w:rPr>
                <w:rFonts w:ascii="Times New Roman"/>
                <w:sz w:val="21"/>
              </w:rPr>
            </w:pPr>
            <w:r>
              <w:rPr>
                <w:rFonts w:ascii="Times New Roman"/>
                <w:w w:val="99"/>
                <w:sz w:val="21"/>
              </w:rPr>
              <w:t>2</w:t>
            </w:r>
          </w:p>
        </w:tc>
        <w:tc>
          <w:tcPr>
            <w:tcW w:w="1583" w:type="dxa"/>
          </w:tcPr>
          <w:p w:rsidR="00B04AE3" w:rsidRDefault="00B04AE3">
            <w:pPr>
              <w:pStyle w:val="TableParagraph"/>
              <w:spacing w:before="135"/>
              <w:ind w:left="35" w:right="26"/>
              <w:rPr>
                <w:sz w:val="21"/>
              </w:rPr>
            </w:pPr>
            <w:r>
              <w:rPr>
                <w:rFonts w:hint="eastAsia"/>
                <w:sz w:val="21"/>
              </w:rPr>
              <w:t>锅炉</w:t>
            </w:r>
          </w:p>
        </w:tc>
        <w:tc>
          <w:tcPr>
            <w:tcW w:w="1583" w:type="dxa"/>
          </w:tcPr>
          <w:p w:rsidR="00B04AE3" w:rsidRDefault="00B04AE3">
            <w:pPr>
              <w:pStyle w:val="TableParagraph"/>
              <w:spacing w:before="135"/>
              <w:ind w:right="98"/>
              <w:rPr>
                <w:sz w:val="21"/>
              </w:rPr>
            </w:pPr>
            <w:r>
              <w:rPr>
                <w:rFonts w:hint="eastAsia"/>
                <w:sz w:val="21"/>
              </w:rPr>
              <w:t>锅炉</w:t>
            </w:r>
          </w:p>
        </w:tc>
        <w:tc>
          <w:tcPr>
            <w:tcW w:w="1370" w:type="dxa"/>
          </w:tcPr>
          <w:p w:rsidR="00B04AE3" w:rsidRDefault="00B04AE3">
            <w:pPr>
              <w:pStyle w:val="TableParagraph"/>
              <w:spacing w:before="152"/>
              <w:ind w:left="8"/>
              <w:rPr>
                <w:rFonts w:ascii="Times New Roman"/>
                <w:sz w:val="21"/>
              </w:rPr>
            </w:pPr>
            <w:r>
              <w:rPr>
                <w:rFonts w:ascii="Times New Roman"/>
                <w:w w:val="99"/>
                <w:sz w:val="21"/>
              </w:rPr>
              <w:t>/</w:t>
            </w:r>
          </w:p>
        </w:tc>
        <w:tc>
          <w:tcPr>
            <w:tcW w:w="1620" w:type="dxa"/>
          </w:tcPr>
          <w:p w:rsidR="00B04AE3" w:rsidRDefault="00B04AE3">
            <w:pPr>
              <w:pStyle w:val="TableParagraph"/>
              <w:spacing w:before="135"/>
              <w:ind w:left="159" w:right="151"/>
              <w:rPr>
                <w:sz w:val="21"/>
              </w:rPr>
            </w:pPr>
            <w:r>
              <w:rPr>
                <w:rFonts w:hint="eastAsia"/>
                <w:sz w:val="21"/>
              </w:rPr>
              <w:t>爆炸</w:t>
            </w:r>
          </w:p>
        </w:tc>
        <w:tc>
          <w:tcPr>
            <w:tcW w:w="1760" w:type="dxa"/>
          </w:tcPr>
          <w:p w:rsidR="00B04AE3" w:rsidRDefault="00B04AE3">
            <w:pPr>
              <w:pStyle w:val="TableParagraph"/>
              <w:spacing w:before="1"/>
              <w:ind w:left="123" w:right="116"/>
              <w:rPr>
                <w:sz w:val="21"/>
              </w:rPr>
            </w:pPr>
            <w:r>
              <w:rPr>
                <w:rFonts w:hint="eastAsia"/>
                <w:sz w:val="21"/>
              </w:rPr>
              <w:t>突然影响周围大</w:t>
            </w:r>
          </w:p>
          <w:p w:rsidR="00B04AE3" w:rsidRDefault="00B04AE3">
            <w:pPr>
              <w:pStyle w:val="TableParagraph"/>
              <w:spacing w:before="2" w:line="253" w:lineRule="exact"/>
              <w:ind w:left="123" w:right="116"/>
              <w:rPr>
                <w:sz w:val="21"/>
              </w:rPr>
            </w:pPr>
            <w:r>
              <w:rPr>
                <w:rFonts w:hint="eastAsia"/>
                <w:sz w:val="21"/>
              </w:rPr>
              <w:t>气环境</w:t>
            </w:r>
          </w:p>
        </w:tc>
      </w:tr>
      <w:tr w:rsidR="00B04AE3">
        <w:trPr>
          <w:trHeight w:val="545"/>
        </w:trPr>
        <w:tc>
          <w:tcPr>
            <w:tcW w:w="612" w:type="dxa"/>
          </w:tcPr>
          <w:p w:rsidR="00B04AE3" w:rsidRDefault="00B04AE3">
            <w:pPr>
              <w:pStyle w:val="TableParagraph"/>
              <w:spacing w:before="149"/>
              <w:ind w:left="7"/>
              <w:rPr>
                <w:rFonts w:ascii="Times New Roman"/>
                <w:sz w:val="21"/>
              </w:rPr>
            </w:pPr>
            <w:r>
              <w:rPr>
                <w:rFonts w:ascii="Times New Roman"/>
                <w:w w:val="99"/>
                <w:sz w:val="21"/>
              </w:rPr>
              <w:t>3</w:t>
            </w:r>
          </w:p>
        </w:tc>
        <w:tc>
          <w:tcPr>
            <w:tcW w:w="1583" w:type="dxa"/>
          </w:tcPr>
          <w:p w:rsidR="00B04AE3" w:rsidRDefault="00B04AE3">
            <w:pPr>
              <w:pStyle w:val="TableParagraph"/>
              <w:spacing w:before="135"/>
              <w:ind w:left="31" w:right="27"/>
              <w:rPr>
                <w:sz w:val="21"/>
              </w:rPr>
            </w:pPr>
            <w:r>
              <w:rPr>
                <w:rFonts w:hint="eastAsia"/>
                <w:sz w:val="21"/>
              </w:rPr>
              <w:t>废水处理</w:t>
            </w:r>
          </w:p>
        </w:tc>
        <w:tc>
          <w:tcPr>
            <w:tcW w:w="1583" w:type="dxa"/>
          </w:tcPr>
          <w:p w:rsidR="00B04AE3" w:rsidRDefault="00B04AE3">
            <w:pPr>
              <w:pStyle w:val="TableParagraph"/>
              <w:spacing w:before="1" w:line="242" w:lineRule="auto"/>
              <w:ind w:left="144" w:right="134"/>
              <w:rPr>
                <w:sz w:val="21"/>
              </w:rPr>
            </w:pPr>
            <w:r>
              <w:rPr>
                <w:rFonts w:hint="eastAsia"/>
                <w:sz w:val="21"/>
              </w:rPr>
              <w:t>沉淀池、化粪池</w:t>
            </w:r>
          </w:p>
        </w:tc>
        <w:tc>
          <w:tcPr>
            <w:tcW w:w="1370" w:type="dxa"/>
          </w:tcPr>
          <w:p w:rsidR="00B04AE3" w:rsidRDefault="00B04AE3">
            <w:pPr>
              <w:pStyle w:val="TableParagraph"/>
              <w:spacing w:before="1" w:line="242" w:lineRule="auto"/>
              <w:ind w:left="144" w:right="134"/>
              <w:rPr>
                <w:sz w:val="21"/>
              </w:rPr>
            </w:pPr>
            <w:r>
              <w:rPr>
                <w:sz w:val="21"/>
              </w:rPr>
              <w:t>COD</w:t>
            </w:r>
            <w:r>
              <w:rPr>
                <w:rFonts w:hint="eastAsia"/>
                <w:sz w:val="21"/>
              </w:rPr>
              <w:t>、</w:t>
            </w:r>
            <w:r>
              <w:rPr>
                <w:sz w:val="21"/>
              </w:rPr>
              <w:t>BOD</w:t>
            </w:r>
            <w:r>
              <w:rPr>
                <w:rFonts w:hint="eastAsia"/>
                <w:sz w:val="21"/>
              </w:rPr>
              <w:t>、</w:t>
            </w:r>
          </w:p>
          <w:p w:rsidR="00B04AE3" w:rsidRDefault="00B04AE3">
            <w:pPr>
              <w:pStyle w:val="TableParagraph"/>
              <w:spacing w:before="1" w:line="242" w:lineRule="auto"/>
              <w:ind w:left="144" w:right="134"/>
              <w:rPr>
                <w:sz w:val="21"/>
              </w:rPr>
            </w:pPr>
            <w:r>
              <w:rPr>
                <w:rFonts w:hint="eastAsia"/>
                <w:sz w:val="21"/>
              </w:rPr>
              <w:t>氨氮、</w:t>
            </w:r>
            <w:r>
              <w:rPr>
                <w:sz w:val="21"/>
              </w:rPr>
              <w:t>SS</w:t>
            </w:r>
          </w:p>
        </w:tc>
        <w:tc>
          <w:tcPr>
            <w:tcW w:w="1620" w:type="dxa"/>
          </w:tcPr>
          <w:p w:rsidR="00B04AE3" w:rsidRDefault="00B04AE3">
            <w:pPr>
              <w:pStyle w:val="TableParagraph"/>
              <w:spacing w:before="135"/>
              <w:ind w:left="159" w:right="151"/>
              <w:rPr>
                <w:sz w:val="21"/>
              </w:rPr>
            </w:pPr>
            <w:r>
              <w:rPr>
                <w:rFonts w:hint="eastAsia"/>
                <w:sz w:val="21"/>
              </w:rPr>
              <w:t>泄漏</w:t>
            </w:r>
          </w:p>
        </w:tc>
        <w:tc>
          <w:tcPr>
            <w:tcW w:w="1760" w:type="dxa"/>
          </w:tcPr>
          <w:p w:rsidR="00B04AE3" w:rsidRDefault="00B04AE3">
            <w:pPr>
              <w:pStyle w:val="TableParagraph"/>
              <w:ind w:left="123" w:right="116"/>
              <w:rPr>
                <w:sz w:val="21"/>
              </w:rPr>
            </w:pPr>
            <w:r>
              <w:rPr>
                <w:rFonts w:hint="eastAsia"/>
                <w:sz w:val="21"/>
              </w:rPr>
              <w:t>污染物超标排</w:t>
            </w:r>
          </w:p>
          <w:p w:rsidR="00B04AE3" w:rsidRDefault="00B04AE3">
            <w:pPr>
              <w:pStyle w:val="TableParagraph"/>
              <w:spacing w:before="2" w:line="253" w:lineRule="exact"/>
              <w:ind w:left="123" w:right="116"/>
              <w:rPr>
                <w:sz w:val="21"/>
              </w:rPr>
            </w:pPr>
            <w:r>
              <w:rPr>
                <w:rFonts w:hint="eastAsia"/>
                <w:sz w:val="21"/>
              </w:rPr>
              <w:t>放，影响水环境</w:t>
            </w:r>
          </w:p>
        </w:tc>
      </w:tr>
      <w:tr w:rsidR="00B04AE3">
        <w:trPr>
          <w:trHeight w:val="817"/>
        </w:trPr>
        <w:tc>
          <w:tcPr>
            <w:tcW w:w="612" w:type="dxa"/>
          </w:tcPr>
          <w:p w:rsidR="00B04AE3" w:rsidRDefault="00B04AE3">
            <w:pPr>
              <w:pStyle w:val="TableParagraph"/>
              <w:spacing w:before="3"/>
              <w:jc w:val="left"/>
              <w:rPr>
                <w:b/>
              </w:rPr>
            </w:pPr>
          </w:p>
          <w:p w:rsidR="00B04AE3" w:rsidRDefault="00B04AE3">
            <w:pPr>
              <w:pStyle w:val="TableParagraph"/>
              <w:ind w:left="7"/>
              <w:rPr>
                <w:rFonts w:ascii="Times New Roman"/>
                <w:sz w:val="21"/>
              </w:rPr>
            </w:pPr>
            <w:r>
              <w:rPr>
                <w:rFonts w:ascii="Times New Roman"/>
                <w:w w:val="99"/>
                <w:sz w:val="21"/>
              </w:rPr>
              <w:t>4</w:t>
            </w:r>
          </w:p>
        </w:tc>
        <w:tc>
          <w:tcPr>
            <w:tcW w:w="1583" w:type="dxa"/>
          </w:tcPr>
          <w:p w:rsidR="00B04AE3" w:rsidRDefault="00B04AE3">
            <w:pPr>
              <w:pStyle w:val="TableParagraph"/>
              <w:spacing w:before="2"/>
              <w:jc w:val="left"/>
              <w:rPr>
                <w:b/>
                <w:sz w:val="21"/>
              </w:rPr>
            </w:pPr>
          </w:p>
          <w:p w:rsidR="00B04AE3" w:rsidRDefault="00B04AE3">
            <w:pPr>
              <w:pStyle w:val="TableParagraph"/>
              <w:ind w:left="31" w:right="27"/>
              <w:rPr>
                <w:sz w:val="21"/>
              </w:rPr>
            </w:pPr>
            <w:r>
              <w:rPr>
                <w:rFonts w:hint="eastAsia"/>
                <w:sz w:val="21"/>
              </w:rPr>
              <w:t>废气处理</w:t>
            </w:r>
          </w:p>
        </w:tc>
        <w:tc>
          <w:tcPr>
            <w:tcW w:w="1583" w:type="dxa"/>
          </w:tcPr>
          <w:p w:rsidR="00B04AE3" w:rsidRDefault="00B04AE3">
            <w:pPr>
              <w:pStyle w:val="TableParagraph"/>
              <w:spacing w:before="1" w:line="242" w:lineRule="auto"/>
              <w:ind w:left="144" w:right="134"/>
              <w:rPr>
                <w:sz w:val="21"/>
              </w:rPr>
            </w:pPr>
          </w:p>
          <w:p w:rsidR="00B04AE3" w:rsidRDefault="00B04AE3">
            <w:pPr>
              <w:pStyle w:val="TableParagraph"/>
              <w:spacing w:before="1" w:line="242" w:lineRule="auto"/>
              <w:ind w:left="144" w:right="134"/>
              <w:rPr>
                <w:sz w:val="21"/>
              </w:rPr>
            </w:pPr>
            <w:r>
              <w:rPr>
                <w:rFonts w:hint="eastAsia"/>
                <w:sz w:val="21"/>
              </w:rPr>
              <w:t>废气处理装置</w:t>
            </w:r>
          </w:p>
        </w:tc>
        <w:tc>
          <w:tcPr>
            <w:tcW w:w="1370" w:type="dxa"/>
          </w:tcPr>
          <w:p w:rsidR="00B04AE3" w:rsidRDefault="00B04AE3">
            <w:pPr>
              <w:pStyle w:val="TableParagraph"/>
              <w:spacing w:before="1" w:line="242" w:lineRule="auto"/>
              <w:ind w:left="144" w:right="134"/>
              <w:rPr>
                <w:sz w:val="21"/>
              </w:rPr>
            </w:pPr>
          </w:p>
          <w:p w:rsidR="00B04AE3" w:rsidRDefault="00B04AE3">
            <w:pPr>
              <w:pStyle w:val="TableParagraph"/>
              <w:spacing w:before="1" w:line="242" w:lineRule="auto"/>
              <w:ind w:left="144" w:right="134"/>
              <w:rPr>
                <w:sz w:val="21"/>
              </w:rPr>
            </w:pPr>
            <w:r>
              <w:rPr>
                <w:rFonts w:hint="eastAsia"/>
                <w:sz w:val="21"/>
              </w:rPr>
              <w:t>硫化物</w:t>
            </w:r>
          </w:p>
        </w:tc>
        <w:tc>
          <w:tcPr>
            <w:tcW w:w="1620" w:type="dxa"/>
          </w:tcPr>
          <w:p w:rsidR="00B04AE3" w:rsidRDefault="00B04AE3">
            <w:pPr>
              <w:pStyle w:val="TableParagraph"/>
              <w:spacing w:before="2"/>
              <w:jc w:val="left"/>
              <w:rPr>
                <w:b/>
                <w:sz w:val="21"/>
              </w:rPr>
            </w:pPr>
          </w:p>
          <w:p w:rsidR="00B04AE3" w:rsidRDefault="00B04AE3">
            <w:pPr>
              <w:pStyle w:val="TableParagraph"/>
              <w:ind w:left="159" w:right="151"/>
              <w:rPr>
                <w:sz w:val="21"/>
              </w:rPr>
            </w:pPr>
            <w:r>
              <w:rPr>
                <w:rFonts w:hint="eastAsia"/>
                <w:sz w:val="21"/>
              </w:rPr>
              <w:t>废气超标排放</w:t>
            </w:r>
          </w:p>
        </w:tc>
        <w:tc>
          <w:tcPr>
            <w:tcW w:w="1760" w:type="dxa"/>
          </w:tcPr>
          <w:p w:rsidR="00B04AE3" w:rsidRDefault="00B04AE3">
            <w:pPr>
              <w:pStyle w:val="TableParagraph"/>
              <w:spacing w:line="242" w:lineRule="auto"/>
              <w:ind w:left="144" w:right="134" w:hanging="1"/>
              <w:rPr>
                <w:sz w:val="21"/>
              </w:rPr>
            </w:pPr>
            <w:r>
              <w:rPr>
                <w:rFonts w:hint="eastAsia"/>
                <w:sz w:val="21"/>
              </w:rPr>
              <w:t>污染物超标排</w:t>
            </w:r>
            <w:r>
              <w:rPr>
                <w:sz w:val="21"/>
              </w:rPr>
              <w:t xml:space="preserve"> </w:t>
            </w:r>
            <w:r>
              <w:rPr>
                <w:rFonts w:hint="eastAsia"/>
                <w:spacing w:val="-2"/>
                <w:sz w:val="21"/>
              </w:rPr>
              <w:t>放，影响大气环</w:t>
            </w:r>
          </w:p>
          <w:p w:rsidR="00B04AE3" w:rsidRDefault="00B04AE3">
            <w:pPr>
              <w:pStyle w:val="TableParagraph"/>
              <w:spacing w:before="1" w:line="252" w:lineRule="exact"/>
              <w:ind w:left="10"/>
              <w:rPr>
                <w:sz w:val="21"/>
              </w:rPr>
            </w:pPr>
            <w:r>
              <w:rPr>
                <w:rFonts w:hint="eastAsia"/>
                <w:w w:val="99"/>
                <w:sz w:val="21"/>
              </w:rPr>
              <w:t>境</w:t>
            </w:r>
          </w:p>
        </w:tc>
      </w:tr>
      <w:tr w:rsidR="00B04AE3">
        <w:trPr>
          <w:trHeight w:val="543"/>
        </w:trPr>
        <w:tc>
          <w:tcPr>
            <w:tcW w:w="612" w:type="dxa"/>
          </w:tcPr>
          <w:p w:rsidR="00B04AE3" w:rsidRDefault="00B04AE3">
            <w:pPr>
              <w:pStyle w:val="TableParagraph"/>
              <w:spacing w:before="149"/>
              <w:ind w:left="7"/>
              <w:rPr>
                <w:rFonts w:ascii="Times New Roman"/>
                <w:sz w:val="21"/>
              </w:rPr>
            </w:pPr>
            <w:r>
              <w:rPr>
                <w:rFonts w:ascii="Times New Roman"/>
                <w:w w:val="99"/>
                <w:sz w:val="21"/>
              </w:rPr>
              <w:t>5</w:t>
            </w:r>
          </w:p>
        </w:tc>
        <w:tc>
          <w:tcPr>
            <w:tcW w:w="1583" w:type="dxa"/>
          </w:tcPr>
          <w:p w:rsidR="00B04AE3" w:rsidRDefault="00B04AE3">
            <w:pPr>
              <w:pStyle w:val="TableParagraph"/>
              <w:spacing w:before="1"/>
              <w:ind w:left="34" w:right="27"/>
              <w:rPr>
                <w:sz w:val="21"/>
              </w:rPr>
            </w:pPr>
            <w:r>
              <w:rPr>
                <w:rFonts w:hint="eastAsia"/>
                <w:sz w:val="21"/>
              </w:rPr>
              <w:t>通讯或运输系</w:t>
            </w:r>
          </w:p>
          <w:p w:rsidR="00B04AE3" w:rsidRDefault="00B04AE3">
            <w:pPr>
              <w:pStyle w:val="TableParagraph"/>
              <w:spacing w:before="2" w:line="252" w:lineRule="exact"/>
              <w:ind w:left="34" w:right="27"/>
              <w:rPr>
                <w:sz w:val="21"/>
              </w:rPr>
            </w:pPr>
            <w:r>
              <w:rPr>
                <w:rFonts w:hint="eastAsia"/>
                <w:sz w:val="21"/>
              </w:rPr>
              <w:t>统故障</w:t>
            </w:r>
          </w:p>
        </w:tc>
        <w:tc>
          <w:tcPr>
            <w:tcW w:w="1583" w:type="dxa"/>
          </w:tcPr>
          <w:p w:rsidR="00B04AE3" w:rsidRDefault="00B04AE3">
            <w:pPr>
              <w:pStyle w:val="TableParagraph"/>
              <w:spacing w:before="135"/>
              <w:ind w:left="31" w:right="27"/>
              <w:rPr>
                <w:sz w:val="21"/>
              </w:rPr>
            </w:pPr>
            <w:r>
              <w:rPr>
                <w:rFonts w:hint="eastAsia"/>
                <w:sz w:val="21"/>
              </w:rPr>
              <w:t>全厂</w:t>
            </w:r>
          </w:p>
        </w:tc>
        <w:tc>
          <w:tcPr>
            <w:tcW w:w="1370" w:type="dxa"/>
          </w:tcPr>
          <w:p w:rsidR="00B04AE3" w:rsidRDefault="00B04AE3">
            <w:pPr>
              <w:pStyle w:val="TableParagraph"/>
              <w:spacing w:before="149"/>
              <w:ind w:left="8"/>
              <w:rPr>
                <w:rFonts w:ascii="Times New Roman"/>
                <w:sz w:val="21"/>
              </w:rPr>
            </w:pPr>
            <w:r>
              <w:rPr>
                <w:rFonts w:ascii="Times New Roman"/>
                <w:w w:val="99"/>
                <w:sz w:val="21"/>
              </w:rPr>
              <w:t>/</w:t>
            </w:r>
          </w:p>
        </w:tc>
        <w:tc>
          <w:tcPr>
            <w:tcW w:w="1620" w:type="dxa"/>
          </w:tcPr>
          <w:p w:rsidR="00B04AE3" w:rsidRDefault="00B04AE3">
            <w:pPr>
              <w:pStyle w:val="TableParagraph"/>
              <w:spacing w:before="149"/>
              <w:ind w:left="8"/>
              <w:rPr>
                <w:rFonts w:ascii="Times New Roman"/>
                <w:sz w:val="21"/>
              </w:rPr>
            </w:pPr>
            <w:r>
              <w:rPr>
                <w:rFonts w:ascii="Times New Roman"/>
                <w:w w:val="99"/>
                <w:sz w:val="21"/>
              </w:rPr>
              <w:t>/</w:t>
            </w:r>
          </w:p>
        </w:tc>
        <w:tc>
          <w:tcPr>
            <w:tcW w:w="1760" w:type="dxa"/>
          </w:tcPr>
          <w:p w:rsidR="00B04AE3" w:rsidRDefault="00B04AE3">
            <w:pPr>
              <w:pStyle w:val="TableParagraph"/>
              <w:spacing w:before="149"/>
              <w:ind w:left="8"/>
              <w:rPr>
                <w:rFonts w:ascii="Times New Roman"/>
                <w:sz w:val="21"/>
              </w:rPr>
            </w:pPr>
            <w:r>
              <w:rPr>
                <w:rFonts w:ascii="Times New Roman"/>
                <w:w w:val="99"/>
                <w:sz w:val="21"/>
              </w:rPr>
              <w:t>/</w:t>
            </w:r>
          </w:p>
        </w:tc>
      </w:tr>
      <w:tr w:rsidR="00B04AE3">
        <w:trPr>
          <w:trHeight w:val="817"/>
        </w:trPr>
        <w:tc>
          <w:tcPr>
            <w:tcW w:w="612" w:type="dxa"/>
          </w:tcPr>
          <w:p w:rsidR="00B04AE3" w:rsidRDefault="00B04AE3">
            <w:pPr>
              <w:pStyle w:val="TableParagraph"/>
              <w:spacing w:before="4"/>
              <w:jc w:val="left"/>
              <w:rPr>
                <w:b/>
              </w:rPr>
            </w:pPr>
          </w:p>
          <w:p w:rsidR="00B04AE3" w:rsidRDefault="00B04AE3">
            <w:pPr>
              <w:pStyle w:val="TableParagraph"/>
              <w:ind w:left="7"/>
              <w:rPr>
                <w:rFonts w:ascii="Times New Roman"/>
                <w:sz w:val="21"/>
              </w:rPr>
            </w:pPr>
            <w:r>
              <w:rPr>
                <w:rFonts w:ascii="Times New Roman"/>
                <w:w w:val="99"/>
                <w:sz w:val="21"/>
              </w:rPr>
              <w:t>6</w:t>
            </w:r>
          </w:p>
        </w:tc>
        <w:tc>
          <w:tcPr>
            <w:tcW w:w="1583" w:type="dxa"/>
          </w:tcPr>
          <w:p w:rsidR="00B04AE3" w:rsidRDefault="00B04AE3">
            <w:pPr>
              <w:pStyle w:val="TableParagraph"/>
              <w:spacing w:before="3"/>
              <w:jc w:val="left"/>
              <w:rPr>
                <w:b/>
                <w:sz w:val="21"/>
              </w:rPr>
            </w:pPr>
          </w:p>
          <w:p w:rsidR="00B04AE3" w:rsidRDefault="00B04AE3">
            <w:pPr>
              <w:pStyle w:val="TableParagraph"/>
              <w:ind w:left="31" w:right="27"/>
              <w:rPr>
                <w:sz w:val="21"/>
              </w:rPr>
            </w:pPr>
            <w:r>
              <w:rPr>
                <w:rFonts w:hint="eastAsia"/>
                <w:sz w:val="21"/>
              </w:rPr>
              <w:t>危废暂存</w:t>
            </w:r>
          </w:p>
        </w:tc>
        <w:tc>
          <w:tcPr>
            <w:tcW w:w="1583" w:type="dxa"/>
          </w:tcPr>
          <w:p w:rsidR="00B04AE3" w:rsidRDefault="00B04AE3">
            <w:pPr>
              <w:pStyle w:val="TableParagraph"/>
              <w:spacing w:before="3"/>
              <w:jc w:val="left"/>
              <w:rPr>
                <w:b/>
                <w:sz w:val="21"/>
              </w:rPr>
            </w:pPr>
          </w:p>
          <w:p w:rsidR="00B04AE3" w:rsidRDefault="00B04AE3">
            <w:pPr>
              <w:pStyle w:val="TableParagraph"/>
              <w:ind w:left="265"/>
              <w:jc w:val="left"/>
              <w:rPr>
                <w:sz w:val="21"/>
              </w:rPr>
            </w:pPr>
            <w:r>
              <w:rPr>
                <w:rFonts w:hint="eastAsia"/>
                <w:sz w:val="21"/>
              </w:rPr>
              <w:t>危废暂存库</w:t>
            </w:r>
          </w:p>
        </w:tc>
        <w:tc>
          <w:tcPr>
            <w:tcW w:w="1370" w:type="dxa"/>
          </w:tcPr>
          <w:p w:rsidR="00B04AE3" w:rsidRDefault="00B04AE3">
            <w:pPr>
              <w:pStyle w:val="TableParagraph"/>
              <w:spacing w:before="3"/>
              <w:jc w:val="left"/>
              <w:rPr>
                <w:b/>
                <w:sz w:val="21"/>
              </w:rPr>
            </w:pPr>
          </w:p>
          <w:p w:rsidR="00B04AE3" w:rsidRDefault="00B04AE3">
            <w:pPr>
              <w:pStyle w:val="TableParagraph"/>
              <w:ind w:left="107" w:right="102"/>
              <w:rPr>
                <w:sz w:val="21"/>
              </w:rPr>
            </w:pPr>
            <w:r>
              <w:rPr>
                <w:rFonts w:hint="eastAsia"/>
                <w:sz w:val="21"/>
              </w:rPr>
              <w:t>危险废物</w:t>
            </w:r>
          </w:p>
        </w:tc>
        <w:tc>
          <w:tcPr>
            <w:tcW w:w="1620" w:type="dxa"/>
          </w:tcPr>
          <w:p w:rsidR="00B04AE3" w:rsidRDefault="00B04AE3">
            <w:pPr>
              <w:pStyle w:val="TableParagraph"/>
              <w:spacing w:before="138" w:line="242" w:lineRule="auto"/>
              <w:ind w:left="600" w:right="169" w:hanging="420"/>
              <w:jc w:val="left"/>
              <w:rPr>
                <w:sz w:val="21"/>
              </w:rPr>
            </w:pPr>
            <w:r>
              <w:rPr>
                <w:rFonts w:hint="eastAsia"/>
                <w:sz w:val="21"/>
              </w:rPr>
              <w:t>泄漏、中毒及火灾</w:t>
            </w:r>
          </w:p>
        </w:tc>
        <w:tc>
          <w:tcPr>
            <w:tcW w:w="1760" w:type="dxa"/>
          </w:tcPr>
          <w:p w:rsidR="00B04AE3" w:rsidRDefault="00B04AE3">
            <w:pPr>
              <w:pStyle w:val="TableParagraph"/>
              <w:spacing w:before="1" w:line="242" w:lineRule="auto"/>
              <w:ind w:left="144" w:right="134"/>
              <w:rPr>
                <w:sz w:val="21"/>
              </w:rPr>
            </w:pPr>
            <w:r>
              <w:rPr>
                <w:rFonts w:hint="eastAsia"/>
                <w:sz w:val="21"/>
              </w:rPr>
              <w:t>突然影响周围大气、地表水、地</w:t>
            </w:r>
          </w:p>
          <w:p w:rsidR="00B04AE3" w:rsidRDefault="00B04AE3">
            <w:pPr>
              <w:pStyle w:val="TableParagraph"/>
              <w:spacing w:before="1" w:line="251" w:lineRule="exact"/>
              <w:ind w:left="123" w:right="113"/>
              <w:rPr>
                <w:sz w:val="21"/>
              </w:rPr>
            </w:pPr>
            <w:r>
              <w:rPr>
                <w:rFonts w:hint="eastAsia"/>
                <w:sz w:val="21"/>
              </w:rPr>
              <w:t>下水土壤等</w:t>
            </w:r>
          </w:p>
        </w:tc>
      </w:tr>
      <w:tr w:rsidR="00B04AE3">
        <w:trPr>
          <w:trHeight w:val="340"/>
        </w:trPr>
        <w:tc>
          <w:tcPr>
            <w:tcW w:w="612" w:type="dxa"/>
          </w:tcPr>
          <w:p w:rsidR="00B04AE3" w:rsidRDefault="00B04AE3">
            <w:pPr>
              <w:pStyle w:val="TableParagraph"/>
              <w:spacing w:before="50"/>
              <w:ind w:left="7"/>
              <w:rPr>
                <w:rFonts w:ascii="Times New Roman"/>
                <w:sz w:val="21"/>
              </w:rPr>
            </w:pPr>
            <w:r>
              <w:rPr>
                <w:rFonts w:ascii="Times New Roman"/>
                <w:w w:val="99"/>
                <w:sz w:val="21"/>
              </w:rPr>
              <w:t>7</w:t>
            </w:r>
          </w:p>
        </w:tc>
        <w:tc>
          <w:tcPr>
            <w:tcW w:w="1583" w:type="dxa"/>
          </w:tcPr>
          <w:p w:rsidR="00B04AE3" w:rsidRDefault="00B04AE3">
            <w:pPr>
              <w:pStyle w:val="TableParagraph"/>
              <w:spacing w:before="33"/>
              <w:ind w:left="34" w:right="27"/>
              <w:rPr>
                <w:sz w:val="21"/>
              </w:rPr>
            </w:pPr>
            <w:r>
              <w:rPr>
                <w:rFonts w:hint="eastAsia"/>
                <w:sz w:val="21"/>
              </w:rPr>
              <w:t>厂区各种装置</w:t>
            </w:r>
          </w:p>
        </w:tc>
        <w:tc>
          <w:tcPr>
            <w:tcW w:w="1583" w:type="dxa"/>
          </w:tcPr>
          <w:p w:rsidR="00B04AE3" w:rsidRDefault="00B04AE3">
            <w:pPr>
              <w:pStyle w:val="TableParagraph"/>
              <w:spacing w:before="33"/>
              <w:ind w:left="31" w:right="27"/>
              <w:rPr>
                <w:sz w:val="21"/>
              </w:rPr>
            </w:pPr>
            <w:r>
              <w:rPr>
                <w:rFonts w:hint="eastAsia"/>
                <w:sz w:val="21"/>
              </w:rPr>
              <w:t>全厂</w:t>
            </w:r>
          </w:p>
        </w:tc>
        <w:tc>
          <w:tcPr>
            <w:tcW w:w="1370" w:type="dxa"/>
          </w:tcPr>
          <w:p w:rsidR="00B04AE3" w:rsidRDefault="00B04AE3">
            <w:pPr>
              <w:pStyle w:val="TableParagraph"/>
              <w:spacing w:before="50"/>
              <w:ind w:left="8"/>
              <w:rPr>
                <w:rFonts w:ascii="Times New Roman"/>
                <w:sz w:val="21"/>
              </w:rPr>
            </w:pPr>
            <w:r>
              <w:rPr>
                <w:rFonts w:ascii="Times New Roman"/>
                <w:w w:val="99"/>
                <w:sz w:val="21"/>
              </w:rPr>
              <w:t>/</w:t>
            </w:r>
          </w:p>
        </w:tc>
        <w:tc>
          <w:tcPr>
            <w:tcW w:w="1620" w:type="dxa"/>
          </w:tcPr>
          <w:p w:rsidR="00B04AE3" w:rsidRDefault="00B04AE3">
            <w:pPr>
              <w:pStyle w:val="TableParagraph"/>
              <w:spacing w:before="50"/>
              <w:ind w:left="8"/>
              <w:rPr>
                <w:rFonts w:ascii="Times New Roman"/>
                <w:sz w:val="21"/>
              </w:rPr>
            </w:pPr>
            <w:r>
              <w:rPr>
                <w:rFonts w:ascii="Times New Roman"/>
                <w:w w:val="99"/>
                <w:sz w:val="21"/>
              </w:rPr>
              <w:t>/</w:t>
            </w:r>
          </w:p>
        </w:tc>
        <w:tc>
          <w:tcPr>
            <w:tcW w:w="1760" w:type="dxa"/>
          </w:tcPr>
          <w:p w:rsidR="00B04AE3" w:rsidRDefault="00B04AE3">
            <w:pPr>
              <w:pStyle w:val="TableParagraph"/>
              <w:spacing w:before="33"/>
              <w:ind w:left="123" w:right="116"/>
              <w:rPr>
                <w:sz w:val="21"/>
              </w:rPr>
            </w:pPr>
            <w:r>
              <w:rPr>
                <w:rFonts w:hint="eastAsia"/>
                <w:sz w:val="21"/>
              </w:rPr>
              <w:t>停电、断水等</w:t>
            </w:r>
          </w:p>
        </w:tc>
      </w:tr>
      <w:tr w:rsidR="00B04AE3">
        <w:trPr>
          <w:trHeight w:val="817"/>
        </w:trPr>
        <w:tc>
          <w:tcPr>
            <w:tcW w:w="612" w:type="dxa"/>
          </w:tcPr>
          <w:p w:rsidR="00B04AE3" w:rsidRDefault="00B04AE3">
            <w:pPr>
              <w:pStyle w:val="TableParagraph"/>
              <w:spacing w:before="6"/>
              <w:jc w:val="left"/>
              <w:rPr>
                <w:b/>
              </w:rPr>
            </w:pPr>
          </w:p>
          <w:p w:rsidR="00B04AE3" w:rsidRDefault="00B04AE3">
            <w:pPr>
              <w:pStyle w:val="TableParagraph"/>
              <w:ind w:left="7"/>
              <w:rPr>
                <w:rFonts w:ascii="Times New Roman"/>
                <w:sz w:val="21"/>
              </w:rPr>
            </w:pPr>
            <w:r>
              <w:rPr>
                <w:rFonts w:ascii="Times New Roman"/>
                <w:w w:val="99"/>
                <w:sz w:val="21"/>
              </w:rPr>
              <w:t>8</w:t>
            </w:r>
          </w:p>
        </w:tc>
        <w:tc>
          <w:tcPr>
            <w:tcW w:w="1583" w:type="dxa"/>
          </w:tcPr>
          <w:p w:rsidR="00B04AE3" w:rsidRDefault="00B04AE3">
            <w:pPr>
              <w:pStyle w:val="TableParagraph"/>
              <w:spacing w:before="4"/>
              <w:jc w:val="left"/>
              <w:rPr>
                <w:b/>
                <w:sz w:val="21"/>
              </w:rPr>
            </w:pPr>
          </w:p>
          <w:p w:rsidR="00B04AE3" w:rsidRDefault="00B04AE3">
            <w:pPr>
              <w:pStyle w:val="TableParagraph"/>
              <w:spacing w:before="1"/>
              <w:ind w:left="34" w:right="27"/>
              <w:rPr>
                <w:sz w:val="21"/>
              </w:rPr>
            </w:pPr>
            <w:r>
              <w:rPr>
                <w:rFonts w:hint="eastAsia"/>
                <w:sz w:val="21"/>
              </w:rPr>
              <w:t>厂区各种装置</w:t>
            </w:r>
          </w:p>
        </w:tc>
        <w:tc>
          <w:tcPr>
            <w:tcW w:w="1583" w:type="dxa"/>
          </w:tcPr>
          <w:p w:rsidR="00B04AE3" w:rsidRDefault="00B04AE3">
            <w:pPr>
              <w:pStyle w:val="TableParagraph"/>
              <w:spacing w:before="4"/>
              <w:jc w:val="left"/>
              <w:rPr>
                <w:b/>
                <w:sz w:val="21"/>
              </w:rPr>
            </w:pPr>
          </w:p>
          <w:p w:rsidR="00B04AE3" w:rsidRDefault="00B04AE3">
            <w:pPr>
              <w:pStyle w:val="TableParagraph"/>
              <w:spacing w:before="1"/>
              <w:ind w:left="31" w:right="27"/>
              <w:rPr>
                <w:sz w:val="21"/>
              </w:rPr>
            </w:pPr>
            <w:r>
              <w:rPr>
                <w:rFonts w:hint="eastAsia"/>
                <w:sz w:val="21"/>
              </w:rPr>
              <w:t>全厂</w:t>
            </w:r>
          </w:p>
        </w:tc>
        <w:tc>
          <w:tcPr>
            <w:tcW w:w="1370" w:type="dxa"/>
          </w:tcPr>
          <w:p w:rsidR="00B04AE3" w:rsidRDefault="00B04AE3">
            <w:pPr>
              <w:pStyle w:val="TableParagraph"/>
              <w:spacing w:before="6"/>
              <w:jc w:val="left"/>
              <w:rPr>
                <w:b/>
              </w:rPr>
            </w:pPr>
          </w:p>
          <w:p w:rsidR="00B04AE3" w:rsidRDefault="00B04AE3">
            <w:pPr>
              <w:pStyle w:val="TableParagraph"/>
              <w:ind w:left="8"/>
              <w:rPr>
                <w:rFonts w:ascii="Times New Roman"/>
                <w:sz w:val="21"/>
              </w:rPr>
            </w:pPr>
            <w:r>
              <w:rPr>
                <w:rFonts w:ascii="Times New Roman"/>
                <w:w w:val="99"/>
                <w:sz w:val="21"/>
              </w:rPr>
              <w:t>/</w:t>
            </w:r>
          </w:p>
        </w:tc>
        <w:tc>
          <w:tcPr>
            <w:tcW w:w="1620" w:type="dxa"/>
          </w:tcPr>
          <w:p w:rsidR="00B04AE3" w:rsidRDefault="00B04AE3">
            <w:pPr>
              <w:pStyle w:val="TableParagraph"/>
              <w:spacing w:before="6"/>
              <w:jc w:val="left"/>
              <w:rPr>
                <w:b/>
              </w:rPr>
            </w:pPr>
          </w:p>
          <w:p w:rsidR="00B04AE3" w:rsidRDefault="00B04AE3">
            <w:pPr>
              <w:pStyle w:val="TableParagraph"/>
              <w:spacing w:before="1" w:line="242" w:lineRule="auto"/>
              <w:ind w:left="144" w:right="134"/>
              <w:rPr>
                <w:rFonts w:ascii="Times New Roman"/>
                <w:sz w:val="21"/>
              </w:rPr>
            </w:pPr>
            <w:r>
              <w:rPr>
                <w:rFonts w:ascii="Times New Roman"/>
                <w:w w:val="99"/>
                <w:sz w:val="21"/>
              </w:rPr>
              <w:t>/</w:t>
            </w:r>
          </w:p>
        </w:tc>
        <w:tc>
          <w:tcPr>
            <w:tcW w:w="1760" w:type="dxa"/>
          </w:tcPr>
          <w:p w:rsidR="00B04AE3" w:rsidRDefault="00B04AE3">
            <w:pPr>
              <w:pStyle w:val="TableParagraph"/>
              <w:ind w:left="144"/>
              <w:jc w:val="left"/>
              <w:rPr>
                <w:sz w:val="21"/>
              </w:rPr>
            </w:pPr>
            <w:r>
              <w:rPr>
                <w:rFonts w:hint="eastAsia"/>
                <w:sz w:val="21"/>
              </w:rPr>
              <w:t>自然灾害、极端</w:t>
            </w:r>
          </w:p>
          <w:p w:rsidR="00B04AE3" w:rsidRDefault="00B04AE3">
            <w:pPr>
              <w:pStyle w:val="TableParagraph"/>
              <w:spacing w:before="4" w:line="270" w:lineRule="atLeast"/>
              <w:ind w:left="669" w:right="134" w:hanging="526"/>
              <w:jc w:val="left"/>
              <w:rPr>
                <w:sz w:val="21"/>
              </w:rPr>
            </w:pPr>
            <w:r>
              <w:rPr>
                <w:rFonts w:hint="eastAsia"/>
                <w:sz w:val="21"/>
              </w:rPr>
              <w:t>天气等不利气象条件</w:t>
            </w:r>
          </w:p>
        </w:tc>
      </w:tr>
    </w:tbl>
    <w:p w:rsidR="00B04AE3" w:rsidRDefault="00B04AE3">
      <w:pPr>
        <w:pStyle w:val="ListParagraph"/>
        <w:tabs>
          <w:tab w:val="left" w:pos="1058"/>
        </w:tabs>
        <w:ind w:firstLine="0"/>
        <w:rPr>
          <w:b/>
          <w:sz w:val="24"/>
        </w:rPr>
      </w:pPr>
      <w:bookmarkStart w:id="67" w:name="3.2.2__风险评价等级"/>
      <w:bookmarkEnd w:id="67"/>
      <w:r>
        <w:rPr>
          <w:b/>
          <w:sz w:val="24"/>
          <w:lang w:val="en-US"/>
        </w:rPr>
        <w:t>3.2.2</w:t>
      </w:r>
      <w:r>
        <w:rPr>
          <w:rFonts w:hint="eastAsia"/>
          <w:b/>
          <w:sz w:val="24"/>
        </w:rPr>
        <w:t>风险评价等级</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根据评价项目的物质危险性和功能单元重大污染源判定结果以及环境敏感程度等因素，环境风险评价划分为一级和二级。评价工作等级的划分依据具体见表</w:t>
      </w:r>
      <w:r>
        <w:rPr>
          <w:spacing w:val="-6"/>
          <w:szCs w:val="22"/>
        </w:rPr>
        <w:t xml:space="preserve"> 3.2-</w:t>
      </w:r>
      <w:r>
        <w:rPr>
          <w:spacing w:val="-6"/>
          <w:szCs w:val="22"/>
          <w:lang w:val="en-US"/>
        </w:rPr>
        <w:t>13</w:t>
      </w:r>
      <w:r>
        <w:rPr>
          <w:rFonts w:hint="eastAsia"/>
          <w:spacing w:val="-6"/>
          <w:szCs w:val="22"/>
        </w:rPr>
        <w:t>。</w:t>
      </w:r>
    </w:p>
    <w:p w:rsidR="00B04AE3" w:rsidRDefault="00B04AE3">
      <w:pPr>
        <w:tabs>
          <w:tab w:val="left" w:pos="3512"/>
        </w:tabs>
        <w:spacing w:before="97" w:after="3"/>
        <w:ind w:left="2353"/>
        <w:rPr>
          <w:b/>
          <w:sz w:val="24"/>
        </w:rPr>
      </w:pPr>
      <w:r>
        <w:rPr>
          <w:rFonts w:hint="eastAsia"/>
          <w:b/>
          <w:sz w:val="24"/>
        </w:rPr>
        <w:t>表</w:t>
      </w:r>
      <w:r>
        <w:rPr>
          <w:b/>
          <w:spacing w:val="-62"/>
          <w:sz w:val="24"/>
        </w:rPr>
        <w:t xml:space="preserve"> </w:t>
      </w:r>
      <w:r>
        <w:rPr>
          <w:rFonts w:ascii="Times New Roman" w:eastAsia="Times New Roman"/>
          <w:b/>
          <w:sz w:val="24"/>
        </w:rPr>
        <w:t>3.2-</w:t>
      </w:r>
      <w:r>
        <w:rPr>
          <w:rFonts w:ascii="Times New Roman"/>
          <w:b/>
          <w:sz w:val="24"/>
          <w:lang w:val="en-US"/>
        </w:rPr>
        <w:t>13</w:t>
      </w:r>
      <w:r>
        <w:rPr>
          <w:rFonts w:ascii="Times New Roman" w:eastAsia="Times New Roman"/>
          <w:b/>
          <w:sz w:val="24"/>
        </w:rPr>
        <w:tab/>
      </w:r>
      <w:r>
        <w:rPr>
          <w:rFonts w:hint="eastAsia"/>
          <w:b/>
          <w:sz w:val="24"/>
        </w:rPr>
        <w:t>环境风险评价等级划分依据一览表</w:t>
      </w:r>
    </w:p>
    <w:tbl>
      <w:tblPr>
        <w:tblW w:w="8528" w:type="dxa"/>
        <w:tblInd w:w="2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1549"/>
        <w:gridCol w:w="1475"/>
        <w:gridCol w:w="1799"/>
        <w:gridCol w:w="840"/>
        <w:gridCol w:w="421"/>
        <w:gridCol w:w="839"/>
        <w:gridCol w:w="1605"/>
      </w:tblGrid>
      <w:tr w:rsidR="00B04AE3">
        <w:trPr>
          <w:trHeight w:val="545"/>
        </w:trPr>
        <w:tc>
          <w:tcPr>
            <w:tcW w:w="1549" w:type="dxa"/>
            <w:tcBorders>
              <w:bottom w:val="single" w:sz="6" w:space="0" w:color="000000"/>
              <w:right w:val="single" w:sz="6" w:space="0" w:color="000000"/>
            </w:tcBorders>
            <w:shd w:val="clear" w:color="auto" w:fill="DFDFDF"/>
          </w:tcPr>
          <w:p w:rsidR="00B04AE3" w:rsidRDefault="00B04AE3">
            <w:pPr>
              <w:pStyle w:val="TableParagraph"/>
              <w:spacing w:before="137"/>
              <w:ind w:left="122" w:right="105"/>
              <w:rPr>
                <w:b/>
                <w:sz w:val="21"/>
              </w:rPr>
            </w:pPr>
            <w:r>
              <w:rPr>
                <w:rFonts w:hint="eastAsia"/>
                <w:b/>
                <w:sz w:val="21"/>
              </w:rPr>
              <w:t>项目</w:t>
            </w:r>
          </w:p>
        </w:tc>
        <w:tc>
          <w:tcPr>
            <w:tcW w:w="1475" w:type="dxa"/>
            <w:tcBorders>
              <w:left w:val="single" w:sz="6" w:space="0" w:color="000000"/>
              <w:bottom w:val="single" w:sz="6" w:space="0" w:color="000000"/>
              <w:right w:val="single" w:sz="6" w:space="0" w:color="000000"/>
            </w:tcBorders>
            <w:shd w:val="clear" w:color="auto" w:fill="DFDFDF"/>
          </w:tcPr>
          <w:p w:rsidR="00B04AE3" w:rsidRDefault="00B04AE3">
            <w:pPr>
              <w:pStyle w:val="TableParagraph"/>
              <w:ind w:left="191" w:right="174"/>
              <w:rPr>
                <w:b/>
                <w:sz w:val="21"/>
              </w:rPr>
            </w:pPr>
            <w:r>
              <w:rPr>
                <w:rFonts w:hint="eastAsia"/>
                <w:b/>
                <w:sz w:val="21"/>
              </w:rPr>
              <w:t>剧毒危险性</w:t>
            </w:r>
          </w:p>
          <w:p w:rsidR="00B04AE3" w:rsidRDefault="00B04AE3">
            <w:pPr>
              <w:pStyle w:val="TableParagraph"/>
              <w:spacing w:before="5" w:line="251" w:lineRule="exact"/>
              <w:ind w:left="191" w:right="172"/>
              <w:rPr>
                <w:b/>
                <w:sz w:val="21"/>
              </w:rPr>
            </w:pPr>
            <w:r>
              <w:rPr>
                <w:rFonts w:hint="eastAsia"/>
                <w:b/>
                <w:sz w:val="21"/>
              </w:rPr>
              <w:t>物质</w:t>
            </w:r>
          </w:p>
        </w:tc>
        <w:tc>
          <w:tcPr>
            <w:tcW w:w="1799" w:type="dxa"/>
            <w:tcBorders>
              <w:left w:val="single" w:sz="6" w:space="0" w:color="000000"/>
              <w:bottom w:val="single" w:sz="6" w:space="0" w:color="000000"/>
              <w:right w:val="single" w:sz="6" w:space="0" w:color="000000"/>
            </w:tcBorders>
            <w:shd w:val="clear" w:color="auto" w:fill="DFDFDF"/>
          </w:tcPr>
          <w:p w:rsidR="00B04AE3" w:rsidRDefault="00B04AE3">
            <w:pPr>
              <w:pStyle w:val="TableParagraph"/>
              <w:ind w:left="250" w:right="229"/>
              <w:rPr>
                <w:b/>
                <w:sz w:val="21"/>
              </w:rPr>
            </w:pPr>
            <w:r>
              <w:rPr>
                <w:rFonts w:hint="eastAsia"/>
                <w:b/>
                <w:sz w:val="21"/>
              </w:rPr>
              <w:t>一般毒性危险</w:t>
            </w:r>
          </w:p>
          <w:p w:rsidR="00B04AE3" w:rsidRDefault="00B04AE3">
            <w:pPr>
              <w:pStyle w:val="TableParagraph"/>
              <w:spacing w:before="5" w:line="251" w:lineRule="exact"/>
              <w:ind w:left="248" w:right="229"/>
              <w:rPr>
                <w:b/>
                <w:sz w:val="21"/>
              </w:rPr>
            </w:pPr>
            <w:r>
              <w:rPr>
                <w:rFonts w:hint="eastAsia"/>
                <w:b/>
                <w:sz w:val="21"/>
              </w:rPr>
              <w:t>物质</w:t>
            </w:r>
          </w:p>
        </w:tc>
        <w:tc>
          <w:tcPr>
            <w:tcW w:w="2100" w:type="dxa"/>
            <w:gridSpan w:val="3"/>
            <w:tcBorders>
              <w:left w:val="single" w:sz="6" w:space="0" w:color="000000"/>
              <w:bottom w:val="single" w:sz="6" w:space="0" w:color="000000"/>
              <w:right w:val="single" w:sz="6" w:space="0" w:color="000000"/>
            </w:tcBorders>
            <w:shd w:val="clear" w:color="auto" w:fill="DFDFDF"/>
          </w:tcPr>
          <w:p w:rsidR="00B04AE3" w:rsidRDefault="00B04AE3">
            <w:pPr>
              <w:pStyle w:val="TableParagraph"/>
              <w:ind w:left="191" w:right="167"/>
              <w:rPr>
                <w:b/>
                <w:sz w:val="21"/>
              </w:rPr>
            </w:pPr>
            <w:r>
              <w:rPr>
                <w:rFonts w:hint="eastAsia"/>
                <w:b/>
                <w:sz w:val="21"/>
              </w:rPr>
              <w:t>可燃、易燃危险性</w:t>
            </w:r>
          </w:p>
          <w:p w:rsidR="00B04AE3" w:rsidRDefault="00B04AE3">
            <w:pPr>
              <w:pStyle w:val="TableParagraph"/>
              <w:spacing w:before="5" w:line="251" w:lineRule="exact"/>
              <w:ind w:left="184" w:right="167"/>
              <w:rPr>
                <w:b/>
                <w:sz w:val="21"/>
              </w:rPr>
            </w:pPr>
            <w:r>
              <w:rPr>
                <w:rFonts w:hint="eastAsia"/>
                <w:b/>
                <w:sz w:val="21"/>
              </w:rPr>
              <w:t>物质</w:t>
            </w:r>
          </w:p>
        </w:tc>
        <w:tc>
          <w:tcPr>
            <w:tcW w:w="1605" w:type="dxa"/>
            <w:tcBorders>
              <w:left w:val="single" w:sz="6" w:space="0" w:color="000000"/>
              <w:bottom w:val="single" w:sz="6" w:space="0" w:color="000000"/>
            </w:tcBorders>
            <w:shd w:val="clear" w:color="auto" w:fill="DFDFDF"/>
          </w:tcPr>
          <w:p w:rsidR="00B04AE3" w:rsidRDefault="00B04AE3">
            <w:pPr>
              <w:pStyle w:val="TableParagraph"/>
              <w:ind w:left="258" w:right="235"/>
              <w:rPr>
                <w:b/>
                <w:sz w:val="21"/>
              </w:rPr>
            </w:pPr>
            <w:r>
              <w:rPr>
                <w:rFonts w:hint="eastAsia"/>
                <w:b/>
                <w:sz w:val="21"/>
              </w:rPr>
              <w:t>爆炸危险性</w:t>
            </w:r>
          </w:p>
          <w:p w:rsidR="00B04AE3" w:rsidRDefault="00B04AE3">
            <w:pPr>
              <w:pStyle w:val="TableParagraph"/>
              <w:spacing w:before="5" w:line="251" w:lineRule="exact"/>
              <w:ind w:left="255" w:right="235"/>
              <w:rPr>
                <w:b/>
                <w:sz w:val="21"/>
              </w:rPr>
            </w:pPr>
            <w:r>
              <w:rPr>
                <w:rFonts w:hint="eastAsia"/>
                <w:b/>
                <w:sz w:val="21"/>
              </w:rPr>
              <w:t>物质</w:t>
            </w:r>
          </w:p>
        </w:tc>
      </w:tr>
      <w:tr w:rsidR="00B04AE3">
        <w:trPr>
          <w:trHeight w:val="340"/>
        </w:trPr>
        <w:tc>
          <w:tcPr>
            <w:tcW w:w="1549" w:type="dxa"/>
            <w:tcBorders>
              <w:top w:val="single" w:sz="6" w:space="0" w:color="000000"/>
              <w:bottom w:val="single" w:sz="6" w:space="0" w:color="000000"/>
              <w:right w:val="single" w:sz="6" w:space="0" w:color="000000"/>
            </w:tcBorders>
          </w:tcPr>
          <w:p w:rsidR="00B04AE3" w:rsidRDefault="00B04AE3">
            <w:pPr>
              <w:pStyle w:val="TableParagraph"/>
              <w:spacing w:before="33"/>
              <w:ind w:left="120" w:right="108"/>
              <w:rPr>
                <w:sz w:val="21"/>
              </w:rPr>
            </w:pPr>
            <w:r>
              <w:rPr>
                <w:rFonts w:hint="eastAsia"/>
                <w:sz w:val="21"/>
              </w:rPr>
              <w:t>重大危险源</w:t>
            </w:r>
          </w:p>
        </w:tc>
        <w:tc>
          <w:tcPr>
            <w:tcW w:w="1475" w:type="dxa"/>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33"/>
              <w:ind w:left="191" w:right="174"/>
              <w:rPr>
                <w:sz w:val="21"/>
              </w:rPr>
            </w:pPr>
            <w:r>
              <w:rPr>
                <w:rFonts w:hint="eastAsia"/>
                <w:sz w:val="21"/>
              </w:rPr>
              <w:t>一级</w:t>
            </w:r>
          </w:p>
        </w:tc>
        <w:tc>
          <w:tcPr>
            <w:tcW w:w="1799" w:type="dxa"/>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33"/>
              <w:ind w:right="672"/>
              <w:jc w:val="right"/>
              <w:rPr>
                <w:sz w:val="21"/>
              </w:rPr>
            </w:pPr>
            <w:r>
              <w:rPr>
                <w:rFonts w:hint="eastAsia"/>
                <w:w w:val="95"/>
                <w:sz w:val="21"/>
              </w:rPr>
              <w:t>二级</w:t>
            </w:r>
          </w:p>
        </w:tc>
        <w:tc>
          <w:tcPr>
            <w:tcW w:w="2100" w:type="dxa"/>
            <w:gridSpan w:val="3"/>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33"/>
              <w:ind w:left="182" w:right="167"/>
              <w:rPr>
                <w:sz w:val="21"/>
              </w:rPr>
            </w:pPr>
            <w:r>
              <w:rPr>
                <w:rFonts w:hint="eastAsia"/>
                <w:sz w:val="21"/>
              </w:rPr>
              <w:t>一级</w:t>
            </w:r>
          </w:p>
        </w:tc>
        <w:tc>
          <w:tcPr>
            <w:tcW w:w="1605" w:type="dxa"/>
            <w:tcBorders>
              <w:top w:val="single" w:sz="6" w:space="0" w:color="000000"/>
              <w:left w:val="single" w:sz="6" w:space="0" w:color="000000"/>
              <w:bottom w:val="single" w:sz="6" w:space="0" w:color="000000"/>
            </w:tcBorders>
          </w:tcPr>
          <w:p w:rsidR="00B04AE3" w:rsidRDefault="00B04AE3">
            <w:pPr>
              <w:pStyle w:val="TableParagraph"/>
              <w:spacing w:before="33"/>
              <w:ind w:left="594"/>
              <w:jc w:val="left"/>
              <w:rPr>
                <w:sz w:val="21"/>
              </w:rPr>
            </w:pPr>
            <w:r>
              <w:rPr>
                <w:rFonts w:hint="eastAsia"/>
                <w:sz w:val="21"/>
              </w:rPr>
              <w:t>一级</w:t>
            </w:r>
          </w:p>
        </w:tc>
      </w:tr>
      <w:tr w:rsidR="00B04AE3">
        <w:trPr>
          <w:trHeight w:val="340"/>
        </w:trPr>
        <w:tc>
          <w:tcPr>
            <w:tcW w:w="1549" w:type="dxa"/>
            <w:tcBorders>
              <w:top w:val="single" w:sz="6" w:space="0" w:color="000000"/>
              <w:bottom w:val="single" w:sz="6" w:space="0" w:color="000000"/>
              <w:right w:val="single" w:sz="6" w:space="0" w:color="000000"/>
            </w:tcBorders>
          </w:tcPr>
          <w:p w:rsidR="00B04AE3" w:rsidRDefault="00B04AE3">
            <w:pPr>
              <w:pStyle w:val="TableParagraph"/>
              <w:spacing w:before="33"/>
              <w:ind w:left="122" w:right="108"/>
              <w:rPr>
                <w:sz w:val="21"/>
              </w:rPr>
            </w:pPr>
            <w:r>
              <w:rPr>
                <w:rFonts w:hint="eastAsia"/>
                <w:sz w:val="21"/>
              </w:rPr>
              <w:t>非重大危险源</w:t>
            </w:r>
          </w:p>
        </w:tc>
        <w:tc>
          <w:tcPr>
            <w:tcW w:w="1475" w:type="dxa"/>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33"/>
              <w:ind w:left="191" w:right="174"/>
              <w:rPr>
                <w:sz w:val="21"/>
              </w:rPr>
            </w:pPr>
            <w:r>
              <w:rPr>
                <w:rFonts w:hint="eastAsia"/>
                <w:sz w:val="21"/>
              </w:rPr>
              <w:t>二级</w:t>
            </w:r>
          </w:p>
        </w:tc>
        <w:tc>
          <w:tcPr>
            <w:tcW w:w="1799" w:type="dxa"/>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33"/>
              <w:ind w:right="672"/>
              <w:jc w:val="right"/>
              <w:rPr>
                <w:sz w:val="21"/>
              </w:rPr>
            </w:pPr>
            <w:r>
              <w:rPr>
                <w:rFonts w:hint="eastAsia"/>
                <w:w w:val="95"/>
                <w:sz w:val="21"/>
              </w:rPr>
              <w:t>二级</w:t>
            </w:r>
          </w:p>
        </w:tc>
        <w:tc>
          <w:tcPr>
            <w:tcW w:w="840" w:type="dxa"/>
            <w:tcBorders>
              <w:top w:val="single" w:sz="6" w:space="0" w:color="000000"/>
              <w:left w:val="single" w:sz="6" w:space="0" w:color="000000"/>
              <w:bottom w:val="single" w:sz="6" w:space="0" w:color="000000"/>
              <w:right w:val="nil"/>
            </w:tcBorders>
            <w:shd w:val="clear" w:color="auto" w:fill="C7EDCC"/>
          </w:tcPr>
          <w:p w:rsidR="00B04AE3" w:rsidRDefault="00B04AE3">
            <w:pPr>
              <w:pStyle w:val="TableParagraph"/>
              <w:jc w:val="left"/>
              <w:rPr>
                <w:rFonts w:ascii="Times New Roman"/>
              </w:rPr>
            </w:pPr>
          </w:p>
        </w:tc>
        <w:tc>
          <w:tcPr>
            <w:tcW w:w="421" w:type="dxa"/>
            <w:tcBorders>
              <w:top w:val="single" w:sz="6" w:space="0" w:color="000000"/>
              <w:left w:val="nil"/>
              <w:bottom w:val="single" w:sz="6" w:space="0" w:color="000000"/>
              <w:right w:val="nil"/>
            </w:tcBorders>
            <w:shd w:val="clear" w:color="auto" w:fill="C7EDCC"/>
          </w:tcPr>
          <w:p w:rsidR="00B04AE3" w:rsidRDefault="00B04AE3">
            <w:pPr>
              <w:pStyle w:val="TableParagraph"/>
              <w:spacing w:before="33"/>
              <w:ind w:left="8" w:right="-15"/>
              <w:jc w:val="left"/>
              <w:rPr>
                <w:bCs/>
                <w:sz w:val="21"/>
              </w:rPr>
            </w:pPr>
            <w:r>
              <w:rPr>
                <w:rFonts w:hint="eastAsia"/>
                <w:bCs/>
                <w:spacing w:val="-6"/>
                <w:sz w:val="21"/>
              </w:rPr>
              <w:t>二级</w:t>
            </w:r>
          </w:p>
        </w:tc>
        <w:tc>
          <w:tcPr>
            <w:tcW w:w="839" w:type="dxa"/>
            <w:tcBorders>
              <w:top w:val="single" w:sz="6" w:space="0" w:color="000000"/>
              <w:left w:val="nil"/>
              <w:bottom w:val="single" w:sz="6" w:space="0" w:color="000000"/>
              <w:right w:val="single" w:sz="6" w:space="0" w:color="000000"/>
            </w:tcBorders>
            <w:shd w:val="clear" w:color="auto" w:fill="C7EDCC"/>
          </w:tcPr>
          <w:p w:rsidR="00B04AE3" w:rsidRDefault="00B04AE3">
            <w:pPr>
              <w:pStyle w:val="TableParagraph"/>
              <w:jc w:val="left"/>
              <w:rPr>
                <w:rFonts w:ascii="Times New Roman"/>
                <w:bCs/>
              </w:rPr>
            </w:pPr>
          </w:p>
        </w:tc>
        <w:tc>
          <w:tcPr>
            <w:tcW w:w="1605" w:type="dxa"/>
            <w:tcBorders>
              <w:top w:val="single" w:sz="6" w:space="0" w:color="000000"/>
              <w:left w:val="single" w:sz="6" w:space="0" w:color="000000"/>
              <w:bottom w:val="single" w:sz="6" w:space="0" w:color="000000"/>
            </w:tcBorders>
          </w:tcPr>
          <w:p w:rsidR="00B04AE3" w:rsidRDefault="00B04AE3">
            <w:pPr>
              <w:pStyle w:val="TableParagraph"/>
              <w:spacing w:before="33"/>
              <w:ind w:left="594"/>
              <w:jc w:val="left"/>
              <w:rPr>
                <w:sz w:val="21"/>
              </w:rPr>
            </w:pPr>
            <w:r>
              <w:rPr>
                <w:rFonts w:hint="eastAsia"/>
                <w:b/>
                <w:bCs/>
                <w:sz w:val="21"/>
              </w:rPr>
              <w:t>二级</w:t>
            </w:r>
          </w:p>
        </w:tc>
      </w:tr>
      <w:tr w:rsidR="00B04AE3">
        <w:trPr>
          <w:trHeight w:val="339"/>
        </w:trPr>
        <w:tc>
          <w:tcPr>
            <w:tcW w:w="1549" w:type="dxa"/>
            <w:tcBorders>
              <w:top w:val="single" w:sz="6" w:space="0" w:color="000000"/>
              <w:right w:val="single" w:sz="6" w:space="0" w:color="000000"/>
            </w:tcBorders>
          </w:tcPr>
          <w:p w:rsidR="00B04AE3" w:rsidRDefault="00B04AE3">
            <w:pPr>
              <w:pStyle w:val="TableParagraph"/>
              <w:spacing w:before="33"/>
              <w:ind w:left="122" w:right="108"/>
              <w:rPr>
                <w:sz w:val="21"/>
              </w:rPr>
            </w:pPr>
            <w:r>
              <w:rPr>
                <w:rFonts w:hint="eastAsia"/>
                <w:sz w:val="21"/>
              </w:rPr>
              <w:t>环境敏感地区</w:t>
            </w:r>
          </w:p>
        </w:tc>
        <w:tc>
          <w:tcPr>
            <w:tcW w:w="1475" w:type="dxa"/>
            <w:tcBorders>
              <w:top w:val="single" w:sz="6" w:space="0" w:color="000000"/>
              <w:left w:val="single" w:sz="6" w:space="0" w:color="000000"/>
              <w:right w:val="single" w:sz="6" w:space="0" w:color="000000"/>
            </w:tcBorders>
          </w:tcPr>
          <w:p w:rsidR="00B04AE3" w:rsidRDefault="00B04AE3">
            <w:pPr>
              <w:pStyle w:val="TableParagraph"/>
              <w:spacing w:before="33"/>
              <w:ind w:left="191" w:right="174"/>
              <w:rPr>
                <w:sz w:val="21"/>
              </w:rPr>
            </w:pPr>
            <w:r>
              <w:rPr>
                <w:rFonts w:hint="eastAsia"/>
                <w:sz w:val="21"/>
              </w:rPr>
              <w:t>一级</w:t>
            </w:r>
          </w:p>
        </w:tc>
        <w:tc>
          <w:tcPr>
            <w:tcW w:w="1799" w:type="dxa"/>
            <w:tcBorders>
              <w:top w:val="single" w:sz="6" w:space="0" w:color="000000"/>
              <w:left w:val="single" w:sz="6" w:space="0" w:color="000000"/>
              <w:right w:val="single" w:sz="6" w:space="0" w:color="000000"/>
            </w:tcBorders>
          </w:tcPr>
          <w:p w:rsidR="00B04AE3" w:rsidRDefault="00B04AE3">
            <w:pPr>
              <w:pStyle w:val="TableParagraph"/>
              <w:spacing w:before="33"/>
              <w:ind w:right="672"/>
              <w:jc w:val="right"/>
              <w:rPr>
                <w:sz w:val="21"/>
              </w:rPr>
            </w:pPr>
            <w:r>
              <w:rPr>
                <w:rFonts w:hint="eastAsia"/>
                <w:w w:val="95"/>
                <w:sz w:val="21"/>
              </w:rPr>
              <w:t>一级</w:t>
            </w:r>
          </w:p>
        </w:tc>
        <w:tc>
          <w:tcPr>
            <w:tcW w:w="2100" w:type="dxa"/>
            <w:gridSpan w:val="3"/>
            <w:tcBorders>
              <w:top w:val="single" w:sz="6" w:space="0" w:color="000000"/>
              <w:left w:val="single" w:sz="6" w:space="0" w:color="000000"/>
              <w:right w:val="single" w:sz="6" w:space="0" w:color="000000"/>
            </w:tcBorders>
          </w:tcPr>
          <w:p w:rsidR="00B04AE3" w:rsidRDefault="00B04AE3">
            <w:pPr>
              <w:pStyle w:val="TableParagraph"/>
              <w:spacing w:before="33"/>
              <w:ind w:left="182" w:right="167"/>
              <w:rPr>
                <w:sz w:val="21"/>
              </w:rPr>
            </w:pPr>
            <w:r>
              <w:rPr>
                <w:rFonts w:hint="eastAsia"/>
                <w:sz w:val="21"/>
              </w:rPr>
              <w:t>一级</w:t>
            </w:r>
          </w:p>
        </w:tc>
        <w:tc>
          <w:tcPr>
            <w:tcW w:w="1605" w:type="dxa"/>
            <w:tcBorders>
              <w:top w:val="single" w:sz="6" w:space="0" w:color="000000"/>
              <w:left w:val="single" w:sz="6" w:space="0" w:color="000000"/>
            </w:tcBorders>
          </w:tcPr>
          <w:p w:rsidR="00B04AE3" w:rsidRDefault="00B04AE3">
            <w:pPr>
              <w:pStyle w:val="TableParagraph"/>
              <w:spacing w:before="33"/>
              <w:ind w:left="594"/>
              <w:jc w:val="left"/>
              <w:rPr>
                <w:sz w:val="21"/>
              </w:rPr>
            </w:pPr>
            <w:r>
              <w:rPr>
                <w:rFonts w:hint="eastAsia"/>
                <w:sz w:val="21"/>
              </w:rPr>
              <w:t>一级</w:t>
            </w:r>
          </w:p>
        </w:tc>
      </w:tr>
    </w:tbl>
    <w:p w:rsidR="00B04AE3" w:rsidRDefault="00B04AE3">
      <w:pPr>
        <w:pStyle w:val="BodyText"/>
        <w:spacing w:before="20" w:line="360" w:lineRule="auto"/>
        <w:ind w:left="334" w:right="334" w:firstLine="482"/>
        <w:jc w:val="both"/>
        <w:rPr>
          <w:spacing w:val="-6"/>
          <w:szCs w:val="22"/>
        </w:rPr>
      </w:pPr>
      <w:r>
        <w:rPr>
          <w:rFonts w:hint="eastAsia"/>
          <w:spacing w:val="-6"/>
          <w:szCs w:val="22"/>
        </w:rPr>
        <w:t>经以上分析可见，本项目无重大危险源。选址不属于环境敏感区，按《建设项目环境风险技术导则》规定，确定本次环境风险评价为二级评价。</w:t>
      </w:r>
    </w:p>
    <w:p w:rsidR="00B04AE3" w:rsidRDefault="00B04AE3">
      <w:pPr>
        <w:pStyle w:val="ListParagraph"/>
        <w:numPr>
          <w:ilvl w:val="2"/>
          <w:numId w:val="18"/>
        </w:numPr>
        <w:tabs>
          <w:tab w:val="left" w:pos="938"/>
        </w:tabs>
        <w:spacing w:line="306" w:lineRule="exact"/>
        <w:ind w:left="937" w:hanging="600"/>
        <w:rPr>
          <w:b/>
          <w:sz w:val="24"/>
        </w:rPr>
      </w:pPr>
      <w:bookmarkStart w:id="68" w:name="3.2.3_源项分析及最大可信事故"/>
      <w:bookmarkEnd w:id="68"/>
      <w:r>
        <w:rPr>
          <w:rFonts w:hint="eastAsia"/>
          <w:b/>
          <w:sz w:val="24"/>
        </w:rPr>
        <w:t>源项分析及最大可信事故</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企业风险事故主要是泄露、火灾、爆炸及相应的次生、衍生污染物对环境的影响。项目顶端事故与基本事件关联见图</w:t>
      </w:r>
      <w:r>
        <w:rPr>
          <w:spacing w:val="-6"/>
          <w:szCs w:val="22"/>
        </w:rPr>
        <w:t xml:space="preserve"> 3.2-1</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由从图</w:t>
      </w:r>
      <w:r>
        <w:rPr>
          <w:spacing w:val="-6"/>
          <w:szCs w:val="22"/>
        </w:rPr>
        <w:t xml:space="preserve"> 3.2-1 </w:t>
      </w:r>
      <w:r>
        <w:rPr>
          <w:rFonts w:hint="eastAsia"/>
          <w:spacing w:val="-6"/>
          <w:szCs w:val="22"/>
        </w:rPr>
        <w:t>中可知，燃烧爆炸是由两个“中间事件”</w:t>
      </w:r>
      <w:r>
        <w:rPr>
          <w:spacing w:val="-6"/>
          <w:szCs w:val="22"/>
        </w:rPr>
        <w:t xml:space="preserve"> </w:t>
      </w:r>
      <w:r>
        <w:rPr>
          <w:rFonts w:hint="eastAsia"/>
          <w:spacing w:val="-6"/>
          <w:szCs w:val="22"/>
        </w:rPr>
        <w:t>（设备泄漏、火源）同时发生所造成的。防止设备物料泄漏是防止发生燃爆事故的关键。另外，加强管道的安全管理，采取水封、防爆孔等措施，严禁吸烟和动用明火，防止铁器撞击，</w:t>
      </w:r>
      <w:r>
        <w:rPr>
          <w:spacing w:val="-6"/>
          <w:szCs w:val="22"/>
        </w:rPr>
        <w:t xml:space="preserve"> </w:t>
      </w:r>
      <w:r>
        <w:rPr>
          <w:rFonts w:hint="eastAsia"/>
          <w:spacing w:val="-6"/>
          <w:szCs w:val="22"/>
        </w:rPr>
        <w:t>也是防止燃爆事故发生的必要条件。</w:t>
      </w:r>
    </w:p>
    <w:p w:rsidR="00B04AE3" w:rsidRDefault="00B04AE3">
      <w:pPr>
        <w:pStyle w:val="BodyText"/>
        <w:spacing w:before="7"/>
        <w:rPr>
          <w:sz w:val="8"/>
        </w:rPr>
      </w:pPr>
      <w:r>
        <w:rPr>
          <w:noProof/>
          <w:lang w:val="en-US"/>
        </w:rPr>
        <w:pict>
          <v:group id="_x0000_s1126" style="position:absolute;margin-left:88.6pt;margin-top:7.4pt;width:423.7pt;height:323.5pt;z-index:-251621888;mso-position-horizontal-relative:page" coordorigin="1773,149" coordsize="8474,6470">
            <v:shape id="_x0000_s1127" style="position:absolute;left:4845;top:148;width:2160;height:527" coordorigin="4845,149" coordsize="2160,527" o:spt="100" adj="0,,0" path="m7005,676r-2160,l4845,149r2160,l7005,156r-2145,l4853,164r7,l4860,661r-7,l4860,668r2145,l7005,676xm4860,164r-7,l4860,156r,8xm6990,164r-2130,l4860,156r2130,l6990,164xm6990,668r,-512l6998,164r7,l7005,661r-7,l6990,668xm7005,164r-7,l6990,156r15,l7005,164xm4860,668r-7,-7l4860,661r,7xm6990,668r-2130,l4860,661r2130,l6990,668xm7005,668r-15,l6998,661r7,l7005,66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28" style="position:absolute" from="5933,663" to="5933,963" strokeweight=".8pt"/>
            <v:shape id="_x0000_s1129" style="position:absolute;left:5553;top:873;width:752;height:468" coordorigin="5553,873" coordsize="752,468" path="m5928,1341r-86,-6l5763,1318r-69,-28l5635,1254r-44,-44l5553,1107r10,-53l5635,961r59,-36l5763,897r79,-17l5928,873r87,7l6094,897r69,28l6222,961r44,44l6305,1108r-10,53l6222,1254r-59,36l6094,1318r-79,17l5928,1341xe" stroked="f">
              <v:path arrowok="t"/>
            </v:shape>
            <v:shape id="_x0000_s1130" style="position:absolute;left:5545;top:865;width:766;height:482" coordorigin="5546,866" coordsize="766,482" o:spt="100" adj="0,,0" path="m5986,1346r-115,l5852,1344r-19,-4l5815,1338r-35,-8l5764,1324r-17,-4l5731,1314r-15,-6l5701,1300r-15,-6l5672,1286r-13,-8l5646,1270r-12,-8l5623,1252r-11,-10l5602,1234r-9,-12l5584,1212r-8,-10l5569,1190r-6,-10l5558,1168r-4,-12l5550,1144r-1,-6l5548,1132r-1,-6l5546,1120r,-8l5546,1100r,-6l5547,1088r1,-6l5549,1076r1,-8l5554,1058r4,-12l5563,1034r6,-12l5576,1012r8,-12l5593,990r9,-10l5612,970r11,-10l5634,952r12,-10l5659,934r13,-8l5686,920r15,-8l5716,906r15,-6l5747,894r17,-6l5780,884r53,-12l5890,866r77,l6024,872r35,8l5910,880r-20,2l5872,882r-18,2l5854,884r-18,4l5836,888r-18,2l5818,890r-17,4l5801,894r-17,4l5784,898r-16,4l5768,902r-16,6l5752,908r-16,6l5737,914r-16,6l5722,920r-15,6l5707,926r-14,6l5693,932r-13,8l5680,940r-13,8l5667,948r-12,8l5655,956r-12,8l5643,964r-11,8l5633,972r-11,10l5622,982r-9,8l5613,990r-9,10l5604,1000r-8,10l5596,1010r-7,10l5589,1020r-7,10l5582,1030r-6,10l5577,1040r-5,10l5572,1050r-4,12l5568,1062r-3,10l5565,1072r-2,6l5563,1078r-1,6l5562,1084r,6l5562,1090r-1,4l5561,1094r,6l5561,1100r,12l5561,1118r,l5562,1124r,l5562,1130r,l5563,1134r,l5565,1140r,l5568,1152r,l5572,1162r,l5577,1172r-1,l5582,1184r1,l5589,1194r,l5596,1204r,l5604,1214r2,l5613,1222r,l5622,1232r,l5633,1240r-1,l5643,1250r,l5655,1258r,l5667,1266r,l5680,1274r,l5693,1280r,l5707,1288r,l5722,1294r-1,l5737,1300r-1,l5752,1306r,l5768,1310r,l5784,1314r,l5801,1320r9,l5818,1322r,l5836,1326r,l5854,1328r,l5872,1330r,l5891,1332r177,l6042,1338r-18,2l6005,1344r-19,2xm6285,1052r-5,-12l6281,1040r-6,-10l6275,1030r-7,-10l6268,1020r-7,-10l6261,1010r-8,-10l6253,1000r-9,-10l6244,990r-9,-8l6235,982r-11,-10l6225,972r-11,-8l6214,964r-12,-8l6202,956r-12,-8l6190,948r-13,-8l6177,940r-13,-8l6164,932r-14,-6l6150,926r-15,-6l6136,920r-16,-6l6121,914r-16,-6l6105,908r-16,-6l6089,902r-16,-4l6073,898r-17,-4l6056,894r-17,-4l6039,890r-18,-2l6021,888r-18,-4l6003,884r-18,-2l5967,882r-20,-2l6059,880r34,8l6110,894r16,6l6141,906r15,6l6171,920r14,6l6198,934r13,8l6223,952r11,8l6245,970r10,10l6264,990r9,10l6281,1012r7,10l6294,1034r5,12l6301,1050r-16,l6285,1052xm5572,1052r,-2l5572,1050r,2xm6291,1184r-16,l6281,1172r-1,l6285,1162r,l6289,1152r,l6292,1140r,l6294,1134r,l6295,1130r,l6295,1124r,l6296,1118r,l6296,1112r,-12l6296,1100r,-6l6296,1094r-1,-4l6295,1090r,-6l6295,1084r-1,-6l6294,1078r-2,-6l6292,1072r-3,-10l6289,1062r-4,-12l6301,1050r3,8l6307,1068r1,8l6309,1082r1,6l6311,1094r,6l6311,1112r,8l6310,1126r-1,6l6308,1138r-1,6l6304,1156r-5,12l6294,1180r-3,4xm5561,1096r,-2l5561,1094r,2xm6296,1096r,-2l6296,1094r,2xm5583,1184r-1,l5582,1182r1,2xm6271,1214r-18,l6261,1204r,l6268,1194r,l6275,1182r,2l6291,1184r-3,6l6281,1202r-8,10l6271,1214xm5606,1214r-2,l5604,1212r2,2xm6110,1320r-54,l6073,1314r,l6089,1310r,l6105,1306r,l6121,1300r-1,l6136,1294r-1,l6150,1288r,l6164,1280r,l6177,1274r,l6190,1266r,l6202,1258r,l6214,1250r,l6225,1240r-1,l6235,1232r,l6244,1222r,l6253,1212r,2l6271,1214r-7,8l6255,1234r-10,8l6234,1252r-11,10l6211,1270r-13,8l6185,1286r-14,8l6156,1300r-15,8l6126,1314r-16,6xm5810,1320r-9,l5801,1318r9,2xm6068,1332r-102,l5985,1330r,l6003,1328r,l6021,1326r,l6039,1322r,l6056,1318r,2l6110,1320r-17,4l6077,1330r-9,2xm5948,1348r-39,l5890,1346r77,l5948,134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131" style="position:absolute;left:8070;top:1916;width:1812;height:547" coordorigin="8070,1917" coordsize="1812,547" o:spt="100" adj="0,,0" path="m9882,2464r-1812,l8070,1917r1812,l9882,1924r-1797,l8078,1932r7,l8085,2449r-7,l8085,2456r1797,l9882,2464xm8085,1932r-7,l8085,1924r,8xm9867,1932r-1782,l8085,1924r1782,l9867,1932xm9867,2456r,-532l9875,1932r7,l9882,2449r-7,l9867,2456xm9882,1932r-7,l9867,1924r15,l9882,1932xm8085,2456r-7,-7l8085,2449r,7xm9867,2456r-1782,l8085,2449r1782,l9867,2456xm9882,2456r-15,l9875,2449r7,l9882,2456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32" style="position:absolute" from="9030,2420" to="9030,2741" strokeweight="1pt"/>
            <v:line id="_x0000_s1133" style="position:absolute" from="3138,1581" to="3138,1941" strokeweight=".8pt"/>
            <v:line id="_x0000_s1134" style="position:absolute" from="3141,1595" to="8997,1595" strokeweight="1.1pt"/>
            <v:line id="_x0000_s1135" style="position:absolute" from="9000,1593" to="9000,1963" strokeweight=".8pt"/>
            <v:line id="_x0000_s1136" style="position:absolute" from="5925,1338" to="5925,1597" strokeweight="1.2pt"/>
            <v:line id="_x0000_s1137" style="position:absolute" from="3108,2485" to="3108,3376" strokeweight=".8pt"/>
            <v:shape id="_x0000_s1138" style="position:absolute;left:2458;top:1932;width:1501;height:561" coordorigin="2458,1933" coordsize="1501,561" o:spt="100" adj="0,,0" path="m3959,2494r-1501,l2458,1933r1501,l3959,1940r-1486,l2466,1948r7,l2473,2479r-7,l2473,2486r1486,l3959,2494xm2473,1948r-7,l2473,1940r,8xm3944,1948r-1471,l2473,1940r1471,l3944,1948xm3944,2486r,-546l3952,1948r7,l3959,2479r-7,l3944,2486xm3959,1948r-7,l3944,1940r15,l3959,1948xm2473,2486r-7,-7l2473,2479r,7xm3944,2486r-1471,l2473,2479r1471,l3944,2486xm3959,2486r-15,l3952,2479r7,l3959,2486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39" style="position:absolute" from="8466,3146" to="8466,3373" strokeweight="1.15pt"/>
            <v:line id="_x0000_s1140" style="position:absolute" from="3353,3129" to="8455,3129" strokeweight=".95pt"/>
            <v:line id="_x0000_s1141" style="position:absolute" from="3351,3125" to="3351,3376" strokeweight=".8pt"/>
            <v:line id="_x0000_s1142" style="position:absolute" from="3081,3930" to="3081,4114" strokeweight=".85pt"/>
            <v:shape id="_x0000_s1143" style="position:absolute;left:2635;top:4110;width:885;height:482" coordorigin="2636,4111" coordsize="885,482" o:spt="100" adj="0,,0" path="m3145,4591r-134,l2990,4589r-22,-4l2947,4583r-40,-8l2888,4569r-19,-4l2850,4559r-18,-6l2815,4545r-17,-6l2782,4531r-15,-8l2752,4515r-14,-8l2725,4497r-12,-8l2701,4479r-11,-10l2680,4457r-9,-10l2663,4437r-7,-12l2650,4413r-3,-6l2645,4401r-2,-6l2641,4389r-2,-6l2638,4377r-1,-6l2636,4365r,-8l2636,4345r,-6l2637,4333r1,-6l2639,4319r2,-6l2643,4307r2,-6l2647,4295r3,-6l2656,4279r7,-12l2671,4255r9,-10l2690,4235r11,-10l2713,4215r12,-10l2738,4197r14,-10l2767,4179r15,-8l2798,4165r17,-8l2832,4151r18,-6l2888,4133r80,-16l3033,4111r90,l3188,4117r41,8l3056,4125r-22,2l3012,4127r-21,2l2991,4129r-21,4l2970,4133r-20,2l2950,4135r-20,4l2930,4139r-20,4l2910,4143r-19,4l2891,4147r-18,6l2873,4153r-18,6l2855,4159r-18,6l2837,4165r-17,6l2821,4171r-17,6l2804,4177r-15,8l2789,4185r-15,8l2774,4193r-14,8l2760,4201r-14,8l2747,4209r-13,8l2734,4217r-12,10l2722,4227r-11,8l2711,4235r-10,10l2701,4245r-10,10l2692,4255r-9,10l2683,4265r-8,10l2676,4275r-7,10l2669,4285r-6,12l2664,4297r-3,4l2661,4301r-2,6l2659,4307r-2,6l2657,4313r-1,4l2655,4317r-1,6l2654,4323r-1,6l2653,4329r-1,6l2652,4335r-1,4l2651,4339r,6l2651,4345r,12l2651,4363r,l2652,4369r,l2653,4375r,l2654,4379r,l2655,4385r,l2657,4391r,l2659,4397r1,l2661,4401r,l2664,4407r-1,l2669,4417r,l2676,4427r-1,l2683,4439r1,l2692,4449r1,l2701,4457r,l2711,4467r,l2722,4477r,l2734,4485r,l2747,4495r2,l2760,4503r,l2774,4511r,l2789,4519r4,l2804,4525r,l2821,4533r-1,l2837,4539r,l2855,4545r,l2873,4551r,l2891,4555r,l2910,4559r,l2930,4563r,l2950,4567r,l2970,4571r,l2991,4573r,l3012,4575r,l3034,4577r205,l3209,4583r-21,2l3166,4589r-21,2xm3501,4319r-2,-6l3499,4313r-2,-6l3497,4307r-2,-6l3495,4301r-3,-4l3493,4297r-6,-12l3487,4285r-7,-10l3481,4275r-8,-10l3473,4265r-9,-10l3465,4255r-10,-10l3455,4245r-10,-10l3445,4235r-11,-8l3434,4227r-12,-10l3422,4217r-13,-8l3410,4209r-14,-8l3396,4201r-14,-8l3382,4193r-15,-8l3367,4185r-15,-8l3352,4177r-17,-6l3336,4171r-17,-6l3319,4165r-18,-6l3301,4159r-18,-6l3283,4153r-18,-6l3265,4147r-19,-4l3246,4143r-20,-4l3226,4139r-20,-4l3206,4135r-20,-2l3186,4133r-21,-4l3165,4129r-21,-2l3122,4127r-22,-2l3229,4125r39,8l3306,4145r18,6l3341,4157r17,8l3374,4171r15,8l3404,4187r14,10l3431,4205r12,10l3455,4225r11,10l3476,4245r9,10l3493,4267r7,12l3506,4289r3,6l3511,4301r2,6l3515,4313r1,4l3501,4317r,2xm2655,4319r,-2l2656,4317r-1,2xm3505,4341r-1,-6l3504,4335r-1,-6l3503,4329r-1,-6l3502,4323r-1,-6l3516,4317r1,2l3518,4327r1,6l3520,4339r-15,l3505,4341xm2651,4341r,-2l2651,4339r,2xm3518,4375r-15,l3504,4369r,l3505,4363r,l3505,4357r,-12l3505,4345r,-6l3520,4339r,6l3520,4357r,8l3519,4371r-1,4xm2653,4375r,l2653,4373r,2xm3513,4397r-16,l3499,4391r,l3501,4385r,l3502,4379r,l3503,4373r,2l3518,4375r,2l3517,4383r-2,6l3513,4395r,2xm2660,4397r-1,l2659,4395r1,2xm3491,4439r-18,l3481,4427r-1,l3487,4417r,l3493,4407r-1,l3495,4401r,l3497,4395r,2l3513,4397r-2,4l3509,4407r-3,6l3500,4425r-7,12l3491,4439xm2684,4439r-1,l2683,4437r1,2xm3483,4449r-19,l3473,4437r,2l3491,4439r-6,8l3483,4449xm2693,4449r-1,l2691,4447r2,2xm3434,4495r-25,l3422,4485r,l3434,4477r,l3445,4467r,l3455,4457r,l3465,4447r-1,2l3483,4449r-7,8l3466,4469r-11,10l3443,4489r-9,6xm2749,4495r-2,l2746,4493r3,2xm3396,4519r-29,l3382,4511r,l3396,4503r,l3410,4493r-1,2l3434,4495r-3,2l3418,4507r-14,8l3396,4519xm2793,4519r-4,l2789,4517r4,2xm3239,4577r-117,l3144,4575r,l3165,4573r,l3186,4571r,l3206,4567r,l3226,4563r,l3246,4559r,l3265,4555r,l3283,4551r,l3301,4545r,l3319,4539r,l3336,4533r-1,l3352,4525r,l3367,4517r,2l3396,4519r-7,4l3374,4531r-16,8l3341,4545r-17,8l3306,4559r-19,6l3268,4569r-19,6l3239,4577xm3101,4593r-46,l3033,4591r90,l3101,459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44" style="position:absolute" from="2080,4830" to="4586,4830" strokeweight="1.25pt"/>
            <v:line id="_x0000_s1145" style="position:absolute" from="3061,4535" to="3061,4900" strokeweight=".9pt"/>
            <v:shape id="_x0000_s1146" style="position:absolute;left:2204;top:3367;width:2037;height:570" coordorigin="2205,3368" coordsize="2037,570" o:spt="100" adj="0,,0" path="m4242,3938r-2037,l2205,3368r2037,l4242,3375r-2022,l2212,3383r8,l2220,3923r-8,l2220,3930r2022,l4242,3938xm2220,3383r-8,l2220,3375r,8xm4227,3383r-2007,l2220,3375r2007,l4227,3383xm4227,3930r,-555l4234,3383r8,l4242,3923r-8,l4227,3930xm4242,3383r-8,l4227,3375r15,l4242,3383xm2220,3930r-8,-7l2220,3923r,7xm4227,3930r-2007,l2220,3923r2007,l4227,3930xm4242,3930r-15,l4234,3923r8,l4242,3930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47" style="position:absolute" from="9060,3093" to="9060,3373" strokeweight=".9pt"/>
            <v:shape id="_x0000_s1148" style="position:absolute;left:8335;top:3365;width:1455;height:570" coordorigin="8335,3366" coordsize="1455,570" o:spt="100" adj="0,,0" path="m9790,3936r-1455,l8335,3366r1455,l9790,3373r-1440,l8343,3381r7,l8350,3921r-7,l8350,3928r1440,l9790,3936xm8350,3381r-7,l8350,3373r,8xm9775,3381r-1425,l8350,3373r1425,l9775,3381xm9775,3928r,-555l9783,3381r7,l9790,3921r-7,l9775,3928xm9790,3381r-7,l9775,3373r15,l9790,3381xm8350,3928r-7,-7l8350,3921r,7xm9775,3928r-1425,l8350,3921r1425,l9775,3928xm9790,3928r-15,l9783,3921r7,l9790,392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149" style="position:absolute;left:1772;top:5166;width:525;height:1406" coordorigin="1773,5167" coordsize="525,1406" o:spt="100" adj="0,,0" path="m2298,6573r-525,l1773,5167r525,l2298,5174r-510,l1780,5182r8,l1788,6558r-8,l1788,6565r510,l2298,6573xm1788,5182r-8,l1788,5174r,8xm2283,5182r-495,l1788,5174r495,l2283,5182xm2283,6565r,-1391l2290,5182r8,l2298,6558r-8,l2283,6565xm2298,5182r-8,l2283,5174r15,l2298,5182xm1788,6565r-8,-7l1788,6558r,7xm2283,6565r-495,l1788,6558r495,l2283,6565xm2298,6565r-15,l2290,6558r8,l2298,6565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50" style="position:absolute" from="2063,4826" to="2063,5233" strokeweight=".85pt"/>
            <v:shape id="_x0000_s1151" style="position:absolute;left:3534;top:5197;width:525;height:1406" coordorigin="3534,5198" coordsize="525,1406" o:spt="100" adj="0,,0" path="m4059,6604r-525,l3534,5198r525,l4059,5205r-510,l3542,5213r7,l3549,6589r-7,l3549,6596r510,l4059,6604xm3549,5213r-7,l3549,5205r,8xm4044,5213r-495,l3549,5205r495,l4044,5213xm4044,6596r,-1391l4052,5213r7,l4059,6589r-7,l4044,6596xm4059,5213r-7,l4044,5205r15,l4059,5213xm3549,6596r-7,-7l3549,6589r,7xm4044,6596r-495,l3549,6589r495,l4044,6596xm4059,6596r-15,l4052,6589r7,l4059,6596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52" style="position:absolute" from="3778,4834" to="3778,5234" strokeweight=".9pt"/>
            <v:shape id="_x0000_s1153" style="position:absolute;left:4308;top:5178;width:525;height:1406" coordorigin="4309,5179" coordsize="525,1406" o:spt="100" adj="0,,0" path="m4834,6585r-525,l4309,5179r525,l4834,5186r-510,l4316,5194r8,l4324,6570r-8,l4324,6577r510,l4834,6585xm4324,5194r-8,l4324,5186r,8xm4819,5194r-495,l4324,5186r495,l4819,5194xm4819,6577r,-1391l4826,5194r8,l4834,6570r-8,l4819,6577xm4834,5194r-8,l4819,5186r15,l4834,5194xm4324,6577r-8,-7l4324,6570r,7xm4819,6577r-495,l4324,6570r495,l4819,6577xm4834,6577r-15,l4826,6570r8,l4834,6577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54" style="position:absolute" from="4585,4812" to="4585,5217" strokeweight=".8pt"/>
            <v:line id="_x0000_s1155" style="position:absolute" from="7847,4887" to="9993,4887" strokeweight=".95pt"/>
            <v:shape id="_x0000_s1156" style="position:absolute;left:7584;top:5247;width:525;height:1263" coordorigin="7585,5248" coordsize="525,1263" o:spt="100" adj="0,,0" path="m8110,6511r-525,l7585,5248r525,l8110,5255r-510,l7592,5263r8,l7600,6496r-8,l7600,6503r510,l8110,6511xm7600,5263r-8,l7600,5255r,8xm8095,5263r-495,l7600,5255r495,l8095,5263xm8095,6503r,-1248l8102,5263r8,l8110,6496r-8,l8095,6503xm8110,5263r-8,l8095,5255r15,l8110,5263xm7600,6503r-8,-7l7600,6496r,7xm8095,6503r-495,l7600,6496r495,l8095,6503xm8110,6503r-15,l8102,6496r8,l8110,650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57" style="position:absolute" from="7848,4887" to="7848,5300" strokeweight=".8pt"/>
            <v:shape id="_x0000_s1158" style="position:absolute;left:8545;top:4140;width:885;height:482" coordorigin="8546,4141" coordsize="885,482" o:spt="100" adj="0,,0" path="m9055,4621r-134,l8900,4619r-22,-4l8857,4613r-40,-8l8798,4599r-19,-4l8760,4589r-18,-6l8725,4575r-17,-6l8692,4561r-15,-8l8662,4545r-14,-8l8635,4527r-12,-8l8611,4509r-11,-10l8590,4487r-9,-10l8573,4467r-7,-12l8560,4443r-3,-6l8555,4431r-2,-6l8551,4419r-2,-6l8548,4407r-1,-6l8546,4395r,-8l8546,4375r,-6l8547,4363r1,-6l8549,4349r2,-6l8553,4337r2,-6l8557,4325r3,-6l8566,4309r7,-12l8581,4285r9,-10l8600,4265r11,-10l8623,4245r12,-10l8648,4227r14,-10l8677,4209r15,-8l8708,4195r17,-8l8742,4181r18,-6l8798,4163r80,-16l8943,4141r90,l9098,4147r41,8l8966,4155r-22,2l8922,4157r-21,2l8901,4159r-21,4l8880,4163r-20,2l8860,4165r-20,4l8840,4169r-20,4l8820,4173r-19,4l8801,4177r-18,6l8783,4183r-18,6l8765,4189r-18,6l8747,4195r-17,6l8731,4201r-17,6l8714,4207r-15,8l8699,4215r-15,8l8684,4223r-14,8l8670,4231r-14,8l8657,4239r-13,8l8644,4247r-12,10l8632,4257r-11,8l8621,4265r-10,10l8611,4275r-10,10l8602,4285r-9,10l8593,4295r-8,10l8586,4305r-7,10l8579,4315r-6,12l8574,4327r-3,4l8571,4331r-2,6l8569,4337r-2,6l8567,4343r-1,4l8565,4347r-1,6l8564,4353r-1,6l8563,4359r-1,6l8562,4365r-1,4l8561,4369r,6l8561,4387r,6l8561,4393r1,6l8562,4399r1,6l8563,4405r1,4l8564,4409r1,6l8565,4415r2,6l8567,4421r2,6l8570,4427r1,4l8571,4431r3,6l8573,4437r6,10l8579,4447r7,10l8585,4457r8,12l8594,4469r8,10l8603,4479r8,8l8611,4487r10,10l8621,4497r11,10l8632,4507r12,8l8644,4515r13,10l8659,4525r11,8l8670,4533r14,8l8684,4541r15,8l8703,4549r11,6l8714,4555r17,8l8730,4563r17,6l8747,4569r18,6l8765,4575r18,6l8783,4581r18,4l8801,4585r19,4l8820,4589r20,4l8840,4593r20,4l8860,4597r20,4l8880,4601r21,2l8901,4603r21,2l8922,4605r22,2l9149,4607r-30,6l9098,4615r-22,4l9055,4621xm9411,4349r-2,-6l9409,4343r-2,-6l9407,4337r-2,-6l9405,4331r-3,-4l9403,4327r-6,-12l9397,4315r-7,-10l9391,4305r-8,-10l9383,4295r-9,-10l9375,4285r-10,-10l9365,4275r-10,-10l9355,4265r-11,-8l9344,4257r-12,-10l9332,4247r-13,-8l9320,4239r-14,-8l9306,4231r-14,-8l9292,4223r-15,-8l9277,4215r-15,-8l9262,4207r-17,-6l9246,4201r-17,-6l9229,4195r-18,-6l9211,4189r-18,-6l9193,4183r-18,-6l9175,4177r-19,-4l9156,4173r-20,-4l9136,4169r-20,-4l9116,4165r-20,-2l9096,4163r-21,-4l9075,4159r-21,-2l9032,4157r-22,-2l9139,4155r39,8l9216,4175r18,6l9251,4187r17,8l9284,4201r15,8l9314,4217r14,10l9341,4235r12,10l9365,4255r11,10l9386,4275r9,10l9403,4297r7,12l9416,4319r3,6l9421,4331r2,6l9425,4343r1,4l9411,4347r,2xm8565,4349r,-2l8566,4347r-1,2xm9415,4371r-1,-6l9414,4365r-1,-6l9413,4359r-1,-6l9412,4353r-1,-6l9426,4347r1,2l9428,4357r1,6l9430,4369r-15,l9415,4371xm8561,4371r,-2l8561,4369r,2xm9428,4405r-15,l9414,4399r,l9415,4393r,l9415,4387r,-12l9415,4375r,-6l9430,4369r,6l9430,4387r,8l9429,4401r-1,4xm8563,4405r,l8563,4403r,2xm9423,4427r-16,l9409,4421r,l9411,4415r,l9412,4409r,l9413,4403r,2l9428,4405r,2l9427,4413r-2,6l9423,4425r,2xm8570,4427r-1,l8569,4425r1,2xm9401,4469r-18,l9391,4457r-1,l9397,4447r,l9403,4437r-1,l9405,4431r,l9407,4425r,2l9423,4427r-2,4l9419,4437r-3,6l9410,4455r-7,12l9401,4469xm8594,4469r-1,l8593,4467r1,2xm9393,4479r-19,l9383,4467r,2l9401,4469r-6,8l9393,4479xm8603,4479r-1,l8601,4477r2,2xm9344,4525r-25,l9332,4515r,l9344,4507r,l9355,4497r,l9365,4487r,l9375,4477r-1,2l9393,4479r-7,8l9376,4499r-11,10l9353,4519r-9,6xm8659,4525r-2,l8656,4523r3,2xm9306,4549r-29,l9292,4541r,l9306,4533r,l9320,4523r-1,2l9344,4525r-3,2l9328,4537r-14,8l9306,4549xm8703,4549r-4,l8699,4547r4,2xm9149,4607r-117,l9054,4605r,l9075,4603r,l9096,4601r,l9116,4597r,l9136,4593r,l9156,4589r,l9175,4585r,l9193,4581r,l9211,4575r,l9229,4569r,l9246,4563r-1,l9262,4555r,l9277,4547r,2l9306,4549r-7,4l9284,4561r-16,8l9251,4575r-17,8l9216,4589r-19,6l9178,4599r-19,6l9149,4607xm9011,4623r-46,l8943,4621r90,l9011,462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59" style="position:absolute" from="8991,3899" to="8991,4159" strokeweight=".85pt"/>
            <v:shape id="_x0000_s1160" style="position:absolute;left:8726;top:5233;width:525;height:1263" coordorigin="8727,5234" coordsize="525,1263" o:spt="100" adj="0,,0" path="m9252,6497r-525,l8727,5234r525,l9252,5241r-510,l8734,5249r8,l8742,6482r-8,l8742,6489r510,l9252,6497xm8742,5249r-8,l8742,5241r,8xm9237,5249r-495,l8742,5241r495,l9237,5249xm9237,6489r,-1248l9244,5249r8,l9252,6482r-8,l9237,6489xm9252,5249r-8,l9237,5241r15,l9252,5249xm8742,6489r-8,-7l8742,6482r,7xm9237,6489r-495,l8742,6482r495,l9237,6489xm9252,6489r-15,l9244,6482r8,l9252,648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61" style="position:absolute" from="8997,4889" to="8997,5261" strokeweight=".8pt"/>
            <v:shape id="_x0000_s1162" style="position:absolute;left:9721;top:5249;width:525;height:1263" coordorigin="9722,5250" coordsize="525,1263" o:spt="100" adj="0,,0" path="m10247,6513r-525,l9722,5250r525,l10247,5257r-510,l9729,5265r8,l9737,6498r-8,l9737,6505r510,l10247,6513xm9737,5265r-8,l9737,5257r,8xm10232,5265r-495,l9737,5257r495,l10232,5265xm10232,6505r,-1248l10239,5265r8,l10247,6498r-8,l10232,6505xm10247,5265r-8,l10232,5257r15,l10247,5265xm9737,6505r-8,-7l9737,6498r,7xm10232,6505r-495,l9737,6498r495,l10232,6505xm10247,6505r-15,l10239,6498r8,l10247,6505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63" style="position:absolute" from="9993,4893" to="9993,5263" strokeweight="1.4pt"/>
            <v:line id="_x0000_s1164" style="position:absolute" from="8998,4576" to="8998,4949" strokeweight=".8pt"/>
            <v:shape id="_x0000_s1165" style="position:absolute;left:2557;top:5212;width:525;height:1406" coordorigin="2558,5213" coordsize="525,1406" o:spt="100" adj="0,,0" path="m3083,6619r-525,l2558,5213r525,l3083,5220r-510,l2565,5228r8,l2573,6604r-8,l2573,6611r510,l3083,6619xm2573,5228r-8,l2573,5220r,8xm3068,5228r-495,l2573,5220r495,l3068,5228xm3068,6611r,-1391l3075,5228r8,l3083,6604r-8,l3068,6611xm3083,5228r-8,l3068,5220r15,l3083,5228xm2573,6611r-8,-7l2573,6604r,7xm3068,6611r-495,l2573,6604r495,l3068,6611xm3083,6611r-15,l3075,6604r8,l3083,6611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166" style="position:absolute" from="2838,4833" to="2838,5240" strokeweight=".85pt"/>
            <v:shape id="_x0000_s1167" style="position:absolute;left:8613;top:2716;width:870;height:468" coordorigin="8613,2716" coordsize="870,468" path="m9048,3184r-100,-6l8857,3161r-81,-28l8709,3097r-52,-44l8613,2950r11,-53l8709,2804r67,-36l8857,2740r91,-17l9048,2716r100,7l9239,2740r81,28l9387,2804r52,44l9482,2951r-11,53l9387,3097r-67,36l9239,3161r-91,17l9048,3184xe" stroked="f">
              <v:path arrowok="t"/>
            </v:shape>
            <v:shape id="_x0000_s1168" style="position:absolute;left:8605;top:2708;width:885;height:482" coordorigin="8606,2709" coordsize="885,482" o:spt="100" adj="0,,0" path="m9115,3189r-134,l8960,3187r-22,-4l8917,3181r-40,-8l8858,3167r-19,-4l8820,3157r-18,-6l8785,3143r-17,-6l8752,3129r-15,-8l8722,3113r-14,-8l8695,3095r-12,-8l8671,3077r-11,-10l8650,3055r-9,-10l8633,3035r-7,-12l8620,3011r-3,-6l8615,2999r-2,-6l8611,2987r-2,-6l8608,2975r-1,-6l8606,2963r,-8l8606,2943r,-6l8607,2931r1,-6l8609,2917r2,-6l8613,2905r2,-6l8617,2893r3,-6l8626,2877r7,-12l8641,2853r9,-10l8660,2833r11,-10l8683,2813r12,-10l8708,2795r14,-10l8737,2777r15,-8l8768,2763r17,-8l8802,2749r18,-6l8858,2731r80,-16l9003,2709r90,l9158,2715r41,8l9026,2723r-22,2l8982,2725r-21,2l8961,2727r-21,4l8940,2731r-20,2l8920,2733r-20,4l8900,2737r-20,4l8880,2741r-19,4l8861,2745r-18,6l8843,2751r-18,6l8825,2757r-18,6l8807,2763r-17,6l8791,2769r-17,6l8774,2775r-15,8l8759,2783r-15,8l8744,2791r-14,8l8730,2799r-14,8l8717,2807r-13,8l8704,2815r-12,10l8692,2825r-11,8l8681,2833r-10,10l8671,2843r-10,10l8662,2853r-9,10l8653,2863r-8,10l8646,2873r-7,10l8639,2883r-6,12l8634,2895r-3,4l8631,2899r-2,6l8629,2905r-2,6l8627,2911r-1,4l8625,2915r-1,6l8624,2921r-1,6l8623,2927r-1,6l8622,2933r-1,4l8621,2937r,6l8621,2955r,6l8621,2961r1,6l8622,2967r1,6l8623,2973r1,4l8624,2977r1,6l8625,2983r2,6l8627,2989r2,6l8630,2995r1,4l8631,2999r3,6l8633,3005r6,10l8639,3015r7,10l8645,3025r8,12l8654,3037r8,10l8663,3047r8,8l8671,3055r10,10l8681,3065r11,10l8692,3075r12,8l8704,3083r13,10l8719,3093r11,8l8730,3101r14,8l8744,3109r15,8l8763,3117r11,6l8774,3123r17,8l8790,3131r17,6l8807,3137r18,6l8825,3143r18,6l8843,3149r18,4l8861,3153r19,4l8880,3157r20,4l8900,3161r20,4l8920,3165r20,4l8940,3169r21,2l8961,3171r21,2l8982,3173r22,2l9209,3175r-30,6l9158,3183r-22,4l9115,3189xm9471,2917r-2,-6l9469,2911r-2,-6l9467,2905r-2,-6l9465,2899r-3,-4l9463,2895r-6,-12l9457,2883r-7,-10l9451,2873r-8,-10l9443,2863r-9,-10l9435,2853r-10,-10l9425,2843r-10,-10l9415,2833r-11,-8l9404,2825r-12,-10l9392,2815r-13,-8l9380,2807r-14,-8l9366,2799r-14,-8l9352,2791r-15,-8l9337,2783r-15,-8l9322,2775r-17,-6l9306,2769r-17,-6l9289,2763r-18,-6l9271,2757r-18,-6l9253,2751r-18,-6l9235,2745r-19,-4l9216,2741r-20,-4l9196,2737r-20,-4l9176,2733r-20,-2l9156,2731r-21,-4l9135,2727r-21,-2l9092,2725r-22,-2l9199,2723r39,8l9276,2743r18,6l9311,2755r17,8l9344,2769r15,8l9374,2785r14,10l9401,2803r12,10l9425,2823r11,10l9446,2843r9,10l9463,2865r7,12l9476,2887r3,6l9481,2899r2,6l9485,2911r1,4l9471,2915r,2xm8625,2917r,-2l8626,2915r-1,2xm9475,2939r-1,-6l9474,2933r-1,-6l9473,2927r-1,-6l9472,2921r-1,-6l9486,2915r1,2l9488,2925r1,6l9490,2937r-15,l9475,2939xm8621,2939r,-2l8621,2937r,2xm9488,2973r-15,l9474,2967r,l9475,2961r,l9475,2955r,-12l9475,2943r,-6l9490,2937r,6l9490,2955r,8l9489,2969r-1,4xm8623,2973r,l8623,2971r,2xm9483,2995r-16,l9469,2989r,l9471,2983r,l9472,2977r,l9473,2971r,2l9488,2973r,2l9487,2981r-2,6l9483,2993r,2xm8630,2995r-1,l8629,2993r1,2xm9461,3037r-18,l9451,3025r-1,l9457,3015r,l9463,3005r-1,l9465,2999r,l9467,2993r,2l9483,2995r-2,4l9479,3005r-3,6l9470,3023r-7,12l9461,3037xm8654,3037r-1,l8653,3035r1,2xm9453,3047r-19,l9443,3035r,2l9461,3037r-6,8l9453,3047xm8663,3047r-1,l8661,3045r2,2xm9404,3093r-25,l9392,3083r,l9404,3075r,l9415,3065r,l9425,3055r,l9435,3045r-1,2l9453,3047r-7,8l9436,3067r-11,10l9413,3087r-9,6xm8719,3093r-2,l8716,3091r3,2xm9366,3117r-29,l9352,3109r,l9366,3101r,l9380,3091r-1,2l9404,3093r-3,2l9388,3105r-14,8l9366,3117xm8763,3117r-4,l8759,3115r4,2xm9209,3175r-117,l9114,3173r,l9135,3171r,l9156,3169r,l9176,3165r,l9196,3161r,l9216,3157r,l9235,3153r,l9253,3149r,l9271,3143r,l9289,3137r,l9306,3131r-1,l9322,3123r,l9337,3115r,2l9366,3117r-7,4l9344,3129r-16,8l9311,3143r-17,8l9276,3157r-19,6l9238,3167r-19,6l9209,3175xm9071,3191r-46,l9003,3189r90,l9071,3191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169" type="#_x0000_t202" style="position:absolute;left:5124;top:254;width:1460;height:240" filled="f" stroked="f">
              <v:textbox inset="0,0,0,0">
                <w:txbxContent>
                  <w:p w:rsidR="00B04AE3" w:rsidRDefault="00B04AE3">
                    <w:pPr>
                      <w:spacing w:line="240" w:lineRule="exact"/>
                      <w:rPr>
                        <w:sz w:val="24"/>
                      </w:rPr>
                    </w:pPr>
                    <w:r>
                      <w:rPr>
                        <w:rFonts w:hint="eastAsia"/>
                      </w:rPr>
                      <w:t>顶端事故发生</w:t>
                    </w:r>
                  </w:p>
                </w:txbxContent>
              </v:textbox>
            </v:shape>
            <v:shape id="_x0000_s1170" type="#_x0000_t202" style="position:absolute;left:5889;top:1007;width:156;height:266" filled="f" stroked="f">
              <v:textbox inset="0,0,0,0">
                <w:txbxContent>
                  <w:p w:rsidR="00B04AE3" w:rsidRDefault="00B04AE3">
                    <w:pPr>
                      <w:spacing w:line="266" w:lineRule="exact"/>
                      <w:rPr>
                        <w:rFonts w:ascii="Times New Roman"/>
                        <w:sz w:val="24"/>
                      </w:rPr>
                    </w:pPr>
                    <w:r>
                      <w:rPr>
                        <w:rFonts w:ascii="Times New Roman"/>
                      </w:rPr>
                      <w:t>+</w:t>
                    </w:r>
                  </w:p>
                </w:txbxContent>
              </v:textbox>
            </v:shape>
            <v:shape id="_x0000_s1171" type="#_x0000_t202" style="position:absolute;left:2738;top:2040;width:980;height:240" filled="f" stroked="f">
              <v:textbox inset="0,0,0,0">
                <w:txbxContent>
                  <w:p w:rsidR="00B04AE3" w:rsidRDefault="00B04AE3">
                    <w:pPr>
                      <w:spacing w:line="240" w:lineRule="exact"/>
                      <w:rPr>
                        <w:sz w:val="24"/>
                      </w:rPr>
                    </w:pPr>
                    <w:r>
                      <w:rPr>
                        <w:rFonts w:hint="eastAsia"/>
                      </w:rPr>
                      <w:t>泄漏事故</w:t>
                    </w:r>
                  </w:p>
                </w:txbxContent>
              </v:textbox>
            </v:shape>
            <v:shape id="_x0000_s1172" type="#_x0000_t202" style="position:absolute;left:8229;top:2023;width:1460;height:240" filled="f" stroked="f">
              <v:textbox inset="0,0,0,0">
                <w:txbxContent>
                  <w:p w:rsidR="00B04AE3" w:rsidRDefault="00B04AE3">
                    <w:pPr>
                      <w:spacing w:line="240" w:lineRule="exact"/>
                      <w:rPr>
                        <w:sz w:val="24"/>
                      </w:rPr>
                    </w:pPr>
                    <w:r>
                      <w:rPr>
                        <w:rFonts w:hint="eastAsia"/>
                      </w:rPr>
                      <w:t>火灾爆炸事故</w:t>
                    </w:r>
                  </w:p>
                </w:txbxContent>
              </v:textbox>
            </v:shape>
            <v:shape id="_x0000_s1173" type="#_x0000_t202" style="position:absolute;left:8966;top:2877;width:260;height:240" filled="f" stroked="f">
              <v:textbox inset="0,0,0,0">
                <w:txbxContent>
                  <w:p w:rsidR="00B04AE3" w:rsidRDefault="00B04AE3">
                    <w:pPr>
                      <w:spacing w:line="240" w:lineRule="exact"/>
                      <w:rPr>
                        <w:sz w:val="24"/>
                      </w:rPr>
                    </w:pPr>
                    <w:r>
                      <w:t>—</w:t>
                    </w:r>
                  </w:p>
                </w:txbxContent>
              </v:textbox>
            </v:shape>
            <v:shape id="_x0000_s1174" type="#_x0000_t202" style="position:absolute;left:2484;top:3473;width:1460;height:240" filled="f" stroked="f">
              <v:textbox inset="0,0,0,0">
                <w:txbxContent>
                  <w:p w:rsidR="00B04AE3" w:rsidRDefault="00B04AE3">
                    <w:pPr>
                      <w:spacing w:line="240" w:lineRule="exact"/>
                      <w:rPr>
                        <w:sz w:val="24"/>
                      </w:rPr>
                    </w:pPr>
                    <w:r>
                      <w:rPr>
                        <w:rFonts w:hint="eastAsia"/>
                      </w:rPr>
                      <w:t>化学物质泄漏</w:t>
                    </w:r>
                  </w:p>
                </w:txbxContent>
              </v:textbox>
            </v:shape>
            <v:shape id="_x0000_s1175" type="#_x0000_t202" style="position:absolute;left:8616;top:3473;width:740;height:240" filled="f" stroked="f">
              <v:textbox inset="0,0,0,0">
                <w:txbxContent>
                  <w:p w:rsidR="00B04AE3" w:rsidRDefault="00B04AE3">
                    <w:pPr>
                      <w:tabs>
                        <w:tab w:val="left" w:pos="479"/>
                      </w:tabs>
                      <w:spacing w:line="240" w:lineRule="exact"/>
                      <w:rPr>
                        <w:sz w:val="24"/>
                      </w:rPr>
                    </w:pPr>
                    <w:r>
                      <w:rPr>
                        <w:rFonts w:hint="eastAsia"/>
                      </w:rPr>
                      <w:t>火</w:t>
                    </w:r>
                    <w:r>
                      <w:rPr>
                        <w:sz w:val="24"/>
                      </w:rPr>
                      <w:tab/>
                    </w:r>
                    <w:r>
                      <w:rPr>
                        <w:rFonts w:hint="eastAsia"/>
                        <w:sz w:val="24"/>
                      </w:rPr>
                      <w:t>源</w:t>
                    </w:r>
                  </w:p>
                </w:txbxContent>
              </v:textbox>
            </v:shape>
            <v:shape id="_x0000_s1176" type="#_x0000_t202" style="position:absolute;left:2997;top:4252;width:156;height:266" filled="f" stroked="f">
              <v:textbox inset="0,0,0,0">
                <w:txbxContent>
                  <w:p w:rsidR="00B04AE3" w:rsidRDefault="00B04AE3">
                    <w:pPr>
                      <w:spacing w:line="266" w:lineRule="exact"/>
                      <w:rPr>
                        <w:rFonts w:ascii="Times New Roman"/>
                        <w:sz w:val="24"/>
                      </w:rPr>
                    </w:pPr>
                    <w:r>
                      <w:rPr>
                        <w:rFonts w:ascii="Times New Roman"/>
                      </w:rPr>
                      <w:t>+</w:t>
                    </w:r>
                  </w:p>
                </w:txbxContent>
              </v:textbox>
            </v:shape>
            <v:shape id="_x0000_s1177" type="#_x0000_t202" style="position:absolute;left:8906;top:4283;width:156;height:266" filled="f" stroked="f">
              <v:textbox inset="0,0,0,0">
                <w:txbxContent>
                  <w:p w:rsidR="00B04AE3" w:rsidRDefault="00B04AE3">
                    <w:pPr>
                      <w:spacing w:line="266" w:lineRule="exact"/>
                      <w:rPr>
                        <w:rFonts w:ascii="Times New Roman"/>
                        <w:sz w:val="24"/>
                      </w:rPr>
                    </w:pPr>
                    <w:r>
                      <w:rPr>
                        <w:rFonts w:ascii="Times New Roman"/>
                      </w:rPr>
                      <w:t>+</w:t>
                    </w:r>
                  </w:p>
                </w:txbxContent>
              </v:textbox>
            </v:shape>
            <v:shape id="_x0000_s1178" type="#_x0000_t202" style="position:absolute;left:1932;top:5273;width:260;height:1080" filled="f" stroked="f">
              <v:textbox inset="0,0,0,0">
                <w:txbxContent>
                  <w:p w:rsidR="00B04AE3" w:rsidRDefault="00B04AE3">
                    <w:pPr>
                      <w:spacing w:line="218" w:lineRule="auto"/>
                      <w:ind w:right="18"/>
                      <w:jc w:val="both"/>
                      <w:rPr>
                        <w:sz w:val="24"/>
                      </w:rPr>
                    </w:pPr>
                    <w:r>
                      <w:rPr>
                        <w:rFonts w:hint="eastAsia"/>
                      </w:rPr>
                      <w:t>阀门破裂</w:t>
                    </w:r>
                  </w:p>
                </w:txbxContent>
              </v:textbox>
            </v:shape>
            <v:shape id="_x0000_s1179" type="#_x0000_t202" style="position:absolute;left:2716;top:5318;width:260;height:1080" filled="f" stroked="f">
              <v:textbox inset="0,0,0,0">
                <w:txbxContent>
                  <w:p w:rsidR="00B04AE3" w:rsidRDefault="00B04AE3">
                    <w:pPr>
                      <w:spacing w:line="218" w:lineRule="auto"/>
                      <w:ind w:right="18"/>
                      <w:jc w:val="both"/>
                      <w:rPr>
                        <w:sz w:val="24"/>
                      </w:rPr>
                    </w:pPr>
                    <w:r>
                      <w:rPr>
                        <w:rFonts w:hint="eastAsia"/>
                      </w:rPr>
                      <w:t>管道破裂</w:t>
                    </w:r>
                  </w:p>
                </w:txbxContent>
              </v:textbox>
            </v:shape>
            <v:shape id="_x0000_s1180" type="#_x0000_t202" style="position:absolute;left:3693;top:5304;width:260;height:1080" filled="f" stroked="f">
              <v:textbox inset="0,0,0,0">
                <w:txbxContent>
                  <w:p w:rsidR="00B04AE3" w:rsidRDefault="00B04AE3">
                    <w:pPr>
                      <w:spacing w:line="218" w:lineRule="auto"/>
                      <w:ind w:right="18"/>
                      <w:jc w:val="both"/>
                      <w:rPr>
                        <w:sz w:val="24"/>
                      </w:rPr>
                    </w:pPr>
                    <w:r>
                      <w:rPr>
                        <w:rFonts w:hint="eastAsia"/>
                      </w:rPr>
                      <w:t>机泵损坏</w:t>
                    </w:r>
                  </w:p>
                </w:txbxContent>
              </v:textbox>
            </v:shape>
            <v:shape id="_x0000_s1181" type="#_x0000_t202" style="position:absolute;left:4468;top:5285;width:260;height:1080" filled="f" stroked="f">
              <v:textbox inset="0,0,0,0">
                <w:txbxContent>
                  <w:p w:rsidR="00B04AE3" w:rsidRDefault="00B04AE3">
                    <w:pPr>
                      <w:spacing w:line="218" w:lineRule="auto"/>
                      <w:ind w:right="18"/>
                      <w:jc w:val="both"/>
                      <w:rPr>
                        <w:sz w:val="24"/>
                      </w:rPr>
                    </w:pPr>
                    <w:r>
                      <w:rPr>
                        <w:rFonts w:hint="eastAsia"/>
                      </w:rPr>
                      <w:t>密封不严</w:t>
                    </w:r>
                  </w:p>
                </w:txbxContent>
              </v:textbox>
            </v:shape>
            <v:shape id="_x0000_s1182" type="#_x0000_t202" style="position:absolute;left:7744;top:5354;width:260;height:1080" filled="f" stroked="f">
              <v:textbox inset="0,0,0,0">
                <w:txbxContent>
                  <w:p w:rsidR="00B04AE3" w:rsidRDefault="00B04AE3">
                    <w:pPr>
                      <w:spacing w:line="218" w:lineRule="auto"/>
                      <w:ind w:right="18"/>
                      <w:jc w:val="both"/>
                      <w:rPr>
                        <w:sz w:val="24"/>
                      </w:rPr>
                    </w:pPr>
                    <w:r>
                      <w:rPr>
                        <w:rFonts w:hint="eastAsia"/>
                      </w:rPr>
                      <w:t>产生明火</w:t>
                    </w:r>
                  </w:p>
                </w:txbxContent>
              </v:textbox>
            </v:shape>
            <v:shape id="_x0000_s1183" type="#_x0000_t202" style="position:absolute;left:8884;top:5621;width:260;height:519" filled="f" stroked="f">
              <v:textbox inset="0,0,0,0">
                <w:txbxContent>
                  <w:p w:rsidR="00B04AE3" w:rsidRDefault="00B04AE3">
                    <w:pPr>
                      <w:spacing w:line="218" w:lineRule="auto"/>
                      <w:ind w:right="18"/>
                      <w:rPr>
                        <w:sz w:val="24"/>
                      </w:rPr>
                    </w:pPr>
                    <w:r>
                      <w:rPr>
                        <w:rFonts w:hint="eastAsia"/>
                      </w:rPr>
                      <w:t>静电</w:t>
                    </w:r>
                  </w:p>
                </w:txbxContent>
              </v:textbox>
            </v:shape>
            <v:shape id="_x0000_s1184" type="#_x0000_t202" style="position:absolute;left:9880;top:5635;width:260;height:521" filled="f" stroked="f">
              <v:textbox inset="0,0,0,0">
                <w:txbxContent>
                  <w:p w:rsidR="00B04AE3" w:rsidRDefault="00B04AE3">
                    <w:pPr>
                      <w:spacing w:line="218" w:lineRule="auto"/>
                      <w:ind w:right="18"/>
                      <w:rPr>
                        <w:sz w:val="24"/>
                      </w:rPr>
                    </w:pPr>
                    <w:r>
                      <w:rPr>
                        <w:rFonts w:hint="eastAsia"/>
                      </w:rPr>
                      <w:t>雷电</w:t>
                    </w:r>
                  </w:p>
                </w:txbxContent>
              </v:textbox>
            </v:shape>
            <w10:wrap type="topAndBottom" anchorx="page"/>
          </v:group>
        </w:pict>
      </w:r>
    </w:p>
    <w:p w:rsidR="00B04AE3" w:rsidRDefault="00B04AE3">
      <w:pPr>
        <w:pStyle w:val="BodyText"/>
        <w:spacing w:before="4"/>
        <w:rPr>
          <w:sz w:val="20"/>
        </w:rPr>
      </w:pPr>
    </w:p>
    <w:p w:rsidR="00B04AE3" w:rsidRDefault="00B04AE3">
      <w:pPr>
        <w:rPr>
          <w:sz w:val="20"/>
        </w:rPr>
        <w:sectPr w:rsidR="00B04AE3">
          <w:footerReference w:type="default" r:id="rId24"/>
          <w:pgSz w:w="11910" w:h="16840"/>
          <w:pgMar w:top="1340" w:right="1460" w:bottom="1180" w:left="1460" w:header="878" w:footer="993" w:gutter="0"/>
          <w:cols w:space="720"/>
        </w:sectPr>
      </w:pPr>
    </w:p>
    <w:p w:rsidR="00B04AE3" w:rsidRDefault="00B04AE3">
      <w:pPr>
        <w:pStyle w:val="BodyText"/>
        <w:tabs>
          <w:tab w:val="left" w:pos="2792"/>
        </w:tabs>
        <w:spacing w:before="66"/>
        <w:ind w:left="745"/>
        <w:rPr>
          <w:rFonts w:ascii="Times New Roman" w:eastAsia="Times New Roman"/>
        </w:rPr>
      </w:pPr>
      <w:r>
        <w:rPr>
          <w:noProof/>
          <w:lang w:val="en-US"/>
        </w:rPr>
        <w:pict>
          <v:group id="_x0000_s1185" style="position:absolute;left:0;text-align:left;margin-left:184.05pt;margin-top:0;width:228.6pt;height:51.05pt;z-index:-251639296;mso-position-horizontal-relative:page" coordorigin="3682,-1" coordsize="4572,1021">
            <v:shape id="_x0000_s1186" style="position:absolute;left:3890;top:-1;width:885;height:482" coordorigin="3891,-1" coordsize="885,482" o:spt="100" adj="0,,0" path="m4400,479r-134,l4245,477r-22,-4l4202,471r-40,-8l4143,457r-19,-4l4105,447r-18,-6l4070,433r-17,-6l4037,419r-15,-8l4007,403r-14,-8l3980,385r-12,-8l3956,367r-11,-10l3935,345r-9,-10l3918,325r-7,-12l3905,301r-3,-6l3900,289r-2,-6l3896,277r-2,-6l3893,265r-1,-6l3891,253r,-8l3891,233r,-6l3892,221r1,-6l3894,207r2,-6l3898,195r2,-6l3902,183r3,-6l3911,167r7,-12l3926,143r9,-10l3945,123r11,-10l3968,103r12,-10l3993,85r14,-10l4022,67r15,-8l4053,53r17,-8l4087,39r18,-6l4143,21,4223,5r65,-6l4378,-1r65,6l4484,13r-173,l4289,15r-22,l4246,17r,l4225,21r,l4205,23r,l4185,27r,l4165,31r,l4146,35r,l4128,41r,l4110,47r,l4092,53r,l4075,59r1,l4059,65r,l4044,73r,l4029,81r,l4015,89r,l4001,97r1,l3989,105r,l3977,115r,l3966,123r,l3956,133r,l3946,143r1,l3938,153r,l3930,163r1,l3924,173r,l3918,185r1,l3916,189r,l3914,195r,l3912,201r,l3911,205r-1,l3909,211r,l3908,217r,l3907,223r,l3906,227r,l3906,233r,l3906,245r,6l3906,251r1,6l3907,257r1,6l3908,263r1,4l3909,267r1,6l3910,273r2,6l3912,279r2,6l3915,285r1,4l3916,289r3,6l3918,295r6,10l3924,305r7,10l3930,315r8,12l3939,327r8,10l3948,337r8,8l3956,345r10,10l3966,355r11,10l3977,365r12,8l3989,373r13,10l4004,383r11,8l4015,391r14,8l4029,399r15,8l4048,407r11,6l4059,413r17,8l4075,421r17,6l4092,427r18,6l4110,433r18,6l4128,439r18,4l4146,443r19,4l4165,447r20,4l4185,451r20,4l4205,455r20,4l4225,459r21,2l4246,461r21,2l4267,463r22,2l4494,465r-30,6l4443,473r-22,4l4400,479xm4756,207r-2,-6l4754,201r-2,-6l4752,195r-2,-6l4750,189r-3,-4l4748,185r-6,-12l4742,173r-7,-10l4736,163r-8,-10l4728,153r-9,-10l4720,143r-10,-10l4710,133r-10,-10l4700,123r-11,-8l4689,115r-12,-10l4677,105r-13,-8l4665,97r-14,-8l4651,89r-14,-8l4637,81r-15,-8l4622,73r-15,-8l4607,65r-17,-6l4591,59r-17,-6l4574,53r-18,-6l4556,47r-18,-6l4538,41r-18,-6l4520,35r-19,-4l4501,31r-20,-4l4481,27r-20,-4l4461,23r-20,-2l4441,21r-21,-4l4420,17r-21,-2l4377,15r-22,-2l4484,13r39,8l4561,33r18,6l4596,45r17,8l4629,59r15,8l4659,75r14,10l4686,93r12,10l4710,113r11,10l4731,133r9,10l4748,155r7,12l4761,177r3,6l4766,189r2,6l4770,201r1,4l4756,205r,2xm3910,207r,-2l3911,205r-1,2xm4760,229r-1,-6l4759,223r-1,-6l4758,217r-1,-6l4757,211r-1,-6l4771,205r1,2l4773,215r1,6l4775,227r-15,l4760,229xm3906,229r,-2l3906,227r,2xm4773,263r-15,l4759,257r,l4760,251r,l4760,245r,-12l4760,233r,-6l4775,227r,6l4775,245r,8l4774,259r-1,4xm3908,263r,l3908,261r,2xm4768,285r-16,l4754,279r,l4756,273r,l4757,267r,l4758,261r,2l4773,263r,2l4772,271r-2,6l4768,283r,2xm3915,285r-1,l3914,283r1,2xm4746,327r-18,l4736,315r-1,l4742,305r,l4748,295r-1,l4750,289r,l4752,283r,2l4768,285r-2,4l4764,295r-3,6l4755,313r-7,12l4746,327xm3939,327r-1,l3938,325r1,2xm4738,337r-19,l4728,325r,2l4746,327r-6,8l4738,337xm3948,337r-1,l3946,335r2,2xm4689,383r-25,l4677,373r,l4689,365r,l4700,355r,l4710,345r,l4720,335r-1,2l4738,337r-7,8l4721,357r-11,10l4698,377r-9,6xm4004,383r-2,l4001,381r3,2xm4651,407r-29,l4637,399r,l4651,391r,l4665,381r-1,2l4689,383r-3,2l4673,395r-14,8l4651,407xm4048,407r-4,l4044,405r4,2xm4494,465r-117,l4399,463r,l4420,461r,l4441,459r,l4461,455r,l4481,451r,l4501,447r,l4520,443r,l4538,439r,l4556,433r,l4574,427r,l4591,421r-1,l4607,413r,l4622,405r,2l4651,407r-7,4l4629,419r-16,8l4596,433r-17,8l4561,447r-19,6l4523,457r-19,6l4494,465xm4356,481r-46,l4288,479r90,l4356,481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87" style="position:absolute;left:3681;top:463;width:4572;height:557" stroked="f"/>
            <w10:wrap anchorx="page"/>
          </v:group>
        </w:pict>
      </w:r>
      <w:r>
        <w:rPr>
          <w:rFonts w:hint="eastAsia"/>
        </w:rPr>
        <w:t>表示逻辑或门</w:t>
      </w:r>
      <w:r>
        <w:tab/>
      </w:r>
      <w:r>
        <w:rPr>
          <w:rFonts w:ascii="Times New Roman" w:eastAsia="Times New Roman"/>
          <w:position w:val="-4"/>
        </w:rPr>
        <w:t>+</w:t>
      </w:r>
    </w:p>
    <w:p w:rsidR="00B04AE3" w:rsidRDefault="00B04AE3">
      <w:pPr>
        <w:pStyle w:val="BodyText"/>
        <w:spacing w:before="66"/>
        <w:ind w:left="745"/>
      </w:pPr>
      <w:r>
        <w:br w:type="column"/>
      </w:r>
      <w:r>
        <w:rPr>
          <w:rFonts w:hint="eastAsia"/>
        </w:rPr>
        <w:t>表示逻辑或门</w:t>
      </w:r>
    </w:p>
    <w:p w:rsidR="00B04AE3" w:rsidRDefault="00B04AE3">
      <w:pPr>
        <w:sectPr w:rsidR="00B04AE3">
          <w:type w:val="continuous"/>
          <w:pgSz w:w="11910" w:h="16840"/>
          <w:pgMar w:top="60" w:right="1460" w:bottom="0" w:left="1460" w:header="720" w:footer="720" w:gutter="0"/>
          <w:cols w:num="2" w:space="720" w:equalWidth="0">
            <w:col w:w="2969" w:space="1747"/>
            <w:col w:w="4274"/>
          </w:cols>
        </w:sectPr>
      </w:pPr>
    </w:p>
    <w:p w:rsidR="00B04AE3" w:rsidRDefault="00B04AE3">
      <w:pPr>
        <w:spacing w:before="114"/>
        <w:ind w:left="2608"/>
        <w:rPr>
          <w:b/>
          <w:sz w:val="24"/>
        </w:rPr>
      </w:pPr>
      <w:r>
        <w:rPr>
          <w:noProof/>
          <w:lang w:val="en-US"/>
        </w:rPr>
        <w:pict>
          <v:group id="_x0000_s1188" style="position:absolute;left:0;text-align:left;margin-left:430.25pt;margin-top:-20.4pt;width:44.25pt;height:24.1pt;z-index:251655680;mso-position-horizontal-relative:page" coordorigin="8606,-408" coordsize="885,482">
            <v:shape id="_x0000_s1189" style="position:absolute;left:8605;top:-409;width:885;height:482" coordorigin="8606,-408" coordsize="885,482" o:spt="100" adj="0,,0" path="m9115,72r-134,l8960,70r-22,-4l8917,64r-40,-8l8858,50r-19,-4l8820,40r-18,-6l8785,26r-17,-6l8752,12,8737,4r-15,-8l8708,-12r-13,-10l8683,-30r-12,-10l8660,-50r-10,-12l8641,-72r-8,-10l8626,-94r-6,-12l8617,-112r-2,-6l8613,-124r-2,-6l8609,-136r-1,-6l8607,-148r-1,-6l8606,-162r,-12l8606,-180r1,-6l8608,-192r1,-8l8611,-206r2,-6l8615,-218r2,-6l8620,-230r6,-10l8633,-252r8,-12l8650,-274r10,-10l8671,-294r12,-10l8695,-314r13,-8l8722,-332r15,-8l8752,-348r16,-6l8785,-362r17,-6l8820,-374r38,-12l8938,-402r65,-6l9093,-408r65,6l9199,-394r-173,l9004,-392r-22,l8961,-390r,l8940,-386r,l8920,-384r,l8900,-380r,l8880,-376r,l8861,-372r,l8843,-366r,l8825,-360r,l8807,-354r,l8790,-348r1,l8774,-342r,l8759,-334r,l8744,-326r,l8730,-318r,l8716,-310r1,l8704,-302r,l8692,-292r,l8681,-284r,l8671,-274r,l8661,-264r1,l8653,-254r,l8645,-244r1,l8639,-234r,l8633,-222r1,l8631,-218r,l8629,-212r,l8627,-206r,l8626,-202r-1,l8624,-196r,l8623,-190r,l8622,-184r,l8621,-180r,l8621,-174r,12l8621,-156r,l8622,-150r,l8623,-144r,l8624,-140r,l8625,-134r,l8627,-128r,l8629,-122r1,l8631,-118r,l8634,-112r-1,l8639,-102r,l8646,-92r-1,l8653,-80r1,l8662,-70r1,l8671,-62r,l8681,-52r,l8692,-42r,l8704,-34r,l8717,-24r2,l8730,-16r,l8744,-8r,l8759,r4,l8774,6r,l8791,14r-1,l8807,20r,l8825,26r,l8843,32r,l8861,36r,l8880,40r,l8900,44r,l8920,48r,l8940,52r,l8961,54r,l8982,56r,l9004,58r205,l9179,64r-21,2l9136,70r-21,2xm9471,-200r-2,-6l9469,-206r-2,-6l9467,-212r-2,-6l9465,-218r-3,-4l9463,-222r-6,-12l9457,-234r-7,-10l9451,-244r-8,-10l9443,-254r-9,-10l9435,-264r-10,-10l9425,-274r-10,-10l9415,-284r-11,-8l9404,-292r-12,-10l9392,-302r-13,-8l9380,-310r-14,-8l9366,-318r-14,-8l9352,-326r-15,-8l9337,-334r-15,-8l9322,-342r-17,-6l9306,-348r-17,-6l9289,-354r-18,-6l9271,-360r-18,-6l9253,-366r-18,-6l9235,-372r-19,-4l9216,-376r-20,-4l9196,-380r-20,-4l9176,-384r-20,-2l9156,-386r-21,-4l9135,-390r-21,-2l9092,-392r-22,-2l9199,-394r39,8l9276,-374r18,6l9311,-362r17,8l9344,-348r15,8l9374,-332r14,10l9401,-314r12,10l9425,-294r11,10l9446,-274r9,10l9463,-252r7,12l9476,-230r3,6l9481,-218r2,6l9485,-206r1,4l9471,-202r,2xm8625,-200r,-2l8626,-202r-1,2xm9475,-178r-1,-6l9474,-184r-1,-6l9473,-190r-1,-6l9472,-196r-1,-6l9486,-202r1,2l9488,-192r1,6l9490,-180r-15,l9475,-178xm8621,-178r,-2l8621,-180r,2xm9488,-144r-15,l9474,-150r,l9475,-156r,l9475,-162r,-12l9475,-174r,-6l9490,-180r,6l9490,-162r,8l9489,-148r-1,4xm8623,-144r,l8623,-146r,2xm9483,-122r-16,l9469,-128r,l9471,-134r,l9472,-140r,l9473,-146r,2l9488,-144r,2l9487,-136r-2,6l9483,-124r,2xm8630,-122r-1,l8629,-124r1,2xm9461,-80r-18,l9451,-92r-1,l9457,-102r,l9463,-112r-1,l9465,-118r,l9467,-124r,2l9483,-122r-2,4l9479,-112r-3,6l9470,-94r-7,12l9461,-80xm8654,-80r-1,l8653,-82r1,2xm9453,-70r-19,l9443,-82r,2l9461,-80r-6,8l9453,-70xm8663,-70r-1,l8661,-72r2,2xm9404,-24r-25,l9392,-34r,l9404,-42r,l9415,-52r,l9425,-62r,l9435,-72r-1,2l9453,-70r-7,8l9436,-50r-11,10l9413,-30r-9,6xm8719,-24r-2,l8716,-26r3,2xm9366,r-29,l9352,-8r,l9366,-16r,l9380,-26r-1,2l9404,-24r-3,2l9388,-12r-14,8l9366,xm8763,r-4,l8759,-2r4,2xm9209,58r-117,l9114,56r,l9135,54r,l9156,52r,l9176,48r,l9196,44r,l9216,40r,l9235,36r,l9253,32r,l9271,26r,l9289,20r,l9306,14r-1,l9322,6r,l9337,-2r,2l9366,r-7,4l9344,12r-16,8l9311,26r-17,8l9276,40r-19,6l9238,50r-19,6l9209,58xm9071,74r-46,l9003,72r90,l9071,7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190" type="#_x0000_t202" style="position:absolute;left:8605;top:-409;width:885;height:482" filled="f" stroked="f">
              <v:textbox inset="0,0,0,0">
                <w:txbxContent>
                  <w:p w:rsidR="00B04AE3" w:rsidRDefault="00B04AE3">
                    <w:pPr>
                      <w:spacing w:before="133"/>
                      <w:ind w:left="360"/>
                      <w:rPr>
                        <w:sz w:val="24"/>
                      </w:rPr>
                    </w:pPr>
                    <w:r>
                      <w:rPr>
                        <w:sz w:val="24"/>
                      </w:rPr>
                      <w:t>—</w:t>
                    </w:r>
                  </w:p>
                </w:txbxContent>
              </v:textbox>
            </v:shape>
            <w10:wrap anchorx="page"/>
          </v:group>
        </w:pict>
      </w:r>
      <w:r>
        <w:rPr>
          <w:rFonts w:hint="eastAsia"/>
          <w:b/>
          <w:sz w:val="24"/>
        </w:rPr>
        <w:t>图</w:t>
      </w:r>
      <w:r>
        <w:rPr>
          <w:b/>
          <w:sz w:val="24"/>
        </w:rPr>
        <w:t xml:space="preserve"> </w:t>
      </w:r>
      <w:r>
        <w:rPr>
          <w:rFonts w:ascii="Times New Roman" w:eastAsia="Times New Roman"/>
          <w:b/>
          <w:sz w:val="24"/>
        </w:rPr>
        <w:t xml:space="preserve">3.2-1  </w:t>
      </w:r>
      <w:r>
        <w:rPr>
          <w:rFonts w:hint="eastAsia"/>
          <w:b/>
          <w:sz w:val="24"/>
        </w:rPr>
        <w:t>顶端事故与基本事件关联图</w:t>
      </w:r>
    </w:p>
    <w:p w:rsidR="00B04AE3" w:rsidRDefault="00B04AE3">
      <w:pPr>
        <w:rPr>
          <w:sz w:val="24"/>
        </w:rPr>
        <w:sectPr w:rsidR="00B04AE3">
          <w:type w:val="continuous"/>
          <w:pgSz w:w="11910" w:h="16840"/>
          <w:pgMar w:top="60" w:right="1460" w:bottom="0" w:left="1460" w:header="720" w:footer="720" w:gutter="0"/>
          <w:cols w:space="720"/>
        </w:sectPr>
      </w:pPr>
    </w:p>
    <w:p w:rsidR="00B04AE3" w:rsidRDefault="00B04AE3">
      <w:pPr>
        <w:pStyle w:val="BodyText"/>
        <w:spacing w:before="20" w:line="360" w:lineRule="auto"/>
        <w:ind w:left="334" w:right="334" w:firstLine="482"/>
        <w:jc w:val="both"/>
        <w:rPr>
          <w:spacing w:val="-6"/>
          <w:szCs w:val="22"/>
        </w:rPr>
      </w:pPr>
      <w:r>
        <w:rPr>
          <w:rFonts w:hint="eastAsia"/>
          <w:spacing w:val="-6"/>
          <w:szCs w:val="22"/>
        </w:rPr>
        <w:t>根据风险识别，公司存在危险化学品有液氮和硫酸、氢氧化钠、天然气在储运使用过程中易发生泄露风险事故。</w:t>
      </w:r>
    </w:p>
    <w:p w:rsidR="00B04AE3" w:rsidRDefault="00B04AE3">
      <w:pPr>
        <w:pStyle w:val="BodyText"/>
        <w:spacing w:before="20" w:line="360" w:lineRule="auto"/>
        <w:ind w:left="334" w:right="334" w:firstLine="482"/>
        <w:jc w:val="both"/>
        <w:rPr>
          <w:spacing w:val="-6"/>
          <w:szCs w:val="22"/>
        </w:rPr>
      </w:pPr>
      <w:r>
        <w:rPr>
          <w:rFonts w:hint="eastAsia"/>
          <w:spacing w:val="-6"/>
          <w:szCs w:val="22"/>
        </w:rPr>
        <w:t>天然气在生产中使用量较大，一旦其泄漏遇火源即燃烧；而且该物质极易与周围空气混合形成爆炸性混合物，如遇到火源就会引起火灾爆炸，其产生的爆炸冲击波及爆炸火球热辐射破坏、伤害作用大、危害范围大。</w:t>
      </w:r>
    </w:p>
    <w:p w:rsidR="00B04AE3" w:rsidRDefault="00B04AE3">
      <w:pPr>
        <w:pStyle w:val="BodyText"/>
        <w:spacing w:before="20" w:line="360" w:lineRule="auto"/>
        <w:ind w:left="334" w:right="334" w:firstLine="482"/>
        <w:jc w:val="both"/>
        <w:rPr>
          <w:spacing w:val="-6"/>
          <w:szCs w:val="22"/>
        </w:rPr>
      </w:pPr>
      <w:r>
        <w:rPr>
          <w:rFonts w:hint="eastAsia"/>
          <w:spacing w:val="-6"/>
          <w:szCs w:val="22"/>
        </w:rPr>
        <w:t>通过预危险分析，本项目中贮运、生产流程及装置为关键单元，属风险分析重点对象，根据以往同类事故调查分析，设定本项目最大可信事故为危险化学品泄漏事故。</w:t>
      </w:r>
    </w:p>
    <w:p w:rsidR="00B04AE3" w:rsidRDefault="00B04AE3">
      <w:pPr>
        <w:pStyle w:val="ListParagraph"/>
        <w:tabs>
          <w:tab w:val="left" w:pos="878"/>
        </w:tabs>
        <w:spacing w:before="117"/>
        <w:ind w:firstLine="0"/>
        <w:rPr>
          <w:b/>
          <w:sz w:val="24"/>
        </w:rPr>
      </w:pPr>
      <w:bookmarkStart w:id="69" w:name="3.2.4非正常工况后果分析"/>
      <w:bookmarkEnd w:id="69"/>
      <w:r>
        <w:rPr>
          <w:b/>
          <w:sz w:val="24"/>
          <w:lang w:val="en-US"/>
        </w:rPr>
        <w:t>3.2.2</w:t>
      </w:r>
      <w:r>
        <w:rPr>
          <w:rFonts w:hint="eastAsia"/>
          <w:b/>
          <w:sz w:val="24"/>
        </w:rPr>
        <w:t>非正常工况后果分析</w:t>
      </w:r>
    </w:p>
    <w:p w:rsidR="00B04AE3" w:rsidRDefault="00B04AE3">
      <w:pPr>
        <w:pStyle w:val="BodyText"/>
        <w:spacing w:before="20" w:line="360" w:lineRule="auto"/>
        <w:ind w:left="334" w:right="334" w:firstLine="482"/>
        <w:jc w:val="both"/>
        <w:rPr>
          <w:spacing w:val="-6"/>
          <w:szCs w:val="22"/>
        </w:rPr>
      </w:pPr>
      <w:r>
        <w:rPr>
          <w:rFonts w:hint="eastAsia"/>
          <w:spacing w:val="-6"/>
          <w:szCs w:val="22"/>
        </w:rPr>
        <w:t>南昌海立电器有限公司非正常工况主要考虑废气处理设备故障导致废气处理效率下降，导致废气污染因子超标，直接排入外环境。出现非正常工况时，</w:t>
      </w:r>
      <w:r>
        <w:rPr>
          <w:spacing w:val="-6"/>
          <w:szCs w:val="22"/>
        </w:rPr>
        <w:t xml:space="preserve"> </w:t>
      </w:r>
      <w:r>
        <w:rPr>
          <w:rFonts w:hint="eastAsia"/>
          <w:spacing w:val="-6"/>
          <w:szCs w:val="22"/>
        </w:rPr>
        <w:t>如果生产线可以马上停止的，则可以考虑关机。不能马上停止生产的可以启动备用废气处理设备或将废气进行收集，待事故状态解除后，重新进行处理达标后排入大气环境。</w:t>
      </w:r>
    </w:p>
    <w:p w:rsidR="00B04AE3" w:rsidRDefault="00B04AE3">
      <w:pPr>
        <w:pStyle w:val="ListParagraph"/>
        <w:numPr>
          <w:ilvl w:val="1"/>
          <w:numId w:val="19"/>
        </w:numPr>
        <w:tabs>
          <w:tab w:val="left" w:pos="787"/>
        </w:tabs>
        <w:spacing w:line="383" w:lineRule="exact"/>
        <w:rPr>
          <w:b/>
          <w:sz w:val="30"/>
        </w:rPr>
      </w:pPr>
      <w:bookmarkStart w:id="70" w:name="3.3可能发生事件后果分析"/>
      <w:bookmarkStart w:id="71" w:name="_bookmark15"/>
      <w:bookmarkEnd w:id="70"/>
      <w:bookmarkEnd w:id="71"/>
      <w:r>
        <w:rPr>
          <w:rFonts w:hint="eastAsia"/>
          <w:b/>
          <w:sz w:val="30"/>
        </w:rPr>
        <w:t>可能发生事件后果分析</w:t>
      </w:r>
    </w:p>
    <w:p w:rsidR="00B04AE3" w:rsidRDefault="00B04AE3">
      <w:pPr>
        <w:pStyle w:val="BodyText"/>
        <w:spacing w:before="20" w:line="360" w:lineRule="auto"/>
        <w:ind w:left="334" w:right="334" w:firstLine="482"/>
        <w:jc w:val="both"/>
        <w:rPr>
          <w:spacing w:val="-6"/>
          <w:szCs w:val="22"/>
        </w:rPr>
      </w:pPr>
      <w:r>
        <w:rPr>
          <w:rFonts w:hint="eastAsia"/>
          <w:spacing w:val="-6"/>
          <w:szCs w:val="22"/>
        </w:rPr>
        <w:t>本行业系统的历史事故统计及事故原因分析总结，总结该企业突发环境事件及后果分析，具体如下：</w:t>
      </w:r>
    </w:p>
    <w:p w:rsidR="00B04AE3" w:rsidRDefault="00B04AE3">
      <w:pPr>
        <w:spacing w:before="5"/>
        <w:ind w:left="817"/>
        <w:rPr>
          <w:b/>
          <w:sz w:val="24"/>
        </w:rPr>
      </w:pPr>
      <w:r>
        <w:rPr>
          <w:rFonts w:ascii="Times New Roman" w:eastAsia="Times New Roman"/>
          <w:b/>
          <w:sz w:val="24"/>
        </w:rPr>
        <w:t>1</w:t>
      </w:r>
      <w:r>
        <w:rPr>
          <w:rFonts w:hint="eastAsia"/>
          <w:b/>
          <w:sz w:val="24"/>
        </w:rPr>
        <w:t>、泄漏</w:t>
      </w:r>
    </w:p>
    <w:p w:rsidR="00B04AE3" w:rsidRDefault="00B04AE3">
      <w:pPr>
        <w:pStyle w:val="BodyText"/>
        <w:spacing w:before="20" w:line="360" w:lineRule="auto"/>
        <w:ind w:left="334" w:right="334" w:firstLine="482"/>
        <w:jc w:val="both"/>
        <w:rPr>
          <w:spacing w:val="-6"/>
          <w:szCs w:val="22"/>
        </w:rPr>
      </w:pPr>
      <w:r>
        <w:rPr>
          <w:rFonts w:hint="eastAsia"/>
          <w:spacing w:val="-6"/>
          <w:szCs w:val="22"/>
        </w:rPr>
        <w:t>泄漏：公司最大可信事故为液氮、硫酸、氢氧化钠泄漏，根据风险评估报告，未出现短时间允许接触半径，对厂区内职工生活和附近居民生活影响较小。</w:t>
      </w:r>
    </w:p>
    <w:p w:rsidR="00B04AE3" w:rsidRDefault="00B04AE3">
      <w:pPr>
        <w:spacing w:before="2"/>
        <w:ind w:left="817"/>
        <w:rPr>
          <w:b/>
          <w:sz w:val="24"/>
        </w:rPr>
      </w:pPr>
      <w:r>
        <w:rPr>
          <w:rFonts w:ascii="Times New Roman" w:eastAsia="Times New Roman"/>
          <w:b/>
          <w:sz w:val="24"/>
        </w:rPr>
        <w:t>2</w:t>
      </w:r>
      <w:r>
        <w:rPr>
          <w:rFonts w:hint="eastAsia"/>
          <w:b/>
          <w:sz w:val="24"/>
        </w:rPr>
        <w:t>、火灾、爆炸事故</w:t>
      </w:r>
    </w:p>
    <w:p w:rsidR="00B04AE3" w:rsidRDefault="00B04AE3">
      <w:pPr>
        <w:pStyle w:val="BodyText"/>
        <w:spacing w:before="20" w:line="360" w:lineRule="auto"/>
        <w:ind w:left="334" w:right="334" w:firstLine="482"/>
        <w:jc w:val="both"/>
        <w:rPr>
          <w:spacing w:val="-6"/>
          <w:szCs w:val="22"/>
        </w:rPr>
      </w:pPr>
      <w:r>
        <w:rPr>
          <w:rFonts w:hint="eastAsia"/>
          <w:spacing w:val="-6"/>
          <w:szCs w:val="22"/>
        </w:rPr>
        <w:t>火灾、爆炸：液氮为有毒物品，泄漏可能会中毒事故；硫酸、氢氧化钠为腐蚀性物品，泄漏会对设备、大气和水体造成腐蚀和污染；</w:t>
      </w:r>
    </w:p>
    <w:p w:rsidR="00B04AE3" w:rsidRDefault="00B04AE3">
      <w:pPr>
        <w:spacing w:line="305" w:lineRule="exact"/>
        <w:ind w:left="808"/>
        <w:rPr>
          <w:b/>
          <w:sz w:val="24"/>
        </w:rPr>
      </w:pPr>
      <w:r>
        <w:rPr>
          <w:rFonts w:ascii="Times New Roman" w:eastAsia="Times New Roman"/>
          <w:b/>
          <w:sz w:val="24"/>
        </w:rPr>
        <w:t>3</w:t>
      </w:r>
      <w:r>
        <w:rPr>
          <w:rFonts w:hint="eastAsia"/>
          <w:b/>
          <w:sz w:val="24"/>
        </w:rPr>
        <w:t>、污染治理设施非正常运行</w:t>
      </w:r>
    </w:p>
    <w:p w:rsidR="00B04AE3" w:rsidRDefault="00B04AE3">
      <w:pPr>
        <w:pStyle w:val="BodyText"/>
        <w:spacing w:before="20" w:line="360" w:lineRule="auto"/>
        <w:ind w:left="334" w:right="334" w:firstLine="482"/>
        <w:jc w:val="both"/>
        <w:rPr>
          <w:spacing w:val="-6"/>
          <w:szCs w:val="22"/>
        </w:rPr>
      </w:pPr>
      <w:r>
        <w:rPr>
          <w:rFonts w:hint="eastAsia"/>
          <w:spacing w:val="-6"/>
          <w:szCs w:val="22"/>
        </w:rPr>
        <w:t>废气处理设备故障导致废气污染因子处理效率下降，导致污染因子超标外排，</w:t>
      </w:r>
      <w:r>
        <w:rPr>
          <w:spacing w:val="-6"/>
          <w:szCs w:val="22"/>
        </w:rPr>
        <w:t xml:space="preserve"> </w:t>
      </w:r>
      <w:r>
        <w:rPr>
          <w:rFonts w:hint="eastAsia"/>
          <w:spacing w:val="-6"/>
          <w:szCs w:val="22"/>
        </w:rPr>
        <w:t>影响大气环境。</w:t>
      </w:r>
      <w:bookmarkStart w:id="72" w:name="3.4_发生事故后可能波及的范围"/>
      <w:bookmarkStart w:id="73" w:name="_bookmark16"/>
      <w:bookmarkEnd w:id="72"/>
      <w:bookmarkEnd w:id="73"/>
    </w:p>
    <w:p w:rsidR="00B04AE3" w:rsidRDefault="00B04AE3">
      <w:pPr>
        <w:pStyle w:val="BodyText"/>
        <w:spacing w:before="160" w:line="362" w:lineRule="auto"/>
        <w:ind w:left="337" w:right="212" w:firstLine="470"/>
        <w:rPr>
          <w:b/>
          <w:sz w:val="30"/>
        </w:rPr>
      </w:pPr>
      <w:r>
        <w:rPr>
          <w:b/>
          <w:bCs/>
          <w:spacing w:val="-5"/>
          <w:lang w:val="en-US"/>
        </w:rPr>
        <w:t>4</w:t>
      </w:r>
      <w:r>
        <w:rPr>
          <w:rFonts w:hint="eastAsia"/>
          <w:b/>
          <w:bCs/>
          <w:spacing w:val="-5"/>
          <w:lang w:val="en-US"/>
        </w:rPr>
        <w:t>、</w:t>
      </w:r>
      <w:r>
        <w:rPr>
          <w:rFonts w:hint="eastAsia"/>
          <w:b/>
          <w:sz w:val="30"/>
        </w:rPr>
        <w:t>发生事故后可能波及的范围</w:t>
      </w:r>
    </w:p>
    <w:p w:rsidR="00B04AE3" w:rsidRDefault="00B04AE3">
      <w:pPr>
        <w:pStyle w:val="BodyText"/>
        <w:spacing w:before="20" w:line="360" w:lineRule="auto"/>
        <w:ind w:left="334" w:right="334" w:firstLine="482"/>
        <w:jc w:val="both"/>
        <w:rPr>
          <w:spacing w:val="-6"/>
          <w:szCs w:val="22"/>
        </w:rPr>
      </w:pPr>
      <w:r>
        <w:rPr>
          <w:rFonts w:hint="eastAsia"/>
          <w:spacing w:val="-6"/>
          <w:szCs w:val="22"/>
        </w:rPr>
        <w:t>泄漏：发生硫酸、氢氧化钠、液氮泄漏事故时，未出现半致死半径，无伤害半径；未出现短时间允许接触半径，对周围居民生活影响可以接受。</w:t>
      </w:r>
    </w:p>
    <w:p w:rsidR="00B04AE3" w:rsidRDefault="00B04AE3">
      <w:pPr>
        <w:pStyle w:val="BodyText"/>
        <w:spacing w:before="20" w:line="360" w:lineRule="auto"/>
        <w:ind w:left="334" w:right="334" w:firstLine="482"/>
        <w:jc w:val="both"/>
        <w:rPr>
          <w:spacing w:val="-6"/>
          <w:szCs w:val="22"/>
        </w:rPr>
      </w:pPr>
      <w:r>
        <w:rPr>
          <w:rFonts w:hint="eastAsia"/>
          <w:spacing w:val="-6"/>
          <w:szCs w:val="22"/>
        </w:rPr>
        <w:t>火灾、爆炸：从厂区平面图布置及周边环境分析，发生事故时，主要是对距离该事故源点</w:t>
      </w:r>
      <w:r>
        <w:rPr>
          <w:spacing w:val="-6"/>
          <w:szCs w:val="22"/>
        </w:rPr>
        <w:t xml:space="preserve"> 100m </w:t>
      </w:r>
      <w:r>
        <w:rPr>
          <w:rFonts w:hint="eastAsia"/>
          <w:spacing w:val="-6"/>
          <w:szCs w:val="22"/>
        </w:rPr>
        <w:t>内的现场造成影响，该范围内无环境保护目标。</w:t>
      </w:r>
    </w:p>
    <w:p w:rsidR="00B04AE3" w:rsidRDefault="00B04AE3">
      <w:pPr>
        <w:pStyle w:val="BodyText"/>
        <w:spacing w:before="20" w:line="360" w:lineRule="auto"/>
        <w:ind w:left="334" w:right="334" w:firstLine="482"/>
        <w:jc w:val="both"/>
        <w:rPr>
          <w:spacing w:val="-6"/>
          <w:szCs w:val="22"/>
        </w:rPr>
      </w:pPr>
      <w:r>
        <w:rPr>
          <w:rFonts w:hint="eastAsia"/>
          <w:spacing w:val="-6"/>
          <w:szCs w:val="22"/>
        </w:rPr>
        <w:t>环保设施非正常运转：影响范围主要为排气筒周边</w:t>
      </w:r>
      <w:r>
        <w:rPr>
          <w:spacing w:val="-6"/>
          <w:szCs w:val="22"/>
        </w:rPr>
        <w:t xml:space="preserve"> 2.5km </w:t>
      </w:r>
      <w:r>
        <w:rPr>
          <w:rFonts w:hint="eastAsia"/>
          <w:spacing w:val="-6"/>
          <w:szCs w:val="22"/>
        </w:rPr>
        <w:t>圆形区域。可能波及的范围内环境保护目标联系方式见表</w:t>
      </w:r>
      <w:r>
        <w:rPr>
          <w:spacing w:val="-6"/>
          <w:szCs w:val="22"/>
        </w:rPr>
        <w:t xml:space="preserve"> 3.</w:t>
      </w:r>
      <w:r>
        <w:rPr>
          <w:spacing w:val="-6"/>
          <w:szCs w:val="22"/>
          <w:lang w:val="en-US"/>
        </w:rPr>
        <w:t>3</w:t>
      </w:r>
      <w:r>
        <w:rPr>
          <w:spacing w:val="-6"/>
          <w:szCs w:val="22"/>
        </w:rPr>
        <w:t>-1</w:t>
      </w:r>
      <w:r>
        <w:rPr>
          <w:rFonts w:hint="eastAsia"/>
          <w:spacing w:val="-6"/>
          <w:szCs w:val="22"/>
        </w:rPr>
        <w:t>。</w:t>
      </w:r>
    </w:p>
    <w:p w:rsidR="00B04AE3" w:rsidRDefault="00B04AE3">
      <w:pPr>
        <w:spacing w:before="2" w:after="4"/>
        <w:ind w:left="2113"/>
        <w:rPr>
          <w:b/>
          <w:sz w:val="24"/>
        </w:rPr>
      </w:pPr>
      <w:r>
        <w:rPr>
          <w:rFonts w:hint="eastAsia"/>
          <w:b/>
          <w:sz w:val="24"/>
        </w:rPr>
        <w:t>表</w:t>
      </w:r>
      <w:r>
        <w:rPr>
          <w:b/>
          <w:sz w:val="24"/>
        </w:rPr>
        <w:t xml:space="preserve"> </w:t>
      </w:r>
      <w:r>
        <w:rPr>
          <w:rFonts w:ascii="Times New Roman" w:eastAsia="Times New Roman"/>
          <w:b/>
          <w:sz w:val="24"/>
        </w:rPr>
        <w:t>3.</w:t>
      </w:r>
      <w:r>
        <w:rPr>
          <w:rFonts w:ascii="Times New Roman"/>
          <w:b/>
          <w:sz w:val="24"/>
          <w:lang w:val="en-US"/>
        </w:rPr>
        <w:t>3</w:t>
      </w:r>
      <w:r>
        <w:rPr>
          <w:rFonts w:ascii="Times New Roman" w:eastAsia="Times New Roman"/>
          <w:b/>
          <w:sz w:val="24"/>
        </w:rPr>
        <w:t xml:space="preserve">-1  </w:t>
      </w:r>
      <w:r>
        <w:rPr>
          <w:rFonts w:hint="eastAsia"/>
          <w:b/>
          <w:sz w:val="24"/>
        </w:rPr>
        <w:t>可能波及范围内保护目标及周边企业</w:t>
      </w:r>
    </w:p>
    <w:tbl>
      <w:tblPr>
        <w:tblW w:w="8540" w:type="dxa"/>
        <w:jc w:val="center"/>
        <w:tblBorders>
          <w:top w:val="thinThickSmallGap" w:sz="24" w:space="0" w:color="auto"/>
          <w:left w:val="single" w:sz="4" w:space="0" w:color="auto"/>
          <w:bottom w:val="thinThickSmallGap" w:sz="24" w:space="0" w:color="auto"/>
          <w:right w:val="single" w:sz="4" w:space="0" w:color="auto"/>
          <w:insideH w:val="single" w:sz="4" w:space="0" w:color="auto"/>
          <w:insideV w:val="single" w:sz="4" w:space="0" w:color="auto"/>
        </w:tblBorders>
        <w:tblLayout w:type="fixed"/>
        <w:tblLook w:val="00A0"/>
      </w:tblPr>
      <w:tblGrid>
        <w:gridCol w:w="2230"/>
        <w:gridCol w:w="2933"/>
        <w:gridCol w:w="990"/>
        <w:gridCol w:w="1074"/>
        <w:gridCol w:w="1313"/>
      </w:tblGrid>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序号</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保护目标</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方位</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距离</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规模</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1</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江西水利职业学院</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527m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5000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2</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华东交通大学北区</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840m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15000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3</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汪家村</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420m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1500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4</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吉都居</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700m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2000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5</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凯梦仙缘</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732m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4500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6</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棚上</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1000m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300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7</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双港新村</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887m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400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8</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双港</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1100m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300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9</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三叉角</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1300m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10</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吴家山</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1700m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250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11</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邹家村</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1600m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250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12</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港口村</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1072m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1500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13</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排头裘家</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1156m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600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14</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江西理工大学南昌校区</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1500m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8000</w:t>
            </w:r>
            <w:r>
              <w:rPr>
                <w:rFonts w:hint="eastAsia"/>
              </w:rPr>
              <w:t>人</w:t>
            </w:r>
          </w:p>
        </w:tc>
      </w:tr>
      <w:tr w:rsidR="00B04AE3">
        <w:trPr>
          <w:trHeight w:val="461"/>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15</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曹家村</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2020m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550</w:t>
            </w:r>
            <w:r>
              <w:rPr>
                <w:rFonts w:hint="eastAsia"/>
              </w:rPr>
              <w:t>人</w:t>
            </w:r>
          </w:p>
        </w:tc>
      </w:tr>
      <w:tr w:rsidR="00B04AE3">
        <w:trPr>
          <w:trHeight w:val="519"/>
          <w:jc w:val="center"/>
        </w:trPr>
        <w:tc>
          <w:tcPr>
            <w:tcW w:w="223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lang w:val="en-US"/>
              </w:rPr>
            </w:pPr>
            <w:r>
              <w:rPr>
                <w:lang w:val="en-US"/>
              </w:rPr>
              <w:t>16</w:t>
            </w:r>
          </w:p>
        </w:tc>
        <w:tc>
          <w:tcPr>
            <w:tcW w:w="293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吴家山</w:t>
            </w:r>
          </w:p>
        </w:tc>
        <w:tc>
          <w:tcPr>
            <w:tcW w:w="990"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74"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1600m</w:t>
            </w:r>
          </w:p>
        </w:tc>
        <w:tc>
          <w:tcPr>
            <w:tcW w:w="131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100</w:t>
            </w:r>
            <w:r>
              <w:rPr>
                <w:rFonts w:hint="eastAsia"/>
              </w:rPr>
              <w:t>人</w:t>
            </w:r>
          </w:p>
        </w:tc>
      </w:tr>
    </w:tbl>
    <w:p w:rsidR="00B04AE3" w:rsidRDefault="00B04AE3">
      <w:pPr>
        <w:pStyle w:val="ListParagraph"/>
        <w:tabs>
          <w:tab w:val="left" w:pos="698"/>
        </w:tabs>
        <w:ind w:firstLine="0"/>
        <w:rPr>
          <w:b/>
          <w:sz w:val="36"/>
          <w:lang w:val="en-US"/>
        </w:rPr>
      </w:pPr>
      <w:bookmarkStart w:id="74" w:name="4_环境应急能力评估"/>
      <w:bookmarkStart w:id="75" w:name="_bookmark17"/>
      <w:bookmarkEnd w:id="74"/>
      <w:bookmarkEnd w:id="75"/>
    </w:p>
    <w:p w:rsidR="00B04AE3" w:rsidRDefault="00B04AE3">
      <w:pPr>
        <w:pStyle w:val="ListParagraph"/>
        <w:tabs>
          <w:tab w:val="left" w:pos="698"/>
        </w:tabs>
        <w:ind w:firstLine="0"/>
        <w:rPr>
          <w:b/>
          <w:sz w:val="36"/>
          <w:lang w:val="en-US"/>
        </w:rPr>
      </w:pPr>
    </w:p>
    <w:p w:rsidR="00B04AE3" w:rsidRDefault="00B04AE3">
      <w:pPr>
        <w:pStyle w:val="ListParagraph"/>
        <w:tabs>
          <w:tab w:val="left" w:pos="698"/>
        </w:tabs>
        <w:ind w:firstLine="0"/>
        <w:rPr>
          <w:b/>
          <w:sz w:val="36"/>
          <w:lang w:val="en-US"/>
        </w:rPr>
      </w:pPr>
    </w:p>
    <w:p w:rsidR="00B04AE3" w:rsidRDefault="00B04AE3">
      <w:pPr>
        <w:pStyle w:val="ListParagraph"/>
        <w:tabs>
          <w:tab w:val="left" w:pos="698"/>
        </w:tabs>
        <w:ind w:firstLine="0"/>
        <w:rPr>
          <w:b/>
          <w:sz w:val="36"/>
          <w:lang w:val="en-US"/>
        </w:rPr>
      </w:pPr>
    </w:p>
    <w:p w:rsidR="00B04AE3" w:rsidRDefault="00B04AE3">
      <w:pPr>
        <w:pStyle w:val="ListParagraph"/>
        <w:tabs>
          <w:tab w:val="left" w:pos="698"/>
        </w:tabs>
        <w:ind w:firstLine="0"/>
        <w:rPr>
          <w:b/>
          <w:sz w:val="36"/>
          <w:lang w:val="en-US"/>
        </w:rPr>
      </w:pPr>
    </w:p>
    <w:p w:rsidR="00B04AE3" w:rsidRDefault="00B04AE3">
      <w:pPr>
        <w:pStyle w:val="ListParagraph"/>
        <w:tabs>
          <w:tab w:val="left" w:pos="698"/>
        </w:tabs>
        <w:ind w:firstLine="0"/>
        <w:rPr>
          <w:b/>
          <w:sz w:val="36"/>
          <w:lang w:val="en-US"/>
        </w:rPr>
      </w:pPr>
    </w:p>
    <w:p w:rsidR="00B04AE3" w:rsidRDefault="00B04AE3">
      <w:pPr>
        <w:pStyle w:val="ListParagraph"/>
        <w:tabs>
          <w:tab w:val="left" w:pos="698"/>
        </w:tabs>
        <w:ind w:firstLine="0"/>
        <w:rPr>
          <w:b/>
          <w:sz w:val="36"/>
          <w:lang w:val="en-US"/>
        </w:rPr>
      </w:pPr>
    </w:p>
    <w:p w:rsidR="00B04AE3" w:rsidRDefault="00B04AE3">
      <w:pPr>
        <w:pStyle w:val="ListParagraph"/>
        <w:tabs>
          <w:tab w:val="left" w:pos="698"/>
        </w:tabs>
        <w:ind w:firstLine="0"/>
        <w:rPr>
          <w:b/>
          <w:sz w:val="36"/>
          <w:lang w:val="en-US"/>
        </w:rPr>
      </w:pPr>
    </w:p>
    <w:p w:rsidR="00B04AE3" w:rsidRDefault="00B04AE3">
      <w:pPr>
        <w:pStyle w:val="ListParagraph"/>
        <w:tabs>
          <w:tab w:val="left" w:pos="698"/>
        </w:tabs>
        <w:ind w:firstLine="0"/>
        <w:rPr>
          <w:b/>
          <w:sz w:val="36"/>
          <w:lang w:val="en-US"/>
        </w:rPr>
      </w:pPr>
    </w:p>
    <w:p w:rsidR="00B04AE3" w:rsidRDefault="00B04AE3">
      <w:pPr>
        <w:pStyle w:val="ListParagraph"/>
        <w:tabs>
          <w:tab w:val="left" w:pos="698"/>
        </w:tabs>
        <w:ind w:firstLine="0"/>
        <w:rPr>
          <w:b/>
          <w:sz w:val="36"/>
          <w:lang w:val="en-US"/>
        </w:rPr>
      </w:pPr>
    </w:p>
    <w:p w:rsidR="00B04AE3" w:rsidRDefault="00B04AE3">
      <w:pPr>
        <w:pStyle w:val="ListParagraph"/>
        <w:tabs>
          <w:tab w:val="left" w:pos="698"/>
        </w:tabs>
        <w:ind w:firstLine="0"/>
        <w:rPr>
          <w:rFonts w:ascii="Times New Roman" w:eastAsia="Times New Roman"/>
          <w:b/>
          <w:sz w:val="36"/>
        </w:rPr>
      </w:pPr>
      <w:r>
        <w:rPr>
          <w:b/>
          <w:sz w:val="36"/>
          <w:lang w:val="en-US"/>
        </w:rPr>
        <w:t>4</w:t>
      </w:r>
      <w:r>
        <w:rPr>
          <w:rFonts w:hint="eastAsia"/>
          <w:b/>
          <w:sz w:val="36"/>
        </w:rPr>
        <w:t>环境应急能力评估</w:t>
      </w:r>
    </w:p>
    <w:p w:rsidR="00B04AE3" w:rsidRDefault="00B04AE3">
      <w:pPr>
        <w:pStyle w:val="ListParagraph"/>
        <w:numPr>
          <w:ilvl w:val="1"/>
          <w:numId w:val="20"/>
        </w:numPr>
        <w:tabs>
          <w:tab w:val="left" w:pos="861"/>
        </w:tabs>
        <w:spacing w:before="242"/>
        <w:ind w:hanging="523"/>
        <w:rPr>
          <w:b/>
          <w:sz w:val="30"/>
        </w:rPr>
      </w:pPr>
      <w:bookmarkStart w:id="76" w:name="4.1_公司目前应急能力"/>
      <w:bookmarkStart w:id="77" w:name="_bookmark18"/>
      <w:bookmarkEnd w:id="76"/>
      <w:bookmarkEnd w:id="77"/>
      <w:r>
        <w:rPr>
          <w:rFonts w:hint="eastAsia"/>
          <w:b/>
          <w:sz w:val="30"/>
        </w:rPr>
        <w:t>公司目前应急能力</w:t>
      </w:r>
    </w:p>
    <w:p w:rsidR="00B04AE3" w:rsidRDefault="00B04AE3">
      <w:pPr>
        <w:pStyle w:val="ListParagraph"/>
        <w:numPr>
          <w:ilvl w:val="2"/>
          <w:numId w:val="20"/>
        </w:numPr>
        <w:tabs>
          <w:tab w:val="left" w:pos="938"/>
        </w:tabs>
        <w:spacing w:before="196"/>
        <w:rPr>
          <w:b/>
          <w:sz w:val="24"/>
        </w:rPr>
      </w:pPr>
      <w:bookmarkStart w:id="78" w:name="4.1.1_公司应急救援队伍"/>
      <w:bookmarkEnd w:id="78"/>
      <w:r>
        <w:rPr>
          <w:rFonts w:hint="eastAsia"/>
          <w:b/>
          <w:sz w:val="24"/>
        </w:rPr>
        <w:t>公司应急救援队伍</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成立突发环境事件应急指挥部，由公司总经理任总指挥，公司副总经理任副总指挥，成员为各部门负责人。突发环境事件应急指挥部下设应急办公室。突发环境事件时由总指挥指挥应急救援工作；总指挥不在现场时，由副总指挥临时担任总指挥的职务，组成临时应急救援指挥小组，依次递补负责应急救援工作。应急办公室下设抢险救援组、通讯联络组、警戒保卫组和医疗救护组、后勤保障组、环境监测组、善后处理组（详见第五章）。应急人员职责划分明确，应急小组分工明确，并有现场处置方案作为指导，对一般泄漏事故可以迅速反应、及时处置。</w:t>
      </w:r>
    </w:p>
    <w:p w:rsidR="00B04AE3" w:rsidRDefault="00B04AE3">
      <w:pPr>
        <w:pStyle w:val="ListParagraph"/>
        <w:numPr>
          <w:ilvl w:val="2"/>
          <w:numId w:val="20"/>
        </w:numPr>
        <w:tabs>
          <w:tab w:val="left" w:pos="938"/>
        </w:tabs>
        <w:spacing w:before="160"/>
        <w:rPr>
          <w:b/>
          <w:sz w:val="24"/>
        </w:rPr>
      </w:pPr>
      <w:bookmarkStart w:id="79" w:name="4.1.2_公司应急救援措施"/>
      <w:bookmarkEnd w:id="79"/>
      <w:r>
        <w:rPr>
          <w:rFonts w:hint="eastAsia"/>
          <w:b/>
          <w:sz w:val="24"/>
        </w:rPr>
        <w:t>公司应急救援措施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为保障应急需要，公司在装置区适当部位设置应急器材，指定专人管理，定期检查，确保应急物资种类、数量、性能、存放位置符合应急需要，在需要时及时获取并有效使用。</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企业的应急储备包括消防器材、应急抢险器材、医疗救护仪器药品等，物资清单见资源调查报告。</w:t>
      </w:r>
    </w:p>
    <w:p w:rsidR="00B04AE3" w:rsidRDefault="00B04AE3">
      <w:pPr>
        <w:pStyle w:val="BodyText"/>
        <w:spacing w:before="20" w:line="360" w:lineRule="auto"/>
        <w:ind w:left="334" w:right="334" w:firstLine="482"/>
        <w:jc w:val="both"/>
        <w:rPr>
          <w:spacing w:val="-6"/>
          <w:szCs w:val="22"/>
        </w:rPr>
      </w:pPr>
      <w:r>
        <w:rPr>
          <w:rFonts w:hint="eastAsia"/>
          <w:spacing w:val="-6"/>
          <w:szCs w:val="22"/>
        </w:rPr>
        <w:t>以下表格中为现有应急措施、物资等。</w:t>
      </w:r>
    </w:p>
    <w:p w:rsidR="00B04AE3" w:rsidRDefault="00B04AE3">
      <w:pPr>
        <w:tabs>
          <w:tab w:val="left" w:pos="3812"/>
        </w:tabs>
        <w:spacing w:before="160"/>
        <w:ind w:left="2773"/>
        <w:rPr>
          <w:b/>
          <w:sz w:val="24"/>
        </w:rPr>
      </w:pPr>
      <w:r>
        <w:rPr>
          <w:rFonts w:hint="eastAsia"/>
          <w:b/>
          <w:sz w:val="24"/>
        </w:rPr>
        <w:t>表</w:t>
      </w:r>
      <w:r>
        <w:rPr>
          <w:b/>
          <w:spacing w:val="-62"/>
          <w:sz w:val="24"/>
        </w:rPr>
        <w:t xml:space="preserve"> </w:t>
      </w:r>
      <w:r>
        <w:rPr>
          <w:rFonts w:ascii="Times New Roman" w:eastAsia="Times New Roman"/>
          <w:b/>
          <w:sz w:val="24"/>
        </w:rPr>
        <w:t>4.1-1</w:t>
      </w:r>
      <w:r>
        <w:rPr>
          <w:rFonts w:ascii="Times New Roman" w:eastAsia="Times New Roman"/>
          <w:b/>
          <w:sz w:val="24"/>
        </w:rPr>
        <w:tab/>
      </w:r>
      <w:r>
        <w:rPr>
          <w:rFonts w:hint="eastAsia"/>
          <w:b/>
          <w:sz w:val="24"/>
        </w:rPr>
        <w:t>现有应急物资及装备明细表</w:t>
      </w:r>
    </w:p>
    <w:tbl>
      <w:tblPr>
        <w:tblW w:w="8406"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049"/>
        <w:gridCol w:w="818"/>
        <w:gridCol w:w="2790"/>
        <w:gridCol w:w="676"/>
        <w:gridCol w:w="2155"/>
        <w:gridCol w:w="918"/>
      </w:tblGrid>
      <w:tr w:rsidR="00B04AE3">
        <w:trPr>
          <w:trHeight w:val="320"/>
        </w:trPr>
        <w:tc>
          <w:tcPr>
            <w:tcW w:w="1049" w:type="dxa"/>
          </w:tcPr>
          <w:p w:rsidR="00B04AE3" w:rsidRDefault="00B04AE3">
            <w:pPr>
              <w:pStyle w:val="TableParagraph"/>
              <w:spacing w:before="45" w:line="254" w:lineRule="exact"/>
              <w:ind w:left="314"/>
              <w:jc w:val="left"/>
              <w:rPr>
                <w:sz w:val="21"/>
              </w:rPr>
            </w:pPr>
            <w:r>
              <w:rPr>
                <w:rFonts w:hint="eastAsia"/>
                <w:sz w:val="21"/>
              </w:rPr>
              <w:t>类别</w:t>
            </w:r>
          </w:p>
        </w:tc>
        <w:tc>
          <w:tcPr>
            <w:tcW w:w="818" w:type="dxa"/>
          </w:tcPr>
          <w:p w:rsidR="00B04AE3" w:rsidRDefault="00B04AE3">
            <w:pPr>
              <w:pStyle w:val="TableParagraph"/>
              <w:spacing w:before="45" w:line="254" w:lineRule="exact"/>
              <w:ind w:left="178" w:right="170"/>
              <w:rPr>
                <w:sz w:val="21"/>
              </w:rPr>
            </w:pPr>
            <w:r>
              <w:rPr>
                <w:rFonts w:hint="eastAsia"/>
                <w:sz w:val="21"/>
              </w:rPr>
              <w:t>序号</w:t>
            </w:r>
          </w:p>
        </w:tc>
        <w:tc>
          <w:tcPr>
            <w:tcW w:w="2790" w:type="dxa"/>
          </w:tcPr>
          <w:p w:rsidR="00B04AE3" w:rsidRDefault="00B04AE3">
            <w:pPr>
              <w:pStyle w:val="TableParagraph"/>
              <w:spacing w:before="45" w:line="254" w:lineRule="exact"/>
              <w:ind w:left="113" w:right="106"/>
              <w:rPr>
                <w:sz w:val="21"/>
              </w:rPr>
            </w:pPr>
            <w:r>
              <w:rPr>
                <w:rFonts w:hint="eastAsia"/>
                <w:sz w:val="21"/>
              </w:rPr>
              <w:t>指标内容</w:t>
            </w:r>
          </w:p>
        </w:tc>
        <w:tc>
          <w:tcPr>
            <w:tcW w:w="676" w:type="dxa"/>
          </w:tcPr>
          <w:p w:rsidR="00B04AE3" w:rsidRDefault="00B04AE3">
            <w:pPr>
              <w:pStyle w:val="TableParagraph"/>
              <w:spacing w:before="45" w:line="254" w:lineRule="exact"/>
              <w:ind w:left="105" w:right="101"/>
              <w:rPr>
                <w:sz w:val="21"/>
              </w:rPr>
            </w:pPr>
            <w:r>
              <w:rPr>
                <w:rFonts w:hint="eastAsia"/>
                <w:sz w:val="21"/>
              </w:rPr>
              <w:t>数量</w:t>
            </w:r>
          </w:p>
        </w:tc>
        <w:tc>
          <w:tcPr>
            <w:tcW w:w="2155" w:type="dxa"/>
          </w:tcPr>
          <w:p w:rsidR="00B04AE3" w:rsidRDefault="00B04AE3">
            <w:pPr>
              <w:pStyle w:val="TableParagraph"/>
              <w:spacing w:before="45" w:line="254" w:lineRule="exact"/>
              <w:ind w:left="8"/>
              <w:rPr>
                <w:sz w:val="21"/>
              </w:rPr>
            </w:pPr>
            <w:r>
              <w:rPr>
                <w:rFonts w:hint="eastAsia"/>
                <w:sz w:val="21"/>
              </w:rPr>
              <w:t>所在位置</w:t>
            </w:r>
          </w:p>
        </w:tc>
        <w:tc>
          <w:tcPr>
            <w:tcW w:w="918" w:type="dxa"/>
          </w:tcPr>
          <w:p w:rsidR="00B04AE3" w:rsidRDefault="00B04AE3">
            <w:pPr>
              <w:pStyle w:val="TableParagraph"/>
              <w:spacing w:before="45" w:line="254" w:lineRule="exact"/>
              <w:ind w:left="123" w:right="114"/>
              <w:rPr>
                <w:sz w:val="21"/>
              </w:rPr>
            </w:pPr>
            <w:r>
              <w:rPr>
                <w:rFonts w:hint="eastAsia"/>
                <w:sz w:val="21"/>
              </w:rPr>
              <w:t>责任人</w:t>
            </w:r>
          </w:p>
        </w:tc>
      </w:tr>
      <w:tr w:rsidR="00B04AE3">
        <w:trPr>
          <w:trHeight w:val="545"/>
        </w:trPr>
        <w:tc>
          <w:tcPr>
            <w:tcW w:w="1049" w:type="dxa"/>
            <w:vMerge w:val="restart"/>
          </w:tcPr>
          <w:p w:rsidR="00B04AE3" w:rsidRDefault="00B04AE3">
            <w:pPr>
              <w:pStyle w:val="TableParagraph"/>
              <w:spacing w:before="13" w:line="247" w:lineRule="exact"/>
              <w:ind w:left="113" w:right="106"/>
              <w:rPr>
                <w:sz w:val="21"/>
              </w:rPr>
            </w:pPr>
          </w:p>
          <w:p w:rsidR="00B04AE3" w:rsidRDefault="00B04AE3">
            <w:pPr>
              <w:pStyle w:val="TableParagraph"/>
              <w:spacing w:before="13" w:line="247" w:lineRule="exact"/>
              <w:ind w:left="113" w:right="106"/>
              <w:rPr>
                <w:sz w:val="21"/>
              </w:rPr>
            </w:pPr>
            <w:r>
              <w:rPr>
                <w:rFonts w:hint="eastAsia"/>
                <w:sz w:val="21"/>
              </w:rPr>
              <w:t>预警监控设施</w:t>
            </w:r>
          </w:p>
        </w:tc>
        <w:tc>
          <w:tcPr>
            <w:tcW w:w="818" w:type="dxa"/>
          </w:tcPr>
          <w:p w:rsidR="00B04AE3" w:rsidRDefault="00B04AE3">
            <w:pPr>
              <w:pStyle w:val="TableParagraph"/>
              <w:spacing w:before="13" w:line="247" w:lineRule="exact"/>
              <w:ind w:left="113" w:right="106"/>
              <w:rPr>
                <w:sz w:val="21"/>
              </w:rPr>
            </w:pPr>
            <w:r>
              <w:rPr>
                <w:sz w:val="21"/>
              </w:rPr>
              <w:t>1</w:t>
            </w:r>
          </w:p>
        </w:tc>
        <w:tc>
          <w:tcPr>
            <w:tcW w:w="2790" w:type="dxa"/>
          </w:tcPr>
          <w:p w:rsidR="00B04AE3" w:rsidRDefault="00B04AE3">
            <w:pPr>
              <w:pStyle w:val="TableParagraph"/>
              <w:spacing w:before="13" w:line="247" w:lineRule="exact"/>
              <w:ind w:left="113" w:right="106"/>
              <w:rPr>
                <w:sz w:val="21"/>
              </w:rPr>
            </w:pPr>
            <w:r>
              <w:rPr>
                <w:rFonts w:hint="eastAsia"/>
                <w:sz w:val="21"/>
              </w:rPr>
              <w:t>视频监控系统</w:t>
            </w:r>
          </w:p>
        </w:tc>
        <w:tc>
          <w:tcPr>
            <w:tcW w:w="676" w:type="dxa"/>
          </w:tcPr>
          <w:p w:rsidR="00B04AE3" w:rsidRDefault="00B04AE3">
            <w:pPr>
              <w:pStyle w:val="TableParagraph"/>
              <w:spacing w:before="13" w:line="247" w:lineRule="exact"/>
              <w:ind w:left="113" w:right="106"/>
              <w:rPr>
                <w:sz w:val="21"/>
              </w:rPr>
            </w:pPr>
            <w:r>
              <w:rPr>
                <w:sz w:val="21"/>
              </w:rPr>
              <w:t>1</w:t>
            </w:r>
          </w:p>
        </w:tc>
        <w:tc>
          <w:tcPr>
            <w:tcW w:w="2155" w:type="dxa"/>
          </w:tcPr>
          <w:p w:rsidR="00B04AE3" w:rsidRDefault="00B04AE3">
            <w:pPr>
              <w:pStyle w:val="TableParagraph"/>
              <w:spacing w:before="13" w:line="247" w:lineRule="exact"/>
              <w:ind w:left="113" w:right="106"/>
              <w:rPr>
                <w:sz w:val="21"/>
              </w:rPr>
            </w:pPr>
            <w:r>
              <w:rPr>
                <w:rFonts w:hint="eastAsia"/>
                <w:sz w:val="21"/>
              </w:rPr>
              <w:t>车间、生产区、办公</w:t>
            </w:r>
          </w:p>
          <w:p w:rsidR="00B04AE3" w:rsidRDefault="00B04AE3">
            <w:pPr>
              <w:pStyle w:val="TableParagraph"/>
              <w:spacing w:before="13" w:line="247" w:lineRule="exact"/>
              <w:ind w:left="113" w:right="106"/>
              <w:rPr>
                <w:sz w:val="21"/>
              </w:rPr>
            </w:pPr>
            <w:r>
              <w:rPr>
                <w:rFonts w:hint="eastAsia"/>
                <w:sz w:val="21"/>
              </w:rPr>
              <w:t>楼、大门</w:t>
            </w:r>
          </w:p>
        </w:tc>
        <w:tc>
          <w:tcPr>
            <w:tcW w:w="918" w:type="dxa"/>
          </w:tcPr>
          <w:p w:rsidR="00B04AE3" w:rsidRDefault="00B04AE3">
            <w:pPr>
              <w:pStyle w:val="TableParagraph"/>
              <w:spacing w:before="13" w:line="247" w:lineRule="exact"/>
              <w:ind w:left="113" w:right="106"/>
              <w:rPr>
                <w:sz w:val="21"/>
              </w:rPr>
            </w:pPr>
            <w:r>
              <w:rPr>
                <w:rFonts w:hint="eastAsia"/>
                <w:sz w:val="21"/>
              </w:rPr>
              <w:t>张磊磊</w:t>
            </w:r>
          </w:p>
        </w:tc>
      </w:tr>
      <w:tr w:rsidR="00B04AE3">
        <w:trPr>
          <w:trHeight w:val="279"/>
        </w:trPr>
        <w:tc>
          <w:tcPr>
            <w:tcW w:w="1049" w:type="dxa"/>
            <w:vMerge/>
            <w:tcBorders>
              <w:top w:val="nil"/>
            </w:tcBorders>
          </w:tcPr>
          <w:p w:rsidR="00B04AE3" w:rsidRDefault="00B04AE3">
            <w:pPr>
              <w:rPr>
                <w:sz w:val="21"/>
              </w:rPr>
            </w:pPr>
          </w:p>
        </w:tc>
        <w:tc>
          <w:tcPr>
            <w:tcW w:w="818" w:type="dxa"/>
          </w:tcPr>
          <w:p w:rsidR="00B04AE3" w:rsidRDefault="00B04AE3">
            <w:pPr>
              <w:pStyle w:val="TableParagraph"/>
              <w:spacing w:before="26" w:line="233" w:lineRule="exact"/>
              <w:ind w:left="7"/>
              <w:rPr>
                <w:sz w:val="21"/>
              </w:rPr>
            </w:pPr>
            <w:r>
              <w:rPr>
                <w:sz w:val="21"/>
              </w:rPr>
              <w:t>2</w:t>
            </w:r>
          </w:p>
        </w:tc>
        <w:tc>
          <w:tcPr>
            <w:tcW w:w="2790" w:type="dxa"/>
          </w:tcPr>
          <w:p w:rsidR="00B04AE3" w:rsidRDefault="00B04AE3">
            <w:pPr>
              <w:pStyle w:val="TableParagraph"/>
              <w:spacing w:before="3" w:line="257" w:lineRule="exact"/>
              <w:ind w:left="111" w:right="106"/>
              <w:rPr>
                <w:sz w:val="21"/>
              </w:rPr>
            </w:pPr>
            <w:r>
              <w:rPr>
                <w:rFonts w:hint="eastAsia"/>
                <w:sz w:val="21"/>
              </w:rPr>
              <w:t>在线监测系统</w:t>
            </w:r>
          </w:p>
        </w:tc>
        <w:tc>
          <w:tcPr>
            <w:tcW w:w="676" w:type="dxa"/>
          </w:tcPr>
          <w:p w:rsidR="00B04AE3" w:rsidRDefault="00B04AE3">
            <w:pPr>
              <w:pStyle w:val="TableParagraph"/>
              <w:spacing w:before="17"/>
              <w:ind w:left="8"/>
              <w:rPr>
                <w:sz w:val="21"/>
              </w:rPr>
            </w:pPr>
            <w:r>
              <w:rPr>
                <w:sz w:val="21"/>
              </w:rPr>
              <w:t>1</w:t>
            </w:r>
          </w:p>
        </w:tc>
        <w:tc>
          <w:tcPr>
            <w:tcW w:w="2155" w:type="dxa"/>
          </w:tcPr>
          <w:p w:rsidR="00B04AE3" w:rsidRDefault="00B04AE3">
            <w:pPr>
              <w:pStyle w:val="TableParagraph"/>
              <w:spacing w:before="3" w:line="257" w:lineRule="exact"/>
              <w:ind w:left="8"/>
              <w:rPr>
                <w:sz w:val="21"/>
              </w:rPr>
            </w:pPr>
            <w:r>
              <w:rPr>
                <w:rFonts w:hint="eastAsia"/>
                <w:sz w:val="21"/>
              </w:rPr>
              <w:t>厂区全覆盖</w:t>
            </w:r>
          </w:p>
        </w:tc>
        <w:tc>
          <w:tcPr>
            <w:tcW w:w="918" w:type="dxa"/>
          </w:tcPr>
          <w:p w:rsidR="00B04AE3" w:rsidRDefault="00B04AE3">
            <w:pPr>
              <w:spacing w:before="3" w:line="257" w:lineRule="exact"/>
              <w:rPr>
                <w:sz w:val="21"/>
              </w:rPr>
            </w:pPr>
            <w:r>
              <w:rPr>
                <w:rFonts w:hint="eastAsia"/>
                <w:sz w:val="21"/>
              </w:rPr>
              <w:t>张磊磊</w:t>
            </w:r>
          </w:p>
        </w:tc>
      </w:tr>
      <w:tr w:rsidR="00B04AE3">
        <w:trPr>
          <w:trHeight w:val="280"/>
        </w:trPr>
        <w:tc>
          <w:tcPr>
            <w:tcW w:w="1049" w:type="dxa"/>
            <w:vMerge/>
            <w:tcBorders>
              <w:top w:val="nil"/>
            </w:tcBorders>
          </w:tcPr>
          <w:p w:rsidR="00B04AE3" w:rsidRDefault="00B04AE3">
            <w:pPr>
              <w:rPr>
                <w:sz w:val="21"/>
              </w:rPr>
            </w:pPr>
          </w:p>
        </w:tc>
        <w:tc>
          <w:tcPr>
            <w:tcW w:w="818" w:type="dxa"/>
          </w:tcPr>
          <w:p w:rsidR="00B04AE3" w:rsidRDefault="00B04AE3">
            <w:pPr>
              <w:pStyle w:val="TableParagraph"/>
              <w:spacing w:before="27" w:line="233" w:lineRule="exact"/>
              <w:ind w:left="7"/>
              <w:rPr>
                <w:sz w:val="21"/>
              </w:rPr>
            </w:pPr>
            <w:r>
              <w:rPr>
                <w:sz w:val="21"/>
              </w:rPr>
              <w:t>3</w:t>
            </w:r>
          </w:p>
        </w:tc>
        <w:tc>
          <w:tcPr>
            <w:tcW w:w="2790" w:type="dxa"/>
          </w:tcPr>
          <w:p w:rsidR="00B04AE3" w:rsidRDefault="00B04AE3">
            <w:pPr>
              <w:pStyle w:val="TableParagraph"/>
              <w:spacing w:before="13" w:line="247" w:lineRule="exact"/>
              <w:ind w:left="113" w:right="106"/>
              <w:rPr>
                <w:sz w:val="21"/>
              </w:rPr>
            </w:pPr>
            <w:r>
              <w:rPr>
                <w:rFonts w:hint="eastAsia"/>
                <w:sz w:val="21"/>
              </w:rPr>
              <w:t>可燃气体报警装置</w:t>
            </w:r>
          </w:p>
        </w:tc>
        <w:tc>
          <w:tcPr>
            <w:tcW w:w="676" w:type="dxa"/>
          </w:tcPr>
          <w:p w:rsidR="00B04AE3" w:rsidRDefault="00B04AE3">
            <w:pPr>
              <w:pStyle w:val="TableParagraph"/>
              <w:spacing w:before="27" w:line="233" w:lineRule="exact"/>
              <w:ind w:left="8"/>
              <w:rPr>
                <w:sz w:val="21"/>
              </w:rPr>
            </w:pPr>
            <w:r>
              <w:rPr>
                <w:sz w:val="21"/>
              </w:rPr>
              <w:t>1</w:t>
            </w:r>
          </w:p>
        </w:tc>
        <w:tc>
          <w:tcPr>
            <w:tcW w:w="2155" w:type="dxa"/>
          </w:tcPr>
          <w:p w:rsidR="00B04AE3" w:rsidRDefault="00B04AE3">
            <w:pPr>
              <w:pStyle w:val="TableParagraph"/>
              <w:spacing w:before="13" w:line="247" w:lineRule="exact"/>
              <w:ind w:left="5"/>
              <w:rPr>
                <w:sz w:val="21"/>
              </w:rPr>
            </w:pPr>
            <w:r>
              <w:rPr>
                <w:rFonts w:hint="eastAsia"/>
                <w:sz w:val="21"/>
              </w:rPr>
              <w:t>锅炉</w:t>
            </w:r>
          </w:p>
        </w:tc>
        <w:tc>
          <w:tcPr>
            <w:tcW w:w="918" w:type="dxa"/>
          </w:tcPr>
          <w:p w:rsidR="00B04AE3" w:rsidRDefault="00B04AE3">
            <w:pPr>
              <w:spacing w:before="13" w:line="247" w:lineRule="exact"/>
              <w:rPr>
                <w:sz w:val="21"/>
              </w:rPr>
            </w:pPr>
            <w:r>
              <w:rPr>
                <w:rFonts w:hint="eastAsia"/>
                <w:sz w:val="21"/>
              </w:rPr>
              <w:t>张磊磊</w:t>
            </w:r>
          </w:p>
        </w:tc>
      </w:tr>
      <w:tr w:rsidR="00B04AE3">
        <w:trPr>
          <w:trHeight w:val="320"/>
        </w:trPr>
        <w:tc>
          <w:tcPr>
            <w:tcW w:w="1049" w:type="dxa"/>
            <w:vMerge w:val="restart"/>
          </w:tcPr>
          <w:p w:rsidR="00B04AE3" w:rsidRDefault="00B04AE3">
            <w:pPr>
              <w:pStyle w:val="TableParagraph"/>
              <w:spacing w:before="13" w:line="247" w:lineRule="exact"/>
              <w:ind w:left="113" w:right="106"/>
              <w:rPr>
                <w:sz w:val="21"/>
              </w:rPr>
            </w:pPr>
          </w:p>
          <w:p w:rsidR="00B04AE3" w:rsidRDefault="00B04AE3">
            <w:pPr>
              <w:pStyle w:val="TableParagraph"/>
              <w:spacing w:before="13" w:line="247" w:lineRule="exact"/>
              <w:ind w:left="113" w:right="106"/>
              <w:rPr>
                <w:sz w:val="21"/>
              </w:rPr>
            </w:pPr>
          </w:p>
          <w:p w:rsidR="00B04AE3" w:rsidRDefault="00B04AE3">
            <w:pPr>
              <w:pStyle w:val="TableParagraph"/>
              <w:spacing w:before="13" w:line="247" w:lineRule="exact"/>
              <w:ind w:left="113" w:right="106"/>
              <w:rPr>
                <w:sz w:val="21"/>
              </w:rPr>
            </w:pPr>
            <w:r>
              <w:rPr>
                <w:rFonts w:hint="eastAsia"/>
                <w:sz w:val="21"/>
              </w:rPr>
              <w:t>应急设施、装备、材料</w:t>
            </w:r>
          </w:p>
        </w:tc>
        <w:tc>
          <w:tcPr>
            <w:tcW w:w="818" w:type="dxa"/>
          </w:tcPr>
          <w:p w:rsidR="00B04AE3" w:rsidRDefault="00B04AE3">
            <w:pPr>
              <w:pStyle w:val="TableParagraph"/>
              <w:spacing w:before="13" w:line="247" w:lineRule="exact"/>
              <w:ind w:left="113" w:right="106"/>
              <w:rPr>
                <w:sz w:val="21"/>
              </w:rPr>
            </w:pPr>
            <w:r>
              <w:rPr>
                <w:sz w:val="21"/>
              </w:rPr>
              <w:t>1</w:t>
            </w:r>
          </w:p>
        </w:tc>
        <w:tc>
          <w:tcPr>
            <w:tcW w:w="2790" w:type="dxa"/>
          </w:tcPr>
          <w:p w:rsidR="00B04AE3" w:rsidRDefault="00B04AE3">
            <w:pPr>
              <w:pStyle w:val="TableParagraph"/>
              <w:spacing w:before="13" w:line="247" w:lineRule="exact"/>
              <w:ind w:left="113" w:right="106"/>
              <w:rPr>
                <w:sz w:val="21"/>
              </w:rPr>
            </w:pPr>
            <w:r>
              <w:rPr>
                <w:rFonts w:hint="eastAsia"/>
                <w:sz w:val="21"/>
              </w:rPr>
              <w:t>应急消防栓</w:t>
            </w:r>
          </w:p>
        </w:tc>
        <w:tc>
          <w:tcPr>
            <w:tcW w:w="676" w:type="dxa"/>
          </w:tcPr>
          <w:p w:rsidR="00B04AE3" w:rsidRDefault="00B04AE3">
            <w:pPr>
              <w:pStyle w:val="TableParagraph"/>
              <w:spacing w:before="13" w:line="247" w:lineRule="exact"/>
              <w:ind w:left="113" w:right="106"/>
              <w:rPr>
                <w:sz w:val="21"/>
              </w:rPr>
            </w:pPr>
            <w:r>
              <w:rPr>
                <w:sz w:val="21"/>
              </w:rPr>
              <w:t>10</w:t>
            </w:r>
          </w:p>
        </w:tc>
        <w:tc>
          <w:tcPr>
            <w:tcW w:w="2155" w:type="dxa"/>
          </w:tcPr>
          <w:p w:rsidR="00B04AE3" w:rsidRDefault="00B04AE3">
            <w:pPr>
              <w:pStyle w:val="TableParagraph"/>
              <w:spacing w:before="13" w:line="247" w:lineRule="exact"/>
              <w:ind w:left="113" w:right="106"/>
              <w:rPr>
                <w:sz w:val="21"/>
              </w:rPr>
            </w:pPr>
            <w:r>
              <w:rPr>
                <w:rFonts w:hint="eastAsia"/>
                <w:sz w:val="21"/>
              </w:rPr>
              <w:t>厂区</w:t>
            </w:r>
          </w:p>
        </w:tc>
        <w:tc>
          <w:tcPr>
            <w:tcW w:w="918" w:type="dxa"/>
          </w:tcPr>
          <w:p w:rsidR="00B04AE3" w:rsidRDefault="00B04AE3">
            <w:pPr>
              <w:pStyle w:val="TableParagraph"/>
              <w:spacing w:before="13" w:line="247" w:lineRule="exact"/>
              <w:ind w:left="113" w:right="106"/>
              <w:rPr>
                <w:sz w:val="21"/>
              </w:rPr>
            </w:pPr>
            <w:r>
              <w:rPr>
                <w:rFonts w:hint="eastAsia"/>
                <w:sz w:val="21"/>
              </w:rPr>
              <w:t>刘超</w:t>
            </w:r>
          </w:p>
        </w:tc>
      </w:tr>
      <w:tr w:rsidR="00B04AE3">
        <w:trPr>
          <w:trHeight w:val="375"/>
        </w:trPr>
        <w:tc>
          <w:tcPr>
            <w:tcW w:w="1049" w:type="dxa"/>
            <w:vMerge/>
            <w:tcBorders>
              <w:top w:val="nil"/>
            </w:tcBorders>
          </w:tcPr>
          <w:p w:rsidR="00B04AE3" w:rsidRDefault="00B04AE3">
            <w:pPr>
              <w:rPr>
                <w:sz w:val="21"/>
              </w:rPr>
            </w:pPr>
          </w:p>
        </w:tc>
        <w:tc>
          <w:tcPr>
            <w:tcW w:w="818" w:type="dxa"/>
          </w:tcPr>
          <w:p w:rsidR="00B04AE3" w:rsidRDefault="00B04AE3">
            <w:pPr>
              <w:pStyle w:val="TableParagraph"/>
              <w:spacing w:before="86"/>
              <w:ind w:left="7"/>
              <w:rPr>
                <w:sz w:val="21"/>
              </w:rPr>
            </w:pPr>
            <w:r>
              <w:rPr>
                <w:sz w:val="21"/>
              </w:rPr>
              <w:t>2</w:t>
            </w:r>
          </w:p>
        </w:tc>
        <w:tc>
          <w:tcPr>
            <w:tcW w:w="2790" w:type="dxa"/>
          </w:tcPr>
          <w:p w:rsidR="00B04AE3" w:rsidRDefault="00B04AE3">
            <w:pPr>
              <w:pStyle w:val="TableParagraph"/>
              <w:spacing w:before="60"/>
              <w:ind w:left="113" w:right="103"/>
              <w:rPr>
                <w:sz w:val="21"/>
              </w:rPr>
            </w:pPr>
            <w:r>
              <w:rPr>
                <w:rFonts w:hint="eastAsia"/>
                <w:sz w:val="21"/>
              </w:rPr>
              <w:t>灭火器</w:t>
            </w:r>
          </w:p>
        </w:tc>
        <w:tc>
          <w:tcPr>
            <w:tcW w:w="676" w:type="dxa"/>
          </w:tcPr>
          <w:p w:rsidR="00B04AE3" w:rsidRDefault="00B04AE3">
            <w:pPr>
              <w:pStyle w:val="TableParagraph"/>
              <w:spacing w:before="74"/>
              <w:ind w:left="8"/>
              <w:rPr>
                <w:sz w:val="21"/>
              </w:rPr>
            </w:pPr>
            <w:r>
              <w:rPr>
                <w:sz w:val="21"/>
              </w:rPr>
              <w:t>5</w:t>
            </w:r>
          </w:p>
        </w:tc>
        <w:tc>
          <w:tcPr>
            <w:tcW w:w="2155" w:type="dxa"/>
          </w:tcPr>
          <w:p w:rsidR="00B04AE3" w:rsidRDefault="00B04AE3">
            <w:pPr>
              <w:pStyle w:val="TableParagraph"/>
              <w:spacing w:before="60"/>
              <w:ind w:left="5"/>
              <w:rPr>
                <w:sz w:val="21"/>
              </w:rPr>
            </w:pPr>
            <w:r>
              <w:rPr>
                <w:rFonts w:hint="eastAsia"/>
                <w:sz w:val="21"/>
              </w:rPr>
              <w:t>车间、宿舍楼、办公楼</w:t>
            </w:r>
          </w:p>
        </w:tc>
        <w:tc>
          <w:tcPr>
            <w:tcW w:w="918" w:type="dxa"/>
          </w:tcPr>
          <w:p w:rsidR="00B04AE3" w:rsidRDefault="00B04AE3">
            <w:pPr>
              <w:spacing w:before="60"/>
              <w:rPr>
                <w:sz w:val="21"/>
              </w:rPr>
            </w:pPr>
            <w:r>
              <w:rPr>
                <w:rFonts w:hint="eastAsia"/>
                <w:sz w:val="21"/>
              </w:rPr>
              <w:t>刘超</w:t>
            </w:r>
          </w:p>
        </w:tc>
      </w:tr>
      <w:tr w:rsidR="00B04AE3">
        <w:trPr>
          <w:trHeight w:val="320"/>
        </w:trPr>
        <w:tc>
          <w:tcPr>
            <w:tcW w:w="1049" w:type="dxa"/>
            <w:vMerge/>
            <w:tcBorders>
              <w:top w:val="nil"/>
            </w:tcBorders>
          </w:tcPr>
          <w:p w:rsidR="00B04AE3" w:rsidRDefault="00B04AE3">
            <w:pPr>
              <w:rPr>
                <w:sz w:val="21"/>
              </w:rPr>
            </w:pPr>
          </w:p>
        </w:tc>
        <w:tc>
          <w:tcPr>
            <w:tcW w:w="818" w:type="dxa"/>
          </w:tcPr>
          <w:p w:rsidR="00B04AE3" w:rsidRDefault="00B04AE3">
            <w:pPr>
              <w:pStyle w:val="TableParagraph"/>
              <w:spacing w:before="60" w:line="240" w:lineRule="exact"/>
              <w:ind w:left="7"/>
              <w:rPr>
                <w:sz w:val="21"/>
              </w:rPr>
            </w:pPr>
            <w:r>
              <w:rPr>
                <w:sz w:val="21"/>
              </w:rPr>
              <w:t>3</w:t>
            </w:r>
          </w:p>
        </w:tc>
        <w:tc>
          <w:tcPr>
            <w:tcW w:w="2790" w:type="dxa"/>
          </w:tcPr>
          <w:p w:rsidR="00B04AE3" w:rsidRDefault="00B04AE3">
            <w:pPr>
              <w:pStyle w:val="TableParagraph"/>
              <w:spacing w:before="46" w:line="254" w:lineRule="exact"/>
              <w:ind w:left="113" w:right="106"/>
              <w:rPr>
                <w:sz w:val="21"/>
              </w:rPr>
            </w:pPr>
            <w:r>
              <w:rPr>
                <w:rFonts w:hint="eastAsia"/>
                <w:sz w:val="21"/>
              </w:rPr>
              <w:t>空气呼吸器</w:t>
            </w:r>
          </w:p>
        </w:tc>
        <w:tc>
          <w:tcPr>
            <w:tcW w:w="676" w:type="dxa"/>
          </w:tcPr>
          <w:p w:rsidR="00B04AE3" w:rsidRDefault="00B04AE3">
            <w:pPr>
              <w:pStyle w:val="TableParagraph"/>
              <w:spacing w:before="60" w:line="240" w:lineRule="exact"/>
              <w:ind w:left="105" w:right="97"/>
              <w:rPr>
                <w:sz w:val="21"/>
              </w:rPr>
            </w:pPr>
            <w:r>
              <w:rPr>
                <w:sz w:val="21"/>
              </w:rPr>
              <w:t>20</w:t>
            </w:r>
          </w:p>
        </w:tc>
        <w:tc>
          <w:tcPr>
            <w:tcW w:w="2155" w:type="dxa"/>
          </w:tcPr>
          <w:p w:rsidR="00B04AE3" w:rsidRDefault="00B04AE3">
            <w:pPr>
              <w:pStyle w:val="TableParagraph"/>
              <w:spacing w:before="22"/>
              <w:ind w:left="5"/>
              <w:rPr>
                <w:sz w:val="21"/>
              </w:rPr>
            </w:pPr>
            <w:r>
              <w:rPr>
                <w:rFonts w:hint="eastAsia"/>
                <w:sz w:val="21"/>
              </w:rPr>
              <w:t>车间</w:t>
            </w:r>
          </w:p>
        </w:tc>
        <w:tc>
          <w:tcPr>
            <w:tcW w:w="918" w:type="dxa"/>
          </w:tcPr>
          <w:p w:rsidR="00B04AE3" w:rsidRDefault="00B04AE3">
            <w:pPr>
              <w:spacing w:before="22"/>
              <w:rPr>
                <w:sz w:val="21"/>
              </w:rPr>
            </w:pPr>
            <w:r>
              <w:rPr>
                <w:rFonts w:hint="eastAsia"/>
                <w:sz w:val="21"/>
              </w:rPr>
              <w:t>刘超</w:t>
            </w:r>
          </w:p>
        </w:tc>
      </w:tr>
      <w:tr w:rsidR="00B04AE3">
        <w:trPr>
          <w:trHeight w:val="320"/>
        </w:trPr>
        <w:tc>
          <w:tcPr>
            <w:tcW w:w="1049" w:type="dxa"/>
            <w:vMerge/>
            <w:tcBorders>
              <w:top w:val="nil"/>
            </w:tcBorders>
          </w:tcPr>
          <w:p w:rsidR="00B04AE3" w:rsidRDefault="00B04AE3">
            <w:pPr>
              <w:rPr>
                <w:sz w:val="21"/>
              </w:rPr>
            </w:pPr>
          </w:p>
        </w:tc>
        <w:tc>
          <w:tcPr>
            <w:tcW w:w="818" w:type="dxa"/>
          </w:tcPr>
          <w:p w:rsidR="00B04AE3" w:rsidRDefault="00B04AE3">
            <w:pPr>
              <w:pStyle w:val="TableParagraph"/>
              <w:spacing w:before="59" w:line="241" w:lineRule="exact"/>
              <w:ind w:left="7"/>
              <w:rPr>
                <w:sz w:val="21"/>
              </w:rPr>
            </w:pPr>
            <w:r>
              <w:rPr>
                <w:sz w:val="21"/>
              </w:rPr>
              <w:t>4</w:t>
            </w:r>
          </w:p>
        </w:tc>
        <w:tc>
          <w:tcPr>
            <w:tcW w:w="2790" w:type="dxa"/>
          </w:tcPr>
          <w:p w:rsidR="00B04AE3" w:rsidRDefault="00B04AE3">
            <w:pPr>
              <w:pStyle w:val="TableParagraph"/>
              <w:spacing w:before="45" w:line="255" w:lineRule="exact"/>
              <w:ind w:left="113" w:right="106"/>
              <w:rPr>
                <w:sz w:val="21"/>
              </w:rPr>
            </w:pPr>
            <w:r>
              <w:rPr>
                <w:rFonts w:hint="eastAsia"/>
                <w:sz w:val="21"/>
              </w:rPr>
              <w:t>防毒面具</w:t>
            </w:r>
          </w:p>
        </w:tc>
        <w:tc>
          <w:tcPr>
            <w:tcW w:w="676" w:type="dxa"/>
          </w:tcPr>
          <w:p w:rsidR="00B04AE3" w:rsidRDefault="00B04AE3">
            <w:pPr>
              <w:pStyle w:val="TableParagraph"/>
              <w:spacing w:before="59" w:line="241" w:lineRule="exact"/>
              <w:ind w:left="105" w:right="97"/>
              <w:rPr>
                <w:sz w:val="21"/>
              </w:rPr>
            </w:pPr>
            <w:r>
              <w:rPr>
                <w:sz w:val="21"/>
              </w:rPr>
              <w:t>50</w:t>
            </w:r>
          </w:p>
        </w:tc>
        <w:tc>
          <w:tcPr>
            <w:tcW w:w="2155" w:type="dxa"/>
          </w:tcPr>
          <w:p w:rsidR="00B04AE3" w:rsidRDefault="00B04AE3">
            <w:pPr>
              <w:pStyle w:val="TableParagraph"/>
              <w:spacing w:before="23"/>
              <w:ind w:left="8"/>
              <w:rPr>
                <w:sz w:val="21"/>
              </w:rPr>
            </w:pPr>
            <w:r>
              <w:rPr>
                <w:rFonts w:hint="eastAsia"/>
                <w:sz w:val="21"/>
              </w:rPr>
              <w:t>车间</w:t>
            </w:r>
          </w:p>
        </w:tc>
        <w:tc>
          <w:tcPr>
            <w:tcW w:w="918" w:type="dxa"/>
          </w:tcPr>
          <w:p w:rsidR="00B04AE3" w:rsidRDefault="00B04AE3">
            <w:pPr>
              <w:spacing w:before="23"/>
              <w:rPr>
                <w:sz w:val="21"/>
              </w:rPr>
            </w:pPr>
            <w:r>
              <w:rPr>
                <w:rFonts w:hint="eastAsia"/>
                <w:sz w:val="21"/>
              </w:rPr>
              <w:t>刘超</w:t>
            </w:r>
          </w:p>
        </w:tc>
      </w:tr>
      <w:tr w:rsidR="00B04AE3">
        <w:trPr>
          <w:trHeight w:val="320"/>
        </w:trPr>
        <w:tc>
          <w:tcPr>
            <w:tcW w:w="1049" w:type="dxa"/>
            <w:vMerge/>
            <w:tcBorders>
              <w:top w:val="nil"/>
            </w:tcBorders>
          </w:tcPr>
          <w:p w:rsidR="00B04AE3" w:rsidRDefault="00B04AE3">
            <w:pPr>
              <w:rPr>
                <w:sz w:val="21"/>
              </w:rPr>
            </w:pPr>
          </w:p>
        </w:tc>
        <w:tc>
          <w:tcPr>
            <w:tcW w:w="818" w:type="dxa"/>
          </w:tcPr>
          <w:p w:rsidR="00B04AE3" w:rsidRDefault="00B04AE3">
            <w:pPr>
              <w:pStyle w:val="TableParagraph"/>
              <w:spacing w:before="60" w:line="240" w:lineRule="exact"/>
              <w:ind w:left="7"/>
              <w:rPr>
                <w:sz w:val="21"/>
              </w:rPr>
            </w:pPr>
            <w:r>
              <w:rPr>
                <w:sz w:val="21"/>
              </w:rPr>
              <w:t>5</w:t>
            </w:r>
          </w:p>
        </w:tc>
        <w:tc>
          <w:tcPr>
            <w:tcW w:w="2790" w:type="dxa"/>
          </w:tcPr>
          <w:p w:rsidR="00B04AE3" w:rsidRDefault="00B04AE3">
            <w:pPr>
              <w:pStyle w:val="TableParagraph"/>
              <w:spacing w:before="46" w:line="254" w:lineRule="exact"/>
              <w:ind w:left="113" w:right="106"/>
              <w:rPr>
                <w:sz w:val="21"/>
              </w:rPr>
            </w:pPr>
            <w:r>
              <w:rPr>
                <w:rFonts w:hint="eastAsia"/>
                <w:sz w:val="21"/>
              </w:rPr>
              <w:t>防护服、防护手套、防护靴</w:t>
            </w:r>
          </w:p>
        </w:tc>
        <w:tc>
          <w:tcPr>
            <w:tcW w:w="676" w:type="dxa"/>
          </w:tcPr>
          <w:p w:rsidR="00B04AE3" w:rsidRDefault="00B04AE3">
            <w:pPr>
              <w:pStyle w:val="TableParagraph"/>
              <w:spacing w:before="60" w:line="240" w:lineRule="exact"/>
              <w:ind w:left="105" w:right="97"/>
              <w:rPr>
                <w:sz w:val="21"/>
              </w:rPr>
            </w:pPr>
            <w:r>
              <w:rPr>
                <w:sz w:val="21"/>
              </w:rPr>
              <w:t>100</w:t>
            </w:r>
          </w:p>
        </w:tc>
        <w:tc>
          <w:tcPr>
            <w:tcW w:w="2155" w:type="dxa"/>
          </w:tcPr>
          <w:p w:rsidR="00B04AE3" w:rsidRDefault="00B04AE3">
            <w:pPr>
              <w:pStyle w:val="TableParagraph"/>
              <w:spacing w:before="22"/>
              <w:ind w:left="5"/>
              <w:rPr>
                <w:sz w:val="21"/>
              </w:rPr>
            </w:pPr>
            <w:r>
              <w:rPr>
                <w:rFonts w:hint="eastAsia"/>
                <w:sz w:val="21"/>
              </w:rPr>
              <w:t>车间</w:t>
            </w:r>
          </w:p>
        </w:tc>
        <w:tc>
          <w:tcPr>
            <w:tcW w:w="918" w:type="dxa"/>
          </w:tcPr>
          <w:p w:rsidR="00B04AE3" w:rsidRDefault="00B04AE3">
            <w:pPr>
              <w:spacing w:before="22"/>
              <w:rPr>
                <w:sz w:val="21"/>
              </w:rPr>
            </w:pPr>
            <w:r>
              <w:rPr>
                <w:rFonts w:hint="eastAsia"/>
                <w:sz w:val="21"/>
              </w:rPr>
              <w:t>刘超</w:t>
            </w:r>
          </w:p>
        </w:tc>
      </w:tr>
      <w:tr w:rsidR="00B04AE3">
        <w:trPr>
          <w:trHeight w:val="545"/>
        </w:trPr>
        <w:tc>
          <w:tcPr>
            <w:tcW w:w="1049" w:type="dxa"/>
            <w:vMerge/>
            <w:tcBorders>
              <w:top w:val="nil"/>
            </w:tcBorders>
          </w:tcPr>
          <w:p w:rsidR="00B04AE3" w:rsidRDefault="00B04AE3">
            <w:pPr>
              <w:rPr>
                <w:sz w:val="21"/>
              </w:rPr>
            </w:pPr>
          </w:p>
        </w:tc>
        <w:tc>
          <w:tcPr>
            <w:tcW w:w="818" w:type="dxa"/>
          </w:tcPr>
          <w:p w:rsidR="00B04AE3" w:rsidRDefault="00B04AE3">
            <w:pPr>
              <w:pStyle w:val="TableParagraph"/>
              <w:spacing w:before="171"/>
              <w:ind w:left="7"/>
              <w:rPr>
                <w:sz w:val="21"/>
              </w:rPr>
            </w:pPr>
            <w:r>
              <w:rPr>
                <w:sz w:val="21"/>
              </w:rPr>
              <w:t>6</w:t>
            </w:r>
          </w:p>
        </w:tc>
        <w:tc>
          <w:tcPr>
            <w:tcW w:w="2790" w:type="dxa"/>
          </w:tcPr>
          <w:p w:rsidR="00B04AE3" w:rsidRDefault="00B04AE3">
            <w:pPr>
              <w:pStyle w:val="TableParagraph"/>
              <w:spacing w:before="157"/>
              <w:ind w:left="113" w:right="106"/>
              <w:rPr>
                <w:sz w:val="21"/>
              </w:rPr>
            </w:pPr>
            <w:r>
              <w:rPr>
                <w:rFonts w:hint="eastAsia"/>
                <w:sz w:val="21"/>
              </w:rPr>
              <w:t>应急照明灯</w:t>
            </w:r>
          </w:p>
        </w:tc>
        <w:tc>
          <w:tcPr>
            <w:tcW w:w="676" w:type="dxa"/>
          </w:tcPr>
          <w:p w:rsidR="00B04AE3" w:rsidRDefault="00B04AE3">
            <w:pPr>
              <w:pStyle w:val="TableParagraph"/>
              <w:spacing w:before="171"/>
              <w:ind w:left="105" w:right="97"/>
              <w:rPr>
                <w:sz w:val="21"/>
              </w:rPr>
            </w:pPr>
            <w:r>
              <w:rPr>
                <w:sz w:val="21"/>
              </w:rPr>
              <w:t>20</w:t>
            </w:r>
          </w:p>
        </w:tc>
        <w:tc>
          <w:tcPr>
            <w:tcW w:w="2155" w:type="dxa"/>
          </w:tcPr>
          <w:p w:rsidR="00B04AE3" w:rsidRDefault="00B04AE3">
            <w:pPr>
              <w:pStyle w:val="TableParagraph"/>
              <w:spacing w:line="268" w:lineRule="exact"/>
              <w:ind w:left="8"/>
              <w:rPr>
                <w:sz w:val="21"/>
              </w:rPr>
            </w:pPr>
            <w:r>
              <w:rPr>
                <w:rFonts w:hint="eastAsia"/>
                <w:sz w:val="21"/>
              </w:rPr>
              <w:t>车间、宿舍楼、办公</w:t>
            </w:r>
          </w:p>
          <w:p w:rsidR="00B04AE3" w:rsidRDefault="00B04AE3">
            <w:pPr>
              <w:pStyle w:val="TableParagraph"/>
              <w:spacing w:before="4" w:line="252" w:lineRule="exact"/>
              <w:ind w:left="8"/>
              <w:rPr>
                <w:sz w:val="21"/>
              </w:rPr>
            </w:pPr>
            <w:r>
              <w:rPr>
                <w:rFonts w:hint="eastAsia"/>
                <w:sz w:val="21"/>
              </w:rPr>
              <w:t>楼</w:t>
            </w:r>
          </w:p>
        </w:tc>
        <w:tc>
          <w:tcPr>
            <w:tcW w:w="918" w:type="dxa"/>
          </w:tcPr>
          <w:p w:rsidR="00B04AE3" w:rsidRDefault="00B04AE3">
            <w:pPr>
              <w:spacing w:before="136"/>
              <w:rPr>
                <w:sz w:val="21"/>
              </w:rPr>
            </w:pPr>
            <w:r>
              <w:rPr>
                <w:rFonts w:hint="eastAsia"/>
                <w:sz w:val="21"/>
              </w:rPr>
              <w:t>刘超</w:t>
            </w:r>
          </w:p>
        </w:tc>
      </w:tr>
      <w:tr w:rsidR="00B04AE3">
        <w:trPr>
          <w:trHeight w:val="543"/>
        </w:trPr>
        <w:tc>
          <w:tcPr>
            <w:tcW w:w="1049" w:type="dxa"/>
            <w:vMerge w:val="restart"/>
          </w:tcPr>
          <w:p w:rsidR="00B04AE3" w:rsidRDefault="00B04AE3">
            <w:pPr>
              <w:pStyle w:val="TableParagraph"/>
              <w:spacing w:before="13" w:line="247" w:lineRule="exact"/>
              <w:ind w:left="113" w:right="106"/>
              <w:rPr>
                <w:sz w:val="21"/>
              </w:rPr>
            </w:pPr>
            <w:r>
              <w:rPr>
                <w:rFonts w:hint="eastAsia"/>
                <w:sz w:val="21"/>
              </w:rPr>
              <w:t>应急救</w:t>
            </w:r>
          </w:p>
          <w:p w:rsidR="00B04AE3" w:rsidRDefault="00B04AE3">
            <w:pPr>
              <w:pStyle w:val="TableParagraph"/>
              <w:spacing w:before="13" w:line="247" w:lineRule="exact"/>
              <w:ind w:left="113" w:right="106"/>
              <w:rPr>
                <w:sz w:val="21"/>
              </w:rPr>
            </w:pPr>
            <w:r>
              <w:rPr>
                <w:rFonts w:hint="eastAsia"/>
                <w:sz w:val="21"/>
              </w:rPr>
              <w:t>治装备与材料</w:t>
            </w:r>
          </w:p>
        </w:tc>
        <w:tc>
          <w:tcPr>
            <w:tcW w:w="818" w:type="dxa"/>
          </w:tcPr>
          <w:p w:rsidR="00B04AE3" w:rsidRDefault="00B04AE3">
            <w:pPr>
              <w:pStyle w:val="TableParagraph"/>
              <w:spacing w:before="13" w:line="247" w:lineRule="exact"/>
              <w:ind w:left="113" w:right="106"/>
              <w:rPr>
                <w:sz w:val="21"/>
              </w:rPr>
            </w:pPr>
            <w:r>
              <w:rPr>
                <w:sz w:val="21"/>
              </w:rPr>
              <w:t>1</w:t>
            </w:r>
          </w:p>
        </w:tc>
        <w:tc>
          <w:tcPr>
            <w:tcW w:w="2790" w:type="dxa"/>
          </w:tcPr>
          <w:p w:rsidR="00B04AE3" w:rsidRDefault="00B04AE3">
            <w:pPr>
              <w:pStyle w:val="TableParagraph"/>
              <w:spacing w:before="13" w:line="247" w:lineRule="exact"/>
              <w:ind w:left="113" w:right="106"/>
              <w:rPr>
                <w:sz w:val="21"/>
              </w:rPr>
            </w:pPr>
            <w:r>
              <w:rPr>
                <w:rFonts w:hint="eastAsia"/>
                <w:sz w:val="21"/>
              </w:rPr>
              <w:t>消毒药水、消毒纱布</w:t>
            </w:r>
          </w:p>
        </w:tc>
        <w:tc>
          <w:tcPr>
            <w:tcW w:w="676" w:type="dxa"/>
          </w:tcPr>
          <w:p w:rsidR="00B04AE3" w:rsidRDefault="00B04AE3">
            <w:pPr>
              <w:pStyle w:val="TableParagraph"/>
              <w:spacing w:before="13" w:line="247" w:lineRule="exact"/>
              <w:ind w:left="113" w:right="106"/>
              <w:rPr>
                <w:sz w:val="21"/>
              </w:rPr>
            </w:pPr>
            <w:r>
              <w:rPr>
                <w:sz w:val="21"/>
              </w:rPr>
              <w:t>20</w:t>
            </w:r>
          </w:p>
        </w:tc>
        <w:tc>
          <w:tcPr>
            <w:tcW w:w="2155" w:type="dxa"/>
          </w:tcPr>
          <w:p w:rsidR="00B04AE3" w:rsidRDefault="00B04AE3">
            <w:pPr>
              <w:pStyle w:val="TableParagraph"/>
              <w:spacing w:before="13" w:line="247" w:lineRule="exact"/>
              <w:ind w:left="113" w:right="106"/>
              <w:rPr>
                <w:sz w:val="21"/>
              </w:rPr>
            </w:pPr>
            <w:r>
              <w:rPr>
                <w:rFonts w:hint="eastAsia"/>
                <w:sz w:val="21"/>
              </w:rPr>
              <w:t>行政部</w:t>
            </w:r>
          </w:p>
        </w:tc>
        <w:tc>
          <w:tcPr>
            <w:tcW w:w="918" w:type="dxa"/>
          </w:tcPr>
          <w:p w:rsidR="00B04AE3" w:rsidRDefault="00B04AE3">
            <w:pPr>
              <w:pStyle w:val="TableParagraph"/>
              <w:spacing w:before="13" w:line="247" w:lineRule="exact"/>
              <w:ind w:left="113" w:right="106"/>
              <w:rPr>
                <w:sz w:val="21"/>
              </w:rPr>
            </w:pPr>
            <w:r>
              <w:rPr>
                <w:rFonts w:hint="eastAsia"/>
                <w:sz w:val="21"/>
              </w:rPr>
              <w:t>夏志亮</w:t>
            </w:r>
          </w:p>
        </w:tc>
      </w:tr>
      <w:tr w:rsidR="00B04AE3">
        <w:trPr>
          <w:trHeight w:val="406"/>
        </w:trPr>
        <w:tc>
          <w:tcPr>
            <w:tcW w:w="1049" w:type="dxa"/>
            <w:vMerge/>
            <w:tcBorders>
              <w:top w:val="nil"/>
            </w:tcBorders>
          </w:tcPr>
          <w:p w:rsidR="00B04AE3" w:rsidRDefault="00B04AE3">
            <w:pPr>
              <w:rPr>
                <w:sz w:val="21"/>
              </w:rPr>
            </w:pPr>
          </w:p>
        </w:tc>
        <w:tc>
          <w:tcPr>
            <w:tcW w:w="818" w:type="dxa"/>
          </w:tcPr>
          <w:p w:rsidR="00B04AE3" w:rsidRDefault="00B04AE3">
            <w:pPr>
              <w:pStyle w:val="TableParagraph"/>
              <w:spacing w:before="103"/>
              <w:ind w:left="7"/>
              <w:rPr>
                <w:sz w:val="21"/>
              </w:rPr>
            </w:pPr>
            <w:r>
              <w:rPr>
                <w:sz w:val="21"/>
              </w:rPr>
              <w:t>2</w:t>
            </w:r>
          </w:p>
        </w:tc>
        <w:tc>
          <w:tcPr>
            <w:tcW w:w="2790" w:type="dxa"/>
          </w:tcPr>
          <w:p w:rsidR="00B04AE3" w:rsidRDefault="00B04AE3">
            <w:pPr>
              <w:pStyle w:val="TableParagraph"/>
              <w:spacing w:before="89"/>
              <w:ind w:left="113" w:right="106"/>
              <w:rPr>
                <w:sz w:val="21"/>
              </w:rPr>
            </w:pPr>
            <w:r>
              <w:rPr>
                <w:rFonts w:hint="eastAsia"/>
                <w:sz w:val="21"/>
              </w:rPr>
              <w:t>应急药箱</w:t>
            </w:r>
          </w:p>
        </w:tc>
        <w:tc>
          <w:tcPr>
            <w:tcW w:w="676" w:type="dxa"/>
          </w:tcPr>
          <w:p w:rsidR="00B04AE3" w:rsidRDefault="00B04AE3">
            <w:pPr>
              <w:pStyle w:val="TableParagraph"/>
              <w:spacing w:before="103"/>
              <w:ind w:left="8"/>
              <w:rPr>
                <w:sz w:val="21"/>
              </w:rPr>
            </w:pPr>
            <w:r>
              <w:rPr>
                <w:sz w:val="21"/>
              </w:rPr>
              <w:t>2</w:t>
            </w:r>
          </w:p>
        </w:tc>
        <w:tc>
          <w:tcPr>
            <w:tcW w:w="2155" w:type="dxa"/>
          </w:tcPr>
          <w:p w:rsidR="00B04AE3" w:rsidRDefault="00B04AE3">
            <w:pPr>
              <w:pStyle w:val="TableParagraph"/>
              <w:ind w:left="5"/>
              <w:rPr>
                <w:sz w:val="21"/>
              </w:rPr>
            </w:pPr>
            <w:r>
              <w:rPr>
                <w:rFonts w:hint="eastAsia"/>
                <w:sz w:val="21"/>
              </w:rPr>
              <w:t>行政部</w:t>
            </w:r>
          </w:p>
        </w:tc>
        <w:tc>
          <w:tcPr>
            <w:tcW w:w="918" w:type="dxa"/>
          </w:tcPr>
          <w:p w:rsidR="00B04AE3" w:rsidRDefault="00B04AE3">
            <w:pPr>
              <w:rPr>
                <w:sz w:val="21"/>
              </w:rPr>
            </w:pPr>
            <w:r>
              <w:rPr>
                <w:rFonts w:hint="eastAsia"/>
                <w:sz w:val="21"/>
              </w:rPr>
              <w:t>夏志亮</w:t>
            </w:r>
          </w:p>
        </w:tc>
      </w:tr>
    </w:tbl>
    <w:p w:rsidR="00B04AE3" w:rsidRDefault="00B04AE3">
      <w:pPr>
        <w:pStyle w:val="ListParagraph"/>
        <w:numPr>
          <w:ilvl w:val="2"/>
          <w:numId w:val="20"/>
        </w:numPr>
        <w:tabs>
          <w:tab w:val="left" w:pos="878"/>
        </w:tabs>
        <w:ind w:left="877" w:hanging="540"/>
        <w:rPr>
          <w:b/>
          <w:sz w:val="24"/>
        </w:rPr>
      </w:pPr>
      <w:bookmarkStart w:id="80" w:name="4.1.3其他技术措施"/>
      <w:bookmarkEnd w:id="80"/>
      <w:r>
        <w:rPr>
          <w:rFonts w:hint="eastAsia"/>
          <w:b/>
          <w:sz w:val="24"/>
        </w:rPr>
        <w:t>其他技术措施</w:t>
      </w:r>
    </w:p>
    <w:p w:rsidR="00B04AE3" w:rsidRDefault="00B04AE3">
      <w:pPr>
        <w:pStyle w:val="ListParagraph"/>
        <w:numPr>
          <w:ilvl w:val="3"/>
          <w:numId w:val="20"/>
        </w:numPr>
        <w:tabs>
          <w:tab w:val="left" w:pos="1299"/>
        </w:tabs>
        <w:spacing w:before="158"/>
        <w:rPr>
          <w:b/>
          <w:sz w:val="24"/>
        </w:rPr>
      </w:pPr>
      <w:r>
        <w:rPr>
          <w:rFonts w:hint="eastAsia"/>
          <w:b/>
          <w:sz w:val="24"/>
        </w:rPr>
        <w:t>防渗措施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厂区生产车间、仓库地面均为水泥硬化地面，具有一定的防渗功能。沉淀池、化粪池、全厂事故池已池体均已做防渗处理。</w:t>
      </w:r>
    </w:p>
    <w:p w:rsidR="00B04AE3" w:rsidRDefault="00B04AE3">
      <w:pPr>
        <w:pStyle w:val="ListParagraph"/>
        <w:numPr>
          <w:ilvl w:val="3"/>
          <w:numId w:val="20"/>
        </w:numPr>
        <w:tabs>
          <w:tab w:val="left" w:pos="1299"/>
        </w:tabs>
        <w:spacing w:before="5"/>
        <w:rPr>
          <w:b/>
          <w:sz w:val="24"/>
        </w:rPr>
      </w:pPr>
      <w:r>
        <w:rPr>
          <w:rFonts w:hint="eastAsia"/>
          <w:b/>
          <w:sz w:val="24"/>
        </w:rPr>
        <w:t>三级防控体系及事故废水收集措施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一级防控：项目危化品库设置有围堰，发生泄漏时，物料将被围堰阻挡于其中，以上作为企业一级防控措施可以有效防止少量物料泄漏事故等。</w:t>
      </w:r>
    </w:p>
    <w:p w:rsidR="00B04AE3" w:rsidRDefault="00B04AE3">
      <w:pPr>
        <w:pStyle w:val="BodyText"/>
        <w:spacing w:before="20" w:line="360" w:lineRule="auto"/>
        <w:ind w:left="334" w:right="334" w:firstLine="482"/>
        <w:jc w:val="both"/>
        <w:rPr>
          <w:spacing w:val="-6"/>
          <w:szCs w:val="22"/>
        </w:rPr>
      </w:pPr>
      <w:r>
        <w:rPr>
          <w:rFonts w:hint="eastAsia"/>
          <w:spacing w:val="-6"/>
          <w:szCs w:val="22"/>
        </w:rPr>
        <w:t>二级防控：当厂区内产生较多事故废水时，开启与污水管网的连接阀，使大量事故废水沿污水管网进入厂区的事故水池中。如果部分废水漫流进入雨水管网，应设置截止阀（新增），关闭雨水排放口，将雨水管网与事故水池相连，使废水进入事故水池中，避免进入外环境。以上措施作为企业二级防控措施，目的在于切断污染物与外界的通道，将污染物导入事故水池，最终进入污水处理系统处理。将污染控制在厂区，防止产生的较大事故泄漏物料和消防废水造成的环境污染。</w:t>
      </w:r>
    </w:p>
    <w:p w:rsidR="00B04AE3" w:rsidRDefault="00B04AE3">
      <w:pPr>
        <w:pStyle w:val="BodyText"/>
        <w:spacing w:before="20" w:line="360" w:lineRule="auto"/>
        <w:ind w:left="334" w:right="334" w:firstLine="482"/>
        <w:jc w:val="both"/>
        <w:rPr>
          <w:spacing w:val="-6"/>
          <w:szCs w:val="22"/>
        </w:rPr>
      </w:pPr>
      <w:r>
        <w:rPr>
          <w:rFonts w:hint="eastAsia"/>
          <w:spacing w:val="-6"/>
          <w:szCs w:val="22"/>
        </w:rPr>
        <w:t>三级防线：在化粪池的总排口前增设总切断阀，作为事故状态下的储存和调开手段，厂区实验室定期对化粪池进行快速检测，检测达标后方可排放，一旦检测化粪池出水出现异常，立即将排放阀关闭，并将废水导入厂区总事故水池中。将污染物控制在厂区内，防止重大事故对环境造成污染。</w:t>
      </w:r>
    </w:p>
    <w:p w:rsidR="00B04AE3" w:rsidRDefault="00B04AE3">
      <w:pPr>
        <w:pStyle w:val="ListParagraph"/>
        <w:numPr>
          <w:ilvl w:val="2"/>
          <w:numId w:val="20"/>
        </w:numPr>
        <w:tabs>
          <w:tab w:val="left" w:pos="878"/>
        </w:tabs>
        <w:ind w:left="877" w:hanging="540"/>
        <w:rPr>
          <w:b/>
          <w:sz w:val="24"/>
        </w:rPr>
      </w:pPr>
      <w:bookmarkStart w:id="81" w:name="4.1.4人员培训管理制度"/>
      <w:bookmarkEnd w:id="81"/>
      <w:r>
        <w:rPr>
          <w:rFonts w:hint="eastAsia"/>
          <w:b/>
          <w:sz w:val="24"/>
        </w:rPr>
        <w:t>人员培训管理制度</w:t>
      </w:r>
    </w:p>
    <w:p w:rsidR="00B04AE3" w:rsidRDefault="00B04AE3">
      <w:pPr>
        <w:pStyle w:val="BodyText"/>
        <w:spacing w:before="20" w:line="360" w:lineRule="auto"/>
        <w:ind w:left="334" w:right="334" w:firstLine="482"/>
        <w:jc w:val="both"/>
        <w:rPr>
          <w:spacing w:val="-6"/>
          <w:szCs w:val="22"/>
        </w:rPr>
      </w:pPr>
      <w:r>
        <w:rPr>
          <w:rFonts w:hint="eastAsia"/>
          <w:spacing w:val="-6"/>
          <w:szCs w:val="22"/>
        </w:rPr>
        <w:t>事故发生的主要原因是人为因素，提高职工素质，加强岗位培训，严格安全生产制度是防范事故风险的主要手段。根据生产工艺特点和岗位操作要求，对入厂新工和转岗人员必须经过二级培训，达到合格后方可上岗，培训内容见表</w:t>
      </w:r>
      <w:r>
        <w:rPr>
          <w:spacing w:val="-6"/>
          <w:szCs w:val="22"/>
        </w:rPr>
        <w:t>4.1-2</w:t>
      </w:r>
      <w:r>
        <w:rPr>
          <w:rFonts w:hint="eastAsia"/>
          <w:spacing w:val="-6"/>
          <w:szCs w:val="22"/>
        </w:rPr>
        <w:t>。</w:t>
      </w:r>
    </w:p>
    <w:p w:rsidR="00B04AE3" w:rsidRDefault="00B04AE3">
      <w:pPr>
        <w:tabs>
          <w:tab w:val="left" w:pos="1046"/>
        </w:tabs>
        <w:spacing w:after="3" w:line="306" w:lineRule="exact"/>
        <w:ind w:left="7"/>
        <w:jc w:val="center"/>
        <w:rPr>
          <w:b/>
          <w:sz w:val="24"/>
        </w:rPr>
      </w:pPr>
      <w:r>
        <w:rPr>
          <w:rFonts w:hint="eastAsia"/>
          <w:b/>
          <w:sz w:val="24"/>
        </w:rPr>
        <w:t>表</w:t>
      </w:r>
      <w:r>
        <w:rPr>
          <w:b/>
          <w:spacing w:val="-62"/>
          <w:sz w:val="24"/>
        </w:rPr>
        <w:t xml:space="preserve"> </w:t>
      </w:r>
      <w:r>
        <w:rPr>
          <w:rFonts w:ascii="Times New Roman" w:eastAsia="Times New Roman"/>
          <w:b/>
          <w:sz w:val="24"/>
        </w:rPr>
        <w:t>4.1-2</w:t>
      </w:r>
      <w:r>
        <w:rPr>
          <w:rFonts w:ascii="Times New Roman" w:eastAsia="Times New Roman"/>
          <w:b/>
          <w:sz w:val="24"/>
        </w:rPr>
        <w:tab/>
      </w:r>
      <w:r>
        <w:rPr>
          <w:rFonts w:hint="eastAsia"/>
          <w:b/>
          <w:sz w:val="24"/>
        </w:rPr>
        <w:t>员工二级培训计划</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828"/>
        <w:gridCol w:w="1260"/>
        <w:gridCol w:w="5400"/>
        <w:gridCol w:w="1040"/>
      </w:tblGrid>
      <w:tr w:rsidR="00B04AE3">
        <w:trPr>
          <w:trHeight w:val="271"/>
        </w:trPr>
        <w:tc>
          <w:tcPr>
            <w:tcW w:w="828" w:type="dxa"/>
            <w:shd w:val="clear" w:color="auto" w:fill="DFDFDF"/>
          </w:tcPr>
          <w:p w:rsidR="00B04AE3" w:rsidRDefault="00B04AE3">
            <w:pPr>
              <w:pStyle w:val="TableParagraph"/>
              <w:spacing w:line="252" w:lineRule="exact"/>
              <w:ind w:left="183" w:right="173"/>
              <w:rPr>
                <w:b/>
                <w:sz w:val="21"/>
              </w:rPr>
            </w:pPr>
            <w:r>
              <w:rPr>
                <w:rFonts w:hint="eastAsia"/>
                <w:b/>
                <w:sz w:val="21"/>
              </w:rPr>
              <w:t>序号</w:t>
            </w:r>
          </w:p>
        </w:tc>
        <w:tc>
          <w:tcPr>
            <w:tcW w:w="1260" w:type="dxa"/>
            <w:shd w:val="clear" w:color="auto" w:fill="DFDFDF"/>
          </w:tcPr>
          <w:p w:rsidR="00B04AE3" w:rsidRDefault="00B04AE3">
            <w:pPr>
              <w:pStyle w:val="TableParagraph"/>
              <w:spacing w:line="252" w:lineRule="exact"/>
              <w:ind w:left="188" w:right="178"/>
              <w:rPr>
                <w:b/>
                <w:sz w:val="21"/>
              </w:rPr>
            </w:pPr>
            <w:r>
              <w:rPr>
                <w:rFonts w:hint="eastAsia"/>
                <w:b/>
                <w:sz w:val="21"/>
              </w:rPr>
              <w:t>级别</w:t>
            </w:r>
          </w:p>
        </w:tc>
        <w:tc>
          <w:tcPr>
            <w:tcW w:w="5400" w:type="dxa"/>
            <w:shd w:val="clear" w:color="auto" w:fill="DFDFDF"/>
          </w:tcPr>
          <w:p w:rsidR="00B04AE3" w:rsidRDefault="00B04AE3">
            <w:pPr>
              <w:pStyle w:val="TableParagraph"/>
              <w:spacing w:line="252" w:lineRule="exact"/>
              <w:ind w:left="2468" w:right="2460"/>
              <w:rPr>
                <w:b/>
                <w:sz w:val="21"/>
              </w:rPr>
            </w:pPr>
            <w:r>
              <w:rPr>
                <w:rFonts w:hint="eastAsia"/>
                <w:b/>
                <w:sz w:val="21"/>
              </w:rPr>
              <w:t>内容</w:t>
            </w:r>
          </w:p>
        </w:tc>
        <w:tc>
          <w:tcPr>
            <w:tcW w:w="1040" w:type="dxa"/>
            <w:shd w:val="clear" w:color="auto" w:fill="DFDFDF"/>
          </w:tcPr>
          <w:p w:rsidR="00B04AE3" w:rsidRDefault="00B04AE3">
            <w:pPr>
              <w:pStyle w:val="TableParagraph"/>
              <w:spacing w:line="252" w:lineRule="exact"/>
              <w:ind w:left="289" w:right="279"/>
              <w:rPr>
                <w:b/>
                <w:sz w:val="21"/>
              </w:rPr>
            </w:pPr>
            <w:r>
              <w:rPr>
                <w:rFonts w:hint="eastAsia"/>
                <w:b/>
                <w:sz w:val="21"/>
              </w:rPr>
              <w:t>学时</w:t>
            </w:r>
          </w:p>
        </w:tc>
      </w:tr>
      <w:tr w:rsidR="00B04AE3">
        <w:trPr>
          <w:trHeight w:val="1879"/>
        </w:trPr>
        <w:tc>
          <w:tcPr>
            <w:tcW w:w="828" w:type="dxa"/>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11"/>
              <w:jc w:val="left"/>
              <w:rPr>
                <w:b/>
                <w:sz w:val="20"/>
              </w:rPr>
            </w:pPr>
          </w:p>
          <w:p w:rsidR="00B04AE3" w:rsidRDefault="00B04AE3">
            <w:pPr>
              <w:pStyle w:val="TableParagraph"/>
              <w:ind w:left="7"/>
              <w:rPr>
                <w:rFonts w:ascii="Times New Roman"/>
                <w:sz w:val="21"/>
              </w:rPr>
            </w:pPr>
            <w:r>
              <w:rPr>
                <w:rFonts w:ascii="Times New Roman"/>
                <w:w w:val="99"/>
                <w:sz w:val="21"/>
              </w:rPr>
              <w:t>1</w:t>
            </w:r>
          </w:p>
        </w:tc>
        <w:tc>
          <w:tcPr>
            <w:tcW w:w="1260" w:type="dxa"/>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7"/>
              <w:jc w:val="left"/>
              <w:rPr>
                <w:b/>
                <w:sz w:val="23"/>
              </w:rPr>
            </w:pPr>
          </w:p>
          <w:p w:rsidR="00B04AE3" w:rsidRDefault="00B04AE3">
            <w:pPr>
              <w:pStyle w:val="TableParagraph"/>
              <w:spacing w:before="1"/>
              <w:ind w:left="188" w:right="182"/>
              <w:rPr>
                <w:sz w:val="21"/>
              </w:rPr>
            </w:pPr>
            <w:r>
              <w:rPr>
                <w:rFonts w:hint="eastAsia"/>
                <w:sz w:val="21"/>
              </w:rPr>
              <w:t>厂级教育</w:t>
            </w:r>
          </w:p>
        </w:tc>
        <w:tc>
          <w:tcPr>
            <w:tcW w:w="5400" w:type="dxa"/>
          </w:tcPr>
          <w:p w:rsidR="00B04AE3" w:rsidRDefault="00B04AE3">
            <w:pPr>
              <w:pStyle w:val="TableParagraph"/>
              <w:spacing w:before="2" w:line="270" w:lineRule="atLeast"/>
              <w:ind w:left="180" w:right="97" w:hanging="72"/>
              <w:jc w:val="both"/>
              <w:rPr>
                <w:spacing w:val="-8"/>
                <w:sz w:val="21"/>
              </w:rPr>
            </w:pPr>
            <w:r>
              <w:rPr>
                <w:rFonts w:hint="eastAsia"/>
                <w:spacing w:val="-8"/>
                <w:sz w:val="21"/>
              </w:rPr>
              <w:t>安全生产的重要性、方针、政策；公司介绍、厂规厂纪；</w:t>
            </w:r>
            <w:r>
              <w:rPr>
                <w:spacing w:val="-8"/>
                <w:sz w:val="21"/>
              </w:rPr>
              <w:t xml:space="preserve"> </w:t>
            </w:r>
            <w:r>
              <w:rPr>
                <w:rFonts w:hint="eastAsia"/>
                <w:spacing w:val="-8"/>
                <w:sz w:val="21"/>
              </w:rPr>
              <w:t>工作概况、生产特点、安全规定；安全生产、消防方面基础知识；公司安全生产的经验教训。环境保护基础知识；</w:t>
            </w:r>
            <w:r>
              <w:rPr>
                <w:spacing w:val="-8"/>
                <w:sz w:val="21"/>
              </w:rPr>
              <w:t xml:space="preserve"> </w:t>
            </w:r>
            <w:r>
              <w:rPr>
                <w:rFonts w:hint="eastAsia"/>
                <w:spacing w:val="-8"/>
                <w:sz w:val="21"/>
              </w:rPr>
              <w:t>污染减排法规政策；环境保护法律体系和标准体系；企业社会责任和企业环境社会责任；企业环境管理与监督基本</w:t>
            </w:r>
          </w:p>
          <w:p w:rsidR="00B04AE3" w:rsidRDefault="00B04AE3">
            <w:pPr>
              <w:pStyle w:val="TableParagraph"/>
              <w:spacing w:before="2" w:line="270" w:lineRule="atLeast"/>
              <w:ind w:left="180" w:right="97" w:hanging="72"/>
              <w:jc w:val="both"/>
              <w:rPr>
                <w:spacing w:val="-8"/>
                <w:sz w:val="21"/>
              </w:rPr>
            </w:pPr>
            <w:r>
              <w:rPr>
                <w:rFonts w:hint="eastAsia"/>
                <w:spacing w:val="-8"/>
                <w:sz w:val="21"/>
              </w:rPr>
              <w:t>理论及方法，包括日常环境管理和环境应急管理等；环境</w:t>
            </w:r>
            <w:r>
              <w:rPr>
                <w:spacing w:val="-8"/>
                <w:sz w:val="21"/>
              </w:rPr>
              <w:t xml:space="preserve"> </w:t>
            </w:r>
            <w:r>
              <w:rPr>
                <w:rFonts w:hint="eastAsia"/>
                <w:spacing w:val="-8"/>
                <w:sz w:val="21"/>
              </w:rPr>
              <w:t>污染控制和监测技术进展；企业环境监督员制度框架。</w:t>
            </w:r>
          </w:p>
        </w:tc>
        <w:tc>
          <w:tcPr>
            <w:tcW w:w="1040" w:type="dxa"/>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11"/>
              <w:jc w:val="left"/>
              <w:rPr>
                <w:b/>
                <w:sz w:val="20"/>
              </w:rPr>
            </w:pPr>
          </w:p>
          <w:p w:rsidR="00B04AE3" w:rsidRDefault="00B04AE3">
            <w:pPr>
              <w:pStyle w:val="TableParagraph"/>
              <w:ind w:left="287" w:right="279"/>
              <w:rPr>
                <w:rFonts w:ascii="Times New Roman"/>
                <w:sz w:val="21"/>
              </w:rPr>
            </w:pPr>
            <w:r>
              <w:rPr>
                <w:rFonts w:ascii="Times New Roman"/>
                <w:sz w:val="21"/>
              </w:rPr>
              <w:t>&gt;8</w:t>
            </w:r>
          </w:p>
        </w:tc>
      </w:tr>
      <w:tr w:rsidR="00B04AE3">
        <w:trPr>
          <w:trHeight w:val="1633"/>
        </w:trPr>
        <w:tc>
          <w:tcPr>
            <w:tcW w:w="828" w:type="dxa"/>
          </w:tcPr>
          <w:p w:rsidR="00B04AE3" w:rsidRDefault="00B04AE3">
            <w:pPr>
              <w:pStyle w:val="TableParagraph"/>
              <w:jc w:val="left"/>
              <w:rPr>
                <w:b/>
              </w:rPr>
            </w:pPr>
          </w:p>
          <w:p w:rsidR="00B04AE3" w:rsidRDefault="00B04AE3">
            <w:pPr>
              <w:pStyle w:val="TableParagraph"/>
              <w:spacing w:before="4"/>
              <w:jc w:val="left"/>
              <w:rPr>
                <w:b/>
                <w:sz w:val="32"/>
              </w:rPr>
            </w:pPr>
          </w:p>
          <w:p w:rsidR="00B04AE3" w:rsidRDefault="00B04AE3">
            <w:pPr>
              <w:pStyle w:val="TableParagraph"/>
              <w:ind w:left="7"/>
              <w:rPr>
                <w:rFonts w:ascii="Times New Roman"/>
                <w:sz w:val="21"/>
              </w:rPr>
            </w:pPr>
            <w:r>
              <w:rPr>
                <w:rFonts w:ascii="Times New Roman"/>
                <w:w w:val="99"/>
                <w:sz w:val="21"/>
              </w:rPr>
              <w:t>2</w:t>
            </w:r>
          </w:p>
        </w:tc>
        <w:tc>
          <w:tcPr>
            <w:tcW w:w="1260" w:type="dxa"/>
          </w:tcPr>
          <w:p w:rsidR="00B04AE3" w:rsidRDefault="00B04AE3">
            <w:pPr>
              <w:pStyle w:val="TableParagraph"/>
              <w:jc w:val="left"/>
              <w:rPr>
                <w:b/>
                <w:sz w:val="20"/>
              </w:rPr>
            </w:pPr>
          </w:p>
          <w:p w:rsidR="00B04AE3" w:rsidRDefault="00B04AE3">
            <w:pPr>
              <w:pStyle w:val="TableParagraph"/>
              <w:spacing w:before="7"/>
              <w:jc w:val="left"/>
              <w:rPr>
                <w:b/>
              </w:rPr>
            </w:pPr>
          </w:p>
          <w:p w:rsidR="00B04AE3" w:rsidRDefault="00B04AE3">
            <w:pPr>
              <w:pStyle w:val="TableParagraph"/>
              <w:spacing w:line="242" w:lineRule="auto"/>
              <w:ind w:left="209" w:right="201"/>
              <w:jc w:val="left"/>
              <w:rPr>
                <w:sz w:val="21"/>
              </w:rPr>
            </w:pPr>
            <w:r>
              <w:rPr>
                <w:rFonts w:hint="eastAsia"/>
                <w:sz w:val="21"/>
              </w:rPr>
              <w:t>部门（车间）教育</w:t>
            </w:r>
          </w:p>
        </w:tc>
        <w:tc>
          <w:tcPr>
            <w:tcW w:w="5400" w:type="dxa"/>
          </w:tcPr>
          <w:p w:rsidR="00B04AE3" w:rsidRDefault="00B04AE3">
            <w:pPr>
              <w:pStyle w:val="TableParagraph"/>
              <w:spacing w:before="2" w:line="270" w:lineRule="atLeast"/>
              <w:ind w:left="180" w:right="97" w:hanging="72"/>
              <w:jc w:val="both"/>
              <w:rPr>
                <w:spacing w:val="-8"/>
                <w:sz w:val="21"/>
              </w:rPr>
            </w:pPr>
            <w:r>
              <w:rPr>
                <w:rFonts w:hint="eastAsia"/>
                <w:spacing w:val="-8"/>
                <w:sz w:val="21"/>
              </w:rPr>
              <w:t>车间（部门）概况，生产特点及其在全厂生产中的地位和</w:t>
            </w:r>
            <w:r>
              <w:rPr>
                <w:spacing w:val="-8"/>
                <w:sz w:val="21"/>
              </w:rPr>
              <w:t xml:space="preserve"> </w:t>
            </w:r>
            <w:r>
              <w:rPr>
                <w:rFonts w:hint="eastAsia"/>
                <w:spacing w:val="-8"/>
                <w:sz w:val="21"/>
              </w:rPr>
              <w:t>作用；车间工艺流程及工艺操作方面的安全要求与注意事</w:t>
            </w:r>
            <w:r>
              <w:rPr>
                <w:spacing w:val="-8"/>
                <w:sz w:val="21"/>
              </w:rPr>
              <w:t xml:space="preserve"> </w:t>
            </w:r>
            <w:r>
              <w:rPr>
                <w:rFonts w:hint="eastAsia"/>
                <w:spacing w:val="-8"/>
                <w:sz w:val="21"/>
              </w:rPr>
              <w:t>项；车间设备和维修方面的要求与注意事项；车间安全生</w:t>
            </w:r>
            <w:r>
              <w:rPr>
                <w:spacing w:val="-8"/>
                <w:sz w:val="21"/>
              </w:rPr>
              <w:t xml:space="preserve"> </w:t>
            </w:r>
            <w:r>
              <w:rPr>
                <w:rFonts w:hint="eastAsia"/>
                <w:spacing w:val="-8"/>
                <w:sz w:val="21"/>
              </w:rPr>
              <w:t>产规章制度及要求和安全方面的经验教训；车间概况、生</w:t>
            </w:r>
          </w:p>
          <w:p w:rsidR="00B04AE3" w:rsidRDefault="00B04AE3">
            <w:pPr>
              <w:pStyle w:val="TableParagraph"/>
              <w:spacing w:before="2" w:line="270" w:lineRule="atLeast"/>
              <w:ind w:left="180" w:right="97" w:hanging="72"/>
              <w:jc w:val="both"/>
              <w:rPr>
                <w:spacing w:val="-8"/>
                <w:sz w:val="21"/>
              </w:rPr>
            </w:pPr>
            <w:r>
              <w:rPr>
                <w:rFonts w:hint="eastAsia"/>
                <w:spacing w:val="-8"/>
                <w:sz w:val="21"/>
              </w:rPr>
              <w:t>产特点和重要作用；安全技术常识、岗位危险源和危害因素控制要点，典型事故案例及事故抢救与应急处理措施。</w:t>
            </w:r>
          </w:p>
        </w:tc>
        <w:tc>
          <w:tcPr>
            <w:tcW w:w="1040" w:type="dxa"/>
          </w:tcPr>
          <w:p w:rsidR="00B04AE3" w:rsidRDefault="00B04AE3">
            <w:pPr>
              <w:pStyle w:val="TableParagraph"/>
              <w:jc w:val="left"/>
              <w:rPr>
                <w:b/>
              </w:rPr>
            </w:pPr>
          </w:p>
          <w:p w:rsidR="00B04AE3" w:rsidRDefault="00B04AE3">
            <w:pPr>
              <w:pStyle w:val="TableParagraph"/>
              <w:spacing w:before="4"/>
              <w:jc w:val="left"/>
              <w:rPr>
                <w:b/>
                <w:sz w:val="32"/>
              </w:rPr>
            </w:pPr>
          </w:p>
          <w:p w:rsidR="00B04AE3" w:rsidRDefault="00B04AE3">
            <w:pPr>
              <w:pStyle w:val="TableParagraph"/>
              <w:ind w:left="287" w:right="279"/>
              <w:rPr>
                <w:rFonts w:ascii="Times New Roman"/>
                <w:sz w:val="21"/>
              </w:rPr>
            </w:pPr>
            <w:r>
              <w:rPr>
                <w:rFonts w:ascii="Times New Roman"/>
                <w:sz w:val="21"/>
              </w:rPr>
              <w:t>&gt;8</w:t>
            </w:r>
          </w:p>
        </w:tc>
      </w:tr>
    </w:tbl>
    <w:p w:rsidR="00B04AE3" w:rsidRDefault="00B04AE3">
      <w:pPr>
        <w:pStyle w:val="ListParagraph"/>
        <w:numPr>
          <w:ilvl w:val="2"/>
          <w:numId w:val="20"/>
        </w:numPr>
        <w:tabs>
          <w:tab w:val="left" w:pos="938"/>
        </w:tabs>
        <w:spacing w:before="2"/>
        <w:rPr>
          <w:b/>
          <w:sz w:val="24"/>
        </w:rPr>
      </w:pPr>
      <w:r>
        <w:rPr>
          <w:rFonts w:hint="eastAsia"/>
          <w:b/>
          <w:sz w:val="24"/>
        </w:rPr>
        <w:t>健全管理制度</w:t>
      </w:r>
    </w:p>
    <w:p w:rsidR="00B04AE3" w:rsidRDefault="00B04AE3">
      <w:pPr>
        <w:pStyle w:val="BodyText"/>
        <w:spacing w:before="20" w:line="360" w:lineRule="auto"/>
        <w:ind w:left="334" w:right="334" w:firstLine="482"/>
        <w:jc w:val="both"/>
        <w:rPr>
          <w:spacing w:val="-6"/>
          <w:szCs w:val="22"/>
        </w:rPr>
      </w:pPr>
      <w:r>
        <w:rPr>
          <w:rFonts w:hint="eastAsia"/>
          <w:spacing w:val="-6"/>
          <w:szCs w:val="22"/>
        </w:rPr>
        <w:t>必须意识到管理工作对预防事故的重要作用，工艺设计和工艺控制监测等必须纳入预防事故的工作中。公司涉及到液氮、硫酸存在，在生产操作过程中，应特别小心谨慎，保证质量，并重视生产装置区和管道的检查和维修，防止事故隐患。</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公司按不同性质分别建立事故预防系统，监测报警系统。设计应急救援设施及救援通道、应急疏散及避难所。</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公司应设置危险化学品告知牌、事故现场处置方案告知牌、人员安全职责告知牌等，规范人员操作、人员职责、操作流程等。</w:t>
      </w:r>
    </w:p>
    <w:p w:rsidR="00B04AE3" w:rsidRDefault="00B04AE3">
      <w:pPr>
        <w:pStyle w:val="ListParagraph"/>
        <w:numPr>
          <w:ilvl w:val="1"/>
          <w:numId w:val="21"/>
        </w:numPr>
        <w:tabs>
          <w:tab w:val="left" w:pos="787"/>
        </w:tabs>
        <w:spacing w:before="160"/>
        <w:rPr>
          <w:b/>
          <w:sz w:val="30"/>
        </w:rPr>
      </w:pPr>
      <w:bookmarkStart w:id="82" w:name="4.2自身应急能力不足"/>
      <w:bookmarkStart w:id="83" w:name="_bookmark19"/>
      <w:bookmarkEnd w:id="82"/>
      <w:bookmarkEnd w:id="83"/>
      <w:r>
        <w:rPr>
          <w:rFonts w:hint="eastAsia"/>
          <w:b/>
          <w:sz w:val="30"/>
        </w:rPr>
        <w:t>自身应急能力不足</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公司一向注重环保工作，为防止环境事故的发生，公司采取了很多有效措施，</w:t>
      </w:r>
      <w:r>
        <w:rPr>
          <w:spacing w:val="-6"/>
          <w:szCs w:val="22"/>
        </w:rPr>
        <w:t xml:space="preserve"> </w:t>
      </w:r>
      <w:r>
        <w:rPr>
          <w:rFonts w:hint="eastAsia"/>
          <w:spacing w:val="-6"/>
          <w:szCs w:val="22"/>
        </w:rPr>
        <w:t>制定了较为完善的管理制度，并制定相应的事故应急预案，建立了应急队伍，配备了应急装备，储存了部分应急物资。但在现场勘查过程中仍发现存在以下问题：</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⑴全厂事故水导流系统不完善，三级防控体系不健全；应完善全厂导流系统，建立健全三级防控体系。</w:t>
      </w:r>
    </w:p>
    <w:p w:rsidR="00B04AE3" w:rsidRDefault="00B04AE3">
      <w:pPr>
        <w:pStyle w:val="BodyText"/>
        <w:spacing w:before="20" w:line="360" w:lineRule="auto"/>
        <w:ind w:left="334" w:right="334" w:firstLine="482"/>
        <w:jc w:val="both"/>
        <w:rPr>
          <w:spacing w:val="-6"/>
          <w:szCs w:val="22"/>
        </w:rPr>
      </w:pPr>
      <w:r>
        <w:rPr>
          <w:rFonts w:hint="eastAsia"/>
          <w:spacing w:val="-6"/>
          <w:szCs w:val="22"/>
        </w:rPr>
        <w:t>⑵雨水管网总排口应设置截止阀。</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⑶危废库导流系统应与全厂事故池相连。</w:t>
      </w:r>
    </w:p>
    <w:p w:rsidR="00B04AE3" w:rsidRDefault="00B04AE3">
      <w:pPr>
        <w:pStyle w:val="BodyText"/>
        <w:spacing w:before="20" w:line="360" w:lineRule="auto"/>
        <w:ind w:left="334" w:right="334" w:firstLine="482"/>
        <w:jc w:val="both"/>
        <w:rPr>
          <w:spacing w:val="-6"/>
          <w:szCs w:val="22"/>
        </w:rPr>
      </w:pPr>
      <w:r>
        <w:rPr>
          <w:rFonts w:hint="eastAsia"/>
          <w:spacing w:val="-6"/>
          <w:szCs w:val="22"/>
        </w:rPr>
        <w:t>⑷管道气体、液体流向设置指示标志等，设置应急疏散路线标识。</w:t>
      </w:r>
    </w:p>
    <w:p w:rsidR="00B04AE3" w:rsidRDefault="00B04AE3">
      <w:pPr>
        <w:pStyle w:val="BodyText"/>
        <w:spacing w:before="20" w:line="360" w:lineRule="auto"/>
        <w:ind w:left="334" w:right="334" w:firstLine="482"/>
        <w:jc w:val="both"/>
        <w:rPr>
          <w:spacing w:val="-6"/>
          <w:szCs w:val="22"/>
        </w:rPr>
      </w:pPr>
      <w:r>
        <w:rPr>
          <w:rFonts w:hint="eastAsia"/>
          <w:spacing w:val="-6"/>
          <w:szCs w:val="22"/>
        </w:rPr>
        <w:t>⑸环境风险防范及应急所需的监测、预警等所需的基本装备及物资配备需进一步完善；针对公司罐区堵漏器材较少的问题。公司应尽快配备必要的堵漏密封器材，如：木条、橡胶塞等。</w:t>
      </w:r>
    </w:p>
    <w:p w:rsidR="00B04AE3" w:rsidRDefault="00B04AE3">
      <w:pPr>
        <w:pStyle w:val="BodyText"/>
        <w:spacing w:before="20" w:line="360" w:lineRule="auto"/>
        <w:ind w:left="334" w:right="334" w:firstLine="482"/>
        <w:jc w:val="both"/>
        <w:rPr>
          <w:spacing w:val="-6"/>
          <w:szCs w:val="22"/>
        </w:rPr>
      </w:pPr>
      <w:r>
        <w:rPr>
          <w:rFonts w:hint="eastAsia"/>
          <w:spacing w:val="-6"/>
          <w:szCs w:val="22"/>
        </w:rPr>
        <w:t>⑹补充环境应急物资。</w:t>
      </w:r>
    </w:p>
    <w:p w:rsidR="00B04AE3" w:rsidRDefault="00B04AE3">
      <w:pPr>
        <w:pStyle w:val="BodyText"/>
        <w:spacing w:before="20" w:line="360" w:lineRule="auto"/>
        <w:ind w:left="334" w:right="334" w:firstLine="482"/>
        <w:jc w:val="both"/>
        <w:rPr>
          <w:spacing w:val="-6"/>
          <w:szCs w:val="22"/>
        </w:rPr>
      </w:pPr>
      <w:r>
        <w:rPr>
          <w:rFonts w:hint="eastAsia"/>
          <w:spacing w:val="-6"/>
          <w:szCs w:val="22"/>
        </w:rPr>
        <w:t>定期开展环境风险管理宣传和定期组织员工进行专题培训，形式有内部专家培训讲座及外部培训班等；向周边企业、村落提供本单位有关危险物质特性、应急措施、救援知识等，提醒周边公众紧急疏散事项；加强相关演习。</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环境风险防范及应急所需的监测、预警等所需的基本装备及物资配备需进一步完善；针对公司氨水罐区未配备堵漏器材问题。公司应尽快配备必要的堵漏密封器材，如：木条、橡胶塞等。</w:t>
      </w:r>
    </w:p>
    <w:p w:rsidR="00B04AE3" w:rsidRDefault="00B04AE3">
      <w:pPr>
        <w:pStyle w:val="BodyText"/>
        <w:spacing w:before="20" w:line="360" w:lineRule="auto"/>
        <w:ind w:left="334" w:right="334" w:firstLine="482"/>
        <w:jc w:val="both"/>
        <w:rPr>
          <w:spacing w:val="-6"/>
          <w:szCs w:val="22"/>
        </w:rPr>
      </w:pPr>
      <w:r>
        <w:rPr>
          <w:rFonts w:hint="eastAsia"/>
          <w:spacing w:val="-6"/>
          <w:szCs w:val="22"/>
        </w:rPr>
        <w:t>按照环评中所涉及的危险物料性质配备相应的监测仪器，保证公司在发生事故后具备一定的自主监测能力；公司突发环境事件需要及时向南昌市环保局寻求支援。</w:t>
      </w:r>
    </w:p>
    <w:p w:rsidR="00B04AE3" w:rsidRDefault="00B04AE3">
      <w:pPr>
        <w:pStyle w:val="BodyText"/>
        <w:spacing w:before="5"/>
        <w:ind w:left="817"/>
      </w:pPr>
      <w:r>
        <w:rPr>
          <w:rFonts w:hint="eastAsia"/>
        </w:rPr>
        <w:t>针对现有应急能力不足需采取的整改措施见下表。</w:t>
      </w:r>
    </w:p>
    <w:p w:rsidR="00B04AE3" w:rsidRDefault="00B04AE3">
      <w:pPr>
        <w:tabs>
          <w:tab w:val="left" w:pos="1058"/>
        </w:tabs>
        <w:spacing w:before="158" w:after="4"/>
        <w:ind w:left="19"/>
        <w:jc w:val="center"/>
        <w:rPr>
          <w:b/>
          <w:sz w:val="24"/>
        </w:rPr>
      </w:pPr>
      <w:r>
        <w:rPr>
          <w:rFonts w:hint="eastAsia"/>
          <w:b/>
          <w:sz w:val="24"/>
        </w:rPr>
        <w:t>表</w:t>
      </w:r>
      <w:r>
        <w:rPr>
          <w:b/>
          <w:spacing w:val="-62"/>
          <w:sz w:val="24"/>
        </w:rPr>
        <w:t xml:space="preserve"> </w:t>
      </w:r>
      <w:r>
        <w:rPr>
          <w:rFonts w:ascii="Times New Roman"/>
          <w:b/>
          <w:sz w:val="24"/>
          <w:lang w:val="en-US"/>
        </w:rPr>
        <w:t>4</w:t>
      </w:r>
      <w:r>
        <w:rPr>
          <w:rFonts w:ascii="Times New Roman" w:eastAsia="Times New Roman"/>
          <w:b/>
          <w:sz w:val="24"/>
        </w:rPr>
        <w:t>.2-1</w:t>
      </w:r>
      <w:r>
        <w:rPr>
          <w:rFonts w:ascii="Times New Roman" w:eastAsia="Times New Roman"/>
          <w:b/>
          <w:sz w:val="24"/>
        </w:rPr>
        <w:tab/>
      </w:r>
      <w:r>
        <w:rPr>
          <w:rFonts w:hint="eastAsia"/>
          <w:b/>
          <w:sz w:val="24"/>
        </w:rPr>
        <w:t>针对现有应急能力不足需整改的措施及整改时间</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742"/>
        <w:gridCol w:w="2067"/>
        <w:gridCol w:w="4141"/>
        <w:gridCol w:w="1578"/>
      </w:tblGrid>
      <w:tr w:rsidR="00B04AE3">
        <w:trPr>
          <w:trHeight w:val="397"/>
        </w:trPr>
        <w:tc>
          <w:tcPr>
            <w:tcW w:w="742" w:type="dxa"/>
            <w:shd w:val="clear" w:color="auto" w:fill="DFDFDF"/>
          </w:tcPr>
          <w:p w:rsidR="00B04AE3" w:rsidRDefault="00B04AE3">
            <w:pPr>
              <w:pStyle w:val="TableParagraph"/>
              <w:spacing w:before="62"/>
              <w:ind w:left="140" w:right="130"/>
              <w:rPr>
                <w:b/>
                <w:sz w:val="21"/>
              </w:rPr>
            </w:pPr>
            <w:r>
              <w:rPr>
                <w:rFonts w:hint="eastAsia"/>
                <w:b/>
                <w:sz w:val="21"/>
              </w:rPr>
              <w:t>序号</w:t>
            </w:r>
          </w:p>
        </w:tc>
        <w:tc>
          <w:tcPr>
            <w:tcW w:w="2067" w:type="dxa"/>
            <w:shd w:val="clear" w:color="auto" w:fill="DFDFDF"/>
          </w:tcPr>
          <w:p w:rsidR="00B04AE3" w:rsidRDefault="00B04AE3">
            <w:pPr>
              <w:pStyle w:val="TableParagraph"/>
              <w:spacing w:before="62"/>
              <w:ind w:left="518"/>
              <w:jc w:val="left"/>
              <w:rPr>
                <w:b/>
                <w:sz w:val="21"/>
              </w:rPr>
            </w:pPr>
            <w:r>
              <w:rPr>
                <w:rFonts w:hint="eastAsia"/>
                <w:b/>
                <w:sz w:val="21"/>
              </w:rPr>
              <w:t>存在的问题</w:t>
            </w:r>
          </w:p>
        </w:tc>
        <w:tc>
          <w:tcPr>
            <w:tcW w:w="4141" w:type="dxa"/>
            <w:shd w:val="clear" w:color="auto" w:fill="DFDFDF"/>
          </w:tcPr>
          <w:p w:rsidR="00B04AE3" w:rsidRDefault="00B04AE3">
            <w:pPr>
              <w:pStyle w:val="TableParagraph"/>
              <w:spacing w:before="62"/>
              <w:ind w:left="54" w:right="39"/>
              <w:rPr>
                <w:b/>
                <w:sz w:val="21"/>
              </w:rPr>
            </w:pPr>
            <w:r>
              <w:rPr>
                <w:rFonts w:hint="eastAsia"/>
                <w:b/>
                <w:sz w:val="21"/>
              </w:rPr>
              <w:t>整改的内容</w:t>
            </w:r>
          </w:p>
        </w:tc>
        <w:tc>
          <w:tcPr>
            <w:tcW w:w="1578" w:type="dxa"/>
            <w:shd w:val="clear" w:color="auto" w:fill="DFDFDF"/>
          </w:tcPr>
          <w:p w:rsidR="00B04AE3" w:rsidRDefault="00B04AE3">
            <w:pPr>
              <w:pStyle w:val="TableParagraph"/>
              <w:spacing w:before="62"/>
              <w:ind w:left="171"/>
              <w:jc w:val="left"/>
              <w:rPr>
                <w:b/>
                <w:sz w:val="21"/>
              </w:rPr>
            </w:pPr>
            <w:r>
              <w:rPr>
                <w:rFonts w:hint="eastAsia"/>
                <w:b/>
                <w:sz w:val="21"/>
              </w:rPr>
              <w:t>整改完成期限</w:t>
            </w:r>
          </w:p>
        </w:tc>
      </w:tr>
      <w:tr w:rsidR="00B04AE3">
        <w:trPr>
          <w:trHeight w:val="1795"/>
        </w:trPr>
        <w:tc>
          <w:tcPr>
            <w:tcW w:w="742" w:type="dxa"/>
          </w:tcPr>
          <w:p w:rsidR="00B04AE3" w:rsidRDefault="00B04AE3">
            <w:pPr>
              <w:pStyle w:val="TableParagraph"/>
              <w:jc w:val="left"/>
              <w:rPr>
                <w:b/>
              </w:rPr>
            </w:pPr>
          </w:p>
          <w:p w:rsidR="00B04AE3" w:rsidRDefault="00B04AE3">
            <w:pPr>
              <w:pStyle w:val="TableParagraph"/>
              <w:spacing w:before="143"/>
              <w:ind w:left="11"/>
              <w:rPr>
                <w:rFonts w:ascii="Times New Roman"/>
                <w:sz w:val="21"/>
              </w:rPr>
            </w:pPr>
            <w:r>
              <w:rPr>
                <w:rFonts w:ascii="Times New Roman"/>
                <w:w w:val="99"/>
                <w:sz w:val="21"/>
              </w:rPr>
              <w:t>1</w:t>
            </w:r>
          </w:p>
        </w:tc>
        <w:tc>
          <w:tcPr>
            <w:tcW w:w="2067" w:type="dxa"/>
          </w:tcPr>
          <w:p w:rsidR="00B04AE3" w:rsidRDefault="00B04AE3">
            <w:pPr>
              <w:pStyle w:val="TableParagraph"/>
              <w:spacing w:line="251" w:lineRule="exact"/>
              <w:ind w:left="54" w:right="44"/>
              <w:rPr>
                <w:sz w:val="21"/>
              </w:rPr>
            </w:pPr>
            <w:r>
              <w:rPr>
                <w:rFonts w:hint="eastAsia"/>
                <w:sz w:val="21"/>
              </w:rPr>
              <w:t>全厂导流沟应完善，</w:t>
            </w:r>
            <w:r>
              <w:rPr>
                <w:sz w:val="21"/>
              </w:rPr>
              <w:t xml:space="preserve"> </w:t>
            </w:r>
            <w:r>
              <w:rPr>
                <w:rFonts w:hint="eastAsia"/>
                <w:sz w:val="21"/>
              </w:rPr>
              <w:t>三级防控措施未建立健全</w:t>
            </w:r>
          </w:p>
        </w:tc>
        <w:tc>
          <w:tcPr>
            <w:tcW w:w="4141" w:type="dxa"/>
          </w:tcPr>
          <w:p w:rsidR="00B04AE3" w:rsidRDefault="00B04AE3">
            <w:pPr>
              <w:pStyle w:val="TableParagraph"/>
              <w:spacing w:line="250" w:lineRule="exact"/>
              <w:ind w:left="51" w:right="44"/>
              <w:rPr>
                <w:sz w:val="21"/>
              </w:rPr>
            </w:pPr>
            <w:r>
              <w:rPr>
                <w:rFonts w:hint="eastAsia"/>
                <w:sz w:val="21"/>
              </w:rPr>
              <w:t>完善全厂导流沟等，保证事故废水能够自流</w:t>
            </w:r>
          </w:p>
          <w:p w:rsidR="00B04AE3" w:rsidRDefault="00B04AE3">
            <w:pPr>
              <w:pStyle w:val="TableParagraph"/>
              <w:spacing w:line="251" w:lineRule="exact"/>
              <w:ind w:left="54" w:right="44"/>
              <w:rPr>
                <w:sz w:val="21"/>
              </w:rPr>
            </w:pPr>
            <w:r>
              <w:rPr>
                <w:rFonts w:hint="eastAsia"/>
                <w:sz w:val="21"/>
              </w:rPr>
              <w:t>进入。按照要求应建立健全三级防控体系，</w:t>
            </w:r>
            <w:r>
              <w:rPr>
                <w:sz w:val="21"/>
              </w:rPr>
              <w:t xml:space="preserve"> </w:t>
            </w:r>
            <w:r>
              <w:rPr>
                <w:rFonts w:hint="eastAsia"/>
                <w:sz w:val="21"/>
              </w:rPr>
              <w:t>实现雨污分流，并将厂区初期雨水、消防废水及泄漏事故废水进行收集。因此公司应围</w:t>
            </w:r>
          </w:p>
          <w:p w:rsidR="00B04AE3" w:rsidRDefault="00B04AE3">
            <w:pPr>
              <w:pStyle w:val="TableParagraph"/>
              <w:spacing w:line="251" w:lineRule="exact"/>
              <w:ind w:left="54" w:right="44"/>
              <w:rPr>
                <w:sz w:val="21"/>
              </w:rPr>
            </w:pPr>
            <w:r>
              <w:rPr>
                <w:rFonts w:hint="eastAsia"/>
                <w:sz w:val="21"/>
              </w:rPr>
              <w:t>绕生产区及物料贮存区设置导流沟槽，建设</w:t>
            </w:r>
          </w:p>
          <w:p w:rsidR="00B04AE3" w:rsidRDefault="00B04AE3">
            <w:pPr>
              <w:pStyle w:val="TableParagraph"/>
              <w:spacing w:line="251" w:lineRule="exact"/>
              <w:ind w:left="54" w:right="44"/>
              <w:rPr>
                <w:sz w:val="21"/>
              </w:rPr>
            </w:pPr>
            <w:r>
              <w:rPr>
                <w:rFonts w:hint="eastAsia"/>
                <w:sz w:val="21"/>
              </w:rPr>
              <w:t>规范的事故池，对事故水进行收集，并满足</w:t>
            </w:r>
          </w:p>
          <w:p w:rsidR="00B04AE3" w:rsidRDefault="00B04AE3">
            <w:pPr>
              <w:pStyle w:val="TableParagraph"/>
              <w:spacing w:before="2"/>
              <w:ind w:left="54" w:right="44"/>
              <w:rPr>
                <w:sz w:val="21"/>
              </w:rPr>
            </w:pPr>
            <w:r>
              <w:rPr>
                <w:rFonts w:hint="eastAsia"/>
                <w:sz w:val="21"/>
              </w:rPr>
              <w:t>储水要求；设立雨水总排口及截断措施</w:t>
            </w:r>
          </w:p>
        </w:tc>
        <w:tc>
          <w:tcPr>
            <w:tcW w:w="1578" w:type="dxa"/>
            <w:vMerge w:val="restart"/>
          </w:tcPr>
          <w:p w:rsidR="00B04AE3" w:rsidRDefault="00B04AE3">
            <w:pPr>
              <w:pStyle w:val="TableParagraph"/>
              <w:spacing w:before="5"/>
              <w:jc w:val="left"/>
              <w:rPr>
                <w:b/>
                <w:sz w:val="21"/>
              </w:rPr>
            </w:pPr>
          </w:p>
          <w:p w:rsidR="00B04AE3" w:rsidRDefault="00B04AE3">
            <w:pPr>
              <w:pStyle w:val="TableParagraph"/>
              <w:ind w:left="44" w:right="34"/>
              <w:rPr>
                <w:sz w:val="21"/>
              </w:rPr>
            </w:pPr>
            <w:r>
              <w:rPr>
                <w:rFonts w:hint="eastAsia"/>
                <w:sz w:val="21"/>
              </w:rPr>
              <w:t>短期</w:t>
            </w:r>
          </w:p>
          <w:p w:rsidR="00B04AE3" w:rsidRDefault="00B04AE3">
            <w:pPr>
              <w:pStyle w:val="TableParagraph"/>
              <w:spacing w:before="2"/>
              <w:ind w:left="75" w:right="34"/>
              <w:rPr>
                <w:sz w:val="21"/>
              </w:rPr>
            </w:pPr>
            <w:r>
              <w:rPr>
                <w:rFonts w:hint="eastAsia"/>
                <w:sz w:val="21"/>
              </w:rPr>
              <w:t>（</w:t>
            </w:r>
            <w:r>
              <w:rPr>
                <w:rFonts w:ascii="Times New Roman" w:eastAsia="Times New Roman"/>
                <w:sz w:val="21"/>
              </w:rPr>
              <w:t xml:space="preserve">3 </w:t>
            </w:r>
            <w:r>
              <w:rPr>
                <w:rFonts w:hint="eastAsia"/>
                <w:sz w:val="21"/>
              </w:rPr>
              <w:t>个月以内）</w:t>
            </w:r>
          </w:p>
        </w:tc>
      </w:tr>
      <w:tr w:rsidR="00B04AE3">
        <w:trPr>
          <w:trHeight w:val="545"/>
        </w:trPr>
        <w:tc>
          <w:tcPr>
            <w:tcW w:w="742" w:type="dxa"/>
          </w:tcPr>
          <w:p w:rsidR="00B04AE3" w:rsidRDefault="00B04AE3">
            <w:pPr>
              <w:pStyle w:val="TableParagraph"/>
              <w:spacing w:before="151"/>
              <w:ind w:left="11"/>
              <w:rPr>
                <w:rFonts w:ascii="Times New Roman"/>
                <w:sz w:val="21"/>
              </w:rPr>
            </w:pPr>
            <w:r>
              <w:rPr>
                <w:rFonts w:ascii="Times New Roman"/>
                <w:w w:val="99"/>
                <w:sz w:val="21"/>
              </w:rPr>
              <w:t>2</w:t>
            </w:r>
          </w:p>
        </w:tc>
        <w:tc>
          <w:tcPr>
            <w:tcW w:w="2067" w:type="dxa"/>
          </w:tcPr>
          <w:p w:rsidR="00B04AE3" w:rsidRDefault="00B04AE3">
            <w:pPr>
              <w:pStyle w:val="TableParagraph"/>
              <w:ind w:left="72" w:right="61"/>
              <w:rPr>
                <w:sz w:val="21"/>
              </w:rPr>
            </w:pPr>
            <w:r>
              <w:rPr>
                <w:rFonts w:hint="eastAsia"/>
                <w:sz w:val="21"/>
              </w:rPr>
              <w:t>雨水管网总排口未</w:t>
            </w:r>
          </w:p>
          <w:p w:rsidR="00B04AE3" w:rsidRDefault="00B04AE3">
            <w:pPr>
              <w:pStyle w:val="TableParagraph"/>
              <w:spacing w:before="5" w:line="251" w:lineRule="exact"/>
              <w:ind w:left="72" w:right="61"/>
              <w:rPr>
                <w:sz w:val="21"/>
              </w:rPr>
            </w:pPr>
            <w:r>
              <w:rPr>
                <w:rFonts w:hint="eastAsia"/>
                <w:sz w:val="21"/>
              </w:rPr>
              <w:t>设置截止阀</w:t>
            </w:r>
          </w:p>
        </w:tc>
        <w:tc>
          <w:tcPr>
            <w:tcW w:w="4141" w:type="dxa"/>
          </w:tcPr>
          <w:p w:rsidR="00B04AE3" w:rsidRDefault="00B04AE3">
            <w:pPr>
              <w:pStyle w:val="TableParagraph"/>
              <w:spacing w:before="135"/>
              <w:ind w:left="54" w:right="42"/>
              <w:rPr>
                <w:sz w:val="21"/>
              </w:rPr>
            </w:pPr>
            <w:r>
              <w:rPr>
                <w:rFonts w:hint="eastAsia"/>
                <w:sz w:val="21"/>
              </w:rPr>
              <w:t>雨水管网总排口应设置截止阀</w:t>
            </w:r>
          </w:p>
        </w:tc>
        <w:tc>
          <w:tcPr>
            <w:tcW w:w="1578" w:type="dxa"/>
            <w:vMerge/>
          </w:tcPr>
          <w:p w:rsidR="00B04AE3" w:rsidRDefault="00B04AE3">
            <w:pPr>
              <w:rPr>
                <w:sz w:val="2"/>
                <w:szCs w:val="2"/>
              </w:rPr>
            </w:pPr>
          </w:p>
        </w:tc>
      </w:tr>
      <w:tr w:rsidR="00B04AE3">
        <w:trPr>
          <w:trHeight w:val="543"/>
        </w:trPr>
        <w:tc>
          <w:tcPr>
            <w:tcW w:w="742" w:type="dxa"/>
          </w:tcPr>
          <w:p w:rsidR="00B04AE3" w:rsidRDefault="00B04AE3">
            <w:pPr>
              <w:pStyle w:val="TableParagraph"/>
              <w:spacing w:before="150"/>
              <w:ind w:left="11"/>
              <w:rPr>
                <w:rFonts w:ascii="Times New Roman"/>
                <w:sz w:val="21"/>
              </w:rPr>
            </w:pPr>
            <w:r>
              <w:rPr>
                <w:rFonts w:ascii="Times New Roman"/>
                <w:w w:val="99"/>
                <w:sz w:val="21"/>
              </w:rPr>
              <w:t>3</w:t>
            </w:r>
          </w:p>
        </w:tc>
        <w:tc>
          <w:tcPr>
            <w:tcW w:w="2067" w:type="dxa"/>
          </w:tcPr>
          <w:p w:rsidR="00B04AE3" w:rsidRDefault="00B04AE3">
            <w:pPr>
              <w:pStyle w:val="TableParagraph"/>
              <w:spacing w:line="251" w:lineRule="exact"/>
              <w:ind w:left="54" w:right="44"/>
              <w:rPr>
                <w:sz w:val="21"/>
              </w:rPr>
            </w:pPr>
            <w:r>
              <w:rPr>
                <w:rFonts w:hint="eastAsia"/>
                <w:sz w:val="21"/>
              </w:rPr>
              <w:t>危废库导流系统与</w:t>
            </w:r>
          </w:p>
          <w:p w:rsidR="00B04AE3" w:rsidRDefault="00B04AE3">
            <w:pPr>
              <w:pStyle w:val="TableParagraph"/>
              <w:spacing w:line="251" w:lineRule="exact"/>
              <w:ind w:left="54" w:right="44"/>
              <w:rPr>
                <w:sz w:val="21"/>
              </w:rPr>
            </w:pPr>
            <w:r>
              <w:rPr>
                <w:rFonts w:hint="eastAsia"/>
                <w:sz w:val="21"/>
              </w:rPr>
              <w:t>事故池设置不完善</w:t>
            </w:r>
          </w:p>
        </w:tc>
        <w:tc>
          <w:tcPr>
            <w:tcW w:w="4141" w:type="dxa"/>
          </w:tcPr>
          <w:p w:rsidR="00B04AE3" w:rsidRDefault="00B04AE3">
            <w:pPr>
              <w:pStyle w:val="TableParagraph"/>
              <w:spacing w:line="251" w:lineRule="exact"/>
              <w:ind w:left="54" w:right="44"/>
              <w:rPr>
                <w:sz w:val="21"/>
              </w:rPr>
            </w:pPr>
            <w:r>
              <w:rPr>
                <w:rFonts w:hint="eastAsia"/>
                <w:sz w:val="21"/>
              </w:rPr>
              <w:t>设置分区和围堰，建立导流沟与全厂事故池</w:t>
            </w:r>
          </w:p>
          <w:p w:rsidR="00B04AE3" w:rsidRDefault="00B04AE3">
            <w:pPr>
              <w:pStyle w:val="TableParagraph"/>
              <w:spacing w:line="251" w:lineRule="exact"/>
              <w:ind w:left="54" w:right="44"/>
              <w:rPr>
                <w:sz w:val="21"/>
              </w:rPr>
            </w:pPr>
            <w:r>
              <w:rPr>
                <w:rFonts w:hint="eastAsia"/>
                <w:sz w:val="21"/>
              </w:rPr>
              <w:t>相连</w:t>
            </w:r>
          </w:p>
        </w:tc>
        <w:tc>
          <w:tcPr>
            <w:tcW w:w="1578" w:type="dxa"/>
            <w:vMerge/>
          </w:tcPr>
          <w:p w:rsidR="00B04AE3" w:rsidRDefault="00B04AE3">
            <w:pPr>
              <w:rPr>
                <w:sz w:val="2"/>
                <w:szCs w:val="2"/>
              </w:rPr>
            </w:pPr>
          </w:p>
        </w:tc>
      </w:tr>
      <w:tr w:rsidR="00B04AE3">
        <w:trPr>
          <w:trHeight w:val="545"/>
        </w:trPr>
        <w:tc>
          <w:tcPr>
            <w:tcW w:w="742" w:type="dxa"/>
          </w:tcPr>
          <w:p w:rsidR="00B04AE3" w:rsidRDefault="00B04AE3">
            <w:pPr>
              <w:pStyle w:val="TableParagraph"/>
              <w:spacing w:before="151"/>
              <w:ind w:left="11"/>
              <w:rPr>
                <w:rFonts w:ascii="Times New Roman"/>
                <w:sz w:val="21"/>
              </w:rPr>
            </w:pPr>
            <w:r>
              <w:rPr>
                <w:rFonts w:ascii="Times New Roman"/>
                <w:w w:val="99"/>
                <w:sz w:val="21"/>
              </w:rPr>
              <w:t>4</w:t>
            </w:r>
          </w:p>
        </w:tc>
        <w:tc>
          <w:tcPr>
            <w:tcW w:w="2067" w:type="dxa"/>
          </w:tcPr>
          <w:p w:rsidR="00B04AE3" w:rsidRDefault="00B04AE3">
            <w:pPr>
              <w:pStyle w:val="TableParagraph"/>
              <w:spacing w:line="251" w:lineRule="exact"/>
              <w:ind w:left="54" w:right="44"/>
              <w:rPr>
                <w:sz w:val="21"/>
              </w:rPr>
            </w:pPr>
            <w:r>
              <w:rPr>
                <w:rFonts w:hint="eastAsia"/>
                <w:sz w:val="21"/>
              </w:rPr>
              <w:t>厂区内应急标识不</w:t>
            </w:r>
          </w:p>
          <w:p w:rsidR="00B04AE3" w:rsidRDefault="00B04AE3">
            <w:pPr>
              <w:pStyle w:val="TableParagraph"/>
              <w:spacing w:line="251" w:lineRule="exact"/>
              <w:ind w:left="54" w:right="44"/>
              <w:rPr>
                <w:sz w:val="21"/>
              </w:rPr>
            </w:pPr>
            <w:r>
              <w:rPr>
                <w:rFonts w:hint="eastAsia"/>
                <w:sz w:val="21"/>
              </w:rPr>
              <w:t>完善</w:t>
            </w:r>
          </w:p>
        </w:tc>
        <w:tc>
          <w:tcPr>
            <w:tcW w:w="4141" w:type="dxa"/>
          </w:tcPr>
          <w:p w:rsidR="00B04AE3" w:rsidRDefault="00B04AE3">
            <w:pPr>
              <w:pStyle w:val="TableParagraph"/>
              <w:spacing w:line="251" w:lineRule="exact"/>
              <w:ind w:left="54" w:right="44"/>
              <w:rPr>
                <w:sz w:val="21"/>
              </w:rPr>
            </w:pPr>
            <w:r>
              <w:rPr>
                <w:rFonts w:hint="eastAsia"/>
                <w:sz w:val="21"/>
              </w:rPr>
              <w:t>管道气体、液体流向设置指示标志等，设置</w:t>
            </w:r>
          </w:p>
          <w:p w:rsidR="00B04AE3" w:rsidRDefault="00B04AE3">
            <w:pPr>
              <w:pStyle w:val="TableParagraph"/>
              <w:spacing w:line="251" w:lineRule="exact"/>
              <w:ind w:left="54" w:right="44"/>
              <w:rPr>
                <w:sz w:val="21"/>
              </w:rPr>
            </w:pPr>
            <w:r>
              <w:rPr>
                <w:rFonts w:hint="eastAsia"/>
                <w:sz w:val="21"/>
              </w:rPr>
              <w:t>应急疏散路线标识</w:t>
            </w:r>
          </w:p>
        </w:tc>
        <w:tc>
          <w:tcPr>
            <w:tcW w:w="1578" w:type="dxa"/>
            <w:vMerge/>
          </w:tcPr>
          <w:p w:rsidR="00B04AE3" w:rsidRDefault="00B04AE3">
            <w:pPr>
              <w:rPr>
                <w:sz w:val="2"/>
                <w:szCs w:val="2"/>
              </w:rPr>
            </w:pPr>
          </w:p>
        </w:tc>
      </w:tr>
      <w:tr w:rsidR="00B04AE3">
        <w:trPr>
          <w:trHeight w:val="397"/>
        </w:trPr>
        <w:tc>
          <w:tcPr>
            <w:tcW w:w="742" w:type="dxa"/>
          </w:tcPr>
          <w:p w:rsidR="00B04AE3" w:rsidRDefault="00B04AE3">
            <w:pPr>
              <w:pStyle w:val="TableParagraph"/>
              <w:spacing w:before="76"/>
              <w:ind w:left="11"/>
              <w:rPr>
                <w:rFonts w:ascii="Times New Roman"/>
                <w:sz w:val="21"/>
              </w:rPr>
            </w:pPr>
            <w:r>
              <w:rPr>
                <w:rFonts w:ascii="Times New Roman"/>
                <w:w w:val="99"/>
                <w:sz w:val="21"/>
              </w:rPr>
              <w:t>5</w:t>
            </w:r>
          </w:p>
        </w:tc>
        <w:tc>
          <w:tcPr>
            <w:tcW w:w="2067" w:type="dxa"/>
          </w:tcPr>
          <w:p w:rsidR="00B04AE3" w:rsidRDefault="00B04AE3">
            <w:pPr>
              <w:pStyle w:val="TableParagraph"/>
              <w:spacing w:line="251" w:lineRule="exact"/>
              <w:ind w:left="54" w:right="44"/>
              <w:rPr>
                <w:sz w:val="21"/>
              </w:rPr>
            </w:pPr>
            <w:r>
              <w:rPr>
                <w:rFonts w:hint="eastAsia"/>
                <w:sz w:val="21"/>
              </w:rPr>
              <w:t>现有应急物资不足</w:t>
            </w:r>
          </w:p>
        </w:tc>
        <w:tc>
          <w:tcPr>
            <w:tcW w:w="4141" w:type="dxa"/>
          </w:tcPr>
          <w:p w:rsidR="00B04AE3" w:rsidRDefault="00B04AE3">
            <w:pPr>
              <w:pStyle w:val="TableParagraph"/>
              <w:spacing w:line="251" w:lineRule="exact"/>
              <w:ind w:left="54" w:right="44"/>
              <w:rPr>
                <w:sz w:val="21"/>
              </w:rPr>
            </w:pPr>
            <w:r>
              <w:rPr>
                <w:rFonts w:hint="eastAsia"/>
                <w:sz w:val="21"/>
              </w:rPr>
              <w:t>补充环境应急物资</w:t>
            </w:r>
          </w:p>
        </w:tc>
        <w:tc>
          <w:tcPr>
            <w:tcW w:w="1578" w:type="dxa"/>
            <w:vMerge/>
          </w:tcPr>
          <w:p w:rsidR="00B04AE3" w:rsidRDefault="00B04AE3">
            <w:pPr>
              <w:pStyle w:val="TableParagraph"/>
              <w:jc w:val="left"/>
              <w:rPr>
                <w:rFonts w:ascii="Times New Roman"/>
                <w:sz w:val="20"/>
              </w:rPr>
            </w:pPr>
          </w:p>
        </w:tc>
      </w:tr>
      <w:tr w:rsidR="00B04AE3">
        <w:trPr>
          <w:trHeight w:val="1362"/>
        </w:trPr>
        <w:tc>
          <w:tcPr>
            <w:tcW w:w="742" w:type="dxa"/>
          </w:tcPr>
          <w:p w:rsidR="00B04AE3" w:rsidRDefault="00B04AE3">
            <w:pPr>
              <w:pStyle w:val="TableParagraph"/>
              <w:jc w:val="left"/>
              <w:rPr>
                <w:b/>
              </w:rPr>
            </w:pPr>
          </w:p>
          <w:p w:rsidR="00B04AE3" w:rsidRDefault="00B04AE3">
            <w:pPr>
              <w:pStyle w:val="TableParagraph"/>
              <w:spacing w:before="8"/>
              <w:jc w:val="left"/>
              <w:rPr>
                <w:b/>
                <w:sz w:val="21"/>
              </w:rPr>
            </w:pPr>
          </w:p>
          <w:p w:rsidR="00B04AE3" w:rsidRDefault="00B04AE3">
            <w:pPr>
              <w:pStyle w:val="TableParagraph"/>
              <w:ind w:left="11"/>
              <w:rPr>
                <w:rFonts w:ascii="Times New Roman"/>
                <w:sz w:val="21"/>
              </w:rPr>
            </w:pPr>
            <w:r>
              <w:rPr>
                <w:rFonts w:ascii="Times New Roman"/>
                <w:w w:val="99"/>
                <w:sz w:val="21"/>
              </w:rPr>
              <w:t>6</w:t>
            </w:r>
          </w:p>
        </w:tc>
        <w:tc>
          <w:tcPr>
            <w:tcW w:w="2067" w:type="dxa"/>
          </w:tcPr>
          <w:p w:rsidR="00B04AE3" w:rsidRDefault="00B04AE3">
            <w:pPr>
              <w:pStyle w:val="TableParagraph"/>
              <w:spacing w:line="251" w:lineRule="exact"/>
              <w:ind w:left="54" w:right="44"/>
              <w:rPr>
                <w:sz w:val="21"/>
              </w:rPr>
            </w:pPr>
            <w:r>
              <w:rPr>
                <w:rFonts w:hint="eastAsia"/>
                <w:sz w:val="21"/>
              </w:rPr>
              <w:t>环境风险防范及应</w:t>
            </w:r>
            <w:r>
              <w:rPr>
                <w:sz w:val="21"/>
              </w:rPr>
              <w:t xml:space="preserve"> </w:t>
            </w:r>
            <w:r>
              <w:rPr>
                <w:rFonts w:hint="eastAsia"/>
                <w:sz w:val="21"/>
              </w:rPr>
              <w:t>急所需的监测、预警等基本装备及物资配备不完善</w:t>
            </w:r>
          </w:p>
        </w:tc>
        <w:tc>
          <w:tcPr>
            <w:tcW w:w="4141" w:type="dxa"/>
          </w:tcPr>
          <w:p w:rsidR="00B04AE3" w:rsidRDefault="00B04AE3">
            <w:pPr>
              <w:pStyle w:val="TableParagraph"/>
              <w:spacing w:line="251" w:lineRule="exact"/>
              <w:ind w:left="54" w:right="44"/>
              <w:rPr>
                <w:sz w:val="21"/>
              </w:rPr>
            </w:pPr>
            <w:r>
              <w:rPr>
                <w:rFonts w:hint="eastAsia"/>
                <w:sz w:val="21"/>
              </w:rPr>
              <w:t>环境风险防范及应急所需的监测、预警等所</w:t>
            </w:r>
            <w:r>
              <w:rPr>
                <w:sz w:val="21"/>
              </w:rPr>
              <w:t xml:space="preserve"> </w:t>
            </w:r>
            <w:r>
              <w:rPr>
                <w:rFonts w:hint="eastAsia"/>
                <w:sz w:val="21"/>
              </w:rPr>
              <w:t>需的基本装备及物资配备需进一步完善；针</w:t>
            </w:r>
            <w:r>
              <w:rPr>
                <w:sz w:val="21"/>
              </w:rPr>
              <w:t xml:space="preserve"> </w:t>
            </w:r>
            <w:r>
              <w:rPr>
                <w:rFonts w:hint="eastAsia"/>
                <w:sz w:val="21"/>
              </w:rPr>
              <w:t>对公司罐区堵漏器材较少的问题。公司应尽</w:t>
            </w:r>
          </w:p>
          <w:p w:rsidR="00B04AE3" w:rsidRDefault="00B04AE3">
            <w:pPr>
              <w:pStyle w:val="TableParagraph"/>
              <w:spacing w:line="251" w:lineRule="exact"/>
              <w:ind w:left="54" w:right="44"/>
              <w:rPr>
                <w:sz w:val="21"/>
              </w:rPr>
            </w:pPr>
            <w:r>
              <w:rPr>
                <w:rFonts w:hint="eastAsia"/>
                <w:sz w:val="21"/>
              </w:rPr>
              <w:t>快配备必要的堵漏密封器材，如：木条、橡胶塞等。</w:t>
            </w:r>
          </w:p>
        </w:tc>
        <w:tc>
          <w:tcPr>
            <w:tcW w:w="1578" w:type="dxa"/>
          </w:tcPr>
          <w:p w:rsidR="00B04AE3" w:rsidRDefault="00B04AE3">
            <w:pPr>
              <w:pStyle w:val="TableParagraph"/>
              <w:jc w:val="left"/>
              <w:rPr>
                <w:b/>
                <w:sz w:val="20"/>
              </w:rPr>
            </w:pPr>
          </w:p>
          <w:p w:rsidR="00B04AE3" w:rsidRDefault="00B04AE3">
            <w:pPr>
              <w:pStyle w:val="TableParagraph"/>
              <w:spacing w:before="152"/>
              <w:ind w:left="44" w:right="34"/>
              <w:rPr>
                <w:sz w:val="21"/>
              </w:rPr>
            </w:pPr>
            <w:r>
              <w:rPr>
                <w:rFonts w:hint="eastAsia"/>
                <w:sz w:val="21"/>
              </w:rPr>
              <w:t>中期</w:t>
            </w:r>
          </w:p>
          <w:p w:rsidR="00B04AE3" w:rsidRDefault="00B04AE3">
            <w:pPr>
              <w:pStyle w:val="TableParagraph"/>
              <w:spacing w:before="2"/>
              <w:ind w:left="46" w:right="34"/>
              <w:rPr>
                <w:sz w:val="21"/>
              </w:rPr>
            </w:pPr>
            <w:r>
              <w:rPr>
                <w:rFonts w:hint="eastAsia"/>
                <w:sz w:val="21"/>
              </w:rPr>
              <w:t>（</w:t>
            </w:r>
            <w:r>
              <w:rPr>
                <w:rFonts w:ascii="Times New Roman" w:eastAsia="Times New Roman"/>
                <w:sz w:val="21"/>
              </w:rPr>
              <w:t xml:space="preserve">3-6 </w:t>
            </w:r>
            <w:r>
              <w:rPr>
                <w:rFonts w:hint="eastAsia"/>
                <w:sz w:val="21"/>
              </w:rPr>
              <w:t>个月）</w:t>
            </w:r>
          </w:p>
        </w:tc>
      </w:tr>
      <w:tr w:rsidR="00B04AE3">
        <w:trPr>
          <w:trHeight w:val="1633"/>
        </w:trPr>
        <w:tc>
          <w:tcPr>
            <w:tcW w:w="742" w:type="dxa"/>
          </w:tcPr>
          <w:p w:rsidR="00B04AE3" w:rsidRDefault="00B04AE3">
            <w:pPr>
              <w:pStyle w:val="TableParagraph"/>
              <w:jc w:val="left"/>
              <w:rPr>
                <w:b/>
              </w:rPr>
            </w:pPr>
          </w:p>
          <w:p w:rsidR="00B04AE3" w:rsidRDefault="00B04AE3">
            <w:pPr>
              <w:pStyle w:val="TableParagraph"/>
              <w:spacing w:before="2"/>
              <w:jc w:val="left"/>
              <w:rPr>
                <w:b/>
                <w:sz w:val="32"/>
              </w:rPr>
            </w:pPr>
          </w:p>
          <w:p w:rsidR="00B04AE3" w:rsidRDefault="00B04AE3">
            <w:pPr>
              <w:pStyle w:val="TableParagraph"/>
              <w:spacing w:before="1"/>
              <w:ind w:left="11"/>
              <w:rPr>
                <w:rFonts w:ascii="Times New Roman"/>
                <w:sz w:val="21"/>
              </w:rPr>
            </w:pPr>
            <w:r>
              <w:rPr>
                <w:rFonts w:ascii="Times New Roman"/>
                <w:w w:val="99"/>
                <w:sz w:val="21"/>
              </w:rPr>
              <w:t>7</w:t>
            </w:r>
          </w:p>
        </w:tc>
        <w:tc>
          <w:tcPr>
            <w:tcW w:w="2067" w:type="dxa"/>
          </w:tcPr>
          <w:p w:rsidR="00B04AE3" w:rsidRDefault="00B04AE3">
            <w:pPr>
              <w:pStyle w:val="TableParagraph"/>
              <w:spacing w:line="251" w:lineRule="exact"/>
              <w:ind w:left="54" w:right="44"/>
              <w:rPr>
                <w:sz w:val="21"/>
              </w:rPr>
            </w:pPr>
            <w:r>
              <w:rPr>
                <w:rFonts w:hint="eastAsia"/>
                <w:sz w:val="21"/>
              </w:rPr>
              <w:t>与周边可能受废气非正常排放影响范围的人群的沟通机</w:t>
            </w:r>
            <w:r>
              <w:rPr>
                <w:sz w:val="21"/>
              </w:rPr>
              <w:t xml:space="preserve"> </w:t>
            </w:r>
            <w:r>
              <w:rPr>
                <w:rFonts w:hint="eastAsia"/>
                <w:sz w:val="21"/>
              </w:rPr>
              <w:t>制不完善，相关演习不足</w:t>
            </w:r>
          </w:p>
        </w:tc>
        <w:tc>
          <w:tcPr>
            <w:tcW w:w="4141" w:type="dxa"/>
          </w:tcPr>
          <w:p w:rsidR="00B04AE3" w:rsidRDefault="00B04AE3">
            <w:pPr>
              <w:pStyle w:val="TableParagraph"/>
              <w:spacing w:line="251" w:lineRule="exact"/>
              <w:ind w:left="54" w:right="44"/>
              <w:rPr>
                <w:sz w:val="21"/>
              </w:rPr>
            </w:pPr>
            <w:r>
              <w:rPr>
                <w:rFonts w:hint="eastAsia"/>
                <w:sz w:val="21"/>
              </w:rPr>
              <w:t>定期开展环境风险管理宣传和定期组织员工进行专题培训，形式有内部专家培训讲座</w:t>
            </w:r>
            <w:r>
              <w:rPr>
                <w:sz w:val="21"/>
              </w:rPr>
              <w:t xml:space="preserve"> </w:t>
            </w:r>
            <w:r>
              <w:rPr>
                <w:rFonts w:hint="eastAsia"/>
                <w:sz w:val="21"/>
              </w:rPr>
              <w:t>及外部培训班等；向周边企业、村落提供本</w:t>
            </w:r>
            <w:r>
              <w:rPr>
                <w:sz w:val="21"/>
              </w:rPr>
              <w:t xml:space="preserve"> </w:t>
            </w:r>
            <w:r>
              <w:rPr>
                <w:rFonts w:hint="eastAsia"/>
                <w:sz w:val="21"/>
              </w:rPr>
              <w:t>单位有关危险物质特性、应急措施、救援知</w:t>
            </w:r>
          </w:p>
          <w:p w:rsidR="00B04AE3" w:rsidRDefault="00B04AE3">
            <w:pPr>
              <w:pStyle w:val="TableParagraph"/>
              <w:spacing w:line="251" w:lineRule="exact"/>
              <w:ind w:left="54" w:right="44"/>
              <w:rPr>
                <w:sz w:val="21"/>
              </w:rPr>
            </w:pPr>
            <w:r>
              <w:rPr>
                <w:rFonts w:hint="eastAsia"/>
                <w:sz w:val="21"/>
              </w:rPr>
              <w:t>识等，提醒周边公众紧急疏散事项；加强相关演习。</w:t>
            </w:r>
          </w:p>
        </w:tc>
        <w:tc>
          <w:tcPr>
            <w:tcW w:w="1578" w:type="dxa"/>
            <w:vMerge w:val="restart"/>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4"/>
              <w:jc w:val="left"/>
              <w:rPr>
                <w:b/>
                <w:sz w:val="25"/>
              </w:rPr>
            </w:pPr>
          </w:p>
          <w:p w:rsidR="00B04AE3" w:rsidRDefault="00B04AE3">
            <w:pPr>
              <w:pStyle w:val="TableParagraph"/>
              <w:ind w:left="44" w:right="34"/>
              <w:rPr>
                <w:sz w:val="21"/>
              </w:rPr>
            </w:pPr>
            <w:r>
              <w:rPr>
                <w:rFonts w:hint="eastAsia"/>
                <w:sz w:val="21"/>
              </w:rPr>
              <w:t>长期</w:t>
            </w:r>
          </w:p>
          <w:p w:rsidR="00B04AE3" w:rsidRDefault="00B04AE3">
            <w:pPr>
              <w:pStyle w:val="TableParagraph"/>
              <w:spacing w:before="5"/>
              <w:ind w:left="75" w:right="34"/>
              <w:rPr>
                <w:sz w:val="21"/>
              </w:rPr>
            </w:pPr>
            <w:r>
              <w:rPr>
                <w:rFonts w:hint="eastAsia"/>
                <w:sz w:val="21"/>
              </w:rPr>
              <w:t>（</w:t>
            </w:r>
            <w:r>
              <w:rPr>
                <w:rFonts w:ascii="Times New Roman" w:eastAsia="Times New Roman"/>
                <w:sz w:val="21"/>
              </w:rPr>
              <w:t xml:space="preserve">6 </w:t>
            </w:r>
            <w:r>
              <w:rPr>
                <w:rFonts w:hint="eastAsia"/>
                <w:sz w:val="21"/>
              </w:rPr>
              <w:t>个月以上）</w:t>
            </w:r>
          </w:p>
        </w:tc>
      </w:tr>
      <w:tr w:rsidR="00B04AE3">
        <w:trPr>
          <w:trHeight w:val="1088"/>
        </w:trPr>
        <w:tc>
          <w:tcPr>
            <w:tcW w:w="742" w:type="dxa"/>
          </w:tcPr>
          <w:p w:rsidR="00B04AE3" w:rsidRDefault="00B04AE3">
            <w:pPr>
              <w:pStyle w:val="TableParagraph"/>
              <w:spacing w:before="11"/>
              <w:jc w:val="left"/>
              <w:rPr>
                <w:b/>
                <w:sz w:val="32"/>
              </w:rPr>
            </w:pPr>
          </w:p>
          <w:p w:rsidR="00B04AE3" w:rsidRDefault="00B04AE3">
            <w:pPr>
              <w:pStyle w:val="TableParagraph"/>
              <w:ind w:left="11"/>
              <w:rPr>
                <w:rFonts w:ascii="Times New Roman"/>
                <w:sz w:val="21"/>
              </w:rPr>
            </w:pPr>
            <w:r>
              <w:rPr>
                <w:rFonts w:ascii="Times New Roman"/>
                <w:w w:val="99"/>
                <w:sz w:val="21"/>
              </w:rPr>
              <w:t>8</w:t>
            </w:r>
          </w:p>
        </w:tc>
        <w:tc>
          <w:tcPr>
            <w:tcW w:w="2067" w:type="dxa"/>
          </w:tcPr>
          <w:p w:rsidR="00B04AE3" w:rsidRDefault="00B04AE3">
            <w:pPr>
              <w:pStyle w:val="TableParagraph"/>
              <w:spacing w:line="251" w:lineRule="exact"/>
              <w:ind w:left="54" w:right="44"/>
              <w:rPr>
                <w:sz w:val="21"/>
              </w:rPr>
            </w:pPr>
          </w:p>
          <w:p w:rsidR="00B04AE3" w:rsidRDefault="00B04AE3">
            <w:pPr>
              <w:pStyle w:val="TableParagraph"/>
              <w:spacing w:line="251" w:lineRule="exact"/>
              <w:ind w:left="54" w:right="44"/>
              <w:rPr>
                <w:sz w:val="21"/>
              </w:rPr>
            </w:pPr>
            <w:r>
              <w:rPr>
                <w:rFonts w:hint="eastAsia"/>
                <w:sz w:val="21"/>
              </w:rPr>
              <w:t>公司尚不具备应急监测的能力</w:t>
            </w:r>
          </w:p>
        </w:tc>
        <w:tc>
          <w:tcPr>
            <w:tcW w:w="4141" w:type="dxa"/>
          </w:tcPr>
          <w:p w:rsidR="00B04AE3" w:rsidRDefault="00B04AE3">
            <w:pPr>
              <w:pStyle w:val="TableParagraph"/>
              <w:spacing w:line="251" w:lineRule="exact"/>
              <w:ind w:left="54" w:right="44"/>
              <w:rPr>
                <w:sz w:val="21"/>
              </w:rPr>
            </w:pPr>
            <w:r>
              <w:rPr>
                <w:rFonts w:hint="eastAsia"/>
                <w:sz w:val="21"/>
              </w:rPr>
              <w:t>按照环评中所涉及的危险物料性质配备相应的监测仪器，保证公司在发生事故后具备</w:t>
            </w:r>
            <w:r>
              <w:rPr>
                <w:sz w:val="21"/>
              </w:rPr>
              <w:t xml:space="preserve"> </w:t>
            </w:r>
            <w:r>
              <w:rPr>
                <w:rFonts w:hint="eastAsia"/>
                <w:sz w:val="21"/>
              </w:rPr>
              <w:t>一定的自主监测能力；公司突发环境事件需</w:t>
            </w:r>
          </w:p>
          <w:p w:rsidR="00B04AE3" w:rsidRDefault="00B04AE3">
            <w:pPr>
              <w:pStyle w:val="TableParagraph"/>
              <w:spacing w:line="251" w:lineRule="exact"/>
              <w:ind w:left="54" w:right="44"/>
              <w:rPr>
                <w:sz w:val="21"/>
              </w:rPr>
            </w:pPr>
            <w:r>
              <w:rPr>
                <w:rFonts w:hint="eastAsia"/>
                <w:sz w:val="21"/>
              </w:rPr>
              <w:t>要及时向南昌市环保局寻求支援。</w:t>
            </w:r>
          </w:p>
        </w:tc>
        <w:tc>
          <w:tcPr>
            <w:tcW w:w="1578" w:type="dxa"/>
            <w:vMerge/>
            <w:tcBorders>
              <w:top w:val="nil"/>
            </w:tcBorders>
          </w:tcPr>
          <w:p w:rsidR="00B04AE3" w:rsidRDefault="00B04AE3">
            <w:pPr>
              <w:rPr>
                <w:sz w:val="2"/>
                <w:szCs w:val="2"/>
              </w:rPr>
            </w:pPr>
          </w:p>
        </w:tc>
      </w:tr>
    </w:tbl>
    <w:p w:rsidR="00B04AE3" w:rsidRDefault="00B04AE3">
      <w:pPr>
        <w:pStyle w:val="ListParagraph"/>
        <w:tabs>
          <w:tab w:val="left" w:pos="698"/>
        </w:tabs>
        <w:spacing w:before="3"/>
        <w:ind w:firstLine="0"/>
        <w:rPr>
          <w:rFonts w:ascii="Times New Roman" w:eastAsia="Times New Roman"/>
          <w:b/>
          <w:sz w:val="36"/>
        </w:rPr>
      </w:pPr>
      <w:bookmarkStart w:id="84" w:name="5_组织机构及其职责"/>
      <w:bookmarkStart w:id="85" w:name="_bookmark20"/>
      <w:bookmarkEnd w:id="84"/>
      <w:bookmarkEnd w:id="85"/>
    </w:p>
    <w:p w:rsidR="00B04AE3" w:rsidRDefault="00B04AE3">
      <w:pPr>
        <w:pStyle w:val="ListParagraph"/>
        <w:tabs>
          <w:tab w:val="left" w:pos="698"/>
        </w:tabs>
        <w:spacing w:before="3"/>
        <w:ind w:firstLine="0"/>
        <w:rPr>
          <w:rFonts w:ascii="Times New Roman" w:eastAsia="Times New Roman"/>
          <w:b/>
          <w:sz w:val="36"/>
        </w:rPr>
      </w:pPr>
    </w:p>
    <w:p w:rsidR="00B04AE3" w:rsidRDefault="00B04AE3">
      <w:pPr>
        <w:pStyle w:val="ListParagraph"/>
        <w:tabs>
          <w:tab w:val="left" w:pos="698"/>
        </w:tabs>
        <w:spacing w:before="3"/>
        <w:ind w:firstLine="0"/>
        <w:rPr>
          <w:rFonts w:ascii="Times New Roman" w:eastAsia="Times New Roman"/>
          <w:b/>
          <w:sz w:val="36"/>
        </w:rPr>
      </w:pPr>
    </w:p>
    <w:p w:rsidR="00B04AE3" w:rsidRDefault="00B04AE3">
      <w:pPr>
        <w:pStyle w:val="ListParagraph"/>
        <w:tabs>
          <w:tab w:val="left" w:pos="698"/>
        </w:tabs>
        <w:spacing w:before="3"/>
        <w:ind w:firstLine="0"/>
        <w:rPr>
          <w:rFonts w:ascii="Times New Roman" w:eastAsia="Times New Roman"/>
          <w:b/>
          <w:sz w:val="36"/>
        </w:rPr>
      </w:pPr>
    </w:p>
    <w:p w:rsidR="00B04AE3" w:rsidRDefault="00B04AE3">
      <w:pPr>
        <w:pStyle w:val="ListParagraph"/>
        <w:tabs>
          <w:tab w:val="left" w:pos="698"/>
        </w:tabs>
        <w:spacing w:before="3"/>
        <w:ind w:firstLine="0"/>
        <w:rPr>
          <w:rFonts w:ascii="Times New Roman" w:eastAsia="Times New Roman"/>
          <w:b/>
          <w:sz w:val="36"/>
        </w:rPr>
      </w:pPr>
    </w:p>
    <w:p w:rsidR="00B04AE3" w:rsidRDefault="00B04AE3">
      <w:pPr>
        <w:pStyle w:val="ListParagraph"/>
        <w:tabs>
          <w:tab w:val="left" w:pos="698"/>
        </w:tabs>
        <w:spacing w:before="3"/>
        <w:ind w:firstLine="0"/>
        <w:rPr>
          <w:rFonts w:ascii="Times New Roman" w:eastAsia="Times New Roman"/>
          <w:b/>
          <w:sz w:val="36"/>
        </w:rPr>
      </w:pPr>
    </w:p>
    <w:p w:rsidR="00B04AE3" w:rsidRDefault="00B04AE3">
      <w:pPr>
        <w:pStyle w:val="ListParagraph"/>
        <w:tabs>
          <w:tab w:val="left" w:pos="698"/>
        </w:tabs>
        <w:spacing w:before="3"/>
        <w:ind w:firstLine="0"/>
        <w:rPr>
          <w:rFonts w:ascii="Times New Roman" w:eastAsia="Times New Roman"/>
          <w:b/>
          <w:sz w:val="36"/>
        </w:rPr>
      </w:pPr>
    </w:p>
    <w:p w:rsidR="00B04AE3" w:rsidRDefault="00B04AE3">
      <w:pPr>
        <w:pStyle w:val="ListParagraph"/>
        <w:tabs>
          <w:tab w:val="left" w:pos="698"/>
        </w:tabs>
        <w:spacing w:before="3"/>
        <w:ind w:firstLine="0"/>
        <w:rPr>
          <w:rFonts w:ascii="Times New Roman" w:eastAsia="Times New Roman"/>
          <w:b/>
          <w:sz w:val="36"/>
        </w:rPr>
      </w:pPr>
    </w:p>
    <w:p w:rsidR="00B04AE3" w:rsidRDefault="00B04AE3">
      <w:pPr>
        <w:pStyle w:val="ListParagraph"/>
        <w:tabs>
          <w:tab w:val="left" w:pos="698"/>
        </w:tabs>
        <w:spacing w:before="3"/>
        <w:ind w:firstLine="0"/>
        <w:rPr>
          <w:rFonts w:ascii="Times New Roman" w:eastAsia="Times New Roman"/>
          <w:b/>
          <w:sz w:val="36"/>
        </w:rPr>
      </w:pPr>
    </w:p>
    <w:p w:rsidR="00B04AE3" w:rsidRDefault="00B04AE3">
      <w:pPr>
        <w:pStyle w:val="ListParagraph"/>
        <w:numPr>
          <w:ilvl w:val="0"/>
          <w:numId w:val="21"/>
        </w:numPr>
        <w:tabs>
          <w:tab w:val="left" w:pos="698"/>
        </w:tabs>
        <w:spacing w:before="3"/>
        <w:ind w:left="697" w:hanging="360"/>
        <w:rPr>
          <w:rFonts w:ascii="Times New Roman" w:eastAsia="Times New Roman"/>
          <w:b/>
          <w:sz w:val="36"/>
        </w:rPr>
      </w:pPr>
      <w:r>
        <w:rPr>
          <w:rFonts w:hint="eastAsia"/>
          <w:b/>
          <w:sz w:val="36"/>
        </w:rPr>
        <w:t>组织机构及其职责</w:t>
      </w:r>
    </w:p>
    <w:p w:rsidR="00B04AE3" w:rsidRDefault="00B04AE3">
      <w:pPr>
        <w:pStyle w:val="ListParagraph"/>
        <w:numPr>
          <w:ilvl w:val="1"/>
          <w:numId w:val="22"/>
        </w:numPr>
        <w:tabs>
          <w:tab w:val="left" w:pos="787"/>
        </w:tabs>
        <w:spacing w:before="239"/>
        <w:rPr>
          <w:b/>
          <w:sz w:val="30"/>
        </w:rPr>
      </w:pPr>
      <w:bookmarkStart w:id="86" w:name="5.1组织体系"/>
      <w:bookmarkStart w:id="87" w:name="_bookmark21"/>
      <w:bookmarkEnd w:id="86"/>
      <w:bookmarkEnd w:id="87"/>
      <w:r>
        <w:rPr>
          <w:rFonts w:hint="eastAsia"/>
          <w:b/>
          <w:sz w:val="30"/>
        </w:rPr>
        <w:t>组织体系</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企业在发生突发环境事件后，组织指挥机构主要以属地政府机关为主，不会涉及国家层面组织机构。</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成立突发环境事件应急救援指挥部，由总经理任总指挥，副总经理任副总指挥。突发环境事件应急指挥部下设应急办公室，应急办公室设在安全环保部，突发环境事件日常工作由应急办公室负责。总指挥不在现场时，由副总指挥代表总指挥行使职权，依次递补负责应急救援指挥工作。应急救援小组有抢险救援组、通讯联络组、警戒保卫组和环境监测组。应急指挥机构结构图详见图</w:t>
      </w:r>
      <w:r>
        <w:rPr>
          <w:spacing w:val="-6"/>
          <w:szCs w:val="22"/>
        </w:rPr>
        <w:t xml:space="preserve"> 5.1-1 </w:t>
      </w:r>
      <w:r>
        <w:rPr>
          <w:rFonts w:hint="eastAsia"/>
          <w:spacing w:val="-6"/>
          <w:szCs w:val="22"/>
        </w:rPr>
        <w:t>至</w:t>
      </w:r>
      <w:r>
        <w:rPr>
          <w:spacing w:val="-6"/>
          <w:szCs w:val="22"/>
        </w:rPr>
        <w:t>5.1-3</w:t>
      </w:r>
      <w:r>
        <w:rPr>
          <w:rFonts w:hint="eastAsia"/>
          <w:spacing w:val="-6"/>
          <w:szCs w:val="22"/>
        </w:rPr>
        <w:t>。</w:t>
      </w:r>
    </w:p>
    <w:p w:rsidR="00B04AE3" w:rsidRDefault="00B04AE3">
      <w:pPr>
        <w:pStyle w:val="BodyText"/>
        <w:spacing w:before="4"/>
        <w:rPr>
          <w:sz w:val="10"/>
        </w:rPr>
      </w:pPr>
      <w:r>
        <w:rPr>
          <w:noProof/>
          <w:lang w:val="en-US"/>
        </w:rPr>
        <w:pict>
          <v:shape id="image8.jpeg" o:spid="_x0000_s1192" type="#_x0000_t75" style="position:absolute;margin-left:133.95pt;margin-top:8.55pt;width:378.95pt;height:197.75pt;z-index:251650560;visibility:visible;mso-wrap-distance-left:0;mso-wrap-distance-right:0;mso-position-horizontal-relative:page">
            <v:imagedata r:id="rId25" o:title=""/>
            <w10:wrap type="topAndBottom" anchorx="page"/>
          </v:shape>
        </w:pict>
      </w:r>
    </w:p>
    <w:p w:rsidR="00B04AE3" w:rsidRDefault="00B04AE3">
      <w:pPr>
        <w:spacing w:before="1"/>
        <w:ind w:left="2564"/>
        <w:rPr>
          <w:b/>
          <w:sz w:val="24"/>
        </w:rPr>
      </w:pPr>
      <w:r>
        <w:rPr>
          <w:rFonts w:hint="eastAsia"/>
          <w:b/>
          <w:sz w:val="24"/>
        </w:rPr>
        <w:t>图</w:t>
      </w:r>
      <w:r>
        <w:rPr>
          <w:b/>
          <w:sz w:val="24"/>
        </w:rPr>
        <w:t xml:space="preserve"> </w:t>
      </w:r>
      <w:r>
        <w:rPr>
          <w:rFonts w:ascii="Times New Roman" w:eastAsia="Times New Roman"/>
          <w:b/>
          <w:sz w:val="24"/>
        </w:rPr>
        <w:t xml:space="preserve">5.1-1  </w:t>
      </w:r>
      <w:r>
        <w:rPr>
          <w:rFonts w:hint="eastAsia"/>
          <w:b/>
          <w:sz w:val="24"/>
        </w:rPr>
        <w:t>企业内部指挥机构组织机构图</w:t>
      </w:r>
    </w:p>
    <w:p w:rsidR="00B04AE3" w:rsidRDefault="00B04AE3">
      <w:pPr>
        <w:pStyle w:val="ListParagraph"/>
        <w:numPr>
          <w:ilvl w:val="1"/>
          <w:numId w:val="22"/>
        </w:numPr>
        <w:tabs>
          <w:tab w:val="left" w:pos="787"/>
        </w:tabs>
        <w:spacing w:before="184"/>
        <w:rPr>
          <w:b/>
          <w:sz w:val="30"/>
        </w:rPr>
      </w:pPr>
      <w:bookmarkStart w:id="88" w:name="5.2指挥机构组成及各组职责"/>
      <w:bookmarkStart w:id="89" w:name="_bookmark22"/>
      <w:bookmarkEnd w:id="88"/>
      <w:bookmarkEnd w:id="89"/>
      <w:r>
        <w:rPr>
          <w:rFonts w:hint="eastAsia"/>
          <w:b/>
          <w:sz w:val="30"/>
        </w:rPr>
        <w:t>指挥机构组成及各组职责</w:t>
      </w:r>
    </w:p>
    <w:p w:rsidR="00B04AE3" w:rsidRDefault="00B04AE3">
      <w:pPr>
        <w:spacing w:before="199"/>
        <w:ind w:left="337"/>
        <w:rPr>
          <w:b/>
          <w:sz w:val="24"/>
        </w:rPr>
      </w:pPr>
      <w:bookmarkStart w:id="90" w:name="5.2.1_公司突发环境事件应急指挥机构组成"/>
      <w:bookmarkEnd w:id="90"/>
      <w:r>
        <w:rPr>
          <w:rFonts w:ascii="Times New Roman" w:eastAsia="Times New Roman"/>
          <w:b/>
          <w:sz w:val="24"/>
        </w:rPr>
        <w:t>5.2.1</w:t>
      </w:r>
      <w:r>
        <w:rPr>
          <w:rFonts w:ascii="Times New Roman" w:eastAsia="Times New Roman"/>
          <w:b/>
          <w:spacing w:val="59"/>
          <w:sz w:val="24"/>
        </w:rPr>
        <w:t xml:space="preserve"> </w:t>
      </w:r>
      <w:r>
        <w:rPr>
          <w:rFonts w:hint="eastAsia"/>
          <w:b/>
          <w:sz w:val="24"/>
        </w:rPr>
        <w:t>公司突发环境事件应急指挥机构组成</w:t>
      </w:r>
    </w:p>
    <w:p w:rsidR="00B04AE3" w:rsidRDefault="00B04AE3">
      <w:pPr>
        <w:spacing w:before="158" w:line="362" w:lineRule="auto"/>
        <w:ind w:left="1297" w:right="1699" w:hanging="480"/>
        <w:rPr>
          <w:b/>
          <w:color w:val="FF0000"/>
          <w:sz w:val="24"/>
        </w:rPr>
      </w:pPr>
      <w:r>
        <w:rPr>
          <w:rFonts w:hint="eastAsia"/>
          <w:sz w:val="24"/>
        </w:rPr>
        <w:t>应急救援指挥部和应急救援人员名单、联系方式见表</w:t>
      </w:r>
      <w:r>
        <w:rPr>
          <w:sz w:val="24"/>
        </w:rPr>
        <w:t xml:space="preserve"> </w:t>
      </w:r>
      <w:r>
        <w:rPr>
          <w:rFonts w:ascii="Times New Roman" w:eastAsia="Times New Roman"/>
          <w:sz w:val="24"/>
        </w:rPr>
        <w:t>5.2-1</w:t>
      </w:r>
      <w:r>
        <w:rPr>
          <w:rFonts w:hint="eastAsia"/>
          <w:sz w:val="24"/>
        </w:rPr>
        <w:t>。</w:t>
      </w:r>
      <w:r>
        <w:rPr>
          <w:rFonts w:hint="eastAsia"/>
          <w:b/>
          <w:sz w:val="24"/>
        </w:rPr>
        <w:t>表</w:t>
      </w:r>
      <w:r>
        <w:rPr>
          <w:b/>
          <w:sz w:val="24"/>
        </w:rPr>
        <w:t xml:space="preserve"> </w:t>
      </w:r>
      <w:r>
        <w:rPr>
          <w:rFonts w:ascii="Times New Roman" w:eastAsia="Times New Roman"/>
          <w:b/>
          <w:sz w:val="24"/>
        </w:rPr>
        <w:t xml:space="preserve">5.2-1 </w:t>
      </w:r>
      <w:r>
        <w:rPr>
          <w:rFonts w:hint="eastAsia"/>
          <w:b/>
          <w:sz w:val="24"/>
        </w:rPr>
        <w:t>应急救援指挥部和应急救援人员名单、联系方式</w:t>
      </w: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5"/>
        <w:gridCol w:w="809"/>
        <w:gridCol w:w="1513"/>
        <w:gridCol w:w="2063"/>
        <w:gridCol w:w="2553"/>
        <w:gridCol w:w="1427"/>
      </w:tblGrid>
      <w:tr w:rsidR="00B04AE3">
        <w:trPr>
          <w:trHeight w:val="506"/>
          <w:jc w:val="center"/>
        </w:trPr>
        <w:tc>
          <w:tcPr>
            <w:tcW w:w="995" w:type="dxa"/>
            <w:vAlign w:val="center"/>
          </w:tcPr>
          <w:p w:rsidR="00B04AE3" w:rsidRDefault="00B04AE3">
            <w:pPr>
              <w:spacing w:line="280" w:lineRule="exact"/>
              <w:jc w:val="center"/>
              <w:rPr>
                <w:rFonts w:ascii="仿宋_GB2312" w:eastAsia="仿宋_GB2312" w:hAnsi="仿宋_GB2312" w:cs="仿宋_GB2312"/>
                <w:sz w:val="24"/>
              </w:rPr>
            </w:pPr>
            <w:r>
              <w:rPr>
                <w:rFonts w:ascii="仿宋_GB2312" w:eastAsia="仿宋_GB2312" w:hAnsi="仿宋" w:cs="仿宋" w:hint="eastAsia"/>
                <w:b/>
                <w:bCs/>
                <w:spacing w:val="2"/>
                <w:sz w:val="24"/>
              </w:rPr>
              <w:t>序号</w:t>
            </w:r>
          </w:p>
        </w:tc>
        <w:tc>
          <w:tcPr>
            <w:tcW w:w="809" w:type="dxa"/>
            <w:vAlign w:val="center"/>
          </w:tcPr>
          <w:p w:rsidR="00B04AE3" w:rsidRDefault="00B04AE3">
            <w:pPr>
              <w:spacing w:line="280" w:lineRule="exact"/>
              <w:jc w:val="center"/>
              <w:rPr>
                <w:rFonts w:ascii="仿宋_GB2312" w:eastAsia="仿宋_GB2312" w:hAnsi="仿宋_GB2312" w:cs="仿宋_GB2312"/>
                <w:sz w:val="24"/>
              </w:rPr>
            </w:pPr>
            <w:r>
              <w:rPr>
                <w:rFonts w:ascii="仿宋_GB2312" w:eastAsia="仿宋_GB2312" w:hAnsi="仿宋" w:cs="仿宋" w:hint="eastAsia"/>
                <w:b/>
                <w:bCs/>
                <w:spacing w:val="2"/>
                <w:sz w:val="24"/>
              </w:rPr>
              <w:t>组名</w:t>
            </w:r>
          </w:p>
        </w:tc>
        <w:tc>
          <w:tcPr>
            <w:tcW w:w="1513" w:type="dxa"/>
            <w:vAlign w:val="center"/>
          </w:tcPr>
          <w:p w:rsidR="00B04AE3" w:rsidRDefault="00B04AE3">
            <w:pPr>
              <w:spacing w:line="280" w:lineRule="exact"/>
              <w:jc w:val="center"/>
              <w:rPr>
                <w:rFonts w:ascii="仿宋_GB2312" w:eastAsia="仿宋_GB2312" w:hAnsi="仿宋_GB2312" w:cs="仿宋_GB2312"/>
                <w:sz w:val="24"/>
              </w:rPr>
            </w:pPr>
            <w:r>
              <w:rPr>
                <w:rFonts w:ascii="仿宋_GB2312" w:eastAsia="仿宋_GB2312" w:hAnsi="仿宋" w:cs="仿宋" w:hint="eastAsia"/>
                <w:b/>
                <w:bCs/>
                <w:spacing w:val="2"/>
                <w:sz w:val="24"/>
              </w:rPr>
              <w:t>成员</w:t>
            </w:r>
          </w:p>
        </w:tc>
        <w:tc>
          <w:tcPr>
            <w:tcW w:w="2063" w:type="dxa"/>
            <w:vAlign w:val="center"/>
          </w:tcPr>
          <w:p w:rsidR="00B04AE3" w:rsidRDefault="00B04AE3">
            <w:pPr>
              <w:spacing w:line="280" w:lineRule="exact"/>
              <w:jc w:val="center"/>
              <w:rPr>
                <w:rFonts w:ascii="仿宋_GB2312" w:eastAsia="仿宋_GB2312" w:hAnsi="仿宋_GB2312" w:cs="仿宋_GB2312"/>
                <w:sz w:val="24"/>
              </w:rPr>
            </w:pPr>
            <w:r>
              <w:rPr>
                <w:rFonts w:ascii="仿宋_GB2312" w:eastAsia="仿宋_GB2312" w:hAnsi="仿宋" w:cs="仿宋" w:hint="eastAsia"/>
                <w:b/>
                <w:bCs/>
                <w:spacing w:val="2"/>
                <w:sz w:val="24"/>
              </w:rPr>
              <w:t>手机号码</w:t>
            </w:r>
          </w:p>
        </w:tc>
        <w:tc>
          <w:tcPr>
            <w:tcW w:w="2553" w:type="dxa"/>
            <w:vAlign w:val="center"/>
          </w:tcPr>
          <w:p w:rsidR="00B04AE3" w:rsidRDefault="00B04AE3">
            <w:pPr>
              <w:spacing w:line="280" w:lineRule="exact"/>
              <w:jc w:val="center"/>
              <w:rPr>
                <w:rFonts w:ascii="仿宋_GB2312" w:eastAsia="仿宋_GB2312" w:hAnsi="仿宋" w:cs="仿宋"/>
                <w:b/>
                <w:bCs/>
                <w:spacing w:val="2"/>
                <w:sz w:val="24"/>
              </w:rPr>
            </w:pPr>
            <w:r>
              <w:rPr>
                <w:rFonts w:ascii="仿宋_GB2312" w:eastAsia="仿宋_GB2312" w:hAnsi="仿宋" w:cs="仿宋" w:hint="eastAsia"/>
                <w:b/>
                <w:bCs/>
                <w:spacing w:val="2"/>
                <w:sz w:val="24"/>
              </w:rPr>
              <w:t>固定电话</w:t>
            </w:r>
          </w:p>
        </w:tc>
        <w:tc>
          <w:tcPr>
            <w:tcW w:w="1427" w:type="dxa"/>
            <w:vAlign w:val="center"/>
          </w:tcPr>
          <w:p w:rsidR="00B04AE3" w:rsidRDefault="00B04AE3">
            <w:pPr>
              <w:spacing w:line="280" w:lineRule="exact"/>
              <w:jc w:val="center"/>
              <w:rPr>
                <w:rFonts w:ascii="仿宋_GB2312" w:eastAsia="仿宋_GB2312" w:hAnsi="仿宋_GB2312" w:cs="仿宋_GB2312"/>
                <w:sz w:val="24"/>
              </w:rPr>
            </w:pPr>
            <w:r>
              <w:rPr>
                <w:rFonts w:ascii="仿宋_GB2312" w:eastAsia="仿宋_GB2312" w:hAnsi="仿宋" w:cs="仿宋" w:hint="eastAsia"/>
                <w:b/>
                <w:bCs/>
                <w:spacing w:val="2"/>
                <w:sz w:val="24"/>
              </w:rPr>
              <w:t>职</w:t>
            </w:r>
            <w:r>
              <w:rPr>
                <w:rFonts w:ascii="仿宋_GB2312" w:eastAsia="仿宋_GB2312" w:hAnsi="仿宋" w:cs="仿宋"/>
                <w:b/>
                <w:bCs/>
                <w:spacing w:val="2"/>
                <w:sz w:val="24"/>
              </w:rPr>
              <w:t xml:space="preserve"> </w:t>
            </w:r>
            <w:r>
              <w:rPr>
                <w:rFonts w:ascii="仿宋_GB2312" w:eastAsia="仿宋_GB2312" w:hAnsi="仿宋" w:cs="仿宋" w:hint="eastAsia"/>
                <w:b/>
                <w:bCs/>
                <w:spacing w:val="2"/>
                <w:sz w:val="24"/>
              </w:rPr>
              <w:t>务</w:t>
            </w:r>
          </w:p>
        </w:tc>
      </w:tr>
      <w:tr w:rsidR="00B04AE3">
        <w:trPr>
          <w:trHeight w:val="90"/>
          <w:jc w:val="center"/>
        </w:trPr>
        <w:tc>
          <w:tcPr>
            <w:tcW w:w="995" w:type="dxa"/>
            <w:vAlign w:val="center"/>
          </w:tcPr>
          <w:p w:rsidR="00B04AE3" w:rsidRDefault="00B04AE3">
            <w:pPr>
              <w:spacing w:line="280" w:lineRule="exact"/>
              <w:jc w:val="center"/>
              <w:rPr>
                <w:sz w:val="21"/>
              </w:rPr>
            </w:pPr>
            <w:r>
              <w:rPr>
                <w:sz w:val="21"/>
              </w:rPr>
              <w:t>1</w:t>
            </w:r>
          </w:p>
        </w:tc>
        <w:tc>
          <w:tcPr>
            <w:tcW w:w="809" w:type="dxa"/>
            <w:vMerge w:val="restart"/>
            <w:textDirection w:val="tbRlV"/>
            <w:vAlign w:val="center"/>
          </w:tcPr>
          <w:p w:rsidR="00B04AE3" w:rsidRDefault="00B04AE3">
            <w:pPr>
              <w:spacing w:line="280" w:lineRule="exact"/>
              <w:ind w:left="113" w:right="113"/>
              <w:jc w:val="center"/>
              <w:rPr>
                <w:sz w:val="21"/>
              </w:rPr>
            </w:pPr>
            <w:r>
              <w:rPr>
                <w:rFonts w:hint="eastAsia"/>
                <w:sz w:val="21"/>
              </w:rPr>
              <w:t>抢险救援组</w:t>
            </w:r>
          </w:p>
        </w:tc>
        <w:tc>
          <w:tcPr>
            <w:tcW w:w="1513" w:type="dxa"/>
            <w:vAlign w:val="center"/>
          </w:tcPr>
          <w:p w:rsidR="00B04AE3" w:rsidRDefault="00B04AE3">
            <w:pPr>
              <w:jc w:val="center"/>
              <w:rPr>
                <w:sz w:val="21"/>
              </w:rPr>
            </w:pPr>
            <w:r>
              <w:rPr>
                <w:rFonts w:hint="eastAsia"/>
                <w:sz w:val="21"/>
              </w:rPr>
              <w:t>谢子伟</w:t>
            </w:r>
          </w:p>
        </w:tc>
        <w:tc>
          <w:tcPr>
            <w:tcW w:w="2063" w:type="dxa"/>
            <w:vAlign w:val="center"/>
          </w:tcPr>
          <w:p w:rsidR="00B04AE3" w:rsidRDefault="00B04AE3">
            <w:pPr>
              <w:jc w:val="center"/>
              <w:rPr>
                <w:sz w:val="21"/>
              </w:rPr>
            </w:pPr>
            <w:r>
              <w:rPr>
                <w:sz w:val="21"/>
              </w:rPr>
              <w:t>138 7007 3675</w:t>
            </w:r>
          </w:p>
        </w:tc>
        <w:tc>
          <w:tcPr>
            <w:tcW w:w="2553" w:type="dxa"/>
            <w:vAlign w:val="center"/>
          </w:tcPr>
          <w:p w:rsidR="00B04AE3" w:rsidRDefault="00B04AE3">
            <w:pPr>
              <w:jc w:val="center"/>
              <w:rPr>
                <w:sz w:val="21"/>
              </w:rPr>
            </w:pPr>
            <w:r>
              <w:rPr>
                <w:sz w:val="21"/>
              </w:rPr>
              <w:t>0791*88534560*8110</w:t>
            </w:r>
          </w:p>
        </w:tc>
        <w:tc>
          <w:tcPr>
            <w:tcW w:w="1427" w:type="dxa"/>
            <w:vAlign w:val="center"/>
          </w:tcPr>
          <w:p w:rsidR="00B04AE3" w:rsidRDefault="00B04AE3">
            <w:pPr>
              <w:jc w:val="center"/>
              <w:rPr>
                <w:sz w:val="21"/>
              </w:rPr>
            </w:pPr>
            <w:r>
              <w:rPr>
                <w:rFonts w:hint="eastAsia"/>
                <w:sz w:val="21"/>
              </w:rPr>
              <w:t>组长</w:t>
            </w:r>
          </w:p>
        </w:tc>
      </w:tr>
      <w:tr w:rsidR="00B04AE3">
        <w:trPr>
          <w:trHeight w:val="357"/>
          <w:jc w:val="center"/>
        </w:trPr>
        <w:tc>
          <w:tcPr>
            <w:tcW w:w="995" w:type="dxa"/>
            <w:vAlign w:val="center"/>
          </w:tcPr>
          <w:p w:rsidR="00B04AE3" w:rsidRDefault="00B04AE3">
            <w:pPr>
              <w:jc w:val="center"/>
              <w:rPr>
                <w:sz w:val="21"/>
              </w:rPr>
            </w:pPr>
            <w:r>
              <w:rPr>
                <w:sz w:val="21"/>
              </w:rPr>
              <w:t>2</w:t>
            </w:r>
          </w:p>
        </w:tc>
        <w:tc>
          <w:tcPr>
            <w:tcW w:w="809" w:type="dxa"/>
            <w:vMerge/>
            <w:vAlign w:val="center"/>
          </w:tcPr>
          <w:p w:rsidR="00B04AE3" w:rsidRDefault="00B04AE3">
            <w:pPr>
              <w:jc w:val="center"/>
              <w:rPr>
                <w:sz w:val="21"/>
              </w:rPr>
            </w:pPr>
          </w:p>
        </w:tc>
        <w:tc>
          <w:tcPr>
            <w:tcW w:w="1513" w:type="dxa"/>
            <w:vAlign w:val="center"/>
          </w:tcPr>
          <w:p w:rsidR="00B04AE3" w:rsidRDefault="00B04AE3">
            <w:pPr>
              <w:jc w:val="center"/>
              <w:rPr>
                <w:sz w:val="21"/>
              </w:rPr>
            </w:pPr>
            <w:r>
              <w:rPr>
                <w:rFonts w:hint="eastAsia"/>
                <w:sz w:val="21"/>
              </w:rPr>
              <w:t>廖欣</w:t>
            </w:r>
          </w:p>
        </w:tc>
        <w:tc>
          <w:tcPr>
            <w:tcW w:w="2063" w:type="dxa"/>
            <w:vAlign w:val="center"/>
          </w:tcPr>
          <w:p w:rsidR="00B04AE3" w:rsidRDefault="00B04AE3">
            <w:pPr>
              <w:jc w:val="center"/>
              <w:rPr>
                <w:sz w:val="21"/>
              </w:rPr>
            </w:pPr>
            <w:r>
              <w:rPr>
                <w:sz w:val="21"/>
              </w:rPr>
              <w:t>138 7916 6894</w:t>
            </w:r>
          </w:p>
        </w:tc>
        <w:tc>
          <w:tcPr>
            <w:tcW w:w="2553" w:type="dxa"/>
            <w:vAlign w:val="center"/>
          </w:tcPr>
          <w:p w:rsidR="00B04AE3" w:rsidRDefault="00B04AE3">
            <w:pPr>
              <w:jc w:val="center"/>
              <w:rPr>
                <w:sz w:val="21"/>
              </w:rPr>
            </w:pPr>
            <w:r>
              <w:rPr>
                <w:sz w:val="21"/>
              </w:rPr>
              <w:t>0791*88534560*8470</w:t>
            </w:r>
          </w:p>
        </w:tc>
        <w:tc>
          <w:tcPr>
            <w:tcW w:w="1427" w:type="dxa"/>
            <w:vAlign w:val="center"/>
          </w:tcPr>
          <w:p w:rsidR="00B04AE3" w:rsidRDefault="00B04AE3">
            <w:pPr>
              <w:jc w:val="center"/>
              <w:rPr>
                <w:sz w:val="21"/>
              </w:rPr>
            </w:pPr>
            <w:r>
              <w:rPr>
                <w:rFonts w:hint="eastAsia"/>
                <w:sz w:val="21"/>
              </w:rPr>
              <w:t>副组长</w:t>
            </w:r>
          </w:p>
        </w:tc>
      </w:tr>
      <w:tr w:rsidR="00B04AE3">
        <w:trPr>
          <w:trHeight w:val="312"/>
          <w:jc w:val="center"/>
        </w:trPr>
        <w:tc>
          <w:tcPr>
            <w:tcW w:w="995" w:type="dxa"/>
            <w:vAlign w:val="center"/>
          </w:tcPr>
          <w:p w:rsidR="00B04AE3" w:rsidRDefault="00B04AE3">
            <w:pPr>
              <w:jc w:val="center"/>
              <w:rPr>
                <w:sz w:val="21"/>
              </w:rPr>
            </w:pPr>
            <w:r>
              <w:rPr>
                <w:sz w:val="21"/>
              </w:rPr>
              <w:t>3</w:t>
            </w:r>
          </w:p>
        </w:tc>
        <w:tc>
          <w:tcPr>
            <w:tcW w:w="809" w:type="dxa"/>
            <w:vMerge/>
            <w:vAlign w:val="center"/>
          </w:tcPr>
          <w:p w:rsidR="00B04AE3" w:rsidRDefault="00B04AE3">
            <w:pPr>
              <w:jc w:val="center"/>
              <w:rPr>
                <w:sz w:val="21"/>
              </w:rPr>
            </w:pPr>
          </w:p>
        </w:tc>
        <w:tc>
          <w:tcPr>
            <w:tcW w:w="1513" w:type="dxa"/>
            <w:vAlign w:val="center"/>
          </w:tcPr>
          <w:p w:rsidR="00B04AE3" w:rsidRDefault="00B04AE3">
            <w:pPr>
              <w:jc w:val="center"/>
              <w:rPr>
                <w:sz w:val="21"/>
              </w:rPr>
            </w:pPr>
            <w:r>
              <w:rPr>
                <w:rFonts w:hint="eastAsia"/>
                <w:sz w:val="21"/>
              </w:rPr>
              <w:t>陈小灵</w:t>
            </w:r>
          </w:p>
        </w:tc>
        <w:tc>
          <w:tcPr>
            <w:tcW w:w="2063" w:type="dxa"/>
            <w:vAlign w:val="center"/>
          </w:tcPr>
          <w:p w:rsidR="00B04AE3" w:rsidRDefault="00B04AE3">
            <w:pPr>
              <w:jc w:val="center"/>
              <w:rPr>
                <w:sz w:val="21"/>
              </w:rPr>
            </w:pPr>
            <w:r>
              <w:rPr>
                <w:sz w:val="21"/>
              </w:rPr>
              <w:t>159 7043 9835</w:t>
            </w:r>
          </w:p>
        </w:tc>
        <w:tc>
          <w:tcPr>
            <w:tcW w:w="2553" w:type="dxa"/>
            <w:vAlign w:val="center"/>
          </w:tcPr>
          <w:p w:rsidR="00B04AE3" w:rsidRDefault="00B04AE3">
            <w:pPr>
              <w:jc w:val="center"/>
              <w:rPr>
                <w:sz w:val="21"/>
              </w:rPr>
            </w:pPr>
            <w:r>
              <w:rPr>
                <w:sz w:val="21"/>
              </w:rPr>
              <w:t>0791*88534560*8320</w:t>
            </w:r>
          </w:p>
        </w:tc>
        <w:tc>
          <w:tcPr>
            <w:tcW w:w="1427" w:type="dxa"/>
            <w:vAlign w:val="center"/>
          </w:tcPr>
          <w:p w:rsidR="00B04AE3" w:rsidRDefault="00B04AE3">
            <w:pPr>
              <w:jc w:val="center"/>
              <w:rPr>
                <w:sz w:val="21"/>
              </w:rPr>
            </w:pPr>
            <w:r>
              <w:rPr>
                <w:rFonts w:hint="eastAsia"/>
                <w:sz w:val="21"/>
              </w:rPr>
              <w:t>成员</w:t>
            </w:r>
          </w:p>
        </w:tc>
      </w:tr>
      <w:tr w:rsidR="00B04AE3">
        <w:trPr>
          <w:trHeight w:val="367"/>
          <w:jc w:val="center"/>
        </w:trPr>
        <w:tc>
          <w:tcPr>
            <w:tcW w:w="995" w:type="dxa"/>
            <w:vAlign w:val="center"/>
          </w:tcPr>
          <w:p w:rsidR="00B04AE3" w:rsidRDefault="00B04AE3">
            <w:pPr>
              <w:jc w:val="center"/>
              <w:rPr>
                <w:sz w:val="21"/>
              </w:rPr>
            </w:pPr>
            <w:r>
              <w:rPr>
                <w:sz w:val="21"/>
              </w:rPr>
              <w:t>4</w:t>
            </w:r>
          </w:p>
        </w:tc>
        <w:tc>
          <w:tcPr>
            <w:tcW w:w="809" w:type="dxa"/>
            <w:vMerge/>
            <w:vAlign w:val="center"/>
          </w:tcPr>
          <w:p w:rsidR="00B04AE3" w:rsidRDefault="00B04AE3">
            <w:pPr>
              <w:jc w:val="center"/>
              <w:rPr>
                <w:sz w:val="21"/>
              </w:rPr>
            </w:pPr>
          </w:p>
        </w:tc>
        <w:tc>
          <w:tcPr>
            <w:tcW w:w="1513" w:type="dxa"/>
            <w:vAlign w:val="center"/>
          </w:tcPr>
          <w:p w:rsidR="00B04AE3" w:rsidRDefault="00B04AE3">
            <w:pPr>
              <w:jc w:val="center"/>
              <w:rPr>
                <w:sz w:val="21"/>
              </w:rPr>
            </w:pPr>
            <w:r>
              <w:rPr>
                <w:rFonts w:hint="eastAsia"/>
                <w:sz w:val="21"/>
              </w:rPr>
              <w:t>赖远福</w:t>
            </w:r>
          </w:p>
        </w:tc>
        <w:tc>
          <w:tcPr>
            <w:tcW w:w="2063" w:type="dxa"/>
            <w:vAlign w:val="center"/>
          </w:tcPr>
          <w:p w:rsidR="00B04AE3" w:rsidRDefault="00B04AE3">
            <w:pPr>
              <w:jc w:val="center"/>
              <w:rPr>
                <w:sz w:val="21"/>
              </w:rPr>
            </w:pPr>
            <w:r>
              <w:rPr>
                <w:sz w:val="21"/>
              </w:rPr>
              <w:t>13687089741</w:t>
            </w:r>
          </w:p>
        </w:tc>
        <w:tc>
          <w:tcPr>
            <w:tcW w:w="2553" w:type="dxa"/>
            <w:vAlign w:val="center"/>
          </w:tcPr>
          <w:p w:rsidR="00B04AE3" w:rsidRDefault="00B04AE3">
            <w:pPr>
              <w:jc w:val="center"/>
              <w:rPr>
                <w:sz w:val="21"/>
              </w:rPr>
            </w:pPr>
            <w:r>
              <w:rPr>
                <w:sz w:val="21"/>
              </w:rPr>
              <w:t>0791*88534560*8301</w:t>
            </w:r>
          </w:p>
        </w:tc>
        <w:tc>
          <w:tcPr>
            <w:tcW w:w="1427" w:type="dxa"/>
            <w:vAlign w:val="center"/>
          </w:tcPr>
          <w:p w:rsidR="00B04AE3" w:rsidRDefault="00B04AE3">
            <w:pPr>
              <w:jc w:val="center"/>
              <w:rPr>
                <w:sz w:val="21"/>
              </w:rPr>
            </w:pPr>
            <w:r>
              <w:rPr>
                <w:rFonts w:hint="eastAsia"/>
                <w:sz w:val="21"/>
              </w:rPr>
              <w:t>成员</w:t>
            </w:r>
          </w:p>
        </w:tc>
      </w:tr>
      <w:tr w:rsidR="00B04AE3">
        <w:trPr>
          <w:trHeight w:val="502"/>
          <w:jc w:val="center"/>
        </w:trPr>
        <w:tc>
          <w:tcPr>
            <w:tcW w:w="995" w:type="dxa"/>
            <w:vAlign w:val="center"/>
          </w:tcPr>
          <w:p w:rsidR="00B04AE3" w:rsidRDefault="00B04AE3">
            <w:pPr>
              <w:spacing w:line="280" w:lineRule="exact"/>
              <w:jc w:val="center"/>
              <w:rPr>
                <w:sz w:val="21"/>
              </w:rPr>
            </w:pPr>
            <w:r>
              <w:rPr>
                <w:sz w:val="21"/>
              </w:rPr>
              <w:t>5</w:t>
            </w:r>
          </w:p>
        </w:tc>
        <w:tc>
          <w:tcPr>
            <w:tcW w:w="809" w:type="dxa"/>
            <w:vMerge/>
            <w:vAlign w:val="center"/>
          </w:tcPr>
          <w:p w:rsidR="00B04AE3" w:rsidRDefault="00B04AE3">
            <w:pPr>
              <w:spacing w:line="280" w:lineRule="exact"/>
              <w:jc w:val="center"/>
              <w:rPr>
                <w:sz w:val="21"/>
              </w:rPr>
            </w:pPr>
          </w:p>
        </w:tc>
        <w:tc>
          <w:tcPr>
            <w:tcW w:w="1513" w:type="dxa"/>
            <w:vAlign w:val="center"/>
          </w:tcPr>
          <w:p w:rsidR="00B04AE3" w:rsidRDefault="00B04AE3">
            <w:pPr>
              <w:jc w:val="center"/>
              <w:rPr>
                <w:sz w:val="21"/>
              </w:rPr>
            </w:pPr>
            <w:r>
              <w:rPr>
                <w:rFonts w:hint="eastAsia"/>
                <w:sz w:val="21"/>
              </w:rPr>
              <w:t>李俊</w:t>
            </w:r>
          </w:p>
        </w:tc>
        <w:tc>
          <w:tcPr>
            <w:tcW w:w="2063" w:type="dxa"/>
            <w:vAlign w:val="center"/>
          </w:tcPr>
          <w:p w:rsidR="00B04AE3" w:rsidRDefault="00B04AE3">
            <w:pPr>
              <w:jc w:val="center"/>
              <w:rPr>
                <w:sz w:val="21"/>
              </w:rPr>
            </w:pPr>
            <w:r>
              <w:rPr>
                <w:sz w:val="21"/>
              </w:rPr>
              <w:t>15180133857</w:t>
            </w:r>
          </w:p>
        </w:tc>
        <w:tc>
          <w:tcPr>
            <w:tcW w:w="2553" w:type="dxa"/>
            <w:vAlign w:val="center"/>
          </w:tcPr>
          <w:p w:rsidR="00B04AE3" w:rsidRDefault="00B04AE3">
            <w:pPr>
              <w:jc w:val="center"/>
              <w:rPr>
                <w:sz w:val="21"/>
              </w:rPr>
            </w:pPr>
            <w:r>
              <w:rPr>
                <w:sz w:val="21"/>
              </w:rPr>
              <w:t>0791*88534560*8305</w:t>
            </w:r>
          </w:p>
        </w:tc>
        <w:tc>
          <w:tcPr>
            <w:tcW w:w="1427" w:type="dxa"/>
            <w:vAlign w:val="center"/>
          </w:tcPr>
          <w:p w:rsidR="00B04AE3" w:rsidRDefault="00B04AE3">
            <w:pPr>
              <w:jc w:val="center"/>
              <w:rPr>
                <w:sz w:val="21"/>
              </w:rPr>
            </w:pPr>
            <w:r>
              <w:rPr>
                <w:rFonts w:hint="eastAsia"/>
                <w:sz w:val="21"/>
              </w:rPr>
              <w:t>成员</w:t>
            </w:r>
          </w:p>
        </w:tc>
      </w:tr>
      <w:tr w:rsidR="00B04AE3">
        <w:trPr>
          <w:trHeight w:val="352"/>
          <w:jc w:val="center"/>
        </w:trPr>
        <w:tc>
          <w:tcPr>
            <w:tcW w:w="995" w:type="dxa"/>
            <w:vAlign w:val="center"/>
          </w:tcPr>
          <w:p w:rsidR="00B04AE3" w:rsidRDefault="00B04AE3">
            <w:pPr>
              <w:jc w:val="center"/>
              <w:rPr>
                <w:sz w:val="21"/>
              </w:rPr>
            </w:pPr>
            <w:r>
              <w:rPr>
                <w:sz w:val="21"/>
              </w:rPr>
              <w:t>6</w:t>
            </w:r>
          </w:p>
        </w:tc>
        <w:tc>
          <w:tcPr>
            <w:tcW w:w="809" w:type="dxa"/>
            <w:vMerge/>
            <w:vAlign w:val="center"/>
          </w:tcPr>
          <w:p w:rsidR="00B04AE3" w:rsidRDefault="00B04AE3">
            <w:pPr>
              <w:jc w:val="center"/>
              <w:rPr>
                <w:sz w:val="21"/>
              </w:rPr>
            </w:pPr>
          </w:p>
        </w:tc>
        <w:tc>
          <w:tcPr>
            <w:tcW w:w="1513" w:type="dxa"/>
            <w:vAlign w:val="center"/>
          </w:tcPr>
          <w:p w:rsidR="00B04AE3" w:rsidRDefault="00B04AE3">
            <w:pPr>
              <w:jc w:val="center"/>
              <w:rPr>
                <w:sz w:val="21"/>
              </w:rPr>
            </w:pPr>
            <w:r>
              <w:rPr>
                <w:rFonts w:hint="eastAsia"/>
                <w:sz w:val="21"/>
              </w:rPr>
              <w:t>魏龙</w:t>
            </w:r>
          </w:p>
        </w:tc>
        <w:tc>
          <w:tcPr>
            <w:tcW w:w="2063" w:type="dxa"/>
            <w:vAlign w:val="center"/>
          </w:tcPr>
          <w:p w:rsidR="00B04AE3" w:rsidRDefault="00B04AE3">
            <w:pPr>
              <w:jc w:val="center"/>
              <w:rPr>
                <w:sz w:val="21"/>
              </w:rPr>
            </w:pPr>
            <w:r>
              <w:rPr>
                <w:sz w:val="21"/>
              </w:rPr>
              <w:t>15070864925</w:t>
            </w:r>
          </w:p>
        </w:tc>
        <w:tc>
          <w:tcPr>
            <w:tcW w:w="2553" w:type="dxa"/>
            <w:vAlign w:val="center"/>
          </w:tcPr>
          <w:p w:rsidR="00B04AE3" w:rsidRDefault="00B04AE3">
            <w:pPr>
              <w:jc w:val="center"/>
              <w:rPr>
                <w:sz w:val="21"/>
              </w:rPr>
            </w:pPr>
            <w:r>
              <w:rPr>
                <w:sz w:val="21"/>
              </w:rPr>
              <w:t>0791*88534560*8302</w:t>
            </w:r>
          </w:p>
        </w:tc>
        <w:tc>
          <w:tcPr>
            <w:tcW w:w="1427" w:type="dxa"/>
            <w:vAlign w:val="center"/>
          </w:tcPr>
          <w:p w:rsidR="00B04AE3" w:rsidRDefault="00B04AE3">
            <w:pPr>
              <w:jc w:val="center"/>
              <w:rPr>
                <w:sz w:val="21"/>
              </w:rPr>
            </w:pPr>
            <w:r>
              <w:rPr>
                <w:rFonts w:hint="eastAsia"/>
                <w:sz w:val="21"/>
              </w:rPr>
              <w:t>成员</w:t>
            </w:r>
          </w:p>
        </w:tc>
      </w:tr>
      <w:tr w:rsidR="00B04AE3">
        <w:trPr>
          <w:trHeight w:val="382"/>
          <w:jc w:val="center"/>
        </w:trPr>
        <w:tc>
          <w:tcPr>
            <w:tcW w:w="995" w:type="dxa"/>
            <w:vAlign w:val="center"/>
          </w:tcPr>
          <w:p w:rsidR="00B04AE3" w:rsidRDefault="00B04AE3">
            <w:pPr>
              <w:jc w:val="center"/>
              <w:rPr>
                <w:sz w:val="21"/>
              </w:rPr>
            </w:pPr>
            <w:r>
              <w:rPr>
                <w:sz w:val="21"/>
              </w:rPr>
              <w:t>7</w:t>
            </w:r>
          </w:p>
        </w:tc>
        <w:tc>
          <w:tcPr>
            <w:tcW w:w="809" w:type="dxa"/>
            <w:vMerge/>
            <w:vAlign w:val="center"/>
          </w:tcPr>
          <w:p w:rsidR="00B04AE3" w:rsidRDefault="00B04AE3">
            <w:pPr>
              <w:jc w:val="center"/>
              <w:rPr>
                <w:sz w:val="21"/>
              </w:rPr>
            </w:pPr>
          </w:p>
        </w:tc>
        <w:tc>
          <w:tcPr>
            <w:tcW w:w="1513" w:type="dxa"/>
            <w:vAlign w:val="center"/>
          </w:tcPr>
          <w:p w:rsidR="00B04AE3" w:rsidRDefault="00B04AE3">
            <w:pPr>
              <w:jc w:val="center"/>
              <w:rPr>
                <w:sz w:val="21"/>
              </w:rPr>
            </w:pPr>
            <w:r>
              <w:rPr>
                <w:rFonts w:hint="eastAsia"/>
                <w:sz w:val="21"/>
              </w:rPr>
              <w:t>黄硕奇</w:t>
            </w:r>
          </w:p>
        </w:tc>
        <w:tc>
          <w:tcPr>
            <w:tcW w:w="2063" w:type="dxa"/>
            <w:vAlign w:val="center"/>
          </w:tcPr>
          <w:p w:rsidR="00B04AE3" w:rsidRDefault="00B04AE3">
            <w:pPr>
              <w:jc w:val="center"/>
              <w:rPr>
                <w:sz w:val="21"/>
              </w:rPr>
            </w:pPr>
            <w:r>
              <w:rPr>
                <w:sz w:val="21"/>
              </w:rPr>
              <w:t>13197910632</w:t>
            </w:r>
          </w:p>
        </w:tc>
        <w:tc>
          <w:tcPr>
            <w:tcW w:w="2553" w:type="dxa"/>
            <w:vAlign w:val="center"/>
          </w:tcPr>
          <w:p w:rsidR="00B04AE3" w:rsidRDefault="00B04AE3">
            <w:pPr>
              <w:jc w:val="center"/>
              <w:rPr>
                <w:sz w:val="21"/>
              </w:rPr>
            </w:pPr>
            <w:r>
              <w:rPr>
                <w:sz w:val="21"/>
              </w:rPr>
              <w:t>0791*88534560*8302</w:t>
            </w:r>
          </w:p>
        </w:tc>
        <w:tc>
          <w:tcPr>
            <w:tcW w:w="1427" w:type="dxa"/>
            <w:vAlign w:val="center"/>
          </w:tcPr>
          <w:p w:rsidR="00B04AE3" w:rsidRDefault="00B04AE3">
            <w:pPr>
              <w:jc w:val="center"/>
              <w:rPr>
                <w:sz w:val="21"/>
              </w:rPr>
            </w:pPr>
            <w:r>
              <w:rPr>
                <w:rFonts w:hint="eastAsia"/>
                <w:sz w:val="21"/>
              </w:rPr>
              <w:t>成员</w:t>
            </w:r>
          </w:p>
        </w:tc>
      </w:tr>
      <w:tr w:rsidR="00B04AE3">
        <w:trPr>
          <w:trHeight w:val="412"/>
          <w:jc w:val="center"/>
        </w:trPr>
        <w:tc>
          <w:tcPr>
            <w:tcW w:w="995" w:type="dxa"/>
            <w:vAlign w:val="center"/>
          </w:tcPr>
          <w:p w:rsidR="00B04AE3" w:rsidRDefault="00B04AE3">
            <w:pPr>
              <w:spacing w:line="280" w:lineRule="exact"/>
              <w:jc w:val="center"/>
              <w:rPr>
                <w:sz w:val="21"/>
              </w:rPr>
            </w:pPr>
            <w:r>
              <w:rPr>
                <w:sz w:val="21"/>
              </w:rPr>
              <w:t>9</w:t>
            </w:r>
          </w:p>
        </w:tc>
        <w:tc>
          <w:tcPr>
            <w:tcW w:w="809" w:type="dxa"/>
            <w:vMerge w:val="restart"/>
            <w:vAlign w:val="center"/>
          </w:tcPr>
          <w:p w:rsidR="00B04AE3" w:rsidRDefault="00B04AE3">
            <w:pPr>
              <w:spacing w:line="280" w:lineRule="exact"/>
              <w:jc w:val="center"/>
              <w:rPr>
                <w:sz w:val="21"/>
              </w:rPr>
            </w:pPr>
            <w:r>
              <w:rPr>
                <w:rFonts w:hint="eastAsia"/>
                <w:sz w:val="21"/>
              </w:rPr>
              <w:t>安</w:t>
            </w:r>
          </w:p>
          <w:p w:rsidR="00B04AE3" w:rsidRDefault="00B04AE3">
            <w:pPr>
              <w:spacing w:line="280" w:lineRule="exact"/>
              <w:jc w:val="center"/>
              <w:rPr>
                <w:sz w:val="21"/>
              </w:rPr>
            </w:pPr>
            <w:r>
              <w:rPr>
                <w:rFonts w:hint="eastAsia"/>
                <w:sz w:val="21"/>
              </w:rPr>
              <w:t>全</w:t>
            </w:r>
          </w:p>
          <w:p w:rsidR="00B04AE3" w:rsidRDefault="00B04AE3">
            <w:pPr>
              <w:spacing w:line="280" w:lineRule="exact"/>
              <w:jc w:val="center"/>
              <w:rPr>
                <w:sz w:val="21"/>
              </w:rPr>
            </w:pPr>
            <w:r>
              <w:rPr>
                <w:rFonts w:hint="eastAsia"/>
                <w:sz w:val="21"/>
              </w:rPr>
              <w:t>警</w:t>
            </w:r>
          </w:p>
          <w:p w:rsidR="00B04AE3" w:rsidRDefault="00B04AE3">
            <w:pPr>
              <w:spacing w:line="280" w:lineRule="exact"/>
              <w:jc w:val="center"/>
              <w:rPr>
                <w:sz w:val="21"/>
              </w:rPr>
            </w:pPr>
            <w:r>
              <w:rPr>
                <w:rFonts w:hint="eastAsia"/>
                <w:sz w:val="21"/>
              </w:rPr>
              <w:t>戒</w:t>
            </w:r>
          </w:p>
          <w:p w:rsidR="00B04AE3" w:rsidRDefault="00B04AE3">
            <w:pPr>
              <w:spacing w:line="280" w:lineRule="exact"/>
              <w:jc w:val="center"/>
              <w:rPr>
                <w:sz w:val="21"/>
              </w:rPr>
            </w:pPr>
            <w:r>
              <w:rPr>
                <w:rFonts w:hint="eastAsia"/>
                <w:sz w:val="21"/>
              </w:rPr>
              <w:t>疏</w:t>
            </w:r>
          </w:p>
          <w:p w:rsidR="00B04AE3" w:rsidRDefault="00B04AE3">
            <w:pPr>
              <w:spacing w:line="280" w:lineRule="exact"/>
              <w:jc w:val="center"/>
              <w:rPr>
                <w:sz w:val="21"/>
              </w:rPr>
            </w:pPr>
            <w:r>
              <w:rPr>
                <w:rFonts w:hint="eastAsia"/>
                <w:sz w:val="21"/>
              </w:rPr>
              <w:t>散</w:t>
            </w:r>
          </w:p>
          <w:p w:rsidR="00B04AE3" w:rsidRDefault="00B04AE3">
            <w:pPr>
              <w:spacing w:line="280" w:lineRule="exact"/>
              <w:ind w:left="113" w:right="113"/>
              <w:jc w:val="center"/>
              <w:rPr>
                <w:sz w:val="21"/>
              </w:rPr>
            </w:pPr>
            <w:r>
              <w:rPr>
                <w:rFonts w:hint="eastAsia"/>
                <w:sz w:val="21"/>
              </w:rPr>
              <w:t>组</w:t>
            </w:r>
          </w:p>
        </w:tc>
        <w:tc>
          <w:tcPr>
            <w:tcW w:w="1513" w:type="dxa"/>
            <w:vAlign w:val="center"/>
          </w:tcPr>
          <w:p w:rsidR="00B04AE3" w:rsidRDefault="00B04AE3">
            <w:pPr>
              <w:jc w:val="center"/>
              <w:rPr>
                <w:sz w:val="21"/>
              </w:rPr>
            </w:pPr>
            <w:r>
              <w:rPr>
                <w:rFonts w:hint="eastAsia"/>
                <w:sz w:val="21"/>
              </w:rPr>
              <w:t>张磊磊</w:t>
            </w:r>
          </w:p>
        </w:tc>
        <w:tc>
          <w:tcPr>
            <w:tcW w:w="2063" w:type="dxa"/>
            <w:vAlign w:val="center"/>
          </w:tcPr>
          <w:p w:rsidR="00B04AE3" w:rsidRDefault="00B04AE3">
            <w:pPr>
              <w:jc w:val="center"/>
              <w:rPr>
                <w:sz w:val="21"/>
              </w:rPr>
            </w:pPr>
            <w:r>
              <w:rPr>
                <w:sz w:val="21"/>
              </w:rPr>
              <w:t>13755774497</w:t>
            </w:r>
          </w:p>
        </w:tc>
        <w:tc>
          <w:tcPr>
            <w:tcW w:w="2553" w:type="dxa"/>
            <w:vAlign w:val="center"/>
          </w:tcPr>
          <w:p w:rsidR="00B04AE3" w:rsidRDefault="00B04AE3">
            <w:pPr>
              <w:jc w:val="center"/>
              <w:rPr>
                <w:sz w:val="21"/>
              </w:rPr>
            </w:pPr>
            <w:r>
              <w:rPr>
                <w:sz w:val="21"/>
              </w:rPr>
              <w:t>0791*88534560*8117</w:t>
            </w:r>
          </w:p>
        </w:tc>
        <w:tc>
          <w:tcPr>
            <w:tcW w:w="1427" w:type="dxa"/>
            <w:vAlign w:val="center"/>
          </w:tcPr>
          <w:p w:rsidR="00B04AE3" w:rsidRDefault="00B04AE3">
            <w:pPr>
              <w:jc w:val="center"/>
              <w:rPr>
                <w:sz w:val="21"/>
              </w:rPr>
            </w:pPr>
            <w:r>
              <w:rPr>
                <w:rFonts w:hint="eastAsia"/>
                <w:sz w:val="21"/>
              </w:rPr>
              <w:t>组长</w:t>
            </w:r>
          </w:p>
        </w:tc>
      </w:tr>
      <w:tr w:rsidR="00B04AE3">
        <w:trPr>
          <w:trHeight w:val="322"/>
          <w:jc w:val="center"/>
        </w:trPr>
        <w:tc>
          <w:tcPr>
            <w:tcW w:w="995" w:type="dxa"/>
            <w:vAlign w:val="center"/>
          </w:tcPr>
          <w:p w:rsidR="00B04AE3" w:rsidRDefault="00B04AE3">
            <w:pPr>
              <w:spacing w:line="280" w:lineRule="exact"/>
              <w:jc w:val="center"/>
              <w:rPr>
                <w:sz w:val="21"/>
              </w:rPr>
            </w:pPr>
            <w:r>
              <w:rPr>
                <w:sz w:val="21"/>
              </w:rPr>
              <w:t>10</w:t>
            </w:r>
          </w:p>
        </w:tc>
        <w:tc>
          <w:tcPr>
            <w:tcW w:w="809" w:type="dxa"/>
            <w:vMerge/>
            <w:vAlign w:val="center"/>
          </w:tcPr>
          <w:p w:rsidR="00B04AE3" w:rsidRDefault="00B04AE3">
            <w:pPr>
              <w:spacing w:line="280" w:lineRule="exact"/>
              <w:jc w:val="center"/>
              <w:rPr>
                <w:sz w:val="21"/>
              </w:rPr>
            </w:pPr>
          </w:p>
        </w:tc>
        <w:tc>
          <w:tcPr>
            <w:tcW w:w="1513" w:type="dxa"/>
            <w:vAlign w:val="center"/>
          </w:tcPr>
          <w:p w:rsidR="00B04AE3" w:rsidRDefault="00B04AE3">
            <w:pPr>
              <w:jc w:val="center"/>
              <w:rPr>
                <w:sz w:val="21"/>
              </w:rPr>
            </w:pPr>
            <w:r>
              <w:rPr>
                <w:rFonts w:hint="eastAsia"/>
                <w:sz w:val="21"/>
              </w:rPr>
              <w:t>龚贵彬</w:t>
            </w:r>
          </w:p>
        </w:tc>
        <w:tc>
          <w:tcPr>
            <w:tcW w:w="2063" w:type="dxa"/>
            <w:vAlign w:val="center"/>
          </w:tcPr>
          <w:p w:rsidR="00B04AE3" w:rsidRDefault="00B04AE3">
            <w:pPr>
              <w:jc w:val="center"/>
              <w:rPr>
                <w:sz w:val="21"/>
              </w:rPr>
            </w:pPr>
            <w:r>
              <w:rPr>
                <w:sz w:val="21"/>
              </w:rPr>
              <w:t>13576134568</w:t>
            </w:r>
          </w:p>
        </w:tc>
        <w:tc>
          <w:tcPr>
            <w:tcW w:w="2553" w:type="dxa"/>
            <w:vAlign w:val="center"/>
          </w:tcPr>
          <w:p w:rsidR="00B04AE3" w:rsidRDefault="00B04AE3">
            <w:pPr>
              <w:jc w:val="center"/>
              <w:rPr>
                <w:sz w:val="21"/>
              </w:rPr>
            </w:pPr>
            <w:r>
              <w:rPr>
                <w:sz w:val="21"/>
              </w:rPr>
              <w:t>0791*88534560*8101</w:t>
            </w:r>
          </w:p>
        </w:tc>
        <w:tc>
          <w:tcPr>
            <w:tcW w:w="1427" w:type="dxa"/>
            <w:vAlign w:val="center"/>
          </w:tcPr>
          <w:p w:rsidR="00B04AE3" w:rsidRDefault="00B04AE3">
            <w:pPr>
              <w:jc w:val="center"/>
              <w:rPr>
                <w:sz w:val="21"/>
              </w:rPr>
            </w:pPr>
            <w:r>
              <w:rPr>
                <w:rFonts w:hint="eastAsia"/>
                <w:sz w:val="21"/>
              </w:rPr>
              <w:t>成员</w:t>
            </w:r>
          </w:p>
        </w:tc>
      </w:tr>
      <w:tr w:rsidR="00B04AE3">
        <w:trPr>
          <w:trHeight w:val="371"/>
          <w:jc w:val="center"/>
        </w:trPr>
        <w:tc>
          <w:tcPr>
            <w:tcW w:w="995" w:type="dxa"/>
            <w:vAlign w:val="center"/>
          </w:tcPr>
          <w:p w:rsidR="00B04AE3" w:rsidRDefault="00B04AE3">
            <w:pPr>
              <w:spacing w:line="280" w:lineRule="exact"/>
              <w:jc w:val="center"/>
              <w:rPr>
                <w:sz w:val="21"/>
              </w:rPr>
            </w:pPr>
            <w:r>
              <w:rPr>
                <w:sz w:val="21"/>
              </w:rPr>
              <w:t>11</w:t>
            </w:r>
          </w:p>
        </w:tc>
        <w:tc>
          <w:tcPr>
            <w:tcW w:w="809" w:type="dxa"/>
            <w:vMerge/>
            <w:vAlign w:val="center"/>
          </w:tcPr>
          <w:p w:rsidR="00B04AE3" w:rsidRDefault="00B04AE3">
            <w:pPr>
              <w:spacing w:line="280" w:lineRule="exact"/>
              <w:jc w:val="center"/>
              <w:rPr>
                <w:sz w:val="21"/>
              </w:rPr>
            </w:pPr>
          </w:p>
        </w:tc>
        <w:tc>
          <w:tcPr>
            <w:tcW w:w="1513" w:type="dxa"/>
            <w:vAlign w:val="center"/>
          </w:tcPr>
          <w:p w:rsidR="00B04AE3" w:rsidRDefault="00B04AE3">
            <w:pPr>
              <w:jc w:val="center"/>
              <w:rPr>
                <w:sz w:val="21"/>
              </w:rPr>
            </w:pPr>
            <w:r>
              <w:rPr>
                <w:rFonts w:hint="eastAsia"/>
                <w:sz w:val="21"/>
              </w:rPr>
              <w:t>李青</w:t>
            </w:r>
          </w:p>
        </w:tc>
        <w:tc>
          <w:tcPr>
            <w:tcW w:w="2063" w:type="dxa"/>
            <w:vAlign w:val="center"/>
          </w:tcPr>
          <w:p w:rsidR="00B04AE3" w:rsidRDefault="00B04AE3">
            <w:pPr>
              <w:jc w:val="center"/>
              <w:rPr>
                <w:sz w:val="21"/>
              </w:rPr>
            </w:pPr>
            <w:r>
              <w:rPr>
                <w:sz w:val="21"/>
              </w:rPr>
              <w:t>15070806806</w:t>
            </w:r>
          </w:p>
        </w:tc>
        <w:tc>
          <w:tcPr>
            <w:tcW w:w="2553" w:type="dxa"/>
            <w:vAlign w:val="center"/>
          </w:tcPr>
          <w:p w:rsidR="00B04AE3" w:rsidRDefault="00B04AE3">
            <w:pPr>
              <w:jc w:val="center"/>
              <w:rPr>
                <w:sz w:val="21"/>
              </w:rPr>
            </w:pPr>
            <w:r>
              <w:rPr>
                <w:sz w:val="21"/>
              </w:rPr>
              <w:t>0791*88534560*8118</w:t>
            </w:r>
          </w:p>
        </w:tc>
        <w:tc>
          <w:tcPr>
            <w:tcW w:w="1427" w:type="dxa"/>
            <w:vAlign w:val="center"/>
          </w:tcPr>
          <w:p w:rsidR="00B04AE3" w:rsidRDefault="00B04AE3">
            <w:pPr>
              <w:jc w:val="center"/>
              <w:rPr>
                <w:sz w:val="21"/>
              </w:rPr>
            </w:pPr>
            <w:r>
              <w:rPr>
                <w:rFonts w:hint="eastAsia"/>
                <w:sz w:val="21"/>
              </w:rPr>
              <w:t>成员</w:t>
            </w:r>
          </w:p>
        </w:tc>
      </w:tr>
      <w:tr w:rsidR="00B04AE3">
        <w:trPr>
          <w:trHeight w:val="1069"/>
          <w:jc w:val="center"/>
        </w:trPr>
        <w:tc>
          <w:tcPr>
            <w:tcW w:w="995" w:type="dxa"/>
            <w:vAlign w:val="center"/>
          </w:tcPr>
          <w:p w:rsidR="00B04AE3" w:rsidRDefault="00B04AE3">
            <w:pPr>
              <w:spacing w:line="280" w:lineRule="exact"/>
              <w:jc w:val="center"/>
              <w:rPr>
                <w:sz w:val="21"/>
              </w:rPr>
            </w:pPr>
            <w:r>
              <w:rPr>
                <w:sz w:val="21"/>
              </w:rPr>
              <w:t>12</w:t>
            </w:r>
          </w:p>
        </w:tc>
        <w:tc>
          <w:tcPr>
            <w:tcW w:w="809" w:type="dxa"/>
            <w:vMerge w:val="restart"/>
            <w:vAlign w:val="center"/>
          </w:tcPr>
          <w:p w:rsidR="00B04AE3" w:rsidRDefault="00B04AE3">
            <w:pPr>
              <w:spacing w:line="280" w:lineRule="exact"/>
              <w:jc w:val="center"/>
              <w:rPr>
                <w:sz w:val="21"/>
              </w:rPr>
            </w:pPr>
            <w:r>
              <w:rPr>
                <w:rFonts w:hint="eastAsia"/>
                <w:sz w:val="21"/>
              </w:rPr>
              <w:t>相</w:t>
            </w:r>
          </w:p>
          <w:p w:rsidR="00B04AE3" w:rsidRDefault="00B04AE3">
            <w:pPr>
              <w:spacing w:line="280" w:lineRule="exact"/>
              <w:jc w:val="center"/>
              <w:rPr>
                <w:sz w:val="21"/>
              </w:rPr>
            </w:pPr>
            <w:r>
              <w:rPr>
                <w:rFonts w:hint="eastAsia"/>
                <w:sz w:val="21"/>
              </w:rPr>
              <w:t>关</w:t>
            </w:r>
          </w:p>
          <w:p w:rsidR="00B04AE3" w:rsidRDefault="00B04AE3">
            <w:pPr>
              <w:spacing w:line="280" w:lineRule="exact"/>
              <w:jc w:val="center"/>
              <w:rPr>
                <w:sz w:val="21"/>
              </w:rPr>
            </w:pPr>
            <w:r>
              <w:rPr>
                <w:rFonts w:hint="eastAsia"/>
                <w:sz w:val="21"/>
              </w:rPr>
              <w:t>后</w:t>
            </w:r>
          </w:p>
          <w:p w:rsidR="00B04AE3" w:rsidRDefault="00B04AE3">
            <w:pPr>
              <w:spacing w:line="280" w:lineRule="exact"/>
              <w:jc w:val="center"/>
              <w:rPr>
                <w:sz w:val="21"/>
              </w:rPr>
            </w:pPr>
            <w:r>
              <w:rPr>
                <w:rFonts w:hint="eastAsia"/>
                <w:sz w:val="21"/>
              </w:rPr>
              <w:t>勤</w:t>
            </w:r>
          </w:p>
          <w:p w:rsidR="00B04AE3" w:rsidRDefault="00B04AE3">
            <w:pPr>
              <w:spacing w:line="280" w:lineRule="exact"/>
              <w:jc w:val="center"/>
              <w:rPr>
                <w:sz w:val="21"/>
              </w:rPr>
            </w:pPr>
            <w:r>
              <w:rPr>
                <w:rFonts w:hint="eastAsia"/>
                <w:sz w:val="21"/>
              </w:rPr>
              <w:t>保</w:t>
            </w:r>
          </w:p>
          <w:p w:rsidR="00B04AE3" w:rsidRDefault="00B04AE3">
            <w:pPr>
              <w:spacing w:line="280" w:lineRule="exact"/>
              <w:jc w:val="center"/>
              <w:rPr>
                <w:sz w:val="21"/>
              </w:rPr>
            </w:pPr>
            <w:r>
              <w:rPr>
                <w:rFonts w:hint="eastAsia"/>
                <w:sz w:val="21"/>
              </w:rPr>
              <w:t>障</w:t>
            </w:r>
          </w:p>
          <w:p w:rsidR="00B04AE3" w:rsidRDefault="00B04AE3">
            <w:pPr>
              <w:spacing w:line="280" w:lineRule="exact"/>
              <w:jc w:val="center"/>
              <w:rPr>
                <w:sz w:val="21"/>
              </w:rPr>
            </w:pPr>
            <w:r>
              <w:rPr>
                <w:rFonts w:hint="eastAsia"/>
                <w:sz w:val="21"/>
              </w:rPr>
              <w:t>组</w:t>
            </w:r>
          </w:p>
        </w:tc>
        <w:tc>
          <w:tcPr>
            <w:tcW w:w="1513" w:type="dxa"/>
            <w:vAlign w:val="center"/>
          </w:tcPr>
          <w:p w:rsidR="00B04AE3" w:rsidRDefault="00B04AE3">
            <w:pPr>
              <w:jc w:val="center"/>
              <w:rPr>
                <w:sz w:val="21"/>
              </w:rPr>
            </w:pPr>
            <w:r>
              <w:rPr>
                <w:rFonts w:hint="eastAsia"/>
                <w:sz w:val="21"/>
              </w:rPr>
              <w:t>刘超</w:t>
            </w:r>
          </w:p>
        </w:tc>
        <w:tc>
          <w:tcPr>
            <w:tcW w:w="2063" w:type="dxa"/>
            <w:vAlign w:val="center"/>
          </w:tcPr>
          <w:p w:rsidR="00B04AE3" w:rsidRDefault="00B04AE3">
            <w:pPr>
              <w:jc w:val="center"/>
              <w:rPr>
                <w:sz w:val="21"/>
              </w:rPr>
            </w:pPr>
            <w:r>
              <w:rPr>
                <w:sz w:val="21"/>
              </w:rPr>
              <w:t>13767121060</w:t>
            </w:r>
          </w:p>
        </w:tc>
        <w:tc>
          <w:tcPr>
            <w:tcW w:w="2553" w:type="dxa"/>
            <w:vAlign w:val="center"/>
          </w:tcPr>
          <w:p w:rsidR="00B04AE3" w:rsidRDefault="00B04AE3">
            <w:pPr>
              <w:jc w:val="center"/>
              <w:rPr>
                <w:sz w:val="21"/>
              </w:rPr>
            </w:pPr>
            <w:r>
              <w:rPr>
                <w:sz w:val="21"/>
              </w:rPr>
              <w:t>0791*88534560*8115</w:t>
            </w:r>
          </w:p>
        </w:tc>
        <w:tc>
          <w:tcPr>
            <w:tcW w:w="1427" w:type="dxa"/>
            <w:vAlign w:val="center"/>
          </w:tcPr>
          <w:p w:rsidR="00B04AE3" w:rsidRDefault="00B04AE3">
            <w:pPr>
              <w:jc w:val="center"/>
              <w:rPr>
                <w:sz w:val="21"/>
              </w:rPr>
            </w:pPr>
            <w:r>
              <w:rPr>
                <w:rFonts w:hint="eastAsia"/>
                <w:sz w:val="21"/>
              </w:rPr>
              <w:t>组长</w:t>
            </w:r>
          </w:p>
        </w:tc>
      </w:tr>
      <w:tr w:rsidR="00B04AE3">
        <w:trPr>
          <w:trHeight w:val="887"/>
          <w:jc w:val="center"/>
        </w:trPr>
        <w:tc>
          <w:tcPr>
            <w:tcW w:w="995" w:type="dxa"/>
            <w:vAlign w:val="center"/>
          </w:tcPr>
          <w:p w:rsidR="00B04AE3" w:rsidRDefault="00B04AE3">
            <w:pPr>
              <w:spacing w:line="280" w:lineRule="exact"/>
              <w:jc w:val="center"/>
              <w:rPr>
                <w:sz w:val="21"/>
              </w:rPr>
            </w:pPr>
            <w:r>
              <w:rPr>
                <w:sz w:val="21"/>
              </w:rPr>
              <w:t>13</w:t>
            </w:r>
          </w:p>
        </w:tc>
        <w:tc>
          <w:tcPr>
            <w:tcW w:w="809" w:type="dxa"/>
            <w:vMerge/>
            <w:vAlign w:val="center"/>
          </w:tcPr>
          <w:p w:rsidR="00B04AE3" w:rsidRDefault="00B04AE3">
            <w:pPr>
              <w:spacing w:line="280" w:lineRule="exact"/>
              <w:jc w:val="center"/>
              <w:rPr>
                <w:sz w:val="21"/>
              </w:rPr>
            </w:pPr>
          </w:p>
        </w:tc>
        <w:tc>
          <w:tcPr>
            <w:tcW w:w="1513" w:type="dxa"/>
            <w:vAlign w:val="center"/>
          </w:tcPr>
          <w:p w:rsidR="00B04AE3" w:rsidRDefault="00B04AE3">
            <w:pPr>
              <w:jc w:val="center"/>
              <w:rPr>
                <w:sz w:val="21"/>
              </w:rPr>
            </w:pPr>
            <w:r>
              <w:rPr>
                <w:rFonts w:hint="eastAsia"/>
                <w:sz w:val="21"/>
              </w:rPr>
              <w:t>杨凌斌</w:t>
            </w:r>
          </w:p>
        </w:tc>
        <w:tc>
          <w:tcPr>
            <w:tcW w:w="2063" w:type="dxa"/>
            <w:vAlign w:val="center"/>
          </w:tcPr>
          <w:p w:rsidR="00B04AE3" w:rsidRDefault="00B04AE3">
            <w:pPr>
              <w:jc w:val="center"/>
              <w:rPr>
                <w:sz w:val="21"/>
              </w:rPr>
            </w:pPr>
            <w:r>
              <w:rPr>
                <w:sz w:val="21"/>
              </w:rPr>
              <w:t>13870641101</w:t>
            </w:r>
          </w:p>
        </w:tc>
        <w:tc>
          <w:tcPr>
            <w:tcW w:w="2553" w:type="dxa"/>
            <w:vAlign w:val="center"/>
          </w:tcPr>
          <w:p w:rsidR="00B04AE3" w:rsidRDefault="00B04AE3">
            <w:pPr>
              <w:jc w:val="center"/>
              <w:rPr>
                <w:sz w:val="21"/>
              </w:rPr>
            </w:pPr>
            <w:r>
              <w:rPr>
                <w:sz w:val="21"/>
              </w:rPr>
              <w:t>0791*88534560*8113</w:t>
            </w:r>
          </w:p>
        </w:tc>
        <w:tc>
          <w:tcPr>
            <w:tcW w:w="1427" w:type="dxa"/>
            <w:vAlign w:val="center"/>
          </w:tcPr>
          <w:p w:rsidR="00B04AE3" w:rsidRDefault="00B04AE3">
            <w:pPr>
              <w:jc w:val="center"/>
              <w:rPr>
                <w:sz w:val="21"/>
              </w:rPr>
            </w:pPr>
            <w:r>
              <w:rPr>
                <w:rFonts w:hint="eastAsia"/>
                <w:sz w:val="21"/>
              </w:rPr>
              <w:t>成员</w:t>
            </w:r>
          </w:p>
        </w:tc>
      </w:tr>
      <w:tr w:rsidR="00B04AE3">
        <w:trPr>
          <w:trHeight w:val="662"/>
          <w:jc w:val="center"/>
        </w:trPr>
        <w:tc>
          <w:tcPr>
            <w:tcW w:w="995" w:type="dxa"/>
            <w:vAlign w:val="center"/>
          </w:tcPr>
          <w:p w:rsidR="00B04AE3" w:rsidRDefault="00B04AE3">
            <w:pPr>
              <w:spacing w:line="280" w:lineRule="exact"/>
              <w:jc w:val="center"/>
              <w:rPr>
                <w:sz w:val="21"/>
              </w:rPr>
            </w:pPr>
            <w:r>
              <w:rPr>
                <w:sz w:val="21"/>
              </w:rPr>
              <w:t>16</w:t>
            </w:r>
          </w:p>
        </w:tc>
        <w:tc>
          <w:tcPr>
            <w:tcW w:w="809" w:type="dxa"/>
            <w:vMerge w:val="restart"/>
            <w:textDirection w:val="tbRlV"/>
            <w:vAlign w:val="center"/>
          </w:tcPr>
          <w:p w:rsidR="00B04AE3" w:rsidRDefault="00B04AE3">
            <w:pPr>
              <w:spacing w:line="280" w:lineRule="exact"/>
              <w:ind w:left="113" w:right="113"/>
              <w:jc w:val="center"/>
              <w:rPr>
                <w:sz w:val="21"/>
              </w:rPr>
            </w:pPr>
            <w:r>
              <w:rPr>
                <w:rFonts w:hint="eastAsia"/>
                <w:sz w:val="21"/>
              </w:rPr>
              <w:t>医疗通讯组</w:t>
            </w:r>
          </w:p>
        </w:tc>
        <w:tc>
          <w:tcPr>
            <w:tcW w:w="1513" w:type="dxa"/>
            <w:vAlign w:val="center"/>
          </w:tcPr>
          <w:p w:rsidR="00B04AE3" w:rsidRDefault="00B04AE3">
            <w:pPr>
              <w:jc w:val="center"/>
              <w:rPr>
                <w:sz w:val="21"/>
              </w:rPr>
            </w:pPr>
            <w:r>
              <w:rPr>
                <w:rFonts w:hint="eastAsia"/>
                <w:sz w:val="21"/>
              </w:rPr>
              <w:t>夏志亮</w:t>
            </w:r>
          </w:p>
        </w:tc>
        <w:tc>
          <w:tcPr>
            <w:tcW w:w="2063" w:type="dxa"/>
            <w:vAlign w:val="center"/>
          </w:tcPr>
          <w:p w:rsidR="00B04AE3" w:rsidRDefault="00B04AE3">
            <w:pPr>
              <w:jc w:val="center"/>
              <w:rPr>
                <w:sz w:val="21"/>
              </w:rPr>
            </w:pPr>
            <w:r>
              <w:rPr>
                <w:sz w:val="21"/>
              </w:rPr>
              <w:t>15879135422</w:t>
            </w:r>
          </w:p>
        </w:tc>
        <w:tc>
          <w:tcPr>
            <w:tcW w:w="2553" w:type="dxa"/>
            <w:vAlign w:val="center"/>
          </w:tcPr>
          <w:p w:rsidR="00B04AE3" w:rsidRDefault="00B04AE3">
            <w:pPr>
              <w:jc w:val="center"/>
              <w:rPr>
                <w:sz w:val="21"/>
              </w:rPr>
            </w:pPr>
            <w:r>
              <w:rPr>
                <w:sz w:val="21"/>
              </w:rPr>
              <w:t>0791*88534560*8114</w:t>
            </w:r>
          </w:p>
        </w:tc>
        <w:tc>
          <w:tcPr>
            <w:tcW w:w="1427" w:type="dxa"/>
            <w:vAlign w:val="center"/>
          </w:tcPr>
          <w:p w:rsidR="00B04AE3" w:rsidRDefault="00B04AE3">
            <w:pPr>
              <w:spacing w:line="280" w:lineRule="exact"/>
              <w:jc w:val="center"/>
              <w:rPr>
                <w:sz w:val="21"/>
              </w:rPr>
            </w:pPr>
            <w:r>
              <w:rPr>
                <w:rFonts w:hint="eastAsia"/>
                <w:sz w:val="21"/>
              </w:rPr>
              <w:t>组长</w:t>
            </w:r>
          </w:p>
        </w:tc>
      </w:tr>
      <w:tr w:rsidR="00B04AE3">
        <w:trPr>
          <w:trHeight w:val="672"/>
          <w:jc w:val="center"/>
        </w:trPr>
        <w:tc>
          <w:tcPr>
            <w:tcW w:w="995" w:type="dxa"/>
            <w:vAlign w:val="center"/>
          </w:tcPr>
          <w:p w:rsidR="00B04AE3" w:rsidRDefault="00B04AE3">
            <w:pPr>
              <w:spacing w:line="280" w:lineRule="exact"/>
              <w:jc w:val="center"/>
              <w:rPr>
                <w:sz w:val="21"/>
              </w:rPr>
            </w:pPr>
            <w:r>
              <w:rPr>
                <w:sz w:val="21"/>
              </w:rPr>
              <w:t>17</w:t>
            </w:r>
          </w:p>
        </w:tc>
        <w:tc>
          <w:tcPr>
            <w:tcW w:w="809" w:type="dxa"/>
            <w:vMerge/>
            <w:textDirection w:val="tbRlV"/>
            <w:vAlign w:val="center"/>
          </w:tcPr>
          <w:p w:rsidR="00B04AE3" w:rsidRDefault="00B04AE3">
            <w:pPr>
              <w:spacing w:line="280" w:lineRule="exact"/>
              <w:ind w:left="113" w:right="113"/>
              <w:jc w:val="center"/>
              <w:rPr>
                <w:sz w:val="21"/>
              </w:rPr>
            </w:pPr>
          </w:p>
        </w:tc>
        <w:tc>
          <w:tcPr>
            <w:tcW w:w="1513" w:type="dxa"/>
            <w:vAlign w:val="center"/>
          </w:tcPr>
          <w:p w:rsidR="00B04AE3" w:rsidRDefault="00B04AE3">
            <w:pPr>
              <w:jc w:val="center"/>
              <w:rPr>
                <w:sz w:val="21"/>
              </w:rPr>
            </w:pPr>
            <w:r>
              <w:rPr>
                <w:rFonts w:hint="eastAsia"/>
                <w:sz w:val="21"/>
              </w:rPr>
              <w:t>胡火平</w:t>
            </w:r>
          </w:p>
        </w:tc>
        <w:tc>
          <w:tcPr>
            <w:tcW w:w="2063" w:type="dxa"/>
            <w:vAlign w:val="center"/>
          </w:tcPr>
          <w:p w:rsidR="00B04AE3" w:rsidRDefault="00B04AE3">
            <w:pPr>
              <w:jc w:val="center"/>
              <w:rPr>
                <w:sz w:val="21"/>
              </w:rPr>
            </w:pPr>
            <w:r>
              <w:rPr>
                <w:sz w:val="21"/>
              </w:rPr>
              <w:t>13767093403</w:t>
            </w:r>
          </w:p>
        </w:tc>
        <w:tc>
          <w:tcPr>
            <w:tcW w:w="2553" w:type="dxa"/>
            <w:vAlign w:val="center"/>
          </w:tcPr>
          <w:p w:rsidR="00B04AE3" w:rsidRDefault="00B04AE3">
            <w:pPr>
              <w:jc w:val="center"/>
              <w:rPr>
                <w:sz w:val="21"/>
              </w:rPr>
            </w:pPr>
            <w:r>
              <w:rPr>
                <w:sz w:val="21"/>
              </w:rPr>
              <w:t>0791*88534560*8101</w:t>
            </w:r>
          </w:p>
        </w:tc>
        <w:tc>
          <w:tcPr>
            <w:tcW w:w="1427" w:type="dxa"/>
            <w:vAlign w:val="center"/>
          </w:tcPr>
          <w:p w:rsidR="00B04AE3" w:rsidRDefault="00B04AE3">
            <w:pPr>
              <w:jc w:val="center"/>
              <w:rPr>
                <w:sz w:val="21"/>
              </w:rPr>
            </w:pPr>
            <w:r>
              <w:rPr>
                <w:rFonts w:hint="eastAsia"/>
                <w:sz w:val="21"/>
              </w:rPr>
              <w:t>成员</w:t>
            </w:r>
          </w:p>
        </w:tc>
      </w:tr>
    </w:tbl>
    <w:p w:rsidR="00B04AE3" w:rsidRDefault="00B04AE3">
      <w:pPr>
        <w:pStyle w:val="BodyText"/>
        <w:ind w:left="817"/>
      </w:pPr>
      <w:r>
        <w:rPr>
          <w:rFonts w:hint="eastAsia"/>
        </w:rPr>
        <w:t>企业各生产线相关负责人及联系方式见表</w:t>
      </w:r>
      <w:r>
        <w:t xml:space="preserve"> </w:t>
      </w:r>
      <w:r>
        <w:rPr>
          <w:rFonts w:ascii="Times New Roman" w:eastAsia="Times New Roman"/>
        </w:rPr>
        <w:t>5.2-2</w:t>
      </w:r>
      <w:r>
        <w:rPr>
          <w:rFonts w:hint="eastAsia"/>
        </w:rPr>
        <w:t>：</w:t>
      </w:r>
    </w:p>
    <w:p w:rsidR="00B04AE3" w:rsidRDefault="00B04AE3">
      <w:pPr>
        <w:tabs>
          <w:tab w:val="left" w:pos="1053"/>
        </w:tabs>
        <w:spacing w:before="158" w:after="3"/>
        <w:ind w:left="14"/>
        <w:jc w:val="center"/>
        <w:rPr>
          <w:b/>
          <w:sz w:val="24"/>
        </w:rPr>
      </w:pPr>
      <w:r>
        <w:rPr>
          <w:rFonts w:hint="eastAsia"/>
          <w:b/>
          <w:sz w:val="24"/>
        </w:rPr>
        <w:t>表</w:t>
      </w:r>
      <w:r>
        <w:rPr>
          <w:b/>
          <w:spacing w:val="-62"/>
          <w:sz w:val="24"/>
        </w:rPr>
        <w:t xml:space="preserve"> </w:t>
      </w:r>
      <w:r>
        <w:rPr>
          <w:rFonts w:ascii="Times New Roman" w:eastAsia="Times New Roman"/>
          <w:b/>
          <w:sz w:val="24"/>
        </w:rPr>
        <w:t>5.2-2</w:t>
      </w:r>
      <w:r>
        <w:rPr>
          <w:rFonts w:ascii="Times New Roman" w:eastAsia="Times New Roman"/>
          <w:b/>
          <w:sz w:val="24"/>
        </w:rPr>
        <w:tab/>
      </w:r>
      <w:r>
        <w:rPr>
          <w:rFonts w:hint="eastAsia"/>
          <w:b/>
          <w:sz w:val="24"/>
        </w:rPr>
        <w:t>企业各生产线相关负责人及联系方式</w:t>
      </w:r>
    </w:p>
    <w:tbl>
      <w:tblPr>
        <w:tblW w:w="8522"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186"/>
        <w:gridCol w:w="4145"/>
        <w:gridCol w:w="3191"/>
      </w:tblGrid>
      <w:tr w:rsidR="00B04AE3">
        <w:trPr>
          <w:trHeight w:val="337"/>
        </w:trPr>
        <w:tc>
          <w:tcPr>
            <w:tcW w:w="1186" w:type="dxa"/>
            <w:shd w:val="clear" w:color="auto" w:fill="DFDFDF"/>
          </w:tcPr>
          <w:p w:rsidR="00B04AE3" w:rsidRDefault="00B04AE3">
            <w:pPr>
              <w:pStyle w:val="TableParagraph"/>
              <w:spacing w:before="34"/>
              <w:ind w:left="381"/>
              <w:jc w:val="left"/>
              <w:rPr>
                <w:b/>
                <w:sz w:val="21"/>
              </w:rPr>
            </w:pPr>
            <w:r>
              <w:rPr>
                <w:rFonts w:hint="eastAsia"/>
                <w:b/>
                <w:sz w:val="21"/>
              </w:rPr>
              <w:t>姓名</w:t>
            </w:r>
          </w:p>
        </w:tc>
        <w:tc>
          <w:tcPr>
            <w:tcW w:w="4145" w:type="dxa"/>
            <w:shd w:val="clear" w:color="auto" w:fill="DFDFDF"/>
          </w:tcPr>
          <w:p w:rsidR="00B04AE3" w:rsidRDefault="00B04AE3">
            <w:pPr>
              <w:pStyle w:val="TableParagraph"/>
              <w:spacing w:before="34"/>
              <w:ind w:left="1420" w:right="1411"/>
              <w:rPr>
                <w:b/>
                <w:sz w:val="21"/>
              </w:rPr>
            </w:pPr>
            <w:r>
              <w:rPr>
                <w:rFonts w:hint="eastAsia"/>
                <w:b/>
                <w:sz w:val="21"/>
              </w:rPr>
              <w:t>职务</w:t>
            </w:r>
          </w:p>
        </w:tc>
        <w:tc>
          <w:tcPr>
            <w:tcW w:w="3191" w:type="dxa"/>
            <w:shd w:val="clear" w:color="auto" w:fill="DFDFDF"/>
          </w:tcPr>
          <w:p w:rsidR="00B04AE3" w:rsidRDefault="00B04AE3">
            <w:pPr>
              <w:pStyle w:val="TableParagraph"/>
              <w:spacing w:before="34"/>
              <w:ind w:left="997" w:right="984"/>
              <w:rPr>
                <w:b/>
                <w:sz w:val="21"/>
              </w:rPr>
            </w:pPr>
            <w:r>
              <w:rPr>
                <w:rFonts w:hint="eastAsia"/>
                <w:b/>
                <w:sz w:val="21"/>
              </w:rPr>
              <w:t>职务号码</w:t>
            </w:r>
          </w:p>
        </w:tc>
      </w:tr>
      <w:tr w:rsidR="00B04AE3">
        <w:trPr>
          <w:trHeight w:val="340"/>
        </w:trPr>
        <w:tc>
          <w:tcPr>
            <w:tcW w:w="1186" w:type="dxa"/>
          </w:tcPr>
          <w:p w:rsidR="00B04AE3" w:rsidRDefault="00B04AE3">
            <w:pPr>
              <w:pStyle w:val="TableParagraph"/>
              <w:spacing w:before="33"/>
              <w:ind w:left="257" w:right="247"/>
              <w:rPr>
                <w:sz w:val="21"/>
              </w:rPr>
            </w:pPr>
            <w:r>
              <w:rPr>
                <w:rFonts w:hint="eastAsia"/>
                <w:sz w:val="21"/>
              </w:rPr>
              <w:t>金云峰</w:t>
            </w:r>
          </w:p>
        </w:tc>
        <w:tc>
          <w:tcPr>
            <w:tcW w:w="4145" w:type="dxa"/>
          </w:tcPr>
          <w:p w:rsidR="00B04AE3" w:rsidRDefault="00B04AE3">
            <w:pPr>
              <w:pStyle w:val="TableParagraph"/>
              <w:spacing w:before="33"/>
              <w:ind w:left="1420" w:right="1413"/>
              <w:rPr>
                <w:sz w:val="21"/>
              </w:rPr>
            </w:pPr>
            <w:r>
              <w:rPr>
                <w:rFonts w:hint="eastAsia"/>
                <w:sz w:val="21"/>
              </w:rPr>
              <w:t>总经理</w:t>
            </w:r>
          </w:p>
        </w:tc>
        <w:tc>
          <w:tcPr>
            <w:tcW w:w="3191" w:type="dxa"/>
          </w:tcPr>
          <w:p w:rsidR="00B04AE3" w:rsidRDefault="00B04AE3">
            <w:pPr>
              <w:pStyle w:val="TableParagraph"/>
              <w:spacing w:before="49"/>
              <w:ind w:left="1017"/>
              <w:jc w:val="left"/>
              <w:rPr>
                <w:sz w:val="21"/>
              </w:rPr>
            </w:pPr>
            <w:r>
              <w:rPr>
                <w:sz w:val="21"/>
              </w:rPr>
              <w:t>15797906676</w:t>
            </w:r>
          </w:p>
        </w:tc>
      </w:tr>
      <w:tr w:rsidR="00B04AE3">
        <w:trPr>
          <w:trHeight w:val="340"/>
        </w:trPr>
        <w:tc>
          <w:tcPr>
            <w:tcW w:w="1186" w:type="dxa"/>
          </w:tcPr>
          <w:p w:rsidR="00B04AE3" w:rsidRDefault="00B04AE3">
            <w:pPr>
              <w:pStyle w:val="TableParagraph"/>
              <w:spacing w:before="33"/>
              <w:ind w:left="253" w:right="248"/>
              <w:rPr>
                <w:sz w:val="21"/>
              </w:rPr>
            </w:pPr>
            <w:r>
              <w:rPr>
                <w:rFonts w:hint="eastAsia"/>
                <w:sz w:val="21"/>
              </w:rPr>
              <w:t>廖欣</w:t>
            </w:r>
          </w:p>
        </w:tc>
        <w:tc>
          <w:tcPr>
            <w:tcW w:w="4145" w:type="dxa"/>
          </w:tcPr>
          <w:p w:rsidR="00B04AE3" w:rsidRDefault="00B04AE3">
            <w:pPr>
              <w:pStyle w:val="TableParagraph"/>
              <w:spacing w:before="33"/>
              <w:ind w:left="1420" w:right="1413"/>
              <w:rPr>
                <w:sz w:val="21"/>
              </w:rPr>
            </w:pPr>
            <w:r>
              <w:rPr>
                <w:rFonts w:hint="eastAsia"/>
                <w:sz w:val="21"/>
              </w:rPr>
              <w:t>技术总工程师</w:t>
            </w:r>
          </w:p>
        </w:tc>
        <w:tc>
          <w:tcPr>
            <w:tcW w:w="3191" w:type="dxa"/>
          </w:tcPr>
          <w:p w:rsidR="00B04AE3" w:rsidRDefault="00B04AE3">
            <w:pPr>
              <w:pStyle w:val="TableParagraph"/>
              <w:spacing w:before="50"/>
              <w:ind w:left="1017"/>
              <w:jc w:val="left"/>
              <w:rPr>
                <w:sz w:val="21"/>
              </w:rPr>
            </w:pPr>
            <w:r>
              <w:rPr>
                <w:sz w:val="21"/>
              </w:rPr>
              <w:t>13879166894</w:t>
            </w:r>
          </w:p>
        </w:tc>
      </w:tr>
      <w:tr w:rsidR="00B04AE3">
        <w:trPr>
          <w:trHeight w:val="340"/>
        </w:trPr>
        <w:tc>
          <w:tcPr>
            <w:tcW w:w="1186" w:type="dxa"/>
          </w:tcPr>
          <w:p w:rsidR="00B04AE3" w:rsidRDefault="00B04AE3">
            <w:pPr>
              <w:pStyle w:val="TableParagraph"/>
              <w:spacing w:before="34"/>
              <w:ind w:left="257" w:right="247"/>
              <w:rPr>
                <w:sz w:val="21"/>
              </w:rPr>
            </w:pPr>
            <w:r>
              <w:rPr>
                <w:rFonts w:hint="eastAsia"/>
                <w:sz w:val="21"/>
              </w:rPr>
              <w:t>鲍伟</w:t>
            </w:r>
          </w:p>
        </w:tc>
        <w:tc>
          <w:tcPr>
            <w:tcW w:w="4145" w:type="dxa"/>
          </w:tcPr>
          <w:p w:rsidR="00B04AE3" w:rsidRDefault="00B04AE3">
            <w:pPr>
              <w:pStyle w:val="TableParagraph"/>
              <w:spacing w:before="34"/>
              <w:ind w:left="1420" w:right="1413"/>
              <w:rPr>
                <w:sz w:val="21"/>
              </w:rPr>
            </w:pPr>
            <w:r>
              <w:rPr>
                <w:rFonts w:hint="eastAsia"/>
                <w:sz w:val="21"/>
              </w:rPr>
              <w:t>生产副总经理</w:t>
            </w:r>
          </w:p>
        </w:tc>
        <w:tc>
          <w:tcPr>
            <w:tcW w:w="3191" w:type="dxa"/>
          </w:tcPr>
          <w:p w:rsidR="00B04AE3" w:rsidRDefault="00B04AE3">
            <w:pPr>
              <w:pStyle w:val="TableParagraph"/>
              <w:spacing w:before="48"/>
              <w:ind w:left="1017"/>
              <w:jc w:val="left"/>
              <w:rPr>
                <w:sz w:val="21"/>
              </w:rPr>
            </w:pPr>
            <w:r>
              <w:rPr>
                <w:sz w:val="21"/>
              </w:rPr>
              <w:t>13707093687</w:t>
            </w:r>
          </w:p>
        </w:tc>
      </w:tr>
      <w:tr w:rsidR="00B04AE3">
        <w:trPr>
          <w:trHeight w:val="340"/>
        </w:trPr>
        <w:tc>
          <w:tcPr>
            <w:tcW w:w="1186" w:type="dxa"/>
          </w:tcPr>
          <w:p w:rsidR="00B04AE3" w:rsidRDefault="00B04AE3">
            <w:pPr>
              <w:pStyle w:val="TableParagraph"/>
              <w:spacing w:before="34"/>
              <w:ind w:right="248"/>
              <w:jc w:val="both"/>
              <w:rPr>
                <w:sz w:val="21"/>
              </w:rPr>
            </w:pPr>
            <w:r>
              <w:rPr>
                <w:rFonts w:hint="eastAsia"/>
                <w:sz w:val="21"/>
              </w:rPr>
              <w:t>谢子伟</w:t>
            </w:r>
          </w:p>
        </w:tc>
        <w:tc>
          <w:tcPr>
            <w:tcW w:w="4145" w:type="dxa"/>
          </w:tcPr>
          <w:p w:rsidR="00B04AE3" w:rsidRDefault="00B04AE3">
            <w:pPr>
              <w:pStyle w:val="TableParagraph"/>
              <w:spacing w:before="34"/>
              <w:ind w:left="1419" w:right="1414"/>
              <w:rPr>
                <w:sz w:val="21"/>
              </w:rPr>
            </w:pPr>
            <w:r>
              <w:rPr>
                <w:rFonts w:hint="eastAsia"/>
                <w:sz w:val="21"/>
              </w:rPr>
              <w:t>行政经理</w:t>
            </w:r>
          </w:p>
        </w:tc>
        <w:tc>
          <w:tcPr>
            <w:tcW w:w="3191" w:type="dxa"/>
          </w:tcPr>
          <w:p w:rsidR="00B04AE3" w:rsidRDefault="00B04AE3">
            <w:pPr>
              <w:pStyle w:val="TableParagraph"/>
              <w:spacing w:before="48"/>
              <w:ind w:left="1017"/>
              <w:jc w:val="left"/>
              <w:rPr>
                <w:sz w:val="21"/>
              </w:rPr>
            </w:pPr>
            <w:r>
              <w:rPr>
                <w:sz w:val="21"/>
              </w:rPr>
              <w:t>13755640881</w:t>
            </w:r>
          </w:p>
        </w:tc>
      </w:tr>
      <w:tr w:rsidR="00B04AE3">
        <w:trPr>
          <w:trHeight w:val="340"/>
        </w:trPr>
        <w:tc>
          <w:tcPr>
            <w:tcW w:w="1186" w:type="dxa"/>
          </w:tcPr>
          <w:p w:rsidR="00B04AE3" w:rsidRDefault="00B04AE3">
            <w:pPr>
              <w:pStyle w:val="TableParagraph"/>
              <w:spacing w:before="35"/>
              <w:ind w:right="247"/>
              <w:jc w:val="both"/>
              <w:rPr>
                <w:sz w:val="21"/>
              </w:rPr>
            </w:pPr>
            <w:r>
              <w:rPr>
                <w:rFonts w:hint="eastAsia"/>
                <w:sz w:val="21"/>
              </w:rPr>
              <w:t>谢子伟</w:t>
            </w:r>
          </w:p>
        </w:tc>
        <w:tc>
          <w:tcPr>
            <w:tcW w:w="4145" w:type="dxa"/>
          </w:tcPr>
          <w:p w:rsidR="00B04AE3" w:rsidRDefault="00B04AE3">
            <w:pPr>
              <w:pStyle w:val="TableParagraph"/>
              <w:spacing w:before="35"/>
              <w:ind w:left="1419" w:right="1414"/>
              <w:rPr>
                <w:sz w:val="21"/>
              </w:rPr>
            </w:pPr>
            <w:r>
              <w:rPr>
                <w:rFonts w:hint="eastAsia"/>
                <w:sz w:val="21"/>
              </w:rPr>
              <w:t>安环部主任</w:t>
            </w:r>
          </w:p>
        </w:tc>
        <w:tc>
          <w:tcPr>
            <w:tcW w:w="3191" w:type="dxa"/>
          </w:tcPr>
          <w:p w:rsidR="00B04AE3" w:rsidRDefault="00B04AE3">
            <w:pPr>
              <w:pStyle w:val="TableParagraph"/>
              <w:spacing w:before="48"/>
              <w:ind w:left="1017"/>
              <w:jc w:val="left"/>
              <w:rPr>
                <w:sz w:val="21"/>
              </w:rPr>
            </w:pPr>
            <w:r>
              <w:rPr>
                <w:sz w:val="21"/>
              </w:rPr>
              <w:t>13870073675</w:t>
            </w:r>
          </w:p>
        </w:tc>
      </w:tr>
    </w:tbl>
    <w:p w:rsidR="00B04AE3" w:rsidRDefault="00B04AE3">
      <w:pPr>
        <w:pStyle w:val="ListParagraph"/>
        <w:numPr>
          <w:ilvl w:val="2"/>
          <w:numId w:val="23"/>
        </w:numPr>
        <w:tabs>
          <w:tab w:val="left" w:pos="878"/>
        </w:tabs>
        <w:spacing w:before="74" w:line="364" w:lineRule="auto"/>
        <w:ind w:right="4974" w:firstLine="0"/>
        <w:rPr>
          <w:b/>
          <w:sz w:val="24"/>
        </w:rPr>
      </w:pPr>
      <w:bookmarkStart w:id="91" w:name="5.2.1企业应急组织机构的主要职责"/>
      <w:bookmarkEnd w:id="91"/>
      <w:r>
        <w:rPr>
          <w:rFonts w:hint="eastAsia"/>
          <w:b/>
          <w:spacing w:val="-2"/>
          <w:sz w:val="24"/>
        </w:rPr>
        <w:t>企业应急组织机构的主要职责</w:t>
      </w:r>
      <w:r>
        <w:rPr>
          <w:rFonts w:hint="eastAsia"/>
          <w:b/>
          <w:sz w:val="24"/>
        </w:rPr>
        <w:t>一、日常职责</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、应急指挥部职责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①负责贯彻执行国家、当地政府、上级有关部门关于环境安全的方针、政策及规定；负责组织公司应急预案的制订、修改、发放、收回；</w:t>
      </w:r>
    </w:p>
    <w:p w:rsidR="00B04AE3" w:rsidRDefault="00B04AE3">
      <w:pPr>
        <w:pStyle w:val="BodyText"/>
        <w:spacing w:before="20" w:line="360" w:lineRule="auto"/>
        <w:ind w:left="334" w:right="334" w:firstLine="482"/>
        <w:jc w:val="both"/>
        <w:rPr>
          <w:spacing w:val="-6"/>
          <w:szCs w:val="22"/>
        </w:rPr>
      </w:pPr>
      <w:r>
        <w:rPr>
          <w:rFonts w:hint="eastAsia"/>
          <w:spacing w:val="-6"/>
          <w:szCs w:val="22"/>
        </w:rPr>
        <w:t>②负责组织预案的审批与更新（企业应急指挥中心负责审定企业内部各级应急预案）。</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、应急办公室主要职责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①负责承办突发环境事件应急指挥部的日常工作；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②负责做好员工应对突发环境事件的培训和日常演练。</w:t>
      </w:r>
    </w:p>
    <w:p w:rsidR="00B04AE3" w:rsidRDefault="00B04AE3" w:rsidP="003446E2">
      <w:pPr>
        <w:pStyle w:val="BodyText"/>
        <w:spacing w:before="20" w:line="360" w:lineRule="auto"/>
        <w:ind w:right="334" w:firstLineChars="100" w:firstLine="31680"/>
        <w:jc w:val="both"/>
        <w:rPr>
          <w:b/>
        </w:rPr>
      </w:pPr>
      <w:r>
        <w:rPr>
          <w:rFonts w:hint="eastAsia"/>
          <w:b/>
        </w:rPr>
        <w:t>二、发生事故时职责</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、应急指挥部职责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①总指挥</w:t>
      </w:r>
    </w:p>
    <w:p w:rsidR="00B04AE3" w:rsidRDefault="00B04AE3">
      <w:pPr>
        <w:pStyle w:val="BodyText"/>
        <w:spacing w:before="20" w:line="360" w:lineRule="auto"/>
        <w:ind w:left="334" w:right="334" w:firstLine="482"/>
        <w:jc w:val="both"/>
        <w:rPr>
          <w:spacing w:val="-6"/>
          <w:szCs w:val="22"/>
        </w:rPr>
      </w:pPr>
      <w:r>
        <w:rPr>
          <w:rFonts w:hint="eastAsia"/>
          <w:spacing w:val="-6"/>
          <w:szCs w:val="22"/>
        </w:rPr>
        <w:t>负责指挥、协调公司突发环境事故的应急救援工作；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②副总指挥</w:t>
      </w:r>
    </w:p>
    <w:p w:rsidR="00B04AE3" w:rsidRDefault="00B04AE3">
      <w:pPr>
        <w:pStyle w:val="BodyText"/>
        <w:spacing w:before="20" w:line="360" w:lineRule="auto"/>
        <w:ind w:left="334" w:right="334" w:firstLine="482"/>
        <w:jc w:val="both"/>
        <w:rPr>
          <w:spacing w:val="-6"/>
          <w:szCs w:val="22"/>
        </w:rPr>
      </w:pPr>
      <w:r>
        <w:rPr>
          <w:rFonts w:hint="eastAsia"/>
          <w:spacing w:val="-6"/>
          <w:szCs w:val="22"/>
        </w:rPr>
        <w:t>协助总指挥负责应急救援具体工作，向总指挥提出救援过程中生产运行方面应考虑和采取的安全与技术措施，负责总指挥不在时的职责；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③负责贯彻执行国家、当地政府、上级有关部门关于环境安全的方针、政策及规定；负责组织公司应急预案的制订、修改、发放、收回；</w:t>
      </w:r>
    </w:p>
    <w:p w:rsidR="00B04AE3" w:rsidRDefault="00B04AE3">
      <w:pPr>
        <w:pStyle w:val="BodyText"/>
        <w:spacing w:before="20" w:line="360" w:lineRule="auto"/>
        <w:ind w:left="334" w:right="334" w:firstLine="482"/>
        <w:jc w:val="both"/>
        <w:rPr>
          <w:spacing w:val="-6"/>
          <w:szCs w:val="22"/>
        </w:rPr>
      </w:pPr>
      <w:r>
        <w:rPr>
          <w:rFonts w:hint="eastAsia"/>
          <w:spacing w:val="-6"/>
          <w:szCs w:val="22"/>
        </w:rPr>
        <w:t>④负责人员、资源的调动分配；组建应急救援队伍，并组织实施培训、演练和各项准备工作；检查、督促做好事故的预防措施和应急救援的各项准备工作；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⑤批准本预案的启动与终止</w:t>
      </w:r>
    </w:p>
    <w:p w:rsidR="00B04AE3" w:rsidRDefault="00B04AE3">
      <w:pPr>
        <w:pStyle w:val="BodyText"/>
        <w:spacing w:before="20" w:line="360" w:lineRule="auto"/>
        <w:ind w:left="334" w:right="334" w:firstLine="482"/>
        <w:jc w:val="both"/>
        <w:rPr>
          <w:spacing w:val="-6"/>
          <w:szCs w:val="22"/>
        </w:rPr>
      </w:pPr>
      <w:r>
        <w:rPr>
          <w:rFonts w:hint="eastAsia"/>
          <w:spacing w:val="-6"/>
          <w:szCs w:val="22"/>
        </w:rPr>
        <w:t>⑥负责接受政府的指令、调动和突发环境事件信息的上报工作。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⑦评估发生的危险品化学事故类别、危害程度级别，根据“预案”和具体情况提出具体可行的救援方案；协调事故现场有关工作；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⑧负责组织预案的审批与更新（企业应急指挥中心负责审定企业内部各级应急预案）；</w:t>
      </w:r>
    </w:p>
    <w:p w:rsidR="00B04AE3" w:rsidRDefault="00B04AE3">
      <w:pPr>
        <w:pStyle w:val="BodyText"/>
        <w:spacing w:before="20" w:line="360" w:lineRule="auto"/>
        <w:ind w:left="334" w:right="334" w:firstLine="482"/>
        <w:jc w:val="both"/>
        <w:rPr>
          <w:spacing w:val="-6"/>
          <w:szCs w:val="22"/>
        </w:rPr>
      </w:pPr>
      <w:r>
        <w:rPr>
          <w:rFonts w:hint="eastAsia"/>
          <w:spacing w:val="-6"/>
          <w:szCs w:val="22"/>
        </w:rPr>
        <w:t>⑨负责保护事故现场及相关数据。</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、应急办公室主要职责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①负责承办突发环境事件应急指挥部的日常工作；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②接受环境事件的报警信息，根据报警信息，初步判断环境事件的类型和预警级别，并向应急指挥部报告；</w:t>
      </w:r>
    </w:p>
    <w:p w:rsidR="00B04AE3" w:rsidRDefault="00B04AE3">
      <w:pPr>
        <w:pStyle w:val="BodyText"/>
        <w:spacing w:before="20" w:line="360" w:lineRule="auto"/>
        <w:ind w:left="334" w:right="334" w:firstLine="482"/>
        <w:jc w:val="both"/>
        <w:rPr>
          <w:spacing w:val="-6"/>
          <w:szCs w:val="22"/>
        </w:rPr>
      </w:pPr>
      <w:r>
        <w:rPr>
          <w:rFonts w:hint="eastAsia"/>
          <w:spacing w:val="-6"/>
          <w:szCs w:val="22"/>
        </w:rPr>
        <w:t>③负责公司</w:t>
      </w:r>
      <w:r>
        <w:rPr>
          <w:spacing w:val="-6"/>
          <w:szCs w:val="22"/>
        </w:rPr>
        <w:t xml:space="preserve"> III </w:t>
      </w:r>
      <w:r>
        <w:rPr>
          <w:rFonts w:hint="eastAsia"/>
          <w:spacing w:val="-6"/>
          <w:szCs w:val="22"/>
        </w:rPr>
        <w:t>级突发环境事件的应急救援工作；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④负责突发环境事件调查处理的信息传递、组织协调、督察督办和应急物资更换、补充等后续工作；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⑤组织协调相关车间拟定不同类型事件的具体处理措施，指导实施突发环境事件应急预案，并组织预案演练。</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、应急救援小组职责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1</w:t>
      </w:r>
      <w:r>
        <w:rPr>
          <w:rFonts w:hint="eastAsia"/>
          <w:spacing w:val="-6"/>
          <w:szCs w:val="22"/>
        </w:rPr>
        <w:t>）抢险救援组主要职责：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①接到应急指挥部或应急办公室指令后，立即奔赴事故现场，了解掌握事件情况，并及时上报应急指挥部，听从统一调遣；</w:t>
      </w:r>
    </w:p>
    <w:p w:rsidR="00B04AE3" w:rsidRDefault="00B04AE3">
      <w:pPr>
        <w:pStyle w:val="BodyText"/>
        <w:spacing w:before="20" w:line="360" w:lineRule="auto"/>
        <w:ind w:left="334" w:right="334" w:firstLine="482"/>
        <w:jc w:val="both"/>
        <w:rPr>
          <w:spacing w:val="-6"/>
          <w:szCs w:val="22"/>
        </w:rPr>
      </w:pPr>
      <w:r>
        <w:rPr>
          <w:rFonts w:hint="eastAsia"/>
          <w:spacing w:val="-6"/>
          <w:szCs w:val="22"/>
        </w:rPr>
        <w:t>②由组长向应急指挥部汇报参加抢救的人员数量和名单，并做好登记；维护现场秩序，控制事态发展，利用相应仪器物资，尽量将事故消除在初起状态；</w:t>
      </w:r>
    </w:p>
    <w:p w:rsidR="00B04AE3" w:rsidRDefault="00B04AE3">
      <w:pPr>
        <w:pStyle w:val="BodyText"/>
        <w:spacing w:before="20" w:line="360" w:lineRule="auto"/>
        <w:ind w:left="334" w:right="334" w:firstLine="482"/>
        <w:jc w:val="both"/>
        <w:rPr>
          <w:spacing w:val="-6"/>
          <w:szCs w:val="22"/>
        </w:rPr>
      </w:pPr>
      <w:r>
        <w:rPr>
          <w:rFonts w:hint="eastAsia"/>
          <w:spacing w:val="-6"/>
          <w:szCs w:val="22"/>
        </w:rPr>
        <w:t>③抢险救援组成员利用消防设备、防护物资和堵漏设备，按照以人为本，先救人后救物的原则进行灭火和堵漏。抢救任务完成或不能完成时，本组组长都要及时向应急指挥部汇报任务执行情况以及抢救人员安全状况；</w:t>
      </w:r>
    </w:p>
    <w:p w:rsidR="00B04AE3" w:rsidRDefault="00B04AE3">
      <w:pPr>
        <w:pStyle w:val="BodyText"/>
        <w:spacing w:before="20" w:line="360" w:lineRule="auto"/>
        <w:ind w:left="334" w:right="334" w:firstLine="482"/>
        <w:jc w:val="both"/>
        <w:rPr>
          <w:spacing w:val="-6"/>
          <w:szCs w:val="22"/>
        </w:rPr>
      </w:pPr>
      <w:r>
        <w:rPr>
          <w:rFonts w:hint="eastAsia"/>
          <w:spacing w:val="-6"/>
          <w:szCs w:val="22"/>
        </w:rPr>
        <w:t>④按指令做好水、电、气的断、供工作；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⑤负责对受伤人员分类抢救、转运工作。配合南昌市消防队进行被困人员的救护，发生伤亡事故时抢救工作要争分夺秒，及时、果断、正确；</w:t>
      </w:r>
    </w:p>
    <w:p w:rsidR="00B04AE3" w:rsidRDefault="00B04AE3">
      <w:pPr>
        <w:pStyle w:val="BodyText"/>
        <w:spacing w:before="20" w:line="360" w:lineRule="auto"/>
        <w:ind w:left="334" w:right="334" w:firstLine="482"/>
        <w:jc w:val="both"/>
        <w:rPr>
          <w:spacing w:val="-6"/>
          <w:szCs w:val="22"/>
        </w:rPr>
      </w:pPr>
      <w:r>
        <w:rPr>
          <w:rFonts w:hint="eastAsia"/>
          <w:spacing w:val="-6"/>
          <w:szCs w:val="22"/>
        </w:rPr>
        <w:t>⑥对救出的伤员进行简单有效的救治，伤口包扎、止血等，配合医院急救人员对重伤人员的抢救；</w:t>
      </w:r>
    </w:p>
    <w:p w:rsidR="00B04AE3" w:rsidRDefault="00B04AE3">
      <w:pPr>
        <w:pStyle w:val="BodyText"/>
        <w:spacing w:before="20" w:line="360" w:lineRule="auto"/>
        <w:ind w:left="334" w:right="334" w:firstLine="482"/>
        <w:jc w:val="both"/>
        <w:rPr>
          <w:spacing w:val="-6"/>
          <w:szCs w:val="22"/>
        </w:rPr>
      </w:pPr>
      <w:r>
        <w:rPr>
          <w:rFonts w:hint="eastAsia"/>
          <w:spacing w:val="-6"/>
          <w:szCs w:val="22"/>
        </w:rPr>
        <w:t>⑦进入有毒气体区域进行救护时，必须听从应急指挥部的要求正确佩戴防护器具，两人协同进行；</w:t>
      </w:r>
    </w:p>
    <w:p w:rsidR="00B04AE3" w:rsidRDefault="00B04AE3">
      <w:pPr>
        <w:pStyle w:val="BodyText"/>
        <w:spacing w:before="20" w:line="360" w:lineRule="auto"/>
        <w:ind w:left="334" w:right="334" w:firstLine="482"/>
        <w:jc w:val="both"/>
        <w:rPr>
          <w:spacing w:val="-6"/>
          <w:szCs w:val="22"/>
        </w:rPr>
      </w:pPr>
      <w:r>
        <w:rPr>
          <w:rFonts w:hint="eastAsia"/>
          <w:spacing w:val="-6"/>
          <w:szCs w:val="22"/>
        </w:rPr>
        <w:t>⑧根据污染事故的特征采取合适的方法清除和收集事故现场残留污染物，防</w:t>
      </w:r>
    </w:p>
    <w:p w:rsidR="00B04AE3" w:rsidRDefault="00B04AE3">
      <w:pPr>
        <w:pStyle w:val="BodyText"/>
        <w:spacing w:before="20" w:line="360" w:lineRule="auto"/>
        <w:ind w:left="334" w:right="334" w:firstLine="482"/>
        <w:jc w:val="both"/>
        <w:rPr>
          <w:spacing w:val="-6"/>
          <w:szCs w:val="22"/>
        </w:rPr>
      </w:pPr>
      <w:r>
        <w:rPr>
          <w:rFonts w:hint="eastAsia"/>
          <w:spacing w:val="-6"/>
          <w:szCs w:val="22"/>
        </w:rPr>
        <w:t>止造成二次污染。</w:t>
      </w:r>
    </w:p>
    <w:p w:rsidR="00B04AE3" w:rsidRDefault="00B04AE3">
      <w:pPr>
        <w:pStyle w:val="BodyText"/>
        <w:spacing w:before="20" w:line="360" w:lineRule="auto"/>
        <w:ind w:left="334" w:right="334" w:firstLine="482"/>
        <w:jc w:val="both"/>
        <w:rPr>
          <w:spacing w:val="-6"/>
          <w:szCs w:val="22"/>
        </w:rPr>
      </w:pPr>
      <w:r>
        <w:rPr>
          <w:rFonts w:hint="eastAsia"/>
          <w:spacing w:val="-6"/>
          <w:szCs w:val="22"/>
        </w:rPr>
        <w:t>⑨配合应急办公室协调生产车间主要人员假定不同类型事件的具体处理措施，并进行预案演练；</w:t>
      </w:r>
    </w:p>
    <w:p w:rsidR="00B04AE3" w:rsidRDefault="00B04AE3">
      <w:pPr>
        <w:pStyle w:val="BodyText"/>
        <w:spacing w:before="20" w:line="360" w:lineRule="auto"/>
        <w:ind w:left="334" w:right="334" w:firstLine="482"/>
        <w:jc w:val="both"/>
        <w:rPr>
          <w:spacing w:val="-6"/>
          <w:szCs w:val="22"/>
        </w:rPr>
      </w:pPr>
      <w:r>
        <w:rPr>
          <w:rFonts w:hint="eastAsia"/>
          <w:spacing w:val="-6"/>
          <w:szCs w:val="22"/>
        </w:rPr>
        <w:t>⑩应急状态结束后，收集所用救援物资、装备并及时复原归位。</w:t>
      </w:r>
    </w:p>
    <w:p w:rsidR="00B04AE3" w:rsidRDefault="00B04AE3">
      <w:pPr>
        <w:pStyle w:val="BodyText"/>
        <w:spacing w:before="20" w:line="360" w:lineRule="auto"/>
        <w:ind w:left="334" w:right="334" w:firstLine="482"/>
        <w:jc w:val="both"/>
        <w:rPr>
          <w:spacing w:val="-6"/>
          <w:szCs w:val="22"/>
        </w:rPr>
      </w:pPr>
      <w:r>
        <w:rPr>
          <w:rFonts w:hint="eastAsia"/>
          <w:spacing w:val="-6"/>
          <w:szCs w:val="22"/>
        </w:rPr>
        <w:t>通讯联络组主要职责：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①接到应急指挥部的指令后，与经济技术开发区环保局应急办、安监局、消防队、医院等单位联系，说明事故情况并认真回答各单位提出的问题；</w:t>
      </w:r>
    </w:p>
    <w:p w:rsidR="00B04AE3" w:rsidRDefault="00B04AE3">
      <w:pPr>
        <w:pStyle w:val="BodyText"/>
        <w:spacing w:before="20" w:line="360" w:lineRule="auto"/>
        <w:ind w:left="334" w:right="334" w:firstLine="482"/>
        <w:jc w:val="both"/>
        <w:rPr>
          <w:spacing w:val="-6"/>
          <w:szCs w:val="22"/>
        </w:rPr>
      </w:pPr>
      <w:r>
        <w:rPr>
          <w:rFonts w:hint="eastAsia"/>
          <w:spacing w:val="-6"/>
          <w:szCs w:val="22"/>
        </w:rPr>
        <w:t>②负责事故报警、汇报、通报和外联工作；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③派人到主要路口接应消防车队、急救车辆和厂外救援队伍。</w:t>
      </w:r>
    </w:p>
    <w:p w:rsidR="00B04AE3" w:rsidRDefault="00B04AE3">
      <w:pPr>
        <w:pStyle w:val="BodyText"/>
        <w:spacing w:before="20" w:line="360" w:lineRule="auto"/>
        <w:ind w:left="334" w:right="334" w:firstLine="482"/>
        <w:jc w:val="both"/>
        <w:rPr>
          <w:spacing w:val="-6"/>
          <w:szCs w:val="22"/>
        </w:rPr>
      </w:pPr>
      <w:r>
        <w:rPr>
          <w:rFonts w:hint="eastAsia"/>
          <w:spacing w:val="-6"/>
          <w:szCs w:val="22"/>
        </w:rPr>
        <w:t>警戒保卫组主要职责：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①落实并执行应急指挥部或应急办的指令，做好人员疏散、隔离和警戒，维护现场秩序；</w:t>
      </w:r>
    </w:p>
    <w:p w:rsidR="00B04AE3" w:rsidRDefault="00B04AE3">
      <w:pPr>
        <w:pStyle w:val="BodyText"/>
        <w:spacing w:before="20" w:line="360" w:lineRule="auto"/>
        <w:ind w:left="334" w:right="334" w:firstLine="482"/>
        <w:jc w:val="both"/>
        <w:rPr>
          <w:spacing w:val="-6"/>
          <w:szCs w:val="22"/>
        </w:rPr>
      </w:pPr>
      <w:r>
        <w:rPr>
          <w:rFonts w:hint="eastAsia"/>
          <w:spacing w:val="-6"/>
          <w:szCs w:val="22"/>
        </w:rPr>
        <w:t>②人员疏散后，再次检查，确保所有人员安全撤离；</w:t>
      </w:r>
    </w:p>
    <w:p w:rsidR="00B04AE3" w:rsidRDefault="00B04AE3">
      <w:pPr>
        <w:pStyle w:val="BodyText"/>
        <w:spacing w:before="20" w:line="360" w:lineRule="auto"/>
        <w:ind w:left="334" w:right="334" w:firstLine="482"/>
        <w:jc w:val="both"/>
        <w:rPr>
          <w:spacing w:val="-6"/>
          <w:szCs w:val="22"/>
        </w:rPr>
      </w:pPr>
      <w:r>
        <w:rPr>
          <w:rFonts w:hint="eastAsia"/>
          <w:spacing w:val="-6"/>
          <w:szCs w:val="22"/>
        </w:rPr>
        <w:t>③配合消防队、急救医护人员的工作，保证车辆畅通无阻。</w:t>
      </w:r>
    </w:p>
    <w:p w:rsidR="00B04AE3" w:rsidRDefault="00B04AE3">
      <w:pPr>
        <w:pStyle w:val="BodyText"/>
        <w:spacing w:before="20" w:line="360" w:lineRule="auto"/>
        <w:ind w:left="334" w:right="334" w:firstLine="482"/>
        <w:jc w:val="both"/>
        <w:rPr>
          <w:spacing w:val="-6"/>
          <w:szCs w:val="22"/>
        </w:rPr>
      </w:pPr>
      <w:r>
        <w:rPr>
          <w:rFonts w:hint="eastAsia"/>
          <w:spacing w:val="-6"/>
          <w:szCs w:val="22"/>
        </w:rPr>
        <w:t>④当事故危急周边单位时，按照应急指挥部和经济技术开发区环保局应急办的指令，</w:t>
      </w:r>
      <w:r>
        <w:rPr>
          <w:spacing w:val="-6"/>
          <w:szCs w:val="22"/>
        </w:rPr>
        <w:t xml:space="preserve"> </w:t>
      </w:r>
      <w:r>
        <w:rPr>
          <w:rFonts w:hint="eastAsia"/>
          <w:spacing w:val="-6"/>
          <w:szCs w:val="22"/>
        </w:rPr>
        <w:t>向事故的上风向疏散受事故影响的居民和单位，确保所有人员安全撤离；</w:t>
      </w:r>
    </w:p>
    <w:p w:rsidR="00B04AE3" w:rsidRDefault="00B04AE3">
      <w:pPr>
        <w:pStyle w:val="BodyText"/>
        <w:spacing w:before="20" w:line="360" w:lineRule="auto"/>
        <w:ind w:left="334" w:right="334" w:firstLine="482"/>
        <w:jc w:val="both"/>
        <w:rPr>
          <w:spacing w:val="-6"/>
          <w:szCs w:val="22"/>
        </w:rPr>
      </w:pPr>
      <w:r>
        <w:rPr>
          <w:rFonts w:hint="eastAsia"/>
          <w:spacing w:val="-6"/>
          <w:szCs w:val="22"/>
        </w:rPr>
        <w:t>⑤维护现场秩序做好隔离和警戒工作，为防止无关人员和好事者进入现场造成伤害，本组组长派人在相关路口阻拦车辆和行人；严密注意事故区风向变化，</w:t>
      </w:r>
      <w:r>
        <w:rPr>
          <w:spacing w:val="-6"/>
          <w:szCs w:val="22"/>
        </w:rPr>
        <w:t xml:space="preserve"> </w:t>
      </w:r>
      <w:r>
        <w:rPr>
          <w:rFonts w:hint="eastAsia"/>
          <w:spacing w:val="-6"/>
          <w:szCs w:val="22"/>
        </w:rPr>
        <w:t>重点是事故下风向环境敏感单位、社区，对事故区场外道路实施临时管制，令过路车辆绕道而行；</w:t>
      </w:r>
    </w:p>
    <w:p w:rsidR="00B04AE3" w:rsidRDefault="00B04AE3">
      <w:pPr>
        <w:pStyle w:val="BodyText"/>
        <w:spacing w:before="20" w:line="360" w:lineRule="auto"/>
        <w:ind w:left="334" w:right="334" w:firstLine="482"/>
        <w:jc w:val="both"/>
        <w:rPr>
          <w:spacing w:val="-6"/>
          <w:szCs w:val="22"/>
        </w:rPr>
      </w:pPr>
      <w:r>
        <w:rPr>
          <w:rFonts w:hint="eastAsia"/>
          <w:spacing w:val="-6"/>
          <w:szCs w:val="22"/>
        </w:rPr>
        <w:t>⑥警戒区域内严禁火种，迅速控制泄漏扩散区域方向可能产生明火的地点。</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环境监测组主要职责：</w:t>
      </w:r>
    </w:p>
    <w:p w:rsidR="00B04AE3" w:rsidRDefault="00B04AE3">
      <w:pPr>
        <w:pStyle w:val="BodyText"/>
        <w:spacing w:before="20" w:line="360" w:lineRule="auto"/>
        <w:ind w:left="334" w:right="334" w:firstLine="482"/>
        <w:jc w:val="both"/>
        <w:rPr>
          <w:spacing w:val="-6"/>
          <w:szCs w:val="22"/>
        </w:rPr>
      </w:pPr>
      <w:r>
        <w:rPr>
          <w:rFonts w:hint="eastAsia"/>
          <w:spacing w:val="-6"/>
          <w:szCs w:val="22"/>
        </w:rPr>
        <w:t>①落实并执行应急指挥部或应急办的命令，及时准确报告受污染的水、气监测的数据，供应急指挥部做出正确的判断；</w:t>
      </w:r>
    </w:p>
    <w:p w:rsidR="00B04AE3" w:rsidRDefault="00B04AE3">
      <w:pPr>
        <w:pStyle w:val="BodyText"/>
        <w:spacing w:before="20" w:line="360" w:lineRule="auto"/>
        <w:ind w:left="334" w:right="334" w:firstLine="482"/>
        <w:jc w:val="both"/>
        <w:rPr>
          <w:spacing w:val="-6"/>
          <w:szCs w:val="22"/>
        </w:rPr>
      </w:pPr>
      <w:r>
        <w:rPr>
          <w:rFonts w:hint="eastAsia"/>
          <w:spacing w:val="-6"/>
          <w:szCs w:val="22"/>
        </w:rPr>
        <w:t>②协助应急办制订各项突发环境事件的应急监测方案；</w:t>
      </w:r>
    </w:p>
    <w:p w:rsidR="00B04AE3" w:rsidRDefault="00B04AE3">
      <w:pPr>
        <w:pStyle w:val="BodyText"/>
        <w:spacing w:before="20" w:line="360" w:lineRule="auto"/>
        <w:ind w:left="334" w:right="334" w:firstLine="482"/>
        <w:jc w:val="both"/>
        <w:rPr>
          <w:spacing w:val="-6"/>
          <w:szCs w:val="22"/>
        </w:rPr>
      </w:pPr>
      <w:r>
        <w:rPr>
          <w:rFonts w:hint="eastAsia"/>
          <w:spacing w:val="-6"/>
          <w:szCs w:val="22"/>
        </w:rPr>
        <w:t>③突发环境事件处理结束后，做好善后监测工作；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④协助南昌市环境监测部门及时准确的对受到突发环境事故污染的土壤、地</w:t>
      </w:r>
    </w:p>
    <w:p w:rsidR="00B04AE3" w:rsidRDefault="00B04AE3">
      <w:pPr>
        <w:pStyle w:val="BodyText"/>
        <w:spacing w:before="20" w:line="360" w:lineRule="auto"/>
        <w:ind w:left="334" w:right="334" w:firstLine="482"/>
        <w:jc w:val="both"/>
        <w:rPr>
          <w:spacing w:val="-6"/>
          <w:szCs w:val="22"/>
        </w:rPr>
      </w:pPr>
      <w:r>
        <w:rPr>
          <w:rFonts w:hint="eastAsia"/>
          <w:spacing w:val="-6"/>
          <w:szCs w:val="22"/>
        </w:rPr>
        <w:t>表水、地下水和大气进行取样，并且及时准确向临时应急指挥部报告监测数据，</w:t>
      </w:r>
      <w:r>
        <w:rPr>
          <w:spacing w:val="-6"/>
          <w:szCs w:val="22"/>
        </w:rPr>
        <w:t xml:space="preserve"> </w:t>
      </w:r>
      <w:r>
        <w:rPr>
          <w:rFonts w:hint="eastAsia"/>
          <w:spacing w:val="-6"/>
          <w:szCs w:val="22"/>
        </w:rPr>
        <w:t>以使临时应急指挥部做出正确的判断。</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应急办公室根据突发环境事故的类别和等级通知公司各应急小组，各应急救援小组立即赶赴事发现场，按照各自的预案和处置规程，相互协同，密切配合，</w:t>
      </w:r>
      <w:r>
        <w:rPr>
          <w:spacing w:val="-6"/>
          <w:szCs w:val="22"/>
        </w:rPr>
        <w:t xml:space="preserve"> </w:t>
      </w:r>
      <w:r>
        <w:rPr>
          <w:rFonts w:hint="eastAsia"/>
          <w:spacing w:val="-6"/>
          <w:szCs w:val="22"/>
        </w:rPr>
        <w:t>共同实施环境应急和紧急处置行动。在应急总指挥的协调指挥下坚决、迅速地实施先期处置，果断控制或切断污染源，全力控制事件态势，严防次生、衍生事件发生。</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预案启动后，应急办公室组织生产技术人员迅速对事件信息进行分析、评估，提出应急处置方案和建议，供指挥部领导决策参考。根据事件进展情况和形势动态，提出相应的对策和意见；对突发性环境污染事故的危害范围、发展趋势作出料学预测，指导各应急分队进行应急处理与处置；应急结束后对环境应急工作进行评价和总结。</w:t>
      </w:r>
    </w:p>
    <w:p w:rsidR="00B04AE3" w:rsidRDefault="00B04AE3">
      <w:pPr>
        <w:pStyle w:val="BodyText"/>
        <w:spacing w:before="20" w:line="360" w:lineRule="auto"/>
        <w:ind w:left="334" w:right="334" w:firstLine="482"/>
        <w:jc w:val="both"/>
        <w:rPr>
          <w:spacing w:val="-6"/>
          <w:szCs w:val="22"/>
        </w:rPr>
      </w:pPr>
      <w:r>
        <w:rPr>
          <w:rFonts w:hint="eastAsia"/>
          <w:spacing w:val="-6"/>
          <w:szCs w:val="22"/>
        </w:rPr>
        <w:t>医疗救护组</w:t>
      </w:r>
    </w:p>
    <w:p w:rsidR="00B04AE3" w:rsidRDefault="00B04AE3">
      <w:pPr>
        <w:pStyle w:val="BodyText"/>
        <w:spacing w:before="20" w:line="360" w:lineRule="auto"/>
        <w:ind w:left="334" w:right="334" w:firstLine="482"/>
        <w:jc w:val="both"/>
        <w:rPr>
          <w:spacing w:val="-6"/>
          <w:szCs w:val="22"/>
        </w:rPr>
      </w:pPr>
      <w:r>
        <w:rPr>
          <w:rFonts w:hint="eastAsia"/>
          <w:spacing w:val="-6"/>
          <w:szCs w:val="22"/>
        </w:rPr>
        <w:t>主要职责：做好药品的准备工作；做好各种医疗救护方案的制订、落实工作；</w:t>
      </w:r>
      <w:r>
        <w:rPr>
          <w:spacing w:val="-6"/>
          <w:szCs w:val="22"/>
        </w:rPr>
        <w:t xml:space="preserve"> </w:t>
      </w:r>
      <w:r>
        <w:rPr>
          <w:rFonts w:hint="eastAsia"/>
          <w:spacing w:val="-6"/>
          <w:szCs w:val="22"/>
        </w:rPr>
        <w:t>协助事件调查；每年组织救护人员学习和演练，并对医疗救护方案进行评审，提出改进措施，总结应急救援经验教训；做好现场救护工作。现场救护中接到救护命令后，组织两人以上人员佩戴好防护用品及时赶到事件现场，并分类进行救治。</w:t>
      </w:r>
    </w:p>
    <w:p w:rsidR="00B04AE3" w:rsidRDefault="00B04AE3">
      <w:pPr>
        <w:pStyle w:val="BodyText"/>
        <w:spacing w:before="20" w:line="360" w:lineRule="auto"/>
        <w:ind w:left="334" w:right="334" w:firstLine="482"/>
        <w:jc w:val="both"/>
        <w:rPr>
          <w:spacing w:val="-6"/>
          <w:szCs w:val="22"/>
        </w:rPr>
      </w:pPr>
      <w:r>
        <w:rPr>
          <w:rFonts w:hint="eastAsia"/>
          <w:spacing w:val="-6"/>
          <w:szCs w:val="22"/>
        </w:rPr>
        <w:t>①熟悉厂区内危险物质对人体危害的特性及相应的医疗急救措施；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②储备足量的急救器材和药品，并能随时取用；</w:t>
      </w:r>
    </w:p>
    <w:p w:rsidR="00B04AE3" w:rsidRDefault="00B04AE3">
      <w:pPr>
        <w:pStyle w:val="BodyText"/>
        <w:spacing w:before="20" w:line="360" w:lineRule="auto"/>
        <w:ind w:left="334" w:right="334" w:firstLine="482"/>
        <w:jc w:val="both"/>
        <w:rPr>
          <w:spacing w:val="-6"/>
          <w:szCs w:val="22"/>
        </w:rPr>
      </w:pPr>
      <w:r>
        <w:rPr>
          <w:rFonts w:hint="eastAsia"/>
          <w:spacing w:val="-6"/>
          <w:szCs w:val="22"/>
        </w:rPr>
        <w:t>③事件发生后，应迅速做好准备工作，伤者送来后，根据受伤症状，及时采取相应的急救措施对伤者进行急救，重伤员及时转院抢救；</w:t>
      </w:r>
    </w:p>
    <w:p w:rsidR="00B04AE3" w:rsidRDefault="00B04AE3">
      <w:pPr>
        <w:pStyle w:val="BodyText"/>
        <w:spacing w:before="20" w:line="360" w:lineRule="auto"/>
        <w:ind w:left="334" w:right="334" w:firstLine="482"/>
        <w:jc w:val="both"/>
        <w:rPr>
          <w:spacing w:val="-6"/>
          <w:szCs w:val="22"/>
        </w:rPr>
      </w:pPr>
      <w:r>
        <w:rPr>
          <w:rFonts w:hint="eastAsia"/>
          <w:spacing w:val="-6"/>
          <w:szCs w:val="22"/>
        </w:rPr>
        <w:t>④当厂区急救力量无法满足需要时，向其他医疗单位申请救援并迅速转移伤者。</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环境监测组</w:t>
      </w:r>
    </w:p>
    <w:p w:rsidR="00B04AE3" w:rsidRDefault="00B04AE3">
      <w:pPr>
        <w:pStyle w:val="BodyText"/>
        <w:spacing w:before="20" w:line="360" w:lineRule="auto"/>
        <w:ind w:left="334" w:right="334" w:firstLine="482"/>
        <w:jc w:val="both"/>
        <w:rPr>
          <w:spacing w:val="-6"/>
          <w:szCs w:val="22"/>
        </w:rPr>
        <w:sectPr w:rsidR="00B04AE3">
          <w:footerReference w:type="default" r:id="rId26"/>
          <w:pgSz w:w="11910" w:h="16840"/>
          <w:pgMar w:top="1340" w:right="1460" w:bottom="1180" w:left="1460" w:header="878" w:footer="993" w:gutter="0"/>
          <w:cols w:space="720"/>
        </w:sectPr>
      </w:pPr>
      <w:r>
        <w:rPr>
          <w:rFonts w:hint="eastAsia"/>
          <w:spacing w:val="-6"/>
          <w:szCs w:val="22"/>
        </w:rPr>
        <w:t>主要职责：配合外部监测部门的工作；协调事件调查；总结应急检测经验，</w:t>
      </w:r>
      <w:r>
        <w:rPr>
          <w:spacing w:val="-6"/>
          <w:szCs w:val="22"/>
        </w:rPr>
        <w:t xml:space="preserve"> </w:t>
      </w:r>
      <w:r>
        <w:rPr>
          <w:rFonts w:hint="eastAsia"/>
          <w:spacing w:val="-6"/>
          <w:szCs w:val="22"/>
        </w:rPr>
        <w:t>做好现场配合工作，为指挥部提供真实有效的监测数据。在本企业无法满足并提供环境监测工作时应急时做好与当地环境监测部门申请支援联络工作。</w:t>
      </w:r>
    </w:p>
    <w:p w:rsidR="00B04AE3" w:rsidRDefault="00B04AE3">
      <w:pPr>
        <w:pStyle w:val="ListParagraph"/>
        <w:numPr>
          <w:ilvl w:val="0"/>
          <w:numId w:val="22"/>
        </w:numPr>
        <w:tabs>
          <w:tab w:val="left" w:pos="607"/>
        </w:tabs>
        <w:spacing w:before="97"/>
        <w:ind w:left="606" w:hanging="269"/>
        <w:rPr>
          <w:rFonts w:ascii="Times New Roman" w:eastAsia="Times New Roman"/>
          <w:b/>
          <w:sz w:val="36"/>
        </w:rPr>
      </w:pPr>
      <w:bookmarkStart w:id="92" w:name="6预防和预警"/>
      <w:bookmarkStart w:id="93" w:name="_bookmark23"/>
      <w:bookmarkEnd w:id="92"/>
      <w:bookmarkEnd w:id="93"/>
      <w:r>
        <w:rPr>
          <w:rFonts w:hint="eastAsia"/>
          <w:b/>
          <w:sz w:val="36"/>
        </w:rPr>
        <w:t>预防和预警</w:t>
      </w:r>
    </w:p>
    <w:p w:rsidR="00B04AE3" w:rsidRDefault="00B04AE3">
      <w:pPr>
        <w:pStyle w:val="ListParagraph"/>
        <w:numPr>
          <w:ilvl w:val="1"/>
          <w:numId w:val="22"/>
        </w:numPr>
        <w:tabs>
          <w:tab w:val="left" w:pos="787"/>
        </w:tabs>
        <w:rPr>
          <w:b/>
          <w:sz w:val="28"/>
        </w:rPr>
      </w:pPr>
      <w:bookmarkStart w:id="94" w:name="6.1环境风险源监控"/>
      <w:bookmarkStart w:id="95" w:name="_bookmark24"/>
      <w:bookmarkEnd w:id="94"/>
      <w:bookmarkEnd w:id="95"/>
      <w:r>
        <w:rPr>
          <w:rFonts w:hint="eastAsia"/>
          <w:b/>
          <w:sz w:val="28"/>
        </w:rPr>
        <w:t>环境风险源监控</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、环境风险源监控</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企业存在的环境风险源主要有：危化品储罐区、生产装置区、危废库、废气处理设备等（详见附件五环境风险源分布图）。</w:t>
      </w:r>
    </w:p>
    <w:p w:rsidR="00B04AE3" w:rsidRDefault="00B04AE3">
      <w:pPr>
        <w:pStyle w:val="BodyText"/>
        <w:spacing w:before="20" w:line="360" w:lineRule="auto"/>
        <w:ind w:left="334" w:right="334" w:firstLine="482"/>
        <w:jc w:val="both"/>
        <w:rPr>
          <w:spacing w:val="-6"/>
          <w:szCs w:val="22"/>
        </w:rPr>
      </w:pPr>
      <w:r>
        <w:rPr>
          <w:rFonts w:hint="eastAsia"/>
          <w:spacing w:val="-6"/>
          <w:szCs w:val="22"/>
        </w:rPr>
        <w:t>为了及时掌握危险源的情况，对环境风险事故做到早发现早处理，降低或避免危险事故造成的危害，公司建立了重要环境因素及危险源识别、评价体系，并对危险源进行监控，主要措施有：</w:t>
      </w:r>
    </w:p>
    <w:p w:rsidR="00B04AE3" w:rsidRDefault="00B04AE3">
      <w:pPr>
        <w:pStyle w:val="BodyText"/>
        <w:spacing w:before="20" w:line="360" w:lineRule="auto"/>
        <w:ind w:left="334" w:right="334" w:firstLine="482"/>
        <w:jc w:val="both"/>
        <w:rPr>
          <w:spacing w:val="-6"/>
          <w:szCs w:val="22"/>
        </w:rPr>
      </w:pPr>
      <w:r>
        <w:rPr>
          <w:rFonts w:hint="eastAsia"/>
          <w:spacing w:val="-6"/>
          <w:szCs w:val="22"/>
        </w:rPr>
        <w:t>⑴锅炉烟气排放有在线监测系统。</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⑵在可燃气体泄漏监控预警系统、现场火灾报警系统，一旦周围可燃气体浓度超标将进行自动报警。</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⑶在罐区及各生产工段安装有毒性气体泄漏监控预警系统，一旦周围毒性气体浓度超标将进行自动报警。</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⑷各储罐等特种设备按规定定期检测；安全附件和仪表按国家相关法律法规强制检定，主要包括各机组、储罐、压力容器、压力管道应该配备的安全阀、压力表等。</w:t>
      </w:r>
    </w:p>
    <w:p w:rsidR="00B04AE3" w:rsidRDefault="00B04AE3">
      <w:pPr>
        <w:pStyle w:val="BodyText"/>
        <w:spacing w:before="20" w:line="360" w:lineRule="auto"/>
        <w:ind w:left="334" w:right="334" w:firstLine="482"/>
        <w:jc w:val="both"/>
        <w:rPr>
          <w:spacing w:val="-6"/>
          <w:szCs w:val="22"/>
        </w:rPr>
      </w:pPr>
      <w:r>
        <w:rPr>
          <w:rFonts w:hint="eastAsia"/>
          <w:spacing w:val="-6"/>
          <w:szCs w:val="22"/>
        </w:rPr>
        <w:t>⑸重点部位设置摄像头监控，值班人员</w:t>
      </w:r>
      <w:r>
        <w:rPr>
          <w:spacing w:val="-6"/>
          <w:szCs w:val="22"/>
        </w:rPr>
        <w:t xml:space="preserve"> 24 </w:t>
      </w:r>
      <w:r>
        <w:rPr>
          <w:rFonts w:hint="eastAsia"/>
          <w:spacing w:val="-6"/>
          <w:szCs w:val="22"/>
        </w:rPr>
        <w:t>小时监控，一旦发生突发环境事件，工作人员可通过显示装置迅速通知生产车间或应急指挥部，同时启动相应应急预案。</w:t>
      </w:r>
    </w:p>
    <w:p w:rsidR="00B04AE3" w:rsidRDefault="00B04AE3">
      <w:pPr>
        <w:pStyle w:val="BodyText"/>
        <w:spacing w:before="20" w:line="360" w:lineRule="auto"/>
        <w:ind w:left="334" w:right="334" w:firstLine="482"/>
        <w:jc w:val="both"/>
        <w:rPr>
          <w:spacing w:val="-6"/>
          <w:szCs w:val="22"/>
        </w:rPr>
      </w:pPr>
      <w:r>
        <w:rPr>
          <w:rFonts w:hint="eastAsia"/>
          <w:spacing w:val="-6"/>
          <w:szCs w:val="22"/>
        </w:rPr>
        <w:t>⑸制定日常岗位巡检表，定时巡检，作好巡检记录。</w:t>
      </w:r>
    </w:p>
    <w:p w:rsidR="00B04AE3" w:rsidRDefault="00B04AE3">
      <w:pPr>
        <w:pStyle w:val="BodyText"/>
        <w:spacing w:before="20" w:line="360" w:lineRule="auto"/>
        <w:ind w:left="334" w:right="334" w:firstLine="482"/>
        <w:jc w:val="both"/>
        <w:rPr>
          <w:spacing w:val="-6"/>
          <w:szCs w:val="22"/>
        </w:rPr>
      </w:pPr>
      <w:r>
        <w:rPr>
          <w:rFonts w:hint="eastAsia"/>
          <w:spacing w:val="-6"/>
          <w:szCs w:val="22"/>
        </w:rPr>
        <w:t>⑹设备设施定期保养并保持完好。</w:t>
      </w:r>
    </w:p>
    <w:p w:rsidR="00B04AE3" w:rsidRDefault="00B04AE3">
      <w:pPr>
        <w:pStyle w:val="BodyText"/>
        <w:spacing w:before="20" w:line="360" w:lineRule="auto"/>
        <w:ind w:left="334" w:right="334" w:firstLine="482"/>
        <w:jc w:val="both"/>
        <w:rPr>
          <w:spacing w:val="-6"/>
          <w:szCs w:val="22"/>
        </w:rPr>
      </w:pPr>
      <w:r>
        <w:rPr>
          <w:rFonts w:hint="eastAsia"/>
          <w:spacing w:val="-6"/>
          <w:szCs w:val="22"/>
        </w:rPr>
        <w:t>⑺卫生防护及环保设施：每班每小时进行一次厂区巡查，检查内容主要有各工段工作纪律执行情况、废气处理设施、废水处理设施、各储罐区、应急物资以及个人防护用品等。巡检内容主要为生产工段是否严格按规范进行，废水、废气污染治理设施运行是否正常，应急物资及急救用品是否齐全有效。</w:t>
      </w:r>
    </w:p>
    <w:p w:rsidR="00B04AE3" w:rsidRDefault="00B04AE3">
      <w:pPr>
        <w:pStyle w:val="BodyText"/>
        <w:spacing w:before="20" w:line="360" w:lineRule="auto"/>
        <w:ind w:left="334" w:right="334" w:firstLine="482"/>
        <w:jc w:val="both"/>
        <w:rPr>
          <w:spacing w:val="-6"/>
          <w:szCs w:val="22"/>
        </w:rPr>
      </w:pPr>
      <w:r>
        <w:rPr>
          <w:rFonts w:hint="eastAsia"/>
          <w:spacing w:val="-6"/>
          <w:szCs w:val="22"/>
        </w:rPr>
        <w:t>⑻应急设备和物资设置专人负责。正常情况下按照规定进行例行检查，</w:t>
      </w:r>
      <w:r>
        <w:rPr>
          <w:spacing w:val="-6"/>
          <w:szCs w:val="22"/>
        </w:rPr>
        <w:t xml:space="preserve"> </w:t>
      </w:r>
      <w:r>
        <w:rPr>
          <w:rFonts w:hint="eastAsia"/>
          <w:spacing w:val="-6"/>
          <w:szCs w:val="22"/>
        </w:rPr>
        <w:t>特殊时期要每天进行检查，保证各种物资的充足与完备。</w:t>
      </w:r>
    </w:p>
    <w:p w:rsidR="00B04AE3" w:rsidRDefault="00B04AE3">
      <w:pPr>
        <w:pStyle w:val="BodyText"/>
        <w:spacing w:before="20" w:line="360" w:lineRule="auto"/>
        <w:ind w:left="334" w:right="334" w:firstLine="482"/>
        <w:jc w:val="both"/>
        <w:rPr>
          <w:spacing w:val="-6"/>
          <w:szCs w:val="22"/>
        </w:rPr>
      </w:pPr>
      <w:r>
        <w:rPr>
          <w:rFonts w:hint="eastAsia"/>
          <w:spacing w:val="-6"/>
          <w:szCs w:val="22"/>
        </w:rPr>
        <w:t>⑼应与当地供电部门保持沟通渠道，及时了解停电计划以便安排实施应对措施。</w:t>
      </w:r>
    </w:p>
    <w:p w:rsidR="00B04AE3" w:rsidRDefault="00B04AE3">
      <w:pPr>
        <w:pStyle w:val="BodyText"/>
        <w:spacing w:before="20" w:line="360" w:lineRule="auto"/>
        <w:ind w:left="334" w:right="334" w:firstLine="482"/>
        <w:jc w:val="both"/>
        <w:rPr>
          <w:spacing w:val="-6"/>
          <w:szCs w:val="22"/>
        </w:rPr>
        <w:sectPr w:rsidR="00B04AE3">
          <w:pgSz w:w="11910" w:h="16840"/>
          <w:pgMar w:top="1340" w:right="1460" w:bottom="1180" w:left="1460" w:header="878" w:footer="993" w:gutter="0"/>
          <w:cols w:space="720"/>
        </w:sectPr>
      </w:pPr>
    </w:p>
    <w:p w:rsidR="00B04AE3" w:rsidRDefault="00B04AE3">
      <w:pPr>
        <w:pStyle w:val="BodyText"/>
        <w:spacing w:before="20" w:line="360" w:lineRule="auto"/>
        <w:ind w:left="334" w:right="334" w:firstLine="482"/>
        <w:jc w:val="both"/>
        <w:rPr>
          <w:spacing w:val="-6"/>
          <w:szCs w:val="22"/>
        </w:rPr>
      </w:pPr>
      <w:r>
        <w:rPr>
          <w:spacing w:val="-6"/>
          <w:szCs w:val="22"/>
          <w:lang w:val="en-US"/>
        </w:rPr>
        <w:t>2</w:t>
      </w:r>
      <w:r>
        <w:rPr>
          <w:rFonts w:hint="eastAsia"/>
          <w:spacing w:val="-6"/>
          <w:szCs w:val="22"/>
          <w:lang w:val="en-US"/>
        </w:rPr>
        <w:t>、</w:t>
      </w:r>
      <w:r>
        <w:rPr>
          <w:rFonts w:hint="eastAsia"/>
          <w:spacing w:val="-6"/>
          <w:szCs w:val="22"/>
        </w:rPr>
        <w:t>生产过程中的危险预防措施</w:t>
      </w:r>
    </w:p>
    <w:p w:rsidR="00B04AE3" w:rsidRDefault="00B04AE3">
      <w:pPr>
        <w:pStyle w:val="BodyText"/>
        <w:spacing w:before="20" w:line="360" w:lineRule="auto"/>
        <w:ind w:left="334" w:right="334" w:firstLine="482"/>
        <w:jc w:val="both"/>
        <w:rPr>
          <w:spacing w:val="-6"/>
          <w:szCs w:val="22"/>
        </w:rPr>
      </w:pPr>
      <w:r>
        <w:rPr>
          <w:spacing w:val="-6"/>
          <w:szCs w:val="22"/>
        </w:rPr>
        <w:t>A</w:t>
      </w:r>
      <w:r>
        <w:rPr>
          <w:rFonts w:hint="eastAsia"/>
          <w:spacing w:val="-6"/>
          <w:szCs w:val="22"/>
        </w:rPr>
        <w:t>、对厂区主要位置执行监控制度，及时发现风险事故隐患。</w:t>
      </w:r>
    </w:p>
    <w:p w:rsidR="00B04AE3" w:rsidRDefault="00B04AE3">
      <w:pPr>
        <w:pStyle w:val="BodyText"/>
        <w:spacing w:before="20" w:line="360" w:lineRule="auto"/>
        <w:ind w:left="334" w:right="334" w:firstLine="482"/>
        <w:jc w:val="both"/>
        <w:rPr>
          <w:spacing w:val="-6"/>
          <w:szCs w:val="22"/>
        </w:rPr>
      </w:pPr>
      <w:r>
        <w:rPr>
          <w:spacing w:val="-6"/>
          <w:szCs w:val="22"/>
        </w:rPr>
        <w:t>B</w:t>
      </w:r>
      <w:r>
        <w:rPr>
          <w:rFonts w:hint="eastAsia"/>
          <w:spacing w:val="-6"/>
          <w:szCs w:val="22"/>
        </w:rPr>
        <w:t>、加强人员巡检，对发现的风险隐患及时进行消除。</w:t>
      </w:r>
    </w:p>
    <w:p w:rsidR="00B04AE3" w:rsidRDefault="00B04AE3">
      <w:pPr>
        <w:pStyle w:val="BodyText"/>
        <w:spacing w:before="20" w:line="360" w:lineRule="auto"/>
        <w:ind w:left="334" w:right="334" w:firstLine="482"/>
        <w:jc w:val="both"/>
        <w:rPr>
          <w:spacing w:val="-6"/>
          <w:szCs w:val="22"/>
        </w:rPr>
      </w:pPr>
      <w:r>
        <w:rPr>
          <w:spacing w:val="-6"/>
          <w:szCs w:val="22"/>
          <w:lang w:val="en-US"/>
        </w:rPr>
        <w:t>3</w:t>
      </w:r>
      <w:r>
        <w:rPr>
          <w:rFonts w:hint="eastAsia"/>
          <w:spacing w:val="-6"/>
          <w:szCs w:val="22"/>
          <w:lang w:val="en-US"/>
        </w:rPr>
        <w:t>、</w:t>
      </w:r>
      <w:r>
        <w:rPr>
          <w:rFonts w:hint="eastAsia"/>
          <w:spacing w:val="-6"/>
          <w:szCs w:val="22"/>
        </w:rPr>
        <w:t>管理及操作环节危险预防措施</w:t>
      </w:r>
    </w:p>
    <w:p w:rsidR="00B04AE3" w:rsidRDefault="00B04AE3">
      <w:pPr>
        <w:pStyle w:val="BodyText"/>
        <w:spacing w:before="20" w:line="360" w:lineRule="auto"/>
        <w:ind w:left="334" w:right="334" w:firstLine="482"/>
        <w:jc w:val="both"/>
        <w:rPr>
          <w:spacing w:val="-6"/>
          <w:szCs w:val="22"/>
        </w:rPr>
      </w:pPr>
      <w:r>
        <w:rPr>
          <w:spacing w:val="-6"/>
          <w:szCs w:val="22"/>
        </w:rPr>
        <w:t>A</w:t>
      </w:r>
      <w:r>
        <w:rPr>
          <w:rFonts w:hint="eastAsia"/>
          <w:spacing w:val="-6"/>
          <w:szCs w:val="22"/>
        </w:rPr>
        <w:t>、建立健全安全生产责任制，制定安全生产规章制度和操作规程；</w:t>
      </w:r>
    </w:p>
    <w:p w:rsidR="00B04AE3" w:rsidRDefault="00B04AE3">
      <w:pPr>
        <w:pStyle w:val="BodyText"/>
        <w:spacing w:before="20" w:line="360" w:lineRule="auto"/>
        <w:ind w:left="334" w:right="334" w:firstLine="482"/>
        <w:jc w:val="both"/>
        <w:rPr>
          <w:spacing w:val="-6"/>
          <w:szCs w:val="22"/>
        </w:rPr>
      </w:pPr>
      <w:r>
        <w:rPr>
          <w:spacing w:val="-6"/>
          <w:szCs w:val="22"/>
        </w:rPr>
        <w:t>B</w:t>
      </w:r>
      <w:r>
        <w:rPr>
          <w:rFonts w:hint="eastAsia"/>
          <w:spacing w:val="-6"/>
          <w:szCs w:val="22"/>
        </w:rPr>
        <w:t>、对工作人员进行安全生产教育和培训，并定期进行理论和实践考核，保证工作人员具备必要的安全生产能力，并熟悉安全生产规章制度和安全生产规程；</w:t>
      </w:r>
    </w:p>
    <w:p w:rsidR="00B04AE3" w:rsidRDefault="00B04AE3">
      <w:pPr>
        <w:pStyle w:val="BodyText"/>
        <w:spacing w:before="20" w:line="360" w:lineRule="auto"/>
        <w:ind w:left="334" w:right="334" w:firstLine="482"/>
        <w:jc w:val="both"/>
        <w:rPr>
          <w:spacing w:val="-6"/>
          <w:szCs w:val="22"/>
        </w:rPr>
      </w:pPr>
      <w:r>
        <w:rPr>
          <w:spacing w:val="-6"/>
          <w:szCs w:val="22"/>
        </w:rPr>
        <w:t>C</w:t>
      </w:r>
      <w:r>
        <w:rPr>
          <w:rFonts w:hint="eastAsia"/>
          <w:spacing w:val="-6"/>
          <w:szCs w:val="22"/>
        </w:rPr>
        <w:t>、工作人员严格按照规程进行操作，并按照要求穿工作服和使用劳动防护用品，如电气检修时应穿绝缘靴、戴绝缘手套等；对劳保用品如防尘面具等应定期检查、检测，以确保其有效性。</w:t>
      </w:r>
    </w:p>
    <w:p w:rsidR="00B04AE3" w:rsidRDefault="00B04AE3">
      <w:pPr>
        <w:pStyle w:val="BodyText"/>
        <w:spacing w:before="20" w:line="360" w:lineRule="auto"/>
        <w:ind w:left="334" w:right="334" w:firstLine="482"/>
        <w:jc w:val="both"/>
        <w:rPr>
          <w:spacing w:val="-6"/>
          <w:szCs w:val="22"/>
        </w:rPr>
      </w:pPr>
      <w:r>
        <w:rPr>
          <w:rFonts w:hint="eastAsia"/>
          <w:spacing w:val="-6"/>
          <w:szCs w:val="22"/>
        </w:rPr>
        <w:t>突发事故的发生第一地点为厂区内部，做好第一地点、第一时间的防范工作是防止突发环境事件造成周围环境影响最重要环节。</w:t>
      </w:r>
    </w:p>
    <w:p w:rsidR="00B04AE3" w:rsidRDefault="00B04AE3">
      <w:pPr>
        <w:pStyle w:val="ListParagraph"/>
        <w:numPr>
          <w:ilvl w:val="1"/>
          <w:numId w:val="22"/>
        </w:numPr>
        <w:tabs>
          <w:tab w:val="left" w:pos="787"/>
        </w:tabs>
        <w:rPr>
          <w:b/>
          <w:sz w:val="28"/>
        </w:rPr>
      </w:pPr>
      <w:bookmarkStart w:id="96" w:name="6.2预警行动"/>
      <w:bookmarkStart w:id="97" w:name="_bookmark25"/>
      <w:bookmarkEnd w:id="96"/>
      <w:bookmarkEnd w:id="97"/>
      <w:r>
        <w:rPr>
          <w:rFonts w:hint="eastAsia"/>
          <w:b/>
          <w:sz w:val="28"/>
        </w:rPr>
        <w:t>预警行动</w:t>
      </w:r>
    </w:p>
    <w:p w:rsidR="00B04AE3" w:rsidRDefault="00B04AE3">
      <w:pPr>
        <w:pStyle w:val="ListParagraph"/>
        <w:numPr>
          <w:ilvl w:val="2"/>
          <w:numId w:val="24"/>
        </w:numPr>
        <w:tabs>
          <w:tab w:val="left" w:pos="938"/>
        </w:tabs>
        <w:spacing w:before="185"/>
        <w:rPr>
          <w:b/>
          <w:sz w:val="24"/>
        </w:rPr>
      </w:pPr>
      <w:bookmarkStart w:id="98" w:name="6.2.1_分级预警"/>
      <w:bookmarkEnd w:id="98"/>
      <w:r>
        <w:rPr>
          <w:rFonts w:hint="eastAsia"/>
          <w:b/>
          <w:sz w:val="24"/>
        </w:rPr>
        <w:t>分级预警</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根据收集到的有关信息证明环境风险目标即将发生环境污染事故或者发生的可能性增大时，对人员生命和设备财产安全构成威胁时，按照相关的突发环境事件应急救援预案执行。</w:t>
      </w:r>
    </w:p>
    <w:p w:rsidR="00B04AE3" w:rsidRDefault="00B04AE3">
      <w:pPr>
        <w:pStyle w:val="BodyText"/>
        <w:spacing w:before="20" w:line="360" w:lineRule="auto"/>
        <w:ind w:left="334" w:right="334" w:firstLine="482"/>
        <w:jc w:val="both"/>
        <w:rPr>
          <w:spacing w:val="-6"/>
          <w:szCs w:val="22"/>
        </w:rPr>
      </w:pPr>
      <w:r>
        <w:rPr>
          <w:rFonts w:hint="eastAsia"/>
          <w:spacing w:val="-6"/>
          <w:szCs w:val="22"/>
        </w:rPr>
        <w:t>预警分为红色、橙色、黄色和蓝色，红色预警一般为企业自身力量难以应对；</w:t>
      </w:r>
      <w:r>
        <w:rPr>
          <w:spacing w:val="-6"/>
          <w:szCs w:val="22"/>
        </w:rPr>
        <w:t xml:space="preserve"> </w:t>
      </w:r>
      <w:r>
        <w:rPr>
          <w:rFonts w:hint="eastAsia"/>
          <w:spacing w:val="-6"/>
          <w:szCs w:val="22"/>
        </w:rPr>
        <w:t>橙色预警一般为企业需要调集内部绝大部分力量参与应对；黄色、蓝色预警根据企业实际需求确定。</w:t>
      </w:r>
    </w:p>
    <w:p w:rsidR="00B04AE3" w:rsidRDefault="00B04AE3">
      <w:pPr>
        <w:pStyle w:val="ListParagraph"/>
        <w:numPr>
          <w:ilvl w:val="2"/>
          <w:numId w:val="24"/>
        </w:numPr>
        <w:tabs>
          <w:tab w:val="left" w:pos="878"/>
        </w:tabs>
        <w:spacing w:line="307" w:lineRule="exact"/>
        <w:ind w:left="877" w:hanging="540"/>
        <w:rPr>
          <w:b/>
          <w:sz w:val="24"/>
        </w:rPr>
      </w:pPr>
      <w:bookmarkStart w:id="99" w:name="6.2.2预警的方式、方法"/>
      <w:bookmarkEnd w:id="99"/>
      <w:r>
        <w:rPr>
          <w:rFonts w:hint="eastAsia"/>
          <w:b/>
          <w:sz w:val="24"/>
        </w:rPr>
        <w:t>预警的方式、方法</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公司红色预警在半小时内通过电话上报给经济技术开发区环保局应急办，并根据临时应急指挥部的指示通过电话通知可能受到影响的敏感目标，使之转移到事故发生点的上风向区域；公司内部通过对讲机（调到同一频道）、电话联络；</w:t>
      </w:r>
    </w:p>
    <w:p w:rsidR="00B04AE3" w:rsidRDefault="00B04AE3">
      <w:pPr>
        <w:pStyle w:val="BodyText"/>
        <w:spacing w:before="20" w:line="360" w:lineRule="auto"/>
        <w:ind w:left="334" w:right="334" w:firstLine="482"/>
        <w:jc w:val="both"/>
        <w:rPr>
          <w:spacing w:val="-6"/>
          <w:szCs w:val="22"/>
        </w:rPr>
      </w:pPr>
      <w:bookmarkStart w:id="100" w:name="2、公司橙色、黄色、蓝色预警通过对讲机（调到同一频道）、电话联络。"/>
      <w:bookmarkEnd w:id="100"/>
      <w:r>
        <w:rPr>
          <w:spacing w:val="-6"/>
          <w:szCs w:val="22"/>
        </w:rPr>
        <w:t>2</w:t>
      </w:r>
      <w:r>
        <w:rPr>
          <w:rFonts w:hint="eastAsia"/>
          <w:spacing w:val="-6"/>
          <w:szCs w:val="22"/>
        </w:rPr>
        <w:t>、公司橙色、黄色、蓝色预警通过对讲机（调到同一频道）、电话联络。</w:t>
      </w:r>
    </w:p>
    <w:p w:rsidR="00B04AE3" w:rsidRDefault="00B04AE3">
      <w:pPr>
        <w:pStyle w:val="ListParagraph"/>
        <w:numPr>
          <w:ilvl w:val="2"/>
          <w:numId w:val="24"/>
        </w:numPr>
        <w:tabs>
          <w:tab w:val="left" w:pos="878"/>
        </w:tabs>
        <w:spacing w:before="158"/>
        <w:ind w:left="877" w:hanging="540"/>
        <w:rPr>
          <w:b/>
          <w:sz w:val="24"/>
        </w:rPr>
      </w:pPr>
      <w:bookmarkStart w:id="101" w:name="6.2.3预警等级"/>
      <w:bookmarkEnd w:id="101"/>
      <w:r>
        <w:rPr>
          <w:rFonts w:hint="eastAsia"/>
          <w:b/>
          <w:sz w:val="24"/>
        </w:rPr>
        <w:t>预警等级</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根据公司突发环境事件的严重性和紧急程度，实行分级预警制。</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w:t>
      </w:r>
      <w:r>
        <w:rPr>
          <w:spacing w:val="-6"/>
          <w:szCs w:val="22"/>
        </w:rPr>
        <w:t xml:space="preserve">III </w:t>
      </w:r>
      <w:r>
        <w:rPr>
          <w:rFonts w:hint="eastAsia"/>
          <w:spacing w:val="-6"/>
          <w:szCs w:val="22"/>
        </w:rPr>
        <w:t>级环境事件</w:t>
      </w:r>
    </w:p>
    <w:p w:rsidR="00B04AE3" w:rsidRDefault="00B04AE3">
      <w:pPr>
        <w:pStyle w:val="BodyText"/>
        <w:spacing w:before="20" w:line="360" w:lineRule="auto"/>
        <w:ind w:left="334" w:right="334" w:firstLine="482"/>
        <w:jc w:val="both"/>
        <w:rPr>
          <w:spacing w:val="-6"/>
          <w:szCs w:val="22"/>
        </w:rPr>
        <w:sectPr w:rsidR="00B04AE3">
          <w:footerReference w:type="default" r:id="rId27"/>
          <w:pgSz w:w="11910" w:h="16840"/>
          <w:pgMar w:top="1340" w:right="1460" w:bottom="1180" w:left="1460" w:header="878" w:footer="993" w:gutter="0"/>
          <w:pgNumType w:start="40"/>
          <w:cols w:space="720"/>
        </w:sectPr>
      </w:pPr>
    </w:p>
    <w:p w:rsidR="00B04AE3" w:rsidRDefault="00B04AE3">
      <w:pPr>
        <w:pStyle w:val="BodyText"/>
        <w:spacing w:before="20" w:line="360" w:lineRule="auto"/>
        <w:ind w:left="334" w:right="334" w:firstLine="482"/>
        <w:jc w:val="both"/>
        <w:rPr>
          <w:spacing w:val="-6"/>
          <w:szCs w:val="22"/>
        </w:rPr>
      </w:pPr>
      <w:r>
        <w:rPr>
          <w:rFonts w:hint="eastAsia"/>
          <w:spacing w:val="-6"/>
          <w:szCs w:val="22"/>
        </w:rPr>
        <w:t>⑴设备、设施严重故障，可能导致少量泄漏、火灾爆炸等安全生产事故的；</w:t>
      </w:r>
    </w:p>
    <w:p w:rsidR="00B04AE3" w:rsidRDefault="00B04AE3">
      <w:pPr>
        <w:pStyle w:val="BodyText"/>
        <w:spacing w:before="20" w:line="360" w:lineRule="auto"/>
        <w:ind w:left="334" w:right="334" w:firstLine="482"/>
        <w:jc w:val="both"/>
        <w:rPr>
          <w:spacing w:val="-6"/>
          <w:szCs w:val="22"/>
        </w:rPr>
      </w:pPr>
      <w:r>
        <w:rPr>
          <w:rFonts w:hint="eastAsia"/>
          <w:spacing w:val="-6"/>
          <w:szCs w:val="22"/>
        </w:rPr>
        <w:t>⑵现场发现存在泄漏事故或火灾迹象的；</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⑶尾气在线监测系统报警；污水处理站在线监测超标等；</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⑷其他异常现象，包括：污水处理设施发生故障，尾气超标排放事故，</w:t>
      </w:r>
      <w:r>
        <w:rPr>
          <w:spacing w:val="-6"/>
          <w:szCs w:val="22"/>
        </w:rPr>
        <w:t xml:space="preserve"> </w:t>
      </w:r>
      <w:r>
        <w:rPr>
          <w:rFonts w:hint="eastAsia"/>
          <w:spacing w:val="-6"/>
          <w:szCs w:val="22"/>
        </w:rPr>
        <w:t>桶装物料泄漏事故，危险废物泄露事故。</w:t>
      </w:r>
    </w:p>
    <w:p w:rsidR="00B04AE3" w:rsidRDefault="00B04AE3">
      <w:pPr>
        <w:pStyle w:val="BodyText"/>
        <w:spacing w:before="20" w:line="360" w:lineRule="auto"/>
        <w:ind w:left="334" w:right="334" w:firstLine="482"/>
        <w:jc w:val="both"/>
        <w:rPr>
          <w:spacing w:val="-6"/>
          <w:szCs w:val="22"/>
        </w:rPr>
      </w:pPr>
      <w:r>
        <w:rPr>
          <w:rFonts w:hint="eastAsia"/>
          <w:spacing w:val="-6"/>
          <w:szCs w:val="22"/>
        </w:rPr>
        <w:t>发布车间内部预警，为车间级环境事件，影响较小。由应急指挥部办公室发布黄色、蓝色预警，车间内部小范围动员，相关职能小组</w:t>
      </w:r>
      <w:r>
        <w:rPr>
          <w:spacing w:val="-6"/>
          <w:szCs w:val="22"/>
        </w:rPr>
        <w:t xml:space="preserve"> 5 </w:t>
      </w:r>
      <w:r>
        <w:rPr>
          <w:rFonts w:hint="eastAsia"/>
          <w:spacing w:val="-6"/>
          <w:szCs w:val="22"/>
        </w:rPr>
        <w:t>分钟内赶赴事故现场采取应急措施，消除危害。</w:t>
      </w:r>
      <w:r>
        <w:rPr>
          <w:spacing w:val="-6"/>
          <w:szCs w:val="22"/>
        </w:rPr>
        <w:t xml:space="preserve">III </w:t>
      </w:r>
      <w:r>
        <w:rPr>
          <w:rFonts w:hint="eastAsia"/>
          <w:spacing w:val="-6"/>
          <w:szCs w:val="22"/>
        </w:rPr>
        <w:t>级环境事件危害较小，影响范围小，以自救为主。</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w:t>
      </w:r>
      <w:r>
        <w:rPr>
          <w:spacing w:val="-6"/>
          <w:szCs w:val="22"/>
        </w:rPr>
        <w:t xml:space="preserve">II </w:t>
      </w:r>
      <w:r>
        <w:rPr>
          <w:rFonts w:hint="eastAsia"/>
          <w:spacing w:val="-6"/>
          <w:szCs w:val="22"/>
        </w:rPr>
        <w:t>级环境事件</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火灾报警器检测系统发出警报，有毒有害其他报警器发出警报声等为判断依据。为已发生火灾和泄漏，在极短时间内可处置控制，未对公司周边及外环境产生影响的事故，包括储罐区小量泄露事故，生产装置区发生大量泄漏，事故波及范围主要在厂区内。发布公司橙色预警，为公司级环境事件，影响一般。由突发环境事件应急指挥部总指挥发布，并进行全公司总动员，启动应急预案，各职能小组</w:t>
      </w:r>
      <w:r>
        <w:rPr>
          <w:spacing w:val="-6"/>
          <w:szCs w:val="22"/>
        </w:rPr>
        <w:t xml:space="preserve"> 5 </w:t>
      </w:r>
      <w:r>
        <w:rPr>
          <w:rFonts w:hint="eastAsia"/>
          <w:spacing w:val="-6"/>
          <w:szCs w:val="22"/>
        </w:rPr>
        <w:t>分钟内做好应急准备。</w:t>
      </w:r>
      <w:r>
        <w:rPr>
          <w:spacing w:val="-6"/>
          <w:szCs w:val="22"/>
        </w:rPr>
        <w:t xml:space="preserve">II </w:t>
      </w:r>
      <w:r>
        <w:rPr>
          <w:rFonts w:hint="eastAsia"/>
          <w:spacing w:val="-6"/>
          <w:szCs w:val="22"/>
        </w:rPr>
        <w:t>级环境事件危害一般，影响范围为公司范围内，以自救为主。</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w:t>
      </w:r>
      <w:r>
        <w:rPr>
          <w:spacing w:val="-6"/>
          <w:szCs w:val="22"/>
        </w:rPr>
        <w:t xml:space="preserve">I </w:t>
      </w:r>
      <w:r>
        <w:rPr>
          <w:rFonts w:hint="eastAsia"/>
          <w:spacing w:val="-6"/>
          <w:szCs w:val="22"/>
        </w:rPr>
        <w:t>级环境事件</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根据火灾报警器检测系统发出警报，有毒有害其他报警器发出警报声等为判断依据。为已发生火灾爆炸和大面积泄漏事故，泄漏已流入水域或扩散到外环境；</w:t>
      </w:r>
      <w:r>
        <w:rPr>
          <w:spacing w:val="-6"/>
          <w:szCs w:val="22"/>
        </w:rPr>
        <w:t xml:space="preserve"> </w:t>
      </w:r>
      <w:r>
        <w:rPr>
          <w:rFonts w:hint="eastAsia"/>
          <w:spacing w:val="-6"/>
          <w:szCs w:val="22"/>
        </w:rPr>
        <w:t>造成的泄漏公司已无能力进行控制；对公司周边、单位和村庄有造成危害影响的可能性，包括：储罐区大量泄露事故；物料泄露引发的火灾爆炸事故。发布区域红色预警，由公司突发环境事件应急指挥部和经济技术开发区环保局应急办组成的临时应急指挥部发布，本公司各应急职能小组需确保在</w:t>
      </w:r>
      <w:r>
        <w:rPr>
          <w:spacing w:val="-6"/>
          <w:szCs w:val="22"/>
        </w:rPr>
        <w:t xml:space="preserve"> 5 </w:t>
      </w:r>
      <w:r>
        <w:rPr>
          <w:rFonts w:hint="eastAsia"/>
          <w:spacing w:val="-6"/>
          <w:szCs w:val="22"/>
        </w:rPr>
        <w:t>分钟内能达到事故现场，控制事故现场。</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根据可能发生的突发环境事故的控制程度和发展态势，当危害程度超出已发布预警范围时，则应提高预警级别；当事故得到有效处置，危害程度明显小于已发布预警范围时，则应降低预警级别。</w:t>
      </w:r>
    </w:p>
    <w:p w:rsidR="00B04AE3" w:rsidRDefault="00B04AE3">
      <w:pPr>
        <w:pStyle w:val="ListParagraph"/>
        <w:numPr>
          <w:ilvl w:val="2"/>
          <w:numId w:val="24"/>
        </w:numPr>
        <w:tabs>
          <w:tab w:val="left" w:pos="878"/>
        </w:tabs>
        <w:spacing w:line="307" w:lineRule="exact"/>
        <w:ind w:left="877" w:hanging="540"/>
        <w:rPr>
          <w:b/>
          <w:sz w:val="24"/>
        </w:rPr>
      </w:pPr>
      <w:bookmarkStart w:id="102" w:name="6.2.4预警等级"/>
      <w:bookmarkEnd w:id="102"/>
      <w:r>
        <w:rPr>
          <w:rFonts w:hint="eastAsia"/>
          <w:b/>
          <w:sz w:val="24"/>
        </w:rPr>
        <w:t>预警等级</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应急办公室接到报警后，应根据事故情况及时向有关单位和有关人员报告。</w:t>
      </w:r>
    </w:p>
    <w:p w:rsidR="00B04AE3" w:rsidRDefault="00B04AE3">
      <w:pPr>
        <w:pStyle w:val="BodyText"/>
        <w:spacing w:before="20" w:line="360" w:lineRule="auto"/>
        <w:ind w:left="334" w:right="334" w:firstLine="482"/>
        <w:jc w:val="both"/>
        <w:rPr>
          <w:spacing w:val="-6"/>
          <w:szCs w:val="22"/>
        </w:rPr>
        <w:sectPr w:rsidR="00B04AE3">
          <w:pgSz w:w="11910" w:h="16840"/>
          <w:pgMar w:top="1340" w:right="1460" w:bottom="1180" w:left="1460" w:header="878" w:footer="993" w:gutter="0"/>
          <w:cols w:space="720"/>
        </w:sectPr>
      </w:pPr>
    </w:p>
    <w:p w:rsidR="00B04AE3" w:rsidRDefault="00B04AE3">
      <w:pPr>
        <w:pStyle w:val="BodyText"/>
        <w:spacing w:before="20" w:line="360" w:lineRule="auto"/>
        <w:ind w:left="334" w:right="334" w:firstLine="482"/>
        <w:jc w:val="both"/>
        <w:rPr>
          <w:spacing w:val="-6"/>
          <w:szCs w:val="22"/>
        </w:rPr>
      </w:pPr>
      <w:r>
        <w:rPr>
          <w:rFonts w:hint="eastAsia"/>
          <w:spacing w:val="-6"/>
          <w:szCs w:val="22"/>
        </w:rPr>
        <w:t>当事故影响的范围只涉及一个车间或一个班组时，应急办公室负责指挥，启动黄色、蓝色预警程序；当事故影响的范围涉及多个车间或部门，影响整个公司时，</w:t>
      </w:r>
      <w:r>
        <w:rPr>
          <w:spacing w:val="-6"/>
          <w:szCs w:val="22"/>
        </w:rPr>
        <w:t xml:space="preserve"> </w:t>
      </w:r>
      <w:r>
        <w:rPr>
          <w:rFonts w:hint="eastAsia"/>
          <w:spacing w:val="-6"/>
          <w:szCs w:val="22"/>
        </w:rPr>
        <w:t>应急办公室应上报给应急指挥部，启动橙色预警程序；对于能威胁到人员生命安全、构成较大环境污染、影响到其它单位生产的较大事故，应急指挥部应迅速启动红色预警程序，同时根据实际情况将事故情况上报给经济技术开发区环保局应急办。</w:t>
      </w:r>
    </w:p>
    <w:p w:rsidR="00B04AE3" w:rsidRDefault="00B04AE3">
      <w:pPr>
        <w:pStyle w:val="BodyText"/>
        <w:spacing w:before="20" w:line="360" w:lineRule="auto"/>
        <w:ind w:left="334" w:right="334" w:firstLine="482"/>
        <w:jc w:val="both"/>
        <w:rPr>
          <w:spacing w:val="-6"/>
          <w:szCs w:val="22"/>
        </w:rPr>
      </w:pPr>
      <w:r>
        <w:rPr>
          <w:rFonts w:hint="eastAsia"/>
          <w:spacing w:val="-6"/>
          <w:szCs w:val="22"/>
        </w:rPr>
        <w:t>预警发布内容包括：</w:t>
      </w:r>
      <w:r>
        <w:rPr>
          <w:spacing w:val="-6"/>
          <w:szCs w:val="22"/>
        </w:rPr>
        <w:t xml:space="preserve"> </w:t>
      </w:r>
      <w:r>
        <w:rPr>
          <w:rFonts w:hint="eastAsia"/>
          <w:spacing w:val="-6"/>
          <w:szCs w:val="22"/>
        </w:rPr>
        <w:t>预警的等级；</w:t>
      </w:r>
    </w:p>
    <w:p w:rsidR="00B04AE3" w:rsidRDefault="00B04AE3" w:rsidP="003446E2">
      <w:pPr>
        <w:pStyle w:val="BodyText"/>
        <w:spacing w:before="20" w:line="360" w:lineRule="auto"/>
        <w:ind w:left="334" w:right="334" w:firstLineChars="319" w:firstLine="31680"/>
        <w:jc w:val="both"/>
        <w:rPr>
          <w:spacing w:val="-6"/>
          <w:szCs w:val="22"/>
        </w:rPr>
      </w:pPr>
      <w:r>
        <w:rPr>
          <w:rFonts w:hint="eastAsia"/>
          <w:spacing w:val="-6"/>
          <w:szCs w:val="22"/>
        </w:rPr>
        <w:t>①现场信息及基本情况；</w:t>
      </w:r>
      <w:r>
        <w:rPr>
          <w:spacing w:val="-6"/>
          <w:szCs w:val="22"/>
        </w:rPr>
        <w:t xml:space="preserve"> </w:t>
      </w:r>
      <w:r>
        <w:rPr>
          <w:rFonts w:hint="eastAsia"/>
          <w:spacing w:val="-6"/>
          <w:szCs w:val="22"/>
        </w:rPr>
        <w:t>伤亡情况；</w:t>
      </w:r>
    </w:p>
    <w:p w:rsidR="00B04AE3" w:rsidRDefault="00B04AE3" w:rsidP="003446E2">
      <w:pPr>
        <w:pStyle w:val="BodyText"/>
        <w:spacing w:before="20" w:line="360" w:lineRule="auto"/>
        <w:ind w:left="334" w:right="334" w:firstLineChars="319" w:firstLine="31680"/>
        <w:jc w:val="both"/>
        <w:rPr>
          <w:spacing w:val="-6"/>
          <w:szCs w:val="22"/>
        </w:rPr>
      </w:pPr>
      <w:r>
        <w:rPr>
          <w:rFonts w:hint="eastAsia"/>
          <w:spacing w:val="-6"/>
          <w:szCs w:val="22"/>
        </w:rPr>
        <w:t>②相应的应急措施；</w:t>
      </w:r>
    </w:p>
    <w:p w:rsidR="00B04AE3" w:rsidRDefault="00B04AE3">
      <w:pPr>
        <w:pStyle w:val="BodyText"/>
        <w:spacing w:before="20" w:line="360" w:lineRule="auto"/>
        <w:ind w:left="334" w:right="334" w:firstLine="482"/>
        <w:jc w:val="both"/>
        <w:rPr>
          <w:spacing w:val="-6"/>
          <w:szCs w:val="22"/>
        </w:rPr>
      </w:pPr>
      <w:r>
        <w:rPr>
          <w:spacing w:val="-6"/>
          <w:szCs w:val="22"/>
        </w:rPr>
        <w:t xml:space="preserve">III </w:t>
      </w:r>
      <w:r>
        <w:rPr>
          <w:rFonts w:hint="eastAsia"/>
          <w:spacing w:val="-6"/>
          <w:szCs w:val="22"/>
        </w:rPr>
        <w:t>级预警事件预警信息，由应急办公室通过电话负责发布解除，由车间班组接收。</w:t>
      </w:r>
    </w:p>
    <w:p w:rsidR="00B04AE3" w:rsidRDefault="00B04AE3">
      <w:pPr>
        <w:pStyle w:val="BodyText"/>
        <w:spacing w:before="20" w:line="360" w:lineRule="auto"/>
        <w:ind w:left="334" w:right="334" w:firstLine="482"/>
        <w:jc w:val="both"/>
        <w:rPr>
          <w:spacing w:val="-6"/>
          <w:szCs w:val="22"/>
        </w:rPr>
      </w:pPr>
      <w:r>
        <w:rPr>
          <w:rFonts w:hint="eastAsia"/>
          <w:spacing w:val="-6"/>
          <w:szCs w:val="22"/>
        </w:rPr>
        <w:t>责任人：各车间、班组负责人</w:t>
      </w:r>
    </w:p>
    <w:p w:rsidR="00B04AE3" w:rsidRDefault="00B04AE3">
      <w:pPr>
        <w:pStyle w:val="BodyText"/>
        <w:spacing w:before="20" w:line="360" w:lineRule="auto"/>
        <w:ind w:left="334" w:right="334" w:firstLine="482"/>
        <w:jc w:val="both"/>
        <w:rPr>
          <w:spacing w:val="-6"/>
          <w:szCs w:val="22"/>
        </w:rPr>
      </w:pPr>
      <w:r>
        <w:rPr>
          <w:spacing w:val="-6"/>
          <w:szCs w:val="22"/>
        </w:rPr>
        <w:t xml:space="preserve">II </w:t>
      </w:r>
      <w:r>
        <w:rPr>
          <w:rFonts w:hint="eastAsia"/>
          <w:spacing w:val="-6"/>
          <w:szCs w:val="22"/>
        </w:rPr>
        <w:t>级预警事件预警信息，由应急指挥部负责发布、降级或解除，经应急指挥部批准后由应急办公室通过厂内电话发布和解除，由公司警戒疏散组接收。</w:t>
      </w:r>
    </w:p>
    <w:p w:rsidR="00B04AE3" w:rsidRDefault="00B04AE3">
      <w:pPr>
        <w:pStyle w:val="BodyText"/>
        <w:spacing w:before="20" w:line="360" w:lineRule="auto"/>
        <w:ind w:left="334" w:right="334" w:firstLine="482"/>
        <w:jc w:val="both"/>
        <w:rPr>
          <w:spacing w:val="-6"/>
          <w:szCs w:val="22"/>
        </w:rPr>
      </w:pPr>
      <w:r>
        <w:rPr>
          <w:rFonts w:hint="eastAsia"/>
          <w:spacing w:val="-6"/>
          <w:szCs w:val="22"/>
        </w:rPr>
        <w:t>责任人：警戒疏散组</w:t>
      </w:r>
      <w:r>
        <w:rPr>
          <w:spacing w:val="-6"/>
          <w:szCs w:val="22"/>
        </w:rPr>
        <w:tab/>
      </w:r>
      <w:r>
        <w:rPr>
          <w:rFonts w:hint="eastAsia"/>
          <w:spacing w:val="-6"/>
          <w:szCs w:val="22"/>
        </w:rPr>
        <w:t>张磊磊</w:t>
      </w:r>
      <w:r>
        <w:rPr>
          <w:spacing w:val="-6"/>
          <w:szCs w:val="22"/>
          <w:lang w:val="en-US"/>
        </w:rPr>
        <w:t xml:space="preserve"> </w:t>
      </w:r>
      <w:r>
        <w:rPr>
          <w:spacing w:val="-6"/>
          <w:szCs w:val="22"/>
        </w:rPr>
        <w:t>13755774497</w:t>
      </w:r>
    </w:p>
    <w:p w:rsidR="00B04AE3" w:rsidRDefault="00B04AE3">
      <w:pPr>
        <w:pStyle w:val="BodyText"/>
        <w:spacing w:before="20" w:line="360" w:lineRule="auto"/>
        <w:ind w:left="334" w:right="334" w:firstLine="482"/>
        <w:jc w:val="both"/>
        <w:rPr>
          <w:spacing w:val="-6"/>
          <w:szCs w:val="22"/>
        </w:rPr>
      </w:pPr>
      <w:r>
        <w:rPr>
          <w:spacing w:val="-6"/>
          <w:szCs w:val="22"/>
        </w:rPr>
        <w:t xml:space="preserve">I </w:t>
      </w:r>
      <w:r>
        <w:rPr>
          <w:rFonts w:hint="eastAsia"/>
          <w:spacing w:val="-6"/>
          <w:szCs w:val="22"/>
        </w:rPr>
        <w:t>级预警事件预警信息，由经济技术开发区环保局应急办和公司应急指挥部组成的临时应急指挥部发布，向可能受到事故影响的村庄和单位发布、降级或解除，由公司应急办公室、应急处置小组接收，并配合外部救援力量执行应急措施。</w:t>
      </w:r>
    </w:p>
    <w:p w:rsidR="00B04AE3" w:rsidRDefault="00B04AE3">
      <w:pPr>
        <w:pStyle w:val="BodyText"/>
        <w:tabs>
          <w:tab w:val="left" w:pos="3217"/>
        </w:tabs>
        <w:spacing w:line="304" w:lineRule="exact"/>
        <w:ind w:left="817"/>
        <w:rPr>
          <w:rFonts w:ascii="Times New Roman" w:eastAsia="Times New Roman"/>
          <w:color w:val="FF0000"/>
        </w:rPr>
      </w:pPr>
      <w:r>
        <w:rPr>
          <w:rFonts w:hint="eastAsia"/>
        </w:rPr>
        <w:t>责任人：应急办公室</w:t>
      </w:r>
      <w:r>
        <w:tab/>
      </w:r>
      <w:r>
        <w:rPr>
          <w:rFonts w:hint="eastAsia"/>
          <w:spacing w:val="-6"/>
          <w:szCs w:val="22"/>
        </w:rPr>
        <w:t>鲍伟</w:t>
      </w:r>
      <w:r>
        <w:rPr>
          <w:spacing w:val="-6"/>
          <w:szCs w:val="22"/>
        </w:rPr>
        <w:t xml:space="preserve"> </w:t>
      </w:r>
      <w:r>
        <w:rPr>
          <w:sz w:val="21"/>
        </w:rPr>
        <w:t>13707093687</w:t>
      </w:r>
    </w:p>
    <w:p w:rsidR="00B04AE3" w:rsidRDefault="00B04AE3">
      <w:pPr>
        <w:spacing w:before="158"/>
        <w:ind w:left="337"/>
        <w:rPr>
          <w:b/>
          <w:sz w:val="24"/>
        </w:rPr>
      </w:pPr>
      <w:bookmarkStart w:id="103" w:name="6.2.4预警行动"/>
      <w:bookmarkEnd w:id="103"/>
      <w:r>
        <w:rPr>
          <w:rFonts w:ascii="Times New Roman" w:eastAsia="Times New Roman"/>
          <w:b/>
          <w:sz w:val="24"/>
        </w:rPr>
        <w:t xml:space="preserve">6.2.4 </w:t>
      </w:r>
      <w:r>
        <w:rPr>
          <w:rFonts w:hint="eastAsia"/>
          <w:b/>
          <w:sz w:val="24"/>
        </w:rPr>
        <w:t>预警行动</w:t>
      </w:r>
    </w:p>
    <w:p w:rsidR="00B04AE3" w:rsidRDefault="00B04AE3">
      <w:pPr>
        <w:pStyle w:val="BodyText"/>
        <w:spacing w:before="20" w:line="360" w:lineRule="auto"/>
        <w:ind w:left="334" w:right="334" w:firstLine="482"/>
        <w:jc w:val="both"/>
        <w:rPr>
          <w:spacing w:val="-6"/>
          <w:szCs w:val="22"/>
        </w:rPr>
      </w:pPr>
      <w:r>
        <w:rPr>
          <w:rFonts w:hint="eastAsia"/>
          <w:spacing w:val="-6"/>
          <w:szCs w:val="22"/>
        </w:rPr>
        <w:t>收集到的有关信息证明环境风险源即将发生环境污染事故或者发生的可能性增大，对人员生命和设备财产安全构成威胁时，按照相关的突发环境事件预警程序执行。</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指挥部接到可能突发环境事件信息后，应按照分级响应的原则及时研究确定应对方案，并通知有关部门、车间采取有效措施预防事故发生；当应急指挥部认为事故较大，有可能超出公司处置能力时，要及时向经济技术开发区环保局应急办报告，及时研究应对方案，采取预警行动。</w:t>
      </w:r>
    </w:p>
    <w:p w:rsidR="00B04AE3" w:rsidRDefault="00B04AE3">
      <w:pPr>
        <w:pStyle w:val="BodyText"/>
        <w:spacing w:before="20" w:line="360" w:lineRule="auto"/>
        <w:ind w:left="334" w:right="334" w:firstLine="482"/>
        <w:jc w:val="both"/>
        <w:rPr>
          <w:spacing w:val="-6"/>
          <w:szCs w:val="22"/>
        </w:rPr>
      </w:pPr>
      <w:r>
        <w:rPr>
          <w:rFonts w:hint="eastAsia"/>
          <w:spacing w:val="-6"/>
          <w:szCs w:val="22"/>
        </w:rPr>
        <w:t>发生</w:t>
      </w:r>
      <w:r>
        <w:rPr>
          <w:spacing w:val="-6"/>
          <w:szCs w:val="22"/>
        </w:rPr>
        <w:t xml:space="preserve"> I </w:t>
      </w:r>
      <w:r>
        <w:rPr>
          <w:rFonts w:hint="eastAsia"/>
          <w:spacing w:val="-6"/>
          <w:szCs w:val="22"/>
        </w:rPr>
        <w:t>级环境预警事件时，临时应急指挥部要通知可能受到事故影响的敏感目标向事件发生点的上风向转移，转移的同时采取用湿布捂鼻的保护措施。</w:t>
      </w:r>
    </w:p>
    <w:p w:rsidR="00B04AE3" w:rsidRDefault="00B04AE3">
      <w:pPr>
        <w:pStyle w:val="ListParagraph"/>
        <w:numPr>
          <w:ilvl w:val="1"/>
          <w:numId w:val="25"/>
        </w:numPr>
        <w:tabs>
          <w:tab w:val="left" w:pos="787"/>
        </w:tabs>
        <w:rPr>
          <w:b/>
          <w:sz w:val="28"/>
        </w:rPr>
      </w:pPr>
      <w:bookmarkStart w:id="104" w:name="6.3报警与通讯联络方式"/>
      <w:bookmarkStart w:id="105" w:name="_bookmark26"/>
      <w:bookmarkEnd w:id="104"/>
      <w:bookmarkEnd w:id="105"/>
      <w:r>
        <w:rPr>
          <w:rFonts w:hint="eastAsia"/>
          <w:b/>
          <w:sz w:val="28"/>
        </w:rPr>
        <w:t>报警与通讯联络方式</w:t>
      </w:r>
    </w:p>
    <w:p w:rsidR="00B04AE3" w:rsidRDefault="00B04AE3">
      <w:pPr>
        <w:spacing w:before="185"/>
        <w:ind w:left="808"/>
        <w:rPr>
          <w:b/>
          <w:sz w:val="24"/>
        </w:rPr>
      </w:pPr>
      <w:bookmarkStart w:id="106" w:name="6.3.1公司内部应急救援联系电话"/>
      <w:bookmarkEnd w:id="106"/>
      <w:r>
        <w:rPr>
          <w:rFonts w:ascii="Times New Roman" w:eastAsia="Times New Roman"/>
          <w:b/>
          <w:sz w:val="24"/>
        </w:rPr>
        <w:t xml:space="preserve">6.3.1 </w:t>
      </w:r>
      <w:r>
        <w:rPr>
          <w:rFonts w:hint="eastAsia"/>
          <w:b/>
          <w:sz w:val="24"/>
        </w:rPr>
        <w:t>公司内部应急救援联系电话</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公司在应急办公室设置</w:t>
      </w:r>
      <w:r>
        <w:rPr>
          <w:spacing w:val="-6"/>
          <w:szCs w:val="22"/>
        </w:rPr>
        <w:t>24</w:t>
      </w:r>
      <w:r>
        <w:rPr>
          <w:rFonts w:hint="eastAsia"/>
          <w:spacing w:val="-6"/>
          <w:szCs w:val="22"/>
        </w:rPr>
        <w:t>小时应急值守电话：</w:t>
      </w:r>
      <w:r>
        <w:rPr>
          <w:spacing w:val="-6"/>
          <w:szCs w:val="22"/>
        </w:rPr>
        <w:t>0791</w:t>
      </w:r>
      <w:r>
        <w:rPr>
          <w:spacing w:val="-6"/>
          <w:szCs w:val="22"/>
          <w:lang w:val="en-US"/>
        </w:rPr>
        <w:t>-</w:t>
      </w:r>
      <w:r>
        <w:rPr>
          <w:spacing w:val="-6"/>
          <w:szCs w:val="22"/>
        </w:rPr>
        <w:t>88534560</w:t>
      </w:r>
      <w:r>
        <w:rPr>
          <w:rFonts w:hint="eastAsia"/>
          <w:spacing w:val="-6"/>
          <w:szCs w:val="22"/>
        </w:rPr>
        <w:t>。公司应急救援人员名单及联系电话如果发生了突发环境事件，可立即通过厂内的所有通讯报警装置进行报警：</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⑴对讲机；</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⑵内部电话或手机报警。</w:t>
      </w:r>
    </w:p>
    <w:p w:rsidR="00B04AE3" w:rsidRDefault="00B04AE3">
      <w:pPr>
        <w:spacing w:before="161"/>
        <w:ind w:left="817"/>
        <w:rPr>
          <w:b/>
          <w:sz w:val="24"/>
        </w:rPr>
      </w:pPr>
      <w:bookmarkStart w:id="107" w:name="6.3.2外部通讯联络电话"/>
      <w:bookmarkEnd w:id="107"/>
      <w:r>
        <w:rPr>
          <w:rFonts w:ascii="Times New Roman" w:eastAsia="Times New Roman"/>
          <w:b/>
          <w:sz w:val="24"/>
        </w:rPr>
        <w:t xml:space="preserve">6.3.2 </w:t>
      </w:r>
      <w:r>
        <w:rPr>
          <w:rFonts w:hint="eastAsia"/>
          <w:b/>
          <w:sz w:val="24"/>
        </w:rPr>
        <w:t>外部通讯联络电话</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、医疗急救</w:t>
      </w:r>
    </w:p>
    <w:p w:rsidR="00B04AE3" w:rsidRDefault="00B04AE3">
      <w:pPr>
        <w:pStyle w:val="BodyText"/>
        <w:spacing w:before="20" w:line="360" w:lineRule="auto"/>
        <w:ind w:left="334" w:right="334" w:firstLine="482"/>
        <w:jc w:val="both"/>
        <w:rPr>
          <w:spacing w:val="-6"/>
          <w:szCs w:val="22"/>
        </w:rPr>
      </w:pPr>
      <w:r>
        <w:rPr>
          <w:rFonts w:hint="eastAsia"/>
          <w:spacing w:val="-6"/>
          <w:szCs w:val="22"/>
        </w:rPr>
        <w:t>如有人员受伤严重，立即联系救护车。求助时应注意：①讲清公司名称、地址；②受伤人数、受伤原因、伤员状态；③派人到路口迎接急救车。</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、信息上报：</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公司发生</w:t>
      </w:r>
      <w:r>
        <w:rPr>
          <w:spacing w:val="-6"/>
          <w:szCs w:val="22"/>
        </w:rPr>
        <w:t xml:space="preserve">I </w:t>
      </w:r>
      <w:r>
        <w:rPr>
          <w:rFonts w:hint="eastAsia"/>
          <w:spacing w:val="-6"/>
          <w:szCs w:val="22"/>
        </w:rPr>
        <w:t>级突发环境预警事件时应在半小时之内将事故相关情报上报给经济技术开发区环保局应急办。</w:t>
      </w:r>
      <w:r>
        <w:rPr>
          <w:spacing w:val="-6"/>
          <w:szCs w:val="22"/>
        </w:rPr>
        <w:t xml:space="preserve">I </w:t>
      </w:r>
      <w:r>
        <w:rPr>
          <w:rFonts w:hint="eastAsia"/>
          <w:spacing w:val="-6"/>
          <w:szCs w:val="22"/>
        </w:rPr>
        <w:t>级突发环境事件发生后请求支援单位的联系方式见表</w:t>
      </w:r>
      <w:r>
        <w:rPr>
          <w:spacing w:val="-6"/>
          <w:szCs w:val="22"/>
        </w:rPr>
        <w:t xml:space="preserve"> 6.3-2 </w:t>
      </w:r>
      <w:r>
        <w:rPr>
          <w:rFonts w:hint="eastAsia"/>
          <w:spacing w:val="-6"/>
          <w:szCs w:val="22"/>
        </w:rPr>
        <w:t>和附件十二公司外部应急救援单位联系电话。</w:t>
      </w:r>
    </w:p>
    <w:p w:rsidR="00B04AE3" w:rsidRDefault="00B04AE3">
      <w:pPr>
        <w:tabs>
          <w:tab w:val="left" w:pos="2055"/>
        </w:tabs>
        <w:spacing w:before="6" w:after="3"/>
        <w:ind w:left="1016"/>
        <w:rPr>
          <w:b/>
          <w:sz w:val="24"/>
        </w:rPr>
      </w:pPr>
      <w:r>
        <w:rPr>
          <w:rFonts w:hint="eastAsia"/>
          <w:b/>
          <w:sz w:val="24"/>
        </w:rPr>
        <w:t>表</w:t>
      </w:r>
      <w:r>
        <w:rPr>
          <w:b/>
          <w:spacing w:val="-62"/>
          <w:sz w:val="24"/>
        </w:rPr>
        <w:t xml:space="preserve"> </w:t>
      </w:r>
      <w:r>
        <w:rPr>
          <w:rFonts w:ascii="Times New Roman" w:eastAsia="Times New Roman"/>
          <w:b/>
          <w:sz w:val="24"/>
        </w:rPr>
        <w:t>6.3-2</w:t>
      </w:r>
      <w:r>
        <w:rPr>
          <w:rFonts w:ascii="Times New Roman" w:eastAsia="Times New Roman"/>
          <w:b/>
          <w:sz w:val="24"/>
        </w:rPr>
        <w:tab/>
        <w:t>I</w:t>
      </w:r>
      <w:r>
        <w:rPr>
          <w:rFonts w:ascii="Times New Roman" w:eastAsia="Times New Roman"/>
          <w:b/>
          <w:spacing w:val="2"/>
          <w:sz w:val="24"/>
        </w:rPr>
        <w:t xml:space="preserve"> </w:t>
      </w:r>
      <w:r>
        <w:rPr>
          <w:rFonts w:hint="eastAsia"/>
          <w:b/>
          <w:sz w:val="24"/>
        </w:rPr>
        <w:t>级突发环境事件发生后请求支援单位的联系电话一览表</w:t>
      </w:r>
    </w:p>
    <w:tbl>
      <w:tblPr>
        <w:tblW w:w="8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2842"/>
        <w:gridCol w:w="2843"/>
        <w:gridCol w:w="2843"/>
      </w:tblGrid>
      <w:tr w:rsidR="00B04AE3">
        <w:trPr>
          <w:trHeight w:val="397"/>
          <w:jc w:val="center"/>
        </w:trPr>
        <w:tc>
          <w:tcPr>
            <w:tcW w:w="2842" w:type="dxa"/>
            <w:shd w:val="clear" w:color="auto" w:fill="DFDFDF"/>
            <w:vAlign w:val="center"/>
          </w:tcPr>
          <w:p w:rsidR="00B04AE3" w:rsidRDefault="00B04AE3">
            <w:pPr>
              <w:pStyle w:val="TableParagraph"/>
              <w:spacing w:before="63"/>
              <w:ind w:left="664" w:right="656"/>
              <w:rPr>
                <w:b/>
                <w:sz w:val="21"/>
              </w:rPr>
            </w:pPr>
            <w:r>
              <w:rPr>
                <w:rFonts w:hint="eastAsia"/>
                <w:b/>
                <w:sz w:val="21"/>
              </w:rPr>
              <w:t>单位</w:t>
            </w:r>
          </w:p>
        </w:tc>
        <w:tc>
          <w:tcPr>
            <w:tcW w:w="2843" w:type="dxa"/>
            <w:shd w:val="clear" w:color="auto" w:fill="DFDFDF"/>
            <w:vAlign w:val="center"/>
          </w:tcPr>
          <w:p w:rsidR="00B04AE3" w:rsidRDefault="00B04AE3">
            <w:pPr>
              <w:pStyle w:val="TableParagraph"/>
              <w:spacing w:before="63"/>
              <w:ind w:left="763" w:right="752"/>
              <w:rPr>
                <w:b/>
                <w:sz w:val="21"/>
              </w:rPr>
            </w:pPr>
            <w:r>
              <w:rPr>
                <w:rFonts w:hint="eastAsia"/>
                <w:b/>
                <w:sz w:val="21"/>
              </w:rPr>
              <w:t>科室名称</w:t>
            </w:r>
          </w:p>
        </w:tc>
        <w:tc>
          <w:tcPr>
            <w:tcW w:w="2843" w:type="dxa"/>
            <w:shd w:val="clear" w:color="auto" w:fill="DFDFDF"/>
            <w:vAlign w:val="center"/>
          </w:tcPr>
          <w:p w:rsidR="00B04AE3" w:rsidRDefault="00B04AE3">
            <w:pPr>
              <w:pStyle w:val="TableParagraph"/>
              <w:spacing w:before="63"/>
              <w:ind w:left="763" w:right="750"/>
              <w:rPr>
                <w:b/>
                <w:sz w:val="21"/>
              </w:rPr>
            </w:pPr>
            <w:r>
              <w:rPr>
                <w:rFonts w:hint="eastAsia"/>
                <w:b/>
                <w:sz w:val="21"/>
              </w:rPr>
              <w:t>办公电话</w:t>
            </w:r>
          </w:p>
        </w:tc>
      </w:tr>
      <w:tr w:rsidR="00B04AE3">
        <w:trPr>
          <w:trHeight w:val="396"/>
          <w:jc w:val="center"/>
        </w:trPr>
        <w:tc>
          <w:tcPr>
            <w:tcW w:w="2842" w:type="dxa"/>
            <w:vAlign w:val="center"/>
          </w:tcPr>
          <w:p w:rsidR="00B04AE3" w:rsidRDefault="00B04AE3">
            <w:pPr>
              <w:pStyle w:val="TableParagraph"/>
              <w:ind w:left="789"/>
              <w:rPr>
                <w:sz w:val="21"/>
              </w:rPr>
            </w:pPr>
            <w:r>
              <w:rPr>
                <w:rFonts w:hint="eastAsia"/>
                <w:sz w:val="21"/>
              </w:rPr>
              <w:t>南昌市环保局</w:t>
            </w:r>
          </w:p>
        </w:tc>
        <w:tc>
          <w:tcPr>
            <w:tcW w:w="2843" w:type="dxa"/>
            <w:vAlign w:val="center"/>
          </w:tcPr>
          <w:p w:rsidR="00B04AE3" w:rsidRDefault="00B04AE3">
            <w:pPr>
              <w:pStyle w:val="TableParagraph"/>
              <w:spacing w:before="64"/>
              <w:ind w:left="760" w:right="752"/>
              <w:rPr>
                <w:sz w:val="21"/>
              </w:rPr>
            </w:pPr>
            <w:r>
              <w:rPr>
                <w:rFonts w:hint="eastAsia"/>
                <w:sz w:val="21"/>
              </w:rPr>
              <w:t>办公室</w:t>
            </w:r>
          </w:p>
        </w:tc>
        <w:tc>
          <w:tcPr>
            <w:tcW w:w="2843" w:type="dxa"/>
            <w:vAlign w:val="center"/>
          </w:tcPr>
          <w:p w:rsidR="00B04AE3" w:rsidRDefault="00B04AE3">
            <w:pPr>
              <w:pStyle w:val="TableParagraph"/>
              <w:spacing w:before="78"/>
              <w:ind w:right="752"/>
              <w:rPr>
                <w:rFonts w:ascii="Times New Roman"/>
                <w:sz w:val="21"/>
                <w:lang w:val="en-US"/>
              </w:rPr>
            </w:pPr>
            <w:r>
              <w:rPr>
                <w:rFonts w:ascii="Times New Roman"/>
                <w:sz w:val="21"/>
              </w:rPr>
              <w:t>079</w:t>
            </w:r>
            <w:r>
              <w:rPr>
                <w:rFonts w:ascii="Times New Roman"/>
                <w:sz w:val="21"/>
                <w:lang w:val="en-US"/>
              </w:rPr>
              <w:t>1-83986156</w:t>
            </w:r>
          </w:p>
        </w:tc>
      </w:tr>
      <w:tr w:rsidR="00B04AE3">
        <w:trPr>
          <w:trHeight w:val="397"/>
          <w:jc w:val="center"/>
        </w:trPr>
        <w:tc>
          <w:tcPr>
            <w:tcW w:w="2842" w:type="dxa"/>
            <w:vAlign w:val="center"/>
          </w:tcPr>
          <w:p w:rsidR="00B04AE3" w:rsidRDefault="00B04AE3">
            <w:pPr>
              <w:pStyle w:val="TableParagraph"/>
              <w:spacing w:before="63"/>
              <w:ind w:right="656"/>
              <w:rPr>
                <w:sz w:val="21"/>
              </w:rPr>
            </w:pPr>
            <w:r>
              <w:rPr>
                <w:rFonts w:hint="eastAsia"/>
                <w:sz w:val="21"/>
              </w:rPr>
              <w:t>经济技术开发区环保局</w:t>
            </w:r>
          </w:p>
        </w:tc>
        <w:tc>
          <w:tcPr>
            <w:tcW w:w="2843" w:type="dxa"/>
            <w:vAlign w:val="center"/>
          </w:tcPr>
          <w:p w:rsidR="00B04AE3" w:rsidRDefault="00B04AE3">
            <w:pPr>
              <w:pStyle w:val="TableParagraph"/>
              <w:spacing w:before="63"/>
              <w:ind w:left="760" w:right="752"/>
              <w:rPr>
                <w:sz w:val="21"/>
              </w:rPr>
            </w:pPr>
            <w:r>
              <w:rPr>
                <w:rFonts w:hint="eastAsia"/>
                <w:sz w:val="21"/>
              </w:rPr>
              <w:t>办公室</w:t>
            </w:r>
          </w:p>
        </w:tc>
        <w:tc>
          <w:tcPr>
            <w:tcW w:w="2843" w:type="dxa"/>
            <w:vAlign w:val="center"/>
          </w:tcPr>
          <w:p w:rsidR="00B04AE3" w:rsidRDefault="00B04AE3">
            <w:pPr>
              <w:pStyle w:val="TableParagraph"/>
              <w:spacing w:before="77"/>
              <w:ind w:right="752"/>
              <w:rPr>
                <w:rFonts w:ascii="Times New Roman"/>
                <w:sz w:val="21"/>
                <w:lang w:val="en-US"/>
              </w:rPr>
            </w:pPr>
            <w:r>
              <w:rPr>
                <w:rFonts w:ascii="Times New Roman"/>
                <w:sz w:val="21"/>
              </w:rPr>
              <w:t>07</w:t>
            </w:r>
            <w:r>
              <w:rPr>
                <w:rFonts w:ascii="Times New Roman"/>
                <w:sz w:val="21"/>
                <w:lang w:val="en-US"/>
              </w:rPr>
              <w:t>91</w:t>
            </w:r>
            <w:r>
              <w:rPr>
                <w:rFonts w:ascii="Times New Roman"/>
                <w:sz w:val="21"/>
              </w:rPr>
              <w:t>-</w:t>
            </w:r>
            <w:r>
              <w:rPr>
                <w:rFonts w:ascii="Times New Roman"/>
                <w:sz w:val="21"/>
                <w:lang w:val="en-US"/>
              </w:rPr>
              <w:t>88391921</w:t>
            </w:r>
          </w:p>
        </w:tc>
      </w:tr>
      <w:tr w:rsidR="00B04AE3">
        <w:trPr>
          <w:trHeight w:val="397"/>
          <w:jc w:val="center"/>
        </w:trPr>
        <w:tc>
          <w:tcPr>
            <w:tcW w:w="2842" w:type="dxa"/>
            <w:vAlign w:val="center"/>
          </w:tcPr>
          <w:p w:rsidR="00B04AE3" w:rsidRDefault="00B04AE3">
            <w:pPr>
              <w:pStyle w:val="TableParagraph"/>
              <w:spacing w:before="62"/>
              <w:ind w:left="661" w:right="656"/>
              <w:rPr>
                <w:sz w:val="21"/>
              </w:rPr>
            </w:pPr>
            <w:r>
              <w:rPr>
                <w:rFonts w:hint="eastAsia"/>
                <w:sz w:val="21"/>
              </w:rPr>
              <w:t>南昌市安监局</w:t>
            </w:r>
          </w:p>
        </w:tc>
        <w:tc>
          <w:tcPr>
            <w:tcW w:w="2843" w:type="dxa"/>
            <w:vAlign w:val="center"/>
          </w:tcPr>
          <w:p w:rsidR="00B04AE3" w:rsidRDefault="00B04AE3">
            <w:pPr>
              <w:pStyle w:val="TableParagraph"/>
              <w:spacing w:before="62"/>
              <w:ind w:left="760" w:right="752"/>
              <w:rPr>
                <w:sz w:val="21"/>
              </w:rPr>
            </w:pPr>
            <w:r>
              <w:rPr>
                <w:rFonts w:hint="eastAsia"/>
                <w:sz w:val="21"/>
              </w:rPr>
              <w:t>办公室</w:t>
            </w:r>
          </w:p>
        </w:tc>
        <w:tc>
          <w:tcPr>
            <w:tcW w:w="2843" w:type="dxa"/>
            <w:vAlign w:val="center"/>
          </w:tcPr>
          <w:p w:rsidR="00B04AE3" w:rsidRDefault="00B04AE3">
            <w:pPr>
              <w:pStyle w:val="TableParagraph"/>
              <w:spacing w:before="76"/>
              <w:ind w:right="752"/>
              <w:rPr>
                <w:rFonts w:ascii="Times New Roman"/>
                <w:sz w:val="21"/>
              </w:rPr>
            </w:pPr>
            <w:r>
              <w:rPr>
                <w:rFonts w:ascii="Times New Roman"/>
                <w:sz w:val="21"/>
              </w:rPr>
              <w:t>079</w:t>
            </w:r>
            <w:r>
              <w:rPr>
                <w:rFonts w:ascii="Times New Roman"/>
                <w:sz w:val="21"/>
                <w:lang w:val="en-US"/>
              </w:rPr>
              <w:t>1</w:t>
            </w:r>
            <w:r>
              <w:rPr>
                <w:rFonts w:ascii="Times New Roman"/>
                <w:sz w:val="21"/>
              </w:rPr>
              <w:t>-</w:t>
            </w:r>
            <w:r>
              <w:rPr>
                <w:rFonts w:ascii="Arial" w:hAnsi="Arial" w:cs="Arial"/>
                <w:color w:val="000000"/>
                <w:sz w:val="19"/>
                <w:szCs w:val="19"/>
                <w:shd w:val="clear" w:color="auto" w:fill="FFFFFF"/>
              </w:rPr>
              <w:t>83986158</w:t>
            </w:r>
          </w:p>
        </w:tc>
      </w:tr>
      <w:tr w:rsidR="00B04AE3">
        <w:trPr>
          <w:trHeight w:val="396"/>
          <w:jc w:val="center"/>
        </w:trPr>
        <w:tc>
          <w:tcPr>
            <w:tcW w:w="2842" w:type="dxa"/>
            <w:vMerge w:val="restart"/>
            <w:vAlign w:val="center"/>
          </w:tcPr>
          <w:p w:rsidR="00B04AE3" w:rsidRDefault="00B04AE3">
            <w:pPr>
              <w:pStyle w:val="TableParagraph"/>
              <w:spacing w:before="1"/>
              <w:ind w:left="661" w:right="656"/>
              <w:rPr>
                <w:sz w:val="21"/>
              </w:rPr>
            </w:pPr>
          </w:p>
          <w:p w:rsidR="00B04AE3" w:rsidRDefault="00B04AE3">
            <w:pPr>
              <w:pStyle w:val="TableParagraph"/>
              <w:spacing w:before="1"/>
              <w:ind w:left="661" w:right="656"/>
              <w:rPr>
                <w:sz w:val="21"/>
              </w:rPr>
            </w:pPr>
            <w:r>
              <w:rPr>
                <w:rFonts w:hint="eastAsia"/>
                <w:sz w:val="21"/>
              </w:rPr>
              <w:t>公安</w:t>
            </w:r>
          </w:p>
        </w:tc>
        <w:tc>
          <w:tcPr>
            <w:tcW w:w="2843" w:type="dxa"/>
            <w:vAlign w:val="center"/>
          </w:tcPr>
          <w:p w:rsidR="00B04AE3" w:rsidRDefault="00B04AE3">
            <w:pPr>
              <w:pStyle w:val="TableParagraph"/>
              <w:spacing w:before="63"/>
              <w:ind w:right="752"/>
              <w:rPr>
                <w:sz w:val="21"/>
              </w:rPr>
            </w:pPr>
            <w:r>
              <w:rPr>
                <w:rFonts w:hint="eastAsia"/>
                <w:sz w:val="21"/>
              </w:rPr>
              <w:t>经济技术开发区分局</w:t>
            </w:r>
          </w:p>
        </w:tc>
        <w:tc>
          <w:tcPr>
            <w:tcW w:w="2843" w:type="dxa"/>
            <w:vAlign w:val="center"/>
          </w:tcPr>
          <w:p w:rsidR="00B04AE3" w:rsidRDefault="00B04AE3">
            <w:pPr>
              <w:pStyle w:val="TableParagraph"/>
              <w:spacing w:before="77"/>
              <w:ind w:right="752"/>
              <w:rPr>
                <w:rFonts w:ascii="Times New Roman"/>
                <w:sz w:val="21"/>
              </w:rPr>
            </w:pPr>
            <w:r>
              <w:rPr>
                <w:rFonts w:ascii="Times New Roman"/>
                <w:sz w:val="21"/>
              </w:rPr>
              <w:t>079</w:t>
            </w:r>
            <w:r>
              <w:rPr>
                <w:rFonts w:ascii="Times New Roman"/>
                <w:sz w:val="21"/>
                <w:lang w:val="en-US"/>
              </w:rPr>
              <w:t>1</w:t>
            </w:r>
            <w:r>
              <w:rPr>
                <w:rFonts w:ascii="Times New Roman"/>
                <w:sz w:val="21"/>
              </w:rPr>
              <w:t>-</w:t>
            </w:r>
            <w:r>
              <w:rPr>
                <w:rFonts w:ascii="Arial" w:hAnsi="Arial" w:cs="Arial"/>
                <w:color w:val="333333"/>
                <w:sz w:val="19"/>
                <w:szCs w:val="19"/>
                <w:shd w:val="clear" w:color="auto" w:fill="FFFFFF"/>
              </w:rPr>
              <w:t>83851110</w:t>
            </w:r>
          </w:p>
        </w:tc>
      </w:tr>
      <w:tr w:rsidR="00B04AE3">
        <w:trPr>
          <w:trHeight w:val="397"/>
          <w:jc w:val="center"/>
        </w:trPr>
        <w:tc>
          <w:tcPr>
            <w:tcW w:w="2842" w:type="dxa"/>
            <w:vMerge/>
            <w:tcBorders>
              <w:top w:val="nil"/>
            </w:tcBorders>
            <w:vAlign w:val="center"/>
          </w:tcPr>
          <w:p w:rsidR="00B04AE3" w:rsidRDefault="00B04AE3">
            <w:pPr>
              <w:jc w:val="center"/>
              <w:rPr>
                <w:sz w:val="2"/>
                <w:szCs w:val="2"/>
              </w:rPr>
            </w:pPr>
          </w:p>
        </w:tc>
        <w:tc>
          <w:tcPr>
            <w:tcW w:w="2843" w:type="dxa"/>
            <w:vAlign w:val="center"/>
          </w:tcPr>
          <w:p w:rsidR="00B04AE3" w:rsidRDefault="00B04AE3">
            <w:pPr>
              <w:pStyle w:val="TableParagraph"/>
              <w:spacing w:before="64"/>
              <w:ind w:left="758" w:right="752"/>
              <w:rPr>
                <w:sz w:val="21"/>
              </w:rPr>
            </w:pPr>
            <w:r>
              <w:rPr>
                <w:rFonts w:ascii="Times New Roman" w:eastAsia="Times New Roman"/>
                <w:sz w:val="21"/>
              </w:rPr>
              <w:t xml:space="preserve">110 </w:t>
            </w:r>
            <w:r>
              <w:rPr>
                <w:rFonts w:hint="eastAsia"/>
                <w:sz w:val="21"/>
              </w:rPr>
              <w:t>指挥中心</w:t>
            </w:r>
          </w:p>
        </w:tc>
        <w:tc>
          <w:tcPr>
            <w:tcW w:w="2843" w:type="dxa"/>
            <w:vAlign w:val="center"/>
          </w:tcPr>
          <w:p w:rsidR="00B04AE3" w:rsidRDefault="00B04AE3">
            <w:pPr>
              <w:pStyle w:val="TableParagraph"/>
              <w:spacing w:before="78"/>
              <w:ind w:left="763" w:right="752"/>
              <w:rPr>
                <w:rFonts w:ascii="Times New Roman"/>
                <w:sz w:val="21"/>
              </w:rPr>
            </w:pPr>
            <w:r>
              <w:rPr>
                <w:rFonts w:ascii="Times New Roman"/>
                <w:sz w:val="21"/>
              </w:rPr>
              <w:t>110</w:t>
            </w:r>
          </w:p>
        </w:tc>
      </w:tr>
      <w:tr w:rsidR="00B04AE3">
        <w:trPr>
          <w:trHeight w:val="397"/>
          <w:jc w:val="center"/>
        </w:trPr>
        <w:tc>
          <w:tcPr>
            <w:tcW w:w="2842" w:type="dxa"/>
            <w:vAlign w:val="center"/>
          </w:tcPr>
          <w:p w:rsidR="00B04AE3" w:rsidRDefault="00B04AE3">
            <w:pPr>
              <w:pStyle w:val="TableParagraph"/>
              <w:spacing w:before="63"/>
              <w:ind w:left="661" w:right="656"/>
              <w:rPr>
                <w:sz w:val="21"/>
              </w:rPr>
            </w:pPr>
            <w:r>
              <w:rPr>
                <w:rFonts w:hint="eastAsia"/>
                <w:sz w:val="21"/>
              </w:rPr>
              <w:t>消防</w:t>
            </w:r>
          </w:p>
        </w:tc>
        <w:tc>
          <w:tcPr>
            <w:tcW w:w="2843" w:type="dxa"/>
            <w:vAlign w:val="center"/>
          </w:tcPr>
          <w:p w:rsidR="00B04AE3" w:rsidRDefault="00B04AE3">
            <w:pPr>
              <w:pStyle w:val="TableParagraph"/>
              <w:spacing w:before="63"/>
              <w:ind w:left="755" w:right="752"/>
              <w:rPr>
                <w:sz w:val="21"/>
              </w:rPr>
            </w:pPr>
            <w:r>
              <w:rPr>
                <w:rFonts w:hint="eastAsia"/>
                <w:sz w:val="21"/>
              </w:rPr>
              <w:t>南昌市消防队</w:t>
            </w:r>
          </w:p>
        </w:tc>
        <w:tc>
          <w:tcPr>
            <w:tcW w:w="2843" w:type="dxa"/>
            <w:vAlign w:val="center"/>
          </w:tcPr>
          <w:p w:rsidR="00B04AE3" w:rsidRDefault="00B04AE3">
            <w:pPr>
              <w:pStyle w:val="TableParagraph"/>
              <w:spacing w:before="76"/>
              <w:ind w:left="763" w:right="752"/>
              <w:rPr>
                <w:rFonts w:ascii="Times New Roman"/>
                <w:sz w:val="21"/>
                <w:lang w:val="en-US"/>
              </w:rPr>
            </w:pPr>
            <w:r>
              <w:rPr>
                <w:rFonts w:ascii="Times New Roman"/>
                <w:sz w:val="21"/>
                <w:lang w:val="en-US"/>
              </w:rPr>
              <w:t>119</w:t>
            </w:r>
          </w:p>
        </w:tc>
      </w:tr>
      <w:tr w:rsidR="00B04AE3">
        <w:trPr>
          <w:trHeight w:val="397"/>
          <w:jc w:val="center"/>
        </w:trPr>
        <w:tc>
          <w:tcPr>
            <w:tcW w:w="2842" w:type="dxa"/>
            <w:vAlign w:val="center"/>
          </w:tcPr>
          <w:p w:rsidR="00B04AE3" w:rsidRDefault="00B04AE3">
            <w:pPr>
              <w:pStyle w:val="TableParagraph"/>
              <w:spacing w:before="63"/>
              <w:ind w:right="656"/>
              <w:rPr>
                <w:sz w:val="21"/>
              </w:rPr>
            </w:pPr>
            <w:r>
              <w:rPr>
                <w:rFonts w:hint="eastAsia"/>
                <w:sz w:val="21"/>
              </w:rPr>
              <w:t>南昌市卫生防疫站</w:t>
            </w:r>
          </w:p>
        </w:tc>
        <w:tc>
          <w:tcPr>
            <w:tcW w:w="2843" w:type="dxa"/>
            <w:vAlign w:val="center"/>
          </w:tcPr>
          <w:p w:rsidR="00B04AE3" w:rsidRDefault="00B04AE3">
            <w:pPr>
              <w:pStyle w:val="TableParagraph"/>
              <w:spacing w:before="63"/>
              <w:ind w:left="755" w:right="752"/>
              <w:rPr>
                <w:sz w:val="21"/>
              </w:rPr>
            </w:pPr>
            <w:r>
              <w:rPr>
                <w:rFonts w:hint="eastAsia"/>
                <w:sz w:val="21"/>
              </w:rPr>
              <w:t>办公室</w:t>
            </w:r>
          </w:p>
        </w:tc>
        <w:tc>
          <w:tcPr>
            <w:tcW w:w="2843" w:type="dxa"/>
            <w:vAlign w:val="center"/>
          </w:tcPr>
          <w:p w:rsidR="00B04AE3" w:rsidRDefault="00B04AE3">
            <w:pPr>
              <w:pStyle w:val="TableParagraph"/>
              <w:spacing w:before="76"/>
              <w:ind w:right="752"/>
              <w:rPr>
                <w:rFonts w:ascii="Times New Roman"/>
                <w:sz w:val="21"/>
                <w:lang w:val="en-US"/>
              </w:rPr>
            </w:pPr>
            <w:r>
              <w:rPr>
                <w:rFonts w:ascii="Times New Roman"/>
                <w:sz w:val="21"/>
              </w:rPr>
              <w:t>079</w:t>
            </w:r>
            <w:r>
              <w:rPr>
                <w:rFonts w:ascii="Times New Roman"/>
                <w:sz w:val="21"/>
                <w:lang w:val="en-US"/>
              </w:rPr>
              <w:t>1</w:t>
            </w:r>
            <w:r>
              <w:rPr>
                <w:rFonts w:ascii="Times New Roman"/>
                <w:sz w:val="21"/>
              </w:rPr>
              <w:t>-</w:t>
            </w:r>
            <w:r>
              <w:rPr>
                <w:rFonts w:ascii="Arial" w:hAnsi="Arial" w:cs="Arial"/>
                <w:color w:val="333333"/>
                <w:sz w:val="19"/>
                <w:szCs w:val="19"/>
                <w:shd w:val="clear" w:color="auto" w:fill="FFFFFF"/>
              </w:rPr>
              <w:t>86767172</w:t>
            </w:r>
          </w:p>
        </w:tc>
      </w:tr>
      <w:tr w:rsidR="00B04AE3">
        <w:trPr>
          <w:trHeight w:val="396"/>
          <w:jc w:val="center"/>
        </w:trPr>
        <w:tc>
          <w:tcPr>
            <w:tcW w:w="2842" w:type="dxa"/>
            <w:vAlign w:val="center"/>
          </w:tcPr>
          <w:p w:rsidR="00B04AE3" w:rsidRDefault="00B04AE3">
            <w:pPr>
              <w:pStyle w:val="TableParagraph"/>
              <w:spacing w:before="63"/>
              <w:ind w:left="666" w:right="656"/>
              <w:rPr>
                <w:sz w:val="21"/>
              </w:rPr>
            </w:pPr>
            <w:r>
              <w:rPr>
                <w:rFonts w:hint="eastAsia"/>
                <w:sz w:val="21"/>
              </w:rPr>
              <w:t>市政府</w:t>
            </w:r>
          </w:p>
        </w:tc>
        <w:tc>
          <w:tcPr>
            <w:tcW w:w="2843" w:type="dxa"/>
            <w:vAlign w:val="center"/>
          </w:tcPr>
          <w:p w:rsidR="00B04AE3" w:rsidRDefault="00B04AE3">
            <w:pPr>
              <w:pStyle w:val="TableParagraph"/>
              <w:spacing w:before="63"/>
              <w:ind w:left="760" w:right="752"/>
              <w:rPr>
                <w:sz w:val="21"/>
              </w:rPr>
            </w:pPr>
            <w:r>
              <w:rPr>
                <w:rFonts w:hint="eastAsia"/>
                <w:sz w:val="21"/>
              </w:rPr>
              <w:t>办公室</w:t>
            </w:r>
          </w:p>
        </w:tc>
        <w:tc>
          <w:tcPr>
            <w:tcW w:w="2843" w:type="dxa"/>
            <w:vAlign w:val="center"/>
          </w:tcPr>
          <w:p w:rsidR="00B04AE3" w:rsidRDefault="00B04AE3">
            <w:pPr>
              <w:pStyle w:val="TableParagraph"/>
              <w:spacing w:before="77"/>
              <w:ind w:right="752"/>
              <w:rPr>
                <w:rFonts w:ascii="Times New Roman"/>
                <w:sz w:val="21"/>
              </w:rPr>
            </w:pPr>
            <w:r>
              <w:rPr>
                <w:rFonts w:ascii="Arial" w:hAnsi="Arial" w:cs="Arial"/>
                <w:color w:val="333333"/>
                <w:sz w:val="19"/>
                <w:szCs w:val="19"/>
                <w:shd w:val="clear" w:color="auto" w:fill="FFFFFF"/>
              </w:rPr>
              <w:t>0791-83883866</w:t>
            </w:r>
          </w:p>
        </w:tc>
      </w:tr>
      <w:tr w:rsidR="00B04AE3">
        <w:trPr>
          <w:trHeight w:val="397"/>
          <w:jc w:val="center"/>
        </w:trPr>
        <w:tc>
          <w:tcPr>
            <w:tcW w:w="2842" w:type="dxa"/>
            <w:vAlign w:val="center"/>
          </w:tcPr>
          <w:p w:rsidR="00B04AE3" w:rsidRDefault="00B04AE3">
            <w:pPr>
              <w:pStyle w:val="TableParagraph"/>
              <w:spacing w:before="62"/>
              <w:ind w:left="661" w:right="656"/>
              <w:rPr>
                <w:sz w:val="21"/>
              </w:rPr>
            </w:pPr>
            <w:r>
              <w:rPr>
                <w:rFonts w:hint="eastAsia"/>
                <w:sz w:val="21"/>
              </w:rPr>
              <w:t>经济技术开发区管委会</w:t>
            </w:r>
          </w:p>
        </w:tc>
        <w:tc>
          <w:tcPr>
            <w:tcW w:w="2843" w:type="dxa"/>
            <w:vAlign w:val="center"/>
          </w:tcPr>
          <w:p w:rsidR="00B04AE3" w:rsidRDefault="00B04AE3">
            <w:pPr>
              <w:pStyle w:val="TableParagraph"/>
              <w:spacing w:before="62"/>
              <w:ind w:left="760" w:right="752"/>
              <w:rPr>
                <w:sz w:val="21"/>
              </w:rPr>
            </w:pPr>
            <w:r>
              <w:rPr>
                <w:rFonts w:hint="eastAsia"/>
                <w:sz w:val="21"/>
              </w:rPr>
              <w:t>办公室</w:t>
            </w:r>
          </w:p>
        </w:tc>
        <w:tc>
          <w:tcPr>
            <w:tcW w:w="2843" w:type="dxa"/>
            <w:vAlign w:val="center"/>
          </w:tcPr>
          <w:p w:rsidR="00B04AE3" w:rsidRDefault="00B04AE3">
            <w:pPr>
              <w:pStyle w:val="TableParagraph"/>
              <w:spacing w:before="76"/>
              <w:ind w:right="752"/>
              <w:rPr>
                <w:rFonts w:ascii="Times New Roman"/>
                <w:sz w:val="21"/>
              </w:rPr>
            </w:pPr>
            <w:r>
              <w:rPr>
                <w:rFonts w:ascii="Arial" w:hAnsi="Arial" w:cs="Arial"/>
                <w:color w:val="333333"/>
                <w:sz w:val="19"/>
                <w:szCs w:val="19"/>
                <w:shd w:val="clear" w:color="auto" w:fill="FFFFFF"/>
              </w:rPr>
              <w:t>0791-87121782</w:t>
            </w:r>
          </w:p>
        </w:tc>
      </w:tr>
      <w:tr w:rsidR="00B04AE3">
        <w:trPr>
          <w:trHeight w:val="397"/>
          <w:jc w:val="center"/>
        </w:trPr>
        <w:tc>
          <w:tcPr>
            <w:tcW w:w="2842" w:type="dxa"/>
            <w:vAlign w:val="center"/>
          </w:tcPr>
          <w:p w:rsidR="00B04AE3" w:rsidRDefault="00B04AE3">
            <w:pPr>
              <w:pStyle w:val="TableParagraph"/>
              <w:spacing w:before="63"/>
              <w:ind w:left="664" w:right="656"/>
              <w:rPr>
                <w:sz w:val="21"/>
              </w:rPr>
            </w:pPr>
            <w:r>
              <w:rPr>
                <w:rFonts w:hint="eastAsia"/>
                <w:sz w:val="21"/>
              </w:rPr>
              <w:t>医疗部门</w:t>
            </w:r>
          </w:p>
        </w:tc>
        <w:tc>
          <w:tcPr>
            <w:tcW w:w="2843" w:type="dxa"/>
            <w:vAlign w:val="center"/>
          </w:tcPr>
          <w:p w:rsidR="00B04AE3" w:rsidRDefault="00B04AE3">
            <w:pPr>
              <w:pStyle w:val="TableParagraph"/>
              <w:spacing w:before="63"/>
              <w:ind w:left="758" w:right="752"/>
              <w:rPr>
                <w:sz w:val="21"/>
              </w:rPr>
            </w:pPr>
            <w:r>
              <w:rPr>
                <w:rFonts w:hint="eastAsia"/>
                <w:sz w:val="21"/>
              </w:rPr>
              <w:t>市人民医院</w:t>
            </w:r>
          </w:p>
        </w:tc>
        <w:tc>
          <w:tcPr>
            <w:tcW w:w="2843" w:type="dxa"/>
            <w:vAlign w:val="center"/>
          </w:tcPr>
          <w:p w:rsidR="00B04AE3" w:rsidRDefault="00B04AE3">
            <w:pPr>
              <w:pStyle w:val="TableParagraph"/>
              <w:spacing w:before="77"/>
              <w:ind w:left="761" w:right="752"/>
              <w:rPr>
                <w:rFonts w:ascii="Times New Roman"/>
                <w:sz w:val="21"/>
              </w:rPr>
            </w:pPr>
            <w:r>
              <w:rPr>
                <w:rFonts w:ascii="Times New Roman"/>
                <w:sz w:val="21"/>
              </w:rPr>
              <w:t>120</w:t>
            </w:r>
          </w:p>
        </w:tc>
      </w:tr>
      <w:tr w:rsidR="00B04AE3">
        <w:trPr>
          <w:trHeight w:val="397"/>
          <w:jc w:val="center"/>
        </w:trPr>
        <w:tc>
          <w:tcPr>
            <w:tcW w:w="2842" w:type="dxa"/>
            <w:vAlign w:val="center"/>
          </w:tcPr>
          <w:p w:rsidR="00B04AE3" w:rsidRDefault="00B04AE3">
            <w:pPr>
              <w:pStyle w:val="TableParagraph"/>
              <w:spacing w:before="62"/>
              <w:ind w:left="664" w:right="656"/>
              <w:rPr>
                <w:sz w:val="21"/>
              </w:rPr>
            </w:pPr>
            <w:bookmarkStart w:id="108" w:name="_bookmark27"/>
            <w:bookmarkEnd w:id="108"/>
            <w:r>
              <w:rPr>
                <w:rFonts w:hint="eastAsia"/>
                <w:sz w:val="21"/>
              </w:rPr>
              <w:t>环境监测</w:t>
            </w:r>
          </w:p>
        </w:tc>
        <w:tc>
          <w:tcPr>
            <w:tcW w:w="2843" w:type="dxa"/>
            <w:vAlign w:val="center"/>
          </w:tcPr>
          <w:p w:rsidR="00B04AE3" w:rsidRDefault="00B04AE3">
            <w:pPr>
              <w:pStyle w:val="TableParagraph"/>
              <w:spacing w:before="62"/>
              <w:ind w:left="580"/>
              <w:rPr>
                <w:sz w:val="21"/>
              </w:rPr>
            </w:pPr>
            <w:r>
              <w:rPr>
                <w:rFonts w:hint="eastAsia"/>
                <w:sz w:val="21"/>
              </w:rPr>
              <w:t>南昌市环境监测站</w:t>
            </w:r>
          </w:p>
        </w:tc>
        <w:tc>
          <w:tcPr>
            <w:tcW w:w="2843" w:type="dxa"/>
            <w:vAlign w:val="center"/>
          </w:tcPr>
          <w:p w:rsidR="00B04AE3" w:rsidRDefault="00B04AE3">
            <w:pPr>
              <w:pStyle w:val="TableParagraph"/>
              <w:spacing w:before="76"/>
              <w:ind w:left="809"/>
              <w:rPr>
                <w:rFonts w:ascii="Times New Roman"/>
                <w:sz w:val="21"/>
              </w:rPr>
            </w:pPr>
            <w:r>
              <w:rPr>
                <w:rFonts w:ascii="Times New Roman"/>
                <w:sz w:val="21"/>
              </w:rPr>
              <w:t>0791-86356077</w:t>
            </w:r>
          </w:p>
        </w:tc>
      </w:tr>
    </w:tbl>
    <w:p w:rsidR="00B04AE3" w:rsidRDefault="00B04AE3">
      <w:pPr>
        <w:rPr>
          <w:rFonts w:ascii="Times New Roman"/>
          <w:sz w:val="21"/>
        </w:rPr>
        <w:sectPr w:rsidR="00B04AE3">
          <w:pgSz w:w="11910" w:h="16840"/>
          <w:pgMar w:top="1340" w:right="1460" w:bottom="1180" w:left="1460" w:header="878" w:footer="993" w:gutter="0"/>
          <w:cols w:space="720"/>
        </w:sectPr>
      </w:pPr>
    </w:p>
    <w:p w:rsidR="00B04AE3" w:rsidRDefault="00B04AE3">
      <w:pPr>
        <w:pStyle w:val="ListParagraph"/>
        <w:numPr>
          <w:ilvl w:val="0"/>
          <w:numId w:val="25"/>
        </w:numPr>
        <w:tabs>
          <w:tab w:val="left" w:pos="607"/>
        </w:tabs>
        <w:spacing w:before="97"/>
        <w:ind w:left="606" w:hanging="269"/>
        <w:rPr>
          <w:rFonts w:ascii="Times New Roman" w:eastAsia="Times New Roman"/>
          <w:b/>
          <w:sz w:val="36"/>
        </w:rPr>
      </w:pPr>
      <w:bookmarkStart w:id="109" w:name="7信息报告与通报"/>
      <w:bookmarkEnd w:id="109"/>
      <w:r>
        <w:rPr>
          <w:rFonts w:hint="eastAsia"/>
          <w:b/>
          <w:sz w:val="36"/>
        </w:rPr>
        <w:t>信息报告与通报</w:t>
      </w:r>
    </w:p>
    <w:p w:rsidR="00B04AE3" w:rsidRDefault="00B04AE3">
      <w:pPr>
        <w:pStyle w:val="ListParagraph"/>
        <w:numPr>
          <w:ilvl w:val="1"/>
          <w:numId w:val="26"/>
        </w:numPr>
        <w:tabs>
          <w:tab w:val="left" w:pos="787"/>
        </w:tabs>
        <w:spacing w:before="239"/>
        <w:rPr>
          <w:b/>
          <w:sz w:val="30"/>
        </w:rPr>
      </w:pPr>
      <w:bookmarkStart w:id="110" w:name="7.1内部报告"/>
      <w:bookmarkStart w:id="111" w:name="_bookmark28"/>
      <w:bookmarkEnd w:id="110"/>
      <w:bookmarkEnd w:id="111"/>
      <w:r>
        <w:rPr>
          <w:rFonts w:hint="eastAsia"/>
          <w:b/>
          <w:sz w:val="30"/>
        </w:rPr>
        <w:t>内部报告</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公司发生</w:t>
      </w:r>
      <w:r>
        <w:rPr>
          <w:spacing w:val="-6"/>
          <w:szCs w:val="22"/>
        </w:rPr>
        <w:t xml:space="preserve"> II </w:t>
      </w:r>
      <w:r>
        <w:rPr>
          <w:rFonts w:hint="eastAsia"/>
          <w:spacing w:val="-6"/>
          <w:szCs w:val="22"/>
        </w:rPr>
        <w:t>级、</w:t>
      </w:r>
      <w:r>
        <w:rPr>
          <w:spacing w:val="-6"/>
          <w:szCs w:val="22"/>
        </w:rPr>
        <w:t xml:space="preserve">III </w:t>
      </w:r>
      <w:r>
        <w:rPr>
          <w:rFonts w:hint="eastAsia"/>
          <w:spacing w:val="-6"/>
          <w:szCs w:val="22"/>
        </w:rPr>
        <w:t>级突发环境事件时，为公司内部报告。各有关部门对可能发生、即将发生或已经发生的突发环境事件，应当在第一时间（</w:t>
      </w:r>
      <w:r>
        <w:rPr>
          <w:spacing w:val="-6"/>
          <w:szCs w:val="22"/>
        </w:rPr>
        <w:t xml:space="preserve">5 </w:t>
      </w:r>
      <w:r>
        <w:rPr>
          <w:rFonts w:hint="eastAsia"/>
          <w:spacing w:val="-6"/>
          <w:szCs w:val="22"/>
        </w:rPr>
        <w:t>分钟内）通过公司内各种通讯设施报告至公司环境应急指挥办公室。</w:t>
      </w:r>
    </w:p>
    <w:p w:rsidR="00B04AE3" w:rsidRDefault="00B04AE3">
      <w:pPr>
        <w:spacing w:line="307" w:lineRule="exact"/>
        <w:ind w:left="817"/>
        <w:rPr>
          <w:b/>
          <w:sz w:val="24"/>
        </w:rPr>
      </w:pPr>
      <w:bookmarkStart w:id="112" w:name="7.1.1内部报告的程序"/>
      <w:bookmarkEnd w:id="112"/>
      <w:r>
        <w:rPr>
          <w:rFonts w:ascii="Times New Roman" w:eastAsia="Times New Roman"/>
          <w:b/>
          <w:sz w:val="24"/>
        </w:rPr>
        <w:t xml:space="preserve">7.1.1 </w:t>
      </w:r>
      <w:r>
        <w:rPr>
          <w:rFonts w:hint="eastAsia"/>
          <w:b/>
          <w:sz w:val="24"/>
        </w:rPr>
        <w:t>内部报告的程序</w:t>
      </w:r>
    </w:p>
    <w:p w:rsidR="00B04AE3" w:rsidRDefault="00B04AE3">
      <w:pPr>
        <w:pStyle w:val="BodyText"/>
        <w:spacing w:before="20" w:line="360" w:lineRule="auto"/>
        <w:ind w:left="334" w:right="334" w:firstLine="482"/>
        <w:jc w:val="both"/>
        <w:rPr>
          <w:spacing w:val="-6"/>
          <w:szCs w:val="22"/>
        </w:rPr>
      </w:pPr>
      <w:r>
        <w:rPr>
          <w:rFonts w:hint="eastAsia"/>
          <w:spacing w:val="-6"/>
          <w:szCs w:val="22"/>
        </w:rPr>
        <w:t>⑴现场操作人员或最先发现者立即向当班班长或直接向应急办公室报警，</w:t>
      </w:r>
      <w:r>
        <w:rPr>
          <w:spacing w:val="-6"/>
          <w:szCs w:val="22"/>
        </w:rPr>
        <w:t xml:space="preserve"> </w:t>
      </w:r>
      <w:r>
        <w:rPr>
          <w:rFonts w:hint="eastAsia"/>
          <w:spacing w:val="-6"/>
          <w:szCs w:val="22"/>
        </w:rPr>
        <w:t>同时在做好自身防护的情况下，进行自救、互救；</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⑵应急办公室判断突发环境事件为</w:t>
      </w:r>
      <w:r>
        <w:rPr>
          <w:spacing w:val="-6"/>
          <w:szCs w:val="22"/>
        </w:rPr>
        <w:t xml:space="preserve"> III </w:t>
      </w:r>
      <w:r>
        <w:rPr>
          <w:rFonts w:hint="eastAsia"/>
          <w:spacing w:val="-6"/>
          <w:szCs w:val="22"/>
        </w:rPr>
        <w:t>级时，应急办公室负责事故现场的应急救援工作；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⑶应急办公室判断突发环境事件分级为</w:t>
      </w:r>
      <w:r>
        <w:rPr>
          <w:spacing w:val="-6"/>
          <w:szCs w:val="22"/>
        </w:rPr>
        <w:t xml:space="preserve"> II </w:t>
      </w:r>
      <w:r>
        <w:rPr>
          <w:rFonts w:hint="eastAsia"/>
          <w:spacing w:val="-6"/>
          <w:szCs w:val="22"/>
        </w:rPr>
        <w:t>级时要立即向突发环境事件应急指挥部报告，由应急指挥部负责事故现场的应急救援工作。突发环境事件信息报告流程见图</w:t>
      </w:r>
      <w:r>
        <w:rPr>
          <w:spacing w:val="-6"/>
          <w:szCs w:val="22"/>
        </w:rPr>
        <w:t xml:space="preserve"> 7.1-1</w:t>
      </w:r>
      <w:r>
        <w:rPr>
          <w:rFonts w:hint="eastAsia"/>
          <w:spacing w:val="-6"/>
          <w:szCs w:val="22"/>
        </w:rPr>
        <w:t>。</w:t>
      </w:r>
    </w:p>
    <w:p w:rsidR="00B04AE3" w:rsidRDefault="00B04AE3">
      <w:pPr>
        <w:pStyle w:val="BodyText"/>
        <w:ind w:left="337"/>
        <w:rPr>
          <w:sz w:val="20"/>
        </w:rPr>
      </w:pPr>
      <w:r>
        <w:rPr>
          <w:noProof/>
          <w:lang w:val="en-US"/>
        </w:rPr>
      </w:r>
      <w:r w:rsidRPr="000C330E">
        <w:rPr>
          <w:sz w:val="20"/>
        </w:rPr>
        <w:pict>
          <v:group id="_x0000_s1194" style="width:415pt;height:383.2pt;mso-position-horizontal-relative:char;mso-position-vertical-relative:line" coordsize="8300,7664">
            <v:shape id="_x0000_s1195" style="position:absolute;width:8300;height:7664" coordsize="8300,7664" o:spt="100" adj="0,,0" path="m8300,7664l,7664,,,8300,r,10l20,10,10,20r10,l20,7644r-10,l20,7654r8280,l8300,7664xm20,20r-10,l20,10r,10xm8280,20l20,20r,-10l8280,10r,10xm8280,7654r,-7644l8290,20r10,l8300,7644r-10,l8280,7654xm8300,20r-10,l8280,10r20,l8300,20xm20,7654l10,7644r10,l20,7654xm8280,7654r-8260,l20,7644r8260,l8280,7654xm8300,7654r-20,l8290,7644r10,l8300,765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96" style="position:absolute;left:3430;top:165;width:1260;height:468" stroked="f"/>
            <v:shape id="_x0000_s1197" style="position:absolute;left:3422;top:158;width:1274;height:483" coordorigin="3423,159" coordsize="1274,483" o:spt="100" adj="0,,0" path="m4697,642r-1274,l3423,159r1274,l4697,166r-1259,l3430,174r8,l3438,627r-8,l3438,634r1259,l4697,642xm3438,174r-8,l3438,166r,8xm4682,174r-1244,l3438,166r1244,l4682,174xm4682,634r,-468l4689,174r8,l4697,627r-8,l4682,634xm4697,174r-8,l4682,166r15,l4697,174xm3438,634r-8,-7l3438,627r,7xm4682,634r-1244,l3438,627r1244,l4682,634xm4697,634r-15,l4689,627r8,l4697,63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198" style="position:absolute;left:3430;top:1101;width:1440;height:468" stroked="f"/>
            <v:shape id="_x0000_s1199" style="position:absolute;left:3422;top:1094;width:1454;height:482" coordorigin="3423,1094" coordsize="1454,482" o:spt="100" adj="0,,0" path="m4877,1576r-1454,l3423,1094r1454,l4877,1102r-1439,l3430,1109r8,l3438,1561r-8,l3438,1569r1439,l4877,1576xm3438,1109r-8,l3438,1102r,7xm4862,1109r-1424,l3438,1102r1424,l4862,1109xm4862,1569r,-467l4869,1109r8,l4877,1561r-8,l4862,1569xm4877,1109r-8,l4862,1102r15,l4877,1109xm3438,1569r-8,-8l3438,1561r,8xm4862,1569r-1424,l3438,1561r1424,l4862,1569xm4877,1569r-15,l4869,1561r8,l4877,156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00" style="position:absolute;left:4110;top:633;width:80;height:469" coordorigin="4111,634" coordsize="80,469" o:spt="100" adj="0,,0" path="m4151,1002r-8,-19l4143,634r15,l4158,983r-7,19xm4171,1002r-28,l4158,1002r,-19l4191,902r-20,100xm4151,1102l4111,902r32,81l4143,1002r28,l4151,1102xm4151,1002r7,-19l4158,1002r-7,xm4143,1002r,-19l4151,1002r-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01" style="position:absolute;left:3430;top:2037;width:1440;height:468" stroked="f"/>
            <v:shape id="_x0000_s1202" style="position:absolute;left:3422;top:2030;width:1454;height:482" coordorigin="3423,2031" coordsize="1454,482" o:spt="100" adj="0,,0" path="m4877,2513r-1454,l3423,2031r1454,l4877,2038r-1439,l3430,2046r8,l3438,2498r-8,l3438,2505r1439,l4877,2513xm3438,2046r-8,l3438,2038r,8xm4862,2046r-1424,l3438,2038r1424,l4862,2046xm4862,2505r,-467l4869,2046r8,l4877,2498r-8,l4862,2505xm4877,2046r-8,l4862,2038r15,l4877,2046xm3438,2505r-8,-7l3438,2498r,7xm4862,2505r-1424,l3438,2498r1424,l4862,2505xm4877,2505r-15,l4869,2498r8,l4877,2505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03" style="position:absolute;left:4110;top:1568;width:80;height:470" coordorigin="4111,1569" coordsize="80,470" o:spt="100" adj="0,,0" path="m4151,1938r-8,-19l4143,1569r15,l4158,1919r-7,19xm4171,1938r-28,l4158,1938r,-19l4191,1838r-20,100xm4151,2038r-40,-200l4143,1919r,19l4171,1938r-20,100xm4151,1938r7,-19l4158,1938r-7,xm4143,1938r,-19l4151,1938r-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04" style="position:absolute;left:3430;top:2973;width:1620;height:468" stroked="f"/>
            <v:shape id="_x0000_s1205" style="position:absolute;left:3422;top:2966;width:1635;height:482" coordorigin="3423,2966" coordsize="1635,482" o:spt="100" adj="0,,0" path="m5058,3448r-1635,l3423,2966r1635,l5058,2974r-1620,l3430,2981r8,l3438,3433r-8,l3438,3441r1620,l5058,3448xm3438,2981r-8,l3438,2974r,7xm5043,2981r-1605,l3438,2974r1605,l5043,2981xm5043,3441r,-467l5050,2981r8,l5058,3433r-8,l5043,3441xm5058,2981r-8,l5043,2974r15,l5058,2981xm3438,3441r-8,-8l3438,3433r,8xm5043,3441r-1605,l3438,3433r1605,l5043,3441xm5058,3441r-15,l5050,3433r8,l5058,3441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06" style="position:absolute;left:4110;top:2504;width:80;height:470" coordorigin="4111,2505" coordsize="80,470" o:spt="100" adj="0,,0" path="m4151,2874r-8,-19l4143,2505r15,l4158,2855r-7,19xm4171,2874r-28,l4158,2874r,-19l4191,2774r-20,100xm4151,2974r-40,-200l4143,2855r,19l4171,2874r-20,100xm4151,2874r7,-19l4158,2874r-7,xm4143,2874r,-19l4151,2874r-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07" style="position:absolute;left:910;top:4533;width:1620;height:471" stroked="f"/>
            <v:shape id="_x0000_s1208" style="position:absolute;left:902;top:4526;width:1635;height:484" coordorigin="903,4526" coordsize="1635,484" o:spt="100" adj="0,,0" path="m2538,5010r-1635,l903,4526r1635,l2538,4534r-1620,l910,4541r8,l918,4995r-8,l918,5003r1620,l2538,5010xm918,4541r-8,l918,4534r,7xm2523,4541r-1605,l918,4534r1605,l2523,4541xm2523,5003r,-469l2530,4541r8,l2538,4995r-8,l2523,5003xm2538,4541r-8,l2523,4534r15,l2538,4541xm918,5003r-8,-8l918,4995r,8xm2523,5003r-1605,l918,4995r1605,l2523,5003xm2538,5003r-15,l2530,4995r8,l2538,500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09" style="position:absolute;left:3610;top:4533;width:1620;height:471" stroked="f"/>
            <v:shape id="_x0000_s1210" style="position:absolute;left:3602;top:4526;width:1635;height:484" coordorigin="3603,4526" coordsize="1635,484" o:spt="100" adj="0,,0" path="m5238,5010r-1635,l3603,4526r1635,l5238,4534r-1620,l3610,4541r8,l3618,4995r-8,l3618,5003r1620,l5238,5010xm3618,4541r-8,l3618,4534r,7xm5223,4541r-1605,l3618,4534r1605,l5223,4541xm5223,5003r,-469l5230,4541r8,l5238,4995r-8,l5223,5003xm5238,4541r-8,l5223,4534r15,l5238,4541xm3618,5003r-8,-8l3618,4995r,8xm5223,5003r-1605,l3618,4995r1605,l5223,5003xm5238,5003r-15,l5230,4995r8,l5238,500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11" style="position:absolute;left:6130;top:4533;width:1620;height:471" stroked="f"/>
            <v:shape id="_x0000_s1212" style="position:absolute;left:6122;top:4526;width:1635;height:484" coordorigin="6123,4526" coordsize="1635,484" o:spt="100" adj="0,,0" path="m7758,5010r-1635,l6123,4526r1635,l7758,4534r-1620,l6130,4541r8,l6138,4995r-8,l6138,5003r1620,l7758,5010xm6138,4541r-8,l6138,4534r,7xm7743,4541r-1605,l6138,4534r1605,l7743,4541xm7743,5003r,-469l7750,4541r8,l7758,4995r-8,l7743,5003xm7758,4541r-8,l7743,4534r15,l7758,4541xm6138,5003r-8,-8l6138,4995r,8xm7743,5003r-1605,l6138,4995r1605,l7743,5003xm7758,5003r-15,l7750,4995r8,l7758,500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13" style="position:absolute;left:1665;top:3426;width:2568;height:1093" coordorigin="1666,3426" coordsize="2568,1093" o:spt="100" adj="0,,0" path="m4218,3972r,-546l4233,3426r,539l4226,3965r-8,7xm1706,4419r-8,-18l1698,3965r2520,l4218,3972r-2505,l1706,3980r7,l1713,4401r-7,18xm4233,3980r-2520,l1713,3972r2505,l4226,3965r7,l4233,3980xm1713,3980r-7,l1713,3972r,8xm1706,4519r-40,-200l1698,4401r,18l1726,4419r-20,100xm1726,4419r-13,l1713,4401r33,-82l1726,4419xm1706,4419r-8,l1698,4401r8,18xm1713,4419r-7,l1713,4401r,1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14" style="position:absolute;left:4218;top:3426;width:228;height:1093" coordorigin="4218,3426" coordsize="228,1093" o:spt="100" adj="0,,0" path="m4398,3980r-180,l4218,3426r15,l4233,3965r-8,l4233,3972r165,l4398,3980xm4233,3972r-8,-7l4233,3965r,7xm4413,3980r-8,l4398,3972r-165,l4233,3965r180,l4413,3980xm4405,4419r-7,-18l4398,3972r7,8l4413,3980r,421l4405,4419xm4405,4519r-40,-200l4398,4401r,18l4425,4419r-20,100xm4425,4419r-12,l4413,4401r32,-82l4425,4419xm4405,4419r-7,l4398,4401r7,18xm4413,4419r-8,l4413,4401r,1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15" style="position:absolute;left:4218;top:3426;width:2748;height:1093" coordorigin="4218,3426" coordsize="2748,1093" o:spt="100" adj="0,,0" path="m6918,3980r-2700,l4218,3426r15,l4233,3965r-8,l4233,3972r2685,l6918,3980xm4233,3972r-8,-7l4233,3965r,7xm6933,3980r-8,l6918,3972r-2685,l4233,3965r2700,l6933,3980xm6925,4419r-7,-18l6918,3972r7,8l6933,3980r,421l6925,4419xm6925,4519r-40,-200l6918,4401r,18l6945,4419r-20,100xm6945,4419r-12,l6933,4401r32,-82l6945,4419xm6925,4419r-7,l6918,4401r7,18xm6933,4419r-8,l6933,4401r,1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16" style="position:absolute;left:910;top:5781;width:1620;height:471" stroked="f"/>
            <v:shape id="_x0000_s1217" style="position:absolute;left:902;top:5774;width:1635;height:484" coordorigin="903,5775" coordsize="1635,484" o:spt="100" adj="0,,0" path="m2538,6259r-1635,l903,5775r1635,l2538,5782r-1620,l910,5790r8,l918,6244r-8,l918,6251r1620,l2538,6259xm918,5790r-8,l918,5782r,8xm2523,5790r-1605,l918,5782r1605,l2523,5790xm2523,6251r,-469l2530,5790r8,l2538,6244r-8,l2523,6251xm2538,5790r-8,l2523,5782r15,l2538,5790xm918,6251r-8,-7l918,6244r,7xm2523,6251r-1605,l918,6244r1605,l2523,6251xm2538,6251r-15,l2530,6244r8,l2538,6251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18" style="position:absolute;left:3790;top:5781;width:1620;height:471" stroked="f"/>
            <v:shape id="_x0000_s1219" style="position:absolute;left:3782;top:5774;width:1635;height:484" coordorigin="3783,5775" coordsize="1635,484" o:spt="100" adj="0,,0" path="m5418,6259r-1635,l3783,5775r1635,l5418,5782r-1620,l3790,5790r8,l3798,6244r-8,l3798,6251r1620,l5418,6259xm3798,5790r-8,l3798,5782r,8xm5403,5790r-1605,l3798,5782r1605,l5403,5790xm5403,6251r,-469l5410,5790r8,l5418,6244r-8,l5403,6251xm5418,5790r-8,l5403,5782r15,l5418,5790xm3798,6251r-8,-7l3798,6244r,7xm5403,6251r-1605,l3798,6244r1605,l5403,6251xm5418,6251r-15,l5410,6244r8,l5418,6251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20" style="position:absolute;left:6310;top:5781;width:1620;height:471" stroked="f"/>
            <v:shape id="_x0000_s1221" style="position:absolute;left:6302;top:5774;width:1635;height:484" coordorigin="6303,5775" coordsize="1635,484" o:spt="100" adj="0,,0" path="m7938,6259r-1635,l6303,5775r1635,l7938,5782r-1620,l6310,5790r8,l6318,6244r-8,l6318,6251r1620,l7938,6259xm6318,5790r-8,l6318,5782r,8xm7923,5790r-1605,l6318,5782r1605,l7923,5790xm7923,6251r,-469l7930,5790r8,l7938,6244r-8,l7923,6251xm7938,5790r-8,l7923,5782r15,l7938,5790xm6318,6251r-8,-7l6318,6244r,7xm7923,6251r-1605,l6318,6244r1605,l7923,6251xm7938,6251r-15,l7930,6244r8,l7938,6251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22" style="position:absolute;left:5424;top:6844;width:2700;height:780" stroked="f"/>
            <v:shape id="_x0000_s1223" style="position:absolute;left:5417;top:6836;width:2714;height:795" coordorigin="5418,6837" coordsize="2714,795" o:spt="100" adj="0,,0" path="m8132,7632r-2714,l5418,6837r2714,l8132,6844r-2699,l5425,6852r8,l5433,7617r-8,l5433,7624r2699,l8132,7632xm5433,6852r-8,l5433,6844r,8xm8117,6852r-2684,l5433,6844r2684,l8117,6852xm8117,7624r,-780l8124,6852r8,l8132,7617r-8,l8117,7624xm8132,6852r-8,l8117,6844r15,l8132,6852xm5433,7624r-8,-7l5433,7617r,7xm8117,7624r-2684,l5433,7617r2684,l8117,7624xm8132,7624r-15,l8124,7617r8,l8132,762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24" style="position:absolute;left:1770;top:5003;width:80;height:779" coordorigin="1771,5003" coordsize="80,779" o:spt="100" adj="0,,0" path="m1811,5682r-8,-19l1803,5003r15,l1818,5663r-7,19xm1831,5682r-13,l1818,5663r33,-81l1831,5682xm1811,5782r-40,-200l1803,5663r,19l1831,5682r-20,100xm1818,5682r-7,l1818,5663r,19xm1811,5682r-8,l1803,5663r8,1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25" style="position:absolute;left:4470;top:5003;width:80;height:779" coordorigin="4471,5003" coordsize="80,779" o:spt="100" adj="0,,0" path="m4511,5682r-8,-19l4503,5003r15,l4518,5663r-7,19xm4531,5682r-13,l4518,5663r33,-81l4531,5682xm4511,5782r-40,-200l4503,5663r,19l4531,5682r-20,100xm4518,5682r-7,l4518,5663r,19xm4511,5682r-8,l4503,5663r8,1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26" style="position:absolute;left:6990;top:5003;width:80;height:779" coordorigin="6991,5003" coordsize="80,779" o:spt="100" adj="0,,0" path="m7031,5682r-8,-19l7022,5003r15,l7038,5663r-7,19xm7051,5682r-13,l7038,5663r33,-81l7051,5682xm7031,5782r-40,-200l7023,5663r,19l7051,5682r-20,100xm7038,5682r-7,l7038,5663r,19xm7031,5682r-8,l7023,5663r8,1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27" style="position:absolute;left:6990;top:6249;width:80;height:625" coordorigin="6991,6250" coordsize="80,625" o:spt="100" adj="0,,0" path="m7031,6774r-8,-19l7022,6250r15,l7038,6755r-7,19xm7051,6774r-28,l7038,6774r,-19l7071,6674r-20,100xm7031,6874r-40,-200l7023,6755r,19l7051,6774r-20,100xm7031,6774r7,-19l7038,6774r-7,xm7023,6774r,-19l7031,6774r-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28" type="#_x0000_t202" style="position:absolute;left:874;top:3995;width:450;height:449" filled="f" stroked="f">
              <v:textbox inset="0,0,0,0">
                <w:txbxContent>
                  <w:p w:rsidR="00B04AE3" w:rsidRDefault="00B04AE3">
                    <w:pPr>
                      <w:spacing w:line="213" w:lineRule="auto"/>
                      <w:ind w:right="18"/>
                      <w:rPr>
                        <w:sz w:val="21"/>
                      </w:rPr>
                    </w:pPr>
                    <w:r>
                      <w:rPr>
                        <w:rFonts w:hint="eastAsia"/>
                        <w:sz w:val="21"/>
                      </w:rPr>
                      <w:t>内部报告</w:t>
                    </w:r>
                  </w:p>
                </w:txbxContent>
              </v:textbox>
            </v:shape>
            <v:shape id="_x0000_s1229" type="#_x0000_t202" style="position:absolute;left:3744;top:3997;width:630;height:449" filled="f" stroked="f">
              <v:textbox inset="0,0,0,0">
                <w:txbxContent>
                  <w:p w:rsidR="00B04AE3" w:rsidRDefault="00B04AE3">
                    <w:pPr>
                      <w:spacing w:line="213" w:lineRule="auto"/>
                      <w:ind w:right="18"/>
                      <w:rPr>
                        <w:sz w:val="21"/>
                      </w:rPr>
                    </w:pPr>
                    <w:r>
                      <w:rPr>
                        <w:rFonts w:hint="eastAsia"/>
                        <w:sz w:val="21"/>
                      </w:rPr>
                      <w:t>内</w:t>
                    </w:r>
                    <w:r>
                      <w:rPr>
                        <w:sz w:val="21"/>
                      </w:rPr>
                      <w:t xml:space="preserve"> </w:t>
                    </w:r>
                    <w:r>
                      <w:rPr>
                        <w:rFonts w:hint="eastAsia"/>
                        <w:sz w:val="21"/>
                      </w:rPr>
                      <w:t>部报告</w:t>
                    </w:r>
                  </w:p>
                </w:txbxContent>
              </v:textbox>
            </v:shape>
            <v:shape id="_x0000_s1230" type="#_x0000_t202" style="position:absolute;left:6276;top:3983;width:630;height:449" filled="f" stroked="f">
              <v:textbox inset="0,0,0,0">
                <w:txbxContent>
                  <w:p w:rsidR="00B04AE3" w:rsidRDefault="00B04AE3">
                    <w:pPr>
                      <w:spacing w:line="213" w:lineRule="auto"/>
                      <w:ind w:right="18"/>
                      <w:rPr>
                        <w:sz w:val="21"/>
                      </w:rPr>
                    </w:pPr>
                    <w:r>
                      <w:rPr>
                        <w:rFonts w:hint="eastAsia"/>
                        <w:sz w:val="21"/>
                      </w:rPr>
                      <w:t>内</w:t>
                    </w:r>
                    <w:r>
                      <w:rPr>
                        <w:sz w:val="21"/>
                      </w:rPr>
                      <w:t xml:space="preserve"> </w:t>
                    </w:r>
                    <w:r>
                      <w:rPr>
                        <w:rFonts w:hint="eastAsia"/>
                        <w:sz w:val="21"/>
                      </w:rPr>
                      <w:t>部报告</w:t>
                    </w:r>
                  </w:p>
                </w:txbxContent>
              </v:textbox>
            </v:shape>
            <v:shape id="_x0000_s1231" type="#_x0000_t202" style="position:absolute;left:5424;top:6844;width:2700;height:780" filled="f" stroked="f">
              <v:textbox inset="0,0,0,0">
                <w:txbxContent>
                  <w:p w:rsidR="00B04AE3" w:rsidRDefault="00B04AE3">
                    <w:pPr>
                      <w:spacing w:before="79" w:line="244" w:lineRule="auto"/>
                      <w:ind w:left="151" w:right="153"/>
                      <w:rPr>
                        <w:sz w:val="21"/>
                      </w:rPr>
                    </w:pPr>
                    <w:r>
                      <w:rPr>
                        <w:rFonts w:hint="eastAsia"/>
                        <w:sz w:val="21"/>
                      </w:rPr>
                      <w:t>经济技术开发区环保局、安监局等相关部门</w:t>
                    </w:r>
                  </w:p>
                </w:txbxContent>
              </v:textbox>
            </v:shape>
            <v:shape id="_x0000_s1232" type="#_x0000_t202" style="position:absolute;left:6310;top:5781;width:1620;height:471" filled="f" stroked="f">
              <v:textbox inset="0,0,0,0">
                <w:txbxContent>
                  <w:p w:rsidR="00B04AE3" w:rsidRDefault="00B04AE3">
                    <w:pPr>
                      <w:spacing w:before="81"/>
                      <w:ind w:left="151"/>
                      <w:rPr>
                        <w:sz w:val="21"/>
                      </w:rPr>
                    </w:pPr>
                    <w:r>
                      <w:rPr>
                        <w:rFonts w:hint="eastAsia"/>
                        <w:sz w:val="21"/>
                      </w:rPr>
                      <w:t>应急指挥部</w:t>
                    </w:r>
                  </w:p>
                </w:txbxContent>
              </v:textbox>
            </v:shape>
            <v:shape id="_x0000_s1233" type="#_x0000_t202" style="position:absolute;left:3790;top:5781;width:1620;height:471" filled="f" stroked="f">
              <v:textbox inset="0,0,0,0">
                <w:txbxContent>
                  <w:p w:rsidR="00B04AE3" w:rsidRDefault="00B04AE3">
                    <w:pPr>
                      <w:spacing w:before="81"/>
                      <w:ind w:left="151"/>
                      <w:rPr>
                        <w:sz w:val="21"/>
                      </w:rPr>
                    </w:pPr>
                    <w:r>
                      <w:rPr>
                        <w:rFonts w:hint="eastAsia"/>
                        <w:sz w:val="21"/>
                      </w:rPr>
                      <w:t>应急指挥部</w:t>
                    </w:r>
                  </w:p>
                </w:txbxContent>
              </v:textbox>
            </v:shape>
            <v:shape id="_x0000_s1234" type="#_x0000_t202" style="position:absolute;left:910;top:5781;width:1620;height:471" filled="f" stroked="f">
              <v:textbox inset="0,0,0,0">
                <w:txbxContent>
                  <w:p w:rsidR="00B04AE3" w:rsidRDefault="00B04AE3">
                    <w:pPr>
                      <w:spacing w:before="81"/>
                      <w:ind w:left="151"/>
                      <w:rPr>
                        <w:sz w:val="21"/>
                      </w:rPr>
                    </w:pPr>
                    <w:r>
                      <w:rPr>
                        <w:rFonts w:hint="eastAsia"/>
                        <w:sz w:val="21"/>
                      </w:rPr>
                      <w:t>应急办公室</w:t>
                    </w:r>
                  </w:p>
                </w:txbxContent>
              </v:textbox>
            </v:shape>
            <v:shape id="_x0000_s1235" type="#_x0000_t202" style="position:absolute;left:6130;top:4533;width:1620;height:471" filled="f" stroked="f">
              <v:textbox inset="0,0,0,0">
                <w:txbxContent>
                  <w:p w:rsidR="00B04AE3" w:rsidRDefault="00B04AE3">
                    <w:pPr>
                      <w:spacing w:before="81"/>
                      <w:ind w:left="151"/>
                      <w:rPr>
                        <w:sz w:val="21"/>
                      </w:rPr>
                    </w:pPr>
                    <w:r>
                      <w:rPr>
                        <w:rFonts w:hint="eastAsia"/>
                        <w:sz w:val="21"/>
                      </w:rPr>
                      <w:t>Ⅰ级环境事件</w:t>
                    </w:r>
                  </w:p>
                </w:txbxContent>
              </v:textbox>
            </v:shape>
            <v:shape id="_x0000_s1236" type="#_x0000_t202" style="position:absolute;left:3610;top:4533;width:1620;height:471" filled="f" stroked="f">
              <v:textbox inset="0,0,0,0">
                <w:txbxContent>
                  <w:p w:rsidR="00B04AE3" w:rsidRDefault="00B04AE3">
                    <w:pPr>
                      <w:spacing w:before="81"/>
                      <w:ind w:left="151"/>
                      <w:rPr>
                        <w:sz w:val="21"/>
                      </w:rPr>
                    </w:pPr>
                    <w:r>
                      <w:rPr>
                        <w:rFonts w:hint="eastAsia"/>
                        <w:sz w:val="21"/>
                      </w:rPr>
                      <w:t>Ⅱ级环境事件</w:t>
                    </w:r>
                  </w:p>
                </w:txbxContent>
              </v:textbox>
            </v:shape>
            <v:shape id="_x0000_s1237" type="#_x0000_t202" style="position:absolute;left:910;top:4533;width:1620;height:471" filled="f" stroked="f">
              <v:textbox inset="0,0,0,0">
                <w:txbxContent>
                  <w:p w:rsidR="00B04AE3" w:rsidRDefault="00B04AE3">
                    <w:pPr>
                      <w:spacing w:before="81"/>
                      <w:ind w:left="151"/>
                      <w:rPr>
                        <w:sz w:val="21"/>
                      </w:rPr>
                    </w:pPr>
                    <w:r>
                      <w:rPr>
                        <w:rFonts w:hint="eastAsia"/>
                        <w:sz w:val="21"/>
                      </w:rPr>
                      <w:t>Ⅲ级环境事件</w:t>
                    </w:r>
                  </w:p>
                </w:txbxContent>
              </v:textbox>
            </v:shape>
            <v:shape id="_x0000_s1238" type="#_x0000_t202" style="position:absolute;left:3430;top:2973;width:1620;height:468" filled="f" stroked="f">
              <v:textbox inset="0,0,0,0">
                <w:txbxContent>
                  <w:p w:rsidR="00B04AE3" w:rsidRDefault="00B04AE3">
                    <w:pPr>
                      <w:spacing w:before="81"/>
                      <w:ind w:left="151"/>
                      <w:rPr>
                        <w:sz w:val="21"/>
                      </w:rPr>
                    </w:pPr>
                    <w:r>
                      <w:rPr>
                        <w:rFonts w:hint="eastAsia"/>
                        <w:sz w:val="21"/>
                      </w:rPr>
                      <w:t>事件级别判断</w:t>
                    </w:r>
                  </w:p>
                </w:txbxContent>
              </v:textbox>
            </v:shape>
            <v:shape id="_x0000_s1239" type="#_x0000_t202" style="position:absolute;left:3430;top:2037;width:1440;height:468" filled="f" stroked="f">
              <v:textbox inset="0,0,0,0">
                <w:txbxContent>
                  <w:p w:rsidR="00B04AE3" w:rsidRDefault="00B04AE3">
                    <w:pPr>
                      <w:spacing w:before="81"/>
                      <w:ind w:left="151"/>
                      <w:rPr>
                        <w:sz w:val="21"/>
                      </w:rPr>
                    </w:pPr>
                    <w:r>
                      <w:rPr>
                        <w:rFonts w:hint="eastAsia"/>
                        <w:sz w:val="21"/>
                      </w:rPr>
                      <w:t>应急办公室</w:t>
                    </w:r>
                  </w:p>
                </w:txbxContent>
              </v:textbox>
            </v:shape>
            <v:shape id="_x0000_s1240" type="#_x0000_t202" style="position:absolute;left:3430;top:1101;width:1440;height:468" filled="f" stroked="f">
              <v:textbox inset="0,0,0,0">
                <w:txbxContent>
                  <w:p w:rsidR="00B04AE3" w:rsidRDefault="00B04AE3">
                    <w:pPr>
                      <w:spacing w:before="81"/>
                      <w:ind w:left="151"/>
                      <w:rPr>
                        <w:sz w:val="21"/>
                      </w:rPr>
                    </w:pPr>
                    <w:r>
                      <w:rPr>
                        <w:rFonts w:hint="eastAsia"/>
                        <w:sz w:val="21"/>
                      </w:rPr>
                      <w:t>第一发现人</w:t>
                    </w:r>
                  </w:p>
                </w:txbxContent>
              </v:textbox>
            </v:shape>
            <v:shape id="_x0000_s1241" type="#_x0000_t202" style="position:absolute;left:3430;top:165;width:1260;height:468" filled="f" stroked="f">
              <v:textbox inset="0,0,0,0">
                <w:txbxContent>
                  <w:p w:rsidR="00B04AE3" w:rsidRDefault="00B04AE3">
                    <w:pPr>
                      <w:spacing w:before="81"/>
                      <w:ind w:left="151"/>
                      <w:rPr>
                        <w:sz w:val="21"/>
                      </w:rPr>
                    </w:pPr>
                    <w:r>
                      <w:rPr>
                        <w:rFonts w:hint="eastAsia"/>
                        <w:sz w:val="21"/>
                      </w:rPr>
                      <w:t>事件发生</w:t>
                    </w:r>
                  </w:p>
                </w:txbxContent>
              </v:textbox>
            </v:shape>
            <w10:anchorlock/>
          </v:group>
        </w:pict>
      </w:r>
    </w:p>
    <w:p w:rsidR="00B04AE3" w:rsidRDefault="00B04AE3">
      <w:pPr>
        <w:tabs>
          <w:tab w:val="left" w:pos="3572"/>
        </w:tabs>
        <w:spacing w:before="113"/>
        <w:ind w:left="2533"/>
        <w:rPr>
          <w:b/>
          <w:sz w:val="24"/>
        </w:rPr>
      </w:pPr>
      <w:r>
        <w:rPr>
          <w:rFonts w:hint="eastAsia"/>
          <w:b/>
          <w:sz w:val="24"/>
        </w:rPr>
        <w:t>图</w:t>
      </w:r>
      <w:r>
        <w:rPr>
          <w:b/>
          <w:spacing w:val="-62"/>
          <w:sz w:val="24"/>
        </w:rPr>
        <w:t xml:space="preserve"> </w:t>
      </w:r>
      <w:r>
        <w:rPr>
          <w:rFonts w:ascii="Times New Roman" w:eastAsia="Times New Roman"/>
          <w:b/>
          <w:sz w:val="24"/>
        </w:rPr>
        <w:t>7.1-1</w:t>
      </w:r>
      <w:r>
        <w:rPr>
          <w:rFonts w:ascii="Times New Roman" w:eastAsia="Times New Roman"/>
          <w:b/>
          <w:sz w:val="24"/>
        </w:rPr>
        <w:tab/>
      </w:r>
      <w:r>
        <w:rPr>
          <w:rFonts w:hint="eastAsia"/>
          <w:b/>
          <w:sz w:val="24"/>
        </w:rPr>
        <w:t>突发环境事件信息报告流程</w:t>
      </w:r>
    </w:p>
    <w:p w:rsidR="00B04AE3" w:rsidRDefault="00B04AE3">
      <w:pPr>
        <w:pStyle w:val="ListParagraph"/>
        <w:numPr>
          <w:ilvl w:val="2"/>
          <w:numId w:val="27"/>
        </w:numPr>
        <w:tabs>
          <w:tab w:val="left" w:pos="1418"/>
        </w:tabs>
        <w:spacing w:before="159"/>
        <w:ind w:hanging="600"/>
        <w:rPr>
          <w:b/>
          <w:sz w:val="24"/>
        </w:rPr>
      </w:pPr>
      <w:bookmarkStart w:id="113" w:name="7.1.2_报告的主体"/>
      <w:bookmarkEnd w:id="113"/>
      <w:r>
        <w:rPr>
          <w:rFonts w:hint="eastAsia"/>
          <w:b/>
          <w:sz w:val="24"/>
        </w:rPr>
        <w:t>报告的主体</w:t>
      </w:r>
    </w:p>
    <w:p w:rsidR="00B04AE3" w:rsidRDefault="00B04AE3">
      <w:pPr>
        <w:pStyle w:val="BodyText"/>
        <w:spacing w:before="20" w:line="360" w:lineRule="auto"/>
        <w:ind w:left="334" w:right="334" w:firstLine="482"/>
        <w:jc w:val="both"/>
        <w:rPr>
          <w:spacing w:val="-6"/>
          <w:szCs w:val="22"/>
        </w:rPr>
      </w:pPr>
      <w:r>
        <w:rPr>
          <w:rFonts w:hint="eastAsia"/>
          <w:spacing w:val="-6"/>
          <w:szCs w:val="22"/>
        </w:rPr>
        <w:t>⑴突发环境事件部门和应急办公室为逐级责任报告部门；事故风险源的岗位员工或第一发现者以及事故风险源负责人、应急办公室为逐级责任报告人。</w:t>
      </w:r>
    </w:p>
    <w:p w:rsidR="00B04AE3" w:rsidRDefault="00B04AE3">
      <w:pPr>
        <w:pStyle w:val="BodyText"/>
        <w:spacing w:before="20" w:line="360" w:lineRule="auto"/>
        <w:ind w:left="334" w:right="334" w:firstLine="482"/>
        <w:jc w:val="both"/>
        <w:rPr>
          <w:spacing w:val="-6"/>
          <w:szCs w:val="22"/>
        </w:rPr>
      </w:pPr>
      <w:r>
        <w:rPr>
          <w:rFonts w:hint="eastAsia"/>
          <w:spacing w:val="-6"/>
          <w:szCs w:val="22"/>
        </w:rPr>
        <w:t>⑵任何部门和个人都有义务向公司突发环境事件应急办公室或应急指挥部报告突发环境事件，有权举报不履行或者不按照规定履行突发环境事件应急处理职责的部门及个人。</w:t>
      </w:r>
    </w:p>
    <w:p w:rsidR="00B04AE3" w:rsidRDefault="00B04AE3">
      <w:pPr>
        <w:pStyle w:val="ListParagraph"/>
        <w:numPr>
          <w:ilvl w:val="2"/>
          <w:numId w:val="27"/>
        </w:numPr>
        <w:tabs>
          <w:tab w:val="left" w:pos="1358"/>
        </w:tabs>
        <w:spacing w:line="307" w:lineRule="exact"/>
        <w:ind w:left="1357" w:hanging="540"/>
        <w:rPr>
          <w:b/>
          <w:sz w:val="24"/>
        </w:rPr>
      </w:pPr>
      <w:bookmarkStart w:id="114" w:name="7.1.3报告原则"/>
      <w:bookmarkEnd w:id="114"/>
      <w:r>
        <w:rPr>
          <w:rFonts w:hint="eastAsia"/>
          <w:b/>
          <w:sz w:val="24"/>
        </w:rPr>
        <w:t>报告原则</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按照“早发现、早报告、早处置”的原则，一旦发现突发环境事件，事故发生地岗位员工或第一发现者立即报告生产班长或应急办公室，应急办公室视突发环境事件可能造成的影响和危害程度，及时逐级上报信息。</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、一旦出现突发环境污染事故影响范围超出本公司范围的态势，公司指挥部要根据紧急处置工作的需要，及时向上级有关部门、应急指挥小组报告，共同</w:t>
      </w:r>
    </w:p>
    <w:p w:rsidR="00B04AE3" w:rsidRDefault="00B04AE3" w:rsidP="003446E2">
      <w:pPr>
        <w:pStyle w:val="BodyText"/>
        <w:spacing w:before="20" w:line="360" w:lineRule="auto"/>
        <w:ind w:right="334" w:firstLineChars="100" w:firstLine="31680"/>
        <w:jc w:val="both"/>
        <w:rPr>
          <w:spacing w:val="-6"/>
          <w:szCs w:val="22"/>
        </w:rPr>
      </w:pPr>
      <w:r>
        <w:rPr>
          <w:rFonts w:hint="eastAsia"/>
          <w:spacing w:val="-6"/>
          <w:szCs w:val="22"/>
        </w:rPr>
        <w:t>协调指挥做好处置工作。</w:t>
      </w:r>
    </w:p>
    <w:p w:rsidR="00B04AE3" w:rsidRDefault="00B04AE3">
      <w:pPr>
        <w:pStyle w:val="ListParagraph"/>
        <w:numPr>
          <w:ilvl w:val="2"/>
          <w:numId w:val="27"/>
        </w:numPr>
        <w:tabs>
          <w:tab w:val="left" w:pos="1358"/>
        </w:tabs>
        <w:spacing w:before="160"/>
        <w:ind w:left="1357" w:hanging="540"/>
        <w:rPr>
          <w:b/>
          <w:sz w:val="24"/>
        </w:rPr>
      </w:pPr>
      <w:bookmarkStart w:id="115" w:name="7.1.4报告时限"/>
      <w:bookmarkEnd w:id="115"/>
      <w:r>
        <w:rPr>
          <w:rFonts w:hint="eastAsia"/>
          <w:b/>
          <w:sz w:val="24"/>
        </w:rPr>
        <w:t>报告时限</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⑴发生任何突发环境事件后，现场操作人员或最先发现者要立即向当班班长或直接向应急办公室报警。</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⑵应急办公室接到报警后根据事件的紧急程度和严重性判断突发环境事件为</w:t>
      </w:r>
      <w:r>
        <w:rPr>
          <w:spacing w:val="-6"/>
          <w:szCs w:val="22"/>
        </w:rPr>
        <w:t xml:space="preserve"> III </w:t>
      </w:r>
      <w:r>
        <w:rPr>
          <w:rFonts w:hint="eastAsia"/>
          <w:spacing w:val="-6"/>
          <w:szCs w:val="22"/>
        </w:rPr>
        <w:t>级事件时要在</w:t>
      </w:r>
      <w:r>
        <w:rPr>
          <w:spacing w:val="-6"/>
          <w:szCs w:val="22"/>
        </w:rPr>
        <w:t xml:space="preserve"> 5 </w:t>
      </w:r>
      <w:r>
        <w:rPr>
          <w:rFonts w:hint="eastAsia"/>
          <w:spacing w:val="-6"/>
          <w:szCs w:val="22"/>
        </w:rPr>
        <w:t>分钟内上报应急指挥部。</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⑶应急指挥部立即向总指挥报告。</w:t>
      </w:r>
    </w:p>
    <w:p w:rsidR="00B04AE3" w:rsidRDefault="00B04AE3">
      <w:pPr>
        <w:pStyle w:val="ListParagraph"/>
        <w:numPr>
          <w:ilvl w:val="2"/>
          <w:numId w:val="27"/>
        </w:numPr>
        <w:tabs>
          <w:tab w:val="left" w:pos="1358"/>
        </w:tabs>
        <w:spacing w:before="160"/>
        <w:ind w:left="1357" w:hanging="540"/>
        <w:rPr>
          <w:b/>
          <w:sz w:val="24"/>
        </w:rPr>
      </w:pPr>
      <w:bookmarkStart w:id="116" w:name="7.1.5报告内容"/>
      <w:bookmarkEnd w:id="116"/>
      <w:r>
        <w:rPr>
          <w:rFonts w:hint="eastAsia"/>
          <w:b/>
          <w:sz w:val="24"/>
        </w:rPr>
        <w:t>报告内容</w:t>
      </w:r>
    </w:p>
    <w:p w:rsidR="00B04AE3" w:rsidRDefault="00B04AE3">
      <w:pPr>
        <w:pStyle w:val="BodyText"/>
        <w:spacing w:before="160"/>
        <w:ind w:left="817"/>
      </w:pPr>
      <w:r>
        <w:rPr>
          <w:rFonts w:hint="eastAsia"/>
        </w:rPr>
        <w:t>公司内突发</w:t>
      </w:r>
      <w:r>
        <w:t xml:space="preserve"> </w:t>
      </w:r>
      <w:r>
        <w:rPr>
          <w:rFonts w:ascii="Times New Roman" w:eastAsia="Times New Roman"/>
        </w:rPr>
        <w:t xml:space="preserve">III </w:t>
      </w:r>
      <w:r>
        <w:rPr>
          <w:rFonts w:hint="eastAsia"/>
        </w:rPr>
        <w:t>级环境事件内部报告内容见表</w:t>
      </w:r>
      <w:r>
        <w:t xml:space="preserve"> </w:t>
      </w:r>
      <w:r>
        <w:rPr>
          <w:rFonts w:ascii="Times New Roman" w:eastAsia="Times New Roman"/>
        </w:rPr>
        <w:t>7.1-1</w:t>
      </w:r>
      <w:r>
        <w:rPr>
          <w:rFonts w:hint="eastAsia"/>
        </w:rPr>
        <w:t>。</w:t>
      </w:r>
    </w:p>
    <w:p w:rsidR="00B04AE3" w:rsidRDefault="00B04AE3">
      <w:pPr>
        <w:tabs>
          <w:tab w:val="left" w:pos="3332"/>
        </w:tabs>
        <w:spacing w:before="158" w:after="3"/>
        <w:ind w:left="2293"/>
        <w:rPr>
          <w:b/>
          <w:sz w:val="24"/>
        </w:rPr>
      </w:pPr>
      <w:r>
        <w:rPr>
          <w:rFonts w:hint="eastAsia"/>
          <w:b/>
          <w:sz w:val="24"/>
        </w:rPr>
        <w:t>表</w:t>
      </w:r>
      <w:r>
        <w:rPr>
          <w:b/>
          <w:spacing w:val="-62"/>
          <w:sz w:val="24"/>
        </w:rPr>
        <w:t xml:space="preserve"> </w:t>
      </w:r>
      <w:r>
        <w:rPr>
          <w:rFonts w:ascii="Times New Roman" w:eastAsia="Times New Roman"/>
          <w:b/>
          <w:sz w:val="24"/>
        </w:rPr>
        <w:t>7.1-1</w:t>
      </w:r>
      <w:r>
        <w:rPr>
          <w:rFonts w:ascii="Times New Roman" w:eastAsia="Times New Roman"/>
          <w:b/>
          <w:sz w:val="24"/>
        </w:rPr>
        <w:tab/>
      </w:r>
      <w:r>
        <w:rPr>
          <w:rFonts w:hint="eastAsia"/>
          <w:b/>
          <w:sz w:val="24"/>
        </w:rPr>
        <w:t>突发环境事件内部报告内容一览表</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861"/>
        <w:gridCol w:w="6807"/>
        <w:gridCol w:w="860"/>
      </w:tblGrid>
      <w:tr w:rsidR="00B04AE3">
        <w:trPr>
          <w:trHeight w:val="397"/>
        </w:trPr>
        <w:tc>
          <w:tcPr>
            <w:tcW w:w="861" w:type="dxa"/>
            <w:shd w:val="clear" w:color="auto" w:fill="DFDFDF"/>
          </w:tcPr>
          <w:p w:rsidR="00B04AE3" w:rsidRDefault="00B04AE3">
            <w:pPr>
              <w:pStyle w:val="TableParagraph"/>
              <w:spacing w:before="63"/>
              <w:ind w:left="197" w:right="191"/>
              <w:rPr>
                <w:b/>
                <w:sz w:val="21"/>
              </w:rPr>
            </w:pPr>
            <w:bookmarkStart w:id="117" w:name="_bookmark29"/>
            <w:bookmarkEnd w:id="117"/>
            <w:r>
              <w:rPr>
                <w:rFonts w:hint="eastAsia"/>
                <w:b/>
                <w:sz w:val="21"/>
              </w:rPr>
              <w:t>序号</w:t>
            </w:r>
          </w:p>
        </w:tc>
        <w:tc>
          <w:tcPr>
            <w:tcW w:w="6807" w:type="dxa"/>
            <w:shd w:val="clear" w:color="auto" w:fill="DFDFDF"/>
          </w:tcPr>
          <w:p w:rsidR="00B04AE3" w:rsidRDefault="00B04AE3">
            <w:pPr>
              <w:pStyle w:val="TableParagraph"/>
              <w:spacing w:before="63"/>
              <w:ind w:left="966" w:right="950"/>
              <w:rPr>
                <w:b/>
                <w:sz w:val="21"/>
              </w:rPr>
            </w:pPr>
            <w:r>
              <w:rPr>
                <w:rFonts w:hint="eastAsia"/>
                <w:b/>
                <w:sz w:val="21"/>
              </w:rPr>
              <w:t>突发环境事件报告内容</w:t>
            </w:r>
          </w:p>
        </w:tc>
        <w:tc>
          <w:tcPr>
            <w:tcW w:w="860" w:type="dxa"/>
            <w:shd w:val="clear" w:color="auto" w:fill="DFDFDF"/>
          </w:tcPr>
          <w:p w:rsidR="00B04AE3" w:rsidRDefault="00B04AE3">
            <w:pPr>
              <w:pStyle w:val="TableParagraph"/>
              <w:spacing w:before="63"/>
              <w:ind w:left="218"/>
              <w:jc w:val="left"/>
              <w:rPr>
                <w:b/>
                <w:sz w:val="21"/>
              </w:rPr>
            </w:pPr>
            <w:r>
              <w:rPr>
                <w:rFonts w:hint="eastAsia"/>
                <w:b/>
                <w:sz w:val="21"/>
              </w:rPr>
              <w:t>备注</w:t>
            </w:r>
          </w:p>
        </w:tc>
      </w:tr>
      <w:tr w:rsidR="00B04AE3">
        <w:trPr>
          <w:trHeight w:val="396"/>
        </w:trPr>
        <w:tc>
          <w:tcPr>
            <w:tcW w:w="861" w:type="dxa"/>
          </w:tcPr>
          <w:p w:rsidR="00B04AE3" w:rsidRDefault="00B04AE3">
            <w:pPr>
              <w:pStyle w:val="TableParagraph"/>
              <w:spacing w:before="76"/>
              <w:ind w:left="7"/>
              <w:rPr>
                <w:rFonts w:ascii="Times New Roman"/>
                <w:sz w:val="21"/>
              </w:rPr>
            </w:pPr>
            <w:r>
              <w:rPr>
                <w:rFonts w:ascii="Times New Roman"/>
                <w:w w:val="99"/>
                <w:sz w:val="21"/>
              </w:rPr>
              <w:t>1</w:t>
            </w:r>
          </w:p>
        </w:tc>
        <w:tc>
          <w:tcPr>
            <w:tcW w:w="6807" w:type="dxa"/>
          </w:tcPr>
          <w:p w:rsidR="00B04AE3" w:rsidRDefault="00B04AE3">
            <w:pPr>
              <w:pStyle w:val="TableParagraph"/>
              <w:spacing w:before="62"/>
              <w:ind w:left="964" w:right="960"/>
              <w:rPr>
                <w:sz w:val="21"/>
              </w:rPr>
            </w:pPr>
            <w:r>
              <w:rPr>
                <w:rFonts w:hint="eastAsia"/>
                <w:sz w:val="21"/>
              </w:rPr>
              <w:t>事件概述</w:t>
            </w:r>
          </w:p>
        </w:tc>
        <w:tc>
          <w:tcPr>
            <w:tcW w:w="860" w:type="dxa"/>
          </w:tcPr>
          <w:p w:rsidR="00B04AE3" w:rsidRDefault="00B04AE3">
            <w:pPr>
              <w:pStyle w:val="TableParagraph"/>
              <w:jc w:val="left"/>
              <w:rPr>
                <w:rFonts w:ascii="Times New Roman"/>
              </w:rPr>
            </w:pPr>
          </w:p>
        </w:tc>
      </w:tr>
      <w:tr w:rsidR="00B04AE3">
        <w:trPr>
          <w:trHeight w:val="397"/>
        </w:trPr>
        <w:tc>
          <w:tcPr>
            <w:tcW w:w="861" w:type="dxa"/>
          </w:tcPr>
          <w:p w:rsidR="00B04AE3" w:rsidRDefault="00B04AE3">
            <w:pPr>
              <w:pStyle w:val="TableParagraph"/>
              <w:spacing w:before="77"/>
              <w:ind w:left="7"/>
              <w:rPr>
                <w:rFonts w:ascii="Times New Roman"/>
                <w:sz w:val="21"/>
              </w:rPr>
            </w:pPr>
            <w:r>
              <w:rPr>
                <w:rFonts w:ascii="Times New Roman"/>
                <w:w w:val="99"/>
                <w:sz w:val="21"/>
              </w:rPr>
              <w:t>2</w:t>
            </w:r>
          </w:p>
        </w:tc>
        <w:tc>
          <w:tcPr>
            <w:tcW w:w="6807" w:type="dxa"/>
          </w:tcPr>
          <w:p w:rsidR="00B04AE3" w:rsidRDefault="00B04AE3">
            <w:pPr>
              <w:pStyle w:val="TableParagraph"/>
              <w:spacing w:before="63"/>
              <w:ind w:left="964" w:right="960"/>
              <w:rPr>
                <w:sz w:val="21"/>
              </w:rPr>
            </w:pPr>
            <w:r>
              <w:rPr>
                <w:rFonts w:hint="eastAsia"/>
                <w:sz w:val="21"/>
              </w:rPr>
              <w:t>事件时间</w:t>
            </w:r>
          </w:p>
        </w:tc>
        <w:tc>
          <w:tcPr>
            <w:tcW w:w="860" w:type="dxa"/>
          </w:tcPr>
          <w:p w:rsidR="00B04AE3" w:rsidRDefault="00B04AE3">
            <w:pPr>
              <w:pStyle w:val="TableParagraph"/>
              <w:jc w:val="left"/>
              <w:rPr>
                <w:rFonts w:ascii="Times New Roman"/>
              </w:rPr>
            </w:pPr>
          </w:p>
        </w:tc>
      </w:tr>
      <w:tr w:rsidR="00B04AE3">
        <w:trPr>
          <w:trHeight w:val="397"/>
        </w:trPr>
        <w:tc>
          <w:tcPr>
            <w:tcW w:w="861" w:type="dxa"/>
          </w:tcPr>
          <w:p w:rsidR="00B04AE3" w:rsidRDefault="00B04AE3">
            <w:pPr>
              <w:pStyle w:val="TableParagraph"/>
              <w:spacing w:before="78"/>
              <w:ind w:left="7"/>
              <w:rPr>
                <w:rFonts w:ascii="Times New Roman"/>
                <w:sz w:val="21"/>
              </w:rPr>
            </w:pPr>
            <w:r>
              <w:rPr>
                <w:rFonts w:ascii="Times New Roman"/>
                <w:w w:val="99"/>
                <w:sz w:val="21"/>
              </w:rPr>
              <w:t>3</w:t>
            </w:r>
          </w:p>
        </w:tc>
        <w:tc>
          <w:tcPr>
            <w:tcW w:w="6807" w:type="dxa"/>
          </w:tcPr>
          <w:p w:rsidR="00B04AE3" w:rsidRDefault="00B04AE3">
            <w:pPr>
              <w:pStyle w:val="TableParagraph"/>
              <w:spacing w:before="64"/>
              <w:ind w:left="964" w:right="960"/>
              <w:rPr>
                <w:sz w:val="21"/>
              </w:rPr>
            </w:pPr>
            <w:r>
              <w:rPr>
                <w:rFonts w:hint="eastAsia"/>
                <w:sz w:val="21"/>
              </w:rPr>
              <w:t>事件地点</w:t>
            </w:r>
          </w:p>
        </w:tc>
        <w:tc>
          <w:tcPr>
            <w:tcW w:w="860" w:type="dxa"/>
          </w:tcPr>
          <w:p w:rsidR="00B04AE3" w:rsidRDefault="00B04AE3">
            <w:pPr>
              <w:pStyle w:val="TableParagraph"/>
              <w:jc w:val="left"/>
              <w:rPr>
                <w:rFonts w:ascii="Times New Roman"/>
              </w:rPr>
            </w:pPr>
          </w:p>
        </w:tc>
      </w:tr>
      <w:tr w:rsidR="00B04AE3">
        <w:trPr>
          <w:trHeight w:val="396"/>
        </w:trPr>
        <w:tc>
          <w:tcPr>
            <w:tcW w:w="861" w:type="dxa"/>
          </w:tcPr>
          <w:p w:rsidR="00B04AE3" w:rsidRDefault="00B04AE3">
            <w:pPr>
              <w:pStyle w:val="TableParagraph"/>
              <w:spacing w:before="76"/>
              <w:ind w:left="7"/>
              <w:rPr>
                <w:rFonts w:ascii="Times New Roman"/>
                <w:sz w:val="21"/>
              </w:rPr>
            </w:pPr>
            <w:r>
              <w:rPr>
                <w:rFonts w:ascii="Times New Roman"/>
                <w:w w:val="99"/>
                <w:sz w:val="21"/>
              </w:rPr>
              <w:t>4</w:t>
            </w:r>
          </w:p>
        </w:tc>
        <w:tc>
          <w:tcPr>
            <w:tcW w:w="6807" w:type="dxa"/>
          </w:tcPr>
          <w:p w:rsidR="00B04AE3" w:rsidRDefault="00B04AE3">
            <w:pPr>
              <w:pStyle w:val="TableParagraph"/>
              <w:spacing w:before="62"/>
              <w:ind w:left="964" w:right="960"/>
              <w:rPr>
                <w:sz w:val="21"/>
              </w:rPr>
            </w:pPr>
            <w:r>
              <w:rPr>
                <w:rFonts w:hint="eastAsia"/>
                <w:sz w:val="21"/>
              </w:rPr>
              <w:t>初步原因</w:t>
            </w:r>
          </w:p>
        </w:tc>
        <w:tc>
          <w:tcPr>
            <w:tcW w:w="860" w:type="dxa"/>
          </w:tcPr>
          <w:p w:rsidR="00B04AE3" w:rsidRDefault="00B04AE3">
            <w:pPr>
              <w:pStyle w:val="TableParagraph"/>
              <w:jc w:val="left"/>
              <w:rPr>
                <w:rFonts w:ascii="Times New Roman"/>
              </w:rPr>
            </w:pPr>
          </w:p>
        </w:tc>
      </w:tr>
      <w:tr w:rsidR="00B04AE3">
        <w:trPr>
          <w:trHeight w:val="397"/>
        </w:trPr>
        <w:tc>
          <w:tcPr>
            <w:tcW w:w="861" w:type="dxa"/>
          </w:tcPr>
          <w:p w:rsidR="00B04AE3" w:rsidRDefault="00B04AE3">
            <w:pPr>
              <w:pStyle w:val="TableParagraph"/>
              <w:spacing w:before="77"/>
              <w:ind w:left="7"/>
              <w:rPr>
                <w:rFonts w:ascii="Times New Roman"/>
                <w:sz w:val="21"/>
              </w:rPr>
            </w:pPr>
            <w:r>
              <w:rPr>
                <w:rFonts w:ascii="Times New Roman"/>
                <w:w w:val="99"/>
                <w:sz w:val="21"/>
              </w:rPr>
              <w:t>5</w:t>
            </w:r>
          </w:p>
        </w:tc>
        <w:tc>
          <w:tcPr>
            <w:tcW w:w="6807" w:type="dxa"/>
          </w:tcPr>
          <w:p w:rsidR="00B04AE3" w:rsidRDefault="00B04AE3">
            <w:pPr>
              <w:pStyle w:val="TableParagraph"/>
              <w:spacing w:before="63"/>
              <w:ind w:left="966" w:right="960"/>
              <w:rPr>
                <w:sz w:val="21"/>
              </w:rPr>
            </w:pPr>
            <w:r>
              <w:rPr>
                <w:rFonts w:hint="eastAsia"/>
                <w:sz w:val="21"/>
              </w:rPr>
              <w:t>污染物泄漏量</w:t>
            </w:r>
          </w:p>
        </w:tc>
        <w:tc>
          <w:tcPr>
            <w:tcW w:w="860" w:type="dxa"/>
          </w:tcPr>
          <w:p w:rsidR="00B04AE3" w:rsidRDefault="00B04AE3">
            <w:pPr>
              <w:pStyle w:val="TableParagraph"/>
              <w:jc w:val="left"/>
              <w:rPr>
                <w:rFonts w:ascii="Times New Roman"/>
              </w:rPr>
            </w:pPr>
          </w:p>
        </w:tc>
      </w:tr>
      <w:tr w:rsidR="00B04AE3">
        <w:trPr>
          <w:trHeight w:val="396"/>
        </w:trPr>
        <w:tc>
          <w:tcPr>
            <w:tcW w:w="861" w:type="dxa"/>
          </w:tcPr>
          <w:p w:rsidR="00B04AE3" w:rsidRDefault="00B04AE3">
            <w:pPr>
              <w:pStyle w:val="TableParagraph"/>
              <w:spacing w:before="76"/>
              <w:ind w:left="7"/>
              <w:rPr>
                <w:rFonts w:ascii="Times New Roman"/>
                <w:sz w:val="21"/>
              </w:rPr>
            </w:pPr>
            <w:r>
              <w:rPr>
                <w:rFonts w:ascii="Times New Roman"/>
                <w:w w:val="99"/>
                <w:sz w:val="21"/>
              </w:rPr>
              <w:t>6</w:t>
            </w:r>
          </w:p>
        </w:tc>
        <w:tc>
          <w:tcPr>
            <w:tcW w:w="6807" w:type="dxa"/>
          </w:tcPr>
          <w:p w:rsidR="00B04AE3" w:rsidRDefault="00B04AE3">
            <w:pPr>
              <w:pStyle w:val="TableParagraph"/>
              <w:spacing w:before="62"/>
              <w:ind w:left="966" w:right="960"/>
              <w:rPr>
                <w:sz w:val="21"/>
              </w:rPr>
            </w:pPr>
            <w:r>
              <w:rPr>
                <w:rFonts w:hint="eastAsia"/>
                <w:sz w:val="21"/>
              </w:rPr>
              <w:t>污染影响范围</w:t>
            </w:r>
          </w:p>
        </w:tc>
        <w:tc>
          <w:tcPr>
            <w:tcW w:w="860" w:type="dxa"/>
          </w:tcPr>
          <w:p w:rsidR="00B04AE3" w:rsidRDefault="00B04AE3">
            <w:pPr>
              <w:pStyle w:val="TableParagraph"/>
              <w:jc w:val="left"/>
              <w:rPr>
                <w:rFonts w:ascii="Times New Roman"/>
              </w:rPr>
            </w:pPr>
          </w:p>
        </w:tc>
      </w:tr>
      <w:tr w:rsidR="00B04AE3">
        <w:trPr>
          <w:trHeight w:val="397"/>
        </w:trPr>
        <w:tc>
          <w:tcPr>
            <w:tcW w:w="861" w:type="dxa"/>
          </w:tcPr>
          <w:p w:rsidR="00B04AE3" w:rsidRDefault="00B04AE3">
            <w:pPr>
              <w:pStyle w:val="TableParagraph"/>
              <w:spacing w:before="77"/>
              <w:ind w:left="7"/>
              <w:rPr>
                <w:rFonts w:ascii="Times New Roman"/>
                <w:sz w:val="21"/>
              </w:rPr>
            </w:pPr>
            <w:r>
              <w:rPr>
                <w:rFonts w:ascii="Times New Roman"/>
                <w:w w:val="99"/>
                <w:sz w:val="21"/>
              </w:rPr>
              <w:t>7</w:t>
            </w:r>
          </w:p>
        </w:tc>
        <w:tc>
          <w:tcPr>
            <w:tcW w:w="6807" w:type="dxa"/>
          </w:tcPr>
          <w:p w:rsidR="00B04AE3" w:rsidRDefault="00B04AE3">
            <w:pPr>
              <w:pStyle w:val="TableParagraph"/>
              <w:spacing w:before="63"/>
              <w:ind w:left="966" w:right="960"/>
              <w:rPr>
                <w:sz w:val="21"/>
              </w:rPr>
            </w:pPr>
            <w:r>
              <w:rPr>
                <w:rFonts w:hint="eastAsia"/>
                <w:sz w:val="21"/>
              </w:rPr>
              <w:t>人员伤亡情况</w:t>
            </w:r>
          </w:p>
        </w:tc>
        <w:tc>
          <w:tcPr>
            <w:tcW w:w="860" w:type="dxa"/>
          </w:tcPr>
          <w:p w:rsidR="00B04AE3" w:rsidRDefault="00B04AE3">
            <w:pPr>
              <w:pStyle w:val="TableParagraph"/>
              <w:jc w:val="left"/>
              <w:rPr>
                <w:rFonts w:ascii="Times New Roman"/>
              </w:rPr>
            </w:pPr>
          </w:p>
        </w:tc>
      </w:tr>
      <w:tr w:rsidR="00B04AE3">
        <w:trPr>
          <w:trHeight w:val="397"/>
        </w:trPr>
        <w:tc>
          <w:tcPr>
            <w:tcW w:w="861" w:type="dxa"/>
          </w:tcPr>
          <w:p w:rsidR="00B04AE3" w:rsidRDefault="00B04AE3">
            <w:pPr>
              <w:pStyle w:val="TableParagraph"/>
              <w:spacing w:before="78"/>
              <w:ind w:left="7"/>
              <w:rPr>
                <w:rFonts w:ascii="Times New Roman"/>
                <w:sz w:val="21"/>
              </w:rPr>
            </w:pPr>
            <w:r>
              <w:rPr>
                <w:rFonts w:ascii="Times New Roman"/>
                <w:w w:val="99"/>
                <w:sz w:val="21"/>
              </w:rPr>
              <w:t>8</w:t>
            </w:r>
          </w:p>
        </w:tc>
        <w:tc>
          <w:tcPr>
            <w:tcW w:w="6807" w:type="dxa"/>
          </w:tcPr>
          <w:p w:rsidR="00B04AE3" w:rsidRDefault="00B04AE3">
            <w:pPr>
              <w:pStyle w:val="TableParagraph"/>
              <w:spacing w:before="64"/>
              <w:ind w:left="966" w:right="960"/>
              <w:rPr>
                <w:sz w:val="21"/>
              </w:rPr>
            </w:pPr>
            <w:r>
              <w:rPr>
                <w:rFonts w:hint="eastAsia"/>
                <w:sz w:val="21"/>
              </w:rPr>
              <w:t>人员救治情况</w:t>
            </w:r>
          </w:p>
        </w:tc>
        <w:tc>
          <w:tcPr>
            <w:tcW w:w="860" w:type="dxa"/>
          </w:tcPr>
          <w:p w:rsidR="00B04AE3" w:rsidRDefault="00B04AE3">
            <w:pPr>
              <w:pStyle w:val="TableParagraph"/>
              <w:jc w:val="left"/>
              <w:rPr>
                <w:rFonts w:ascii="Times New Roman"/>
              </w:rPr>
            </w:pPr>
          </w:p>
        </w:tc>
      </w:tr>
      <w:tr w:rsidR="00B04AE3">
        <w:trPr>
          <w:trHeight w:val="396"/>
        </w:trPr>
        <w:tc>
          <w:tcPr>
            <w:tcW w:w="861" w:type="dxa"/>
          </w:tcPr>
          <w:p w:rsidR="00B04AE3" w:rsidRDefault="00B04AE3">
            <w:pPr>
              <w:pStyle w:val="TableParagraph"/>
              <w:spacing w:before="76"/>
              <w:ind w:left="7"/>
              <w:rPr>
                <w:rFonts w:ascii="Times New Roman"/>
                <w:sz w:val="21"/>
              </w:rPr>
            </w:pPr>
            <w:r>
              <w:rPr>
                <w:rFonts w:ascii="Times New Roman"/>
                <w:w w:val="99"/>
                <w:sz w:val="21"/>
              </w:rPr>
              <w:t>9</w:t>
            </w:r>
          </w:p>
        </w:tc>
        <w:tc>
          <w:tcPr>
            <w:tcW w:w="6807" w:type="dxa"/>
          </w:tcPr>
          <w:p w:rsidR="00B04AE3" w:rsidRDefault="00B04AE3">
            <w:pPr>
              <w:pStyle w:val="TableParagraph"/>
              <w:spacing w:before="62"/>
              <w:ind w:left="964" w:right="960"/>
              <w:rPr>
                <w:sz w:val="21"/>
              </w:rPr>
            </w:pPr>
            <w:r>
              <w:rPr>
                <w:rFonts w:hint="eastAsia"/>
                <w:sz w:val="21"/>
              </w:rPr>
              <w:t>受影响单位或居民需开展的个人防护注意事项</w:t>
            </w:r>
          </w:p>
        </w:tc>
        <w:tc>
          <w:tcPr>
            <w:tcW w:w="860" w:type="dxa"/>
          </w:tcPr>
          <w:p w:rsidR="00B04AE3" w:rsidRDefault="00B04AE3">
            <w:pPr>
              <w:pStyle w:val="TableParagraph"/>
              <w:jc w:val="left"/>
              <w:rPr>
                <w:rFonts w:ascii="Times New Roman"/>
              </w:rPr>
            </w:pPr>
          </w:p>
        </w:tc>
      </w:tr>
      <w:tr w:rsidR="00B04AE3">
        <w:trPr>
          <w:trHeight w:val="397"/>
        </w:trPr>
        <w:tc>
          <w:tcPr>
            <w:tcW w:w="861" w:type="dxa"/>
          </w:tcPr>
          <w:p w:rsidR="00B04AE3" w:rsidRDefault="00B04AE3">
            <w:pPr>
              <w:pStyle w:val="TableParagraph"/>
              <w:spacing w:before="77"/>
              <w:ind w:left="197" w:right="190"/>
              <w:rPr>
                <w:rFonts w:ascii="Times New Roman"/>
                <w:sz w:val="21"/>
              </w:rPr>
            </w:pPr>
            <w:r>
              <w:rPr>
                <w:rFonts w:ascii="Times New Roman"/>
                <w:sz w:val="21"/>
              </w:rPr>
              <w:t>10</w:t>
            </w:r>
          </w:p>
        </w:tc>
        <w:tc>
          <w:tcPr>
            <w:tcW w:w="6807" w:type="dxa"/>
          </w:tcPr>
          <w:p w:rsidR="00B04AE3" w:rsidRDefault="00B04AE3">
            <w:pPr>
              <w:pStyle w:val="TableParagraph"/>
              <w:spacing w:before="63"/>
              <w:ind w:left="964" w:right="960"/>
              <w:rPr>
                <w:sz w:val="21"/>
              </w:rPr>
            </w:pPr>
            <w:r>
              <w:rPr>
                <w:rFonts w:hint="eastAsia"/>
                <w:sz w:val="21"/>
              </w:rPr>
              <w:t>疏散要求</w:t>
            </w:r>
          </w:p>
        </w:tc>
        <w:tc>
          <w:tcPr>
            <w:tcW w:w="860" w:type="dxa"/>
          </w:tcPr>
          <w:p w:rsidR="00B04AE3" w:rsidRDefault="00B04AE3">
            <w:pPr>
              <w:pStyle w:val="TableParagraph"/>
              <w:jc w:val="left"/>
              <w:rPr>
                <w:rFonts w:ascii="Times New Roman"/>
              </w:rPr>
            </w:pPr>
          </w:p>
        </w:tc>
      </w:tr>
      <w:tr w:rsidR="00B04AE3">
        <w:trPr>
          <w:trHeight w:val="397"/>
        </w:trPr>
        <w:tc>
          <w:tcPr>
            <w:tcW w:w="861" w:type="dxa"/>
          </w:tcPr>
          <w:p w:rsidR="00B04AE3" w:rsidRDefault="00B04AE3">
            <w:pPr>
              <w:pStyle w:val="TableParagraph"/>
              <w:spacing w:before="76"/>
              <w:ind w:left="197" w:right="185"/>
              <w:rPr>
                <w:rFonts w:ascii="Times New Roman"/>
                <w:sz w:val="21"/>
              </w:rPr>
            </w:pPr>
            <w:r>
              <w:rPr>
                <w:rFonts w:ascii="Times New Roman"/>
                <w:sz w:val="21"/>
              </w:rPr>
              <w:t>11</w:t>
            </w:r>
          </w:p>
        </w:tc>
        <w:tc>
          <w:tcPr>
            <w:tcW w:w="6807" w:type="dxa"/>
          </w:tcPr>
          <w:p w:rsidR="00B04AE3" w:rsidRDefault="00B04AE3">
            <w:pPr>
              <w:pStyle w:val="TableParagraph"/>
              <w:spacing w:before="62"/>
              <w:ind w:left="966" w:right="960"/>
              <w:rPr>
                <w:sz w:val="21"/>
              </w:rPr>
            </w:pPr>
            <w:r>
              <w:rPr>
                <w:rFonts w:hint="eastAsia"/>
                <w:sz w:val="21"/>
              </w:rPr>
              <w:t>需要有关部门和单位协助事故抢救和处理的有关事宜</w:t>
            </w:r>
          </w:p>
        </w:tc>
        <w:tc>
          <w:tcPr>
            <w:tcW w:w="860" w:type="dxa"/>
          </w:tcPr>
          <w:p w:rsidR="00B04AE3" w:rsidRDefault="00B04AE3">
            <w:pPr>
              <w:pStyle w:val="TableParagraph"/>
              <w:jc w:val="left"/>
              <w:rPr>
                <w:rFonts w:ascii="Times New Roman"/>
              </w:rPr>
            </w:pPr>
          </w:p>
        </w:tc>
      </w:tr>
      <w:tr w:rsidR="00B04AE3">
        <w:trPr>
          <w:trHeight w:val="397"/>
        </w:trPr>
        <w:tc>
          <w:tcPr>
            <w:tcW w:w="861" w:type="dxa"/>
          </w:tcPr>
          <w:p w:rsidR="00B04AE3" w:rsidRDefault="00B04AE3">
            <w:pPr>
              <w:pStyle w:val="TableParagraph"/>
              <w:spacing w:before="77"/>
              <w:ind w:left="197" w:right="190"/>
              <w:rPr>
                <w:rFonts w:ascii="Times New Roman"/>
                <w:sz w:val="21"/>
              </w:rPr>
            </w:pPr>
            <w:r>
              <w:rPr>
                <w:rFonts w:ascii="Times New Roman"/>
                <w:sz w:val="21"/>
              </w:rPr>
              <w:t>12</w:t>
            </w:r>
          </w:p>
        </w:tc>
        <w:tc>
          <w:tcPr>
            <w:tcW w:w="6807" w:type="dxa"/>
          </w:tcPr>
          <w:p w:rsidR="00B04AE3" w:rsidRDefault="00B04AE3">
            <w:pPr>
              <w:pStyle w:val="TableParagraph"/>
              <w:spacing w:before="63"/>
              <w:ind w:left="966" w:right="960"/>
              <w:rPr>
                <w:sz w:val="21"/>
              </w:rPr>
            </w:pPr>
            <w:r>
              <w:rPr>
                <w:rFonts w:hint="eastAsia"/>
                <w:sz w:val="21"/>
              </w:rPr>
              <w:t>设施损坏情况</w:t>
            </w:r>
          </w:p>
        </w:tc>
        <w:tc>
          <w:tcPr>
            <w:tcW w:w="860" w:type="dxa"/>
          </w:tcPr>
          <w:p w:rsidR="00B04AE3" w:rsidRDefault="00B04AE3">
            <w:pPr>
              <w:pStyle w:val="TableParagraph"/>
              <w:jc w:val="left"/>
              <w:rPr>
                <w:rFonts w:ascii="Times New Roman"/>
              </w:rPr>
            </w:pPr>
          </w:p>
        </w:tc>
      </w:tr>
      <w:tr w:rsidR="00B04AE3">
        <w:trPr>
          <w:trHeight w:val="396"/>
        </w:trPr>
        <w:tc>
          <w:tcPr>
            <w:tcW w:w="861" w:type="dxa"/>
          </w:tcPr>
          <w:p w:rsidR="00B04AE3" w:rsidRDefault="00B04AE3">
            <w:pPr>
              <w:pStyle w:val="TableParagraph"/>
              <w:spacing w:before="76"/>
              <w:ind w:left="197" w:right="190"/>
              <w:rPr>
                <w:rFonts w:ascii="Times New Roman"/>
                <w:sz w:val="21"/>
              </w:rPr>
            </w:pPr>
            <w:r>
              <w:rPr>
                <w:rFonts w:ascii="Times New Roman"/>
                <w:sz w:val="21"/>
              </w:rPr>
              <w:t>13</w:t>
            </w:r>
          </w:p>
        </w:tc>
        <w:tc>
          <w:tcPr>
            <w:tcW w:w="6807" w:type="dxa"/>
          </w:tcPr>
          <w:p w:rsidR="00B04AE3" w:rsidRDefault="00B04AE3">
            <w:pPr>
              <w:pStyle w:val="TableParagraph"/>
              <w:spacing w:before="62"/>
              <w:ind w:left="966" w:right="960"/>
              <w:rPr>
                <w:sz w:val="21"/>
              </w:rPr>
            </w:pPr>
            <w:r>
              <w:rPr>
                <w:rFonts w:hint="eastAsia"/>
                <w:sz w:val="21"/>
              </w:rPr>
              <w:t>财产损失情况</w:t>
            </w:r>
          </w:p>
        </w:tc>
        <w:tc>
          <w:tcPr>
            <w:tcW w:w="860" w:type="dxa"/>
          </w:tcPr>
          <w:p w:rsidR="00B04AE3" w:rsidRDefault="00B04AE3">
            <w:pPr>
              <w:pStyle w:val="TableParagraph"/>
              <w:jc w:val="left"/>
              <w:rPr>
                <w:rFonts w:ascii="Times New Roman"/>
              </w:rPr>
            </w:pPr>
          </w:p>
        </w:tc>
      </w:tr>
      <w:tr w:rsidR="00B04AE3">
        <w:trPr>
          <w:trHeight w:val="397"/>
        </w:trPr>
        <w:tc>
          <w:tcPr>
            <w:tcW w:w="861" w:type="dxa"/>
          </w:tcPr>
          <w:p w:rsidR="00B04AE3" w:rsidRDefault="00B04AE3">
            <w:pPr>
              <w:pStyle w:val="TableParagraph"/>
              <w:spacing w:before="77"/>
              <w:ind w:left="197" w:right="190"/>
              <w:rPr>
                <w:rFonts w:ascii="Times New Roman"/>
                <w:sz w:val="21"/>
              </w:rPr>
            </w:pPr>
            <w:r>
              <w:rPr>
                <w:rFonts w:ascii="Times New Roman"/>
                <w:sz w:val="21"/>
              </w:rPr>
              <w:t>14</w:t>
            </w:r>
          </w:p>
        </w:tc>
        <w:tc>
          <w:tcPr>
            <w:tcW w:w="6807" w:type="dxa"/>
          </w:tcPr>
          <w:p w:rsidR="00B04AE3" w:rsidRDefault="00B04AE3">
            <w:pPr>
              <w:pStyle w:val="TableParagraph"/>
              <w:spacing w:before="63"/>
              <w:ind w:left="966" w:right="960"/>
              <w:rPr>
                <w:sz w:val="21"/>
              </w:rPr>
            </w:pPr>
            <w:r>
              <w:rPr>
                <w:rFonts w:hint="eastAsia"/>
                <w:sz w:val="21"/>
              </w:rPr>
              <w:t>事故（事件）的报告单位、签发人和时间</w:t>
            </w:r>
          </w:p>
        </w:tc>
        <w:tc>
          <w:tcPr>
            <w:tcW w:w="860" w:type="dxa"/>
          </w:tcPr>
          <w:p w:rsidR="00B04AE3" w:rsidRDefault="00B04AE3">
            <w:pPr>
              <w:pStyle w:val="TableParagraph"/>
              <w:jc w:val="left"/>
              <w:rPr>
                <w:rFonts w:ascii="Times New Roman"/>
              </w:rPr>
            </w:pPr>
          </w:p>
        </w:tc>
      </w:tr>
    </w:tbl>
    <w:p w:rsidR="00B04AE3" w:rsidRDefault="00B04AE3">
      <w:pPr>
        <w:pStyle w:val="BodyText"/>
        <w:spacing w:before="20" w:line="360" w:lineRule="auto"/>
        <w:ind w:left="334" w:right="334" w:firstLine="482"/>
        <w:jc w:val="both"/>
        <w:rPr>
          <w:spacing w:val="-6"/>
          <w:szCs w:val="22"/>
        </w:rPr>
      </w:pPr>
      <w:r>
        <w:rPr>
          <w:rFonts w:hint="eastAsia"/>
          <w:spacing w:val="-6"/>
          <w:szCs w:val="22"/>
        </w:rPr>
        <w:t>信息通报应明确具体的负责人，公司发生</w:t>
      </w:r>
      <w:r>
        <w:rPr>
          <w:spacing w:val="-6"/>
          <w:szCs w:val="22"/>
        </w:rPr>
        <w:t xml:space="preserve"> I </w:t>
      </w:r>
      <w:r>
        <w:rPr>
          <w:rFonts w:hint="eastAsia"/>
          <w:spacing w:val="-6"/>
          <w:szCs w:val="22"/>
        </w:rPr>
        <w:t>级突发环境事件具体的负责人是应急指挥部总指挥（金云峰</w:t>
      </w:r>
      <w:r>
        <w:rPr>
          <w:spacing w:val="-6"/>
          <w:szCs w:val="22"/>
        </w:rPr>
        <w:t>15797906676</w:t>
      </w:r>
      <w:r>
        <w:rPr>
          <w:rFonts w:hint="eastAsia"/>
          <w:spacing w:val="-6"/>
          <w:szCs w:val="22"/>
        </w:rPr>
        <w:t>）或副总指挥（廖欣</w:t>
      </w:r>
      <w:r>
        <w:rPr>
          <w:spacing w:val="-6"/>
          <w:szCs w:val="22"/>
        </w:rPr>
        <w:t>13879166894</w:t>
      </w:r>
      <w:r>
        <w:rPr>
          <w:rFonts w:hint="eastAsia"/>
          <w:spacing w:val="-6"/>
          <w:szCs w:val="22"/>
        </w:rPr>
        <w:t>）；公司发生</w:t>
      </w:r>
      <w:r>
        <w:rPr>
          <w:spacing w:val="-6"/>
          <w:szCs w:val="22"/>
        </w:rPr>
        <w:t>II</w:t>
      </w:r>
      <w:r>
        <w:rPr>
          <w:rFonts w:hint="eastAsia"/>
          <w:spacing w:val="-6"/>
          <w:szCs w:val="22"/>
        </w:rPr>
        <w:t>级突发环境事件具体的负责人是警戒保卫组组长（张磊磊</w:t>
      </w:r>
      <w:r>
        <w:rPr>
          <w:spacing w:val="-6"/>
          <w:szCs w:val="22"/>
        </w:rPr>
        <w:t>13755774497</w:t>
      </w:r>
      <w:r>
        <w:rPr>
          <w:rFonts w:hint="eastAsia"/>
          <w:spacing w:val="-6"/>
          <w:szCs w:val="22"/>
        </w:rPr>
        <w:t>）；公司发生</w:t>
      </w:r>
      <w:r>
        <w:rPr>
          <w:spacing w:val="-6"/>
          <w:szCs w:val="22"/>
        </w:rPr>
        <w:t xml:space="preserve"> III </w:t>
      </w:r>
      <w:r>
        <w:rPr>
          <w:rFonts w:hint="eastAsia"/>
          <w:spacing w:val="-6"/>
          <w:szCs w:val="22"/>
        </w:rPr>
        <w:t>级突发环境事件具体的负责人是各车间或工段负责人。结合企业实际情况，针对已发生的突发环境事件，应简明扼要说明事态发展情况，已采取的防治措施，人员伤亡情况等，明确是否需要有关部门和单位协助事故抢救。</w:t>
      </w:r>
    </w:p>
    <w:p w:rsidR="00B04AE3" w:rsidRDefault="00B04AE3">
      <w:pPr>
        <w:pStyle w:val="ListParagraph"/>
        <w:numPr>
          <w:ilvl w:val="1"/>
          <w:numId w:val="27"/>
        </w:numPr>
        <w:tabs>
          <w:tab w:val="left" w:pos="787"/>
        </w:tabs>
        <w:spacing w:before="99"/>
        <w:ind w:left="786" w:hanging="449"/>
        <w:rPr>
          <w:rFonts w:ascii="Times New Roman" w:eastAsia="Times New Roman"/>
          <w:b/>
          <w:sz w:val="30"/>
        </w:rPr>
      </w:pPr>
      <w:bookmarkStart w:id="118" w:name="7.2信息上报"/>
      <w:bookmarkEnd w:id="118"/>
      <w:r>
        <w:rPr>
          <w:rFonts w:hint="eastAsia"/>
          <w:b/>
          <w:sz w:val="30"/>
        </w:rPr>
        <w:t>信息上报</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公司发生</w:t>
      </w:r>
      <w:r>
        <w:rPr>
          <w:spacing w:val="-6"/>
          <w:szCs w:val="22"/>
        </w:rPr>
        <w:t xml:space="preserve"> I </w:t>
      </w:r>
      <w:r>
        <w:rPr>
          <w:rFonts w:hint="eastAsia"/>
          <w:spacing w:val="-6"/>
          <w:szCs w:val="22"/>
        </w:rPr>
        <w:t>级突发环境事件难以自行处理，除执行内部报告外，还须在半小时之内将事件的详细情况汇报给经济技术开发区环保局应急办，请求援助以控制事故的发展扩大。</w:t>
      </w:r>
    </w:p>
    <w:p w:rsidR="00B04AE3" w:rsidRDefault="00B04AE3">
      <w:pPr>
        <w:pStyle w:val="BodyText"/>
        <w:spacing w:before="20" w:line="360" w:lineRule="auto"/>
        <w:ind w:left="334" w:right="334" w:firstLine="482"/>
        <w:jc w:val="both"/>
        <w:rPr>
          <w:spacing w:val="-6"/>
          <w:szCs w:val="22"/>
        </w:rPr>
      </w:pPr>
      <w:r>
        <w:rPr>
          <w:rFonts w:hint="eastAsia"/>
          <w:spacing w:val="-6"/>
          <w:szCs w:val="22"/>
        </w:rPr>
        <w:t>当突发环境事件发生初期无法按突发环境事件分级标准确认等级时，报告上注明初步判断的可能等级；随着事件的续报，可视情核定突发环境事件等级并报告应报送的部门。</w:t>
      </w:r>
    </w:p>
    <w:p w:rsidR="00B04AE3" w:rsidRDefault="00B04AE3">
      <w:pPr>
        <w:pStyle w:val="ListParagraph"/>
        <w:numPr>
          <w:ilvl w:val="2"/>
          <w:numId w:val="28"/>
        </w:numPr>
        <w:tabs>
          <w:tab w:val="left" w:pos="1358"/>
        </w:tabs>
        <w:spacing w:line="304" w:lineRule="exact"/>
        <w:rPr>
          <w:b/>
          <w:sz w:val="24"/>
        </w:rPr>
      </w:pPr>
      <w:bookmarkStart w:id="119" w:name="7.2.1信息上报分类"/>
      <w:bookmarkEnd w:id="119"/>
      <w:r>
        <w:rPr>
          <w:rFonts w:hint="eastAsia"/>
          <w:b/>
          <w:sz w:val="24"/>
        </w:rPr>
        <w:t>信息上报分类</w:t>
      </w:r>
    </w:p>
    <w:p w:rsidR="00B04AE3" w:rsidRDefault="00B04AE3">
      <w:pPr>
        <w:pStyle w:val="BodyText"/>
        <w:spacing w:before="20" w:line="360" w:lineRule="auto"/>
        <w:ind w:left="334" w:right="334" w:firstLine="482"/>
        <w:jc w:val="both"/>
        <w:rPr>
          <w:spacing w:val="-6"/>
          <w:szCs w:val="22"/>
        </w:rPr>
      </w:pPr>
      <w:r>
        <w:rPr>
          <w:rFonts w:hint="eastAsia"/>
          <w:spacing w:val="-6"/>
          <w:szCs w:val="22"/>
        </w:rPr>
        <w:t>突发环境事件的报告分为初报、续报和处理结果报告。</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⑴初报是从发现事件后立即上报；</w:t>
      </w:r>
    </w:p>
    <w:p w:rsidR="00B04AE3" w:rsidRDefault="00B04AE3">
      <w:pPr>
        <w:pStyle w:val="BodyText"/>
        <w:spacing w:before="20" w:line="360" w:lineRule="auto"/>
        <w:ind w:left="334" w:right="334" w:firstLine="482"/>
        <w:jc w:val="both"/>
        <w:rPr>
          <w:spacing w:val="-6"/>
          <w:szCs w:val="22"/>
        </w:rPr>
      </w:pPr>
      <w:r>
        <w:rPr>
          <w:rFonts w:hint="eastAsia"/>
          <w:spacing w:val="-6"/>
          <w:szCs w:val="22"/>
        </w:rPr>
        <w:t>⑵续报是在查清事件基本情况后或事故升级、危害扩大时随时上报；</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⑶处理结果报告是在事件处理完毕后立即上报。</w:t>
      </w:r>
    </w:p>
    <w:p w:rsidR="00B04AE3" w:rsidRDefault="00B04AE3">
      <w:pPr>
        <w:pStyle w:val="ListParagraph"/>
        <w:numPr>
          <w:ilvl w:val="2"/>
          <w:numId w:val="28"/>
        </w:numPr>
        <w:tabs>
          <w:tab w:val="left" w:pos="1358"/>
        </w:tabs>
        <w:spacing w:before="158"/>
        <w:rPr>
          <w:b/>
          <w:sz w:val="24"/>
        </w:rPr>
      </w:pPr>
      <w:bookmarkStart w:id="120" w:name="7.2.2信息上报程序"/>
      <w:bookmarkEnd w:id="120"/>
      <w:r>
        <w:rPr>
          <w:rFonts w:hint="eastAsia"/>
          <w:b/>
          <w:sz w:val="24"/>
        </w:rPr>
        <w:t>信息上报程序</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⑴初报</w:t>
      </w:r>
    </w:p>
    <w:p w:rsidR="00B04AE3" w:rsidRDefault="00B04AE3">
      <w:pPr>
        <w:pStyle w:val="BodyText"/>
        <w:spacing w:before="20" w:line="360" w:lineRule="auto"/>
        <w:ind w:left="334" w:right="334" w:firstLine="482"/>
        <w:jc w:val="both"/>
        <w:rPr>
          <w:spacing w:val="-6"/>
          <w:szCs w:val="22"/>
        </w:rPr>
      </w:pPr>
      <w:r>
        <w:rPr>
          <w:rFonts w:hint="eastAsia"/>
          <w:spacing w:val="-6"/>
          <w:szCs w:val="22"/>
        </w:rPr>
        <w:t>情况紧急时，初报可用电话直接报告，但应及时补充书面报告。初报应当报告突发环境事件的发生时间、地点、信息来源、事件起因和性质、基本过程、主要污染物和数量、人员受害情况、可能受影响的村庄、学校、企业等环境敏感点受影响情况、事件发展趋势、处置情况、拟采取的措施以及下一步工作建议等初步情况，并提供可能受到突发环境事件影响的环境敏感点的分布示意图。</w:t>
      </w:r>
    </w:p>
    <w:p w:rsidR="00B04AE3" w:rsidRDefault="00B04AE3">
      <w:pPr>
        <w:pStyle w:val="BodyText"/>
        <w:spacing w:before="20" w:line="360" w:lineRule="auto"/>
        <w:ind w:left="334" w:right="334" w:firstLine="482"/>
        <w:jc w:val="both"/>
        <w:rPr>
          <w:spacing w:val="-6"/>
          <w:szCs w:val="22"/>
        </w:rPr>
      </w:pPr>
      <w:r>
        <w:rPr>
          <w:rFonts w:hint="eastAsia"/>
          <w:spacing w:val="-6"/>
          <w:szCs w:val="22"/>
        </w:rPr>
        <w:t>⑵续报</w:t>
      </w:r>
    </w:p>
    <w:p w:rsidR="00B04AE3" w:rsidRDefault="00B04AE3">
      <w:pPr>
        <w:pStyle w:val="BodyText"/>
        <w:spacing w:before="20" w:line="360" w:lineRule="auto"/>
        <w:ind w:left="334" w:right="334" w:firstLine="482"/>
        <w:jc w:val="both"/>
        <w:rPr>
          <w:spacing w:val="-6"/>
          <w:szCs w:val="22"/>
        </w:rPr>
      </w:pPr>
      <w:r>
        <w:rPr>
          <w:rFonts w:hint="eastAsia"/>
          <w:spacing w:val="-6"/>
          <w:szCs w:val="22"/>
        </w:rPr>
        <w:t>续报必须是书面报告，可通过网络或传真等报告，视突发环境事件进展情况可一次或多次报告。</w:t>
      </w:r>
    </w:p>
    <w:p w:rsidR="00B04AE3" w:rsidRDefault="00B04AE3">
      <w:pPr>
        <w:pStyle w:val="BodyText"/>
        <w:spacing w:before="20" w:line="360" w:lineRule="auto"/>
        <w:ind w:left="334" w:right="334" w:firstLine="482"/>
        <w:jc w:val="both"/>
        <w:rPr>
          <w:spacing w:val="-6"/>
          <w:szCs w:val="22"/>
        </w:rPr>
      </w:pPr>
      <w:r>
        <w:rPr>
          <w:rFonts w:hint="eastAsia"/>
          <w:spacing w:val="-6"/>
          <w:szCs w:val="22"/>
        </w:rPr>
        <w:t>续报在初报的基础上报告突发环境事件有关确切数据、发生的原因、过程、进展情况、危害程度及采取的应急措施、措施效果等基本情况。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⑶结果报告</w:t>
      </w:r>
    </w:p>
    <w:p w:rsidR="00B04AE3" w:rsidRDefault="00B04AE3">
      <w:pPr>
        <w:pStyle w:val="BodyText"/>
        <w:spacing w:before="20" w:line="360" w:lineRule="auto"/>
        <w:ind w:left="334" w:right="334" w:firstLine="482"/>
        <w:jc w:val="both"/>
        <w:rPr>
          <w:spacing w:val="-6"/>
          <w:szCs w:val="22"/>
        </w:rPr>
      </w:pPr>
      <w:r>
        <w:rPr>
          <w:rFonts w:hint="eastAsia"/>
          <w:spacing w:val="-6"/>
          <w:szCs w:val="22"/>
        </w:rPr>
        <w:t>处理结果报告采用书面报告。处理结果报告在初报和续报的基础上，报告处理突发环境事件的措施、过程和结果，突发环境事件潜在或间接的危害及损失、应急监测结果、社会影响、处理后的遗留问题、责任追究等详细情况。处理结果报告应当在突发环境事件处理完毕后立即报送。</w:t>
      </w:r>
      <w:bookmarkStart w:id="121" w:name="8_应急响应与措施"/>
      <w:bookmarkStart w:id="122" w:name="7.2.3信息上报时限"/>
      <w:bookmarkEnd w:id="121"/>
      <w:bookmarkEnd w:id="122"/>
    </w:p>
    <w:p w:rsidR="00B04AE3" w:rsidRDefault="00B04AE3">
      <w:pPr>
        <w:pStyle w:val="ListParagraph"/>
        <w:numPr>
          <w:ilvl w:val="2"/>
          <w:numId w:val="28"/>
        </w:numPr>
        <w:tabs>
          <w:tab w:val="left" w:pos="1358"/>
        </w:tabs>
        <w:spacing w:before="5"/>
        <w:rPr>
          <w:b/>
          <w:sz w:val="24"/>
        </w:rPr>
      </w:pPr>
      <w:r>
        <w:rPr>
          <w:rFonts w:hint="eastAsia"/>
          <w:b/>
          <w:sz w:val="24"/>
        </w:rPr>
        <w:t>信息上报时限</w:t>
      </w:r>
    </w:p>
    <w:p w:rsidR="00B04AE3" w:rsidRDefault="00B04AE3">
      <w:pPr>
        <w:pStyle w:val="BodyText"/>
        <w:spacing w:before="20" w:line="360" w:lineRule="auto"/>
        <w:ind w:left="334" w:right="334" w:firstLine="482"/>
        <w:jc w:val="both"/>
        <w:rPr>
          <w:spacing w:val="-6"/>
          <w:szCs w:val="22"/>
        </w:rPr>
      </w:pPr>
      <w:r>
        <w:rPr>
          <w:rFonts w:hint="eastAsia"/>
          <w:spacing w:val="-6"/>
          <w:szCs w:val="22"/>
        </w:rPr>
        <w:t>当发现突发环境事件后，应立即向经济技术开发区人民政府报告，同时向经济技术开发区环保局报告。紧急情况下，可以越级上报。</w:t>
      </w:r>
    </w:p>
    <w:p w:rsidR="00B04AE3" w:rsidRDefault="00B04AE3">
      <w:pPr>
        <w:pStyle w:val="ListParagraph"/>
        <w:numPr>
          <w:ilvl w:val="2"/>
          <w:numId w:val="28"/>
        </w:numPr>
        <w:tabs>
          <w:tab w:val="left" w:pos="1358"/>
        </w:tabs>
        <w:spacing w:before="5"/>
        <w:rPr>
          <w:b/>
          <w:sz w:val="24"/>
        </w:rPr>
      </w:pPr>
      <w:bookmarkStart w:id="123" w:name="7.2.4信息上报范围"/>
      <w:bookmarkEnd w:id="123"/>
      <w:r>
        <w:rPr>
          <w:rFonts w:hint="eastAsia"/>
          <w:b/>
          <w:sz w:val="24"/>
        </w:rPr>
        <w:t>信息上报范围</w:t>
      </w:r>
    </w:p>
    <w:p w:rsidR="00B04AE3" w:rsidRDefault="00B04AE3">
      <w:pPr>
        <w:pStyle w:val="BodyText"/>
        <w:spacing w:before="20" w:line="360" w:lineRule="auto"/>
        <w:ind w:left="334" w:right="334" w:firstLine="482"/>
        <w:jc w:val="both"/>
        <w:rPr>
          <w:spacing w:val="-6"/>
          <w:szCs w:val="22"/>
        </w:rPr>
      </w:pPr>
      <w:r>
        <w:rPr>
          <w:rFonts w:hint="eastAsia"/>
          <w:spacing w:val="-6"/>
          <w:szCs w:val="22"/>
        </w:rPr>
        <w:t>当发生事故时，根据事故类型、等级，对公司附近的可能受影响的居民、单位、以及交通路线进行通报。</w:t>
      </w:r>
    </w:p>
    <w:p w:rsidR="00B04AE3" w:rsidRDefault="00B04AE3">
      <w:pPr>
        <w:spacing w:line="364" w:lineRule="auto"/>
        <w:sectPr w:rsidR="00B04AE3">
          <w:pgSz w:w="11910" w:h="16840"/>
          <w:pgMar w:top="1340" w:right="1460" w:bottom="1180" w:left="1460" w:header="878" w:footer="993" w:gutter="0"/>
          <w:cols w:space="720"/>
        </w:sectPr>
      </w:pPr>
    </w:p>
    <w:p w:rsidR="00B04AE3" w:rsidRDefault="00B04AE3">
      <w:pPr>
        <w:pStyle w:val="ListParagraph"/>
        <w:numPr>
          <w:ilvl w:val="0"/>
          <w:numId w:val="27"/>
        </w:numPr>
        <w:tabs>
          <w:tab w:val="left" w:pos="698"/>
        </w:tabs>
        <w:spacing w:before="97"/>
        <w:ind w:left="697" w:hanging="360"/>
        <w:rPr>
          <w:rFonts w:ascii="Times New Roman" w:eastAsia="Times New Roman"/>
          <w:b/>
          <w:sz w:val="36"/>
        </w:rPr>
      </w:pPr>
      <w:bookmarkStart w:id="124" w:name="_bookmark30"/>
      <w:bookmarkEnd w:id="124"/>
      <w:r>
        <w:rPr>
          <w:rFonts w:hint="eastAsia"/>
          <w:b/>
          <w:sz w:val="36"/>
        </w:rPr>
        <w:t>应急响应与措施</w:t>
      </w:r>
    </w:p>
    <w:p w:rsidR="00B04AE3" w:rsidRDefault="00B04AE3">
      <w:pPr>
        <w:pStyle w:val="ListParagraph"/>
        <w:numPr>
          <w:ilvl w:val="1"/>
          <w:numId w:val="27"/>
        </w:numPr>
        <w:tabs>
          <w:tab w:val="left" w:pos="861"/>
        </w:tabs>
        <w:spacing w:before="239"/>
        <w:ind w:hanging="523"/>
        <w:rPr>
          <w:rFonts w:ascii="Times New Roman" w:eastAsia="Times New Roman"/>
          <w:b/>
          <w:sz w:val="30"/>
        </w:rPr>
      </w:pPr>
      <w:bookmarkStart w:id="125" w:name="8.1_分级响应机制"/>
      <w:bookmarkStart w:id="126" w:name="_bookmark31"/>
      <w:bookmarkEnd w:id="125"/>
      <w:bookmarkEnd w:id="126"/>
      <w:r>
        <w:rPr>
          <w:rFonts w:hint="eastAsia"/>
          <w:b/>
          <w:sz w:val="30"/>
        </w:rPr>
        <w:t>分级响应机制</w:t>
      </w:r>
    </w:p>
    <w:p w:rsidR="00B04AE3" w:rsidRDefault="00B04AE3">
      <w:pPr>
        <w:pStyle w:val="BodyText"/>
        <w:spacing w:before="20" w:line="360" w:lineRule="auto"/>
        <w:ind w:left="334" w:right="334" w:firstLine="482"/>
        <w:jc w:val="both"/>
        <w:rPr>
          <w:spacing w:val="-6"/>
          <w:szCs w:val="22"/>
        </w:rPr>
      </w:pPr>
      <w:r>
        <w:rPr>
          <w:rFonts w:hint="eastAsia"/>
          <w:spacing w:val="-6"/>
          <w:szCs w:val="22"/>
        </w:rPr>
        <w:t>针对突发环境事件严重性、紧急程度、危害程度、影响范围、单位内部（车间、企业）控制事态的能力以及需要调动的应急资源，且按照分级响应的原则，</w:t>
      </w:r>
      <w:r>
        <w:rPr>
          <w:spacing w:val="-6"/>
          <w:szCs w:val="22"/>
        </w:rPr>
        <w:t xml:space="preserve"> </w:t>
      </w:r>
      <w:r>
        <w:rPr>
          <w:rFonts w:hint="eastAsia"/>
          <w:spacing w:val="-6"/>
          <w:szCs w:val="22"/>
        </w:rPr>
        <w:t>明确应急响应级别，指挥调度应急救援工作和开展应急救援响应。</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⑴巡检人员或岗位人员发现突发环境事件时，在通知中控室的同时，要立即向当班班长或应急办公室报告，并根据事故危害情况采取控制措施或撤离躲避措施。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⑵应急办公室接到事件报告后，根据事件的突发环境事件分级情况，立即判断环境事件类型和事件的预警级别。</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⑶应急办公室判断突发环境事件级别为</w:t>
      </w:r>
      <w:r>
        <w:rPr>
          <w:spacing w:val="-6"/>
          <w:szCs w:val="22"/>
        </w:rPr>
        <w:t>II</w:t>
      </w:r>
      <w:r>
        <w:rPr>
          <w:rFonts w:hint="eastAsia"/>
          <w:spacing w:val="-6"/>
          <w:szCs w:val="22"/>
        </w:rPr>
        <w:t>级以上时，立即上报应急指挥部；应急指挥部判断事件级别为</w:t>
      </w:r>
      <w:r>
        <w:rPr>
          <w:spacing w:val="-6"/>
          <w:szCs w:val="22"/>
        </w:rPr>
        <w:t>I</w:t>
      </w:r>
      <w:r>
        <w:rPr>
          <w:rFonts w:hint="eastAsia"/>
          <w:spacing w:val="-6"/>
          <w:szCs w:val="22"/>
        </w:rPr>
        <w:t>级时，立即上报经济技术开发区环保局应急办。</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⑷应急响应级别与预警级别相一致，分为</w:t>
      </w:r>
      <w:r>
        <w:rPr>
          <w:spacing w:val="-6"/>
          <w:szCs w:val="22"/>
        </w:rPr>
        <w:t>I</w:t>
      </w:r>
      <w:r>
        <w:rPr>
          <w:rFonts w:hint="eastAsia"/>
          <w:spacing w:val="-6"/>
          <w:szCs w:val="22"/>
        </w:rPr>
        <w:t>级、</w:t>
      </w:r>
      <w:r>
        <w:rPr>
          <w:spacing w:val="-6"/>
          <w:szCs w:val="22"/>
        </w:rPr>
        <w:t>II</w:t>
      </w:r>
      <w:r>
        <w:rPr>
          <w:rFonts w:hint="eastAsia"/>
          <w:spacing w:val="-6"/>
          <w:szCs w:val="22"/>
        </w:rPr>
        <w:t>级、</w:t>
      </w:r>
      <w:r>
        <w:rPr>
          <w:spacing w:val="-6"/>
          <w:szCs w:val="22"/>
        </w:rPr>
        <w:t>III</w:t>
      </w:r>
      <w:r>
        <w:rPr>
          <w:rFonts w:hint="eastAsia"/>
          <w:spacing w:val="-6"/>
          <w:szCs w:val="22"/>
        </w:rPr>
        <w:t>级三级响应。</w:t>
      </w:r>
    </w:p>
    <w:p w:rsidR="00B04AE3" w:rsidRDefault="00B04AE3">
      <w:pPr>
        <w:pStyle w:val="BodyText"/>
        <w:spacing w:before="20" w:line="360" w:lineRule="auto"/>
        <w:ind w:left="334" w:right="334" w:firstLine="482"/>
        <w:jc w:val="both"/>
        <w:rPr>
          <w:spacing w:val="-6"/>
          <w:szCs w:val="22"/>
        </w:rPr>
      </w:pPr>
      <w:r>
        <w:rPr>
          <w:rFonts w:hint="eastAsia"/>
          <w:spacing w:val="-6"/>
          <w:szCs w:val="22"/>
        </w:rPr>
        <w:t>级响应：因厂区突发环境事件（液氮、硫酸泄漏导致中毒窒息事故）造成</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人以上死亡或</w:t>
      </w:r>
      <w:r>
        <w:rPr>
          <w:spacing w:val="-6"/>
          <w:szCs w:val="22"/>
        </w:rPr>
        <w:t>2</w:t>
      </w:r>
      <w:r>
        <w:rPr>
          <w:rFonts w:hint="eastAsia"/>
          <w:spacing w:val="-6"/>
          <w:szCs w:val="22"/>
        </w:rPr>
        <w:t>人以上中毒、需疏散、转移公司外群众时，启动</w:t>
      </w:r>
      <w:r>
        <w:rPr>
          <w:spacing w:val="-6"/>
          <w:szCs w:val="22"/>
        </w:rPr>
        <w:t xml:space="preserve"> I </w:t>
      </w:r>
      <w:r>
        <w:rPr>
          <w:rFonts w:hint="eastAsia"/>
          <w:spacing w:val="-6"/>
          <w:szCs w:val="22"/>
        </w:rPr>
        <w:t>级预警，应急指挥部在半小时之内上报经济技术开发区环保局，并根据经济技术开发区环保局应急办和公司应急指挥部组成临时应急指挥部的指示通知临近敏感目标做好防范措施。应急救援小组赶赴事故现场，查明情况汇报应急指挥部。应急指挥部根据影响范围联合经济技术开发区环保局进行区域范围内的人员疏散工作和紧急救援工作。</w:t>
      </w:r>
    </w:p>
    <w:p w:rsidR="00B04AE3" w:rsidRDefault="00B04AE3">
      <w:pPr>
        <w:pStyle w:val="BodyText"/>
        <w:spacing w:before="20" w:line="360" w:lineRule="auto"/>
        <w:ind w:left="334" w:right="334" w:firstLine="482"/>
        <w:jc w:val="both"/>
        <w:rPr>
          <w:spacing w:val="-6"/>
          <w:szCs w:val="22"/>
        </w:rPr>
      </w:pPr>
      <w:r>
        <w:rPr>
          <w:spacing w:val="-6"/>
          <w:szCs w:val="22"/>
        </w:rPr>
        <w:t>II</w:t>
      </w:r>
      <w:r>
        <w:rPr>
          <w:rFonts w:hint="eastAsia"/>
          <w:spacing w:val="-6"/>
          <w:szCs w:val="22"/>
        </w:rPr>
        <w:t>级响应：当液氮、硫酸发生泄漏、废气处理装置故障发生废气严重超标排放事故等突发环境事件，造成</w:t>
      </w:r>
      <w:r>
        <w:rPr>
          <w:spacing w:val="-6"/>
          <w:szCs w:val="22"/>
        </w:rPr>
        <w:t xml:space="preserve"> 2 </w:t>
      </w:r>
      <w:r>
        <w:rPr>
          <w:rFonts w:hint="eastAsia"/>
          <w:spacing w:val="-6"/>
          <w:szCs w:val="22"/>
        </w:rPr>
        <w:t>人以下中毒，或对公司正常生产、运营造成严重影响，使公司停工、停产</w:t>
      </w:r>
      <w:r>
        <w:rPr>
          <w:spacing w:val="-6"/>
          <w:szCs w:val="22"/>
        </w:rPr>
        <w:t xml:space="preserve"> 2 </w:t>
      </w:r>
      <w:r>
        <w:rPr>
          <w:rFonts w:hint="eastAsia"/>
          <w:spacing w:val="-6"/>
          <w:szCs w:val="22"/>
        </w:rPr>
        <w:t>天以上、</w:t>
      </w:r>
      <w:r>
        <w:rPr>
          <w:spacing w:val="-6"/>
          <w:szCs w:val="22"/>
        </w:rPr>
        <w:t xml:space="preserve">5 </w:t>
      </w:r>
      <w:r>
        <w:rPr>
          <w:rFonts w:hint="eastAsia"/>
          <w:spacing w:val="-6"/>
          <w:szCs w:val="22"/>
        </w:rPr>
        <w:t>天以下时，启动</w:t>
      </w:r>
      <w:r>
        <w:rPr>
          <w:spacing w:val="-6"/>
          <w:szCs w:val="22"/>
        </w:rPr>
        <w:t xml:space="preserve"> II </w:t>
      </w:r>
      <w:r>
        <w:rPr>
          <w:rFonts w:hint="eastAsia"/>
          <w:spacing w:val="-6"/>
          <w:szCs w:val="22"/>
        </w:rPr>
        <w:t>级预警，公司可自行处理</w:t>
      </w:r>
      <w:r>
        <w:rPr>
          <w:spacing w:val="-6"/>
          <w:szCs w:val="22"/>
        </w:rPr>
        <w:t xml:space="preserve"> II </w:t>
      </w:r>
      <w:r>
        <w:rPr>
          <w:rFonts w:hint="eastAsia"/>
          <w:spacing w:val="-6"/>
          <w:szCs w:val="22"/>
        </w:rPr>
        <w:t>级预警，由公司应急指挥部发布预警，并进行公司总动员。所有救援小组紧急动员，按照应急指挥部指令，进行现场警戒，做好防范措施准备撤离。</w:t>
      </w:r>
    </w:p>
    <w:p w:rsidR="00B04AE3" w:rsidRDefault="00B04AE3">
      <w:pPr>
        <w:pStyle w:val="BodyText"/>
        <w:spacing w:before="20" w:line="360" w:lineRule="auto"/>
        <w:ind w:left="334" w:right="334" w:firstLine="482"/>
        <w:jc w:val="both"/>
        <w:rPr>
          <w:spacing w:val="-6"/>
          <w:szCs w:val="22"/>
        </w:rPr>
      </w:pPr>
      <w:r>
        <w:rPr>
          <w:spacing w:val="-6"/>
          <w:szCs w:val="22"/>
        </w:rPr>
        <w:t>III</w:t>
      </w:r>
      <w:r>
        <w:rPr>
          <w:rFonts w:hint="eastAsia"/>
          <w:spacing w:val="-6"/>
          <w:szCs w:val="22"/>
        </w:rPr>
        <w:t>级响应：当厂区发生少量泄露、废气处理装置故障发生废气超标排放事故、或厂区发生小规模火灾、废气处理设备非正常运转等突发环境事件，启动</w:t>
      </w:r>
      <w:r>
        <w:rPr>
          <w:spacing w:val="-6"/>
          <w:szCs w:val="22"/>
        </w:rPr>
        <w:t xml:space="preserve"> III </w:t>
      </w:r>
      <w:r>
        <w:rPr>
          <w:rFonts w:hint="eastAsia"/>
          <w:spacing w:val="-6"/>
          <w:szCs w:val="22"/>
        </w:rPr>
        <w:t>级预警，由应急办公室负责，车间内部小范围动员。应急救援小组赶赴现场，根据现场实际情况向应急办公室汇报并采取措施展开应急处理和救援工作。</w:t>
      </w:r>
      <w:r>
        <w:rPr>
          <w:spacing w:val="-6"/>
          <w:szCs w:val="22"/>
        </w:rPr>
        <w:t xml:space="preserve">III </w:t>
      </w:r>
      <w:r>
        <w:rPr>
          <w:rFonts w:hint="eastAsia"/>
          <w:spacing w:val="-6"/>
          <w:szCs w:val="22"/>
        </w:rPr>
        <w:t>级响应启动后，事故发生点周围</w:t>
      </w:r>
      <w:r>
        <w:rPr>
          <w:spacing w:val="-6"/>
          <w:szCs w:val="22"/>
        </w:rPr>
        <w:t xml:space="preserve"> 50m </w:t>
      </w:r>
      <w:r>
        <w:rPr>
          <w:rFonts w:hint="eastAsia"/>
          <w:spacing w:val="-6"/>
          <w:szCs w:val="22"/>
        </w:rPr>
        <w:t>人员做好防范措施。</w:t>
      </w:r>
    </w:p>
    <w:p w:rsidR="00B04AE3" w:rsidRDefault="00B04AE3">
      <w:pPr>
        <w:pStyle w:val="BodyText"/>
        <w:ind w:left="337"/>
        <w:rPr>
          <w:sz w:val="20"/>
        </w:rPr>
      </w:pPr>
      <w:r>
        <w:rPr>
          <w:noProof/>
          <w:lang w:val="en-US"/>
        </w:rPr>
      </w:r>
      <w:r w:rsidRPr="000C330E">
        <w:rPr>
          <w:sz w:val="20"/>
        </w:rPr>
        <w:pict>
          <v:group id="_x0000_s1243" style="width:423.75pt;height:188.2pt;mso-position-horizontal-relative:char;mso-position-vertical-relative:line" coordsize="8475,3764">
            <v:shape id="_x0000_s1244" style="position:absolute;width:8475;height:3764" coordsize="8475,3764" o:spt="100" adj="0,,0" path="m8475,3764l,3764,,,8475,r,10l20,10,10,20r10,l20,3744r-10,l20,3754r8455,l8475,3764xm20,20r-10,l20,10r,10xm8455,20l20,20r,-10l8455,10r,10xm8455,3754r,-3744l8465,20r10,l8475,3744r-10,l8455,3754xm8475,20r-10,l8455,10r20,l8475,20xm20,3754l10,3744r10,l20,3754xm8455,3754r-8435,l20,3744r8435,l8455,3754xm8475,3754r-20,l8465,3744r10,l8475,375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45" style="position:absolute;left:2705;top:165;width:1438;height:471" stroked="f"/>
            <v:shape id="_x0000_s1246" style="position:absolute;left:2697;top:158;width:1454;height:485" coordorigin="2698,159" coordsize="1454,485" o:spt="100" adj="0,,0" path="m4152,644r-1454,l2698,159r1454,l4152,166r-1439,l2705,174r8,l2713,629r-8,l2713,636r1439,l4152,644xm2713,174r-8,l2713,166r,8xm4137,174r-1424,l2713,166r1424,l4137,174xm4137,636r,-470l4144,174r8,l4152,629r-8,l4137,636xm4152,174r-8,l4137,166r15,l4152,174xm2713,636r-8,-7l2713,629r,7xm4137,636r-1424,l2713,629r1424,l4137,636xm4152,636r-15,l4144,629r8,l4152,636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47" style="position:absolute;left:4865;top:165;width:1438;height:471" stroked="f"/>
            <v:shape id="_x0000_s1248" style="position:absolute;left:4857;top:157;width:1454;height:486" coordorigin="4858,158" coordsize="1454,486" o:spt="100" adj="0,,0" path="m6312,644r-1454,l4858,158r1454,l6312,165r-1439,l4865,173r8,l4873,629r-8,l4873,636r1439,l6312,644xm4873,173r-8,l4873,165r,8xm6297,173r-1424,l4873,165r1424,l6297,173xm6297,636r,-471l6304,173r8,l6312,629r-8,l6297,636xm6312,173r-8,l6297,165r15,l6312,173xm4873,636r-8,-7l4873,629r,7xm6297,636r-1424,l4873,629r1424,l6297,636xm6312,636r-15,l6304,629r8,l6312,636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49" style="position:absolute;left:6845;top:165;width:1438;height:471" stroked="f"/>
            <v:shape id="_x0000_s1250" style="position:absolute;left:6837;top:157;width:1454;height:486" coordorigin="6838,158" coordsize="1454,486" o:spt="100" adj="0,,0" path="m8292,644r-1454,l6838,158r1454,l8292,165r-1439,l6845,173r8,l6853,629r-8,l6853,636r1439,l8292,644xm6853,173r-8,l6853,165r,8xm8277,173r-1424,l6853,165r1424,l8277,173xm8277,636r,-471l8284,173r8,l8292,629r-8,l8277,636xm8292,173r-8,l8277,165r15,l8292,173xm6853,636r-8,-7l6853,629r,7xm8277,636r-1424,l6853,629r1424,l8277,636xm8292,636r-15,l8284,629r8,l8292,636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51" style="position:absolute;left:2525;top:948;width:1800;height:466" stroked="f"/>
            <v:shape id="_x0000_s1252" style="position:absolute;left:2517;top:941;width:1815;height:480" coordorigin="2518,942" coordsize="1815,480" o:spt="100" adj="0,,0" path="m4333,1422r-1815,l2518,942r1815,l4333,949r-1800,l2525,957r8,l2533,1407r-8,l2533,1414r1800,l4333,1422xm2533,957r-8,l2533,949r,8xm4318,957r-1785,l2533,949r1785,l4318,957xm4318,1414r,-465l4325,957r8,l4333,1407r-8,l4318,1414xm4333,957r-8,l4318,949r15,l4333,957xm2533,1414r-8,-7l2533,1407r,7xm4318,1414r-1785,l2533,1407r1785,l4318,1414xm4333,1414r-15,l4325,1407r8,l4333,141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53" style="position:absolute;left:2525;top:1572;width:1800;height:473" stroked="f"/>
            <v:shape id="_x0000_s1254" style="position:absolute;left:2517;top:1565;width:1816;height:486" coordorigin="2518,1566" coordsize="1816,486" o:spt="100" adj="0,,0" path="m4334,2052r-1816,l2518,1566r1816,l4334,1573r-1801,l2525,1581r8,l2533,2037r-8,l2533,2044r1801,l4334,2052xm2533,1581r-8,l2533,1573r,8xm4319,1581r-1786,l2533,1573r1786,l4319,1581xm4319,2044r,-471l4326,1581r8,l4334,2037r-8,l4319,2044xm4334,1581r-8,l4319,1573r15,l4334,1581xm2533,2044r-8,-7l2533,2037r,7xm4319,2044r-1786,l2533,2037r1786,l4319,2044xm4334,2044r-15,l4326,2037r8,l4334,204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55" style="position:absolute;left:2525;top:2198;width:1803;height:464" stroked="f"/>
            <v:shape id="_x0000_s1256" style="position:absolute;left:2517;top:2190;width:1818;height:479" coordorigin="2518,2191" coordsize="1818,479" o:spt="100" adj="0,,0" path="m4336,2670r-1818,l2518,2191r1818,l4336,2198r-1803,l2525,2206r8,l2533,2655r-8,l2533,2662r1803,l4336,2670xm2533,2206r-8,l2533,2198r,8xm4321,2206r-1788,l2533,2198r1788,l4321,2206xm4321,2662r,-464l4328,2206r8,l4336,2655r-8,l4321,2662xm4336,2206r-8,l4321,2198r15,l4336,2206xm2533,2662r-8,-7l2533,2655r,7xm4321,2662r-1788,l2533,2655r1788,l4321,2662xm4336,2662r-15,l4328,2655r8,l4336,2662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57" style="position:absolute;left:185;top:1572;width:1440;height:473" stroked="f"/>
            <v:shape id="_x0000_s1258" style="position:absolute;left:177;top:1565;width:1455;height:486" coordorigin="178,1566" coordsize="1455,486" o:spt="100" adj="0,,0" path="m1633,2052r-1455,l178,1566r1455,l1633,1573r-1440,l185,1581r8,l193,2037r-8,l193,2044r1440,l1633,2052xm193,1581r-8,l193,1573r,8xm1618,1581r-1425,l193,1573r1425,l1618,1581xm1618,2044r,-471l1625,1581r8,l1633,2037r-8,l1618,2044xm1633,1581r-8,l1618,1573r15,l1633,1581xm193,2044r-8,-7l193,2037r,7xm1618,2044r-1425,l193,2037r1425,l1618,2044xm1633,2044r-15,l1625,2037r8,l1633,204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59" style="position:absolute;left:1625;top:1142;width:900;height:675" coordorigin="1625,1142" coordsize="900,675" o:spt="100" adj="0,,0" path="m2425,1182r-100,-40l2488,1174r-63,l2425,1182xm2068,1809r,-635l2406,1174r19,8l2083,1182r-8,7l2083,1189r,612l2075,1801r-7,8xm2488,1189r-63,l2425,1174r63,l2525,1182r-37,7xm2083,1189r-8,l2083,1182r,7xm2406,1189r-323,l2083,1182r342,l2406,1189xm2325,1222r100,-40l2425,1189r63,l2325,1222xm2083,1816r-458,l1625,1801r443,l2068,1809r15,l2083,1816xm2083,1809r-15,l2075,1801r8,l2083,180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60" style="position:absolute;left:1625;top:1769;width:900;height:80" coordorigin="1625,1770" coordsize="900,80" o:spt="100" adj="0,,0" path="m2488,1817r-63,l2425,1802r-19,l2325,1770r200,40l2488,1817xm2406,1817r-781,-1l1625,1801r781,1l2425,1810r-19,7xm2425,1810r-19,-8l2425,1802r,8xm2425,1817r-19,l2425,1810r,7xm2325,1850r81,-33l2488,1817r-163,3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61" style="position:absolute;left:1625;top:1801;width:900;height:669" coordorigin="1625,1801" coordsize="900,669" o:spt="100" adj="0,,0" path="m2068,1816r-443,l1625,1801r458,l2083,1809r-15,l2068,1816xm2406,2437r-338,l2068,1809r7,7l2083,1816r,606l2075,2422r8,8l2425,2430r-19,7xm2083,1816r-8,l2068,1809r15,l2083,1816xm2425,2430r-100,-40l2488,2422r-63,l2425,2430xm2083,2430r-8,-8l2083,2422r,8xm2425,2430r-342,l2083,2422r323,l2425,2430xm2488,2437r-63,l2425,2422r63,l2525,2430r-37,7xm2325,2470r100,-40l2425,2437r63,l2325,2470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62" style="position:absolute;left:185;top:2678;width:1445;height:447" stroked="f"/>
            <v:shape id="_x0000_s1263" style="position:absolute;left:177;top:2671;width:1460;height:460" coordorigin="178,2671" coordsize="1460,460" o:spt="100" adj="0,,0" path="m1638,3131r-1460,l178,2671r1460,l1638,2679r-1445,l185,2686r8,l193,3116r-8,l193,3124r1445,l1638,3131xm193,2686r-8,l193,2679r,7xm1623,2686r-1430,l193,2679r1430,l1623,2686xm1623,3124r,-445l1630,2686r8,l1638,3116r-8,l1623,3124xm1638,2686r-8,l1623,2679r15,l1638,2686xm193,3124r-8,-8l193,3116r,8xm1623,3124r-1430,l193,3116r1430,l1623,3124xm1638,3124r-15,l1630,3116r8,l1638,312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64" style="position:absolute;left:1630;top:2662;width:1837;height:248" coordorigin="1630,2662" coordsize="1837,248" o:spt="100" adj="0,,0" path="m3387,2862r40,-200l3447,2762r-27,l3420,2781r-33,81xm3420,2781r,-19l3427,2762r-7,19xm3420,2902r,-121l3427,2762r8,19l3435,2895r-8,l3420,2902xm3435,2781r-8,-19l3435,2762r,19xm3467,2862r-32,-81l3435,2762r12,l3467,2862xm3435,2910r-1805,l1630,2895r1790,l3420,2902r15,l3435,2910xm3435,2902r-15,l3427,2895r8,l3435,2902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65" style="position:absolute;left:1625;top:2662;width:1842;height:851" coordorigin="1625,2662" coordsize="1842,851" o:spt="100" adj="0,,0" path="m3387,2862r40,-200l3447,2762r-27,l3420,2781r-33,81xm3420,2781r,-19l3427,2762r-7,19xm3420,3505r,-724l3427,2762r8,19l3435,3498r-8,l3420,3505xm3435,2781r-8,-19l3435,2762r,19xm3467,2862r-32,-81l3435,2762r12,l3467,2862xm3435,3513r-1810,l1625,3498r1795,l3420,3505r15,l3435,3513xm3435,3505r-15,l3427,3498r8,l3435,3505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66" style="position:absolute;left:3374;top:624;width:80;height:314" coordorigin="3375,625" coordsize="80,314" o:spt="100" adj="0,,0" path="m3414,838r-7,-19l3407,625r15,l3422,819r-8,19xm3414,938l3375,738r32,81l3407,838r27,l3414,938xm3434,838r-12,l3422,819r33,-81l3434,838xm3414,838r-7,l3407,819r7,19xm3422,838r-8,l3422,819r,1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67" style="position:absolute;left:4315;top:625;width:1267;height:1213" coordorigin="4315,625" coordsize="1267,1213" o:spt="100" adj="0,,0" path="m5567,1798r,-1173l5582,625r,1166l5574,1791r-7,7xm4515,1838r-200,-40l4515,1758r-81,33l4415,1791r,15l4434,1806r81,32xm4415,1798r,-7l4434,1791r-19,7xm5582,1806r-1148,l4415,1798r19,-7l5567,1791r,7l5582,1798r,8xm5582,1798r-15,l5574,1791r8,l5582,1798xm4434,1806r-19,l4415,1798r19,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68" style="position:absolute;left:4313;top:621;width:3245;height:1834" coordorigin="4314,622" coordsize="3245,1834" o:spt="100" adj="0,,0" path="m7543,2416r,-1794l7558,622r,1786l7551,2408r-8,8xm4514,2456r-200,-40l4514,2376r-82,32l4414,2408r,15l4432,2423r82,33xm4414,2416r,-8l4432,2408r-18,8xm7558,2423r-3126,l4414,2416r18,-8l7543,2408r,8l7558,2416r,7xm7558,2416r-15,l7551,2408r7,l7558,2416xm4432,2423r-18,l4414,2416r18,7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69" style="position:absolute;left:4143;top:361;width:722;height:80" coordorigin="4144,362" coordsize="722,80" o:spt="100" adj="0,,0" path="m4828,409r-63,l4765,394r-19,l4665,362r200,40l4828,409xm4746,409r-602,l4144,394r602,l4765,402r-19,7xm4765,402r-19,-8l4765,394r,8xm4765,409r-19,l4765,402r,7xm4665,442r81,-33l4828,409r-163,3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70" style="position:absolute;left:6303;top:361;width:542;height:80" coordorigin="6304,362" coordsize="542,80" o:spt="100" adj="0,,0" path="m6808,409r-63,l6745,394r-19,l6645,362r200,40l6808,409xm6726,409r-422,l6304,394r422,l6745,402r-19,7xm6745,402r-19,-8l6745,394r,8xm6745,409r-19,l6745,402r,7xm6645,442r81,-33l6808,409r-163,3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271" style="position:absolute;left:185;top:3285;width:1440;height:437" stroked="f"/>
            <v:shape id="_x0000_s1272" style="position:absolute;left:177;top:3278;width:1455;height:452" coordorigin="178,3279" coordsize="1455,452" o:spt="100" adj="0,,0" path="m1633,3731r-1455,l178,3279r1455,l1633,3286r-1440,l185,3294r8,l193,3716r-8,l193,3723r1440,l1633,3731xm193,3294r-8,l193,3286r,8xm1618,3294r-1425,l193,3286r1425,l1618,3294xm1618,3723r,-437l1625,3294r8,l1633,3716r-8,l1618,3723xm1633,3294r-8,l1618,3286r15,l1633,3294xm193,3723r-8,-7l193,3716r,7xm1618,3723r-1425,l193,3716r1425,l1618,3723xm1633,3723r-15,l1625,3716r8,l1633,372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73" type="#_x0000_t202" style="position:absolute;left:185;top:3285;width:1440;height:437" filled="f" stroked="f">
              <v:textbox inset="0,0,0,0">
                <w:txbxContent>
                  <w:p w:rsidR="00B04AE3" w:rsidRDefault="00B04AE3">
                    <w:pPr>
                      <w:spacing w:before="62"/>
                      <w:ind w:left="151"/>
                      <w:rPr>
                        <w:sz w:val="21"/>
                      </w:rPr>
                    </w:pPr>
                    <w:r>
                      <w:rPr>
                        <w:rFonts w:hint="eastAsia"/>
                        <w:sz w:val="21"/>
                      </w:rPr>
                      <w:t>南昌市预案</w:t>
                    </w:r>
                  </w:p>
                </w:txbxContent>
              </v:textbox>
            </v:shape>
            <v:shape id="_x0000_s1274" type="#_x0000_t202" style="position:absolute;left:185;top:2678;width:1445;height:447" filled="f" stroked="f">
              <v:textbox inset="0,0,0,0">
                <w:txbxContent>
                  <w:p w:rsidR="00B04AE3" w:rsidRDefault="00B04AE3">
                    <w:pPr>
                      <w:spacing w:before="62"/>
                      <w:ind w:left="151"/>
                      <w:rPr>
                        <w:sz w:val="21"/>
                      </w:rPr>
                    </w:pPr>
                    <w:r>
                      <w:rPr>
                        <w:rFonts w:hint="eastAsia"/>
                        <w:sz w:val="21"/>
                      </w:rPr>
                      <w:t>经济技术开发区预案</w:t>
                    </w:r>
                  </w:p>
                </w:txbxContent>
              </v:textbox>
            </v:shape>
            <v:shape id="_x0000_s1275" type="#_x0000_t202" style="position:absolute;left:2525;top:2198;width:1803;height:464" filled="f" stroked="f">
              <v:textbox inset="0,0,0,0">
                <w:txbxContent>
                  <w:p w:rsidR="00B04AE3" w:rsidRDefault="00B04AE3">
                    <w:pPr>
                      <w:spacing w:before="81"/>
                      <w:ind w:left="151"/>
                      <w:rPr>
                        <w:sz w:val="21"/>
                      </w:rPr>
                    </w:pPr>
                    <w:r>
                      <w:rPr>
                        <w:rFonts w:hint="eastAsia"/>
                        <w:sz w:val="21"/>
                      </w:rPr>
                      <w:t>Ⅰ级预案响应</w:t>
                    </w:r>
                  </w:p>
                </w:txbxContent>
              </v:textbox>
            </v:shape>
            <v:shape id="_x0000_s1276" type="#_x0000_t202" style="position:absolute;left:2525;top:1572;width:1800;height:473" filled="f" stroked="f">
              <v:textbox inset="0,0,0,0">
                <w:txbxContent>
                  <w:p w:rsidR="00B04AE3" w:rsidRDefault="00B04AE3">
                    <w:pPr>
                      <w:spacing w:before="81"/>
                      <w:ind w:left="151"/>
                      <w:rPr>
                        <w:sz w:val="21"/>
                      </w:rPr>
                    </w:pPr>
                    <w:r>
                      <w:rPr>
                        <w:rFonts w:hint="eastAsia"/>
                        <w:sz w:val="21"/>
                      </w:rPr>
                      <w:t>Ⅱ级预案响应</w:t>
                    </w:r>
                  </w:p>
                </w:txbxContent>
              </v:textbox>
            </v:shape>
            <v:shape id="_x0000_s1277" type="#_x0000_t202" style="position:absolute;left:185;top:1572;width:1440;height:473" filled="f" stroked="f">
              <v:textbox inset="0,0,0,0">
                <w:txbxContent>
                  <w:p w:rsidR="00B04AE3" w:rsidRDefault="00B04AE3">
                    <w:pPr>
                      <w:spacing w:before="81"/>
                      <w:ind w:left="151"/>
                      <w:rPr>
                        <w:sz w:val="21"/>
                      </w:rPr>
                    </w:pPr>
                    <w:r>
                      <w:rPr>
                        <w:rFonts w:hint="eastAsia"/>
                        <w:sz w:val="21"/>
                      </w:rPr>
                      <w:t>公司预案</w:t>
                    </w:r>
                  </w:p>
                </w:txbxContent>
              </v:textbox>
            </v:shape>
            <v:shape id="_x0000_s1278" type="#_x0000_t202" style="position:absolute;left:2525;top:948;width:1800;height:466" filled="f" stroked="f">
              <v:textbox inset="0,0,0,0">
                <w:txbxContent>
                  <w:p w:rsidR="00B04AE3" w:rsidRDefault="00B04AE3">
                    <w:pPr>
                      <w:spacing w:before="81"/>
                      <w:ind w:left="151"/>
                      <w:rPr>
                        <w:sz w:val="21"/>
                      </w:rPr>
                    </w:pPr>
                    <w:r>
                      <w:rPr>
                        <w:rFonts w:hint="eastAsia"/>
                        <w:sz w:val="21"/>
                      </w:rPr>
                      <w:t>Ⅲ级预案响应</w:t>
                    </w:r>
                  </w:p>
                </w:txbxContent>
              </v:textbox>
            </v:shape>
            <v:shape id="_x0000_s1279" type="#_x0000_t202" style="position:absolute;left:6845;top:165;width:1438;height:471" filled="f" stroked="f">
              <v:textbox inset="0,0,0,0">
                <w:txbxContent>
                  <w:p w:rsidR="00B04AE3" w:rsidRDefault="00B04AE3">
                    <w:pPr>
                      <w:spacing w:before="81"/>
                      <w:ind w:left="151"/>
                      <w:rPr>
                        <w:sz w:val="21"/>
                      </w:rPr>
                    </w:pPr>
                    <w:r>
                      <w:rPr>
                        <w:rFonts w:hint="eastAsia"/>
                        <w:sz w:val="21"/>
                      </w:rPr>
                      <w:t>区域级事件</w:t>
                    </w:r>
                  </w:p>
                </w:txbxContent>
              </v:textbox>
            </v:shape>
            <v:shape id="_x0000_s1280" type="#_x0000_t202" style="position:absolute;left:4865;top:165;width:1438;height:471" filled="f" stroked="f">
              <v:textbox inset="0,0,0,0">
                <w:txbxContent>
                  <w:p w:rsidR="00B04AE3" w:rsidRDefault="00B04AE3">
                    <w:pPr>
                      <w:spacing w:before="81"/>
                      <w:ind w:left="151"/>
                      <w:rPr>
                        <w:sz w:val="21"/>
                      </w:rPr>
                    </w:pPr>
                    <w:r>
                      <w:rPr>
                        <w:rFonts w:hint="eastAsia"/>
                        <w:sz w:val="21"/>
                      </w:rPr>
                      <w:t>公司级事件</w:t>
                    </w:r>
                  </w:p>
                </w:txbxContent>
              </v:textbox>
            </v:shape>
            <v:shape id="_x0000_s1281" type="#_x0000_t202" style="position:absolute;left:2705;top:165;width:1438;height:471" filled="f" stroked="f">
              <v:textbox inset="0,0,0,0">
                <w:txbxContent>
                  <w:p w:rsidR="00B04AE3" w:rsidRDefault="00B04AE3">
                    <w:pPr>
                      <w:spacing w:before="81"/>
                      <w:ind w:left="151"/>
                      <w:rPr>
                        <w:sz w:val="21"/>
                      </w:rPr>
                    </w:pPr>
                    <w:r>
                      <w:rPr>
                        <w:rFonts w:hint="eastAsia"/>
                        <w:sz w:val="21"/>
                      </w:rPr>
                      <w:t>车间级事件</w:t>
                    </w:r>
                  </w:p>
                </w:txbxContent>
              </v:textbox>
            </v:shape>
            <w10:anchorlock/>
          </v:group>
        </w:pict>
      </w:r>
    </w:p>
    <w:p w:rsidR="00B04AE3" w:rsidRDefault="00B04AE3">
      <w:pPr>
        <w:tabs>
          <w:tab w:val="left" w:pos="2972"/>
        </w:tabs>
        <w:spacing w:before="113"/>
        <w:ind w:left="1933"/>
        <w:rPr>
          <w:b/>
          <w:sz w:val="24"/>
        </w:rPr>
      </w:pPr>
      <w:r>
        <w:rPr>
          <w:rFonts w:hint="eastAsia"/>
          <w:b/>
          <w:sz w:val="24"/>
        </w:rPr>
        <w:t>图</w:t>
      </w:r>
      <w:r>
        <w:rPr>
          <w:b/>
          <w:spacing w:val="-62"/>
          <w:sz w:val="24"/>
        </w:rPr>
        <w:t xml:space="preserve"> </w:t>
      </w:r>
      <w:r>
        <w:rPr>
          <w:rFonts w:ascii="Times New Roman" w:eastAsia="Times New Roman"/>
          <w:b/>
          <w:sz w:val="24"/>
        </w:rPr>
        <w:t>8.1-1</w:t>
      </w:r>
      <w:r>
        <w:rPr>
          <w:rFonts w:ascii="Times New Roman" w:eastAsia="Times New Roman"/>
          <w:b/>
          <w:sz w:val="24"/>
        </w:rPr>
        <w:tab/>
      </w:r>
      <w:r>
        <w:rPr>
          <w:rFonts w:hint="eastAsia"/>
          <w:b/>
          <w:sz w:val="24"/>
        </w:rPr>
        <w:t>突发环境事件区区域应急预案响应机制</w:t>
      </w:r>
    </w:p>
    <w:p w:rsidR="00B04AE3" w:rsidRDefault="00B04AE3">
      <w:pPr>
        <w:pStyle w:val="ListParagraph"/>
        <w:numPr>
          <w:ilvl w:val="1"/>
          <w:numId w:val="27"/>
        </w:numPr>
        <w:tabs>
          <w:tab w:val="left" w:pos="861"/>
        </w:tabs>
        <w:spacing w:before="161"/>
        <w:ind w:hanging="523"/>
        <w:rPr>
          <w:rFonts w:ascii="Times New Roman" w:eastAsia="Times New Roman"/>
          <w:b/>
          <w:sz w:val="30"/>
        </w:rPr>
      </w:pPr>
      <w:bookmarkStart w:id="127" w:name="8.2_应急响应程序"/>
      <w:bookmarkStart w:id="128" w:name="_bookmark32"/>
      <w:bookmarkEnd w:id="127"/>
      <w:bookmarkEnd w:id="128"/>
      <w:r>
        <w:rPr>
          <w:rFonts w:hint="eastAsia"/>
          <w:b/>
          <w:sz w:val="30"/>
        </w:rPr>
        <w:t>应急响应程序</w:t>
      </w:r>
    </w:p>
    <w:p w:rsidR="00B04AE3" w:rsidRDefault="00B04AE3">
      <w:pPr>
        <w:pStyle w:val="BodyText"/>
        <w:spacing w:before="199"/>
        <w:ind w:left="817"/>
        <w:rPr>
          <w:sz w:val="20"/>
        </w:rPr>
      </w:pPr>
      <w:r>
        <w:rPr>
          <w:rFonts w:hint="eastAsia"/>
        </w:rPr>
        <w:t>突发环境事件应急响应程序见图</w:t>
      </w:r>
      <w:r>
        <w:t xml:space="preserve"> </w:t>
      </w:r>
      <w:r>
        <w:rPr>
          <w:rFonts w:ascii="Times New Roman" w:eastAsia="Times New Roman"/>
        </w:rPr>
        <w:t>8.2-1</w:t>
      </w:r>
      <w:r>
        <w:rPr>
          <w:rFonts w:hint="eastAsia"/>
        </w:rPr>
        <w:t>。</w:t>
      </w:r>
      <w:r w:rsidRPr="00E43F4D">
        <w:rPr>
          <w:noProof/>
          <w:sz w:val="20"/>
          <w:lang w:val="en-US"/>
        </w:rPr>
        <w:pict>
          <v:shape id="image10.jpeg" o:spid="_x0000_i1033" type="#_x0000_t75" style="width:385.5pt;height:512.25pt;visibility:visible">
            <v:imagedata r:id="rId28" o:title=""/>
          </v:shape>
        </w:pict>
      </w:r>
    </w:p>
    <w:p w:rsidR="00B04AE3" w:rsidRDefault="00B04AE3">
      <w:pPr>
        <w:tabs>
          <w:tab w:val="left" w:pos="3812"/>
        </w:tabs>
        <w:spacing w:before="77"/>
        <w:ind w:left="2773"/>
        <w:rPr>
          <w:b/>
          <w:sz w:val="24"/>
        </w:rPr>
      </w:pPr>
      <w:r>
        <w:rPr>
          <w:rFonts w:hint="eastAsia"/>
          <w:b/>
          <w:sz w:val="24"/>
        </w:rPr>
        <w:t>图</w:t>
      </w:r>
      <w:r>
        <w:rPr>
          <w:b/>
          <w:spacing w:val="-62"/>
          <w:sz w:val="24"/>
        </w:rPr>
        <w:t xml:space="preserve"> </w:t>
      </w:r>
      <w:r>
        <w:rPr>
          <w:rFonts w:ascii="Times New Roman" w:eastAsia="Times New Roman"/>
          <w:b/>
          <w:sz w:val="24"/>
        </w:rPr>
        <w:t>8.2-1</w:t>
      </w:r>
      <w:r>
        <w:rPr>
          <w:rFonts w:ascii="Times New Roman" w:eastAsia="Times New Roman"/>
          <w:b/>
          <w:sz w:val="24"/>
        </w:rPr>
        <w:tab/>
      </w:r>
      <w:r>
        <w:rPr>
          <w:rFonts w:hint="eastAsia"/>
          <w:b/>
          <w:sz w:val="24"/>
        </w:rPr>
        <w:t>突发环境事件应急响应程序</w:t>
      </w:r>
    </w:p>
    <w:p w:rsidR="00B04AE3" w:rsidRDefault="00B04AE3">
      <w:pPr>
        <w:pStyle w:val="BodyText"/>
        <w:spacing w:before="20" w:line="360" w:lineRule="auto"/>
        <w:ind w:left="334" w:right="334" w:firstLine="482"/>
        <w:jc w:val="both"/>
        <w:rPr>
          <w:spacing w:val="-6"/>
          <w:szCs w:val="22"/>
        </w:rPr>
      </w:pPr>
      <w:r>
        <w:rPr>
          <w:rFonts w:hint="eastAsia"/>
          <w:spacing w:val="-6"/>
          <w:szCs w:val="22"/>
        </w:rPr>
        <w:t>发生任何突发环境事件后，现场操作人员或最先发现者在通知中控室的同时立即向当班班长汇报或直接向应急办公室报警。应急办公室接到报警后根据事件的紧急程度和严重性判断事件为</w:t>
      </w:r>
      <w:r>
        <w:rPr>
          <w:spacing w:val="-6"/>
          <w:szCs w:val="22"/>
        </w:rPr>
        <w:t xml:space="preserve"> II </w:t>
      </w:r>
      <w:r>
        <w:rPr>
          <w:rFonts w:hint="eastAsia"/>
          <w:spacing w:val="-6"/>
          <w:szCs w:val="22"/>
        </w:rPr>
        <w:t>级以上突发环境事件时立即上报应急救援指挥部。</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应急救援指挥部接到报警后，立即根据当前所发生事故的状态和实际情况，判断启动应急救援预案的响应级别，以便明确调配应急物资，信息网络开通、协</w:t>
      </w:r>
    </w:p>
    <w:p w:rsidR="00B04AE3" w:rsidRDefault="00B04AE3" w:rsidP="003446E2">
      <w:pPr>
        <w:pStyle w:val="BodyText"/>
        <w:spacing w:before="20" w:line="360" w:lineRule="auto"/>
        <w:ind w:leftChars="109" w:left="31680" w:right="334"/>
        <w:jc w:val="both"/>
        <w:rPr>
          <w:spacing w:val="-6"/>
          <w:szCs w:val="22"/>
        </w:rPr>
      </w:pPr>
      <w:r>
        <w:rPr>
          <w:rFonts w:hint="eastAsia"/>
          <w:spacing w:val="-6"/>
          <w:szCs w:val="22"/>
        </w:rPr>
        <w:t>调组织应急行动、工程抢险、警戒与交通管制。倘若发生</w:t>
      </w:r>
      <w:r>
        <w:rPr>
          <w:spacing w:val="-6"/>
          <w:szCs w:val="22"/>
        </w:rPr>
        <w:t xml:space="preserve"> I </w:t>
      </w:r>
      <w:r>
        <w:rPr>
          <w:rFonts w:hint="eastAsia"/>
          <w:spacing w:val="-6"/>
          <w:szCs w:val="22"/>
        </w:rPr>
        <w:t>级突发环境事件时，必须启动公司级应急预案和外界救援时，立即组织无关人员疏散，现场有受伤人员时还应紧急医疗救护、扩大应急等。请求社会援助时应注意：应明确告之事故发生的地点，事故介质和行走路线；应派人在指定地点等候，负责联络引导；应详细告之事故的具体情况和安全注意事项；社会救援队伍参与救援时，应统一指挥，明确信号。</w:t>
      </w:r>
    </w:p>
    <w:p w:rsidR="00B04AE3" w:rsidRDefault="00B04AE3">
      <w:pPr>
        <w:pStyle w:val="ListParagraph"/>
        <w:numPr>
          <w:ilvl w:val="1"/>
          <w:numId w:val="27"/>
        </w:numPr>
        <w:tabs>
          <w:tab w:val="left" w:pos="861"/>
        </w:tabs>
        <w:spacing w:line="383" w:lineRule="exact"/>
        <w:ind w:hanging="523"/>
        <w:rPr>
          <w:rFonts w:ascii="Times New Roman" w:eastAsia="Times New Roman"/>
          <w:b/>
          <w:sz w:val="30"/>
        </w:rPr>
      </w:pPr>
      <w:bookmarkStart w:id="129" w:name="8.3_应急措施"/>
      <w:bookmarkStart w:id="130" w:name="_bookmark33"/>
      <w:bookmarkEnd w:id="129"/>
      <w:bookmarkEnd w:id="130"/>
      <w:r>
        <w:rPr>
          <w:rFonts w:hint="eastAsia"/>
          <w:b/>
          <w:sz w:val="30"/>
        </w:rPr>
        <w:t>应急措施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在应急救援过程中，应急救援人员首先要确保自身人身安全，才能保证顺利采取应急救援措施。应急救援过程中，以救人为主，抢救财产损失为次。</w:t>
      </w:r>
    </w:p>
    <w:p w:rsidR="00B04AE3" w:rsidRDefault="00B04AE3">
      <w:pPr>
        <w:pStyle w:val="ListParagraph"/>
        <w:numPr>
          <w:ilvl w:val="2"/>
          <w:numId w:val="29"/>
        </w:numPr>
        <w:tabs>
          <w:tab w:val="left" w:pos="878"/>
        </w:tabs>
        <w:spacing w:before="1"/>
        <w:rPr>
          <w:b/>
          <w:sz w:val="24"/>
        </w:rPr>
      </w:pPr>
      <w:bookmarkStart w:id="131" w:name="8.3.1应急处置程序"/>
      <w:bookmarkEnd w:id="131"/>
      <w:r>
        <w:rPr>
          <w:rFonts w:hint="eastAsia"/>
          <w:b/>
          <w:sz w:val="24"/>
        </w:rPr>
        <w:t>应急处置程序</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、事故报警</w:t>
      </w:r>
    </w:p>
    <w:p w:rsidR="00B04AE3" w:rsidRDefault="00B04AE3">
      <w:pPr>
        <w:pStyle w:val="BodyText"/>
        <w:spacing w:before="20" w:line="360" w:lineRule="auto"/>
        <w:ind w:left="334" w:right="334" w:firstLine="482"/>
        <w:jc w:val="both"/>
        <w:rPr>
          <w:spacing w:val="-6"/>
          <w:szCs w:val="22"/>
        </w:rPr>
      </w:pPr>
      <w:r>
        <w:rPr>
          <w:rFonts w:hint="eastAsia"/>
          <w:spacing w:val="-6"/>
          <w:szCs w:val="22"/>
        </w:rPr>
        <w:t>当发生危险化学品泄漏事故时，现场人员必须根据企业制定的事故预案采取积极而有效的抑制措施，尽量减小事故的蔓延，同时向有关部门报告和报警。</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、出动应急救援队伍</w:t>
      </w:r>
    </w:p>
    <w:p w:rsidR="00B04AE3" w:rsidRDefault="00B04AE3">
      <w:pPr>
        <w:pStyle w:val="BodyText"/>
        <w:spacing w:before="20" w:line="360" w:lineRule="auto"/>
        <w:ind w:left="334" w:right="334" w:firstLine="482"/>
        <w:jc w:val="both"/>
        <w:rPr>
          <w:spacing w:val="-6"/>
          <w:szCs w:val="22"/>
        </w:rPr>
      </w:pPr>
      <w:r>
        <w:rPr>
          <w:rFonts w:hint="eastAsia"/>
          <w:spacing w:val="-6"/>
          <w:szCs w:val="22"/>
        </w:rPr>
        <w:t>各主管部门在接到事故报警后，应迅速组织应急救援专职队，赶赴现场，在做好自身防护的基础上，快速实施救援，控制事故发展，并将伤员救出危险区域和组织群众撤离、疏散，消除危险化学品事故的各种隐患。</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、人员紧急疏散、撤离</w:t>
      </w:r>
    </w:p>
    <w:p w:rsidR="00B04AE3" w:rsidRDefault="00B04AE3">
      <w:pPr>
        <w:pStyle w:val="BodyText"/>
        <w:spacing w:before="20" w:line="360" w:lineRule="auto"/>
        <w:ind w:left="334" w:right="334" w:firstLine="482"/>
        <w:jc w:val="both"/>
        <w:rPr>
          <w:spacing w:val="-6"/>
          <w:szCs w:val="22"/>
        </w:rPr>
      </w:pPr>
      <w:r>
        <w:rPr>
          <w:rFonts w:hint="eastAsia"/>
          <w:spacing w:val="-6"/>
          <w:szCs w:val="22"/>
        </w:rPr>
        <w:t>当事故发生时，安全、环保、保卫负责人要及时到现场清点人数，弄清有没有人员伤亡，并迅速报给应急处置领导小组组长，并在组长的统一领导下，对事故救援无关人员进行紧急疏散，负责规划疏散路线，撤离的方法，疏散到安全的地点。</w:t>
      </w:r>
    </w:p>
    <w:p w:rsidR="00B04AE3" w:rsidRDefault="00B04AE3">
      <w:pPr>
        <w:pStyle w:val="BodyText"/>
        <w:spacing w:before="20" w:line="360" w:lineRule="auto"/>
        <w:ind w:left="334" w:right="334" w:firstLine="482"/>
        <w:jc w:val="both"/>
        <w:rPr>
          <w:spacing w:val="-6"/>
          <w:szCs w:val="22"/>
        </w:rPr>
      </w:pPr>
      <w:r>
        <w:rPr>
          <w:rFonts w:hint="eastAsia"/>
          <w:spacing w:val="-6"/>
          <w:szCs w:val="22"/>
        </w:rPr>
        <w:t>在事故现场周围拉警戒线，由专门人员负责提醒和警告路过或周围人员，远离危险地带和事故现场。</w:t>
      </w:r>
    </w:p>
    <w:p w:rsidR="00B04AE3" w:rsidRDefault="00B04AE3">
      <w:pPr>
        <w:pStyle w:val="BodyText"/>
        <w:spacing w:before="20" w:line="360" w:lineRule="auto"/>
        <w:ind w:left="334" w:right="334" w:firstLine="482"/>
        <w:jc w:val="both"/>
        <w:rPr>
          <w:spacing w:val="-6"/>
          <w:szCs w:val="22"/>
        </w:rPr>
      </w:pPr>
      <w:r>
        <w:rPr>
          <w:rFonts w:hint="eastAsia"/>
          <w:spacing w:val="-6"/>
          <w:szCs w:val="22"/>
        </w:rPr>
        <w:t>对可能威胁到企业外的居民，报请应急处置领导小组并应立即上报有关部门，周边道路在需要隔离的情况下，除向消防部门报警外，还应立即向交通主管部门报告，请求支援，由交通主管部门协调周边交通运输情况，将居民迅速撤离到安全地点。</w:t>
      </w:r>
    </w:p>
    <w:p w:rsidR="00B04AE3" w:rsidRDefault="00B04AE3">
      <w:pPr>
        <w:pStyle w:val="BodyText"/>
        <w:spacing w:before="20" w:line="360" w:lineRule="auto"/>
        <w:ind w:left="334" w:right="334" w:firstLine="482"/>
        <w:jc w:val="both"/>
        <w:rPr>
          <w:spacing w:val="-6"/>
          <w:szCs w:val="22"/>
        </w:rPr>
      </w:pPr>
      <w:r>
        <w:rPr>
          <w:rFonts w:hint="eastAsia"/>
          <w:spacing w:val="-6"/>
          <w:szCs w:val="22"/>
        </w:rPr>
        <w:t>当重大危险事故可能引发相邻的危化学品发生新的事故时，应及时组织</w:t>
      </w:r>
    </w:p>
    <w:p w:rsidR="00B04AE3" w:rsidRDefault="00B04AE3">
      <w:pPr>
        <w:pStyle w:val="BodyText"/>
        <w:spacing w:before="20" w:line="360" w:lineRule="auto"/>
        <w:ind w:left="334" w:right="334" w:firstLine="482"/>
        <w:jc w:val="both"/>
        <w:rPr>
          <w:spacing w:val="-6"/>
          <w:szCs w:val="22"/>
        </w:rPr>
      </w:pPr>
      <w:r>
        <w:rPr>
          <w:rFonts w:hint="eastAsia"/>
          <w:spacing w:val="-6"/>
          <w:szCs w:val="22"/>
        </w:rPr>
        <w:t>救援人员迅速将相邻的危险化学品疏散到安全地点。</w:t>
      </w:r>
    </w:p>
    <w:p w:rsidR="00B04AE3" w:rsidRDefault="00B04AE3">
      <w:pPr>
        <w:pStyle w:val="BodyText"/>
        <w:spacing w:before="20" w:line="360" w:lineRule="auto"/>
        <w:ind w:left="334" w:right="334" w:firstLine="482"/>
        <w:jc w:val="both"/>
        <w:rPr>
          <w:spacing w:val="-6"/>
          <w:szCs w:val="22"/>
        </w:rPr>
      </w:pPr>
      <w:r>
        <w:rPr>
          <w:rFonts w:hint="eastAsia"/>
          <w:spacing w:val="-6"/>
          <w:szCs w:val="22"/>
        </w:rPr>
        <w:t>事故发生过程中，人员的紧急疏散、撤离前后变化，应及时报告应急处置领导小组，便于从整体上迅速处理危险事故。并应在疏散人员后，将其过程、人员数字、伤亡以及损失向指挥部进行汇报。</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、现场急救</w:t>
      </w:r>
    </w:p>
    <w:p w:rsidR="00B04AE3" w:rsidRDefault="00B04AE3">
      <w:pPr>
        <w:pStyle w:val="BodyText"/>
        <w:spacing w:before="20" w:line="360" w:lineRule="auto"/>
        <w:ind w:left="334" w:right="334" w:firstLine="482"/>
        <w:jc w:val="both"/>
        <w:rPr>
          <w:spacing w:val="-6"/>
          <w:szCs w:val="22"/>
        </w:rPr>
      </w:pPr>
      <w:r>
        <w:rPr>
          <w:rFonts w:hint="eastAsia"/>
          <w:spacing w:val="-6"/>
          <w:szCs w:val="22"/>
        </w:rPr>
        <w:t>选择有利地形设置急救点（一般应设在事故地点的上风方向开阔处）。做好自身及伤病员的个体防护。防止发生继发性损害。马上动用救援器材。</w:t>
      </w:r>
    </w:p>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、泄漏处理</w:t>
      </w:r>
    </w:p>
    <w:p w:rsidR="00B04AE3" w:rsidRDefault="00B04AE3">
      <w:pPr>
        <w:pStyle w:val="BodyText"/>
        <w:spacing w:before="20" w:line="360" w:lineRule="auto"/>
        <w:ind w:left="334" w:right="334" w:firstLine="482"/>
        <w:jc w:val="both"/>
        <w:rPr>
          <w:spacing w:val="-6"/>
          <w:szCs w:val="22"/>
        </w:rPr>
      </w:pPr>
      <w:r>
        <w:rPr>
          <w:rFonts w:hint="eastAsia"/>
          <w:spacing w:val="-6"/>
          <w:szCs w:val="22"/>
        </w:rPr>
        <w:t>⑴泄漏源控制</w:t>
      </w:r>
    </w:p>
    <w:p w:rsidR="00B04AE3" w:rsidRDefault="00B04AE3">
      <w:pPr>
        <w:pStyle w:val="BodyText"/>
        <w:spacing w:before="20" w:line="360" w:lineRule="auto"/>
        <w:ind w:left="334" w:right="334" w:firstLine="482"/>
        <w:jc w:val="both"/>
        <w:rPr>
          <w:spacing w:val="-6"/>
          <w:szCs w:val="22"/>
        </w:rPr>
      </w:pPr>
      <w:r>
        <w:rPr>
          <w:spacing w:val="-6"/>
          <w:szCs w:val="22"/>
        </w:rPr>
        <w:t xml:space="preserve">A </w:t>
      </w:r>
      <w:r>
        <w:rPr>
          <w:rFonts w:hint="eastAsia"/>
          <w:spacing w:val="-6"/>
          <w:szCs w:val="22"/>
        </w:rPr>
        <w:t>关闭阀门、停止作业或改变工艺流程、物料走副线、局部停车、打入备用罐、减负荷运行等。</w:t>
      </w:r>
    </w:p>
    <w:p w:rsidR="00B04AE3" w:rsidRDefault="00B04AE3">
      <w:pPr>
        <w:pStyle w:val="BodyText"/>
        <w:spacing w:before="20" w:line="360" w:lineRule="auto"/>
        <w:ind w:left="334" w:right="334" w:firstLine="482"/>
        <w:jc w:val="both"/>
        <w:rPr>
          <w:spacing w:val="-6"/>
          <w:szCs w:val="22"/>
        </w:rPr>
      </w:pPr>
      <w:r>
        <w:rPr>
          <w:spacing w:val="-6"/>
          <w:szCs w:val="22"/>
        </w:rPr>
        <w:t xml:space="preserve">B </w:t>
      </w:r>
      <w:r>
        <w:rPr>
          <w:rFonts w:hint="eastAsia"/>
          <w:spacing w:val="-6"/>
          <w:szCs w:val="22"/>
        </w:rPr>
        <w:t>采用适合的材料和技术手段堵住泄漏处。</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⑵泄漏物处理</w:t>
      </w:r>
    </w:p>
    <w:p w:rsidR="00B04AE3" w:rsidRDefault="00B04AE3">
      <w:pPr>
        <w:pStyle w:val="BodyText"/>
        <w:spacing w:before="20" w:line="360" w:lineRule="auto"/>
        <w:ind w:left="334" w:right="334" w:firstLine="482"/>
        <w:jc w:val="both"/>
        <w:rPr>
          <w:spacing w:val="-6"/>
          <w:szCs w:val="22"/>
        </w:rPr>
      </w:pPr>
      <w:r>
        <w:rPr>
          <w:spacing w:val="-6"/>
          <w:szCs w:val="22"/>
        </w:rPr>
        <w:t xml:space="preserve">A </w:t>
      </w:r>
      <w:r>
        <w:rPr>
          <w:rFonts w:hint="eastAsia"/>
          <w:spacing w:val="-6"/>
          <w:szCs w:val="22"/>
        </w:rPr>
        <w:t>围堤堵截：筑堤堵截泄漏体或者引流到安全地点。稀释与覆盖：向有害物蒸汽云喷射雾状水，加速气体向高空扩散。对于可燃物，也可以在现场施放大量水蒸气或氮气，破坏燃烧条件。对于液体泄漏，为降低物料向大气中的蒸发速度，</w:t>
      </w:r>
      <w:r>
        <w:rPr>
          <w:spacing w:val="-6"/>
          <w:szCs w:val="22"/>
        </w:rPr>
        <w:t xml:space="preserve"> </w:t>
      </w:r>
      <w:r>
        <w:rPr>
          <w:rFonts w:hint="eastAsia"/>
          <w:spacing w:val="-6"/>
          <w:szCs w:val="22"/>
        </w:rPr>
        <w:t>可用覆盖物品覆盖外泄的物料，其表面形成覆盖层，抑制其蒸发。</w:t>
      </w:r>
    </w:p>
    <w:p w:rsidR="00B04AE3" w:rsidRDefault="00B04AE3">
      <w:pPr>
        <w:pStyle w:val="BodyText"/>
        <w:spacing w:before="20" w:line="360" w:lineRule="auto"/>
        <w:ind w:left="334" w:right="334" w:firstLine="482"/>
        <w:jc w:val="both"/>
        <w:rPr>
          <w:spacing w:val="-6"/>
          <w:szCs w:val="22"/>
        </w:rPr>
      </w:pPr>
      <w:r>
        <w:rPr>
          <w:spacing w:val="-6"/>
          <w:szCs w:val="22"/>
        </w:rPr>
        <w:t xml:space="preserve">B </w:t>
      </w:r>
      <w:r>
        <w:rPr>
          <w:rFonts w:hint="eastAsia"/>
          <w:spacing w:val="-6"/>
          <w:szCs w:val="22"/>
        </w:rPr>
        <w:t>收容（集）：对于大型泄漏，可选择用泵将泄漏出的特物料抽入容器内或槽车内，当泄漏量小时，可用沙土、石灰等材料进行吸收中和。</w:t>
      </w:r>
    </w:p>
    <w:p w:rsidR="00B04AE3" w:rsidRDefault="00B04AE3">
      <w:pPr>
        <w:pStyle w:val="BodyText"/>
        <w:spacing w:before="20" w:line="360" w:lineRule="auto"/>
        <w:ind w:left="334" w:right="334" w:firstLine="482"/>
        <w:jc w:val="both"/>
        <w:rPr>
          <w:spacing w:val="-6"/>
          <w:szCs w:val="22"/>
        </w:rPr>
      </w:pPr>
      <w:r>
        <w:rPr>
          <w:spacing w:val="-6"/>
          <w:szCs w:val="22"/>
        </w:rPr>
        <w:t xml:space="preserve">C </w:t>
      </w:r>
      <w:r>
        <w:rPr>
          <w:rFonts w:hint="eastAsia"/>
          <w:spacing w:val="-6"/>
          <w:szCs w:val="22"/>
        </w:rPr>
        <w:t>废弃处置：将收集的泄漏物运至环保局指定的危险废物处理场所处置。用消防水冲洗剩下的少量物料，冲洗水不得随意排放，应排入污水处理系统或收集后送至有资质的处置单位处理。</w:t>
      </w:r>
    </w:p>
    <w:p w:rsidR="00B04AE3" w:rsidRDefault="00B04AE3">
      <w:pPr>
        <w:pStyle w:val="ListParagraph"/>
        <w:numPr>
          <w:ilvl w:val="2"/>
          <w:numId w:val="29"/>
        </w:numPr>
        <w:tabs>
          <w:tab w:val="left" w:pos="878"/>
        </w:tabs>
        <w:spacing w:line="307" w:lineRule="exact"/>
        <w:rPr>
          <w:b/>
          <w:sz w:val="24"/>
        </w:rPr>
      </w:pPr>
      <w:bookmarkStart w:id="132" w:name="8.3.2突发环境事件现场应急措施"/>
      <w:bookmarkEnd w:id="132"/>
      <w:r>
        <w:rPr>
          <w:rFonts w:hint="eastAsia"/>
          <w:b/>
          <w:sz w:val="24"/>
        </w:rPr>
        <w:t>突发环境事件现场应急措施</w:t>
      </w:r>
    </w:p>
    <w:p w:rsidR="00B04AE3" w:rsidRDefault="00B04AE3">
      <w:pPr>
        <w:pStyle w:val="ListParagraph"/>
        <w:numPr>
          <w:ilvl w:val="3"/>
          <w:numId w:val="30"/>
        </w:numPr>
        <w:tabs>
          <w:tab w:val="left" w:pos="1058"/>
        </w:tabs>
        <w:spacing w:before="157"/>
        <w:rPr>
          <w:b/>
          <w:sz w:val="24"/>
        </w:rPr>
      </w:pPr>
      <w:bookmarkStart w:id="133" w:name="8.3.2.1泄漏"/>
      <w:bookmarkEnd w:id="133"/>
      <w:r>
        <w:rPr>
          <w:rFonts w:hint="eastAsia"/>
          <w:b/>
          <w:sz w:val="24"/>
        </w:rPr>
        <w:t>泄漏</w:t>
      </w:r>
    </w:p>
    <w:p w:rsidR="00B04AE3" w:rsidRDefault="00B04AE3">
      <w:pPr>
        <w:spacing w:before="158" w:after="2"/>
        <w:ind w:left="2862"/>
        <w:rPr>
          <w:b/>
          <w:sz w:val="24"/>
        </w:rPr>
      </w:pPr>
      <w:r>
        <w:rPr>
          <w:rFonts w:hint="eastAsia"/>
          <w:b/>
          <w:sz w:val="24"/>
        </w:rPr>
        <w:t>表</w:t>
      </w:r>
      <w:r>
        <w:rPr>
          <w:b/>
          <w:sz w:val="24"/>
        </w:rPr>
        <w:t xml:space="preserve"> </w:t>
      </w:r>
      <w:r>
        <w:rPr>
          <w:rFonts w:ascii="Times New Roman" w:eastAsia="Times New Roman"/>
          <w:b/>
          <w:sz w:val="24"/>
        </w:rPr>
        <w:t xml:space="preserve">8.3-1 </w:t>
      </w:r>
      <w:r>
        <w:rPr>
          <w:rFonts w:hint="eastAsia"/>
          <w:b/>
          <w:sz w:val="24"/>
        </w:rPr>
        <w:t>液氮泄漏现场处置方案</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827"/>
        <w:gridCol w:w="7701"/>
      </w:tblGrid>
      <w:tr w:rsidR="00B04AE3">
        <w:trPr>
          <w:trHeight w:val="545"/>
        </w:trPr>
        <w:tc>
          <w:tcPr>
            <w:tcW w:w="827" w:type="dxa"/>
            <w:shd w:val="clear" w:color="auto" w:fill="D9D9D9"/>
          </w:tcPr>
          <w:p w:rsidR="00B04AE3" w:rsidRDefault="00B04AE3">
            <w:pPr>
              <w:pStyle w:val="TableParagraph"/>
              <w:spacing w:before="1"/>
              <w:ind w:left="201"/>
              <w:jc w:val="left"/>
              <w:rPr>
                <w:b/>
                <w:sz w:val="21"/>
              </w:rPr>
            </w:pPr>
            <w:r>
              <w:rPr>
                <w:rFonts w:hint="eastAsia"/>
                <w:b/>
                <w:w w:val="95"/>
                <w:sz w:val="21"/>
              </w:rPr>
              <w:t>车间</w:t>
            </w:r>
          </w:p>
          <w:p w:rsidR="00B04AE3" w:rsidRDefault="00B04AE3">
            <w:pPr>
              <w:pStyle w:val="TableParagraph"/>
              <w:spacing w:before="2" w:line="253" w:lineRule="exact"/>
              <w:ind w:left="201"/>
              <w:jc w:val="left"/>
              <w:rPr>
                <w:b/>
                <w:sz w:val="21"/>
              </w:rPr>
            </w:pPr>
            <w:r>
              <w:rPr>
                <w:rFonts w:hint="eastAsia"/>
                <w:b/>
                <w:w w:val="95"/>
                <w:sz w:val="21"/>
              </w:rPr>
              <w:t>工段</w:t>
            </w:r>
          </w:p>
        </w:tc>
        <w:tc>
          <w:tcPr>
            <w:tcW w:w="7701" w:type="dxa"/>
            <w:shd w:val="clear" w:color="auto" w:fill="D9D9D9"/>
          </w:tcPr>
          <w:p w:rsidR="00B04AE3" w:rsidRDefault="00B04AE3">
            <w:pPr>
              <w:pStyle w:val="TableParagraph"/>
              <w:spacing w:before="135"/>
              <w:ind w:left="3407" w:right="3399"/>
              <w:rPr>
                <w:b/>
                <w:sz w:val="21"/>
              </w:rPr>
            </w:pPr>
            <w:r>
              <w:rPr>
                <w:rFonts w:hint="eastAsia"/>
                <w:b/>
                <w:sz w:val="21"/>
              </w:rPr>
              <w:t>液氮钢瓶</w:t>
            </w:r>
          </w:p>
        </w:tc>
      </w:tr>
      <w:tr w:rsidR="00B04AE3">
        <w:trPr>
          <w:trHeight w:val="545"/>
        </w:trPr>
        <w:tc>
          <w:tcPr>
            <w:tcW w:w="827" w:type="dxa"/>
          </w:tcPr>
          <w:p w:rsidR="00B04AE3" w:rsidRDefault="00B04AE3">
            <w:pPr>
              <w:pStyle w:val="TableParagraph"/>
              <w:ind w:left="106"/>
              <w:jc w:val="left"/>
              <w:rPr>
                <w:sz w:val="21"/>
              </w:rPr>
            </w:pPr>
            <w:r>
              <w:rPr>
                <w:rFonts w:hint="eastAsia"/>
                <w:sz w:val="21"/>
              </w:rPr>
              <w:t>事故</w:t>
            </w:r>
          </w:p>
          <w:p w:rsidR="00B04AE3" w:rsidRDefault="00B04AE3">
            <w:pPr>
              <w:pStyle w:val="TableParagraph"/>
              <w:ind w:left="106"/>
              <w:jc w:val="left"/>
              <w:rPr>
                <w:sz w:val="21"/>
              </w:rPr>
            </w:pPr>
            <w:r>
              <w:rPr>
                <w:rFonts w:hint="eastAsia"/>
                <w:sz w:val="21"/>
              </w:rPr>
              <w:t>现象</w:t>
            </w:r>
          </w:p>
        </w:tc>
        <w:tc>
          <w:tcPr>
            <w:tcW w:w="7701" w:type="dxa"/>
          </w:tcPr>
          <w:p w:rsidR="00B04AE3" w:rsidRDefault="00B04AE3">
            <w:pPr>
              <w:pStyle w:val="TableParagraph"/>
              <w:ind w:left="106"/>
              <w:jc w:val="left"/>
              <w:rPr>
                <w:sz w:val="21"/>
              </w:rPr>
            </w:pPr>
            <w:r>
              <w:rPr>
                <w:rFonts w:hint="eastAsia"/>
                <w:sz w:val="21"/>
              </w:rPr>
              <w:t>液氮泄漏时，从泄漏处冒出大量的烟雾，周围环境有强烈的刺激性气味；泄漏处的</w:t>
            </w:r>
          </w:p>
          <w:p w:rsidR="00B04AE3" w:rsidRDefault="00B04AE3">
            <w:pPr>
              <w:pStyle w:val="TableParagraph"/>
              <w:ind w:left="106"/>
              <w:jc w:val="left"/>
              <w:rPr>
                <w:sz w:val="21"/>
              </w:rPr>
            </w:pPr>
            <w:r>
              <w:rPr>
                <w:rFonts w:hint="eastAsia"/>
                <w:sz w:val="21"/>
              </w:rPr>
              <w:t>设备、管线发冷，严重结冻；有毒气体报警仪报警</w:t>
            </w:r>
          </w:p>
        </w:tc>
      </w:tr>
      <w:tr w:rsidR="00B04AE3">
        <w:trPr>
          <w:trHeight w:val="817"/>
        </w:trPr>
        <w:tc>
          <w:tcPr>
            <w:tcW w:w="827" w:type="dxa"/>
          </w:tcPr>
          <w:p w:rsidR="00B04AE3" w:rsidRDefault="00B04AE3">
            <w:pPr>
              <w:pStyle w:val="TableParagraph"/>
              <w:ind w:left="106"/>
              <w:jc w:val="left"/>
              <w:rPr>
                <w:sz w:val="21"/>
              </w:rPr>
            </w:pPr>
            <w:r>
              <w:rPr>
                <w:rFonts w:hint="eastAsia"/>
                <w:sz w:val="21"/>
              </w:rPr>
              <w:t>泄漏部位</w:t>
            </w:r>
          </w:p>
        </w:tc>
        <w:tc>
          <w:tcPr>
            <w:tcW w:w="7701" w:type="dxa"/>
          </w:tcPr>
          <w:p w:rsidR="00B04AE3" w:rsidRDefault="00B04AE3">
            <w:pPr>
              <w:pStyle w:val="TableParagraph"/>
              <w:ind w:left="106"/>
              <w:jc w:val="left"/>
              <w:rPr>
                <w:sz w:val="21"/>
              </w:rPr>
            </w:pPr>
            <w:r>
              <w:rPr>
                <w:rFonts w:hint="eastAsia"/>
                <w:sz w:val="21"/>
              </w:rPr>
              <w:t>液氮钢瓶破损；液氮钢瓶的出口阀门密封不严泄漏；连接的软管破损泄漏；软管与</w:t>
            </w:r>
            <w:r>
              <w:rPr>
                <w:sz w:val="21"/>
              </w:rPr>
              <w:t xml:space="preserve">  </w:t>
            </w:r>
            <w:r>
              <w:rPr>
                <w:rFonts w:hint="eastAsia"/>
                <w:sz w:val="21"/>
              </w:rPr>
              <w:t>接头的连接处密封不严泄漏；各接头及压力表的安装处密封不严泄漏；液氮罐车向</w:t>
            </w:r>
          </w:p>
          <w:p w:rsidR="00B04AE3" w:rsidRDefault="00B04AE3">
            <w:pPr>
              <w:pStyle w:val="TableParagraph"/>
              <w:ind w:left="106"/>
              <w:jc w:val="left"/>
              <w:rPr>
                <w:sz w:val="21"/>
              </w:rPr>
            </w:pPr>
            <w:r>
              <w:rPr>
                <w:rFonts w:hint="eastAsia"/>
                <w:sz w:val="21"/>
              </w:rPr>
              <w:t>球罐卸料过程中；</w:t>
            </w:r>
          </w:p>
        </w:tc>
      </w:tr>
      <w:tr w:rsidR="00B04AE3">
        <w:trPr>
          <w:trHeight w:val="395"/>
        </w:trPr>
        <w:tc>
          <w:tcPr>
            <w:tcW w:w="8528" w:type="dxa"/>
            <w:gridSpan w:val="2"/>
          </w:tcPr>
          <w:p w:rsidR="00B04AE3" w:rsidRDefault="00B04AE3">
            <w:pPr>
              <w:pStyle w:val="TableParagraph"/>
              <w:ind w:left="106"/>
              <w:jc w:val="left"/>
              <w:rPr>
                <w:sz w:val="21"/>
              </w:rPr>
            </w:pPr>
            <w:r>
              <w:rPr>
                <w:rFonts w:hint="eastAsia"/>
                <w:sz w:val="21"/>
              </w:rPr>
              <w:t>上报程序与应急操作</w:t>
            </w:r>
          </w:p>
        </w:tc>
      </w:tr>
      <w:tr w:rsidR="00B04AE3">
        <w:trPr>
          <w:trHeight w:val="545"/>
        </w:trPr>
        <w:tc>
          <w:tcPr>
            <w:tcW w:w="827" w:type="dxa"/>
          </w:tcPr>
          <w:p w:rsidR="00B04AE3" w:rsidRDefault="00B04AE3">
            <w:pPr>
              <w:pStyle w:val="TableParagraph"/>
              <w:ind w:left="106"/>
              <w:jc w:val="left"/>
              <w:rPr>
                <w:sz w:val="21"/>
              </w:rPr>
            </w:pPr>
            <w:r>
              <w:rPr>
                <w:rFonts w:hint="eastAsia"/>
                <w:sz w:val="21"/>
              </w:rPr>
              <w:t>上报程序</w:t>
            </w:r>
          </w:p>
        </w:tc>
        <w:tc>
          <w:tcPr>
            <w:tcW w:w="7701" w:type="dxa"/>
          </w:tcPr>
          <w:p w:rsidR="00B04AE3" w:rsidRDefault="00B04AE3">
            <w:pPr>
              <w:pStyle w:val="TableParagraph"/>
              <w:ind w:left="106"/>
              <w:jc w:val="left"/>
              <w:rPr>
                <w:sz w:val="21"/>
              </w:rPr>
            </w:pPr>
            <w:r>
              <w:rPr>
                <w:rFonts w:hint="eastAsia"/>
                <w:sz w:val="21"/>
              </w:rPr>
              <w:t>岗位员工在事故发生时第一时间向液氮罐区负责人上报</w:t>
            </w:r>
          </w:p>
          <w:p w:rsidR="00B04AE3" w:rsidRDefault="00B04AE3">
            <w:pPr>
              <w:pStyle w:val="TableParagraph"/>
              <w:ind w:left="106"/>
              <w:jc w:val="left"/>
              <w:rPr>
                <w:sz w:val="21"/>
              </w:rPr>
            </w:pPr>
            <w:r>
              <w:rPr>
                <w:rFonts w:hint="eastAsia"/>
                <w:sz w:val="21"/>
              </w:rPr>
              <w:t>车间负责人根据实际情况决定是否向应急指挥部上报</w:t>
            </w:r>
          </w:p>
        </w:tc>
      </w:tr>
      <w:tr w:rsidR="00B04AE3">
        <w:trPr>
          <w:trHeight w:val="817"/>
        </w:trPr>
        <w:tc>
          <w:tcPr>
            <w:tcW w:w="827" w:type="dxa"/>
          </w:tcPr>
          <w:p w:rsidR="00B04AE3" w:rsidRDefault="00B04AE3">
            <w:pPr>
              <w:pStyle w:val="TableParagraph"/>
              <w:ind w:left="106"/>
              <w:jc w:val="left"/>
              <w:rPr>
                <w:sz w:val="21"/>
              </w:rPr>
            </w:pPr>
            <w:r>
              <w:rPr>
                <w:rFonts w:hint="eastAsia"/>
                <w:sz w:val="21"/>
              </w:rPr>
              <w:t>个人</w:t>
            </w:r>
          </w:p>
          <w:p w:rsidR="00B04AE3" w:rsidRDefault="00B04AE3">
            <w:pPr>
              <w:pStyle w:val="TableParagraph"/>
              <w:ind w:left="106"/>
              <w:jc w:val="left"/>
              <w:rPr>
                <w:sz w:val="21"/>
              </w:rPr>
            </w:pPr>
            <w:r>
              <w:rPr>
                <w:rFonts w:hint="eastAsia"/>
                <w:sz w:val="21"/>
              </w:rPr>
              <w:t>防护措施</w:t>
            </w:r>
          </w:p>
        </w:tc>
        <w:tc>
          <w:tcPr>
            <w:tcW w:w="7701" w:type="dxa"/>
          </w:tcPr>
          <w:p w:rsidR="00B04AE3" w:rsidRDefault="00B04AE3">
            <w:pPr>
              <w:pStyle w:val="TableParagraph"/>
              <w:ind w:left="106"/>
              <w:jc w:val="left"/>
              <w:rPr>
                <w:sz w:val="21"/>
              </w:rPr>
            </w:pPr>
            <w:r>
              <w:rPr>
                <w:rFonts w:hint="eastAsia"/>
                <w:sz w:val="21"/>
              </w:rPr>
              <w:t>应急处理人员戴自给式呼吸器，穿化学防护服。不要直接接触泄漏物，在确保安全</w:t>
            </w:r>
            <w:r>
              <w:rPr>
                <w:sz w:val="21"/>
              </w:rPr>
              <w:t xml:space="preserve">  </w:t>
            </w:r>
            <w:r>
              <w:rPr>
                <w:rFonts w:hint="eastAsia"/>
                <w:sz w:val="21"/>
              </w:rPr>
              <w:t>情况下堵漏。</w:t>
            </w:r>
          </w:p>
        </w:tc>
      </w:tr>
      <w:tr w:rsidR="00B04AE3">
        <w:trPr>
          <w:trHeight w:val="6264"/>
        </w:trPr>
        <w:tc>
          <w:tcPr>
            <w:tcW w:w="827" w:type="dxa"/>
          </w:tcPr>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r>
              <w:rPr>
                <w:rFonts w:hint="eastAsia"/>
                <w:sz w:val="21"/>
              </w:rPr>
              <w:t>现场应急处置措施</w:t>
            </w:r>
          </w:p>
        </w:tc>
        <w:tc>
          <w:tcPr>
            <w:tcW w:w="7701" w:type="dxa"/>
          </w:tcPr>
          <w:p w:rsidR="00B04AE3" w:rsidRDefault="00B04AE3">
            <w:pPr>
              <w:pStyle w:val="TableParagraph"/>
              <w:ind w:left="106"/>
              <w:jc w:val="left"/>
              <w:rPr>
                <w:sz w:val="21"/>
              </w:rPr>
            </w:pPr>
            <w:r>
              <w:rPr>
                <w:rFonts w:hint="eastAsia"/>
                <w:sz w:val="21"/>
              </w:rPr>
              <w:t>由安全报警系统发出警报，岗位操作人员巡检发现，以最快的速度拉开警报系统，</w:t>
            </w:r>
            <w:r>
              <w:rPr>
                <w:sz w:val="21"/>
              </w:rPr>
              <w:t xml:space="preserve">  </w:t>
            </w:r>
            <w:r>
              <w:rPr>
                <w:rFonts w:hint="eastAsia"/>
                <w:sz w:val="21"/>
              </w:rPr>
              <w:t>通知厂内救援队伍前来救援。</w:t>
            </w:r>
          </w:p>
          <w:p w:rsidR="00B04AE3" w:rsidRDefault="00B04AE3">
            <w:pPr>
              <w:pStyle w:val="TableParagraph"/>
              <w:ind w:left="106"/>
              <w:jc w:val="left"/>
              <w:rPr>
                <w:sz w:val="21"/>
              </w:rPr>
            </w:pPr>
            <w:r>
              <w:rPr>
                <w:rFonts w:hint="eastAsia"/>
                <w:sz w:val="21"/>
              </w:rPr>
              <w:t>氨站泄漏的应急原则是“救人第一，救物第二”。当发生微量泄漏，岗位人员可以立刻采取应急措施。主要如下：连接法兰出现泄露时，应关闭球罐底部阀门；当压力表安装处发生泄漏时，应关闭截止阀；当向球罐卸液氮过程中报警仪发出警报时，</w:t>
            </w:r>
            <w:r>
              <w:rPr>
                <w:sz w:val="21"/>
              </w:rPr>
              <w:t xml:space="preserve">  </w:t>
            </w:r>
            <w:r>
              <w:rPr>
                <w:rFonts w:hint="eastAsia"/>
                <w:sz w:val="21"/>
              </w:rPr>
              <w:t>应迅速关闭氨站紧急切断阀、罐车紧急切断阀、远程操作阀。</w:t>
            </w:r>
          </w:p>
          <w:p w:rsidR="00B04AE3" w:rsidRDefault="00B04AE3">
            <w:pPr>
              <w:pStyle w:val="TableParagraph"/>
              <w:ind w:left="106"/>
              <w:jc w:val="left"/>
              <w:rPr>
                <w:sz w:val="21"/>
              </w:rPr>
            </w:pPr>
            <w:r>
              <w:rPr>
                <w:rFonts w:hint="eastAsia"/>
                <w:sz w:val="21"/>
              </w:rPr>
              <w:t>当发生小量泄漏或者罐体破损引起的大量泄漏情况时，岗位人员应开启氨站北侧</w:t>
            </w:r>
            <w:r>
              <w:rPr>
                <w:sz w:val="21"/>
              </w:rPr>
              <w:t xml:space="preserve">  </w:t>
            </w:r>
            <w:r>
              <w:rPr>
                <w:rFonts w:hint="eastAsia"/>
                <w:sz w:val="21"/>
              </w:rPr>
              <w:t>的消防炮，用水对准氨泄漏点喷淋，让氨溶解于水，以减少氨气蔓延。在厂内救援</w:t>
            </w:r>
            <w:r>
              <w:rPr>
                <w:sz w:val="21"/>
              </w:rPr>
              <w:t xml:space="preserve">  </w:t>
            </w:r>
            <w:r>
              <w:rPr>
                <w:rFonts w:hint="eastAsia"/>
                <w:sz w:val="21"/>
              </w:rPr>
              <w:t>队伍到位之前，不能随意采取救援工作。</w:t>
            </w:r>
          </w:p>
          <w:p w:rsidR="00B04AE3" w:rsidRDefault="00B04AE3">
            <w:pPr>
              <w:pStyle w:val="TableParagraph"/>
              <w:ind w:left="106"/>
              <w:jc w:val="left"/>
              <w:rPr>
                <w:sz w:val="21"/>
              </w:rPr>
            </w:pPr>
            <w:r>
              <w:rPr>
                <w:rFonts w:hint="eastAsia"/>
                <w:sz w:val="21"/>
              </w:rPr>
              <w:t>厂内救援队伍救援工作如下：带压堵漏。在管道或者较小的容器上，发现泄漏。专</w:t>
            </w:r>
            <w:r>
              <w:rPr>
                <w:sz w:val="21"/>
              </w:rPr>
              <w:t xml:space="preserve">  </w:t>
            </w:r>
            <w:r>
              <w:rPr>
                <w:rFonts w:hint="eastAsia"/>
                <w:sz w:val="21"/>
              </w:rPr>
              <w:t>业堵漏人员佩戴空气呼吸器或长管呼吸器、橡皮手套，使用扳手等器具，在短时间</w:t>
            </w:r>
            <w:r>
              <w:rPr>
                <w:sz w:val="21"/>
              </w:rPr>
              <w:t xml:space="preserve">  </w:t>
            </w:r>
            <w:r>
              <w:rPr>
                <w:rFonts w:hint="eastAsia"/>
                <w:sz w:val="21"/>
              </w:rPr>
              <w:t>内完成堵漏工作；倒罐泄压。当罐体开裂尺寸较大而无法止漏时，迅速将该罐内液</w:t>
            </w:r>
            <w:r>
              <w:rPr>
                <w:sz w:val="21"/>
              </w:rPr>
              <w:t xml:space="preserve">  </w:t>
            </w:r>
            <w:r>
              <w:rPr>
                <w:rFonts w:hint="eastAsia"/>
                <w:sz w:val="21"/>
              </w:rPr>
              <w:t>氨导入空罐或其它储罐中。</w:t>
            </w:r>
          </w:p>
          <w:p w:rsidR="00B04AE3" w:rsidRDefault="00B04AE3">
            <w:pPr>
              <w:pStyle w:val="TableParagraph"/>
              <w:ind w:left="106"/>
              <w:jc w:val="left"/>
              <w:rPr>
                <w:sz w:val="21"/>
              </w:rPr>
            </w:pPr>
            <w:r>
              <w:rPr>
                <w:rFonts w:hint="eastAsia"/>
                <w:sz w:val="21"/>
              </w:rPr>
              <w:t>具体操作方案：立即穿好重型防化服，戴好空气呼吸器，做好防护后进入现场。首先察看现场有无中毒人员，若有人员中毒，应以最快速度将中毒受伤者脱离现场，</w:t>
            </w:r>
            <w:r>
              <w:rPr>
                <w:sz w:val="21"/>
              </w:rPr>
              <w:t xml:space="preserve">  </w:t>
            </w:r>
            <w:r>
              <w:rPr>
                <w:rFonts w:hint="eastAsia"/>
                <w:sz w:val="21"/>
              </w:rPr>
              <w:t>同时开启所有液氮贮罐顶部喷淋装置进行喷淋，喷淋吸收扩散的液氮，关闭所有液氮贮罐的进出口阀门，并将消防水龙带接到消防栓上，用大量清水喷向泄漏区进行稀释、溶解、同时判断液氮泄漏的压力和泄漏口的大小及其形状，准备好相应的堵漏的工具或材料（阀兰采用液压注胶堵漏器、管道采用钢带式快速堵漏器），堵漏工作准备就绪后，立即用堵漏材料堵漏。在堵漏时如果条件允许，可同时进行倒罐处理。</w:t>
            </w:r>
          </w:p>
          <w:p w:rsidR="00B04AE3" w:rsidRDefault="00B04AE3">
            <w:pPr>
              <w:pStyle w:val="TableParagraph"/>
              <w:ind w:left="106"/>
              <w:jc w:val="left"/>
              <w:rPr>
                <w:sz w:val="21"/>
              </w:rPr>
            </w:pPr>
            <w:r>
              <w:rPr>
                <w:rFonts w:hint="eastAsia"/>
                <w:sz w:val="21"/>
              </w:rPr>
              <w:t>用水冲洗围堰区，打开导流设施阀门，将含有少许物料残液的冲洗水导入事故水</w:t>
            </w:r>
            <w:r>
              <w:rPr>
                <w:sz w:val="21"/>
              </w:rPr>
              <w:t xml:space="preserve">  </w:t>
            </w:r>
            <w:r>
              <w:rPr>
                <w:rFonts w:hint="eastAsia"/>
                <w:sz w:val="21"/>
              </w:rPr>
              <w:t>池，最终进入污水处理站处理。</w:t>
            </w:r>
          </w:p>
        </w:tc>
      </w:tr>
      <w:tr w:rsidR="00B04AE3">
        <w:trPr>
          <w:trHeight w:val="816"/>
        </w:trPr>
        <w:tc>
          <w:tcPr>
            <w:tcW w:w="827" w:type="dxa"/>
          </w:tcPr>
          <w:p w:rsidR="00B04AE3" w:rsidRDefault="00B04AE3">
            <w:pPr>
              <w:pStyle w:val="TableParagraph"/>
              <w:ind w:left="106"/>
              <w:jc w:val="left"/>
              <w:rPr>
                <w:sz w:val="21"/>
              </w:rPr>
            </w:pPr>
            <w:r>
              <w:rPr>
                <w:rFonts w:hint="eastAsia"/>
                <w:sz w:val="21"/>
              </w:rPr>
              <w:t>警戒</w:t>
            </w:r>
          </w:p>
          <w:p w:rsidR="00B04AE3" w:rsidRDefault="00B04AE3">
            <w:pPr>
              <w:pStyle w:val="TableParagraph"/>
              <w:ind w:left="106"/>
              <w:jc w:val="left"/>
              <w:rPr>
                <w:sz w:val="21"/>
              </w:rPr>
            </w:pPr>
            <w:r>
              <w:rPr>
                <w:rFonts w:hint="eastAsia"/>
                <w:sz w:val="21"/>
              </w:rPr>
              <w:t>疏散措施</w:t>
            </w:r>
          </w:p>
        </w:tc>
        <w:tc>
          <w:tcPr>
            <w:tcW w:w="7701" w:type="dxa"/>
          </w:tcPr>
          <w:p w:rsidR="00B04AE3" w:rsidRDefault="00B04AE3">
            <w:pPr>
              <w:pStyle w:val="TableParagraph"/>
              <w:ind w:left="106"/>
              <w:jc w:val="left"/>
              <w:rPr>
                <w:sz w:val="21"/>
              </w:rPr>
            </w:pPr>
            <w:r>
              <w:rPr>
                <w:rFonts w:hint="eastAsia"/>
                <w:sz w:val="21"/>
              </w:rPr>
              <w:t>①应迅速判断泄漏点，疏散泄漏污染区人员至安全区，禁止无关人员进入污染区。</w:t>
            </w:r>
          </w:p>
          <w:p w:rsidR="00B04AE3" w:rsidRDefault="00B04AE3">
            <w:pPr>
              <w:pStyle w:val="TableParagraph"/>
              <w:ind w:left="106"/>
              <w:jc w:val="left"/>
              <w:rPr>
                <w:sz w:val="21"/>
              </w:rPr>
            </w:pPr>
            <w:r>
              <w:rPr>
                <w:rFonts w:hint="eastAsia"/>
                <w:sz w:val="21"/>
              </w:rPr>
              <w:t>②指挥中心根据对事故发展趋势的预测，通过电话、广播做出撤离警报。</w:t>
            </w:r>
          </w:p>
        </w:tc>
      </w:tr>
      <w:tr w:rsidR="00B04AE3">
        <w:trPr>
          <w:trHeight w:val="817"/>
        </w:trPr>
        <w:tc>
          <w:tcPr>
            <w:tcW w:w="827" w:type="dxa"/>
          </w:tcPr>
          <w:p w:rsidR="00B04AE3" w:rsidRDefault="00B04AE3">
            <w:pPr>
              <w:pStyle w:val="TableParagraph"/>
              <w:ind w:left="106"/>
              <w:jc w:val="left"/>
              <w:rPr>
                <w:sz w:val="21"/>
              </w:rPr>
            </w:pPr>
            <w:r>
              <w:rPr>
                <w:rFonts w:hint="eastAsia"/>
                <w:sz w:val="21"/>
              </w:rPr>
              <w:t>污染</w:t>
            </w:r>
          </w:p>
          <w:p w:rsidR="00B04AE3" w:rsidRDefault="00B04AE3">
            <w:pPr>
              <w:pStyle w:val="TableParagraph"/>
              <w:ind w:left="106"/>
              <w:jc w:val="left"/>
              <w:rPr>
                <w:sz w:val="21"/>
              </w:rPr>
            </w:pPr>
            <w:r>
              <w:rPr>
                <w:rFonts w:hint="eastAsia"/>
                <w:sz w:val="21"/>
              </w:rPr>
              <w:t>控制措施</w:t>
            </w:r>
          </w:p>
        </w:tc>
        <w:tc>
          <w:tcPr>
            <w:tcW w:w="7701" w:type="dxa"/>
          </w:tcPr>
          <w:p w:rsidR="00B04AE3" w:rsidRDefault="00B04AE3">
            <w:pPr>
              <w:pStyle w:val="TableParagraph"/>
              <w:ind w:left="106"/>
              <w:jc w:val="left"/>
              <w:rPr>
                <w:sz w:val="21"/>
              </w:rPr>
            </w:pPr>
            <w:r>
              <w:rPr>
                <w:rFonts w:hint="eastAsia"/>
                <w:sz w:val="21"/>
              </w:rPr>
              <w:t>根据事件发展情况，生产系统做好紧急停车准备，必要时严格按照已制定的安全停</w:t>
            </w:r>
            <w:r>
              <w:rPr>
                <w:sz w:val="21"/>
              </w:rPr>
              <w:t xml:space="preserve">  </w:t>
            </w:r>
            <w:r>
              <w:rPr>
                <w:rFonts w:hint="eastAsia"/>
                <w:sz w:val="21"/>
              </w:rPr>
              <w:t>车程序进行安全停车；</w:t>
            </w:r>
          </w:p>
        </w:tc>
      </w:tr>
      <w:tr w:rsidR="00B04AE3">
        <w:trPr>
          <w:trHeight w:val="817"/>
        </w:trPr>
        <w:tc>
          <w:tcPr>
            <w:tcW w:w="827" w:type="dxa"/>
          </w:tcPr>
          <w:p w:rsidR="00B04AE3" w:rsidRDefault="00B04AE3">
            <w:pPr>
              <w:pStyle w:val="TableParagraph"/>
              <w:ind w:left="106"/>
              <w:jc w:val="left"/>
              <w:rPr>
                <w:sz w:val="21"/>
              </w:rPr>
            </w:pPr>
            <w:r>
              <w:rPr>
                <w:rFonts w:hint="eastAsia"/>
                <w:sz w:val="21"/>
              </w:rPr>
              <w:t>预防措施</w:t>
            </w:r>
          </w:p>
        </w:tc>
        <w:tc>
          <w:tcPr>
            <w:tcW w:w="7701" w:type="dxa"/>
          </w:tcPr>
          <w:p w:rsidR="00B04AE3" w:rsidRDefault="00B04AE3">
            <w:pPr>
              <w:pStyle w:val="TableParagraph"/>
              <w:ind w:left="106"/>
              <w:jc w:val="left"/>
              <w:rPr>
                <w:sz w:val="21"/>
              </w:rPr>
            </w:pPr>
            <w:r>
              <w:rPr>
                <w:rFonts w:hint="eastAsia"/>
                <w:sz w:val="21"/>
              </w:rPr>
              <w:t>要注意在液氮钢瓶运送到现场和卸液氮时不可猛烈的撞击储罐，必须有橡胶缓冲</w:t>
            </w:r>
          </w:p>
          <w:p w:rsidR="00B04AE3" w:rsidRDefault="00B04AE3">
            <w:pPr>
              <w:pStyle w:val="TableParagraph"/>
              <w:ind w:left="106"/>
              <w:jc w:val="left"/>
              <w:rPr>
                <w:sz w:val="21"/>
              </w:rPr>
            </w:pPr>
            <w:r>
              <w:rPr>
                <w:rFonts w:hint="eastAsia"/>
                <w:sz w:val="21"/>
              </w:rPr>
              <w:t>圈，也不可曝晒储罐；日常加强检修与岗位培训；夏季，为保证罐体压力稳定，采</w:t>
            </w:r>
            <w:r>
              <w:rPr>
                <w:sz w:val="21"/>
              </w:rPr>
              <w:t xml:space="preserve">  </w:t>
            </w:r>
            <w:r>
              <w:rPr>
                <w:rFonts w:hint="eastAsia"/>
                <w:sz w:val="21"/>
              </w:rPr>
              <w:t>用水喷淋进项降压；操作平台设有防护栏</w:t>
            </w:r>
          </w:p>
        </w:tc>
      </w:tr>
      <w:tr w:rsidR="00B04AE3">
        <w:trPr>
          <w:trHeight w:val="2450"/>
        </w:trPr>
        <w:tc>
          <w:tcPr>
            <w:tcW w:w="827" w:type="dxa"/>
          </w:tcPr>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p>
          <w:p w:rsidR="00B04AE3" w:rsidRDefault="00B04AE3">
            <w:pPr>
              <w:pStyle w:val="TableParagraph"/>
              <w:ind w:left="106"/>
              <w:jc w:val="left"/>
              <w:rPr>
                <w:sz w:val="21"/>
              </w:rPr>
            </w:pPr>
            <w:r>
              <w:rPr>
                <w:rFonts w:hint="eastAsia"/>
                <w:sz w:val="21"/>
              </w:rPr>
              <w:t>危害</w:t>
            </w:r>
          </w:p>
        </w:tc>
        <w:tc>
          <w:tcPr>
            <w:tcW w:w="7701" w:type="dxa"/>
          </w:tcPr>
          <w:p w:rsidR="00B04AE3" w:rsidRDefault="00B04AE3">
            <w:pPr>
              <w:pStyle w:val="TableParagraph"/>
              <w:ind w:left="106"/>
              <w:jc w:val="left"/>
              <w:rPr>
                <w:sz w:val="21"/>
              </w:rPr>
            </w:pPr>
            <w:r>
              <w:rPr>
                <w:rFonts w:hint="eastAsia"/>
                <w:sz w:val="21"/>
              </w:rPr>
              <w:t>健康危害：低浓度氨对粘膜有刺激作用，高浓度可造成组织溶解坏死。滴入皮肤，</w:t>
            </w:r>
            <w:r>
              <w:rPr>
                <w:sz w:val="21"/>
              </w:rPr>
              <w:t xml:space="preserve">  </w:t>
            </w:r>
            <w:r>
              <w:rPr>
                <w:rFonts w:hint="eastAsia"/>
                <w:sz w:val="21"/>
              </w:rPr>
              <w:t>会冻伤和腐蚀。接触眼睛可使眼结膜水肿，角膜溃疡、虹膜炎、晶体混蚀甚至角膜穿孔。</w:t>
            </w:r>
          </w:p>
          <w:p w:rsidR="00B04AE3" w:rsidRDefault="00B04AE3">
            <w:pPr>
              <w:pStyle w:val="TableParagraph"/>
              <w:ind w:left="106"/>
              <w:jc w:val="left"/>
              <w:rPr>
                <w:sz w:val="21"/>
              </w:rPr>
            </w:pPr>
            <w:r>
              <w:rPr>
                <w:rFonts w:hint="eastAsia"/>
                <w:sz w:val="21"/>
              </w:rPr>
              <w:t>急性中毒：轻度者出现流泪、咽痛、声音嘶哑、咳嗽等；眼结膜、鼻粘膜、咽部充血、水肿；胸部</w:t>
            </w:r>
            <w:r>
              <w:rPr>
                <w:sz w:val="21"/>
              </w:rPr>
              <w:t xml:space="preserve"> X </w:t>
            </w:r>
            <w:r>
              <w:rPr>
                <w:rFonts w:hint="eastAsia"/>
                <w:sz w:val="21"/>
              </w:rPr>
              <w:t>线征象符合支气管或支气管周围炎。中度中毒上述症状加剧，</w:t>
            </w:r>
            <w:r>
              <w:rPr>
                <w:sz w:val="21"/>
              </w:rPr>
              <w:t xml:space="preserve"> </w:t>
            </w:r>
            <w:r>
              <w:rPr>
                <w:rFonts w:hint="eastAsia"/>
                <w:sz w:val="21"/>
              </w:rPr>
              <w:t>出现呼吸困难、紫绀；胸部</w:t>
            </w:r>
            <w:r>
              <w:rPr>
                <w:sz w:val="21"/>
              </w:rPr>
              <w:t xml:space="preserve"> X </w:t>
            </w:r>
            <w:r>
              <w:rPr>
                <w:rFonts w:hint="eastAsia"/>
                <w:sz w:val="21"/>
              </w:rPr>
              <w:t>线象符合肺炎或间质性肺炎。严重者可发生中毒性肺水肿，或有呼吸窘迫综合征，患者剧烈咳嗽、咯大量粉红色泡沫痰、呼吸窘迫、</w:t>
            </w:r>
          </w:p>
          <w:p w:rsidR="00B04AE3" w:rsidRDefault="00B04AE3">
            <w:pPr>
              <w:pStyle w:val="TableParagraph"/>
              <w:ind w:left="106"/>
              <w:jc w:val="left"/>
              <w:rPr>
                <w:sz w:val="21"/>
              </w:rPr>
            </w:pPr>
            <w:r>
              <w:rPr>
                <w:rFonts w:hint="eastAsia"/>
                <w:sz w:val="21"/>
              </w:rPr>
              <w:t>谵妄、昏迷、休克等。可发生喉头水肿或支气管粘膜坏死脱落窒息。高浓度氨可引</w:t>
            </w:r>
            <w:r>
              <w:rPr>
                <w:sz w:val="21"/>
              </w:rPr>
              <w:t xml:space="preserve">  </w:t>
            </w:r>
            <w:r>
              <w:rPr>
                <w:rFonts w:hint="eastAsia"/>
                <w:sz w:val="21"/>
              </w:rPr>
              <w:t>起反射性呼吸停止。</w:t>
            </w:r>
          </w:p>
        </w:tc>
      </w:tr>
      <w:tr w:rsidR="00B04AE3">
        <w:trPr>
          <w:trHeight w:val="817"/>
        </w:trPr>
        <w:tc>
          <w:tcPr>
            <w:tcW w:w="827" w:type="dxa"/>
          </w:tcPr>
          <w:p w:rsidR="00B04AE3" w:rsidRDefault="00B04AE3">
            <w:pPr>
              <w:pStyle w:val="TableParagraph"/>
              <w:ind w:left="106"/>
              <w:jc w:val="left"/>
              <w:rPr>
                <w:sz w:val="21"/>
              </w:rPr>
            </w:pPr>
            <w:r>
              <w:rPr>
                <w:rFonts w:hint="eastAsia"/>
                <w:sz w:val="21"/>
              </w:rPr>
              <w:t>应急物资</w:t>
            </w:r>
          </w:p>
        </w:tc>
        <w:tc>
          <w:tcPr>
            <w:tcW w:w="7701" w:type="dxa"/>
          </w:tcPr>
          <w:p w:rsidR="00B04AE3" w:rsidRDefault="00B04AE3">
            <w:pPr>
              <w:pStyle w:val="TableParagraph"/>
              <w:ind w:left="106"/>
              <w:jc w:val="left"/>
              <w:rPr>
                <w:sz w:val="21"/>
              </w:rPr>
            </w:pPr>
            <w:r>
              <w:rPr>
                <w:rFonts w:hint="eastAsia"/>
                <w:sz w:val="21"/>
              </w:rPr>
              <w:t>负责人：夏志亮；电话：</w:t>
            </w:r>
            <w:r>
              <w:rPr>
                <w:sz w:val="21"/>
              </w:rPr>
              <w:t>15879135422</w:t>
            </w:r>
            <w:r>
              <w:rPr>
                <w:rFonts w:hint="eastAsia"/>
                <w:sz w:val="21"/>
              </w:rPr>
              <w:t>；</w:t>
            </w:r>
          </w:p>
          <w:p w:rsidR="00B04AE3" w:rsidRDefault="00B04AE3">
            <w:pPr>
              <w:pStyle w:val="TableParagraph"/>
              <w:ind w:left="106"/>
              <w:jc w:val="left"/>
              <w:rPr>
                <w:sz w:val="21"/>
              </w:rPr>
            </w:pPr>
            <w:r>
              <w:rPr>
                <w:rFonts w:hint="eastAsia"/>
                <w:sz w:val="21"/>
              </w:rPr>
              <w:t>消防炮、消防栓、灭火器、事故池、医药箱、围堰；洗眼器、重型防化服、空气呼</w:t>
            </w:r>
            <w:r>
              <w:rPr>
                <w:sz w:val="21"/>
              </w:rPr>
              <w:t xml:space="preserve">  </w:t>
            </w:r>
            <w:r>
              <w:rPr>
                <w:rFonts w:hint="eastAsia"/>
                <w:sz w:val="21"/>
              </w:rPr>
              <w:t>吸器、气体泄漏检测仪等</w:t>
            </w:r>
          </w:p>
        </w:tc>
      </w:tr>
      <w:tr w:rsidR="00B04AE3">
        <w:trPr>
          <w:trHeight w:val="405"/>
        </w:trPr>
        <w:tc>
          <w:tcPr>
            <w:tcW w:w="827" w:type="dxa"/>
          </w:tcPr>
          <w:p w:rsidR="00B04AE3" w:rsidRDefault="00B04AE3">
            <w:pPr>
              <w:pStyle w:val="TableParagraph"/>
              <w:ind w:left="106"/>
              <w:jc w:val="left"/>
              <w:rPr>
                <w:sz w:val="21"/>
              </w:rPr>
            </w:pPr>
            <w:r>
              <w:rPr>
                <w:rFonts w:hint="eastAsia"/>
                <w:sz w:val="21"/>
              </w:rPr>
              <w:t>注意</w:t>
            </w:r>
          </w:p>
        </w:tc>
        <w:tc>
          <w:tcPr>
            <w:tcW w:w="7701" w:type="dxa"/>
          </w:tcPr>
          <w:p w:rsidR="00B04AE3" w:rsidRDefault="00B04AE3">
            <w:pPr>
              <w:pStyle w:val="TableParagraph"/>
              <w:ind w:left="106"/>
              <w:jc w:val="left"/>
              <w:rPr>
                <w:sz w:val="21"/>
              </w:rPr>
            </w:pPr>
            <w:r>
              <w:rPr>
                <w:sz w:val="21"/>
              </w:rPr>
              <w:t>1.</w:t>
            </w:r>
            <w:r>
              <w:rPr>
                <w:rFonts w:hint="eastAsia"/>
                <w:sz w:val="21"/>
              </w:rPr>
              <w:t>实施堵漏人员必须经过专门训练，并配备专门的堵漏器材和工具，作业时必须严</w:t>
            </w:r>
          </w:p>
        </w:tc>
      </w:tr>
      <w:tr w:rsidR="00B04AE3">
        <w:trPr>
          <w:trHeight w:val="1088"/>
        </w:trPr>
        <w:tc>
          <w:tcPr>
            <w:tcW w:w="827" w:type="dxa"/>
          </w:tcPr>
          <w:p w:rsidR="00B04AE3" w:rsidRDefault="00B04AE3">
            <w:pPr>
              <w:pStyle w:val="TableParagraph"/>
              <w:ind w:left="106"/>
              <w:jc w:val="left"/>
              <w:rPr>
                <w:sz w:val="21"/>
              </w:rPr>
            </w:pPr>
            <w:r>
              <w:rPr>
                <w:rFonts w:hint="eastAsia"/>
                <w:sz w:val="21"/>
              </w:rPr>
              <w:t>事项</w:t>
            </w:r>
          </w:p>
        </w:tc>
        <w:tc>
          <w:tcPr>
            <w:tcW w:w="7701" w:type="dxa"/>
          </w:tcPr>
          <w:p w:rsidR="00B04AE3" w:rsidRDefault="00B04AE3">
            <w:pPr>
              <w:pStyle w:val="TableParagraph"/>
              <w:ind w:left="106"/>
              <w:jc w:val="left"/>
              <w:rPr>
                <w:sz w:val="21"/>
              </w:rPr>
            </w:pPr>
            <w:r>
              <w:rPr>
                <w:rFonts w:hint="eastAsia"/>
                <w:sz w:val="21"/>
              </w:rPr>
              <w:t>格执行防火、防静电、防中毒等安全技术要求。</w:t>
            </w:r>
          </w:p>
          <w:p w:rsidR="00B04AE3" w:rsidRDefault="00B04AE3">
            <w:pPr>
              <w:pStyle w:val="TableParagraph"/>
              <w:ind w:left="106"/>
              <w:jc w:val="left"/>
              <w:rPr>
                <w:sz w:val="21"/>
              </w:rPr>
            </w:pPr>
            <w:r>
              <w:rPr>
                <w:rFonts w:hint="eastAsia"/>
                <w:sz w:val="21"/>
              </w:rPr>
              <w:t>佩戴防毒面具、空气呼吸器，穿全密封阻燃防化服。堵较大泄漏时，应穿棉衣裤，</w:t>
            </w:r>
            <w:r>
              <w:rPr>
                <w:sz w:val="21"/>
              </w:rPr>
              <w:t xml:space="preserve">  </w:t>
            </w:r>
            <w:r>
              <w:rPr>
                <w:rFonts w:hint="eastAsia"/>
                <w:sz w:val="21"/>
              </w:rPr>
              <w:t>外穿防化服。</w:t>
            </w:r>
          </w:p>
          <w:p w:rsidR="00B04AE3" w:rsidRDefault="00B04AE3">
            <w:pPr>
              <w:pStyle w:val="TableParagraph"/>
              <w:ind w:left="106"/>
              <w:jc w:val="left"/>
              <w:rPr>
                <w:sz w:val="21"/>
              </w:rPr>
            </w:pPr>
            <w:r>
              <w:rPr>
                <w:rFonts w:hint="eastAsia"/>
                <w:sz w:val="21"/>
              </w:rPr>
              <w:t>根据现场情况确定堵漏方案。如现场情况变化，应重新制定方案，不得随意蛮干。</w:t>
            </w:r>
          </w:p>
        </w:tc>
      </w:tr>
    </w:tbl>
    <w:p w:rsidR="00B04AE3" w:rsidRDefault="00B04AE3">
      <w:pPr>
        <w:spacing w:before="1" w:after="4"/>
        <w:ind w:left="2862"/>
        <w:rPr>
          <w:b/>
          <w:sz w:val="24"/>
        </w:rPr>
      </w:pPr>
      <w:r>
        <w:rPr>
          <w:rFonts w:hint="eastAsia"/>
          <w:b/>
          <w:sz w:val="24"/>
        </w:rPr>
        <w:t>表</w:t>
      </w:r>
      <w:r>
        <w:rPr>
          <w:b/>
          <w:sz w:val="24"/>
        </w:rPr>
        <w:t xml:space="preserve"> </w:t>
      </w:r>
      <w:r>
        <w:rPr>
          <w:rFonts w:ascii="Times New Roman" w:eastAsia="Times New Roman"/>
          <w:b/>
          <w:sz w:val="24"/>
        </w:rPr>
        <w:t xml:space="preserve">8.3-2 </w:t>
      </w:r>
      <w:r>
        <w:rPr>
          <w:rFonts w:hint="eastAsia"/>
          <w:b/>
          <w:sz w:val="24"/>
        </w:rPr>
        <w:t>硫酸泄漏现场处置方案</w:t>
      </w:r>
    </w:p>
    <w:tbl>
      <w:tblPr>
        <w:tblW w:w="8528" w:type="dxa"/>
        <w:tblInd w:w="3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206"/>
        <w:gridCol w:w="7322"/>
      </w:tblGrid>
      <w:tr w:rsidR="00B04AE3">
        <w:trPr>
          <w:trHeight w:val="397"/>
        </w:trPr>
        <w:tc>
          <w:tcPr>
            <w:tcW w:w="1206" w:type="dxa"/>
          </w:tcPr>
          <w:p w:rsidR="00B04AE3" w:rsidRDefault="00B04AE3">
            <w:pPr>
              <w:pStyle w:val="TableParagraph"/>
              <w:spacing w:before="61"/>
              <w:ind w:left="108"/>
              <w:jc w:val="left"/>
              <w:rPr>
                <w:b/>
                <w:sz w:val="21"/>
              </w:rPr>
            </w:pPr>
            <w:r>
              <w:rPr>
                <w:rFonts w:hint="eastAsia"/>
                <w:b/>
                <w:sz w:val="21"/>
              </w:rPr>
              <w:t>事故类型</w:t>
            </w:r>
          </w:p>
        </w:tc>
        <w:tc>
          <w:tcPr>
            <w:tcW w:w="7322" w:type="dxa"/>
          </w:tcPr>
          <w:p w:rsidR="00B04AE3" w:rsidRDefault="00B04AE3">
            <w:pPr>
              <w:pStyle w:val="TableParagraph"/>
              <w:spacing w:before="61"/>
              <w:ind w:left="106"/>
              <w:jc w:val="left"/>
              <w:rPr>
                <w:sz w:val="21"/>
              </w:rPr>
            </w:pPr>
            <w:r>
              <w:rPr>
                <w:rFonts w:hint="eastAsia"/>
                <w:sz w:val="21"/>
              </w:rPr>
              <w:t>硫酸罐泄漏</w:t>
            </w:r>
          </w:p>
        </w:tc>
      </w:tr>
      <w:tr w:rsidR="00B04AE3">
        <w:trPr>
          <w:trHeight w:val="397"/>
        </w:trPr>
        <w:tc>
          <w:tcPr>
            <w:tcW w:w="1206" w:type="dxa"/>
            <w:vMerge w:val="restart"/>
          </w:tcPr>
          <w:p w:rsidR="00B04AE3" w:rsidRDefault="00B04AE3">
            <w:pPr>
              <w:pStyle w:val="TableParagraph"/>
              <w:spacing w:before="61"/>
              <w:ind w:left="106"/>
              <w:jc w:val="left"/>
              <w:rPr>
                <w:sz w:val="21"/>
              </w:rPr>
            </w:pPr>
            <w:r>
              <w:rPr>
                <w:rFonts w:hint="eastAsia"/>
                <w:sz w:val="21"/>
              </w:rPr>
              <w:t>发现</w:t>
            </w:r>
          </w:p>
          <w:p w:rsidR="00B04AE3" w:rsidRDefault="00B04AE3">
            <w:pPr>
              <w:pStyle w:val="TableParagraph"/>
              <w:spacing w:before="61"/>
              <w:ind w:left="106"/>
              <w:jc w:val="left"/>
              <w:rPr>
                <w:sz w:val="21"/>
              </w:rPr>
            </w:pPr>
            <w:r>
              <w:rPr>
                <w:sz w:val="21"/>
              </w:rPr>
              <w:t>/</w:t>
            </w:r>
            <w:r>
              <w:rPr>
                <w:rFonts w:hint="eastAsia"/>
                <w:sz w:val="21"/>
              </w:rPr>
              <w:t>识别</w:t>
            </w:r>
          </w:p>
        </w:tc>
        <w:tc>
          <w:tcPr>
            <w:tcW w:w="7322" w:type="dxa"/>
          </w:tcPr>
          <w:p w:rsidR="00B04AE3" w:rsidRDefault="00B04AE3">
            <w:pPr>
              <w:pStyle w:val="TableParagraph"/>
              <w:spacing w:before="61"/>
              <w:ind w:left="106"/>
              <w:jc w:val="left"/>
              <w:rPr>
                <w:sz w:val="21"/>
              </w:rPr>
            </w:pPr>
            <w:r>
              <w:rPr>
                <w:sz w:val="21"/>
              </w:rPr>
              <w:t>1</w:t>
            </w:r>
            <w:r>
              <w:rPr>
                <w:rFonts w:hint="eastAsia"/>
                <w:sz w:val="21"/>
              </w:rPr>
              <w:t>、中控通过画面发现硫酸储槽液位或输送流量异常，通知现场人员确认情况。</w:t>
            </w:r>
          </w:p>
        </w:tc>
      </w:tr>
      <w:tr w:rsidR="00B04AE3">
        <w:trPr>
          <w:trHeight w:val="397"/>
        </w:trPr>
        <w:tc>
          <w:tcPr>
            <w:tcW w:w="1206" w:type="dxa"/>
            <w:vMerge/>
            <w:tcBorders>
              <w:top w:val="nil"/>
            </w:tcBorders>
          </w:tcPr>
          <w:p w:rsidR="00B04AE3" w:rsidRDefault="00B04AE3">
            <w:pPr>
              <w:rPr>
                <w:sz w:val="21"/>
              </w:rPr>
            </w:pPr>
          </w:p>
        </w:tc>
        <w:tc>
          <w:tcPr>
            <w:tcW w:w="7322" w:type="dxa"/>
          </w:tcPr>
          <w:p w:rsidR="00B04AE3" w:rsidRDefault="00B04AE3">
            <w:pPr>
              <w:pStyle w:val="TableParagraph"/>
              <w:spacing w:before="61"/>
              <w:ind w:left="106"/>
              <w:jc w:val="left"/>
              <w:rPr>
                <w:sz w:val="21"/>
              </w:rPr>
            </w:pPr>
            <w:r>
              <w:rPr>
                <w:sz w:val="21"/>
              </w:rPr>
              <w:t>2</w:t>
            </w:r>
            <w:r>
              <w:rPr>
                <w:rFonts w:hint="eastAsia"/>
                <w:sz w:val="21"/>
              </w:rPr>
              <w:t>、现场操作员发现硫酸泄漏，立即向班长和中控操作员报告。</w:t>
            </w:r>
          </w:p>
        </w:tc>
      </w:tr>
      <w:tr w:rsidR="00B04AE3">
        <w:trPr>
          <w:trHeight w:val="396"/>
        </w:trPr>
        <w:tc>
          <w:tcPr>
            <w:tcW w:w="1206" w:type="dxa"/>
            <w:vMerge w:val="restart"/>
          </w:tcPr>
          <w:p w:rsidR="00B04AE3" w:rsidRDefault="00B04AE3">
            <w:pPr>
              <w:pStyle w:val="TableParagraph"/>
              <w:spacing w:before="61"/>
              <w:ind w:left="106"/>
              <w:jc w:val="left"/>
              <w:rPr>
                <w:sz w:val="21"/>
              </w:rPr>
            </w:pPr>
          </w:p>
          <w:p w:rsidR="00B04AE3" w:rsidRDefault="00B04AE3">
            <w:pPr>
              <w:pStyle w:val="TableParagraph"/>
              <w:spacing w:before="61"/>
              <w:ind w:left="106"/>
              <w:jc w:val="left"/>
              <w:rPr>
                <w:sz w:val="21"/>
              </w:rPr>
            </w:pPr>
            <w:r>
              <w:rPr>
                <w:rFonts w:hint="eastAsia"/>
                <w:sz w:val="21"/>
              </w:rPr>
              <w:t>报警</w:t>
            </w:r>
          </w:p>
        </w:tc>
        <w:tc>
          <w:tcPr>
            <w:tcW w:w="7322" w:type="dxa"/>
          </w:tcPr>
          <w:p w:rsidR="00B04AE3" w:rsidRDefault="00B04AE3">
            <w:pPr>
              <w:pStyle w:val="TableParagraph"/>
              <w:spacing w:before="61"/>
              <w:ind w:left="106"/>
              <w:jc w:val="left"/>
              <w:rPr>
                <w:sz w:val="21"/>
              </w:rPr>
            </w:pPr>
            <w:r>
              <w:rPr>
                <w:sz w:val="21"/>
              </w:rPr>
              <w:t>1</w:t>
            </w:r>
            <w:r>
              <w:rPr>
                <w:rFonts w:hint="eastAsia"/>
                <w:sz w:val="21"/>
              </w:rPr>
              <w:t>、向中控室报告：硫酸泄漏位置、泄漏量，现场是否有人员受伤；</w:t>
            </w:r>
          </w:p>
        </w:tc>
      </w:tr>
      <w:tr w:rsidR="00B04AE3">
        <w:trPr>
          <w:trHeight w:val="397"/>
        </w:trPr>
        <w:tc>
          <w:tcPr>
            <w:tcW w:w="1206" w:type="dxa"/>
            <w:vMerge/>
            <w:tcBorders>
              <w:top w:val="nil"/>
            </w:tcBorders>
          </w:tcPr>
          <w:p w:rsidR="00B04AE3" w:rsidRDefault="00B04AE3">
            <w:pPr>
              <w:rPr>
                <w:sz w:val="21"/>
              </w:rPr>
            </w:pPr>
          </w:p>
        </w:tc>
        <w:tc>
          <w:tcPr>
            <w:tcW w:w="7322" w:type="dxa"/>
          </w:tcPr>
          <w:p w:rsidR="00B04AE3" w:rsidRDefault="00B04AE3">
            <w:pPr>
              <w:pStyle w:val="TableParagraph"/>
              <w:spacing w:before="61"/>
              <w:ind w:left="106" w:right="-15"/>
              <w:jc w:val="left"/>
              <w:rPr>
                <w:sz w:val="21"/>
              </w:rPr>
            </w:pPr>
            <w:r>
              <w:rPr>
                <w:sz w:val="21"/>
              </w:rPr>
              <w:t>2</w:t>
            </w:r>
            <w:r>
              <w:rPr>
                <w:rFonts w:hint="eastAsia"/>
                <w:sz w:val="21"/>
              </w:rPr>
              <w:t>、根据泄漏量、影响范围，用对讲机或广播系统通知现场人员远离泄漏区域。</w:t>
            </w:r>
          </w:p>
        </w:tc>
      </w:tr>
      <w:tr w:rsidR="00B04AE3">
        <w:trPr>
          <w:trHeight w:val="397"/>
        </w:trPr>
        <w:tc>
          <w:tcPr>
            <w:tcW w:w="1206" w:type="dxa"/>
            <w:vMerge/>
            <w:tcBorders>
              <w:top w:val="nil"/>
            </w:tcBorders>
          </w:tcPr>
          <w:p w:rsidR="00B04AE3" w:rsidRDefault="00B04AE3">
            <w:pPr>
              <w:rPr>
                <w:sz w:val="21"/>
              </w:rPr>
            </w:pPr>
          </w:p>
        </w:tc>
        <w:tc>
          <w:tcPr>
            <w:tcW w:w="7322" w:type="dxa"/>
          </w:tcPr>
          <w:p w:rsidR="00B04AE3" w:rsidRDefault="00B04AE3">
            <w:pPr>
              <w:pStyle w:val="TableParagraph"/>
              <w:spacing w:before="62"/>
              <w:ind w:left="106"/>
              <w:jc w:val="left"/>
              <w:rPr>
                <w:sz w:val="21"/>
              </w:rPr>
            </w:pPr>
            <w:r>
              <w:rPr>
                <w:sz w:val="21"/>
              </w:rPr>
              <w:t>3</w:t>
            </w:r>
            <w:r>
              <w:rPr>
                <w:rFonts w:hint="eastAsia"/>
                <w:sz w:val="21"/>
              </w:rPr>
              <w:t>、向生产经理及厂长报告。若现场有人员受伤，拨打电话医疗急救电话</w:t>
            </w:r>
            <w:r>
              <w:rPr>
                <w:sz w:val="21"/>
              </w:rPr>
              <w:t xml:space="preserve"> 120</w:t>
            </w:r>
            <w:r>
              <w:rPr>
                <w:rFonts w:hint="eastAsia"/>
                <w:sz w:val="21"/>
              </w:rPr>
              <w:t>；</w:t>
            </w:r>
          </w:p>
        </w:tc>
      </w:tr>
      <w:tr w:rsidR="00B04AE3">
        <w:trPr>
          <w:trHeight w:val="544"/>
        </w:trPr>
        <w:tc>
          <w:tcPr>
            <w:tcW w:w="1206" w:type="dxa"/>
            <w:vMerge w:val="restart"/>
          </w:tcPr>
          <w:p w:rsidR="00B04AE3" w:rsidRDefault="00B04AE3">
            <w:pPr>
              <w:pStyle w:val="TableParagraph"/>
              <w:spacing w:before="61"/>
              <w:ind w:left="106"/>
              <w:jc w:val="left"/>
              <w:rPr>
                <w:sz w:val="21"/>
              </w:rPr>
            </w:pPr>
          </w:p>
          <w:p w:rsidR="00B04AE3" w:rsidRDefault="00B04AE3">
            <w:pPr>
              <w:pStyle w:val="TableParagraph"/>
              <w:spacing w:before="61"/>
              <w:ind w:left="106"/>
              <w:jc w:val="left"/>
              <w:rPr>
                <w:sz w:val="21"/>
              </w:rPr>
            </w:pPr>
          </w:p>
          <w:p w:rsidR="00B04AE3" w:rsidRDefault="00B04AE3">
            <w:pPr>
              <w:pStyle w:val="TableParagraph"/>
              <w:spacing w:before="61"/>
              <w:ind w:left="106"/>
              <w:jc w:val="left"/>
              <w:rPr>
                <w:sz w:val="21"/>
              </w:rPr>
            </w:pPr>
            <w:r>
              <w:rPr>
                <w:rFonts w:hint="eastAsia"/>
                <w:sz w:val="21"/>
              </w:rPr>
              <w:t>关闭</w:t>
            </w:r>
            <w:r>
              <w:rPr>
                <w:sz w:val="21"/>
              </w:rPr>
              <w:t>/</w:t>
            </w:r>
            <w:r>
              <w:rPr>
                <w:rFonts w:hint="eastAsia"/>
                <w:sz w:val="21"/>
              </w:rPr>
              <w:t>隔离</w:t>
            </w:r>
          </w:p>
        </w:tc>
        <w:tc>
          <w:tcPr>
            <w:tcW w:w="7322" w:type="dxa"/>
          </w:tcPr>
          <w:p w:rsidR="00B04AE3" w:rsidRDefault="00B04AE3">
            <w:pPr>
              <w:pStyle w:val="TableParagraph"/>
              <w:spacing w:before="61"/>
              <w:ind w:left="106"/>
              <w:jc w:val="left"/>
              <w:rPr>
                <w:sz w:val="21"/>
              </w:rPr>
            </w:pPr>
            <w:r>
              <w:rPr>
                <w:sz w:val="21"/>
              </w:rPr>
              <w:t>1</w:t>
            </w:r>
            <w:r>
              <w:rPr>
                <w:rFonts w:hint="eastAsia"/>
                <w:sz w:val="21"/>
              </w:rPr>
              <w:t>、若泄漏点为硫酸卸料管线：条件允许时，应立即停止硫酸卸料泵，并立即</w:t>
            </w:r>
          </w:p>
          <w:p w:rsidR="00B04AE3" w:rsidRDefault="00B04AE3">
            <w:pPr>
              <w:pStyle w:val="TableParagraph"/>
              <w:spacing w:before="61"/>
              <w:ind w:left="106"/>
              <w:jc w:val="left"/>
              <w:rPr>
                <w:sz w:val="21"/>
              </w:rPr>
            </w:pPr>
            <w:r>
              <w:rPr>
                <w:rFonts w:hint="eastAsia"/>
                <w:sz w:val="21"/>
              </w:rPr>
              <w:t>关闭槽车出口阀门；</w:t>
            </w:r>
          </w:p>
        </w:tc>
      </w:tr>
      <w:tr w:rsidR="00B04AE3">
        <w:trPr>
          <w:trHeight w:val="545"/>
        </w:trPr>
        <w:tc>
          <w:tcPr>
            <w:tcW w:w="1206" w:type="dxa"/>
            <w:vMerge/>
            <w:tcBorders>
              <w:top w:val="nil"/>
            </w:tcBorders>
          </w:tcPr>
          <w:p w:rsidR="00B04AE3" w:rsidRDefault="00B04AE3">
            <w:pPr>
              <w:rPr>
                <w:sz w:val="21"/>
              </w:rPr>
            </w:pPr>
          </w:p>
        </w:tc>
        <w:tc>
          <w:tcPr>
            <w:tcW w:w="7322" w:type="dxa"/>
          </w:tcPr>
          <w:p w:rsidR="00B04AE3" w:rsidRDefault="00B04AE3">
            <w:pPr>
              <w:pStyle w:val="TableParagraph"/>
              <w:spacing w:before="1"/>
              <w:ind w:left="106"/>
              <w:jc w:val="left"/>
              <w:rPr>
                <w:sz w:val="21"/>
              </w:rPr>
            </w:pPr>
            <w:r>
              <w:rPr>
                <w:sz w:val="21"/>
              </w:rPr>
              <w:t>2</w:t>
            </w:r>
            <w:r>
              <w:rPr>
                <w:rFonts w:hint="eastAsia"/>
                <w:sz w:val="21"/>
              </w:rPr>
              <w:t>、若泄漏点为硫酸输送管线：停止去生产装置的硫酸进料，同时关闭切断阀</w:t>
            </w:r>
          </w:p>
          <w:p w:rsidR="00B04AE3" w:rsidRDefault="00B04AE3">
            <w:pPr>
              <w:pStyle w:val="TableParagraph"/>
              <w:spacing w:before="2" w:line="253" w:lineRule="exact"/>
              <w:ind w:left="106"/>
              <w:jc w:val="left"/>
              <w:rPr>
                <w:sz w:val="21"/>
              </w:rPr>
            </w:pPr>
            <w:r>
              <w:rPr>
                <w:rFonts w:hint="eastAsia"/>
                <w:sz w:val="21"/>
              </w:rPr>
              <w:t>将泄漏点隔离；</w:t>
            </w:r>
          </w:p>
        </w:tc>
      </w:tr>
      <w:tr w:rsidR="00B04AE3">
        <w:trPr>
          <w:trHeight w:val="544"/>
        </w:trPr>
        <w:tc>
          <w:tcPr>
            <w:tcW w:w="1206" w:type="dxa"/>
            <w:vMerge/>
            <w:tcBorders>
              <w:top w:val="nil"/>
            </w:tcBorders>
          </w:tcPr>
          <w:p w:rsidR="00B04AE3" w:rsidRDefault="00B04AE3">
            <w:pPr>
              <w:rPr>
                <w:sz w:val="21"/>
              </w:rPr>
            </w:pPr>
          </w:p>
        </w:tc>
        <w:tc>
          <w:tcPr>
            <w:tcW w:w="7322" w:type="dxa"/>
          </w:tcPr>
          <w:p w:rsidR="00B04AE3" w:rsidRDefault="00B04AE3">
            <w:pPr>
              <w:pStyle w:val="TableParagraph"/>
              <w:ind w:left="106"/>
              <w:jc w:val="left"/>
              <w:rPr>
                <w:sz w:val="21"/>
              </w:rPr>
            </w:pPr>
            <w:r>
              <w:rPr>
                <w:sz w:val="21"/>
              </w:rPr>
              <w:t>3</w:t>
            </w:r>
            <w:r>
              <w:rPr>
                <w:rFonts w:hint="eastAsia"/>
                <w:sz w:val="21"/>
              </w:rPr>
              <w:t>、若泄漏点为硫酸储罐：停止罐区卸料操作，关闭围堰出口阀门，保持泄漏</w:t>
            </w:r>
          </w:p>
          <w:p w:rsidR="00B04AE3" w:rsidRDefault="00B04AE3">
            <w:pPr>
              <w:pStyle w:val="TableParagraph"/>
              <w:spacing w:before="5" w:line="251" w:lineRule="exact"/>
              <w:ind w:left="106"/>
              <w:jc w:val="left"/>
              <w:rPr>
                <w:sz w:val="21"/>
              </w:rPr>
            </w:pPr>
            <w:r>
              <w:rPr>
                <w:rFonts w:hint="eastAsia"/>
                <w:sz w:val="21"/>
              </w:rPr>
              <w:t>的硫酸收集在围堰内。</w:t>
            </w:r>
          </w:p>
        </w:tc>
      </w:tr>
      <w:tr w:rsidR="00B04AE3">
        <w:trPr>
          <w:trHeight w:val="397"/>
        </w:trPr>
        <w:tc>
          <w:tcPr>
            <w:tcW w:w="1206" w:type="dxa"/>
            <w:vMerge w:val="restart"/>
          </w:tcPr>
          <w:p w:rsidR="00B04AE3" w:rsidRDefault="00B04AE3">
            <w:pPr>
              <w:pStyle w:val="TableParagraph"/>
              <w:spacing w:before="61"/>
              <w:ind w:left="106"/>
              <w:jc w:val="left"/>
              <w:rPr>
                <w:sz w:val="21"/>
              </w:rPr>
            </w:pPr>
          </w:p>
          <w:p w:rsidR="00B04AE3" w:rsidRDefault="00B04AE3">
            <w:pPr>
              <w:pStyle w:val="TableParagraph"/>
              <w:spacing w:before="61"/>
              <w:ind w:left="106"/>
              <w:jc w:val="left"/>
              <w:rPr>
                <w:sz w:val="21"/>
              </w:rPr>
            </w:pPr>
            <w:r>
              <w:rPr>
                <w:rFonts w:hint="eastAsia"/>
                <w:sz w:val="21"/>
              </w:rPr>
              <w:t>启</w:t>
            </w:r>
            <w:r>
              <w:rPr>
                <w:sz w:val="21"/>
              </w:rPr>
              <w:t xml:space="preserve"> </w:t>
            </w:r>
            <w:r>
              <w:rPr>
                <w:rFonts w:hint="eastAsia"/>
                <w:sz w:val="21"/>
              </w:rPr>
              <w:t>动应</w:t>
            </w:r>
            <w:r>
              <w:rPr>
                <w:sz w:val="21"/>
              </w:rPr>
              <w:t xml:space="preserve"> </w:t>
            </w:r>
            <w:r>
              <w:rPr>
                <w:rFonts w:hint="eastAsia"/>
                <w:sz w:val="21"/>
              </w:rPr>
              <w:t>急预案</w:t>
            </w:r>
          </w:p>
        </w:tc>
        <w:tc>
          <w:tcPr>
            <w:tcW w:w="7322" w:type="dxa"/>
          </w:tcPr>
          <w:p w:rsidR="00B04AE3" w:rsidRDefault="00B04AE3">
            <w:pPr>
              <w:pStyle w:val="TableParagraph"/>
              <w:spacing w:before="61"/>
              <w:ind w:left="106"/>
              <w:jc w:val="left"/>
              <w:rPr>
                <w:sz w:val="21"/>
              </w:rPr>
            </w:pPr>
            <w:r>
              <w:rPr>
                <w:rFonts w:hint="eastAsia"/>
                <w:sz w:val="21"/>
              </w:rPr>
              <w:t>启动公司应急预案，报告应急总指挥，组织班组人员开展事故应急处置工作；</w:t>
            </w:r>
          </w:p>
        </w:tc>
      </w:tr>
      <w:tr w:rsidR="00B04AE3">
        <w:trPr>
          <w:trHeight w:val="397"/>
        </w:trPr>
        <w:tc>
          <w:tcPr>
            <w:tcW w:w="1206" w:type="dxa"/>
            <w:vMerge/>
            <w:tcBorders>
              <w:top w:val="nil"/>
            </w:tcBorders>
          </w:tcPr>
          <w:p w:rsidR="00B04AE3" w:rsidRDefault="00B04AE3">
            <w:pPr>
              <w:rPr>
                <w:sz w:val="21"/>
              </w:rPr>
            </w:pPr>
          </w:p>
        </w:tc>
        <w:tc>
          <w:tcPr>
            <w:tcW w:w="7322" w:type="dxa"/>
          </w:tcPr>
          <w:p w:rsidR="00B04AE3" w:rsidRDefault="00B04AE3">
            <w:pPr>
              <w:pStyle w:val="TableParagraph"/>
              <w:spacing w:before="63"/>
              <w:ind w:left="106"/>
              <w:jc w:val="left"/>
              <w:rPr>
                <w:sz w:val="21"/>
              </w:rPr>
            </w:pPr>
            <w:r>
              <w:rPr>
                <w:sz w:val="21"/>
              </w:rPr>
              <w:t>2</w:t>
            </w:r>
            <w:r>
              <w:rPr>
                <w:rFonts w:hint="eastAsia"/>
                <w:sz w:val="21"/>
              </w:rPr>
              <w:t>、若大量泄漏，公司内部无法处置，报告总指挥，请求厂外支援；</w:t>
            </w:r>
          </w:p>
        </w:tc>
      </w:tr>
      <w:tr w:rsidR="00B04AE3">
        <w:trPr>
          <w:trHeight w:val="396"/>
        </w:trPr>
        <w:tc>
          <w:tcPr>
            <w:tcW w:w="1206" w:type="dxa"/>
            <w:vMerge/>
            <w:tcBorders>
              <w:top w:val="nil"/>
            </w:tcBorders>
          </w:tcPr>
          <w:p w:rsidR="00B04AE3" w:rsidRDefault="00B04AE3">
            <w:pPr>
              <w:rPr>
                <w:sz w:val="21"/>
              </w:rPr>
            </w:pPr>
          </w:p>
        </w:tc>
        <w:tc>
          <w:tcPr>
            <w:tcW w:w="7322" w:type="dxa"/>
          </w:tcPr>
          <w:p w:rsidR="00B04AE3" w:rsidRDefault="00B04AE3">
            <w:pPr>
              <w:pStyle w:val="TableParagraph"/>
              <w:spacing w:before="62"/>
              <w:ind w:left="106"/>
              <w:jc w:val="left"/>
              <w:rPr>
                <w:sz w:val="21"/>
              </w:rPr>
            </w:pPr>
            <w:r>
              <w:rPr>
                <w:sz w:val="21"/>
              </w:rPr>
              <w:t>3</w:t>
            </w:r>
            <w:r>
              <w:rPr>
                <w:rFonts w:hint="eastAsia"/>
                <w:sz w:val="21"/>
              </w:rPr>
              <w:t>、依灾情发展决定是否启动</w:t>
            </w:r>
            <w:r>
              <w:rPr>
                <w:sz w:val="21"/>
              </w:rPr>
              <w:t xml:space="preserve"> II </w:t>
            </w:r>
            <w:r>
              <w:rPr>
                <w:rFonts w:hint="eastAsia"/>
                <w:sz w:val="21"/>
              </w:rPr>
              <w:t>级应急处置方案，或请求厂外支援。</w:t>
            </w:r>
          </w:p>
        </w:tc>
      </w:tr>
      <w:tr w:rsidR="00B04AE3">
        <w:trPr>
          <w:trHeight w:val="543"/>
        </w:trPr>
        <w:tc>
          <w:tcPr>
            <w:tcW w:w="1206" w:type="dxa"/>
          </w:tcPr>
          <w:p w:rsidR="00B04AE3" w:rsidRDefault="00B04AE3">
            <w:pPr>
              <w:pStyle w:val="TableParagraph"/>
              <w:spacing w:before="61"/>
              <w:ind w:left="106"/>
              <w:jc w:val="left"/>
              <w:rPr>
                <w:sz w:val="21"/>
              </w:rPr>
            </w:pPr>
            <w:r>
              <w:rPr>
                <w:rFonts w:hint="eastAsia"/>
                <w:sz w:val="21"/>
              </w:rPr>
              <w:t>警戒</w:t>
            </w:r>
          </w:p>
        </w:tc>
        <w:tc>
          <w:tcPr>
            <w:tcW w:w="7322" w:type="dxa"/>
          </w:tcPr>
          <w:p w:rsidR="00B04AE3" w:rsidRDefault="00B04AE3">
            <w:pPr>
              <w:pStyle w:val="TableParagraph"/>
              <w:spacing w:before="61"/>
              <w:ind w:left="106"/>
              <w:jc w:val="left"/>
              <w:rPr>
                <w:sz w:val="21"/>
              </w:rPr>
            </w:pPr>
            <w:r>
              <w:rPr>
                <w:rFonts w:hint="eastAsia"/>
                <w:sz w:val="21"/>
              </w:rPr>
              <w:t>将硫酸泄漏区域设定为危险区，在此范围内，对通往该区域的各道路设立安全</w:t>
            </w:r>
          </w:p>
          <w:p w:rsidR="00B04AE3" w:rsidRDefault="00B04AE3">
            <w:pPr>
              <w:pStyle w:val="TableParagraph"/>
              <w:spacing w:before="61"/>
              <w:ind w:left="106"/>
              <w:jc w:val="left"/>
              <w:rPr>
                <w:sz w:val="21"/>
              </w:rPr>
            </w:pPr>
            <w:r>
              <w:rPr>
                <w:rFonts w:hint="eastAsia"/>
                <w:sz w:val="21"/>
              </w:rPr>
              <w:t>警戒区，禁止非救援人员、车辆来往。</w:t>
            </w:r>
          </w:p>
        </w:tc>
      </w:tr>
      <w:tr w:rsidR="00B04AE3">
        <w:trPr>
          <w:trHeight w:val="397"/>
        </w:trPr>
        <w:tc>
          <w:tcPr>
            <w:tcW w:w="1206" w:type="dxa"/>
          </w:tcPr>
          <w:p w:rsidR="00B04AE3" w:rsidRDefault="00B04AE3">
            <w:pPr>
              <w:pStyle w:val="TableParagraph"/>
              <w:spacing w:before="61"/>
              <w:ind w:left="106"/>
              <w:jc w:val="left"/>
              <w:rPr>
                <w:sz w:val="21"/>
              </w:rPr>
            </w:pPr>
            <w:r>
              <w:rPr>
                <w:rFonts w:hint="eastAsia"/>
                <w:sz w:val="21"/>
              </w:rPr>
              <w:t>人员疏散</w:t>
            </w:r>
          </w:p>
        </w:tc>
        <w:tc>
          <w:tcPr>
            <w:tcW w:w="7322" w:type="dxa"/>
          </w:tcPr>
          <w:p w:rsidR="00B04AE3" w:rsidRDefault="00B04AE3">
            <w:pPr>
              <w:pStyle w:val="TableParagraph"/>
              <w:spacing w:before="61"/>
              <w:ind w:left="106"/>
              <w:jc w:val="left"/>
              <w:rPr>
                <w:sz w:val="21"/>
              </w:rPr>
            </w:pPr>
            <w:r>
              <w:rPr>
                <w:rFonts w:hint="eastAsia"/>
                <w:sz w:val="21"/>
              </w:rPr>
              <w:t>撤离警戒区内非救援人员。</w:t>
            </w:r>
          </w:p>
        </w:tc>
      </w:tr>
      <w:tr w:rsidR="00B04AE3">
        <w:trPr>
          <w:trHeight w:val="545"/>
        </w:trPr>
        <w:tc>
          <w:tcPr>
            <w:tcW w:w="1206" w:type="dxa"/>
          </w:tcPr>
          <w:p w:rsidR="00B04AE3" w:rsidRDefault="00B04AE3">
            <w:pPr>
              <w:pStyle w:val="TableParagraph"/>
              <w:spacing w:before="61"/>
              <w:ind w:left="106"/>
              <w:jc w:val="left"/>
              <w:rPr>
                <w:sz w:val="21"/>
              </w:rPr>
            </w:pPr>
            <w:r>
              <w:rPr>
                <w:rFonts w:hint="eastAsia"/>
                <w:sz w:val="21"/>
              </w:rPr>
              <w:t>急救</w:t>
            </w:r>
          </w:p>
        </w:tc>
        <w:tc>
          <w:tcPr>
            <w:tcW w:w="7322" w:type="dxa"/>
          </w:tcPr>
          <w:p w:rsidR="00B04AE3" w:rsidRDefault="00B04AE3">
            <w:pPr>
              <w:pStyle w:val="TableParagraph"/>
              <w:spacing w:before="61"/>
              <w:ind w:left="106"/>
              <w:jc w:val="left"/>
              <w:rPr>
                <w:sz w:val="21"/>
              </w:rPr>
            </w:pPr>
            <w:r>
              <w:rPr>
                <w:rFonts w:hint="eastAsia"/>
                <w:sz w:val="21"/>
              </w:rPr>
              <w:t>对烧伤人员用水冲洗至少</w:t>
            </w:r>
            <w:r>
              <w:rPr>
                <w:sz w:val="21"/>
              </w:rPr>
              <w:t xml:space="preserve"> 15 </w:t>
            </w:r>
            <w:r>
              <w:rPr>
                <w:rFonts w:hint="eastAsia"/>
                <w:sz w:val="21"/>
              </w:rPr>
              <w:t>分钟，或用敌腐特灵冲洗，配合医务人员将伤员</w:t>
            </w:r>
          </w:p>
          <w:p w:rsidR="00B04AE3" w:rsidRDefault="00B04AE3">
            <w:pPr>
              <w:pStyle w:val="TableParagraph"/>
              <w:spacing w:before="61"/>
              <w:ind w:left="106"/>
              <w:jc w:val="left"/>
              <w:rPr>
                <w:sz w:val="21"/>
              </w:rPr>
            </w:pPr>
            <w:r>
              <w:rPr>
                <w:rFonts w:hint="eastAsia"/>
                <w:sz w:val="21"/>
              </w:rPr>
              <w:t>送往医院急救。</w:t>
            </w:r>
          </w:p>
        </w:tc>
      </w:tr>
      <w:tr w:rsidR="00B04AE3">
        <w:trPr>
          <w:trHeight w:val="545"/>
        </w:trPr>
        <w:tc>
          <w:tcPr>
            <w:tcW w:w="1206" w:type="dxa"/>
            <w:vMerge w:val="restart"/>
          </w:tcPr>
          <w:p w:rsidR="00B04AE3" w:rsidRDefault="00B04AE3">
            <w:pPr>
              <w:pStyle w:val="TableParagraph"/>
              <w:spacing w:before="61"/>
              <w:ind w:left="106"/>
              <w:jc w:val="left"/>
              <w:rPr>
                <w:sz w:val="21"/>
              </w:rPr>
            </w:pPr>
          </w:p>
          <w:p w:rsidR="00B04AE3" w:rsidRDefault="00B04AE3">
            <w:pPr>
              <w:pStyle w:val="TableParagraph"/>
              <w:spacing w:before="61"/>
              <w:ind w:left="106"/>
              <w:jc w:val="left"/>
              <w:rPr>
                <w:sz w:val="21"/>
              </w:rPr>
            </w:pPr>
          </w:p>
          <w:p w:rsidR="00B04AE3" w:rsidRDefault="00B04AE3">
            <w:pPr>
              <w:pStyle w:val="TableParagraph"/>
              <w:spacing w:before="61"/>
              <w:ind w:left="106"/>
              <w:jc w:val="left"/>
              <w:rPr>
                <w:sz w:val="21"/>
              </w:rPr>
            </w:pPr>
          </w:p>
          <w:p w:rsidR="00B04AE3" w:rsidRDefault="00B04AE3">
            <w:pPr>
              <w:pStyle w:val="TableParagraph"/>
              <w:spacing w:before="61"/>
              <w:ind w:left="106"/>
              <w:jc w:val="left"/>
              <w:rPr>
                <w:sz w:val="21"/>
              </w:rPr>
            </w:pPr>
            <w:r>
              <w:rPr>
                <w:rFonts w:hint="eastAsia"/>
                <w:sz w:val="21"/>
              </w:rPr>
              <w:t>应急处置</w:t>
            </w:r>
          </w:p>
        </w:tc>
        <w:tc>
          <w:tcPr>
            <w:tcW w:w="7322" w:type="dxa"/>
          </w:tcPr>
          <w:p w:rsidR="00B04AE3" w:rsidRDefault="00B04AE3">
            <w:pPr>
              <w:pStyle w:val="TableParagraph"/>
              <w:spacing w:before="61"/>
              <w:ind w:left="106"/>
              <w:jc w:val="left"/>
              <w:rPr>
                <w:sz w:val="21"/>
              </w:rPr>
            </w:pPr>
            <w:r>
              <w:rPr>
                <w:sz w:val="21"/>
              </w:rPr>
              <w:t>1</w:t>
            </w:r>
            <w:r>
              <w:rPr>
                <w:rFonts w:hint="eastAsia"/>
                <w:sz w:val="21"/>
              </w:rPr>
              <w:t>、发现泄露、发现者立即报告负责人：敖静</w:t>
            </w:r>
            <w:r>
              <w:rPr>
                <w:sz w:val="21"/>
              </w:rPr>
              <w:t xml:space="preserve"> </w:t>
            </w:r>
            <w:r>
              <w:rPr>
                <w:rFonts w:hint="eastAsia"/>
                <w:sz w:val="21"/>
              </w:rPr>
              <w:t>电话：</w:t>
            </w:r>
            <w:r>
              <w:rPr>
                <w:sz w:val="21"/>
              </w:rPr>
              <w:t>18770225889</w:t>
            </w:r>
            <w:r>
              <w:rPr>
                <w:rFonts w:hint="eastAsia"/>
                <w:sz w:val="21"/>
              </w:rPr>
              <w:t>；</w:t>
            </w:r>
          </w:p>
          <w:p w:rsidR="00B04AE3" w:rsidRDefault="00B04AE3">
            <w:pPr>
              <w:pStyle w:val="TableParagraph"/>
              <w:spacing w:before="61"/>
              <w:ind w:left="106"/>
              <w:jc w:val="left"/>
              <w:rPr>
                <w:sz w:val="21"/>
              </w:rPr>
            </w:pPr>
            <w:r>
              <w:rPr>
                <w:rFonts w:hint="eastAsia"/>
                <w:sz w:val="21"/>
              </w:rPr>
              <w:t>），迅速撤离泄漏污染区人员至安全区，并进行隔离，严格限制出入。</w:t>
            </w:r>
          </w:p>
        </w:tc>
      </w:tr>
      <w:tr w:rsidR="00B04AE3">
        <w:trPr>
          <w:trHeight w:val="543"/>
        </w:trPr>
        <w:tc>
          <w:tcPr>
            <w:tcW w:w="1206" w:type="dxa"/>
            <w:vMerge/>
            <w:tcBorders>
              <w:top w:val="nil"/>
            </w:tcBorders>
          </w:tcPr>
          <w:p w:rsidR="00B04AE3" w:rsidRDefault="00B04AE3">
            <w:pPr>
              <w:rPr>
                <w:sz w:val="21"/>
              </w:rPr>
            </w:pPr>
          </w:p>
        </w:tc>
        <w:tc>
          <w:tcPr>
            <w:tcW w:w="7322" w:type="dxa"/>
          </w:tcPr>
          <w:p w:rsidR="00B04AE3" w:rsidRDefault="00B04AE3">
            <w:pPr>
              <w:pStyle w:val="TableParagraph"/>
              <w:ind w:left="106" w:right="-15"/>
              <w:jc w:val="left"/>
              <w:rPr>
                <w:sz w:val="21"/>
              </w:rPr>
            </w:pPr>
            <w:r>
              <w:rPr>
                <w:sz w:val="21"/>
              </w:rPr>
              <w:t>2</w:t>
            </w:r>
            <w:r>
              <w:rPr>
                <w:rFonts w:hint="eastAsia"/>
                <w:sz w:val="21"/>
              </w:rPr>
              <w:t>、硫酸输送管线发生泄漏或法兰泄漏：通过停泵、关阀等措施将泄漏点隔离。</w:t>
            </w:r>
          </w:p>
          <w:p w:rsidR="00B04AE3" w:rsidRDefault="00B04AE3">
            <w:pPr>
              <w:pStyle w:val="TableParagraph"/>
              <w:spacing w:before="2" w:line="252" w:lineRule="exact"/>
              <w:ind w:left="106"/>
              <w:jc w:val="left"/>
              <w:rPr>
                <w:sz w:val="21"/>
              </w:rPr>
            </w:pPr>
            <w:r>
              <w:rPr>
                <w:rFonts w:hint="eastAsia"/>
                <w:sz w:val="21"/>
              </w:rPr>
              <w:t>泄漏硫酸较少时，可以采用开花水流稀释、冲洗，排入污水处理系统。</w:t>
            </w:r>
          </w:p>
        </w:tc>
      </w:tr>
      <w:tr w:rsidR="00B04AE3">
        <w:trPr>
          <w:trHeight w:val="545"/>
        </w:trPr>
        <w:tc>
          <w:tcPr>
            <w:tcW w:w="1206" w:type="dxa"/>
            <w:vMerge/>
            <w:tcBorders>
              <w:top w:val="nil"/>
            </w:tcBorders>
          </w:tcPr>
          <w:p w:rsidR="00B04AE3" w:rsidRDefault="00B04AE3">
            <w:pPr>
              <w:rPr>
                <w:sz w:val="21"/>
              </w:rPr>
            </w:pPr>
          </w:p>
        </w:tc>
        <w:tc>
          <w:tcPr>
            <w:tcW w:w="7322" w:type="dxa"/>
          </w:tcPr>
          <w:p w:rsidR="00B04AE3" w:rsidRDefault="00B04AE3">
            <w:pPr>
              <w:pStyle w:val="TableParagraph"/>
              <w:spacing w:before="1"/>
              <w:ind w:left="106"/>
              <w:jc w:val="left"/>
              <w:rPr>
                <w:sz w:val="21"/>
              </w:rPr>
            </w:pPr>
            <w:r>
              <w:rPr>
                <w:sz w:val="21"/>
              </w:rPr>
              <w:t>3</w:t>
            </w:r>
            <w:r>
              <w:rPr>
                <w:rFonts w:hint="eastAsia"/>
                <w:sz w:val="21"/>
              </w:rPr>
              <w:t>、硫酸储罐发生泄漏，在无法实施堵漏时，可采用倒罐的方法处置。通过硫</w:t>
            </w:r>
          </w:p>
          <w:p w:rsidR="00B04AE3" w:rsidRDefault="00B04AE3">
            <w:pPr>
              <w:pStyle w:val="TableParagraph"/>
              <w:spacing w:before="2" w:line="253" w:lineRule="exact"/>
              <w:ind w:left="106"/>
              <w:jc w:val="left"/>
              <w:rPr>
                <w:sz w:val="21"/>
              </w:rPr>
            </w:pPr>
            <w:r>
              <w:rPr>
                <w:rFonts w:hint="eastAsia"/>
                <w:sz w:val="21"/>
              </w:rPr>
              <w:t>酸输送泵，连接临时管线，转移到供应商提供的罐车，或备用桶中。</w:t>
            </w:r>
          </w:p>
        </w:tc>
      </w:tr>
      <w:tr w:rsidR="00B04AE3">
        <w:trPr>
          <w:trHeight w:val="397"/>
        </w:trPr>
        <w:tc>
          <w:tcPr>
            <w:tcW w:w="1206" w:type="dxa"/>
            <w:vMerge/>
            <w:tcBorders>
              <w:top w:val="nil"/>
            </w:tcBorders>
          </w:tcPr>
          <w:p w:rsidR="00B04AE3" w:rsidRDefault="00B04AE3">
            <w:pPr>
              <w:rPr>
                <w:sz w:val="21"/>
              </w:rPr>
            </w:pPr>
          </w:p>
        </w:tc>
        <w:tc>
          <w:tcPr>
            <w:tcW w:w="7322" w:type="dxa"/>
          </w:tcPr>
          <w:p w:rsidR="00B04AE3" w:rsidRDefault="00B04AE3">
            <w:pPr>
              <w:pStyle w:val="TableParagraph"/>
              <w:spacing w:before="63"/>
              <w:ind w:left="106"/>
              <w:jc w:val="left"/>
              <w:rPr>
                <w:sz w:val="21"/>
              </w:rPr>
            </w:pPr>
            <w:r>
              <w:rPr>
                <w:sz w:val="21"/>
              </w:rPr>
              <w:t>4</w:t>
            </w:r>
            <w:r>
              <w:rPr>
                <w:rFonts w:hint="eastAsia"/>
                <w:sz w:val="21"/>
              </w:rPr>
              <w:t>、将罐区围堰中的地面酸进行回收，将回收的酸打至空罐等候处理。</w:t>
            </w:r>
          </w:p>
        </w:tc>
      </w:tr>
      <w:tr w:rsidR="00B04AE3">
        <w:trPr>
          <w:trHeight w:val="545"/>
        </w:trPr>
        <w:tc>
          <w:tcPr>
            <w:tcW w:w="1206" w:type="dxa"/>
          </w:tcPr>
          <w:p w:rsidR="00B04AE3" w:rsidRDefault="00B04AE3">
            <w:pPr>
              <w:pStyle w:val="TableParagraph"/>
              <w:spacing w:before="61"/>
              <w:ind w:left="106"/>
              <w:jc w:val="left"/>
              <w:rPr>
                <w:sz w:val="21"/>
              </w:rPr>
            </w:pPr>
            <w:r>
              <w:rPr>
                <w:rFonts w:hint="eastAsia"/>
                <w:sz w:val="21"/>
              </w:rPr>
              <w:t>清理</w:t>
            </w:r>
          </w:p>
        </w:tc>
        <w:tc>
          <w:tcPr>
            <w:tcW w:w="7322" w:type="dxa"/>
          </w:tcPr>
          <w:p w:rsidR="00B04AE3" w:rsidRDefault="00B04AE3">
            <w:pPr>
              <w:pStyle w:val="TableParagraph"/>
              <w:spacing w:before="61"/>
              <w:ind w:left="106"/>
              <w:jc w:val="left"/>
              <w:rPr>
                <w:sz w:val="21"/>
              </w:rPr>
            </w:pPr>
            <w:r>
              <w:rPr>
                <w:rFonts w:hint="eastAsia"/>
                <w:sz w:val="21"/>
              </w:rPr>
              <w:t>对泄漏硫酸带来污染的机器、设备、设施、工具、器材等，用碱性的开花或喷</w:t>
            </w:r>
          </w:p>
          <w:p w:rsidR="00B04AE3" w:rsidRDefault="00B04AE3">
            <w:pPr>
              <w:pStyle w:val="TableParagraph"/>
              <w:spacing w:before="61"/>
              <w:ind w:left="106"/>
              <w:jc w:val="left"/>
              <w:rPr>
                <w:sz w:val="21"/>
              </w:rPr>
            </w:pPr>
            <w:r>
              <w:rPr>
                <w:rFonts w:hint="eastAsia"/>
                <w:sz w:val="21"/>
              </w:rPr>
              <w:t>雾水进行集中洗消，防止造成二次污染。</w:t>
            </w:r>
          </w:p>
        </w:tc>
      </w:tr>
      <w:tr w:rsidR="00B04AE3">
        <w:trPr>
          <w:trHeight w:val="397"/>
        </w:trPr>
        <w:tc>
          <w:tcPr>
            <w:tcW w:w="1206" w:type="dxa"/>
          </w:tcPr>
          <w:p w:rsidR="00B04AE3" w:rsidRDefault="00B04AE3">
            <w:pPr>
              <w:pStyle w:val="TableParagraph"/>
              <w:spacing w:before="61"/>
              <w:ind w:left="106"/>
              <w:jc w:val="left"/>
              <w:rPr>
                <w:sz w:val="21"/>
              </w:rPr>
            </w:pPr>
            <w:r>
              <w:rPr>
                <w:rFonts w:hint="eastAsia"/>
                <w:sz w:val="21"/>
              </w:rPr>
              <w:t>维修</w:t>
            </w:r>
          </w:p>
        </w:tc>
        <w:tc>
          <w:tcPr>
            <w:tcW w:w="7322" w:type="dxa"/>
          </w:tcPr>
          <w:p w:rsidR="00B04AE3" w:rsidRDefault="00B04AE3">
            <w:pPr>
              <w:pStyle w:val="TableParagraph"/>
              <w:spacing w:before="61"/>
              <w:ind w:left="106"/>
              <w:jc w:val="left"/>
              <w:rPr>
                <w:sz w:val="21"/>
              </w:rPr>
            </w:pPr>
            <w:r>
              <w:rPr>
                <w:rFonts w:hint="eastAsia"/>
                <w:sz w:val="21"/>
              </w:rPr>
              <w:t>具备作业条件后，组织维修人员进入现场维修。</w:t>
            </w:r>
          </w:p>
        </w:tc>
      </w:tr>
      <w:tr w:rsidR="00B04AE3">
        <w:trPr>
          <w:trHeight w:val="397"/>
        </w:trPr>
        <w:tc>
          <w:tcPr>
            <w:tcW w:w="1206" w:type="dxa"/>
            <w:vMerge w:val="restart"/>
          </w:tcPr>
          <w:p w:rsidR="00B04AE3" w:rsidRDefault="00B04AE3">
            <w:pPr>
              <w:pStyle w:val="TableParagraph"/>
              <w:spacing w:before="61"/>
              <w:ind w:left="106"/>
              <w:jc w:val="left"/>
              <w:rPr>
                <w:sz w:val="21"/>
              </w:rPr>
            </w:pPr>
          </w:p>
          <w:p w:rsidR="00B04AE3" w:rsidRDefault="00B04AE3">
            <w:pPr>
              <w:pStyle w:val="TableParagraph"/>
              <w:spacing w:before="61"/>
              <w:ind w:left="106"/>
              <w:jc w:val="left"/>
              <w:rPr>
                <w:sz w:val="21"/>
              </w:rPr>
            </w:pPr>
            <w:r>
              <w:rPr>
                <w:rFonts w:hint="eastAsia"/>
                <w:sz w:val="21"/>
              </w:rPr>
              <w:t>环境保护</w:t>
            </w:r>
          </w:p>
        </w:tc>
        <w:tc>
          <w:tcPr>
            <w:tcW w:w="7322" w:type="dxa"/>
          </w:tcPr>
          <w:p w:rsidR="00B04AE3" w:rsidRDefault="00B04AE3">
            <w:pPr>
              <w:pStyle w:val="TableParagraph"/>
              <w:spacing w:before="61"/>
              <w:ind w:left="106"/>
              <w:jc w:val="left"/>
              <w:rPr>
                <w:sz w:val="21"/>
              </w:rPr>
            </w:pPr>
            <w:r>
              <w:rPr>
                <w:sz w:val="21"/>
              </w:rPr>
              <w:t>1</w:t>
            </w:r>
            <w:r>
              <w:rPr>
                <w:rFonts w:hint="eastAsia"/>
                <w:sz w:val="21"/>
              </w:rPr>
              <w:t>、对受污染的地面采用碱性水溶液进行冲洗，污水排入污水处理站进行处理；</w:t>
            </w:r>
          </w:p>
        </w:tc>
      </w:tr>
      <w:tr w:rsidR="00B04AE3">
        <w:trPr>
          <w:trHeight w:val="396"/>
        </w:trPr>
        <w:tc>
          <w:tcPr>
            <w:tcW w:w="1206" w:type="dxa"/>
            <w:vMerge/>
            <w:tcBorders>
              <w:top w:val="nil"/>
            </w:tcBorders>
          </w:tcPr>
          <w:p w:rsidR="00B04AE3" w:rsidRDefault="00B04AE3">
            <w:pPr>
              <w:rPr>
                <w:sz w:val="21"/>
              </w:rPr>
            </w:pPr>
          </w:p>
        </w:tc>
        <w:tc>
          <w:tcPr>
            <w:tcW w:w="7322" w:type="dxa"/>
          </w:tcPr>
          <w:p w:rsidR="00B04AE3" w:rsidRDefault="00B04AE3">
            <w:pPr>
              <w:pStyle w:val="TableParagraph"/>
              <w:spacing w:before="62"/>
              <w:ind w:left="106"/>
              <w:jc w:val="left"/>
              <w:rPr>
                <w:sz w:val="21"/>
              </w:rPr>
            </w:pPr>
            <w:r>
              <w:rPr>
                <w:sz w:val="21"/>
              </w:rPr>
              <w:t>2</w:t>
            </w:r>
            <w:r>
              <w:rPr>
                <w:rFonts w:hint="eastAsia"/>
                <w:sz w:val="21"/>
              </w:rPr>
              <w:t>、必要时，用沙袋封堵雨水沟或管线，防止酸液进入雨水系统。</w:t>
            </w:r>
          </w:p>
        </w:tc>
      </w:tr>
      <w:tr w:rsidR="00B04AE3">
        <w:trPr>
          <w:trHeight w:val="1642"/>
        </w:trPr>
        <w:tc>
          <w:tcPr>
            <w:tcW w:w="8528" w:type="dxa"/>
            <w:gridSpan w:val="2"/>
          </w:tcPr>
          <w:p w:rsidR="00B04AE3" w:rsidRDefault="00B04AE3">
            <w:pPr>
              <w:pStyle w:val="TableParagraph"/>
              <w:spacing w:before="61"/>
              <w:ind w:left="106"/>
              <w:jc w:val="left"/>
              <w:rPr>
                <w:sz w:val="21"/>
              </w:rPr>
            </w:pPr>
            <w:r>
              <w:rPr>
                <w:rFonts w:hint="eastAsia"/>
                <w:sz w:val="21"/>
              </w:rPr>
              <w:t>注意：</w:t>
            </w:r>
          </w:p>
          <w:p w:rsidR="00B04AE3" w:rsidRDefault="00B04AE3">
            <w:pPr>
              <w:pStyle w:val="TableParagraph"/>
              <w:spacing w:before="61"/>
              <w:ind w:left="106"/>
              <w:jc w:val="left"/>
              <w:rPr>
                <w:sz w:val="21"/>
              </w:rPr>
            </w:pPr>
            <w:r>
              <w:rPr>
                <w:sz w:val="21"/>
              </w:rPr>
              <w:t>1</w:t>
            </w:r>
            <w:r>
              <w:rPr>
                <w:rFonts w:hint="eastAsia"/>
                <w:sz w:val="21"/>
              </w:rPr>
              <w:t>、</w:t>
            </w:r>
            <w:r>
              <w:rPr>
                <w:sz w:val="21"/>
              </w:rPr>
              <w:t xml:space="preserve"> </w:t>
            </w:r>
            <w:r>
              <w:rPr>
                <w:rFonts w:hint="eastAsia"/>
                <w:sz w:val="21"/>
              </w:rPr>
              <w:t>浓硫酸与易燃物和有机物接触会发生剧烈反应，甚至引起燃烧。遇水大量放热，会发生沸溅，具有强腐蚀性。</w:t>
            </w:r>
          </w:p>
          <w:p w:rsidR="00B04AE3" w:rsidRDefault="00B04AE3">
            <w:pPr>
              <w:pStyle w:val="TableParagraph"/>
              <w:spacing w:before="61"/>
              <w:ind w:left="106"/>
              <w:jc w:val="left"/>
              <w:rPr>
                <w:sz w:val="21"/>
              </w:rPr>
            </w:pPr>
            <w:r>
              <w:rPr>
                <w:sz w:val="21"/>
              </w:rPr>
              <w:t>2</w:t>
            </w:r>
            <w:r>
              <w:rPr>
                <w:rFonts w:hint="eastAsia"/>
                <w:sz w:val="21"/>
              </w:rPr>
              <w:t>、救援人员要着液密防化服（防酸服），戴防酸手套；不得有皮肤暴露，尤其是面部和四肢，避免飞溅的硫酸造成伤；可能接触酸雾时，必须佩带自给式呼吸器。害。</w:t>
            </w:r>
          </w:p>
          <w:p w:rsidR="00B04AE3" w:rsidRDefault="00B04AE3">
            <w:pPr>
              <w:pStyle w:val="TableParagraph"/>
              <w:spacing w:before="61"/>
              <w:ind w:left="106"/>
              <w:jc w:val="left"/>
              <w:rPr>
                <w:sz w:val="21"/>
              </w:rPr>
            </w:pPr>
            <w:r>
              <w:rPr>
                <w:sz w:val="21"/>
              </w:rPr>
              <w:t xml:space="preserve">3. </w:t>
            </w:r>
            <w:r>
              <w:rPr>
                <w:rFonts w:hint="eastAsia"/>
                <w:sz w:val="21"/>
              </w:rPr>
              <w:t>如用水稀释硫酸，应使用雾状水流。防止水流直射导致硫酸飞溅，对救援人员造成直接</w:t>
            </w:r>
          </w:p>
        </w:tc>
      </w:tr>
      <w:tr w:rsidR="00B04AE3">
        <w:trPr>
          <w:trHeight w:val="817"/>
        </w:trPr>
        <w:tc>
          <w:tcPr>
            <w:tcW w:w="8528" w:type="dxa"/>
            <w:gridSpan w:val="2"/>
          </w:tcPr>
          <w:p w:rsidR="00B04AE3" w:rsidRDefault="00B04AE3">
            <w:pPr>
              <w:pStyle w:val="TableParagraph"/>
              <w:spacing w:before="2"/>
              <w:ind w:left="108"/>
              <w:jc w:val="left"/>
              <w:rPr>
                <w:sz w:val="21"/>
              </w:rPr>
            </w:pPr>
            <w:r>
              <w:rPr>
                <w:rFonts w:hint="eastAsia"/>
                <w:sz w:val="21"/>
              </w:rPr>
              <w:t>威胁。</w:t>
            </w:r>
          </w:p>
          <w:p w:rsidR="00B04AE3" w:rsidRDefault="00B04AE3">
            <w:pPr>
              <w:pStyle w:val="TableParagraph"/>
              <w:spacing w:before="1" w:line="270" w:lineRule="atLeast"/>
              <w:ind w:left="108" w:right="96"/>
              <w:jc w:val="left"/>
              <w:rPr>
                <w:sz w:val="21"/>
              </w:rPr>
            </w:pPr>
            <w:r>
              <w:rPr>
                <w:rFonts w:ascii="Times New Roman" w:eastAsia="Times New Roman"/>
                <w:sz w:val="21"/>
              </w:rPr>
              <w:t xml:space="preserve">4. </w:t>
            </w:r>
            <w:r>
              <w:rPr>
                <w:rFonts w:hint="eastAsia"/>
                <w:sz w:val="21"/>
              </w:rPr>
              <w:t>应及时疏散警戒区域内的人员至安全地带，严格控制无关人员进入事故现场；加强酸雾飘散的下风方向的警戒，防止酸雾对现场人员的侵害。</w:t>
            </w:r>
          </w:p>
        </w:tc>
      </w:tr>
    </w:tbl>
    <w:p w:rsidR="00B04AE3" w:rsidRDefault="00B04AE3">
      <w:pPr>
        <w:tabs>
          <w:tab w:val="left" w:pos="1531"/>
        </w:tabs>
        <w:spacing w:before="2" w:after="2"/>
        <w:ind w:left="492"/>
        <w:jc w:val="center"/>
        <w:rPr>
          <w:b/>
          <w:sz w:val="24"/>
        </w:rPr>
      </w:pPr>
      <w:r>
        <w:rPr>
          <w:rFonts w:hint="eastAsia"/>
          <w:b/>
          <w:sz w:val="24"/>
        </w:rPr>
        <w:t>表</w:t>
      </w:r>
      <w:r>
        <w:rPr>
          <w:b/>
          <w:spacing w:val="-62"/>
          <w:sz w:val="24"/>
        </w:rPr>
        <w:t xml:space="preserve"> </w:t>
      </w:r>
      <w:r>
        <w:rPr>
          <w:rFonts w:ascii="Times New Roman"/>
          <w:b/>
          <w:sz w:val="24"/>
          <w:lang w:val="en-US"/>
        </w:rPr>
        <w:t>8</w:t>
      </w:r>
      <w:r>
        <w:rPr>
          <w:rFonts w:ascii="Times New Roman" w:eastAsia="Times New Roman"/>
          <w:b/>
          <w:sz w:val="24"/>
        </w:rPr>
        <w:t>.3-</w:t>
      </w:r>
      <w:r>
        <w:rPr>
          <w:rFonts w:ascii="Times New Roman"/>
          <w:b/>
          <w:sz w:val="24"/>
          <w:lang w:val="en-US"/>
        </w:rPr>
        <w:t>3</w:t>
      </w:r>
      <w:r>
        <w:rPr>
          <w:rFonts w:ascii="Times New Roman" w:eastAsia="Times New Roman"/>
          <w:b/>
          <w:sz w:val="24"/>
        </w:rPr>
        <w:tab/>
      </w:r>
      <w:r>
        <w:rPr>
          <w:rFonts w:hint="eastAsia"/>
          <w:b/>
          <w:sz w:val="24"/>
        </w:rPr>
        <w:t>天然气管道泄漏应急处置一览表</w:t>
      </w:r>
    </w:p>
    <w:tbl>
      <w:tblPr>
        <w:tblW w:w="8554" w:type="dxa"/>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458"/>
        <w:gridCol w:w="7096"/>
      </w:tblGrid>
      <w:tr w:rsidR="00B04AE3">
        <w:trPr>
          <w:trHeight w:val="272"/>
        </w:trPr>
        <w:tc>
          <w:tcPr>
            <w:tcW w:w="1458" w:type="dxa"/>
            <w:shd w:val="clear" w:color="auto" w:fill="D9D9D9"/>
          </w:tcPr>
          <w:p w:rsidR="00B04AE3" w:rsidRDefault="00B04AE3">
            <w:pPr>
              <w:pStyle w:val="TableParagraph"/>
              <w:spacing w:before="1" w:line="252" w:lineRule="exact"/>
              <w:ind w:left="181" w:right="169"/>
              <w:rPr>
                <w:b/>
                <w:sz w:val="21"/>
              </w:rPr>
            </w:pPr>
            <w:r>
              <w:rPr>
                <w:rFonts w:hint="eastAsia"/>
                <w:b/>
                <w:sz w:val="21"/>
              </w:rPr>
              <w:t>车间工段</w:t>
            </w:r>
          </w:p>
        </w:tc>
        <w:tc>
          <w:tcPr>
            <w:tcW w:w="7096" w:type="dxa"/>
            <w:shd w:val="clear" w:color="auto" w:fill="D9D9D9"/>
          </w:tcPr>
          <w:p w:rsidR="00B04AE3" w:rsidRDefault="00B04AE3">
            <w:pPr>
              <w:pStyle w:val="TableParagraph"/>
              <w:spacing w:before="1" w:line="252" w:lineRule="exact"/>
              <w:ind w:left="3211" w:right="3202"/>
              <w:rPr>
                <w:b/>
                <w:sz w:val="21"/>
              </w:rPr>
            </w:pPr>
            <w:r>
              <w:rPr>
                <w:rFonts w:hint="eastAsia"/>
                <w:b/>
                <w:sz w:val="21"/>
              </w:rPr>
              <w:t>机修区</w:t>
            </w:r>
          </w:p>
        </w:tc>
      </w:tr>
      <w:tr w:rsidR="00B04AE3">
        <w:trPr>
          <w:trHeight w:val="272"/>
        </w:trPr>
        <w:tc>
          <w:tcPr>
            <w:tcW w:w="1458" w:type="dxa"/>
          </w:tcPr>
          <w:p w:rsidR="00B04AE3" w:rsidRDefault="00B04AE3">
            <w:pPr>
              <w:pStyle w:val="TableParagraph"/>
              <w:spacing w:line="252" w:lineRule="exact"/>
              <w:ind w:left="181" w:right="174"/>
              <w:rPr>
                <w:sz w:val="21"/>
              </w:rPr>
            </w:pPr>
            <w:r>
              <w:rPr>
                <w:rFonts w:hint="eastAsia"/>
                <w:sz w:val="21"/>
              </w:rPr>
              <w:t>泄漏部位</w:t>
            </w:r>
          </w:p>
        </w:tc>
        <w:tc>
          <w:tcPr>
            <w:tcW w:w="7096" w:type="dxa"/>
          </w:tcPr>
          <w:p w:rsidR="00B04AE3" w:rsidRDefault="00B04AE3">
            <w:pPr>
              <w:pStyle w:val="TableParagraph"/>
              <w:spacing w:line="252" w:lineRule="exact"/>
              <w:ind w:left="107"/>
              <w:jc w:val="left"/>
              <w:rPr>
                <w:sz w:val="21"/>
              </w:rPr>
            </w:pPr>
            <w:r>
              <w:rPr>
                <w:rFonts w:hint="eastAsia"/>
                <w:sz w:val="21"/>
              </w:rPr>
              <w:t>天然气管道破损；天然气的出口阀门密封不严泄漏。</w:t>
            </w:r>
          </w:p>
        </w:tc>
      </w:tr>
      <w:tr w:rsidR="00B04AE3">
        <w:trPr>
          <w:trHeight w:val="272"/>
        </w:trPr>
        <w:tc>
          <w:tcPr>
            <w:tcW w:w="8554" w:type="dxa"/>
            <w:gridSpan w:val="2"/>
          </w:tcPr>
          <w:p w:rsidR="00B04AE3" w:rsidRDefault="00B04AE3" w:rsidP="00B04AE3">
            <w:pPr>
              <w:pStyle w:val="TableParagraph"/>
              <w:spacing w:line="252" w:lineRule="exact"/>
              <w:ind w:right="3408" w:firstLineChars="1000" w:firstLine="31680"/>
              <w:jc w:val="both"/>
              <w:rPr>
                <w:sz w:val="21"/>
              </w:rPr>
            </w:pPr>
            <w:r>
              <w:rPr>
                <w:rFonts w:hint="eastAsia"/>
                <w:sz w:val="21"/>
              </w:rPr>
              <w:t>上报程序与应急操作</w:t>
            </w:r>
          </w:p>
        </w:tc>
      </w:tr>
      <w:tr w:rsidR="00B04AE3">
        <w:trPr>
          <w:trHeight w:val="817"/>
        </w:trPr>
        <w:tc>
          <w:tcPr>
            <w:tcW w:w="1458" w:type="dxa"/>
          </w:tcPr>
          <w:p w:rsidR="00B04AE3" w:rsidRDefault="00B04AE3">
            <w:pPr>
              <w:pStyle w:val="TableParagraph"/>
              <w:spacing w:before="3"/>
              <w:jc w:val="left"/>
              <w:rPr>
                <w:b/>
                <w:sz w:val="21"/>
              </w:rPr>
            </w:pPr>
          </w:p>
          <w:p w:rsidR="00B04AE3" w:rsidRDefault="00B04AE3">
            <w:pPr>
              <w:pStyle w:val="TableParagraph"/>
              <w:ind w:left="181" w:right="174"/>
              <w:rPr>
                <w:sz w:val="21"/>
              </w:rPr>
            </w:pPr>
            <w:r>
              <w:rPr>
                <w:rFonts w:hint="eastAsia"/>
                <w:sz w:val="21"/>
              </w:rPr>
              <w:t>上报程序</w:t>
            </w:r>
          </w:p>
        </w:tc>
        <w:tc>
          <w:tcPr>
            <w:tcW w:w="7096" w:type="dxa"/>
          </w:tcPr>
          <w:p w:rsidR="00B04AE3" w:rsidRDefault="00B04AE3">
            <w:pPr>
              <w:pStyle w:val="TableParagraph"/>
              <w:spacing w:line="252" w:lineRule="exact"/>
              <w:ind w:left="107"/>
              <w:jc w:val="left"/>
              <w:rPr>
                <w:sz w:val="21"/>
              </w:rPr>
            </w:pPr>
            <w:r>
              <w:rPr>
                <w:rFonts w:hint="eastAsia"/>
                <w:sz w:val="21"/>
              </w:rPr>
              <w:t>岗位员工在事故发生时第一时间向锅炉房负责人上报</w:t>
            </w:r>
          </w:p>
          <w:p w:rsidR="00B04AE3" w:rsidRDefault="00B04AE3">
            <w:pPr>
              <w:pStyle w:val="TableParagraph"/>
              <w:spacing w:line="252" w:lineRule="exact"/>
              <w:ind w:left="107"/>
              <w:jc w:val="left"/>
              <w:rPr>
                <w:sz w:val="21"/>
              </w:rPr>
            </w:pPr>
            <w:r>
              <w:rPr>
                <w:rFonts w:hint="eastAsia"/>
                <w:sz w:val="21"/>
              </w:rPr>
              <w:t>车间负责人根据实际情况决定是否向应急指挥部上报</w:t>
            </w:r>
          </w:p>
          <w:p w:rsidR="00B04AE3" w:rsidRDefault="00B04AE3">
            <w:pPr>
              <w:pStyle w:val="TableParagraph"/>
              <w:spacing w:line="252" w:lineRule="exact"/>
              <w:ind w:left="107"/>
              <w:jc w:val="left"/>
              <w:rPr>
                <w:sz w:val="21"/>
              </w:rPr>
            </w:pPr>
            <w:r>
              <w:rPr>
                <w:sz w:val="21"/>
              </w:rPr>
              <w:t>3.</w:t>
            </w:r>
            <w:r>
              <w:rPr>
                <w:rFonts w:hint="eastAsia"/>
                <w:sz w:val="21"/>
              </w:rPr>
              <w:t>应急电话：</w:t>
            </w:r>
            <w:r>
              <w:rPr>
                <w:sz w:val="21"/>
              </w:rPr>
              <w:t>0794-8299227</w:t>
            </w:r>
            <w:r>
              <w:rPr>
                <w:rFonts w:hint="eastAsia"/>
                <w:sz w:val="21"/>
              </w:rPr>
              <w:t>。</w:t>
            </w:r>
          </w:p>
        </w:tc>
      </w:tr>
      <w:tr w:rsidR="00B04AE3">
        <w:trPr>
          <w:trHeight w:val="272"/>
        </w:trPr>
        <w:tc>
          <w:tcPr>
            <w:tcW w:w="1458" w:type="dxa"/>
          </w:tcPr>
          <w:p w:rsidR="00B04AE3" w:rsidRDefault="00B04AE3">
            <w:pPr>
              <w:pStyle w:val="TableParagraph"/>
              <w:spacing w:line="253" w:lineRule="exact"/>
              <w:ind w:left="181" w:right="176"/>
              <w:rPr>
                <w:sz w:val="21"/>
              </w:rPr>
            </w:pPr>
            <w:r>
              <w:rPr>
                <w:rFonts w:hint="eastAsia"/>
                <w:sz w:val="21"/>
              </w:rPr>
              <w:t>个人防护措施</w:t>
            </w:r>
          </w:p>
        </w:tc>
        <w:tc>
          <w:tcPr>
            <w:tcW w:w="7096" w:type="dxa"/>
          </w:tcPr>
          <w:p w:rsidR="00B04AE3" w:rsidRDefault="00B04AE3">
            <w:pPr>
              <w:pStyle w:val="TableParagraph"/>
              <w:spacing w:line="252" w:lineRule="exact"/>
              <w:ind w:left="107"/>
              <w:jc w:val="left"/>
              <w:rPr>
                <w:sz w:val="21"/>
              </w:rPr>
            </w:pPr>
            <w:r>
              <w:rPr>
                <w:rFonts w:hint="eastAsia"/>
                <w:sz w:val="21"/>
              </w:rPr>
              <w:t>抢险抢修人员戴呼吸器，穿一般作业工作服。</w:t>
            </w:r>
          </w:p>
        </w:tc>
      </w:tr>
      <w:tr w:rsidR="00B04AE3">
        <w:trPr>
          <w:trHeight w:val="817"/>
        </w:trPr>
        <w:tc>
          <w:tcPr>
            <w:tcW w:w="1458" w:type="dxa"/>
          </w:tcPr>
          <w:p w:rsidR="00B04AE3" w:rsidRDefault="00B04AE3">
            <w:pPr>
              <w:pStyle w:val="TableParagraph"/>
              <w:spacing w:before="137" w:line="242" w:lineRule="auto"/>
              <w:ind w:left="622" w:right="194" w:hanging="420"/>
              <w:jc w:val="left"/>
              <w:rPr>
                <w:sz w:val="21"/>
              </w:rPr>
            </w:pPr>
            <w:r>
              <w:rPr>
                <w:rFonts w:hint="eastAsia"/>
                <w:sz w:val="21"/>
              </w:rPr>
              <w:t>现场应急处置措施</w:t>
            </w:r>
          </w:p>
        </w:tc>
        <w:tc>
          <w:tcPr>
            <w:tcW w:w="7096" w:type="dxa"/>
          </w:tcPr>
          <w:p w:rsidR="00B04AE3" w:rsidRDefault="00B04AE3">
            <w:pPr>
              <w:pStyle w:val="TableParagraph"/>
              <w:spacing w:line="252" w:lineRule="exact"/>
              <w:ind w:left="107"/>
              <w:jc w:val="left"/>
              <w:rPr>
                <w:sz w:val="21"/>
              </w:rPr>
            </w:pPr>
            <w:r>
              <w:rPr>
                <w:sz w:val="21"/>
              </w:rPr>
              <w:t>1.</w:t>
            </w:r>
            <w:r>
              <w:rPr>
                <w:rFonts w:hint="eastAsia"/>
                <w:sz w:val="21"/>
              </w:rPr>
              <w:t>立即取用干粉灭火器，对火源进行控制，在不清楚着火物质属性情况下，</w:t>
            </w:r>
            <w:r>
              <w:rPr>
                <w:sz w:val="21"/>
              </w:rPr>
              <w:t xml:space="preserve"> </w:t>
            </w:r>
            <w:r>
              <w:rPr>
                <w:rFonts w:hint="eastAsia"/>
                <w:sz w:val="21"/>
              </w:rPr>
              <w:t>严禁用水灭火；电线着火禁止用水灭火，防止遭受电击；查找泄露源并关闭</w:t>
            </w:r>
          </w:p>
          <w:p w:rsidR="00B04AE3" w:rsidRDefault="00B04AE3">
            <w:pPr>
              <w:pStyle w:val="TableParagraph"/>
              <w:spacing w:line="252" w:lineRule="exact"/>
              <w:ind w:left="107"/>
              <w:jc w:val="left"/>
              <w:rPr>
                <w:sz w:val="21"/>
              </w:rPr>
            </w:pPr>
            <w:r>
              <w:rPr>
                <w:rFonts w:hint="eastAsia"/>
                <w:sz w:val="21"/>
              </w:rPr>
              <w:t>天然气阀门；</w:t>
            </w:r>
          </w:p>
        </w:tc>
      </w:tr>
      <w:tr w:rsidR="00B04AE3">
        <w:trPr>
          <w:trHeight w:val="1089"/>
        </w:trPr>
        <w:tc>
          <w:tcPr>
            <w:tcW w:w="1458" w:type="dxa"/>
          </w:tcPr>
          <w:p w:rsidR="00B04AE3" w:rsidRDefault="00B04AE3">
            <w:pPr>
              <w:pStyle w:val="TableParagraph"/>
              <w:jc w:val="left"/>
              <w:rPr>
                <w:b/>
                <w:sz w:val="20"/>
              </w:rPr>
            </w:pPr>
          </w:p>
          <w:p w:rsidR="00B04AE3" w:rsidRDefault="00B04AE3">
            <w:pPr>
              <w:pStyle w:val="TableParagraph"/>
              <w:spacing w:before="153"/>
              <w:ind w:left="181" w:right="176"/>
              <w:rPr>
                <w:sz w:val="21"/>
              </w:rPr>
            </w:pPr>
            <w:r>
              <w:rPr>
                <w:rFonts w:hint="eastAsia"/>
                <w:sz w:val="21"/>
              </w:rPr>
              <w:t>警戒疏散措施</w:t>
            </w:r>
          </w:p>
        </w:tc>
        <w:tc>
          <w:tcPr>
            <w:tcW w:w="7096" w:type="dxa"/>
          </w:tcPr>
          <w:p w:rsidR="00B04AE3" w:rsidRDefault="00B04AE3">
            <w:pPr>
              <w:pStyle w:val="TableParagraph"/>
              <w:spacing w:line="252" w:lineRule="exact"/>
              <w:ind w:left="107"/>
              <w:jc w:val="left"/>
              <w:rPr>
                <w:sz w:val="21"/>
              </w:rPr>
            </w:pPr>
            <w:r>
              <w:rPr>
                <w:rFonts w:hint="eastAsia"/>
                <w:sz w:val="21"/>
              </w:rPr>
              <w:t>迅速撤离泄漏污染区人员至上风处，并进行隔离，严格限制出入。划定现场</w:t>
            </w:r>
            <w:r>
              <w:rPr>
                <w:sz w:val="21"/>
              </w:rPr>
              <w:t xml:space="preserve">  </w:t>
            </w:r>
            <w:r>
              <w:rPr>
                <w:rFonts w:hint="eastAsia"/>
                <w:sz w:val="21"/>
              </w:rPr>
              <w:t>危险的警戒区域，转移无关人员；若发生人员受伤，医疗救护组迅速联络</w:t>
            </w:r>
            <w:r>
              <w:rPr>
                <w:sz w:val="21"/>
              </w:rPr>
              <w:t xml:space="preserve"> 120 </w:t>
            </w:r>
            <w:r>
              <w:rPr>
                <w:rFonts w:hint="eastAsia"/>
                <w:sz w:val="21"/>
              </w:rPr>
              <w:t>急救中心，并及时对受伤人员进行简单处理和抢救；受影响范围：公司内部</w:t>
            </w:r>
          </w:p>
          <w:p w:rsidR="00B04AE3" w:rsidRDefault="00B04AE3">
            <w:pPr>
              <w:pStyle w:val="TableParagraph"/>
              <w:spacing w:line="252" w:lineRule="exact"/>
              <w:ind w:left="107"/>
              <w:jc w:val="left"/>
              <w:rPr>
                <w:sz w:val="21"/>
              </w:rPr>
            </w:pPr>
            <w:r>
              <w:rPr>
                <w:rFonts w:hint="eastAsia"/>
                <w:sz w:val="21"/>
              </w:rPr>
              <w:t>员工</w:t>
            </w:r>
          </w:p>
        </w:tc>
      </w:tr>
      <w:tr w:rsidR="00B04AE3">
        <w:trPr>
          <w:trHeight w:val="544"/>
        </w:trPr>
        <w:tc>
          <w:tcPr>
            <w:tcW w:w="1458" w:type="dxa"/>
          </w:tcPr>
          <w:p w:rsidR="00B04AE3" w:rsidRDefault="00B04AE3">
            <w:pPr>
              <w:pStyle w:val="TableParagraph"/>
              <w:spacing w:before="135"/>
              <w:ind w:left="181" w:right="176"/>
              <w:rPr>
                <w:sz w:val="21"/>
              </w:rPr>
            </w:pPr>
            <w:r>
              <w:rPr>
                <w:rFonts w:hint="eastAsia"/>
                <w:sz w:val="21"/>
              </w:rPr>
              <w:t>污染控制措施</w:t>
            </w:r>
          </w:p>
        </w:tc>
        <w:tc>
          <w:tcPr>
            <w:tcW w:w="7096" w:type="dxa"/>
          </w:tcPr>
          <w:p w:rsidR="00B04AE3" w:rsidRDefault="00B04AE3">
            <w:pPr>
              <w:pStyle w:val="TableParagraph"/>
              <w:spacing w:line="252" w:lineRule="exact"/>
              <w:ind w:left="107"/>
              <w:jc w:val="left"/>
              <w:rPr>
                <w:sz w:val="21"/>
              </w:rPr>
            </w:pPr>
            <w:r>
              <w:rPr>
                <w:rFonts w:hint="eastAsia"/>
                <w:sz w:val="21"/>
              </w:rPr>
              <w:t>尽可能切断泄漏源。合理通风，加速扩散。漏气气瓶要妥善处理，修复、检</w:t>
            </w:r>
          </w:p>
          <w:p w:rsidR="00B04AE3" w:rsidRDefault="00B04AE3">
            <w:pPr>
              <w:pStyle w:val="TableParagraph"/>
              <w:spacing w:line="252" w:lineRule="exact"/>
              <w:ind w:left="107"/>
              <w:jc w:val="left"/>
              <w:rPr>
                <w:sz w:val="21"/>
              </w:rPr>
            </w:pPr>
            <w:r>
              <w:rPr>
                <w:rFonts w:hint="eastAsia"/>
                <w:sz w:val="21"/>
              </w:rPr>
              <w:t>验后再用。</w:t>
            </w:r>
          </w:p>
        </w:tc>
      </w:tr>
      <w:tr w:rsidR="00B04AE3">
        <w:trPr>
          <w:trHeight w:val="816"/>
        </w:trPr>
        <w:tc>
          <w:tcPr>
            <w:tcW w:w="1458" w:type="dxa"/>
          </w:tcPr>
          <w:p w:rsidR="00B04AE3" w:rsidRDefault="00B04AE3">
            <w:pPr>
              <w:pStyle w:val="TableParagraph"/>
              <w:spacing w:before="2"/>
              <w:jc w:val="left"/>
              <w:rPr>
                <w:b/>
                <w:sz w:val="21"/>
              </w:rPr>
            </w:pPr>
          </w:p>
          <w:p w:rsidR="00B04AE3" w:rsidRDefault="00B04AE3">
            <w:pPr>
              <w:pStyle w:val="TableParagraph"/>
              <w:spacing w:before="1"/>
              <w:ind w:left="181" w:right="174"/>
              <w:rPr>
                <w:sz w:val="21"/>
              </w:rPr>
            </w:pPr>
            <w:r>
              <w:rPr>
                <w:rFonts w:hint="eastAsia"/>
                <w:sz w:val="21"/>
              </w:rPr>
              <w:t>预防措施</w:t>
            </w:r>
          </w:p>
        </w:tc>
        <w:tc>
          <w:tcPr>
            <w:tcW w:w="7096" w:type="dxa"/>
          </w:tcPr>
          <w:p w:rsidR="00B04AE3" w:rsidRDefault="00B04AE3">
            <w:pPr>
              <w:pStyle w:val="TableParagraph"/>
              <w:spacing w:line="252" w:lineRule="exact"/>
              <w:ind w:left="107"/>
              <w:jc w:val="left"/>
              <w:rPr>
                <w:sz w:val="21"/>
              </w:rPr>
            </w:pPr>
            <w:r>
              <w:rPr>
                <w:rFonts w:hint="eastAsia"/>
                <w:sz w:val="21"/>
              </w:rPr>
              <w:t>日常加强天然气管道检修；操作人员必须经过专门培训，持证上岗；严格遵</w:t>
            </w:r>
            <w:r>
              <w:rPr>
                <w:sz w:val="21"/>
              </w:rPr>
              <w:t xml:space="preserve">  </w:t>
            </w:r>
            <w:r>
              <w:rPr>
                <w:rFonts w:hint="eastAsia"/>
                <w:sz w:val="21"/>
              </w:rPr>
              <w:t>守操作规程和相应法规生产设备，管路要严格脱脂，劳动防护用具不得有油</w:t>
            </w:r>
          </w:p>
          <w:p w:rsidR="00B04AE3" w:rsidRDefault="00B04AE3">
            <w:pPr>
              <w:pStyle w:val="TableParagraph"/>
              <w:spacing w:line="252" w:lineRule="exact"/>
              <w:ind w:left="107"/>
              <w:jc w:val="left"/>
              <w:rPr>
                <w:sz w:val="21"/>
              </w:rPr>
            </w:pPr>
            <w:r>
              <w:rPr>
                <w:rFonts w:hint="eastAsia"/>
                <w:sz w:val="21"/>
              </w:rPr>
              <w:t>污；工作现场严禁烟火，有良好的通风措施和静电系装置。</w:t>
            </w:r>
          </w:p>
        </w:tc>
      </w:tr>
      <w:tr w:rsidR="00B04AE3">
        <w:trPr>
          <w:trHeight w:val="545"/>
        </w:trPr>
        <w:tc>
          <w:tcPr>
            <w:tcW w:w="1458" w:type="dxa"/>
          </w:tcPr>
          <w:p w:rsidR="00B04AE3" w:rsidRDefault="00B04AE3">
            <w:pPr>
              <w:pStyle w:val="TableParagraph"/>
              <w:spacing w:before="136"/>
              <w:ind w:left="181" w:right="174"/>
              <w:rPr>
                <w:sz w:val="21"/>
              </w:rPr>
            </w:pPr>
            <w:r>
              <w:rPr>
                <w:rFonts w:hint="eastAsia"/>
                <w:sz w:val="21"/>
              </w:rPr>
              <w:t>应急物资</w:t>
            </w:r>
          </w:p>
        </w:tc>
        <w:tc>
          <w:tcPr>
            <w:tcW w:w="7096" w:type="dxa"/>
          </w:tcPr>
          <w:p w:rsidR="00B04AE3" w:rsidRDefault="00B04AE3">
            <w:pPr>
              <w:pStyle w:val="TableParagraph"/>
              <w:spacing w:line="252" w:lineRule="exact"/>
              <w:ind w:left="107"/>
              <w:jc w:val="left"/>
              <w:rPr>
                <w:sz w:val="21"/>
              </w:rPr>
            </w:pPr>
            <w:r>
              <w:rPr>
                <w:rFonts w:hint="eastAsia"/>
                <w:sz w:val="21"/>
              </w:rPr>
              <w:t>负责人：夏志亮；电话：</w:t>
            </w:r>
            <w:r>
              <w:rPr>
                <w:sz w:val="21"/>
              </w:rPr>
              <w:t>15879135422</w:t>
            </w:r>
            <w:r>
              <w:rPr>
                <w:rFonts w:hint="eastAsia"/>
                <w:sz w:val="21"/>
              </w:rPr>
              <w:t>；</w:t>
            </w:r>
          </w:p>
          <w:p w:rsidR="00B04AE3" w:rsidRDefault="00B04AE3">
            <w:pPr>
              <w:pStyle w:val="TableParagraph"/>
              <w:spacing w:line="252" w:lineRule="exact"/>
              <w:ind w:left="107"/>
              <w:jc w:val="left"/>
              <w:rPr>
                <w:sz w:val="21"/>
              </w:rPr>
            </w:pPr>
            <w:r>
              <w:rPr>
                <w:rFonts w:hint="eastAsia"/>
                <w:sz w:val="21"/>
              </w:rPr>
              <w:t>干粉灭火器；呼吸器；医药箱</w:t>
            </w:r>
          </w:p>
        </w:tc>
      </w:tr>
    </w:tbl>
    <w:p w:rsidR="00B04AE3" w:rsidRDefault="00B04AE3">
      <w:pPr>
        <w:tabs>
          <w:tab w:val="left" w:pos="1531"/>
        </w:tabs>
        <w:spacing w:after="4"/>
        <w:ind w:left="492"/>
        <w:jc w:val="center"/>
        <w:rPr>
          <w:b/>
          <w:sz w:val="24"/>
        </w:rPr>
      </w:pPr>
      <w:r>
        <w:rPr>
          <w:rFonts w:hint="eastAsia"/>
          <w:b/>
          <w:sz w:val="24"/>
        </w:rPr>
        <w:t>表</w:t>
      </w:r>
      <w:r>
        <w:rPr>
          <w:b/>
          <w:spacing w:val="-62"/>
          <w:sz w:val="24"/>
        </w:rPr>
        <w:t xml:space="preserve"> </w:t>
      </w:r>
      <w:r>
        <w:rPr>
          <w:rFonts w:ascii="Times New Roman"/>
          <w:b/>
          <w:sz w:val="24"/>
          <w:lang w:val="en-US"/>
        </w:rPr>
        <w:t>8</w:t>
      </w:r>
      <w:r>
        <w:rPr>
          <w:rFonts w:ascii="Times New Roman" w:eastAsia="Times New Roman"/>
          <w:b/>
          <w:sz w:val="24"/>
        </w:rPr>
        <w:t>.3-</w:t>
      </w:r>
      <w:r>
        <w:rPr>
          <w:rFonts w:ascii="Times New Roman"/>
          <w:b/>
          <w:sz w:val="24"/>
          <w:lang w:val="en-US"/>
        </w:rPr>
        <w:t>4</w:t>
      </w:r>
      <w:r>
        <w:rPr>
          <w:rFonts w:ascii="Times New Roman" w:eastAsia="Times New Roman"/>
          <w:b/>
          <w:sz w:val="24"/>
        </w:rPr>
        <w:tab/>
      </w:r>
      <w:r>
        <w:rPr>
          <w:rFonts w:hint="eastAsia"/>
          <w:b/>
          <w:sz w:val="24"/>
        </w:rPr>
        <w:t>危险废物泄漏应急处置一览表</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189"/>
        <w:gridCol w:w="7339"/>
      </w:tblGrid>
      <w:tr w:rsidR="00B04AE3">
        <w:trPr>
          <w:trHeight w:val="397"/>
        </w:trPr>
        <w:tc>
          <w:tcPr>
            <w:tcW w:w="1189" w:type="dxa"/>
            <w:shd w:val="clear" w:color="auto" w:fill="D9D9D9"/>
          </w:tcPr>
          <w:p w:rsidR="00B04AE3" w:rsidRDefault="00B04AE3">
            <w:pPr>
              <w:pStyle w:val="TableParagraph"/>
              <w:spacing w:before="62"/>
              <w:ind w:left="152" w:right="143"/>
              <w:rPr>
                <w:b/>
                <w:sz w:val="21"/>
              </w:rPr>
            </w:pPr>
            <w:r>
              <w:rPr>
                <w:rFonts w:hint="eastAsia"/>
                <w:b/>
                <w:sz w:val="21"/>
              </w:rPr>
              <w:t>车间工段</w:t>
            </w:r>
          </w:p>
        </w:tc>
        <w:tc>
          <w:tcPr>
            <w:tcW w:w="7339" w:type="dxa"/>
            <w:shd w:val="clear" w:color="auto" w:fill="D9D9D9"/>
          </w:tcPr>
          <w:p w:rsidR="00B04AE3" w:rsidRDefault="00B04AE3">
            <w:pPr>
              <w:pStyle w:val="TableParagraph"/>
              <w:spacing w:before="62"/>
              <w:ind w:left="3333" w:right="3322"/>
              <w:rPr>
                <w:b/>
                <w:sz w:val="21"/>
              </w:rPr>
            </w:pPr>
            <w:r>
              <w:rPr>
                <w:rFonts w:hint="eastAsia"/>
                <w:b/>
                <w:sz w:val="21"/>
              </w:rPr>
              <w:t>危废库</w:t>
            </w:r>
          </w:p>
        </w:tc>
      </w:tr>
      <w:tr w:rsidR="00B04AE3">
        <w:trPr>
          <w:trHeight w:val="396"/>
        </w:trPr>
        <w:tc>
          <w:tcPr>
            <w:tcW w:w="1189" w:type="dxa"/>
          </w:tcPr>
          <w:p w:rsidR="00B04AE3" w:rsidRDefault="00B04AE3">
            <w:pPr>
              <w:pStyle w:val="TableParagraph"/>
              <w:spacing w:before="62"/>
              <w:ind w:left="148" w:right="143"/>
              <w:rPr>
                <w:sz w:val="21"/>
              </w:rPr>
            </w:pPr>
            <w:r>
              <w:rPr>
                <w:rFonts w:hint="eastAsia"/>
                <w:sz w:val="21"/>
              </w:rPr>
              <w:t>泄漏部位</w:t>
            </w:r>
          </w:p>
        </w:tc>
        <w:tc>
          <w:tcPr>
            <w:tcW w:w="7339" w:type="dxa"/>
          </w:tcPr>
          <w:p w:rsidR="00B04AE3" w:rsidRDefault="00B04AE3">
            <w:pPr>
              <w:pStyle w:val="TableParagraph"/>
              <w:spacing w:before="62"/>
              <w:ind w:left="107"/>
              <w:jc w:val="left"/>
              <w:rPr>
                <w:sz w:val="21"/>
              </w:rPr>
            </w:pPr>
            <w:r>
              <w:rPr>
                <w:rFonts w:hint="eastAsia"/>
                <w:sz w:val="21"/>
              </w:rPr>
              <w:t>容器：桶</w:t>
            </w:r>
          </w:p>
        </w:tc>
      </w:tr>
      <w:tr w:rsidR="00B04AE3">
        <w:trPr>
          <w:trHeight w:val="397"/>
        </w:trPr>
        <w:tc>
          <w:tcPr>
            <w:tcW w:w="8528" w:type="dxa"/>
            <w:gridSpan w:val="2"/>
          </w:tcPr>
          <w:p w:rsidR="00B04AE3" w:rsidRDefault="00B04AE3">
            <w:pPr>
              <w:pStyle w:val="TableParagraph"/>
              <w:spacing w:before="61"/>
              <w:ind w:left="2977" w:right="2967"/>
              <w:rPr>
                <w:sz w:val="21"/>
              </w:rPr>
            </w:pPr>
            <w:r>
              <w:rPr>
                <w:rFonts w:hint="eastAsia"/>
                <w:sz w:val="21"/>
              </w:rPr>
              <w:t>上报程序与应急操作</w:t>
            </w:r>
          </w:p>
        </w:tc>
      </w:tr>
      <w:tr w:rsidR="00B04AE3">
        <w:trPr>
          <w:trHeight w:val="544"/>
        </w:trPr>
        <w:tc>
          <w:tcPr>
            <w:tcW w:w="1189" w:type="dxa"/>
          </w:tcPr>
          <w:p w:rsidR="00B04AE3" w:rsidRDefault="00B04AE3">
            <w:pPr>
              <w:pStyle w:val="TableParagraph"/>
              <w:spacing w:before="134"/>
              <w:ind w:left="148" w:right="143"/>
              <w:rPr>
                <w:sz w:val="21"/>
              </w:rPr>
            </w:pPr>
            <w:r>
              <w:rPr>
                <w:rFonts w:hint="eastAsia"/>
                <w:sz w:val="21"/>
              </w:rPr>
              <w:t>上报程序</w:t>
            </w:r>
          </w:p>
        </w:tc>
        <w:tc>
          <w:tcPr>
            <w:tcW w:w="7339" w:type="dxa"/>
          </w:tcPr>
          <w:p w:rsidR="00B04AE3" w:rsidRDefault="00B04AE3">
            <w:pPr>
              <w:pStyle w:val="TableParagraph"/>
              <w:spacing w:before="62"/>
              <w:ind w:left="107"/>
              <w:jc w:val="left"/>
              <w:rPr>
                <w:sz w:val="21"/>
              </w:rPr>
            </w:pPr>
            <w:r>
              <w:rPr>
                <w:rFonts w:hint="eastAsia"/>
                <w:sz w:val="21"/>
              </w:rPr>
              <w:t>岗位员工在事故发生时第一时间向危废库负责人上报</w:t>
            </w:r>
          </w:p>
          <w:p w:rsidR="00B04AE3" w:rsidRDefault="00B04AE3">
            <w:pPr>
              <w:pStyle w:val="TableParagraph"/>
              <w:spacing w:before="62"/>
              <w:ind w:left="107"/>
              <w:jc w:val="left"/>
              <w:rPr>
                <w:sz w:val="21"/>
              </w:rPr>
            </w:pPr>
            <w:r>
              <w:rPr>
                <w:rFonts w:hint="eastAsia"/>
                <w:sz w:val="21"/>
              </w:rPr>
              <w:t>车间负责人根据实际情况决定是否向应急指挥部上报</w:t>
            </w:r>
          </w:p>
        </w:tc>
      </w:tr>
      <w:tr w:rsidR="00B04AE3">
        <w:trPr>
          <w:trHeight w:val="545"/>
        </w:trPr>
        <w:tc>
          <w:tcPr>
            <w:tcW w:w="1189" w:type="dxa"/>
          </w:tcPr>
          <w:p w:rsidR="00B04AE3" w:rsidRDefault="00B04AE3">
            <w:pPr>
              <w:pStyle w:val="TableParagraph"/>
              <w:ind w:left="148" w:right="143"/>
              <w:rPr>
                <w:sz w:val="21"/>
              </w:rPr>
            </w:pPr>
            <w:r>
              <w:rPr>
                <w:rFonts w:hint="eastAsia"/>
                <w:sz w:val="21"/>
              </w:rPr>
              <w:t>个人防护</w:t>
            </w:r>
          </w:p>
          <w:p w:rsidR="00B04AE3" w:rsidRDefault="00B04AE3">
            <w:pPr>
              <w:pStyle w:val="TableParagraph"/>
              <w:spacing w:before="5" w:line="251" w:lineRule="exact"/>
              <w:ind w:left="150" w:right="143"/>
              <w:rPr>
                <w:sz w:val="21"/>
              </w:rPr>
            </w:pPr>
            <w:r>
              <w:rPr>
                <w:rFonts w:hint="eastAsia"/>
                <w:sz w:val="21"/>
              </w:rPr>
              <w:t>措施</w:t>
            </w:r>
          </w:p>
        </w:tc>
        <w:tc>
          <w:tcPr>
            <w:tcW w:w="7339" w:type="dxa"/>
          </w:tcPr>
          <w:p w:rsidR="00B04AE3" w:rsidRDefault="00B04AE3">
            <w:pPr>
              <w:pStyle w:val="TableParagraph"/>
              <w:spacing w:before="62"/>
              <w:ind w:left="107"/>
              <w:jc w:val="left"/>
              <w:rPr>
                <w:sz w:val="21"/>
              </w:rPr>
            </w:pPr>
            <w:r>
              <w:rPr>
                <w:rFonts w:hint="eastAsia"/>
                <w:sz w:val="21"/>
              </w:rPr>
              <w:t>应迅速判断泄漏点，穿戴好防毒面具，手套以及防护靴。</w:t>
            </w:r>
          </w:p>
        </w:tc>
      </w:tr>
      <w:tr w:rsidR="00B04AE3">
        <w:trPr>
          <w:trHeight w:val="4082"/>
        </w:trPr>
        <w:tc>
          <w:tcPr>
            <w:tcW w:w="1189" w:type="dxa"/>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2"/>
              <w:jc w:val="left"/>
              <w:rPr>
                <w:b/>
                <w:sz w:val="18"/>
              </w:rPr>
            </w:pPr>
          </w:p>
          <w:p w:rsidR="00B04AE3" w:rsidRDefault="00B04AE3">
            <w:pPr>
              <w:pStyle w:val="TableParagraph"/>
              <w:spacing w:before="1" w:line="242" w:lineRule="auto"/>
              <w:ind w:left="173" w:right="166"/>
              <w:jc w:val="left"/>
              <w:rPr>
                <w:sz w:val="21"/>
              </w:rPr>
            </w:pPr>
            <w:r>
              <w:rPr>
                <w:rFonts w:hint="eastAsia"/>
                <w:sz w:val="21"/>
              </w:rPr>
              <w:t>现场应急处置措施</w:t>
            </w:r>
          </w:p>
        </w:tc>
        <w:tc>
          <w:tcPr>
            <w:tcW w:w="7339" w:type="dxa"/>
          </w:tcPr>
          <w:p w:rsidR="00B04AE3" w:rsidRDefault="00B04AE3">
            <w:pPr>
              <w:pStyle w:val="TableParagraph"/>
              <w:spacing w:before="62"/>
              <w:ind w:left="107"/>
              <w:jc w:val="left"/>
              <w:rPr>
                <w:sz w:val="21"/>
              </w:rPr>
            </w:pPr>
            <w:r>
              <w:rPr>
                <w:rFonts w:hint="eastAsia"/>
                <w:sz w:val="21"/>
              </w:rPr>
              <w:t>应迅速判断泄漏点，穿戴好防护用品，应从上风处接近现场，严禁盲目进入。</w:t>
            </w:r>
            <w:r>
              <w:rPr>
                <w:sz w:val="21"/>
              </w:rPr>
              <w:t xml:space="preserve">  </w:t>
            </w:r>
            <w:r>
              <w:rPr>
                <w:rFonts w:hint="eastAsia"/>
                <w:sz w:val="21"/>
              </w:rPr>
              <w:t>采用堵漏器材进行堵漏。</w:t>
            </w:r>
          </w:p>
          <w:p w:rsidR="00B04AE3" w:rsidRDefault="00B04AE3">
            <w:pPr>
              <w:pStyle w:val="TableParagraph"/>
              <w:spacing w:before="62"/>
              <w:ind w:left="107"/>
              <w:jc w:val="left"/>
              <w:rPr>
                <w:sz w:val="21"/>
              </w:rPr>
            </w:pPr>
            <w:r>
              <w:rPr>
                <w:rFonts w:hint="eastAsia"/>
                <w:sz w:val="21"/>
              </w:rPr>
              <w:t>严禁火种，避免一切因摩擦、碰撞而引起的静电或火花。扑灭任何明火及任何其它形式的热源和火源，以降低发生火灾爆炸危险性。</w:t>
            </w:r>
          </w:p>
          <w:p w:rsidR="00B04AE3" w:rsidRDefault="00B04AE3">
            <w:pPr>
              <w:pStyle w:val="TableParagraph"/>
              <w:spacing w:before="62"/>
              <w:ind w:left="107"/>
              <w:jc w:val="left"/>
              <w:rPr>
                <w:sz w:val="21"/>
              </w:rPr>
            </w:pPr>
            <w:r>
              <w:rPr>
                <w:rFonts w:hint="eastAsia"/>
                <w:sz w:val="21"/>
              </w:rPr>
              <w:t>使用不产生冲击、静电火花的工具把泄漏物回收至密闭的容器中，移至安全场所。切断火源。</w:t>
            </w:r>
          </w:p>
          <w:p w:rsidR="00B04AE3" w:rsidRDefault="00B04AE3">
            <w:pPr>
              <w:pStyle w:val="TableParagraph"/>
              <w:spacing w:before="62"/>
              <w:ind w:left="107"/>
              <w:jc w:val="left"/>
              <w:rPr>
                <w:sz w:val="21"/>
              </w:rPr>
            </w:pPr>
            <w:r>
              <w:rPr>
                <w:rFonts w:hint="eastAsia"/>
                <w:sz w:val="21"/>
              </w:rPr>
              <w:t>具体处置措施如下：小量泄漏时，采用砂土对泄露物进行吸附或吸收；大量泄漏时，构筑围堤或挖坑收容；用泵转移至槽车或专用收集器内，回收或运至</w:t>
            </w:r>
            <w:r>
              <w:rPr>
                <w:sz w:val="21"/>
              </w:rPr>
              <w:t xml:space="preserve">  </w:t>
            </w:r>
            <w:r>
              <w:rPr>
                <w:rFonts w:hint="eastAsia"/>
                <w:sz w:val="21"/>
              </w:rPr>
              <w:t>危废暂存处储存，以便后续处理。</w:t>
            </w:r>
          </w:p>
          <w:p w:rsidR="00B04AE3" w:rsidRDefault="00B04AE3">
            <w:pPr>
              <w:pStyle w:val="TableParagraph"/>
              <w:spacing w:before="62"/>
              <w:ind w:left="107"/>
              <w:jc w:val="left"/>
              <w:rPr>
                <w:sz w:val="21"/>
              </w:rPr>
            </w:pPr>
            <w:r>
              <w:rPr>
                <w:rFonts w:hint="eastAsia"/>
                <w:sz w:val="21"/>
              </w:rPr>
              <w:t>保持空气流通，减少挥发性溶剂聚集，避免发生安全事故。</w:t>
            </w:r>
          </w:p>
          <w:p w:rsidR="00B04AE3" w:rsidRDefault="00B04AE3">
            <w:pPr>
              <w:pStyle w:val="TableParagraph"/>
              <w:spacing w:before="62"/>
              <w:ind w:left="107"/>
              <w:jc w:val="left"/>
              <w:rPr>
                <w:sz w:val="21"/>
              </w:rPr>
            </w:pPr>
            <w:r>
              <w:rPr>
                <w:rFonts w:hint="eastAsia"/>
                <w:sz w:val="21"/>
              </w:rPr>
              <w:t>液态危废泄漏应及时对泄漏物控制，把泄漏物回收至回收槽，再装入备用桶中；用于吸附物料产生的消防沙，属于危废，要集中储存在容器中，交由有资</w:t>
            </w:r>
            <w:r>
              <w:rPr>
                <w:sz w:val="21"/>
              </w:rPr>
              <w:t xml:space="preserve">  </w:t>
            </w:r>
            <w:r>
              <w:rPr>
                <w:rFonts w:hint="eastAsia"/>
                <w:sz w:val="21"/>
              </w:rPr>
              <w:t>质的单位集中处置。</w:t>
            </w:r>
          </w:p>
          <w:p w:rsidR="00B04AE3" w:rsidRDefault="00B04AE3">
            <w:pPr>
              <w:pStyle w:val="TableParagraph"/>
              <w:spacing w:before="62"/>
              <w:ind w:left="107"/>
              <w:jc w:val="left"/>
              <w:rPr>
                <w:sz w:val="21"/>
              </w:rPr>
            </w:pPr>
            <w:r>
              <w:rPr>
                <w:rFonts w:hint="eastAsia"/>
                <w:sz w:val="21"/>
              </w:rPr>
              <w:t>如遇明火燃烧，少量初起阶段可使用消防沙、灭火器进行灭火，若火势过大需立即报警处理。</w:t>
            </w:r>
          </w:p>
        </w:tc>
      </w:tr>
      <w:tr w:rsidR="00B04AE3">
        <w:trPr>
          <w:trHeight w:val="397"/>
        </w:trPr>
        <w:tc>
          <w:tcPr>
            <w:tcW w:w="1189" w:type="dxa"/>
          </w:tcPr>
          <w:p w:rsidR="00B04AE3" w:rsidRDefault="00B04AE3">
            <w:pPr>
              <w:pStyle w:val="TableParagraph"/>
              <w:jc w:val="left"/>
              <w:rPr>
                <w:rFonts w:ascii="Times New Roman"/>
                <w:sz w:val="20"/>
              </w:rPr>
            </w:pPr>
          </w:p>
        </w:tc>
        <w:tc>
          <w:tcPr>
            <w:tcW w:w="7339" w:type="dxa"/>
          </w:tcPr>
          <w:p w:rsidR="00B04AE3" w:rsidRDefault="00B04AE3">
            <w:pPr>
              <w:pStyle w:val="TableParagraph"/>
              <w:spacing w:before="2"/>
              <w:ind w:left="107"/>
              <w:jc w:val="left"/>
              <w:rPr>
                <w:sz w:val="21"/>
              </w:rPr>
            </w:pPr>
            <w:r>
              <w:rPr>
                <w:rFonts w:ascii="Times New Roman" w:eastAsia="Times New Roman"/>
                <w:sz w:val="21"/>
              </w:rPr>
              <w:t>8.</w:t>
            </w:r>
            <w:r>
              <w:rPr>
                <w:rFonts w:hint="eastAsia"/>
                <w:sz w:val="21"/>
              </w:rPr>
              <w:t>如有人员中毒需及时送医救治。</w:t>
            </w:r>
          </w:p>
        </w:tc>
      </w:tr>
      <w:tr w:rsidR="00B04AE3">
        <w:trPr>
          <w:trHeight w:val="545"/>
        </w:trPr>
        <w:tc>
          <w:tcPr>
            <w:tcW w:w="1189" w:type="dxa"/>
          </w:tcPr>
          <w:p w:rsidR="00B04AE3" w:rsidRDefault="00B04AE3">
            <w:pPr>
              <w:pStyle w:val="TableParagraph"/>
              <w:spacing w:before="135"/>
              <w:ind w:left="148" w:right="143"/>
              <w:rPr>
                <w:sz w:val="21"/>
              </w:rPr>
            </w:pPr>
            <w:r>
              <w:rPr>
                <w:rFonts w:hint="eastAsia"/>
                <w:sz w:val="21"/>
              </w:rPr>
              <w:t>预防措施</w:t>
            </w:r>
          </w:p>
        </w:tc>
        <w:tc>
          <w:tcPr>
            <w:tcW w:w="7339" w:type="dxa"/>
          </w:tcPr>
          <w:p w:rsidR="00B04AE3" w:rsidRDefault="00B04AE3">
            <w:pPr>
              <w:pStyle w:val="TableParagraph"/>
              <w:ind w:left="107"/>
              <w:jc w:val="left"/>
              <w:rPr>
                <w:sz w:val="21"/>
              </w:rPr>
            </w:pPr>
            <w:r>
              <w:rPr>
                <w:rFonts w:hint="eastAsia"/>
                <w:sz w:val="21"/>
              </w:rPr>
              <w:t>日常加强应急物资维护与岗位培训；严格遵守危险废物交接管理制度、危险废</w:t>
            </w:r>
          </w:p>
          <w:p w:rsidR="00B04AE3" w:rsidRDefault="00B04AE3">
            <w:pPr>
              <w:pStyle w:val="TableParagraph"/>
              <w:spacing w:before="5" w:line="251" w:lineRule="exact"/>
              <w:ind w:left="107"/>
              <w:jc w:val="left"/>
              <w:rPr>
                <w:sz w:val="21"/>
              </w:rPr>
            </w:pPr>
            <w:r>
              <w:rPr>
                <w:rFonts w:hint="eastAsia"/>
                <w:sz w:val="21"/>
              </w:rPr>
              <w:t>物处置安全操作规程。</w:t>
            </w:r>
          </w:p>
        </w:tc>
      </w:tr>
      <w:tr w:rsidR="00B04AE3" w:rsidRPr="003446E2">
        <w:trPr>
          <w:trHeight w:val="396"/>
        </w:trPr>
        <w:tc>
          <w:tcPr>
            <w:tcW w:w="1189" w:type="dxa"/>
          </w:tcPr>
          <w:p w:rsidR="00B04AE3" w:rsidRDefault="00B04AE3">
            <w:pPr>
              <w:pStyle w:val="TableParagraph"/>
              <w:spacing w:before="62"/>
              <w:ind w:left="148" w:right="143"/>
              <w:rPr>
                <w:sz w:val="21"/>
              </w:rPr>
            </w:pPr>
            <w:r>
              <w:rPr>
                <w:rFonts w:hint="eastAsia"/>
                <w:sz w:val="21"/>
              </w:rPr>
              <w:t>危险特性</w:t>
            </w:r>
          </w:p>
        </w:tc>
        <w:tc>
          <w:tcPr>
            <w:tcW w:w="7339" w:type="dxa"/>
          </w:tcPr>
          <w:p w:rsidR="00B04AE3" w:rsidRPr="00E05B4E" w:rsidRDefault="00B04AE3">
            <w:pPr>
              <w:pStyle w:val="TableParagraph"/>
              <w:spacing w:before="62"/>
              <w:ind w:left="107"/>
              <w:jc w:val="left"/>
              <w:rPr>
                <w:sz w:val="21"/>
                <w:lang w:val="en-US"/>
              </w:rPr>
            </w:pPr>
            <w:r>
              <w:rPr>
                <w:rFonts w:hint="eastAsia"/>
                <w:sz w:val="21"/>
              </w:rPr>
              <w:t>毒性</w:t>
            </w:r>
            <w:r w:rsidRPr="00E05B4E">
              <w:rPr>
                <w:rFonts w:ascii="Times New Roman" w:eastAsia="Times New Roman"/>
                <w:sz w:val="21"/>
                <w:lang w:val="en-US"/>
              </w:rPr>
              <w:t>( Toxicity, T)</w:t>
            </w:r>
            <w:r w:rsidRPr="00E05B4E">
              <w:rPr>
                <w:rFonts w:hint="eastAsia"/>
                <w:sz w:val="21"/>
                <w:lang w:val="en-US"/>
              </w:rPr>
              <w:t>，</w:t>
            </w:r>
            <w:r>
              <w:rPr>
                <w:rFonts w:hint="eastAsia"/>
                <w:sz w:val="21"/>
              </w:rPr>
              <w:t>易燃性</w:t>
            </w:r>
            <w:r w:rsidRPr="00E05B4E">
              <w:rPr>
                <w:rFonts w:hint="eastAsia"/>
                <w:sz w:val="21"/>
                <w:lang w:val="en-US"/>
              </w:rPr>
              <w:t>（</w:t>
            </w:r>
            <w:r w:rsidRPr="00E05B4E">
              <w:rPr>
                <w:rFonts w:ascii="Times New Roman" w:eastAsia="Times New Roman"/>
                <w:sz w:val="21"/>
                <w:lang w:val="en-US"/>
              </w:rPr>
              <w:t>Ignitability, I</w:t>
            </w:r>
            <w:r w:rsidRPr="00E05B4E">
              <w:rPr>
                <w:rFonts w:hint="eastAsia"/>
                <w:sz w:val="21"/>
                <w:lang w:val="en-US"/>
              </w:rPr>
              <w:t>）</w:t>
            </w:r>
          </w:p>
        </w:tc>
      </w:tr>
      <w:tr w:rsidR="00B04AE3">
        <w:trPr>
          <w:trHeight w:val="544"/>
        </w:trPr>
        <w:tc>
          <w:tcPr>
            <w:tcW w:w="1189" w:type="dxa"/>
          </w:tcPr>
          <w:p w:rsidR="00B04AE3" w:rsidRDefault="00B04AE3">
            <w:pPr>
              <w:pStyle w:val="TableParagraph"/>
              <w:spacing w:before="135"/>
              <w:ind w:left="148" w:right="143"/>
              <w:rPr>
                <w:sz w:val="21"/>
              </w:rPr>
            </w:pPr>
            <w:r>
              <w:rPr>
                <w:rFonts w:hint="eastAsia"/>
                <w:sz w:val="21"/>
              </w:rPr>
              <w:t>应急物资</w:t>
            </w:r>
          </w:p>
        </w:tc>
        <w:tc>
          <w:tcPr>
            <w:tcW w:w="7339" w:type="dxa"/>
          </w:tcPr>
          <w:p w:rsidR="00B04AE3" w:rsidRDefault="00B04AE3">
            <w:pPr>
              <w:pStyle w:val="TableParagraph"/>
              <w:spacing w:before="1"/>
              <w:ind w:left="107"/>
              <w:jc w:val="left"/>
              <w:rPr>
                <w:sz w:val="21"/>
              </w:rPr>
            </w:pPr>
            <w:r>
              <w:rPr>
                <w:rFonts w:hint="eastAsia"/>
                <w:sz w:val="21"/>
              </w:rPr>
              <w:t>负责人：夏志亮；电话：</w:t>
            </w:r>
            <w:r>
              <w:rPr>
                <w:rFonts w:ascii="Times New Roman"/>
                <w:sz w:val="21"/>
              </w:rPr>
              <w:t>15879135422</w:t>
            </w:r>
            <w:r>
              <w:rPr>
                <w:rFonts w:hint="eastAsia"/>
                <w:sz w:val="21"/>
              </w:rPr>
              <w:t>；</w:t>
            </w:r>
          </w:p>
          <w:p w:rsidR="00B04AE3" w:rsidRDefault="00B04AE3">
            <w:pPr>
              <w:pStyle w:val="TableParagraph"/>
              <w:spacing w:before="2" w:line="252" w:lineRule="exact"/>
              <w:ind w:left="107"/>
              <w:jc w:val="left"/>
              <w:rPr>
                <w:sz w:val="21"/>
              </w:rPr>
            </w:pPr>
            <w:r>
              <w:rPr>
                <w:rFonts w:hint="eastAsia"/>
                <w:sz w:val="21"/>
              </w:rPr>
              <w:t>防毒面具、灭火器</w:t>
            </w:r>
          </w:p>
        </w:tc>
      </w:tr>
    </w:tbl>
    <w:p w:rsidR="00B04AE3" w:rsidRDefault="00B04AE3">
      <w:pPr>
        <w:pStyle w:val="ListParagraph"/>
        <w:numPr>
          <w:ilvl w:val="3"/>
          <w:numId w:val="30"/>
        </w:numPr>
        <w:tabs>
          <w:tab w:val="left" w:pos="1058"/>
        </w:tabs>
        <w:spacing w:before="3"/>
        <w:rPr>
          <w:b/>
          <w:sz w:val="24"/>
        </w:rPr>
      </w:pPr>
      <w:bookmarkStart w:id="134" w:name="8.3.2.2火灾、爆炸现场处置方案"/>
      <w:bookmarkEnd w:id="134"/>
      <w:r>
        <w:rPr>
          <w:rFonts w:hint="eastAsia"/>
          <w:b/>
          <w:sz w:val="24"/>
        </w:rPr>
        <w:t>火灾、爆炸现场处置方案</w:t>
      </w:r>
    </w:p>
    <w:p w:rsidR="00B04AE3" w:rsidRDefault="00B04AE3">
      <w:pPr>
        <w:pStyle w:val="BodyText"/>
        <w:spacing w:before="158" w:line="364" w:lineRule="auto"/>
        <w:ind w:left="337" w:right="257" w:firstLine="470"/>
      </w:pPr>
      <w:r>
        <w:rPr>
          <w:rFonts w:hint="eastAsia"/>
        </w:rPr>
        <w:t>公司存在天然气易燃物质，容易发生火灾事故，灭火时产生的消防废水如果未得到有效收集、处理，排出厂外会造成环境污染事故，污染周围水体。</w:t>
      </w:r>
    </w:p>
    <w:p w:rsidR="00B04AE3" w:rsidRDefault="00B04AE3">
      <w:pPr>
        <w:tabs>
          <w:tab w:val="left" w:pos="3932"/>
        </w:tabs>
        <w:spacing w:before="1"/>
        <w:ind w:left="2893"/>
        <w:rPr>
          <w:b/>
          <w:sz w:val="24"/>
        </w:rPr>
      </w:pPr>
      <w:r>
        <w:rPr>
          <w:rFonts w:hint="eastAsia"/>
          <w:b/>
          <w:sz w:val="24"/>
        </w:rPr>
        <w:t>表</w:t>
      </w:r>
      <w:r>
        <w:rPr>
          <w:b/>
          <w:spacing w:val="-62"/>
          <w:sz w:val="24"/>
        </w:rPr>
        <w:t xml:space="preserve"> </w:t>
      </w:r>
      <w:r>
        <w:rPr>
          <w:rFonts w:ascii="Times New Roman" w:eastAsia="Times New Roman"/>
          <w:b/>
          <w:sz w:val="24"/>
        </w:rPr>
        <w:t>8.3-</w:t>
      </w:r>
      <w:r>
        <w:rPr>
          <w:rFonts w:ascii="Times New Roman"/>
          <w:b/>
          <w:sz w:val="24"/>
          <w:lang w:val="en-US"/>
        </w:rPr>
        <w:t>5</w:t>
      </w:r>
      <w:r>
        <w:rPr>
          <w:rFonts w:ascii="Times New Roman" w:eastAsia="Times New Roman"/>
          <w:b/>
          <w:sz w:val="24"/>
        </w:rPr>
        <w:tab/>
      </w:r>
      <w:r>
        <w:rPr>
          <w:rFonts w:hint="eastAsia"/>
          <w:b/>
          <w:sz w:val="24"/>
        </w:rPr>
        <w:t>火灾、爆炸现场处置方案</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8528"/>
      </w:tblGrid>
      <w:tr w:rsidR="00B04AE3">
        <w:trPr>
          <w:trHeight w:val="397"/>
        </w:trPr>
        <w:tc>
          <w:tcPr>
            <w:tcW w:w="8528" w:type="dxa"/>
          </w:tcPr>
          <w:p w:rsidR="00B04AE3" w:rsidRDefault="00B04AE3">
            <w:pPr>
              <w:pStyle w:val="TableParagraph"/>
              <w:spacing w:before="62"/>
              <w:ind w:left="108"/>
              <w:jc w:val="left"/>
              <w:rPr>
                <w:sz w:val="21"/>
              </w:rPr>
            </w:pPr>
            <w:r>
              <w:rPr>
                <w:rFonts w:hint="eastAsia"/>
                <w:b/>
                <w:sz w:val="21"/>
              </w:rPr>
              <w:t>事故类型</w:t>
            </w:r>
            <w:r>
              <w:rPr>
                <w:rFonts w:hint="eastAsia"/>
                <w:sz w:val="21"/>
              </w:rPr>
              <w:t>：火灾爆炸事故</w:t>
            </w:r>
          </w:p>
        </w:tc>
      </w:tr>
      <w:tr w:rsidR="00B04AE3">
        <w:trPr>
          <w:trHeight w:val="396"/>
        </w:trPr>
        <w:tc>
          <w:tcPr>
            <w:tcW w:w="8528" w:type="dxa"/>
          </w:tcPr>
          <w:p w:rsidR="00B04AE3" w:rsidRDefault="00B04AE3">
            <w:pPr>
              <w:pStyle w:val="TableParagraph"/>
              <w:spacing w:before="63"/>
              <w:ind w:left="108"/>
              <w:jc w:val="left"/>
              <w:rPr>
                <w:sz w:val="21"/>
              </w:rPr>
            </w:pPr>
            <w:r>
              <w:rPr>
                <w:rFonts w:hint="eastAsia"/>
                <w:b/>
                <w:sz w:val="21"/>
              </w:rPr>
              <w:t>危害</w:t>
            </w:r>
            <w:r>
              <w:rPr>
                <w:rFonts w:hint="eastAsia"/>
                <w:sz w:val="21"/>
              </w:rPr>
              <w:t>：发生火灾爆炸，对周围大气产生污染。</w:t>
            </w:r>
          </w:p>
        </w:tc>
      </w:tr>
      <w:tr w:rsidR="00B04AE3">
        <w:trPr>
          <w:trHeight w:val="545"/>
        </w:trPr>
        <w:tc>
          <w:tcPr>
            <w:tcW w:w="8528" w:type="dxa"/>
          </w:tcPr>
          <w:p w:rsidR="00B04AE3" w:rsidRDefault="00B04AE3">
            <w:pPr>
              <w:pStyle w:val="TableParagraph"/>
              <w:spacing w:before="2"/>
              <w:ind w:left="108"/>
              <w:jc w:val="left"/>
              <w:rPr>
                <w:b/>
                <w:sz w:val="21"/>
              </w:rPr>
            </w:pPr>
            <w:r>
              <w:rPr>
                <w:rFonts w:hint="eastAsia"/>
                <w:b/>
                <w:sz w:val="21"/>
              </w:rPr>
              <w:t>常识：</w:t>
            </w:r>
          </w:p>
          <w:p w:rsidR="00B04AE3" w:rsidRDefault="00B04AE3">
            <w:pPr>
              <w:pStyle w:val="TableParagraph"/>
              <w:spacing w:before="2" w:line="252" w:lineRule="exact"/>
              <w:ind w:left="108"/>
              <w:jc w:val="left"/>
              <w:rPr>
                <w:sz w:val="21"/>
              </w:rPr>
            </w:pPr>
            <w:r>
              <w:rPr>
                <w:rFonts w:hint="eastAsia"/>
                <w:sz w:val="21"/>
              </w:rPr>
              <w:t>及时报告：发生异常情况，立即报告公司应急办公室；</w:t>
            </w:r>
          </w:p>
        </w:tc>
      </w:tr>
      <w:tr w:rsidR="00B04AE3">
        <w:trPr>
          <w:trHeight w:val="545"/>
        </w:trPr>
        <w:tc>
          <w:tcPr>
            <w:tcW w:w="8528" w:type="dxa"/>
          </w:tcPr>
          <w:p w:rsidR="00B04AE3" w:rsidRDefault="00B04AE3">
            <w:pPr>
              <w:pStyle w:val="TableParagraph"/>
              <w:spacing w:line="268" w:lineRule="exact"/>
              <w:ind w:left="108"/>
              <w:jc w:val="left"/>
              <w:rPr>
                <w:b/>
                <w:sz w:val="21"/>
              </w:rPr>
            </w:pPr>
            <w:r>
              <w:rPr>
                <w:rFonts w:hint="eastAsia"/>
                <w:b/>
                <w:sz w:val="21"/>
              </w:rPr>
              <w:t>处置通则：</w:t>
            </w:r>
          </w:p>
          <w:p w:rsidR="00B04AE3" w:rsidRDefault="00B04AE3">
            <w:pPr>
              <w:pStyle w:val="TableParagraph"/>
              <w:spacing w:before="4" w:line="252" w:lineRule="exact"/>
              <w:ind w:left="108"/>
              <w:jc w:val="left"/>
              <w:rPr>
                <w:sz w:val="21"/>
              </w:rPr>
            </w:pPr>
            <w:r>
              <w:rPr>
                <w:rFonts w:hint="eastAsia"/>
                <w:sz w:val="21"/>
              </w:rPr>
              <w:t>根据事故的大小和严重程度，分别按以下处置程序进行。</w:t>
            </w:r>
          </w:p>
        </w:tc>
      </w:tr>
      <w:tr w:rsidR="00B04AE3">
        <w:trPr>
          <w:trHeight w:val="2177"/>
        </w:trPr>
        <w:tc>
          <w:tcPr>
            <w:tcW w:w="8528" w:type="dxa"/>
          </w:tcPr>
          <w:p w:rsidR="00B04AE3" w:rsidRDefault="00B04AE3">
            <w:pPr>
              <w:pStyle w:val="TableParagraph"/>
              <w:spacing w:before="1"/>
              <w:ind w:left="108"/>
              <w:jc w:val="left"/>
              <w:rPr>
                <w:b/>
                <w:sz w:val="21"/>
              </w:rPr>
            </w:pPr>
            <w:r>
              <w:rPr>
                <w:rFonts w:hint="eastAsia"/>
                <w:b/>
                <w:sz w:val="21"/>
              </w:rPr>
              <w:t>事故处置程序：</w:t>
            </w:r>
          </w:p>
          <w:p w:rsidR="00B04AE3" w:rsidRDefault="00B04AE3">
            <w:pPr>
              <w:pStyle w:val="TableParagraph"/>
              <w:spacing w:before="2"/>
              <w:ind w:left="108"/>
              <w:jc w:val="left"/>
              <w:rPr>
                <w:sz w:val="21"/>
              </w:rPr>
            </w:pPr>
            <w:r>
              <w:rPr>
                <w:rFonts w:ascii="Times New Roman" w:eastAsia="Times New Roman"/>
                <w:sz w:val="21"/>
              </w:rPr>
              <w:t>1</w:t>
            </w:r>
            <w:r>
              <w:rPr>
                <w:rFonts w:hint="eastAsia"/>
                <w:sz w:val="21"/>
              </w:rPr>
              <w:t>、现场作业人员立即终止所有作业；</w:t>
            </w:r>
          </w:p>
          <w:p w:rsidR="00B04AE3" w:rsidRDefault="00B04AE3">
            <w:pPr>
              <w:pStyle w:val="TableParagraph"/>
              <w:spacing w:before="2"/>
              <w:ind w:left="108"/>
              <w:jc w:val="left"/>
              <w:rPr>
                <w:sz w:val="21"/>
              </w:rPr>
            </w:pPr>
            <w:r>
              <w:rPr>
                <w:rFonts w:ascii="Times New Roman" w:eastAsia="Times New Roman"/>
                <w:sz w:val="21"/>
              </w:rPr>
              <w:t>2</w:t>
            </w:r>
            <w:r>
              <w:rPr>
                <w:rFonts w:hint="eastAsia"/>
                <w:sz w:val="21"/>
              </w:rPr>
              <w:t>、大声呼救请求救助，立即报告当班班长、车间主任、生产调度；</w:t>
            </w:r>
          </w:p>
          <w:p w:rsidR="00B04AE3" w:rsidRDefault="00B04AE3">
            <w:pPr>
              <w:pStyle w:val="TableParagraph"/>
              <w:spacing w:before="5"/>
              <w:ind w:left="108"/>
              <w:jc w:val="left"/>
              <w:rPr>
                <w:sz w:val="21"/>
              </w:rPr>
            </w:pPr>
            <w:r>
              <w:rPr>
                <w:rFonts w:ascii="Times New Roman" w:eastAsia="Times New Roman"/>
                <w:sz w:val="21"/>
              </w:rPr>
              <w:t>3</w:t>
            </w:r>
            <w:r>
              <w:rPr>
                <w:rFonts w:hint="eastAsia"/>
                <w:sz w:val="21"/>
              </w:rPr>
              <w:t>、迅速切断装置所有电源和管道内物料；</w:t>
            </w:r>
          </w:p>
          <w:p w:rsidR="00B04AE3" w:rsidRDefault="00B04AE3">
            <w:pPr>
              <w:pStyle w:val="TableParagraph"/>
              <w:spacing w:before="2" w:line="244" w:lineRule="auto"/>
              <w:ind w:left="108" w:right="98"/>
              <w:jc w:val="left"/>
              <w:rPr>
                <w:sz w:val="21"/>
              </w:rPr>
            </w:pPr>
            <w:r>
              <w:rPr>
                <w:rFonts w:ascii="Times New Roman" w:eastAsia="Times New Roman"/>
                <w:sz w:val="21"/>
              </w:rPr>
              <w:t>4</w:t>
            </w:r>
            <w:r>
              <w:rPr>
                <w:rFonts w:hint="eastAsia"/>
                <w:sz w:val="21"/>
              </w:rPr>
              <w:t>、采取就近消防设施对着火点灭火；穿戴好个人防护器具（防毒面具、正压式呼吸器等）</w:t>
            </w:r>
            <w:r>
              <w:rPr>
                <w:sz w:val="21"/>
              </w:rPr>
              <w:t xml:space="preserve"> </w:t>
            </w:r>
            <w:r>
              <w:rPr>
                <w:rFonts w:hint="eastAsia"/>
                <w:sz w:val="21"/>
              </w:rPr>
              <w:t>进入现场，进行人员抢救；</w:t>
            </w:r>
          </w:p>
          <w:p w:rsidR="00B04AE3" w:rsidRDefault="00B04AE3">
            <w:pPr>
              <w:pStyle w:val="TableParagraph"/>
              <w:spacing w:line="265" w:lineRule="exact"/>
              <w:ind w:left="108"/>
              <w:jc w:val="left"/>
              <w:rPr>
                <w:sz w:val="21"/>
              </w:rPr>
            </w:pPr>
            <w:r>
              <w:rPr>
                <w:rFonts w:ascii="Times New Roman" w:eastAsia="Times New Roman"/>
                <w:sz w:val="21"/>
              </w:rPr>
              <w:t>5</w:t>
            </w:r>
            <w:r>
              <w:rPr>
                <w:rFonts w:hint="eastAsia"/>
                <w:sz w:val="21"/>
              </w:rPr>
              <w:t>、处理过程中注意防滑防跌倒。</w:t>
            </w:r>
          </w:p>
          <w:p w:rsidR="00B04AE3" w:rsidRDefault="00B04AE3">
            <w:pPr>
              <w:pStyle w:val="TableParagraph"/>
              <w:spacing w:before="4" w:line="251" w:lineRule="exact"/>
              <w:ind w:left="108"/>
              <w:jc w:val="left"/>
              <w:rPr>
                <w:sz w:val="21"/>
              </w:rPr>
            </w:pPr>
            <w:r>
              <w:rPr>
                <w:rFonts w:ascii="Times New Roman" w:eastAsia="Times New Roman"/>
                <w:sz w:val="21"/>
              </w:rPr>
              <w:t>6</w:t>
            </w:r>
            <w:r>
              <w:rPr>
                <w:rFonts w:hint="eastAsia"/>
                <w:sz w:val="21"/>
              </w:rPr>
              <w:t>、根据事故发展情况判断是否扩大影响，必要时，向政府有关部门报告并请求增援。</w:t>
            </w:r>
          </w:p>
        </w:tc>
      </w:tr>
      <w:tr w:rsidR="00B04AE3">
        <w:trPr>
          <w:trHeight w:val="1907"/>
        </w:trPr>
        <w:tc>
          <w:tcPr>
            <w:tcW w:w="8528" w:type="dxa"/>
          </w:tcPr>
          <w:p w:rsidR="00B04AE3" w:rsidRDefault="00B04AE3">
            <w:pPr>
              <w:pStyle w:val="TableParagraph"/>
              <w:spacing w:before="1"/>
              <w:ind w:left="108"/>
              <w:jc w:val="left"/>
              <w:rPr>
                <w:b/>
                <w:sz w:val="21"/>
              </w:rPr>
            </w:pPr>
            <w:r>
              <w:rPr>
                <w:rFonts w:hint="eastAsia"/>
                <w:b/>
                <w:sz w:val="21"/>
              </w:rPr>
              <w:t>火灾事故现场应急处置措施：</w:t>
            </w:r>
          </w:p>
          <w:p w:rsidR="00B04AE3" w:rsidRDefault="00B04AE3">
            <w:pPr>
              <w:pStyle w:val="TableParagraph"/>
              <w:numPr>
                <w:ilvl w:val="0"/>
                <w:numId w:val="31"/>
              </w:numPr>
              <w:tabs>
                <w:tab w:val="left" w:pos="633"/>
              </w:tabs>
              <w:spacing w:before="3" w:line="242" w:lineRule="auto"/>
              <w:ind w:right="96" w:firstLine="0"/>
              <w:jc w:val="left"/>
              <w:rPr>
                <w:sz w:val="21"/>
              </w:rPr>
            </w:pPr>
            <w:r>
              <w:rPr>
                <w:rFonts w:hint="eastAsia"/>
                <w:spacing w:val="-12"/>
                <w:sz w:val="21"/>
              </w:rPr>
              <w:t>管径小于</w:t>
            </w:r>
            <w:r>
              <w:rPr>
                <w:spacing w:val="-12"/>
                <w:sz w:val="21"/>
              </w:rPr>
              <w:t xml:space="preserve"> </w:t>
            </w:r>
            <w:r>
              <w:rPr>
                <w:rFonts w:ascii="Times New Roman" w:eastAsia="Times New Roman"/>
                <w:sz w:val="21"/>
              </w:rPr>
              <w:t>100mm</w:t>
            </w:r>
            <w:r>
              <w:rPr>
                <w:rFonts w:ascii="Times New Roman" w:eastAsia="Times New Roman"/>
                <w:spacing w:val="-3"/>
                <w:sz w:val="21"/>
              </w:rPr>
              <w:t xml:space="preserve"> </w:t>
            </w:r>
            <w:r>
              <w:rPr>
                <w:rFonts w:hint="eastAsia"/>
                <w:spacing w:val="-7"/>
                <w:sz w:val="21"/>
              </w:rPr>
              <w:t>等细微小漏着火，可用湿泥、湿麻袋等堵住着火处，待火熄灭后再按规定补好泄漏处。</w:t>
            </w:r>
          </w:p>
          <w:p w:rsidR="00B04AE3" w:rsidRDefault="00B04AE3">
            <w:pPr>
              <w:pStyle w:val="TableParagraph"/>
              <w:numPr>
                <w:ilvl w:val="0"/>
                <w:numId w:val="31"/>
              </w:numPr>
              <w:tabs>
                <w:tab w:val="left" w:pos="633"/>
              </w:tabs>
              <w:spacing w:before="1"/>
              <w:ind w:left="632" w:hanging="524"/>
              <w:jc w:val="left"/>
              <w:rPr>
                <w:sz w:val="21"/>
              </w:rPr>
            </w:pPr>
            <w:r>
              <w:rPr>
                <w:rFonts w:hint="eastAsia"/>
                <w:spacing w:val="-7"/>
                <w:sz w:val="21"/>
              </w:rPr>
              <w:t>管径大于或等于</w:t>
            </w:r>
            <w:r>
              <w:rPr>
                <w:spacing w:val="-7"/>
                <w:sz w:val="21"/>
              </w:rPr>
              <w:t xml:space="preserve"> </w:t>
            </w:r>
            <w:r>
              <w:rPr>
                <w:rFonts w:ascii="Times New Roman" w:eastAsia="Times New Roman"/>
                <w:sz w:val="21"/>
              </w:rPr>
              <w:t>100mm</w:t>
            </w:r>
            <w:r>
              <w:rPr>
                <w:rFonts w:ascii="Times New Roman" w:eastAsia="Times New Roman"/>
                <w:spacing w:val="3"/>
                <w:sz w:val="21"/>
              </w:rPr>
              <w:t xml:space="preserve"> </w:t>
            </w:r>
            <w:r>
              <w:rPr>
                <w:rFonts w:hint="eastAsia"/>
                <w:sz w:val="21"/>
              </w:rPr>
              <w:t>管道着火应当逐步关闭物料进口蝶阀。</w:t>
            </w:r>
          </w:p>
          <w:p w:rsidR="00B04AE3" w:rsidRDefault="00B04AE3">
            <w:pPr>
              <w:pStyle w:val="TableParagraph"/>
              <w:numPr>
                <w:ilvl w:val="0"/>
                <w:numId w:val="31"/>
              </w:numPr>
              <w:tabs>
                <w:tab w:val="left" w:pos="634"/>
              </w:tabs>
              <w:spacing w:before="2" w:line="244" w:lineRule="auto"/>
              <w:ind w:right="98" w:firstLine="0"/>
              <w:jc w:val="left"/>
              <w:rPr>
                <w:sz w:val="21"/>
              </w:rPr>
            </w:pPr>
            <w:r>
              <w:rPr>
                <w:rFonts w:hint="eastAsia"/>
                <w:sz w:val="21"/>
              </w:rPr>
              <w:t>随着火势逐步减小，用灭火器等灭火设施进行灭火。待火熄灭后，要可靠隔断可燃物来源。</w:t>
            </w:r>
          </w:p>
          <w:p w:rsidR="00B04AE3" w:rsidRDefault="00B04AE3">
            <w:pPr>
              <w:pStyle w:val="TableParagraph"/>
              <w:numPr>
                <w:ilvl w:val="0"/>
                <w:numId w:val="31"/>
              </w:numPr>
              <w:tabs>
                <w:tab w:val="left" w:pos="633"/>
              </w:tabs>
              <w:spacing w:line="249" w:lineRule="exact"/>
              <w:ind w:left="632" w:hanging="524"/>
              <w:jc w:val="left"/>
              <w:rPr>
                <w:sz w:val="21"/>
              </w:rPr>
            </w:pPr>
            <w:r>
              <w:rPr>
                <w:rFonts w:hint="eastAsia"/>
                <w:sz w:val="21"/>
              </w:rPr>
              <w:t>事故处理完后，查找着火原因及泄漏处，并立即进行抢修。</w:t>
            </w:r>
          </w:p>
        </w:tc>
      </w:tr>
      <w:tr w:rsidR="00B04AE3">
        <w:trPr>
          <w:trHeight w:val="1361"/>
        </w:trPr>
        <w:tc>
          <w:tcPr>
            <w:tcW w:w="8528" w:type="dxa"/>
          </w:tcPr>
          <w:p w:rsidR="00B04AE3" w:rsidRDefault="00B04AE3">
            <w:pPr>
              <w:pStyle w:val="TableParagraph"/>
              <w:ind w:left="108"/>
              <w:jc w:val="left"/>
              <w:rPr>
                <w:b/>
                <w:sz w:val="21"/>
              </w:rPr>
            </w:pPr>
            <w:r>
              <w:rPr>
                <w:rFonts w:hint="eastAsia"/>
                <w:b/>
                <w:sz w:val="21"/>
              </w:rPr>
              <w:t>重大事故处置程序：</w:t>
            </w:r>
          </w:p>
          <w:p w:rsidR="00B04AE3" w:rsidRDefault="00B04AE3">
            <w:pPr>
              <w:pStyle w:val="TableParagraph"/>
              <w:spacing w:before="2" w:line="244" w:lineRule="auto"/>
              <w:ind w:left="108" w:right="98"/>
              <w:jc w:val="left"/>
              <w:rPr>
                <w:sz w:val="21"/>
              </w:rPr>
            </w:pPr>
            <w:r>
              <w:rPr>
                <w:rFonts w:ascii="Times New Roman" w:eastAsia="Times New Roman"/>
                <w:sz w:val="21"/>
              </w:rPr>
              <w:t>1</w:t>
            </w:r>
            <w:r>
              <w:rPr>
                <w:rFonts w:hint="eastAsia"/>
                <w:sz w:val="21"/>
              </w:rPr>
              <w:t>、立即报告公司应急办公室，应急办公室报告应急指挥部、视事件情况上报县环保局、县政府，启动公司级应急预案。</w:t>
            </w:r>
          </w:p>
          <w:p w:rsidR="00B04AE3" w:rsidRDefault="00B04AE3">
            <w:pPr>
              <w:pStyle w:val="TableParagraph"/>
              <w:spacing w:line="265" w:lineRule="exact"/>
              <w:ind w:left="108"/>
              <w:jc w:val="left"/>
              <w:rPr>
                <w:sz w:val="21"/>
              </w:rPr>
            </w:pPr>
            <w:r>
              <w:rPr>
                <w:rFonts w:ascii="Times New Roman" w:eastAsia="Times New Roman"/>
                <w:sz w:val="21"/>
              </w:rPr>
              <w:t>2</w:t>
            </w:r>
            <w:r>
              <w:rPr>
                <w:rFonts w:hint="eastAsia"/>
                <w:sz w:val="21"/>
              </w:rPr>
              <w:t>、经现场确认要求，现场人员无法控制，可能产生重大事故的预兆，应根据公司应急预案</w:t>
            </w:r>
          </w:p>
          <w:p w:rsidR="00B04AE3" w:rsidRDefault="00B04AE3">
            <w:pPr>
              <w:pStyle w:val="TableParagraph"/>
              <w:spacing w:before="4" w:line="252" w:lineRule="exact"/>
              <w:ind w:left="108"/>
              <w:jc w:val="left"/>
              <w:rPr>
                <w:sz w:val="21"/>
              </w:rPr>
            </w:pPr>
            <w:r>
              <w:rPr>
                <w:rFonts w:hint="eastAsia"/>
                <w:sz w:val="21"/>
              </w:rPr>
              <w:t>的要求，无关人员撤离现场，应急人员听从公司应急办公室的统一抢险调度。</w:t>
            </w:r>
          </w:p>
        </w:tc>
      </w:tr>
      <w:tr w:rsidR="00B04AE3">
        <w:trPr>
          <w:trHeight w:val="544"/>
        </w:trPr>
        <w:tc>
          <w:tcPr>
            <w:tcW w:w="8528" w:type="dxa"/>
          </w:tcPr>
          <w:p w:rsidR="00B04AE3" w:rsidRDefault="00B04AE3">
            <w:pPr>
              <w:pStyle w:val="TableParagraph"/>
              <w:ind w:left="108"/>
              <w:jc w:val="left"/>
              <w:rPr>
                <w:sz w:val="21"/>
              </w:rPr>
            </w:pPr>
            <w:r>
              <w:rPr>
                <w:rFonts w:hint="eastAsia"/>
                <w:b/>
                <w:sz w:val="21"/>
              </w:rPr>
              <w:t>影响范围：</w:t>
            </w:r>
            <w:r>
              <w:rPr>
                <w:rFonts w:hint="eastAsia"/>
                <w:sz w:val="21"/>
              </w:rPr>
              <w:t>①爆炸事故主要是公司内部员工及建筑，及周边道路行人及车辆造成影响；②消</w:t>
            </w:r>
          </w:p>
          <w:p w:rsidR="00B04AE3" w:rsidRDefault="00B04AE3">
            <w:pPr>
              <w:pStyle w:val="TableParagraph"/>
              <w:spacing w:before="3" w:line="252" w:lineRule="exact"/>
              <w:ind w:left="108"/>
              <w:jc w:val="left"/>
              <w:rPr>
                <w:sz w:val="21"/>
              </w:rPr>
            </w:pPr>
            <w:r>
              <w:rPr>
                <w:rFonts w:hint="eastAsia"/>
                <w:sz w:val="21"/>
              </w:rPr>
              <w:t>防废水产生的次生灾害的影响范围主要为附近的地表水。</w:t>
            </w:r>
          </w:p>
        </w:tc>
      </w:tr>
      <w:tr w:rsidR="00B04AE3">
        <w:trPr>
          <w:trHeight w:val="545"/>
        </w:trPr>
        <w:tc>
          <w:tcPr>
            <w:tcW w:w="8528" w:type="dxa"/>
          </w:tcPr>
          <w:p w:rsidR="00B04AE3" w:rsidRDefault="00B04AE3">
            <w:pPr>
              <w:pStyle w:val="TableParagraph"/>
              <w:tabs>
                <w:tab w:val="left" w:pos="1891"/>
              </w:tabs>
              <w:spacing w:before="1"/>
              <w:ind w:left="108"/>
              <w:jc w:val="left"/>
              <w:rPr>
                <w:sz w:val="21"/>
              </w:rPr>
            </w:pPr>
            <w:r>
              <w:rPr>
                <w:rFonts w:hint="eastAsia"/>
                <w:sz w:val="21"/>
              </w:rPr>
              <w:t>负责人：夏志亮</w:t>
            </w:r>
            <w:r>
              <w:rPr>
                <w:sz w:val="21"/>
              </w:rPr>
              <w:tab/>
            </w:r>
            <w:r>
              <w:rPr>
                <w:rFonts w:ascii="Times New Roman"/>
                <w:sz w:val="21"/>
              </w:rPr>
              <w:t>15879135422</w:t>
            </w:r>
            <w:r>
              <w:rPr>
                <w:rFonts w:hint="eastAsia"/>
                <w:sz w:val="21"/>
              </w:rPr>
              <w:t>；</w:t>
            </w:r>
          </w:p>
          <w:p w:rsidR="00B04AE3" w:rsidRDefault="00B04AE3">
            <w:pPr>
              <w:pStyle w:val="TableParagraph"/>
              <w:spacing w:before="2" w:line="253" w:lineRule="exact"/>
              <w:ind w:left="108"/>
              <w:jc w:val="left"/>
              <w:rPr>
                <w:sz w:val="21"/>
              </w:rPr>
            </w:pPr>
            <w:r>
              <w:rPr>
                <w:rFonts w:hint="eastAsia"/>
                <w:sz w:val="21"/>
              </w:rPr>
              <w:t>消防炮、消防栓、灭火器、事故池、医药箱、围堰；空气呼吸器、气体泄漏检测仪等。</w:t>
            </w:r>
          </w:p>
        </w:tc>
      </w:tr>
    </w:tbl>
    <w:p w:rsidR="00B04AE3" w:rsidRDefault="00B04AE3">
      <w:pPr>
        <w:pStyle w:val="BodyText"/>
        <w:spacing w:before="20" w:line="360" w:lineRule="auto"/>
        <w:ind w:left="334" w:right="334" w:firstLine="482"/>
        <w:jc w:val="both"/>
        <w:rPr>
          <w:spacing w:val="-6"/>
          <w:szCs w:val="22"/>
        </w:rPr>
      </w:pPr>
      <w:r>
        <w:rPr>
          <w:rFonts w:hint="eastAsia"/>
          <w:spacing w:val="-6"/>
          <w:szCs w:val="22"/>
        </w:rPr>
        <w:t>应急程序如下：</w:t>
      </w:r>
    </w:p>
    <w:p w:rsidR="00B04AE3" w:rsidRDefault="00B04AE3">
      <w:pPr>
        <w:pStyle w:val="BodyText"/>
        <w:spacing w:before="20" w:line="360" w:lineRule="auto"/>
        <w:ind w:left="334" w:right="334" w:firstLine="482"/>
        <w:jc w:val="both"/>
        <w:rPr>
          <w:spacing w:val="-6"/>
          <w:szCs w:val="22"/>
        </w:rPr>
      </w:pPr>
      <w:r>
        <w:rPr>
          <w:rFonts w:hint="eastAsia"/>
          <w:spacing w:val="-6"/>
          <w:szCs w:val="22"/>
        </w:rPr>
        <w:t>⑴火灾、爆炸事故发生时抢险抢修组及时用沙袋将公司雨水外排口堵住，防止消防废水流出厂外，污染地表水；在事故发生点周围产生的消防废水沿着地沟流入事故水池内；</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⑵抢险抢修组人员穿戴个人防护用品，做好个人防护工作后，进入事故现场抢救或搜寻可能的受伤、被困人员，转移现场可燃或易燃物品；</w:t>
      </w:r>
    </w:p>
    <w:p w:rsidR="00B04AE3" w:rsidRDefault="00B04AE3">
      <w:pPr>
        <w:pStyle w:val="BodyText"/>
        <w:spacing w:before="20" w:line="360" w:lineRule="auto"/>
        <w:ind w:left="334" w:right="334" w:firstLine="482"/>
        <w:jc w:val="both"/>
        <w:rPr>
          <w:spacing w:val="-6"/>
          <w:szCs w:val="22"/>
        </w:rPr>
      </w:pPr>
      <w:r>
        <w:rPr>
          <w:rFonts w:hint="eastAsia"/>
          <w:spacing w:val="-6"/>
          <w:szCs w:val="22"/>
        </w:rPr>
        <w:t>⑶通讯联络组联系南昌市环境监测站对周边的环境进行监测；</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⑷应急监测组要迅速的引导监测站指导应急救援工作。详见本章</w:t>
      </w:r>
      <w:r>
        <w:rPr>
          <w:spacing w:val="-6"/>
          <w:szCs w:val="22"/>
        </w:rPr>
        <w:t>8.4</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⑸因灭火产生的消防废水应收集进事故水池，严禁消防废水漫流，污染地表水、土壤和地下水。该部分废水最终回用于生产，不外排。</w:t>
      </w:r>
    </w:p>
    <w:p w:rsidR="00B04AE3" w:rsidRDefault="00B04AE3">
      <w:pPr>
        <w:pStyle w:val="BodyText"/>
        <w:spacing w:before="20" w:line="360" w:lineRule="auto"/>
        <w:ind w:left="334" w:right="334" w:firstLine="482"/>
        <w:jc w:val="both"/>
        <w:rPr>
          <w:spacing w:val="-6"/>
          <w:szCs w:val="22"/>
        </w:rPr>
      </w:pPr>
      <w:r>
        <w:rPr>
          <w:rFonts w:hint="eastAsia"/>
          <w:spacing w:val="-6"/>
          <w:szCs w:val="22"/>
        </w:rPr>
        <w:t>由于发生火灾时一般是消防人员执行灭火任务，环保人员很难进入现场。如果消防人员缺乏应对突发环境事件的专业知识，在救援行动过程中因处置不当可能会造成新的污染，甚至扩大污染程度，造成不必要的损失。</w:t>
      </w:r>
    </w:p>
    <w:p w:rsidR="00B04AE3" w:rsidRDefault="00B04AE3">
      <w:pPr>
        <w:pStyle w:val="BodyText"/>
        <w:spacing w:before="20" w:line="360" w:lineRule="auto"/>
        <w:ind w:left="334" w:right="334" w:firstLine="482"/>
        <w:jc w:val="both"/>
        <w:rPr>
          <w:spacing w:val="-6"/>
          <w:szCs w:val="22"/>
        </w:rPr>
      </w:pPr>
      <w:r>
        <w:rPr>
          <w:rFonts w:hint="eastAsia"/>
          <w:spacing w:val="-6"/>
          <w:szCs w:val="22"/>
        </w:rPr>
        <w:t>本公司为防止消防废水引发次生环境污染，采取如下措施：</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对应急抢险组人员进行相关突发环境事件应急培训，熟知公司内环境风险物质、物料、装置、设备危险特性，具备一定的环境保护专业知识，熟知本公司的水环境污染防控体系、大气污染防治措施，降低因处置不当导致的环境污染事件，同时降低因对化学物质处置不当而造成不必要的伤亡；</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、在发生火灾、爆炸事故时，县消防、公安、环保、安监等相关部门到场救援时，应急抢险组应报告清楚发生火灾的物料、装置、设备危险特性，以便上级部门做好准备，协同作战；</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、在发生火灾、爆炸事故时，应急抢险组疏散周边群众，让物料燃烧完毕是最好的选择，但必须注意次生及高温状态挥发的有毒有害物质；</w:t>
      </w:r>
    </w:p>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、应急抢险组提前将厂区的雨、污水总排口全部切断，事故应急池污水进水阀门打开，以便事故废水自流进入事故水池。</w:t>
      </w:r>
    </w:p>
    <w:p w:rsidR="00B04AE3" w:rsidRDefault="00B04AE3">
      <w:pPr>
        <w:pStyle w:val="ListParagraph"/>
        <w:numPr>
          <w:ilvl w:val="3"/>
          <w:numId w:val="30"/>
        </w:numPr>
        <w:tabs>
          <w:tab w:val="left" w:pos="1058"/>
        </w:tabs>
        <w:spacing w:before="5"/>
        <w:rPr>
          <w:b/>
          <w:sz w:val="24"/>
        </w:rPr>
      </w:pPr>
      <w:bookmarkStart w:id="135" w:name="8.3.2.3废气污染治理设施非正常运转现场处置方案"/>
      <w:bookmarkEnd w:id="135"/>
      <w:r>
        <w:rPr>
          <w:rFonts w:hint="eastAsia"/>
          <w:b/>
          <w:sz w:val="24"/>
        </w:rPr>
        <w:t>废气污染治理设施非正常运转现场处置方案</w:t>
      </w:r>
    </w:p>
    <w:p w:rsidR="00B04AE3" w:rsidRDefault="00B04AE3">
      <w:pPr>
        <w:spacing w:before="161"/>
        <w:ind w:left="497"/>
        <w:jc w:val="center"/>
        <w:rPr>
          <w:b/>
          <w:sz w:val="24"/>
        </w:rPr>
      </w:pPr>
      <w:r>
        <w:rPr>
          <w:rFonts w:hint="eastAsia"/>
          <w:b/>
          <w:sz w:val="24"/>
        </w:rPr>
        <w:t>表</w:t>
      </w:r>
      <w:r>
        <w:rPr>
          <w:b/>
          <w:sz w:val="24"/>
        </w:rPr>
        <w:t xml:space="preserve"> </w:t>
      </w:r>
      <w:r>
        <w:rPr>
          <w:rFonts w:ascii="Times New Roman" w:eastAsia="Times New Roman"/>
          <w:b/>
          <w:sz w:val="24"/>
        </w:rPr>
        <w:t>8.3-</w:t>
      </w:r>
      <w:r>
        <w:rPr>
          <w:rFonts w:ascii="Times New Roman"/>
          <w:b/>
          <w:sz w:val="24"/>
          <w:lang w:val="en-US"/>
        </w:rPr>
        <w:t>6</w:t>
      </w:r>
      <w:r>
        <w:rPr>
          <w:rFonts w:ascii="Times New Roman" w:eastAsia="Times New Roman"/>
          <w:b/>
          <w:sz w:val="24"/>
        </w:rPr>
        <w:t xml:space="preserve"> </w:t>
      </w:r>
      <w:r>
        <w:rPr>
          <w:rFonts w:hint="eastAsia"/>
          <w:b/>
          <w:sz w:val="24"/>
        </w:rPr>
        <w:t>废气污染治理设施非正常运转现场处置方案</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8528"/>
      </w:tblGrid>
      <w:tr w:rsidR="00B04AE3">
        <w:trPr>
          <w:trHeight w:val="272"/>
        </w:trPr>
        <w:tc>
          <w:tcPr>
            <w:tcW w:w="8528" w:type="dxa"/>
          </w:tcPr>
          <w:p w:rsidR="00B04AE3" w:rsidRDefault="00B04AE3">
            <w:pPr>
              <w:pStyle w:val="TableParagraph"/>
              <w:spacing w:line="253" w:lineRule="exact"/>
              <w:ind w:left="108"/>
              <w:jc w:val="left"/>
              <w:rPr>
                <w:sz w:val="21"/>
              </w:rPr>
            </w:pPr>
            <w:r>
              <w:rPr>
                <w:rFonts w:hint="eastAsia"/>
                <w:b/>
                <w:sz w:val="21"/>
              </w:rPr>
              <w:t>事故类型</w:t>
            </w:r>
            <w:r>
              <w:rPr>
                <w:rFonts w:hint="eastAsia"/>
                <w:sz w:val="21"/>
              </w:rPr>
              <w:t>：废气处理措施非正常运转</w:t>
            </w:r>
          </w:p>
        </w:tc>
      </w:tr>
      <w:tr w:rsidR="00B04AE3">
        <w:trPr>
          <w:trHeight w:val="272"/>
        </w:trPr>
        <w:tc>
          <w:tcPr>
            <w:tcW w:w="8528" w:type="dxa"/>
          </w:tcPr>
          <w:p w:rsidR="00B04AE3" w:rsidRDefault="00B04AE3">
            <w:pPr>
              <w:pStyle w:val="TableParagraph"/>
              <w:spacing w:line="252" w:lineRule="exact"/>
              <w:ind w:left="108"/>
              <w:jc w:val="left"/>
              <w:rPr>
                <w:sz w:val="21"/>
              </w:rPr>
            </w:pPr>
            <w:r>
              <w:rPr>
                <w:rFonts w:hint="eastAsia"/>
                <w:b/>
                <w:sz w:val="21"/>
              </w:rPr>
              <w:t>对象</w:t>
            </w:r>
            <w:r>
              <w:rPr>
                <w:rFonts w:hint="eastAsia"/>
                <w:sz w:val="21"/>
              </w:rPr>
              <w:t>：车间当班班长，车间操作工</w:t>
            </w:r>
          </w:p>
        </w:tc>
      </w:tr>
      <w:tr w:rsidR="00B04AE3">
        <w:trPr>
          <w:trHeight w:val="271"/>
        </w:trPr>
        <w:tc>
          <w:tcPr>
            <w:tcW w:w="8528" w:type="dxa"/>
          </w:tcPr>
          <w:p w:rsidR="00B04AE3" w:rsidRDefault="00B04AE3">
            <w:pPr>
              <w:pStyle w:val="TableParagraph"/>
              <w:spacing w:before="1" w:line="250" w:lineRule="exact"/>
              <w:ind w:left="108"/>
              <w:jc w:val="left"/>
              <w:rPr>
                <w:sz w:val="21"/>
              </w:rPr>
            </w:pPr>
            <w:r>
              <w:rPr>
                <w:rFonts w:hint="eastAsia"/>
                <w:b/>
                <w:sz w:val="21"/>
              </w:rPr>
              <w:t>目标</w:t>
            </w:r>
            <w:r>
              <w:rPr>
                <w:rFonts w:hint="eastAsia"/>
                <w:sz w:val="21"/>
              </w:rPr>
              <w:t>：废气处理系统等</w:t>
            </w:r>
          </w:p>
        </w:tc>
      </w:tr>
      <w:tr w:rsidR="00B04AE3">
        <w:trPr>
          <w:trHeight w:val="273"/>
        </w:trPr>
        <w:tc>
          <w:tcPr>
            <w:tcW w:w="8528" w:type="dxa"/>
          </w:tcPr>
          <w:p w:rsidR="00B04AE3" w:rsidRDefault="00B04AE3">
            <w:pPr>
              <w:pStyle w:val="TableParagraph"/>
              <w:spacing w:line="253" w:lineRule="exact"/>
              <w:ind w:left="108"/>
              <w:jc w:val="left"/>
              <w:rPr>
                <w:sz w:val="21"/>
              </w:rPr>
            </w:pPr>
            <w:r>
              <w:rPr>
                <w:rFonts w:hint="eastAsia"/>
                <w:b/>
                <w:sz w:val="21"/>
              </w:rPr>
              <w:t>危害</w:t>
            </w:r>
            <w:r>
              <w:rPr>
                <w:rFonts w:hint="eastAsia"/>
                <w:sz w:val="21"/>
              </w:rPr>
              <w:t>：对周围环境造成影响</w:t>
            </w:r>
          </w:p>
        </w:tc>
      </w:tr>
      <w:tr w:rsidR="00B04AE3">
        <w:trPr>
          <w:trHeight w:val="271"/>
        </w:trPr>
        <w:tc>
          <w:tcPr>
            <w:tcW w:w="8528" w:type="dxa"/>
          </w:tcPr>
          <w:p w:rsidR="00B04AE3" w:rsidRDefault="00B04AE3">
            <w:pPr>
              <w:pStyle w:val="TableParagraph"/>
              <w:tabs>
                <w:tab w:val="left" w:pos="1896"/>
              </w:tabs>
              <w:spacing w:line="251" w:lineRule="exact"/>
              <w:ind w:left="108"/>
              <w:jc w:val="left"/>
              <w:rPr>
                <w:rFonts w:ascii="Times New Roman"/>
                <w:sz w:val="21"/>
              </w:rPr>
            </w:pPr>
            <w:r>
              <w:rPr>
                <w:rFonts w:hint="eastAsia"/>
                <w:b/>
                <w:sz w:val="21"/>
              </w:rPr>
              <w:t>负责人：</w:t>
            </w:r>
            <w:r>
              <w:rPr>
                <w:rFonts w:hint="eastAsia"/>
                <w:sz w:val="21"/>
              </w:rPr>
              <w:t>夏志亮</w:t>
            </w:r>
            <w:r>
              <w:rPr>
                <w:sz w:val="21"/>
              </w:rPr>
              <w:tab/>
            </w:r>
            <w:r>
              <w:rPr>
                <w:rFonts w:ascii="Times New Roman"/>
                <w:sz w:val="21"/>
              </w:rPr>
              <w:t>15879135422</w:t>
            </w:r>
          </w:p>
        </w:tc>
      </w:tr>
      <w:tr w:rsidR="00B04AE3">
        <w:trPr>
          <w:trHeight w:val="272"/>
        </w:trPr>
        <w:tc>
          <w:tcPr>
            <w:tcW w:w="8528" w:type="dxa"/>
          </w:tcPr>
          <w:p w:rsidR="00B04AE3" w:rsidRDefault="00B04AE3">
            <w:pPr>
              <w:pStyle w:val="TableParagraph"/>
              <w:spacing w:before="1" w:line="250" w:lineRule="exact"/>
              <w:ind w:left="108"/>
              <w:jc w:val="left"/>
              <w:rPr>
                <w:sz w:val="21"/>
              </w:rPr>
            </w:pPr>
            <w:r>
              <w:rPr>
                <w:rFonts w:hint="eastAsia"/>
                <w:b/>
                <w:sz w:val="21"/>
              </w:rPr>
              <w:t>应急物资：</w:t>
            </w:r>
            <w:r>
              <w:rPr>
                <w:rFonts w:hint="eastAsia"/>
                <w:sz w:val="21"/>
              </w:rPr>
              <w:t>自给正压式呼吸器、防护服、洗眼器、灭火器等</w:t>
            </w:r>
          </w:p>
        </w:tc>
      </w:tr>
      <w:tr w:rsidR="00B04AE3">
        <w:trPr>
          <w:trHeight w:val="272"/>
        </w:trPr>
        <w:tc>
          <w:tcPr>
            <w:tcW w:w="8528" w:type="dxa"/>
          </w:tcPr>
          <w:p w:rsidR="00B04AE3" w:rsidRDefault="00B04AE3">
            <w:pPr>
              <w:pStyle w:val="TableParagraph"/>
              <w:spacing w:line="252" w:lineRule="exact"/>
              <w:ind w:left="108"/>
              <w:jc w:val="left"/>
              <w:rPr>
                <w:sz w:val="21"/>
              </w:rPr>
            </w:pPr>
            <w:r>
              <w:rPr>
                <w:rFonts w:hint="eastAsia"/>
                <w:b/>
                <w:sz w:val="21"/>
              </w:rPr>
              <w:t>存放位置：</w:t>
            </w:r>
            <w:r>
              <w:rPr>
                <w:rFonts w:hint="eastAsia"/>
                <w:sz w:val="21"/>
              </w:rPr>
              <w:t>车间工具箱</w:t>
            </w:r>
          </w:p>
        </w:tc>
      </w:tr>
      <w:tr w:rsidR="00B04AE3">
        <w:trPr>
          <w:trHeight w:val="815"/>
        </w:trPr>
        <w:tc>
          <w:tcPr>
            <w:tcW w:w="8528" w:type="dxa"/>
          </w:tcPr>
          <w:p w:rsidR="00B04AE3" w:rsidRDefault="00B04AE3">
            <w:pPr>
              <w:pStyle w:val="TableParagraph"/>
              <w:spacing w:before="1"/>
              <w:ind w:left="108"/>
              <w:jc w:val="left"/>
              <w:rPr>
                <w:b/>
                <w:sz w:val="21"/>
              </w:rPr>
            </w:pPr>
            <w:r>
              <w:rPr>
                <w:rFonts w:hint="eastAsia"/>
                <w:b/>
                <w:sz w:val="21"/>
              </w:rPr>
              <w:t>常识：</w:t>
            </w:r>
          </w:p>
          <w:p w:rsidR="00B04AE3" w:rsidRDefault="00B04AE3">
            <w:pPr>
              <w:pStyle w:val="TableParagraph"/>
              <w:spacing w:before="2"/>
              <w:ind w:left="108"/>
              <w:jc w:val="left"/>
              <w:rPr>
                <w:sz w:val="21"/>
              </w:rPr>
            </w:pPr>
            <w:r>
              <w:rPr>
                <w:rFonts w:ascii="Times New Roman" w:eastAsia="Times New Roman"/>
                <w:sz w:val="21"/>
              </w:rPr>
              <w:t>1</w:t>
            </w:r>
            <w:r>
              <w:rPr>
                <w:rFonts w:hint="eastAsia"/>
                <w:sz w:val="21"/>
              </w:rPr>
              <w:t>、掌握风向：观察风向，主要上风向撤离路线和地点；</w:t>
            </w:r>
          </w:p>
          <w:p w:rsidR="00B04AE3" w:rsidRDefault="00B04AE3">
            <w:pPr>
              <w:pStyle w:val="TableParagraph"/>
              <w:spacing w:before="2" w:line="252" w:lineRule="exact"/>
              <w:ind w:left="108" w:right="-15"/>
              <w:jc w:val="left"/>
              <w:rPr>
                <w:sz w:val="21"/>
              </w:rPr>
            </w:pPr>
            <w:r>
              <w:rPr>
                <w:rFonts w:ascii="Times New Roman" w:eastAsia="Times New Roman"/>
                <w:sz w:val="21"/>
              </w:rPr>
              <w:t>2</w:t>
            </w:r>
            <w:r>
              <w:rPr>
                <w:rFonts w:hint="eastAsia"/>
                <w:spacing w:val="-8"/>
                <w:sz w:val="21"/>
              </w:rPr>
              <w:t>、及时报告：发生异常情况，立即报告公司应急办公室</w:t>
            </w:r>
            <w:r>
              <w:rPr>
                <w:rFonts w:hint="eastAsia"/>
                <w:sz w:val="21"/>
              </w:rPr>
              <w:t>（</w:t>
            </w:r>
            <w:r>
              <w:rPr>
                <w:rFonts w:hint="eastAsia"/>
                <w:spacing w:val="-1"/>
                <w:sz w:val="21"/>
              </w:rPr>
              <w:t>电话：</w:t>
            </w:r>
            <w:r>
              <w:rPr>
                <w:rFonts w:ascii="Times New Roman"/>
                <w:spacing w:val="-3"/>
                <w:sz w:val="21"/>
              </w:rPr>
              <w:t>0791-88534560</w:t>
            </w:r>
            <w:r>
              <w:rPr>
                <w:rFonts w:hint="eastAsia"/>
                <w:sz w:val="21"/>
              </w:rPr>
              <w:t>，对讲机</w:t>
            </w:r>
            <w:r>
              <w:rPr>
                <w:rFonts w:hint="eastAsia"/>
                <w:spacing w:val="-8"/>
                <w:sz w:val="21"/>
              </w:rPr>
              <w:t>）；</w:t>
            </w:r>
          </w:p>
        </w:tc>
      </w:tr>
      <w:tr w:rsidR="00B04AE3">
        <w:trPr>
          <w:trHeight w:val="817"/>
        </w:trPr>
        <w:tc>
          <w:tcPr>
            <w:tcW w:w="8528" w:type="dxa"/>
          </w:tcPr>
          <w:p w:rsidR="00B04AE3" w:rsidRDefault="00B04AE3">
            <w:pPr>
              <w:pStyle w:val="TableParagraph"/>
              <w:spacing w:before="2"/>
              <w:ind w:left="108"/>
              <w:jc w:val="left"/>
              <w:rPr>
                <w:sz w:val="21"/>
              </w:rPr>
            </w:pPr>
            <w:r>
              <w:rPr>
                <w:rFonts w:ascii="Times New Roman" w:eastAsia="Times New Roman"/>
                <w:sz w:val="21"/>
              </w:rPr>
              <w:t>3</w:t>
            </w:r>
            <w:r>
              <w:rPr>
                <w:rFonts w:hint="eastAsia"/>
                <w:sz w:val="21"/>
              </w:rPr>
              <w:t>、应急联络：</w:t>
            </w:r>
            <w:r>
              <w:rPr>
                <w:rFonts w:ascii="Times New Roman" w:eastAsia="Times New Roman"/>
                <w:sz w:val="21"/>
              </w:rPr>
              <w:t>110</w:t>
            </w:r>
            <w:r>
              <w:rPr>
                <w:rFonts w:hint="eastAsia"/>
                <w:sz w:val="21"/>
              </w:rPr>
              <w:t>、</w:t>
            </w:r>
            <w:r>
              <w:rPr>
                <w:rFonts w:ascii="Times New Roman" w:eastAsia="Times New Roman"/>
                <w:sz w:val="21"/>
              </w:rPr>
              <w:t>119</w:t>
            </w:r>
            <w:r>
              <w:rPr>
                <w:rFonts w:hint="eastAsia"/>
                <w:sz w:val="21"/>
              </w:rPr>
              <w:t>、</w:t>
            </w:r>
            <w:r>
              <w:rPr>
                <w:rFonts w:ascii="Times New Roman" w:eastAsia="Times New Roman"/>
                <w:sz w:val="21"/>
              </w:rPr>
              <w:t>120</w:t>
            </w:r>
            <w:r>
              <w:rPr>
                <w:rFonts w:hint="eastAsia"/>
                <w:sz w:val="21"/>
              </w:rPr>
              <w:t>、经济技术开发区环保局应急办公室；</w:t>
            </w:r>
          </w:p>
          <w:p w:rsidR="00B04AE3" w:rsidRDefault="00B04AE3">
            <w:pPr>
              <w:pStyle w:val="TableParagraph"/>
              <w:spacing w:before="2"/>
              <w:ind w:left="108"/>
              <w:jc w:val="left"/>
              <w:rPr>
                <w:sz w:val="21"/>
              </w:rPr>
            </w:pPr>
            <w:r>
              <w:rPr>
                <w:rFonts w:ascii="Times New Roman" w:eastAsia="Times New Roman"/>
                <w:sz w:val="21"/>
              </w:rPr>
              <w:t>4</w:t>
            </w:r>
            <w:r>
              <w:rPr>
                <w:rFonts w:hint="eastAsia"/>
                <w:sz w:val="21"/>
              </w:rPr>
              <w:t>、泄露确认：有刺鼻的气味；</w:t>
            </w:r>
          </w:p>
          <w:p w:rsidR="00B04AE3" w:rsidRDefault="00B04AE3">
            <w:pPr>
              <w:pStyle w:val="TableParagraph"/>
              <w:spacing w:before="2" w:line="253" w:lineRule="exact"/>
              <w:ind w:left="108"/>
              <w:jc w:val="left"/>
              <w:rPr>
                <w:sz w:val="21"/>
              </w:rPr>
            </w:pPr>
            <w:r>
              <w:rPr>
                <w:rFonts w:ascii="Times New Roman" w:eastAsia="Times New Roman"/>
                <w:sz w:val="21"/>
              </w:rPr>
              <w:t>5</w:t>
            </w:r>
            <w:r>
              <w:rPr>
                <w:rFonts w:hint="eastAsia"/>
                <w:sz w:val="21"/>
              </w:rPr>
              <w:t>、清点人员：到达撤离现场后，要互相清点人数；</w:t>
            </w:r>
          </w:p>
        </w:tc>
      </w:tr>
      <w:tr w:rsidR="00B04AE3">
        <w:trPr>
          <w:trHeight w:val="816"/>
        </w:trPr>
        <w:tc>
          <w:tcPr>
            <w:tcW w:w="8528" w:type="dxa"/>
          </w:tcPr>
          <w:p w:rsidR="00B04AE3" w:rsidRDefault="00B04AE3">
            <w:pPr>
              <w:pStyle w:val="TableParagraph"/>
              <w:ind w:left="108"/>
              <w:jc w:val="left"/>
              <w:rPr>
                <w:b/>
                <w:sz w:val="21"/>
              </w:rPr>
            </w:pPr>
            <w:r>
              <w:rPr>
                <w:rFonts w:hint="eastAsia"/>
                <w:b/>
                <w:sz w:val="21"/>
              </w:rPr>
              <w:t>处置通则：</w:t>
            </w:r>
          </w:p>
          <w:p w:rsidR="00B04AE3" w:rsidRDefault="00B04AE3">
            <w:pPr>
              <w:pStyle w:val="TableParagraph"/>
              <w:spacing w:before="5"/>
              <w:ind w:left="108"/>
              <w:jc w:val="left"/>
              <w:rPr>
                <w:sz w:val="21"/>
              </w:rPr>
            </w:pPr>
            <w:r>
              <w:rPr>
                <w:rFonts w:ascii="Times New Roman" w:eastAsia="Times New Roman"/>
                <w:sz w:val="21"/>
              </w:rPr>
              <w:t>1</w:t>
            </w:r>
            <w:r>
              <w:rPr>
                <w:rFonts w:hint="eastAsia"/>
                <w:sz w:val="21"/>
              </w:rPr>
              <w:t>、自身防护：戴自给正压式呼吸器（紧急情况下用毛巾捂住口鼻）和防酸碱手套；</w:t>
            </w:r>
          </w:p>
          <w:p w:rsidR="00B04AE3" w:rsidRDefault="00B04AE3">
            <w:pPr>
              <w:pStyle w:val="TableParagraph"/>
              <w:spacing w:before="2" w:line="252" w:lineRule="exact"/>
              <w:ind w:left="108"/>
              <w:jc w:val="left"/>
              <w:rPr>
                <w:sz w:val="21"/>
              </w:rPr>
            </w:pPr>
            <w:r>
              <w:rPr>
                <w:rFonts w:ascii="Times New Roman" w:eastAsia="Times New Roman"/>
                <w:sz w:val="21"/>
              </w:rPr>
              <w:t>2</w:t>
            </w:r>
            <w:r>
              <w:rPr>
                <w:rFonts w:hint="eastAsia"/>
                <w:sz w:val="21"/>
              </w:rPr>
              <w:t>、根据超标程度的大小，分别按以下处置程序进行。</w:t>
            </w:r>
          </w:p>
        </w:tc>
      </w:tr>
      <w:tr w:rsidR="00B04AE3">
        <w:trPr>
          <w:trHeight w:val="1089"/>
        </w:trPr>
        <w:tc>
          <w:tcPr>
            <w:tcW w:w="8528" w:type="dxa"/>
          </w:tcPr>
          <w:p w:rsidR="00B04AE3" w:rsidRDefault="00B04AE3">
            <w:pPr>
              <w:pStyle w:val="TableParagraph"/>
              <w:spacing w:before="1"/>
              <w:ind w:left="108"/>
              <w:jc w:val="left"/>
              <w:rPr>
                <w:b/>
                <w:sz w:val="21"/>
              </w:rPr>
            </w:pPr>
            <w:r>
              <w:rPr>
                <w:rFonts w:hint="eastAsia"/>
                <w:b/>
                <w:sz w:val="21"/>
              </w:rPr>
              <w:t>原因：</w:t>
            </w:r>
          </w:p>
          <w:p w:rsidR="00B04AE3" w:rsidRDefault="00B04AE3">
            <w:pPr>
              <w:pStyle w:val="TableParagraph"/>
              <w:spacing w:before="2"/>
              <w:ind w:left="108"/>
              <w:jc w:val="left"/>
              <w:rPr>
                <w:sz w:val="21"/>
              </w:rPr>
            </w:pPr>
            <w:r>
              <w:rPr>
                <w:rFonts w:ascii="Times New Roman" w:eastAsia="Times New Roman"/>
                <w:sz w:val="21"/>
              </w:rPr>
              <w:t>1</w:t>
            </w:r>
            <w:r>
              <w:rPr>
                <w:rFonts w:hint="eastAsia"/>
                <w:sz w:val="21"/>
              </w:rPr>
              <w:t>、过滤棉未及时更换。</w:t>
            </w:r>
          </w:p>
          <w:p w:rsidR="00B04AE3" w:rsidRDefault="00B04AE3">
            <w:pPr>
              <w:pStyle w:val="TableParagraph"/>
              <w:spacing w:before="3"/>
              <w:ind w:left="108"/>
              <w:jc w:val="left"/>
              <w:rPr>
                <w:sz w:val="21"/>
              </w:rPr>
            </w:pPr>
            <w:r>
              <w:rPr>
                <w:rFonts w:ascii="Times New Roman" w:eastAsia="Times New Roman"/>
                <w:sz w:val="21"/>
              </w:rPr>
              <w:t>2</w:t>
            </w:r>
            <w:r>
              <w:rPr>
                <w:rFonts w:hint="eastAsia"/>
                <w:sz w:val="21"/>
              </w:rPr>
              <w:t>、装置连接处产生故障，有漏风现象。</w:t>
            </w:r>
          </w:p>
          <w:p w:rsidR="00B04AE3" w:rsidRDefault="00B04AE3">
            <w:pPr>
              <w:pStyle w:val="TableParagraph"/>
              <w:spacing w:before="4" w:line="251" w:lineRule="exact"/>
              <w:ind w:left="108"/>
              <w:jc w:val="left"/>
              <w:rPr>
                <w:sz w:val="21"/>
              </w:rPr>
            </w:pPr>
            <w:r>
              <w:rPr>
                <w:rFonts w:ascii="Times New Roman" w:eastAsia="Times New Roman"/>
                <w:sz w:val="21"/>
              </w:rPr>
              <w:t>3</w:t>
            </w:r>
            <w:r>
              <w:rPr>
                <w:rFonts w:hint="eastAsia"/>
                <w:sz w:val="21"/>
              </w:rPr>
              <w:t>、紧急停电。</w:t>
            </w:r>
          </w:p>
        </w:tc>
      </w:tr>
      <w:tr w:rsidR="00B04AE3">
        <w:trPr>
          <w:trHeight w:val="1635"/>
        </w:trPr>
        <w:tc>
          <w:tcPr>
            <w:tcW w:w="8528" w:type="dxa"/>
          </w:tcPr>
          <w:p w:rsidR="00B04AE3" w:rsidRDefault="00B04AE3">
            <w:pPr>
              <w:pStyle w:val="TableParagraph"/>
              <w:spacing w:before="2"/>
              <w:ind w:left="108"/>
              <w:jc w:val="left"/>
              <w:rPr>
                <w:b/>
                <w:sz w:val="21"/>
              </w:rPr>
            </w:pPr>
            <w:r>
              <w:rPr>
                <w:rFonts w:hint="eastAsia"/>
                <w:b/>
                <w:sz w:val="21"/>
              </w:rPr>
              <w:t>事故处置程序：</w:t>
            </w:r>
          </w:p>
          <w:p w:rsidR="00B04AE3" w:rsidRDefault="00B04AE3">
            <w:pPr>
              <w:pStyle w:val="TableParagraph"/>
              <w:spacing w:before="2" w:line="242" w:lineRule="auto"/>
              <w:ind w:left="468" w:right="96" w:hanging="360"/>
              <w:jc w:val="left"/>
              <w:rPr>
                <w:sz w:val="21"/>
              </w:rPr>
            </w:pPr>
            <w:r>
              <w:rPr>
                <w:rFonts w:ascii="Times New Roman" w:eastAsia="Times New Roman"/>
                <w:sz w:val="21"/>
              </w:rPr>
              <w:t>1</w:t>
            </w:r>
            <w:r>
              <w:rPr>
                <w:rFonts w:hint="eastAsia"/>
                <w:spacing w:val="-10"/>
                <w:sz w:val="21"/>
              </w:rPr>
              <w:t>、</w:t>
            </w:r>
            <w:r>
              <w:rPr>
                <w:spacing w:val="-10"/>
                <w:sz w:val="21"/>
              </w:rPr>
              <w:t xml:space="preserve"> </w:t>
            </w:r>
            <w:r>
              <w:rPr>
                <w:rFonts w:hint="eastAsia"/>
                <w:spacing w:val="-10"/>
                <w:sz w:val="21"/>
              </w:rPr>
              <w:t>发现污染治理设施非正常运行时，车间紧急停车，立即停止生产，迅速关闭所有物料进口阀。</w:t>
            </w:r>
          </w:p>
          <w:p w:rsidR="00B04AE3" w:rsidRDefault="00B04AE3">
            <w:pPr>
              <w:pStyle w:val="TableParagraph"/>
              <w:spacing w:before="1"/>
              <w:ind w:left="108"/>
              <w:jc w:val="left"/>
              <w:rPr>
                <w:sz w:val="21"/>
              </w:rPr>
            </w:pPr>
            <w:r>
              <w:rPr>
                <w:rFonts w:ascii="Times New Roman" w:eastAsia="Times New Roman"/>
                <w:sz w:val="21"/>
              </w:rPr>
              <w:t>2</w:t>
            </w:r>
            <w:r>
              <w:rPr>
                <w:rFonts w:hint="eastAsia"/>
                <w:sz w:val="21"/>
              </w:rPr>
              <w:t>、</w:t>
            </w:r>
            <w:r>
              <w:rPr>
                <w:sz w:val="21"/>
              </w:rPr>
              <w:t xml:space="preserve"> </w:t>
            </w:r>
            <w:r>
              <w:rPr>
                <w:rFonts w:hint="eastAsia"/>
                <w:sz w:val="21"/>
              </w:rPr>
              <w:t>装置非正常运转时需立即通知周围人员迅速往上风向撤离现场，严格限制出入。</w:t>
            </w:r>
          </w:p>
          <w:p w:rsidR="00B04AE3" w:rsidRDefault="00B04AE3">
            <w:pPr>
              <w:pStyle w:val="TableParagraph"/>
              <w:spacing w:before="2"/>
              <w:ind w:left="108"/>
              <w:jc w:val="left"/>
              <w:rPr>
                <w:sz w:val="21"/>
              </w:rPr>
            </w:pPr>
            <w:r>
              <w:rPr>
                <w:rFonts w:ascii="Times New Roman" w:eastAsia="Times New Roman"/>
                <w:sz w:val="21"/>
              </w:rPr>
              <w:t>3</w:t>
            </w:r>
            <w:r>
              <w:rPr>
                <w:rFonts w:hint="eastAsia"/>
                <w:sz w:val="21"/>
              </w:rPr>
              <w:t>、</w:t>
            </w:r>
            <w:r>
              <w:rPr>
                <w:sz w:val="21"/>
              </w:rPr>
              <w:t xml:space="preserve"> </w:t>
            </w:r>
            <w:r>
              <w:rPr>
                <w:rFonts w:hint="eastAsia"/>
                <w:sz w:val="21"/>
              </w:rPr>
              <w:t>应急处理人员戴自给正压式呼吸器，进入车间维修。</w:t>
            </w:r>
          </w:p>
          <w:p w:rsidR="00B04AE3" w:rsidRDefault="00B04AE3">
            <w:pPr>
              <w:pStyle w:val="TableParagraph"/>
              <w:spacing w:before="5" w:line="252" w:lineRule="exact"/>
              <w:ind w:left="108"/>
              <w:jc w:val="left"/>
              <w:rPr>
                <w:sz w:val="21"/>
              </w:rPr>
            </w:pPr>
            <w:r>
              <w:rPr>
                <w:rFonts w:ascii="Times New Roman" w:eastAsia="Times New Roman"/>
                <w:sz w:val="21"/>
              </w:rPr>
              <w:t>4</w:t>
            </w:r>
            <w:r>
              <w:rPr>
                <w:rFonts w:hint="eastAsia"/>
                <w:sz w:val="21"/>
              </w:rPr>
              <w:t>、</w:t>
            </w:r>
            <w:r>
              <w:rPr>
                <w:sz w:val="21"/>
              </w:rPr>
              <w:t xml:space="preserve"> </w:t>
            </w:r>
            <w:r>
              <w:rPr>
                <w:rFonts w:hint="eastAsia"/>
                <w:sz w:val="21"/>
              </w:rPr>
              <w:t>待设备正常运行时，再开车生产。</w:t>
            </w:r>
          </w:p>
        </w:tc>
      </w:tr>
      <w:tr w:rsidR="00B04AE3">
        <w:trPr>
          <w:trHeight w:val="1361"/>
        </w:trPr>
        <w:tc>
          <w:tcPr>
            <w:tcW w:w="8528" w:type="dxa"/>
          </w:tcPr>
          <w:p w:rsidR="00B04AE3" w:rsidRDefault="00B04AE3">
            <w:pPr>
              <w:pStyle w:val="TableParagraph"/>
              <w:spacing w:before="1"/>
              <w:ind w:left="108"/>
              <w:jc w:val="left"/>
              <w:rPr>
                <w:b/>
                <w:sz w:val="21"/>
              </w:rPr>
            </w:pPr>
            <w:r>
              <w:rPr>
                <w:rFonts w:hint="eastAsia"/>
                <w:b/>
                <w:sz w:val="21"/>
              </w:rPr>
              <w:t>人员急救措施：</w:t>
            </w:r>
          </w:p>
          <w:p w:rsidR="00B04AE3" w:rsidRDefault="00B04AE3">
            <w:pPr>
              <w:pStyle w:val="TableParagraph"/>
              <w:spacing w:before="1"/>
              <w:ind w:left="108"/>
              <w:jc w:val="left"/>
              <w:rPr>
                <w:sz w:val="21"/>
              </w:rPr>
            </w:pPr>
            <w:r>
              <w:rPr>
                <w:rFonts w:hint="eastAsia"/>
                <w:sz w:val="21"/>
              </w:rPr>
              <w:t>皮肤接触：脱去被污染的衣着，用大量流动清水彻底冲洗皮肤。</w:t>
            </w:r>
            <w:r>
              <w:rPr>
                <w:sz w:val="21"/>
              </w:rPr>
              <w:t xml:space="preserve"> </w:t>
            </w:r>
            <w:r>
              <w:rPr>
                <w:rFonts w:hint="eastAsia"/>
                <w:sz w:val="21"/>
              </w:rPr>
              <w:t>眼睛接触：提起眼睑，用流动清水或生理盐水冲洗。就医。</w:t>
            </w:r>
          </w:p>
          <w:p w:rsidR="00B04AE3" w:rsidRDefault="00B04AE3">
            <w:pPr>
              <w:pStyle w:val="TableParagraph"/>
              <w:spacing w:before="1"/>
              <w:ind w:left="108"/>
              <w:jc w:val="left"/>
              <w:rPr>
                <w:sz w:val="21"/>
              </w:rPr>
            </w:pPr>
            <w:r>
              <w:rPr>
                <w:rFonts w:hint="eastAsia"/>
                <w:sz w:val="21"/>
              </w:rPr>
              <w:t>吸入：迅速脱离现场至空气新鲜处。保持呼吸道通畅。如呼吸困难，给输氧。如呼吸停</w:t>
            </w:r>
          </w:p>
          <w:p w:rsidR="00B04AE3" w:rsidRDefault="00B04AE3">
            <w:pPr>
              <w:pStyle w:val="TableParagraph"/>
              <w:spacing w:before="1"/>
              <w:ind w:left="108"/>
              <w:jc w:val="left"/>
              <w:rPr>
                <w:sz w:val="21"/>
              </w:rPr>
            </w:pPr>
            <w:r>
              <w:rPr>
                <w:rFonts w:hint="eastAsia"/>
                <w:sz w:val="21"/>
              </w:rPr>
              <w:t>止，立即进行人工呼吸。就医。</w:t>
            </w:r>
          </w:p>
        </w:tc>
      </w:tr>
      <w:tr w:rsidR="00B04AE3">
        <w:trPr>
          <w:trHeight w:val="1362"/>
        </w:trPr>
        <w:tc>
          <w:tcPr>
            <w:tcW w:w="8528" w:type="dxa"/>
          </w:tcPr>
          <w:p w:rsidR="00B04AE3" w:rsidRDefault="00B04AE3">
            <w:pPr>
              <w:pStyle w:val="TableParagraph"/>
              <w:ind w:left="108"/>
              <w:jc w:val="left"/>
              <w:rPr>
                <w:b/>
                <w:sz w:val="21"/>
              </w:rPr>
            </w:pPr>
            <w:r>
              <w:rPr>
                <w:rFonts w:hint="eastAsia"/>
                <w:b/>
                <w:sz w:val="21"/>
              </w:rPr>
              <w:t>重大事故处置程序：</w:t>
            </w:r>
          </w:p>
          <w:p w:rsidR="00B04AE3" w:rsidRDefault="00B04AE3">
            <w:pPr>
              <w:pStyle w:val="TableParagraph"/>
              <w:spacing w:before="4" w:line="242" w:lineRule="auto"/>
              <w:ind w:left="108" w:right="98"/>
              <w:jc w:val="left"/>
              <w:rPr>
                <w:sz w:val="21"/>
              </w:rPr>
            </w:pPr>
            <w:r>
              <w:rPr>
                <w:rFonts w:ascii="Times New Roman" w:eastAsia="Times New Roman"/>
                <w:sz w:val="21"/>
              </w:rPr>
              <w:t>1</w:t>
            </w:r>
            <w:r>
              <w:rPr>
                <w:rFonts w:hint="eastAsia"/>
                <w:sz w:val="21"/>
              </w:rPr>
              <w:t>、立即报告公司应急办公室，应急办公室报告经济技术开发区环保局应急办、安检局、消防等相关部门，启动公司级应急预案。</w:t>
            </w:r>
          </w:p>
          <w:p w:rsidR="00B04AE3" w:rsidRDefault="00B04AE3">
            <w:pPr>
              <w:pStyle w:val="TableParagraph"/>
              <w:spacing w:before="2"/>
              <w:ind w:left="108"/>
              <w:jc w:val="left"/>
              <w:rPr>
                <w:sz w:val="21"/>
              </w:rPr>
            </w:pPr>
            <w:r>
              <w:rPr>
                <w:rFonts w:ascii="Times New Roman" w:eastAsia="Times New Roman"/>
                <w:sz w:val="21"/>
              </w:rPr>
              <w:t>2</w:t>
            </w:r>
            <w:r>
              <w:rPr>
                <w:rFonts w:hint="eastAsia"/>
                <w:sz w:val="21"/>
              </w:rPr>
              <w:t>、经现场确认要求，现场人员无法堵漏，可能产生重大事故的预兆，应根据公司应急预案</w:t>
            </w:r>
          </w:p>
          <w:p w:rsidR="00B04AE3" w:rsidRDefault="00B04AE3">
            <w:pPr>
              <w:pStyle w:val="TableParagraph"/>
              <w:spacing w:before="2" w:line="252" w:lineRule="exact"/>
              <w:ind w:left="108"/>
              <w:jc w:val="left"/>
              <w:rPr>
                <w:sz w:val="21"/>
              </w:rPr>
            </w:pPr>
            <w:r>
              <w:rPr>
                <w:rFonts w:hint="eastAsia"/>
                <w:sz w:val="21"/>
              </w:rPr>
              <w:t>的要求，无关人员撤离现场，应急小分队人员听从公司应急办公室的统一抢险调度。</w:t>
            </w:r>
          </w:p>
        </w:tc>
      </w:tr>
    </w:tbl>
    <w:p w:rsidR="00B04AE3" w:rsidRDefault="00B04AE3">
      <w:pPr>
        <w:pStyle w:val="ListParagraph"/>
        <w:numPr>
          <w:ilvl w:val="3"/>
          <w:numId w:val="30"/>
        </w:numPr>
        <w:tabs>
          <w:tab w:val="left" w:pos="1058"/>
        </w:tabs>
        <w:spacing w:before="2"/>
        <w:rPr>
          <w:b/>
          <w:sz w:val="24"/>
        </w:rPr>
      </w:pPr>
      <w:bookmarkStart w:id="136" w:name="8.3.2.4非正常工况现场处置应急预案"/>
      <w:bookmarkEnd w:id="136"/>
      <w:r>
        <w:rPr>
          <w:rFonts w:hint="eastAsia"/>
          <w:b/>
          <w:sz w:val="24"/>
        </w:rPr>
        <w:t>非正常工况现场处置应急预案</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、开停工、检修首先报告调度室，按岗位操作规程、动火作业规程进行；</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、在开停工及检修过程中突发环境污染事件，首先采取紧急切断措施，切断泄漏源，减少污染排放量；</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、厂区废水、废气安装在线监测系统，当非正常工况下环保治理设施发生故障情况，导致废气中二氧化硫、氮氧化物、粉尘以及污水处理站废水超标排放，</w:t>
      </w:r>
      <w:r>
        <w:rPr>
          <w:spacing w:val="-6"/>
          <w:szCs w:val="22"/>
        </w:rPr>
        <w:t xml:space="preserve"> </w:t>
      </w:r>
      <w:r>
        <w:rPr>
          <w:rFonts w:hint="eastAsia"/>
          <w:spacing w:val="-6"/>
          <w:szCs w:val="22"/>
        </w:rPr>
        <w:t>废气、废水在线监测数据超标，厂区应立即下达停车通知，保证污染治理设施及时修复；停产期间严格检修，确保生产时正常运转。</w:t>
      </w:r>
    </w:p>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、其他照实际情况按照泄漏、燃爆处理。</w:t>
      </w:r>
    </w:p>
    <w:p w:rsidR="00B04AE3" w:rsidRDefault="00B04AE3">
      <w:pPr>
        <w:pStyle w:val="ListParagraph"/>
        <w:numPr>
          <w:ilvl w:val="2"/>
          <w:numId w:val="32"/>
        </w:numPr>
        <w:tabs>
          <w:tab w:val="left" w:pos="878"/>
        </w:tabs>
        <w:spacing w:before="158"/>
        <w:rPr>
          <w:b/>
          <w:sz w:val="24"/>
        </w:rPr>
      </w:pPr>
      <w:bookmarkStart w:id="137" w:name="8.3.3现场应急救援、疏散及隔离"/>
      <w:bookmarkEnd w:id="137"/>
      <w:r>
        <w:rPr>
          <w:rFonts w:hint="eastAsia"/>
          <w:b/>
          <w:sz w:val="24"/>
        </w:rPr>
        <w:t>现场应急救援、疏散及隔离</w:t>
      </w:r>
    </w:p>
    <w:p w:rsidR="00B04AE3" w:rsidRDefault="00B04AE3">
      <w:pPr>
        <w:pStyle w:val="BodyText"/>
        <w:spacing w:before="20" w:line="360" w:lineRule="auto"/>
        <w:ind w:left="334" w:right="334" w:firstLine="482"/>
        <w:jc w:val="both"/>
        <w:rPr>
          <w:spacing w:val="-6"/>
          <w:szCs w:val="22"/>
        </w:rPr>
      </w:pPr>
      <w:r>
        <w:rPr>
          <w:rFonts w:hint="eastAsia"/>
          <w:spacing w:val="-6"/>
          <w:szCs w:val="22"/>
        </w:rPr>
        <w:t>突发环境事件造成人员伤亡时，医疗救援组应立即将伤者救离危险现场，并视受伤类型（外伤、烧伤、中毒）和程度采取相应的抢救措施，情况紧急者立即送往南昌市人民医院。</w:t>
      </w:r>
    </w:p>
    <w:p w:rsidR="00B04AE3" w:rsidRDefault="00B04AE3">
      <w:pPr>
        <w:pStyle w:val="ListParagraph"/>
        <w:numPr>
          <w:ilvl w:val="3"/>
          <w:numId w:val="32"/>
        </w:numPr>
        <w:tabs>
          <w:tab w:val="left" w:pos="1538"/>
        </w:tabs>
        <w:spacing w:line="307" w:lineRule="exact"/>
        <w:rPr>
          <w:b/>
          <w:sz w:val="24"/>
        </w:rPr>
      </w:pPr>
      <w:bookmarkStart w:id="138" w:name="8.3.3.1现场救护"/>
      <w:bookmarkEnd w:id="138"/>
      <w:r>
        <w:rPr>
          <w:rFonts w:hint="eastAsia"/>
          <w:b/>
          <w:sz w:val="24"/>
        </w:rPr>
        <w:t>现场救护</w:t>
      </w:r>
    </w:p>
    <w:p w:rsidR="00B04AE3" w:rsidRDefault="00B04AE3">
      <w:pPr>
        <w:spacing w:before="97"/>
        <w:ind w:left="817"/>
        <w:rPr>
          <w:b/>
          <w:sz w:val="24"/>
        </w:rPr>
      </w:pPr>
      <w:r>
        <w:rPr>
          <w:rFonts w:ascii="Times New Roman" w:eastAsia="Times New Roman"/>
          <w:b/>
          <w:sz w:val="24"/>
        </w:rPr>
        <w:t>1</w:t>
      </w:r>
      <w:r>
        <w:rPr>
          <w:rFonts w:hint="eastAsia"/>
          <w:b/>
          <w:sz w:val="24"/>
        </w:rPr>
        <w:t>、现场急救一般原则</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⑴发生伤亡事故，抢救、急救工作要分秒必争，及时、果断、正确，不得耽误、拖延；</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⑵救护人员进入有毒气体区域必须两人以上分组进行；</w:t>
      </w:r>
    </w:p>
    <w:p w:rsidR="00B04AE3" w:rsidRDefault="00B04AE3">
      <w:pPr>
        <w:pStyle w:val="BodyText"/>
        <w:spacing w:before="20" w:line="360" w:lineRule="auto"/>
        <w:ind w:left="334" w:right="334" w:firstLine="482"/>
        <w:jc w:val="both"/>
        <w:rPr>
          <w:spacing w:val="-6"/>
          <w:szCs w:val="22"/>
        </w:rPr>
      </w:pPr>
      <w:r>
        <w:rPr>
          <w:rFonts w:hint="eastAsia"/>
          <w:spacing w:val="-6"/>
          <w:szCs w:val="22"/>
        </w:rPr>
        <w:t>⑶救护人员必须在确保自身安全的前提下进行救护；</w:t>
      </w:r>
    </w:p>
    <w:p w:rsidR="00B04AE3" w:rsidRDefault="00B04AE3">
      <w:pPr>
        <w:pStyle w:val="BodyText"/>
        <w:spacing w:before="20" w:line="360" w:lineRule="auto"/>
        <w:ind w:left="334" w:right="334" w:firstLine="482"/>
        <w:jc w:val="both"/>
        <w:rPr>
          <w:spacing w:val="-6"/>
          <w:szCs w:val="22"/>
        </w:rPr>
      </w:pPr>
      <w:r>
        <w:rPr>
          <w:rFonts w:hint="eastAsia"/>
          <w:spacing w:val="-6"/>
          <w:szCs w:val="22"/>
        </w:rPr>
        <w:t>⑷救护人员必须听从指挥，了解中毒物质及现场情况，防护器具佩戴齐全；</w:t>
      </w:r>
    </w:p>
    <w:p w:rsidR="00B04AE3" w:rsidRDefault="00B04AE3">
      <w:pPr>
        <w:pStyle w:val="BodyText"/>
        <w:spacing w:before="20" w:line="360" w:lineRule="auto"/>
        <w:ind w:left="334" w:right="334" w:firstLine="482"/>
        <w:jc w:val="both"/>
        <w:rPr>
          <w:spacing w:val="-6"/>
          <w:szCs w:val="22"/>
        </w:rPr>
      </w:pPr>
      <w:r>
        <w:rPr>
          <w:rFonts w:hint="eastAsia"/>
          <w:spacing w:val="-6"/>
          <w:szCs w:val="22"/>
        </w:rPr>
        <w:t>⑸迅速将伤员抬离现场，搬运方法要正确；</w:t>
      </w:r>
    </w:p>
    <w:p w:rsidR="00B04AE3" w:rsidRDefault="00B04AE3">
      <w:pPr>
        <w:spacing w:before="160" w:line="362" w:lineRule="auto"/>
        <w:ind w:left="817" w:right="5879"/>
        <w:rPr>
          <w:b/>
          <w:sz w:val="24"/>
        </w:rPr>
      </w:pPr>
      <w:r>
        <w:rPr>
          <w:rFonts w:ascii="Times New Roman" w:eastAsia="Times New Roman"/>
          <w:b/>
          <w:sz w:val="24"/>
        </w:rPr>
        <w:t>2</w:t>
      </w:r>
      <w:r>
        <w:rPr>
          <w:rFonts w:hint="eastAsia"/>
          <w:b/>
          <w:sz w:val="24"/>
        </w:rPr>
        <w:t>、烧伤时的急救处置轻度烧伤处理</w:t>
      </w:r>
    </w:p>
    <w:p w:rsidR="00B04AE3" w:rsidRDefault="00B04AE3">
      <w:pPr>
        <w:pStyle w:val="BodyText"/>
        <w:spacing w:before="20" w:line="360" w:lineRule="auto"/>
        <w:ind w:left="334" w:right="334" w:firstLine="482"/>
        <w:jc w:val="both"/>
        <w:rPr>
          <w:spacing w:val="-6"/>
          <w:szCs w:val="22"/>
        </w:rPr>
      </w:pPr>
      <w:r>
        <w:rPr>
          <w:rFonts w:hint="eastAsia"/>
          <w:spacing w:val="-6"/>
          <w:szCs w:val="22"/>
        </w:rPr>
        <w:t>⑴用冷水冲洗，或将烧伤部位泡在冷水里，直至不感到疼痛和灼热为止。不宜浸泡部位可用冷敷法，借以减轻疼痛，抑制伤势的发展。</w:t>
      </w:r>
    </w:p>
    <w:p w:rsidR="00B04AE3" w:rsidRDefault="00B04AE3">
      <w:pPr>
        <w:pStyle w:val="BodyText"/>
        <w:spacing w:before="20" w:line="360" w:lineRule="auto"/>
        <w:ind w:left="334" w:right="334" w:firstLine="482"/>
        <w:jc w:val="both"/>
        <w:rPr>
          <w:spacing w:val="-6"/>
          <w:szCs w:val="22"/>
        </w:rPr>
      </w:pPr>
      <w:r>
        <w:rPr>
          <w:rFonts w:hint="eastAsia"/>
          <w:spacing w:val="-6"/>
          <w:szCs w:val="22"/>
        </w:rPr>
        <w:t>⑵烧烫伤时穿着的衣服，要在冷水冲洗后用剪刀剪除。用清水冲洗后，</w:t>
      </w:r>
      <w:r>
        <w:rPr>
          <w:spacing w:val="-6"/>
          <w:szCs w:val="22"/>
        </w:rPr>
        <w:t xml:space="preserve"> </w:t>
      </w:r>
      <w:r>
        <w:rPr>
          <w:rFonts w:hint="eastAsia"/>
          <w:spacing w:val="-6"/>
          <w:szCs w:val="22"/>
        </w:rPr>
        <w:t>搌干，局部涂各种烫伤膏（市售），无需包扎。</w:t>
      </w:r>
    </w:p>
    <w:p w:rsidR="00B04AE3" w:rsidRDefault="00B04AE3">
      <w:pPr>
        <w:pStyle w:val="BodyText"/>
        <w:spacing w:before="20" w:line="360" w:lineRule="auto"/>
        <w:ind w:left="334" w:right="334" w:firstLine="482"/>
        <w:jc w:val="both"/>
        <w:rPr>
          <w:spacing w:val="-6"/>
          <w:szCs w:val="22"/>
        </w:rPr>
      </w:pPr>
      <w:r>
        <w:rPr>
          <w:rFonts w:hint="eastAsia"/>
          <w:spacing w:val="-6"/>
          <w:szCs w:val="22"/>
        </w:rPr>
        <w:t>⑶不要把水疱挤破。当水疱过大时可用缝衣针（火灼烧几秒钟或用</w:t>
      </w:r>
      <w:r>
        <w:rPr>
          <w:spacing w:val="-6"/>
          <w:szCs w:val="22"/>
        </w:rPr>
        <w:t xml:space="preserve"> 60 </w:t>
      </w:r>
      <w:r>
        <w:rPr>
          <w:rFonts w:hint="eastAsia"/>
          <w:spacing w:val="-6"/>
          <w:szCs w:val="22"/>
        </w:rPr>
        <w:t>度白酒、</w:t>
      </w:r>
      <w:r>
        <w:rPr>
          <w:spacing w:val="-6"/>
          <w:szCs w:val="22"/>
        </w:rPr>
        <w:t>75</w:t>
      </w:r>
      <w:r>
        <w:rPr>
          <w:rFonts w:hint="eastAsia"/>
          <w:spacing w:val="-6"/>
          <w:szCs w:val="22"/>
        </w:rPr>
        <w:t>％酒精消毒后）刺破水疱，慢慢放出疱液，但切忌剪除表皮。</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⑷创面冲洗搌干后，涂上烫伤膏。可不用包扎或用干净布覆盖。</w:t>
      </w:r>
    </w:p>
    <w:p w:rsidR="00B04AE3" w:rsidRDefault="00B04AE3">
      <w:pPr>
        <w:pStyle w:val="ListParagraph"/>
        <w:tabs>
          <w:tab w:val="left" w:pos="1419"/>
        </w:tabs>
        <w:spacing w:before="5" w:line="362" w:lineRule="auto"/>
        <w:ind w:left="817" w:right="1086" w:firstLine="0"/>
        <w:rPr>
          <w:b/>
          <w:sz w:val="24"/>
        </w:rPr>
      </w:pPr>
      <w:r>
        <w:rPr>
          <w:b/>
          <w:sz w:val="24"/>
          <w:lang w:val="en-US"/>
        </w:rPr>
        <w:t>3</w:t>
      </w:r>
      <w:r>
        <w:rPr>
          <w:rFonts w:hint="eastAsia"/>
          <w:b/>
          <w:sz w:val="24"/>
          <w:lang w:val="en-US"/>
        </w:rPr>
        <w:t>、</w:t>
      </w:r>
      <w:r>
        <w:rPr>
          <w:rFonts w:hint="eastAsia"/>
          <w:b/>
          <w:sz w:val="24"/>
        </w:rPr>
        <w:t>较严重的烧伤</w:t>
      </w:r>
    </w:p>
    <w:p w:rsidR="00B04AE3" w:rsidRDefault="00B04AE3">
      <w:pPr>
        <w:pStyle w:val="BodyText"/>
        <w:spacing w:before="20" w:line="360" w:lineRule="auto"/>
        <w:ind w:left="334" w:right="334" w:firstLine="482"/>
        <w:jc w:val="both"/>
        <w:rPr>
          <w:spacing w:val="-6"/>
          <w:szCs w:val="22"/>
        </w:rPr>
      </w:pPr>
      <w:r>
        <w:rPr>
          <w:rFonts w:hint="eastAsia"/>
          <w:spacing w:val="-6"/>
          <w:szCs w:val="22"/>
        </w:rPr>
        <w:t>⑴救护病人尽快安全脱离失火现场。</w:t>
      </w:r>
    </w:p>
    <w:p w:rsidR="00B04AE3" w:rsidRDefault="00B04AE3">
      <w:pPr>
        <w:pStyle w:val="BodyText"/>
        <w:spacing w:before="20" w:line="360" w:lineRule="auto"/>
        <w:ind w:left="334" w:right="334" w:firstLine="482"/>
        <w:jc w:val="both"/>
        <w:rPr>
          <w:spacing w:val="-6"/>
          <w:szCs w:val="22"/>
        </w:rPr>
      </w:pPr>
      <w:r>
        <w:rPr>
          <w:rFonts w:hint="eastAsia"/>
          <w:spacing w:val="-6"/>
          <w:szCs w:val="22"/>
        </w:rPr>
        <w:t>⑵用冷水冲洗或浸泡、冷却烧伤部位，以降低皮肤温度。可用水管冲或将干净的布单浸上冷水进行冷敷。</w:t>
      </w:r>
    </w:p>
    <w:p w:rsidR="00B04AE3" w:rsidRDefault="00B04AE3">
      <w:pPr>
        <w:pStyle w:val="BodyText"/>
        <w:spacing w:before="20" w:line="360" w:lineRule="auto"/>
        <w:ind w:left="334" w:right="334" w:firstLine="482"/>
        <w:jc w:val="both"/>
        <w:rPr>
          <w:spacing w:val="-6"/>
          <w:szCs w:val="22"/>
        </w:rPr>
      </w:pPr>
      <w:r>
        <w:rPr>
          <w:rFonts w:hint="eastAsia"/>
          <w:spacing w:val="-6"/>
          <w:szCs w:val="22"/>
        </w:rPr>
        <w:t>⑶清除呼吸道的异物，保持呼吸道通畅；呼吸道烧伤易发生窒息，要高度警惕。一旦发生窒息或呼吸停止，立即进行心肺复苏。</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⑷妥善保护创面：用干净的纱布、被单、衣服覆盖在创面上，或包好后用衣夹固定。尽量不要弄破水疱，以保护表皮。</w:t>
      </w:r>
    </w:p>
    <w:p w:rsidR="00B04AE3" w:rsidRDefault="00B04AE3">
      <w:pPr>
        <w:pStyle w:val="BodyText"/>
        <w:spacing w:before="20" w:line="360" w:lineRule="auto"/>
        <w:ind w:left="334" w:right="334" w:firstLine="482"/>
        <w:jc w:val="both"/>
        <w:rPr>
          <w:spacing w:val="-6"/>
          <w:szCs w:val="22"/>
        </w:rPr>
      </w:pPr>
      <w:r>
        <w:rPr>
          <w:rFonts w:hint="eastAsia"/>
          <w:spacing w:val="-6"/>
          <w:szCs w:val="22"/>
        </w:rPr>
        <w:t>⑸尽快送往医院进一步治疗。</w:t>
      </w:r>
    </w:p>
    <w:p w:rsidR="00B04AE3" w:rsidRDefault="00B04AE3">
      <w:pPr>
        <w:pStyle w:val="ListParagraph"/>
        <w:numPr>
          <w:ilvl w:val="3"/>
          <w:numId w:val="32"/>
        </w:numPr>
        <w:tabs>
          <w:tab w:val="left" w:pos="1538"/>
        </w:tabs>
        <w:spacing w:before="161"/>
        <w:rPr>
          <w:b/>
          <w:sz w:val="24"/>
        </w:rPr>
      </w:pPr>
      <w:r>
        <w:rPr>
          <w:rFonts w:hint="eastAsia"/>
          <w:b/>
          <w:sz w:val="24"/>
        </w:rPr>
        <w:t>医院救治</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应急救援应指定医疗救护单位，预案启动后，根据事故性质和规模，由厂应急指挥部决定是否通知医疗单位来人进行现场救护，医院应急室接到报警电话后，应询问事故发生详细地点和人员受伤情况，带足急救药品后，以最快的时间和最捷径的路线赶到事故地点。</w:t>
      </w:r>
    </w:p>
    <w:p w:rsidR="00B04AE3" w:rsidRDefault="00B04AE3">
      <w:pPr>
        <w:pStyle w:val="ListParagraph"/>
        <w:numPr>
          <w:ilvl w:val="3"/>
          <w:numId w:val="32"/>
        </w:numPr>
        <w:tabs>
          <w:tab w:val="left" w:pos="1538"/>
        </w:tabs>
        <w:spacing w:before="160"/>
        <w:rPr>
          <w:b/>
          <w:sz w:val="24"/>
        </w:rPr>
      </w:pPr>
      <w:bookmarkStart w:id="139" w:name="8.3.3.3紧急撤离、疏散"/>
      <w:bookmarkEnd w:id="139"/>
      <w:r>
        <w:rPr>
          <w:rFonts w:hint="eastAsia"/>
          <w:b/>
          <w:sz w:val="24"/>
        </w:rPr>
        <w:t>紧急撤离、疏散</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、警戒疏散</w:t>
      </w:r>
    </w:p>
    <w:p w:rsidR="00B04AE3" w:rsidRDefault="00B04AE3">
      <w:pPr>
        <w:pStyle w:val="BodyText"/>
        <w:spacing w:before="20" w:line="360" w:lineRule="auto"/>
        <w:ind w:left="334" w:right="334" w:firstLine="482"/>
        <w:jc w:val="both"/>
        <w:rPr>
          <w:spacing w:val="-6"/>
          <w:szCs w:val="22"/>
        </w:rPr>
      </w:pPr>
      <w:r>
        <w:rPr>
          <w:rFonts w:hint="eastAsia"/>
          <w:spacing w:val="-6"/>
          <w:szCs w:val="22"/>
        </w:rPr>
        <w:t>当发生火灾、爆炸、危险品泄漏等事故时，应急抢险组应立即警戒事故现场，</w:t>
      </w:r>
      <w:r>
        <w:rPr>
          <w:spacing w:val="-6"/>
          <w:szCs w:val="22"/>
        </w:rPr>
        <w:t xml:space="preserve"> </w:t>
      </w:r>
      <w:r>
        <w:rPr>
          <w:rFonts w:hint="eastAsia"/>
          <w:spacing w:val="-6"/>
          <w:szCs w:val="22"/>
        </w:rPr>
        <w:t>并打开最近通道，当消防车辆到达后，引导消防车辆进入事故现场，同时，禁止无关人员进入事故现场，组织与施救无关人员到安全地带。事故现场周围采用醒目隔离带围挡，严禁无关群众进入事故现场。</w:t>
      </w:r>
    </w:p>
    <w:p w:rsidR="00B04AE3" w:rsidRDefault="00B04AE3">
      <w:pPr>
        <w:pStyle w:val="BodyText"/>
        <w:spacing w:before="20" w:line="360" w:lineRule="auto"/>
        <w:ind w:left="334" w:right="334" w:firstLine="482"/>
        <w:jc w:val="both"/>
        <w:rPr>
          <w:spacing w:val="-6"/>
          <w:szCs w:val="22"/>
        </w:rPr>
      </w:pPr>
      <w:r>
        <w:rPr>
          <w:rFonts w:hint="eastAsia"/>
          <w:spacing w:val="-6"/>
          <w:szCs w:val="22"/>
        </w:rPr>
        <w:t>在运输途中发生泄漏，车辆驾驶员、押运员配带防毒面具，将车辆开到无人的偏僻处进行处理，禁止停留在人口密集或交通要道区域，并严禁无关人员靠近，</w:t>
      </w:r>
      <w:r>
        <w:rPr>
          <w:spacing w:val="-6"/>
          <w:szCs w:val="22"/>
        </w:rPr>
        <w:t xml:space="preserve"> </w:t>
      </w:r>
      <w:r>
        <w:rPr>
          <w:rFonts w:hint="eastAsia"/>
          <w:spacing w:val="-6"/>
          <w:szCs w:val="22"/>
        </w:rPr>
        <w:t>立即拨打当地消防电话进行应急救援。</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、现场人员清点</w:t>
      </w:r>
    </w:p>
    <w:p w:rsidR="00B04AE3" w:rsidRDefault="00B04AE3">
      <w:pPr>
        <w:pStyle w:val="BodyText"/>
        <w:spacing w:before="20" w:line="360" w:lineRule="auto"/>
        <w:ind w:left="334" w:right="334" w:firstLine="482"/>
        <w:jc w:val="both"/>
        <w:rPr>
          <w:spacing w:val="-6"/>
          <w:szCs w:val="22"/>
        </w:rPr>
      </w:pPr>
      <w:r>
        <w:rPr>
          <w:rFonts w:hint="eastAsia"/>
          <w:spacing w:val="-6"/>
          <w:szCs w:val="22"/>
        </w:rPr>
        <w:t>除应急救援人员在做好自身防护情况下进入危险区域外，其余人员应立即撤出。现场人员清点方式为：由各班组长负责清点本班人员，清点结果向各车间主任或副主任汇总，然后由各车间主任向应急指挥部报告。</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、撤离方式、逃生路线</w:t>
      </w:r>
    </w:p>
    <w:p w:rsidR="00B04AE3" w:rsidRDefault="00B04AE3">
      <w:pPr>
        <w:pStyle w:val="BodyText"/>
        <w:spacing w:before="20" w:line="360" w:lineRule="auto"/>
        <w:ind w:left="334" w:right="334" w:firstLine="482"/>
        <w:jc w:val="both"/>
        <w:rPr>
          <w:spacing w:val="-6"/>
          <w:szCs w:val="22"/>
        </w:rPr>
      </w:pPr>
      <w:r>
        <w:rPr>
          <w:rFonts w:hint="eastAsia"/>
          <w:spacing w:val="-6"/>
          <w:szCs w:val="22"/>
        </w:rPr>
        <w:t>发生严重事故情况下，应急指挥部下达撤离事故现场的命令后，各班组成员应在班组长带领下，在应急抢险组指挥下，有序撤离，撤离过程严格按指定逃生路线撤离，服从指挥，以便在发生意外时，可以进行及时有效的救治，缩短抢救人员的救援时间。</w:t>
      </w:r>
    </w:p>
    <w:p w:rsidR="00B04AE3" w:rsidRDefault="00B04AE3">
      <w:pPr>
        <w:pStyle w:val="BodyText"/>
        <w:spacing w:before="20" w:line="360" w:lineRule="auto"/>
        <w:ind w:left="334" w:right="334" w:firstLine="482"/>
        <w:jc w:val="both"/>
        <w:rPr>
          <w:spacing w:val="-6"/>
          <w:szCs w:val="22"/>
        </w:rPr>
      </w:pPr>
      <w:r>
        <w:rPr>
          <w:rFonts w:hint="eastAsia"/>
          <w:spacing w:val="-6"/>
          <w:szCs w:val="22"/>
        </w:rPr>
        <w:t>波及范围内主要为本公司及邻近公司职工，应急抢险组组应根据事发时当地的气象、地理环境、人员密集度等，确定疏散方向，疏散时需要用毛巾、衣物等沾湿护住嘴鼻过滤毒气，事故发生时按照疏散路线向发生时上风向疏散。</w:t>
      </w:r>
    </w:p>
    <w:p w:rsidR="00B04AE3" w:rsidRDefault="00B04AE3">
      <w:pPr>
        <w:pStyle w:val="BodyText"/>
        <w:spacing w:before="20" w:line="360" w:lineRule="auto"/>
        <w:ind w:left="334" w:right="334" w:firstLine="482"/>
        <w:jc w:val="both"/>
        <w:rPr>
          <w:spacing w:val="-6"/>
          <w:szCs w:val="22"/>
        </w:rPr>
      </w:pPr>
      <w:r>
        <w:rPr>
          <w:rFonts w:hint="eastAsia"/>
          <w:spacing w:val="-6"/>
          <w:szCs w:val="22"/>
        </w:rPr>
        <w:t>在上风向隔离范围外设立紧急避难场所，紧急避难所应选择在地势平坦、交通方便、通风条件好的地方，以便事故扩大时及时转移群众。</w:t>
      </w:r>
    </w:p>
    <w:p w:rsidR="00B04AE3" w:rsidRDefault="00B04AE3">
      <w:pPr>
        <w:pStyle w:val="ListParagraph"/>
        <w:numPr>
          <w:ilvl w:val="3"/>
          <w:numId w:val="32"/>
        </w:numPr>
        <w:tabs>
          <w:tab w:val="left" w:pos="1538"/>
        </w:tabs>
        <w:spacing w:line="306" w:lineRule="exact"/>
        <w:rPr>
          <w:b/>
          <w:sz w:val="24"/>
        </w:rPr>
      </w:pPr>
      <w:bookmarkStart w:id="140" w:name="8.3.3.4危险区的隔离"/>
      <w:bookmarkEnd w:id="140"/>
      <w:r>
        <w:rPr>
          <w:rFonts w:hint="eastAsia"/>
          <w:b/>
          <w:sz w:val="24"/>
        </w:rPr>
        <w:t>危险区的隔离</w:t>
      </w:r>
    </w:p>
    <w:p w:rsidR="00B04AE3" w:rsidRDefault="00B04AE3">
      <w:pPr>
        <w:pStyle w:val="BodyText"/>
        <w:spacing w:before="20" w:line="360" w:lineRule="auto"/>
        <w:ind w:left="334" w:right="334" w:firstLine="482"/>
        <w:jc w:val="both"/>
        <w:rPr>
          <w:spacing w:val="-6"/>
          <w:szCs w:val="22"/>
        </w:rPr>
      </w:pPr>
      <w:bookmarkStart w:id="141" w:name="_bookmark34"/>
      <w:bookmarkEnd w:id="141"/>
      <w:r>
        <w:rPr>
          <w:spacing w:val="-6"/>
          <w:szCs w:val="22"/>
        </w:rPr>
        <w:t>1</w:t>
      </w:r>
      <w:r>
        <w:rPr>
          <w:rFonts w:hint="eastAsia"/>
          <w:spacing w:val="-6"/>
          <w:szCs w:val="22"/>
        </w:rPr>
        <w:t>、危险区的设定：发生事故的原料仓库区及生产装置区、罐区为危险区；</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、事故现场隔离区划定：事故发生后，根据对人体威胁程度划定隔离区；</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、事故现场隔离方法：在主要道路或出入口利用围绳或警戒带的方法进行隔离；</w:t>
      </w:r>
    </w:p>
    <w:p w:rsidR="00B04AE3" w:rsidRDefault="00B04AE3">
      <w:pPr>
        <w:pStyle w:val="BodyText"/>
        <w:spacing w:before="20" w:line="360" w:lineRule="auto"/>
        <w:ind w:left="334" w:right="334" w:firstLine="482"/>
        <w:jc w:val="both"/>
        <w:rPr>
          <w:spacing w:val="-6"/>
          <w:szCs w:val="22"/>
        </w:rPr>
      </w:pPr>
      <w:bookmarkStart w:id="142" w:name="4、事故现场周边区域的道路隔离：设置警示牌进行隔离。"/>
      <w:bookmarkEnd w:id="142"/>
      <w:r>
        <w:rPr>
          <w:spacing w:val="-6"/>
          <w:szCs w:val="22"/>
        </w:rPr>
        <w:t>4</w:t>
      </w:r>
      <w:r>
        <w:rPr>
          <w:rFonts w:hint="eastAsia"/>
          <w:spacing w:val="-6"/>
          <w:szCs w:val="22"/>
        </w:rPr>
        <w:t>、事故现场周边区域的道路隔离：设置警示牌进行隔离。</w:t>
      </w:r>
    </w:p>
    <w:p w:rsidR="00B04AE3" w:rsidRDefault="00B04AE3">
      <w:pPr>
        <w:pStyle w:val="ListParagraph"/>
        <w:numPr>
          <w:ilvl w:val="3"/>
          <w:numId w:val="32"/>
        </w:numPr>
        <w:tabs>
          <w:tab w:val="left" w:pos="1058"/>
        </w:tabs>
        <w:spacing w:before="97"/>
        <w:ind w:left="1057"/>
        <w:rPr>
          <w:b/>
          <w:sz w:val="24"/>
        </w:rPr>
      </w:pPr>
      <w:bookmarkStart w:id="143" w:name="8.3.3.5应急救援时注意事项"/>
      <w:bookmarkEnd w:id="143"/>
      <w:r>
        <w:rPr>
          <w:rFonts w:hint="eastAsia"/>
          <w:b/>
          <w:w w:val="95"/>
          <w:sz w:val="24"/>
        </w:rPr>
        <w:t>应急救援时注意事项</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、佩戴个人防护器具方面的注意事项</w:t>
      </w:r>
    </w:p>
    <w:p w:rsidR="00B04AE3" w:rsidRDefault="00B04AE3">
      <w:pPr>
        <w:pStyle w:val="BodyText"/>
        <w:spacing w:before="20" w:line="360" w:lineRule="auto"/>
        <w:ind w:left="334" w:right="334" w:firstLine="482"/>
        <w:jc w:val="both"/>
        <w:rPr>
          <w:spacing w:val="-6"/>
          <w:szCs w:val="22"/>
        </w:rPr>
      </w:pPr>
      <w:r>
        <w:rPr>
          <w:rFonts w:hint="eastAsia"/>
          <w:spacing w:val="-6"/>
          <w:szCs w:val="22"/>
        </w:rPr>
        <w:t>⑴首先检查防护器具是否完好，发现不合格及时调换；</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⑵正确熟练使用防护器具；</w:t>
      </w:r>
    </w:p>
    <w:p w:rsidR="00B04AE3" w:rsidRDefault="00B04AE3">
      <w:pPr>
        <w:pStyle w:val="BodyText"/>
        <w:spacing w:before="20" w:line="360" w:lineRule="auto"/>
        <w:ind w:left="334" w:right="334" w:firstLine="482"/>
        <w:jc w:val="both"/>
        <w:rPr>
          <w:spacing w:val="-6"/>
          <w:szCs w:val="22"/>
        </w:rPr>
      </w:pPr>
      <w:r>
        <w:rPr>
          <w:rFonts w:hint="eastAsia"/>
          <w:spacing w:val="-6"/>
          <w:szCs w:val="22"/>
        </w:rPr>
        <w:t>⑶使用防毒面具处理事故时，不能长时间使用。选用的防毒面具必须经过定期检测，各单位严格执行《劳动防护用品管理标准》。</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、使用抢险救援器材方面的注意事项</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⑴各类救援器材严格按照标准存放，规定专人管理、定期保养维护并记录；</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⑵各类防护器具必须经检测合格；</w:t>
      </w:r>
    </w:p>
    <w:p w:rsidR="00B04AE3" w:rsidRDefault="00B04AE3">
      <w:pPr>
        <w:pStyle w:val="BodyText"/>
        <w:spacing w:before="20" w:line="360" w:lineRule="auto"/>
        <w:ind w:left="334" w:right="334" w:firstLine="482"/>
        <w:jc w:val="both"/>
        <w:rPr>
          <w:spacing w:val="-6"/>
          <w:szCs w:val="22"/>
        </w:rPr>
      </w:pPr>
      <w:r>
        <w:rPr>
          <w:rFonts w:hint="eastAsia"/>
          <w:spacing w:val="-6"/>
          <w:szCs w:val="22"/>
        </w:rPr>
        <w:t>⑶所有人员必须能够正确使用应急救援器材。</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、采取救援对策或措施方面的注意事项</w:t>
      </w:r>
    </w:p>
    <w:p w:rsidR="00B04AE3" w:rsidRDefault="00B04AE3">
      <w:pPr>
        <w:pStyle w:val="BodyText"/>
        <w:spacing w:before="20" w:line="360" w:lineRule="auto"/>
        <w:ind w:left="334" w:right="334" w:firstLine="482"/>
        <w:jc w:val="both"/>
        <w:rPr>
          <w:spacing w:val="-6"/>
          <w:szCs w:val="22"/>
        </w:rPr>
      </w:pPr>
      <w:r>
        <w:rPr>
          <w:rFonts w:hint="eastAsia"/>
          <w:spacing w:val="-6"/>
          <w:szCs w:val="22"/>
        </w:rPr>
        <w:t>⑴生产岗位出现紧急情况时，严格按照《操作规程》的规定进行处理，</w:t>
      </w:r>
      <w:r>
        <w:rPr>
          <w:spacing w:val="-6"/>
          <w:szCs w:val="22"/>
        </w:rPr>
        <w:t xml:space="preserve"> </w:t>
      </w:r>
      <w:r>
        <w:rPr>
          <w:rFonts w:hint="eastAsia"/>
          <w:spacing w:val="-6"/>
          <w:szCs w:val="22"/>
        </w:rPr>
        <w:t>操作规程不能体现的，要及时汇报班组长（主操作）、和车间主任、生产部长；</w:t>
      </w:r>
    </w:p>
    <w:p w:rsidR="00B04AE3" w:rsidRDefault="00B04AE3">
      <w:pPr>
        <w:pStyle w:val="BodyText"/>
        <w:spacing w:before="20" w:line="360" w:lineRule="auto"/>
        <w:ind w:left="334" w:right="334" w:firstLine="482"/>
        <w:jc w:val="both"/>
        <w:rPr>
          <w:spacing w:val="-6"/>
          <w:szCs w:val="22"/>
        </w:rPr>
      </w:pPr>
      <w:r>
        <w:rPr>
          <w:rFonts w:hint="eastAsia"/>
          <w:spacing w:val="-6"/>
          <w:szCs w:val="22"/>
        </w:rPr>
        <w:t>⑵遵守“先救人，后救物；先重点，后一般”的原则。</w:t>
      </w:r>
    </w:p>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、现场自救和互救注意事项</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⑴处理泄漏事故进行救人和堵漏时，必须安排两人以上进行作业；</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⑵无关人员尽量撤离现场，防止发生次生灾害。了解现场情况，防止事故扩大；</w:t>
      </w:r>
    </w:p>
    <w:p w:rsidR="00B04AE3" w:rsidRDefault="00B04AE3">
      <w:pPr>
        <w:pStyle w:val="BodyText"/>
        <w:spacing w:before="20" w:line="360" w:lineRule="auto"/>
        <w:ind w:left="334" w:right="334" w:firstLine="482"/>
        <w:jc w:val="both"/>
        <w:rPr>
          <w:spacing w:val="-6"/>
          <w:szCs w:val="22"/>
        </w:rPr>
      </w:pPr>
      <w:r>
        <w:rPr>
          <w:rFonts w:hint="eastAsia"/>
          <w:spacing w:val="-6"/>
          <w:szCs w:val="22"/>
        </w:rPr>
        <w:t>⑶保护好现场伤员，防止伤员二次受伤，现场有条件的立即现场进行抢救，条件不具备的由公司救护组送南昌市人民医院就医。</w:t>
      </w:r>
    </w:p>
    <w:p w:rsidR="00B04AE3" w:rsidRDefault="00B04AE3">
      <w:pPr>
        <w:pStyle w:val="BodyText"/>
        <w:spacing w:before="20" w:line="360" w:lineRule="auto"/>
        <w:ind w:left="334" w:right="334" w:firstLine="482"/>
        <w:jc w:val="both"/>
        <w:rPr>
          <w:spacing w:val="-6"/>
          <w:szCs w:val="22"/>
        </w:rPr>
      </w:pPr>
      <w:r>
        <w:rPr>
          <w:spacing w:val="-6"/>
          <w:szCs w:val="22"/>
        </w:rPr>
        <w:t>5</w:t>
      </w:r>
      <w:r>
        <w:rPr>
          <w:rFonts w:hint="eastAsia"/>
          <w:spacing w:val="-6"/>
          <w:szCs w:val="22"/>
        </w:rPr>
        <w:t>、现场应急处置能力确认和人员安全防护注意事项</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⑴应急处理时，优先选用专业人员或经过专门培训的人员；</w:t>
      </w:r>
    </w:p>
    <w:p w:rsidR="00B04AE3" w:rsidRDefault="00B04AE3">
      <w:pPr>
        <w:pStyle w:val="BodyText"/>
        <w:spacing w:before="20" w:line="360" w:lineRule="auto"/>
        <w:ind w:left="334" w:right="334" w:firstLine="482"/>
        <w:jc w:val="both"/>
        <w:rPr>
          <w:spacing w:val="-6"/>
          <w:szCs w:val="22"/>
        </w:rPr>
      </w:pPr>
      <w:r>
        <w:rPr>
          <w:rFonts w:hint="eastAsia"/>
          <w:spacing w:val="-6"/>
          <w:szCs w:val="22"/>
        </w:rPr>
        <w:t>⑵严格落实各类监护措施，明确监护人责任，不得离开现场；</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⑶参与救援人员认为防护不到位，且不能解决的问题不得参与抢险。</w:t>
      </w:r>
    </w:p>
    <w:p w:rsidR="00B04AE3" w:rsidRDefault="00B04AE3">
      <w:pPr>
        <w:pStyle w:val="BodyText"/>
        <w:spacing w:before="20" w:line="360" w:lineRule="auto"/>
        <w:ind w:left="334" w:right="334" w:firstLine="482"/>
        <w:jc w:val="both"/>
        <w:rPr>
          <w:spacing w:val="-6"/>
          <w:szCs w:val="22"/>
        </w:rPr>
      </w:pPr>
      <w:r>
        <w:rPr>
          <w:spacing w:val="-6"/>
          <w:szCs w:val="22"/>
        </w:rPr>
        <w:t>6</w:t>
      </w:r>
      <w:r>
        <w:rPr>
          <w:rFonts w:hint="eastAsia"/>
          <w:spacing w:val="-6"/>
          <w:szCs w:val="22"/>
        </w:rPr>
        <w:t>、应急救援结束后的注意事项</w:t>
      </w:r>
    </w:p>
    <w:p w:rsidR="00B04AE3" w:rsidRDefault="00B04AE3">
      <w:pPr>
        <w:pStyle w:val="BodyText"/>
        <w:spacing w:before="20" w:line="360" w:lineRule="auto"/>
        <w:ind w:left="334" w:right="334" w:firstLine="482"/>
        <w:jc w:val="both"/>
        <w:rPr>
          <w:spacing w:val="-6"/>
          <w:szCs w:val="22"/>
        </w:rPr>
      </w:pPr>
      <w:r>
        <w:rPr>
          <w:rFonts w:hint="eastAsia"/>
          <w:spacing w:val="-6"/>
          <w:szCs w:val="22"/>
        </w:rPr>
        <w:t>在确定各项应急救援工作结束时，由总指挥宣布应急救援工作结束清点人员后，留有专人巡视事故现场防止遗留隐患问题。</w:t>
      </w:r>
    </w:p>
    <w:p w:rsidR="00B04AE3" w:rsidRDefault="00B04AE3">
      <w:pPr>
        <w:pStyle w:val="BodyText"/>
        <w:spacing w:before="20" w:line="360" w:lineRule="auto"/>
        <w:ind w:left="334" w:right="334" w:firstLine="482"/>
        <w:jc w:val="both"/>
      </w:pPr>
      <w:r>
        <w:rPr>
          <w:spacing w:val="-6"/>
          <w:szCs w:val="22"/>
        </w:rPr>
        <w:t>7</w:t>
      </w:r>
      <w:bookmarkStart w:id="144" w:name="7、其他需要特别警示的事项：严格服从指挥部的指挥，做好救援工作。"/>
      <w:bookmarkEnd w:id="144"/>
      <w:r>
        <w:rPr>
          <w:rFonts w:hint="eastAsia"/>
          <w:spacing w:val="-6"/>
          <w:szCs w:val="22"/>
        </w:rPr>
        <w:t>、其他需要特别警示的事项：严格服从指挥部的指挥，做好救援工作</w:t>
      </w:r>
      <w:r>
        <w:rPr>
          <w:rFonts w:hint="eastAsia"/>
        </w:rPr>
        <w:t>。</w:t>
      </w:r>
    </w:p>
    <w:p w:rsidR="00B04AE3" w:rsidRDefault="00B04AE3">
      <w:pPr>
        <w:pStyle w:val="ListParagraph"/>
        <w:numPr>
          <w:ilvl w:val="3"/>
          <w:numId w:val="32"/>
        </w:numPr>
        <w:tabs>
          <w:tab w:val="left" w:pos="1058"/>
        </w:tabs>
        <w:spacing w:before="160"/>
        <w:ind w:left="1057"/>
        <w:rPr>
          <w:b/>
          <w:sz w:val="24"/>
        </w:rPr>
      </w:pPr>
      <w:bookmarkStart w:id="145" w:name="8.3.3.6应急人员的安全防护"/>
      <w:bookmarkEnd w:id="145"/>
      <w:r>
        <w:rPr>
          <w:rFonts w:hint="eastAsia"/>
          <w:b/>
          <w:sz w:val="24"/>
        </w:rPr>
        <w:t>应急人员的安全防护</w:t>
      </w:r>
    </w:p>
    <w:p w:rsidR="00B04AE3" w:rsidRDefault="00B04AE3">
      <w:pPr>
        <w:pStyle w:val="BodyText"/>
        <w:spacing w:before="20" w:line="360" w:lineRule="auto"/>
        <w:ind w:left="334" w:right="334" w:firstLine="482"/>
        <w:jc w:val="both"/>
        <w:rPr>
          <w:spacing w:val="-6"/>
          <w:szCs w:val="22"/>
        </w:rPr>
      </w:pPr>
      <w:r>
        <w:rPr>
          <w:rFonts w:hint="eastAsia"/>
          <w:spacing w:val="-6"/>
          <w:szCs w:val="22"/>
        </w:rPr>
        <w:t>现场处置人员应根据环境事故的特点，配备相应的专业防护装备，采取安全防护措施，穿戴防护服、佩戴防毒面具等，严格执行应急人员出入事发现场程序。事故安全防护措施有以下几种：呼吸系统防护；佩戴过滤式防毒面具。紧急事态抢救或逃生时，建议配备正压式呼吸器、穿工作服（防腐材料制作）、戴橡胶手套等。</w:t>
      </w:r>
    </w:p>
    <w:p w:rsidR="00B04AE3" w:rsidRDefault="00B04AE3">
      <w:pPr>
        <w:pStyle w:val="ListParagraph"/>
        <w:numPr>
          <w:ilvl w:val="1"/>
          <w:numId w:val="33"/>
        </w:numPr>
        <w:tabs>
          <w:tab w:val="left" w:pos="787"/>
        </w:tabs>
        <w:spacing w:line="383" w:lineRule="exact"/>
        <w:rPr>
          <w:b/>
          <w:sz w:val="30"/>
        </w:rPr>
      </w:pPr>
      <w:bookmarkStart w:id="146" w:name="8.4应急监测"/>
      <w:bookmarkEnd w:id="146"/>
      <w:r>
        <w:rPr>
          <w:rFonts w:hint="eastAsia"/>
          <w:b/>
          <w:sz w:val="30"/>
        </w:rPr>
        <w:t>应急监测</w:t>
      </w:r>
    </w:p>
    <w:p w:rsidR="00B04AE3" w:rsidRDefault="00B04AE3">
      <w:pPr>
        <w:pStyle w:val="ListParagraph"/>
        <w:numPr>
          <w:ilvl w:val="2"/>
          <w:numId w:val="33"/>
        </w:numPr>
        <w:tabs>
          <w:tab w:val="left" w:pos="1356"/>
        </w:tabs>
        <w:spacing w:before="199"/>
        <w:rPr>
          <w:b/>
          <w:sz w:val="24"/>
        </w:rPr>
      </w:pPr>
      <w:bookmarkStart w:id="147" w:name="8.4.1应急监测分工"/>
      <w:bookmarkEnd w:id="147"/>
      <w:r>
        <w:rPr>
          <w:rFonts w:hint="eastAsia"/>
          <w:b/>
          <w:sz w:val="24"/>
        </w:rPr>
        <w:t>应急监测分工</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没有应急监测的能力，当发生突发环境事件后，应急指挥部要立即请求南昌市环境监测站对公司的环境应急监测工作进行援助。南昌市环境监测站在公司警戒保卫组的引导下，携采样器具、防护设备赶赴事故现场和监测点位进行调查、采样和分析，并在事故结束后进行跟踪监测，环境监测组全力配合南昌市环境监测站的监测工作。</w:t>
      </w:r>
    </w:p>
    <w:p w:rsidR="00B04AE3" w:rsidRDefault="00B04AE3">
      <w:pPr>
        <w:pStyle w:val="ListParagraph"/>
        <w:numPr>
          <w:ilvl w:val="2"/>
          <w:numId w:val="33"/>
        </w:numPr>
        <w:tabs>
          <w:tab w:val="left" w:pos="1358"/>
        </w:tabs>
        <w:spacing w:line="306" w:lineRule="exact"/>
        <w:ind w:left="1357"/>
        <w:rPr>
          <w:b/>
          <w:sz w:val="24"/>
        </w:rPr>
      </w:pPr>
      <w:bookmarkStart w:id="148" w:name="8.4.2布点"/>
      <w:bookmarkEnd w:id="148"/>
      <w:r>
        <w:rPr>
          <w:rFonts w:hint="eastAsia"/>
          <w:b/>
          <w:sz w:val="24"/>
        </w:rPr>
        <w:t>布点</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1</w:t>
      </w:r>
      <w:r>
        <w:rPr>
          <w:rFonts w:hint="eastAsia"/>
          <w:spacing w:val="-6"/>
          <w:szCs w:val="22"/>
        </w:rPr>
        <w:t>）布点原则</w:t>
      </w:r>
    </w:p>
    <w:p w:rsidR="00B04AE3" w:rsidRDefault="00B04AE3">
      <w:pPr>
        <w:pStyle w:val="BodyText"/>
        <w:spacing w:before="20" w:line="360" w:lineRule="auto"/>
        <w:ind w:left="334" w:right="334" w:firstLine="482"/>
        <w:jc w:val="both"/>
        <w:rPr>
          <w:spacing w:val="-6"/>
          <w:szCs w:val="22"/>
        </w:rPr>
      </w:pPr>
      <w:r>
        <w:rPr>
          <w:rFonts w:hint="eastAsia"/>
          <w:spacing w:val="-6"/>
          <w:szCs w:val="22"/>
        </w:rPr>
        <w:t>①对废水的监测重点为事故发生地排水沟，公司雨水外排口；地下水主要监测厂区内井水、附近敏感目标井水。</w:t>
      </w:r>
    </w:p>
    <w:p w:rsidR="00B04AE3" w:rsidRDefault="00B04AE3">
      <w:pPr>
        <w:pStyle w:val="BodyText"/>
        <w:spacing w:before="20" w:line="360" w:lineRule="auto"/>
        <w:ind w:left="334" w:right="334" w:firstLine="482"/>
        <w:jc w:val="both"/>
        <w:rPr>
          <w:spacing w:val="-6"/>
          <w:szCs w:val="22"/>
        </w:rPr>
      </w:pPr>
      <w:r>
        <w:rPr>
          <w:rFonts w:hint="eastAsia"/>
          <w:spacing w:val="-6"/>
          <w:szCs w:val="22"/>
        </w:rPr>
        <w:t>②对大气的监测应以事故地点为中心，在下风向与事故发生点成</w:t>
      </w:r>
      <w:r>
        <w:rPr>
          <w:spacing w:val="-6"/>
          <w:szCs w:val="22"/>
        </w:rPr>
        <w:t xml:space="preserve"> 60</w:t>
      </w:r>
      <w:r>
        <w:rPr>
          <w:rFonts w:hint="eastAsia"/>
          <w:spacing w:val="-6"/>
          <w:szCs w:val="22"/>
        </w:rPr>
        <w:t>°角的扇形范围内，等角度每隔</w:t>
      </w:r>
      <w:r>
        <w:rPr>
          <w:spacing w:val="-6"/>
          <w:szCs w:val="22"/>
        </w:rPr>
        <w:t xml:space="preserve"> 10m </w:t>
      </w:r>
      <w:r>
        <w:rPr>
          <w:rFonts w:hint="eastAsia"/>
          <w:spacing w:val="-6"/>
          <w:szCs w:val="22"/>
        </w:rPr>
        <w:t>布置</w:t>
      </w:r>
      <w:r>
        <w:rPr>
          <w:spacing w:val="-6"/>
          <w:szCs w:val="22"/>
        </w:rPr>
        <w:t xml:space="preserve"> 4 </w:t>
      </w:r>
      <w:r>
        <w:rPr>
          <w:rFonts w:hint="eastAsia"/>
          <w:spacing w:val="-6"/>
          <w:szCs w:val="22"/>
        </w:rPr>
        <w:t>个监测点；在可能受污染影响的居民住宅区或人群活动区等敏感点必须设置采样点，采样过程中应注意风向变化，及时调整采样点位置，同时也要在事故发生地上风向采集对照样品。</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3</w:t>
      </w:r>
      <w:r>
        <w:rPr>
          <w:rFonts w:hint="eastAsia"/>
          <w:spacing w:val="-6"/>
          <w:szCs w:val="22"/>
        </w:rPr>
        <w:t>）监测项目</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1</w:t>
      </w:r>
      <w:r>
        <w:rPr>
          <w:rFonts w:hint="eastAsia"/>
          <w:spacing w:val="-6"/>
          <w:szCs w:val="22"/>
        </w:rPr>
        <w:t>）布点原则</w:t>
      </w:r>
    </w:p>
    <w:p w:rsidR="00B04AE3" w:rsidRDefault="00B04AE3">
      <w:pPr>
        <w:pStyle w:val="BodyText"/>
        <w:spacing w:before="20" w:line="360" w:lineRule="auto"/>
        <w:ind w:left="334" w:right="334" w:firstLine="482"/>
        <w:jc w:val="both"/>
        <w:rPr>
          <w:spacing w:val="-6"/>
          <w:szCs w:val="22"/>
        </w:rPr>
      </w:pPr>
      <w:r>
        <w:rPr>
          <w:rFonts w:hint="eastAsia"/>
          <w:spacing w:val="-6"/>
          <w:szCs w:val="22"/>
        </w:rPr>
        <w:t>①对废水的监测重点为事故发生地排水沟，公司雨水外排口；地下水主要监测厂区内井水、附近敏感目标井水。</w:t>
      </w:r>
    </w:p>
    <w:p w:rsidR="00B04AE3" w:rsidRDefault="00B04AE3">
      <w:pPr>
        <w:pStyle w:val="BodyText"/>
        <w:spacing w:before="20" w:line="360" w:lineRule="auto"/>
        <w:ind w:left="334" w:right="334" w:firstLine="482"/>
        <w:jc w:val="both"/>
        <w:rPr>
          <w:spacing w:val="-6"/>
          <w:szCs w:val="22"/>
        </w:rPr>
      </w:pPr>
      <w:r>
        <w:rPr>
          <w:rFonts w:hint="eastAsia"/>
          <w:spacing w:val="-6"/>
          <w:szCs w:val="22"/>
        </w:rPr>
        <w:t>②对大气的监测应以事故地点为中心，在下风向与事故发生点成</w:t>
      </w:r>
      <w:r>
        <w:rPr>
          <w:spacing w:val="-6"/>
          <w:szCs w:val="22"/>
        </w:rPr>
        <w:t xml:space="preserve"> 60</w:t>
      </w:r>
      <w:r>
        <w:rPr>
          <w:rFonts w:hint="eastAsia"/>
          <w:spacing w:val="-6"/>
          <w:szCs w:val="22"/>
        </w:rPr>
        <w:t>°角的扇形范围内，等角度每隔</w:t>
      </w:r>
      <w:r>
        <w:rPr>
          <w:spacing w:val="-6"/>
          <w:szCs w:val="22"/>
        </w:rPr>
        <w:t xml:space="preserve"> 10m </w:t>
      </w:r>
      <w:r>
        <w:rPr>
          <w:rFonts w:hint="eastAsia"/>
          <w:spacing w:val="-6"/>
          <w:szCs w:val="22"/>
        </w:rPr>
        <w:t>布置</w:t>
      </w:r>
      <w:r>
        <w:rPr>
          <w:spacing w:val="-6"/>
          <w:szCs w:val="22"/>
        </w:rPr>
        <w:t xml:space="preserve"> 4 </w:t>
      </w:r>
      <w:r>
        <w:rPr>
          <w:rFonts w:hint="eastAsia"/>
          <w:spacing w:val="-6"/>
          <w:szCs w:val="22"/>
        </w:rPr>
        <w:t>个监测点；在可能受污染影响的居民住宅区或人群活动区等敏感点必须设置采样点，采样过程中应注意风向变化，及时调整采样点位置，同时也要在事故发生地上风向采集对照样品。</w:t>
      </w:r>
    </w:p>
    <w:p w:rsidR="00B04AE3" w:rsidRDefault="00B04AE3">
      <w:pPr>
        <w:pStyle w:val="BodyText"/>
        <w:spacing w:before="20" w:line="360" w:lineRule="auto"/>
        <w:ind w:left="334" w:right="334" w:firstLine="482"/>
        <w:jc w:val="both"/>
        <w:rPr>
          <w:spacing w:val="-6"/>
          <w:szCs w:val="22"/>
        </w:rPr>
      </w:pPr>
      <w:r>
        <w:rPr>
          <w:rFonts w:hint="eastAsia"/>
          <w:spacing w:val="-6"/>
          <w:szCs w:val="22"/>
        </w:rPr>
        <w:t>监测项目</w:t>
      </w:r>
    </w:p>
    <w:p w:rsidR="00B04AE3" w:rsidRDefault="00B04AE3">
      <w:pPr>
        <w:pStyle w:val="BodyText"/>
        <w:spacing w:before="20" w:line="360" w:lineRule="auto"/>
        <w:ind w:left="334" w:right="334" w:firstLine="482"/>
        <w:jc w:val="both"/>
        <w:rPr>
          <w:spacing w:val="-6"/>
          <w:szCs w:val="22"/>
        </w:rPr>
      </w:pPr>
      <w:r>
        <w:rPr>
          <w:rFonts w:hint="eastAsia"/>
          <w:spacing w:val="-6"/>
          <w:szCs w:val="22"/>
        </w:rPr>
        <w:t>各生产装置储罐、储槽发生泄漏时，大气、地表水监测因子为各特征因子；</w:t>
      </w:r>
      <w:r>
        <w:rPr>
          <w:spacing w:val="-6"/>
          <w:szCs w:val="22"/>
        </w:rPr>
        <w:t xml:space="preserve"> </w:t>
      </w:r>
      <w:r>
        <w:rPr>
          <w:rFonts w:hint="eastAsia"/>
          <w:spacing w:val="-6"/>
          <w:szCs w:val="22"/>
        </w:rPr>
        <w:t>当尾气处理措施发生故障时，大气环境监测因子为硫酸雾、氨、烟尘等；当污水处理设施发生故障时，地表水环境监测因子为</w:t>
      </w:r>
      <w:r>
        <w:rPr>
          <w:spacing w:val="-6"/>
          <w:szCs w:val="22"/>
        </w:rPr>
        <w:t xml:space="preserve"> pH</w:t>
      </w:r>
      <w:r>
        <w:rPr>
          <w:rFonts w:hint="eastAsia"/>
          <w:spacing w:val="-6"/>
          <w:szCs w:val="22"/>
        </w:rPr>
        <w:t>、</w:t>
      </w:r>
      <w:r>
        <w:rPr>
          <w:spacing w:val="-6"/>
          <w:szCs w:val="22"/>
        </w:rPr>
        <w:t>COD</w:t>
      </w:r>
      <w:r>
        <w:rPr>
          <w:rFonts w:hint="eastAsia"/>
          <w:spacing w:val="-6"/>
          <w:szCs w:val="22"/>
        </w:rPr>
        <w:t>、氨氮；液态危险废物泄露时，大气、地表水监测因子为危险废物各特征因子。</w:t>
      </w:r>
    </w:p>
    <w:p w:rsidR="00B04AE3" w:rsidRDefault="00B04AE3">
      <w:pPr>
        <w:pStyle w:val="BodyText"/>
        <w:spacing w:line="305" w:lineRule="exact"/>
        <w:ind w:left="817"/>
      </w:pPr>
      <w:r>
        <w:rPr>
          <w:rFonts w:hint="eastAsia"/>
        </w:rPr>
        <w:t>公司发生突发环境事件时应急监测内容见表</w:t>
      </w:r>
      <w:r>
        <w:t xml:space="preserve"> </w:t>
      </w:r>
      <w:r>
        <w:rPr>
          <w:rFonts w:ascii="Times New Roman" w:eastAsia="Times New Roman"/>
        </w:rPr>
        <w:t>8.4-1</w:t>
      </w:r>
      <w:r>
        <w:rPr>
          <w:rFonts w:hint="eastAsia"/>
        </w:rPr>
        <w:t>。</w:t>
      </w:r>
    </w:p>
    <w:p w:rsidR="00B04AE3" w:rsidRDefault="00B04AE3">
      <w:pPr>
        <w:tabs>
          <w:tab w:val="left" w:pos="2852"/>
        </w:tabs>
        <w:spacing w:before="160" w:after="3"/>
        <w:ind w:left="1813"/>
        <w:rPr>
          <w:b/>
          <w:sz w:val="24"/>
        </w:rPr>
      </w:pPr>
      <w:r>
        <w:rPr>
          <w:rFonts w:hint="eastAsia"/>
          <w:b/>
          <w:sz w:val="24"/>
        </w:rPr>
        <w:t>表</w:t>
      </w:r>
      <w:r>
        <w:rPr>
          <w:b/>
          <w:spacing w:val="-62"/>
          <w:sz w:val="24"/>
        </w:rPr>
        <w:t xml:space="preserve"> </w:t>
      </w:r>
      <w:r>
        <w:rPr>
          <w:rFonts w:ascii="Times New Roman" w:eastAsia="Times New Roman"/>
          <w:b/>
          <w:sz w:val="24"/>
        </w:rPr>
        <w:t>8.4-1</w:t>
      </w:r>
      <w:r>
        <w:rPr>
          <w:rFonts w:ascii="Times New Roman" w:eastAsia="Times New Roman"/>
          <w:b/>
          <w:sz w:val="24"/>
        </w:rPr>
        <w:tab/>
      </w:r>
      <w:r>
        <w:rPr>
          <w:rFonts w:hint="eastAsia"/>
          <w:b/>
          <w:sz w:val="24"/>
        </w:rPr>
        <w:t>公司发生突发环境事件时应急监测一览表</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42"/>
        <w:gridCol w:w="2708"/>
        <w:gridCol w:w="1861"/>
        <w:gridCol w:w="1690"/>
        <w:gridCol w:w="1627"/>
      </w:tblGrid>
      <w:tr w:rsidR="00B04AE3">
        <w:trPr>
          <w:trHeight w:val="544"/>
        </w:trPr>
        <w:tc>
          <w:tcPr>
            <w:tcW w:w="642" w:type="dxa"/>
            <w:shd w:val="clear" w:color="auto" w:fill="D9D9D9"/>
          </w:tcPr>
          <w:p w:rsidR="00B04AE3" w:rsidRDefault="00B04AE3">
            <w:pPr>
              <w:pStyle w:val="TableParagraph"/>
              <w:spacing w:before="135"/>
              <w:ind w:left="89" w:right="80"/>
              <w:rPr>
                <w:b/>
                <w:sz w:val="21"/>
              </w:rPr>
            </w:pPr>
            <w:r>
              <w:rPr>
                <w:rFonts w:hint="eastAsia"/>
                <w:b/>
                <w:sz w:val="21"/>
              </w:rPr>
              <w:t>项目</w:t>
            </w:r>
          </w:p>
        </w:tc>
        <w:tc>
          <w:tcPr>
            <w:tcW w:w="2708" w:type="dxa"/>
            <w:shd w:val="clear" w:color="auto" w:fill="D9D9D9"/>
          </w:tcPr>
          <w:p w:rsidR="00B04AE3" w:rsidRDefault="00B04AE3">
            <w:pPr>
              <w:pStyle w:val="TableParagraph"/>
              <w:spacing w:before="135"/>
              <w:ind w:left="282" w:right="270"/>
              <w:rPr>
                <w:b/>
                <w:sz w:val="21"/>
              </w:rPr>
            </w:pPr>
            <w:r>
              <w:rPr>
                <w:rFonts w:hint="eastAsia"/>
                <w:b/>
                <w:sz w:val="21"/>
              </w:rPr>
              <w:t>环境事件类型</w:t>
            </w:r>
          </w:p>
        </w:tc>
        <w:tc>
          <w:tcPr>
            <w:tcW w:w="1861" w:type="dxa"/>
            <w:shd w:val="clear" w:color="auto" w:fill="D9D9D9"/>
          </w:tcPr>
          <w:p w:rsidR="00B04AE3" w:rsidRDefault="00B04AE3">
            <w:pPr>
              <w:pStyle w:val="TableParagraph"/>
              <w:ind w:left="174" w:right="161"/>
              <w:rPr>
                <w:b/>
                <w:sz w:val="21"/>
              </w:rPr>
            </w:pPr>
            <w:r>
              <w:rPr>
                <w:rFonts w:hint="eastAsia"/>
                <w:b/>
                <w:sz w:val="21"/>
              </w:rPr>
              <w:t>地表水环境监测</w:t>
            </w:r>
          </w:p>
          <w:p w:rsidR="00B04AE3" w:rsidRDefault="00B04AE3">
            <w:pPr>
              <w:pStyle w:val="TableParagraph"/>
              <w:spacing w:before="3" w:line="252" w:lineRule="exact"/>
              <w:ind w:left="171" w:right="161"/>
              <w:rPr>
                <w:b/>
                <w:sz w:val="21"/>
              </w:rPr>
            </w:pPr>
            <w:r>
              <w:rPr>
                <w:rFonts w:hint="eastAsia"/>
                <w:b/>
                <w:sz w:val="21"/>
              </w:rPr>
              <w:t>项目</w:t>
            </w:r>
          </w:p>
        </w:tc>
        <w:tc>
          <w:tcPr>
            <w:tcW w:w="1690" w:type="dxa"/>
            <w:shd w:val="clear" w:color="auto" w:fill="D9D9D9"/>
          </w:tcPr>
          <w:p w:rsidR="00B04AE3" w:rsidRDefault="00B04AE3">
            <w:pPr>
              <w:pStyle w:val="TableParagraph"/>
              <w:ind w:left="86" w:right="72"/>
              <w:rPr>
                <w:b/>
                <w:sz w:val="21"/>
              </w:rPr>
            </w:pPr>
            <w:r>
              <w:rPr>
                <w:rFonts w:hint="eastAsia"/>
                <w:b/>
                <w:sz w:val="21"/>
              </w:rPr>
              <w:t>大气环境监测</w:t>
            </w:r>
          </w:p>
          <w:p w:rsidR="00B04AE3" w:rsidRDefault="00B04AE3">
            <w:pPr>
              <w:pStyle w:val="TableParagraph"/>
              <w:spacing w:before="3" w:line="252" w:lineRule="exact"/>
              <w:ind w:left="86" w:right="75"/>
              <w:rPr>
                <w:b/>
                <w:sz w:val="21"/>
              </w:rPr>
            </w:pPr>
            <w:r>
              <w:rPr>
                <w:rFonts w:hint="eastAsia"/>
                <w:b/>
                <w:sz w:val="21"/>
              </w:rPr>
              <w:t>项目</w:t>
            </w:r>
          </w:p>
        </w:tc>
        <w:tc>
          <w:tcPr>
            <w:tcW w:w="1627" w:type="dxa"/>
            <w:shd w:val="clear" w:color="auto" w:fill="D9D9D9"/>
          </w:tcPr>
          <w:p w:rsidR="00B04AE3" w:rsidRDefault="00B04AE3">
            <w:pPr>
              <w:pStyle w:val="TableParagraph"/>
              <w:spacing w:before="135"/>
              <w:ind w:left="392"/>
              <w:jc w:val="left"/>
              <w:rPr>
                <w:b/>
                <w:sz w:val="21"/>
              </w:rPr>
            </w:pPr>
            <w:r>
              <w:rPr>
                <w:rFonts w:hint="eastAsia"/>
                <w:b/>
                <w:sz w:val="21"/>
              </w:rPr>
              <w:t>监测频次</w:t>
            </w:r>
          </w:p>
        </w:tc>
      </w:tr>
      <w:tr w:rsidR="00B04AE3">
        <w:trPr>
          <w:trHeight w:val="272"/>
        </w:trPr>
        <w:tc>
          <w:tcPr>
            <w:tcW w:w="642" w:type="dxa"/>
          </w:tcPr>
          <w:p w:rsidR="00B04AE3" w:rsidRDefault="00B04AE3">
            <w:pPr>
              <w:pStyle w:val="TableParagraph"/>
              <w:spacing w:before="15" w:line="238" w:lineRule="exact"/>
              <w:ind w:left="6"/>
              <w:rPr>
                <w:rFonts w:ascii="Times New Roman"/>
                <w:sz w:val="21"/>
              </w:rPr>
            </w:pPr>
            <w:r>
              <w:rPr>
                <w:rFonts w:ascii="Times New Roman"/>
                <w:w w:val="99"/>
                <w:sz w:val="21"/>
              </w:rPr>
              <w:t>1</w:t>
            </w:r>
          </w:p>
        </w:tc>
        <w:tc>
          <w:tcPr>
            <w:tcW w:w="2708" w:type="dxa"/>
          </w:tcPr>
          <w:p w:rsidR="00B04AE3" w:rsidRDefault="00B04AE3">
            <w:pPr>
              <w:pStyle w:val="TableParagraph"/>
              <w:spacing w:before="1" w:line="252" w:lineRule="exact"/>
              <w:ind w:left="280" w:right="275"/>
              <w:rPr>
                <w:sz w:val="21"/>
              </w:rPr>
            </w:pPr>
            <w:r>
              <w:rPr>
                <w:rFonts w:hint="eastAsia"/>
                <w:sz w:val="21"/>
              </w:rPr>
              <w:t>储罐泄漏</w:t>
            </w:r>
          </w:p>
        </w:tc>
        <w:tc>
          <w:tcPr>
            <w:tcW w:w="1861" w:type="dxa"/>
          </w:tcPr>
          <w:p w:rsidR="00B04AE3" w:rsidRDefault="00B04AE3">
            <w:pPr>
              <w:pStyle w:val="TableParagraph"/>
              <w:spacing w:before="15" w:line="238" w:lineRule="exact"/>
              <w:ind w:left="171" w:right="161"/>
              <w:rPr>
                <w:rFonts w:ascii="Times New Roman"/>
                <w:sz w:val="21"/>
              </w:rPr>
            </w:pPr>
            <w:r>
              <w:rPr>
                <w:rFonts w:ascii="Times New Roman"/>
                <w:sz w:val="21"/>
              </w:rPr>
              <w:t>pH</w:t>
            </w:r>
          </w:p>
        </w:tc>
        <w:tc>
          <w:tcPr>
            <w:tcW w:w="1690" w:type="dxa"/>
          </w:tcPr>
          <w:p w:rsidR="00B04AE3" w:rsidRDefault="00B04AE3">
            <w:pPr>
              <w:pStyle w:val="TableParagraph"/>
              <w:spacing w:before="1" w:line="252" w:lineRule="exact"/>
              <w:ind w:left="83" w:right="77"/>
              <w:rPr>
                <w:sz w:val="21"/>
              </w:rPr>
            </w:pPr>
            <w:r>
              <w:rPr>
                <w:rFonts w:hint="eastAsia"/>
                <w:sz w:val="21"/>
              </w:rPr>
              <w:t>氨、硫酸雾</w:t>
            </w:r>
          </w:p>
        </w:tc>
        <w:tc>
          <w:tcPr>
            <w:tcW w:w="1627" w:type="dxa"/>
            <w:vMerge w:val="restart"/>
          </w:tcPr>
          <w:p w:rsidR="00B04AE3" w:rsidRDefault="00B04AE3">
            <w:pPr>
              <w:pStyle w:val="TableParagraph"/>
              <w:spacing w:before="5"/>
              <w:jc w:val="left"/>
              <w:rPr>
                <w:b/>
                <w:sz w:val="15"/>
              </w:rPr>
            </w:pPr>
          </w:p>
          <w:p w:rsidR="00B04AE3" w:rsidRDefault="00B04AE3">
            <w:pPr>
              <w:pStyle w:val="TableParagraph"/>
              <w:spacing w:before="1" w:line="242" w:lineRule="auto"/>
              <w:ind w:left="107" w:right="97"/>
              <w:rPr>
                <w:sz w:val="21"/>
              </w:rPr>
            </w:pPr>
            <w:r>
              <w:rPr>
                <w:rFonts w:hint="eastAsia"/>
                <w:spacing w:val="8"/>
                <w:sz w:val="21"/>
              </w:rPr>
              <w:t>地表水每</w:t>
            </w:r>
            <w:r>
              <w:rPr>
                <w:rFonts w:ascii="Times New Roman" w:eastAsia="Times New Roman"/>
                <w:spacing w:val="-4"/>
                <w:sz w:val="21"/>
              </w:rPr>
              <w:t xml:space="preserve">20min </w:t>
            </w:r>
            <w:r>
              <w:rPr>
                <w:rFonts w:hint="eastAsia"/>
                <w:spacing w:val="-11"/>
                <w:sz w:val="21"/>
              </w:rPr>
              <w:t>采样一次，大气</w:t>
            </w:r>
            <w:r>
              <w:rPr>
                <w:rFonts w:hint="eastAsia"/>
                <w:spacing w:val="-28"/>
                <w:sz w:val="21"/>
              </w:rPr>
              <w:t>每</w:t>
            </w:r>
            <w:r>
              <w:rPr>
                <w:spacing w:val="-28"/>
                <w:sz w:val="21"/>
              </w:rPr>
              <w:t xml:space="preserve"> </w:t>
            </w:r>
            <w:r>
              <w:rPr>
                <w:rFonts w:ascii="Times New Roman" w:eastAsia="Times New Roman"/>
                <w:sz w:val="21"/>
              </w:rPr>
              <w:t xml:space="preserve">30min </w:t>
            </w:r>
            <w:r>
              <w:rPr>
                <w:rFonts w:hint="eastAsia"/>
                <w:sz w:val="21"/>
              </w:rPr>
              <w:t>采样</w:t>
            </w:r>
            <w:r>
              <w:rPr>
                <w:rFonts w:hint="eastAsia"/>
                <w:spacing w:val="-11"/>
                <w:sz w:val="21"/>
              </w:rPr>
              <w:t>一次，直至应急</w:t>
            </w:r>
            <w:r>
              <w:rPr>
                <w:rFonts w:hint="eastAsia"/>
                <w:sz w:val="21"/>
              </w:rPr>
              <w:t>结束</w:t>
            </w:r>
          </w:p>
        </w:tc>
      </w:tr>
      <w:tr w:rsidR="00B04AE3">
        <w:trPr>
          <w:trHeight w:val="513"/>
        </w:trPr>
        <w:tc>
          <w:tcPr>
            <w:tcW w:w="642" w:type="dxa"/>
          </w:tcPr>
          <w:p w:rsidR="00B04AE3" w:rsidRDefault="00B04AE3">
            <w:pPr>
              <w:pStyle w:val="TableParagraph"/>
              <w:spacing w:before="133"/>
              <w:ind w:left="6"/>
              <w:rPr>
                <w:rFonts w:ascii="Times New Roman"/>
                <w:sz w:val="21"/>
              </w:rPr>
            </w:pPr>
            <w:r>
              <w:rPr>
                <w:rFonts w:ascii="Times New Roman"/>
                <w:w w:val="99"/>
                <w:sz w:val="21"/>
              </w:rPr>
              <w:t>2</w:t>
            </w:r>
          </w:p>
        </w:tc>
        <w:tc>
          <w:tcPr>
            <w:tcW w:w="2708" w:type="dxa"/>
          </w:tcPr>
          <w:p w:rsidR="00B04AE3" w:rsidRDefault="00B04AE3">
            <w:pPr>
              <w:pStyle w:val="TableParagraph"/>
              <w:spacing w:before="119"/>
              <w:ind w:left="282" w:right="275"/>
              <w:rPr>
                <w:sz w:val="21"/>
              </w:rPr>
            </w:pPr>
            <w:r>
              <w:rPr>
                <w:rFonts w:hint="eastAsia"/>
                <w:sz w:val="21"/>
              </w:rPr>
              <w:t>污水处理设施发生故障</w:t>
            </w:r>
          </w:p>
        </w:tc>
        <w:tc>
          <w:tcPr>
            <w:tcW w:w="1861" w:type="dxa"/>
          </w:tcPr>
          <w:p w:rsidR="00B04AE3" w:rsidRDefault="00B04AE3">
            <w:pPr>
              <w:pStyle w:val="TableParagraph"/>
              <w:spacing w:before="1" w:line="260" w:lineRule="exact"/>
              <w:ind w:left="807" w:right="-15" w:hanging="699"/>
              <w:jc w:val="left"/>
              <w:rPr>
                <w:rFonts w:ascii="Times New Roman" w:eastAsia="Times New Roman"/>
                <w:sz w:val="21"/>
              </w:rPr>
            </w:pPr>
            <w:r>
              <w:rPr>
                <w:rFonts w:ascii="Times New Roman" w:eastAsia="Times New Roman"/>
                <w:sz w:val="21"/>
              </w:rPr>
              <w:t>pH</w:t>
            </w:r>
            <w:r>
              <w:rPr>
                <w:rFonts w:hint="eastAsia"/>
                <w:sz w:val="21"/>
              </w:rPr>
              <w:t>、</w:t>
            </w:r>
            <w:r>
              <w:rPr>
                <w:rFonts w:ascii="Times New Roman" w:eastAsia="Times New Roman"/>
                <w:sz w:val="21"/>
              </w:rPr>
              <w:t>COD</w:t>
            </w:r>
            <w:r>
              <w:rPr>
                <w:rFonts w:hint="eastAsia"/>
                <w:sz w:val="21"/>
              </w:rPr>
              <w:t>、氨氮、</w:t>
            </w:r>
            <w:r>
              <w:rPr>
                <w:rFonts w:ascii="Times New Roman" w:eastAsia="Times New Roman"/>
                <w:sz w:val="21"/>
              </w:rPr>
              <w:t>Cu</w:t>
            </w:r>
          </w:p>
        </w:tc>
        <w:tc>
          <w:tcPr>
            <w:tcW w:w="1690" w:type="dxa"/>
          </w:tcPr>
          <w:p w:rsidR="00B04AE3" w:rsidRDefault="00B04AE3">
            <w:pPr>
              <w:pStyle w:val="TableParagraph"/>
              <w:spacing w:before="133"/>
              <w:ind w:left="86" w:right="77"/>
              <w:rPr>
                <w:rFonts w:ascii="Times New Roman"/>
                <w:sz w:val="21"/>
              </w:rPr>
            </w:pPr>
            <w:r>
              <w:rPr>
                <w:rFonts w:ascii="Times New Roman"/>
                <w:sz w:val="21"/>
              </w:rPr>
              <w:t>--</w:t>
            </w:r>
          </w:p>
        </w:tc>
        <w:tc>
          <w:tcPr>
            <w:tcW w:w="1627" w:type="dxa"/>
            <w:vMerge/>
            <w:tcBorders>
              <w:top w:val="nil"/>
            </w:tcBorders>
          </w:tcPr>
          <w:p w:rsidR="00B04AE3" w:rsidRDefault="00B04AE3">
            <w:pPr>
              <w:rPr>
                <w:sz w:val="2"/>
                <w:szCs w:val="2"/>
              </w:rPr>
            </w:pPr>
          </w:p>
        </w:tc>
      </w:tr>
      <w:tr w:rsidR="00B04AE3">
        <w:trPr>
          <w:trHeight w:val="537"/>
        </w:trPr>
        <w:tc>
          <w:tcPr>
            <w:tcW w:w="642" w:type="dxa"/>
          </w:tcPr>
          <w:p w:rsidR="00B04AE3" w:rsidRDefault="00B04AE3">
            <w:pPr>
              <w:pStyle w:val="TableParagraph"/>
              <w:spacing w:before="142"/>
              <w:ind w:left="6"/>
              <w:rPr>
                <w:rFonts w:ascii="Times New Roman"/>
                <w:sz w:val="21"/>
              </w:rPr>
            </w:pPr>
            <w:r>
              <w:rPr>
                <w:rFonts w:ascii="Times New Roman"/>
                <w:w w:val="99"/>
                <w:sz w:val="21"/>
              </w:rPr>
              <w:t>3</w:t>
            </w:r>
          </w:p>
        </w:tc>
        <w:tc>
          <w:tcPr>
            <w:tcW w:w="2708" w:type="dxa"/>
          </w:tcPr>
          <w:p w:rsidR="00B04AE3" w:rsidRDefault="00B04AE3">
            <w:pPr>
              <w:pStyle w:val="TableParagraph"/>
              <w:spacing w:before="128"/>
              <w:ind w:left="282" w:right="275"/>
              <w:rPr>
                <w:sz w:val="21"/>
              </w:rPr>
            </w:pPr>
            <w:r>
              <w:rPr>
                <w:rFonts w:hint="eastAsia"/>
                <w:sz w:val="21"/>
              </w:rPr>
              <w:t>尾气处理措施发生故障</w:t>
            </w:r>
          </w:p>
        </w:tc>
        <w:tc>
          <w:tcPr>
            <w:tcW w:w="1861" w:type="dxa"/>
          </w:tcPr>
          <w:p w:rsidR="00B04AE3" w:rsidRDefault="00B04AE3">
            <w:pPr>
              <w:pStyle w:val="TableParagraph"/>
              <w:spacing w:before="142"/>
              <w:ind w:left="10"/>
              <w:rPr>
                <w:rFonts w:ascii="Times New Roman"/>
                <w:sz w:val="21"/>
              </w:rPr>
            </w:pPr>
            <w:r>
              <w:rPr>
                <w:rFonts w:ascii="Times New Roman"/>
                <w:w w:val="99"/>
                <w:sz w:val="21"/>
              </w:rPr>
              <w:t>-</w:t>
            </w:r>
          </w:p>
        </w:tc>
        <w:tc>
          <w:tcPr>
            <w:tcW w:w="1690" w:type="dxa"/>
          </w:tcPr>
          <w:p w:rsidR="00B04AE3" w:rsidRDefault="00B04AE3">
            <w:pPr>
              <w:pStyle w:val="TableParagraph"/>
              <w:spacing w:line="262" w:lineRule="exact"/>
              <w:ind w:left="86" w:right="77"/>
              <w:rPr>
                <w:sz w:val="21"/>
              </w:rPr>
            </w:pPr>
            <w:r>
              <w:rPr>
                <w:rFonts w:hint="eastAsia"/>
                <w:sz w:val="21"/>
              </w:rPr>
              <w:t>氨、硫酸雾、</w:t>
            </w:r>
          </w:p>
          <w:p w:rsidR="00B04AE3" w:rsidRDefault="00B04AE3">
            <w:pPr>
              <w:pStyle w:val="TableParagraph"/>
              <w:spacing w:line="255" w:lineRule="exact"/>
              <w:ind w:left="86" w:right="77"/>
              <w:rPr>
                <w:sz w:val="21"/>
              </w:rPr>
            </w:pPr>
            <w:r>
              <w:rPr>
                <w:rFonts w:ascii="Times New Roman" w:eastAsia="Times New Roman"/>
                <w:position w:val="2"/>
                <w:sz w:val="21"/>
              </w:rPr>
              <w:t>SO</w:t>
            </w:r>
            <w:r>
              <w:rPr>
                <w:rFonts w:ascii="Times New Roman" w:eastAsia="Times New Roman"/>
                <w:position w:val="2"/>
                <w:sz w:val="21"/>
                <w:vertAlign w:val="subscript"/>
              </w:rPr>
              <w:t>2</w:t>
            </w:r>
            <w:r>
              <w:rPr>
                <w:rFonts w:hint="eastAsia"/>
                <w:spacing w:val="-51"/>
                <w:position w:val="2"/>
                <w:sz w:val="21"/>
              </w:rPr>
              <w:t>、</w:t>
            </w:r>
            <w:r>
              <w:rPr>
                <w:rFonts w:ascii="Times New Roman" w:eastAsia="Times New Roman"/>
                <w:position w:val="2"/>
                <w:sz w:val="21"/>
              </w:rPr>
              <w:t>NO</w:t>
            </w:r>
            <w:r>
              <w:rPr>
                <w:rFonts w:ascii="Times New Roman" w:eastAsia="Times New Roman"/>
                <w:position w:val="2"/>
                <w:sz w:val="21"/>
                <w:vertAlign w:val="subscript"/>
              </w:rPr>
              <w:t>X</w:t>
            </w:r>
            <w:r>
              <w:rPr>
                <w:rFonts w:hint="eastAsia"/>
                <w:spacing w:val="-17"/>
                <w:position w:val="2"/>
                <w:sz w:val="21"/>
              </w:rPr>
              <w:t>、烟尘</w:t>
            </w:r>
          </w:p>
        </w:tc>
        <w:tc>
          <w:tcPr>
            <w:tcW w:w="1627" w:type="dxa"/>
            <w:vMerge/>
            <w:tcBorders>
              <w:top w:val="nil"/>
            </w:tcBorders>
          </w:tcPr>
          <w:p w:rsidR="00B04AE3" w:rsidRDefault="00B04AE3">
            <w:pPr>
              <w:rPr>
                <w:sz w:val="2"/>
                <w:szCs w:val="2"/>
              </w:rPr>
            </w:pPr>
          </w:p>
        </w:tc>
      </w:tr>
      <w:tr w:rsidR="00B04AE3">
        <w:trPr>
          <w:trHeight w:val="396"/>
        </w:trPr>
        <w:tc>
          <w:tcPr>
            <w:tcW w:w="642" w:type="dxa"/>
          </w:tcPr>
          <w:p w:rsidR="00B04AE3" w:rsidRDefault="00B04AE3">
            <w:pPr>
              <w:pStyle w:val="TableParagraph"/>
              <w:spacing w:before="77"/>
              <w:ind w:left="6"/>
              <w:rPr>
                <w:rFonts w:ascii="Times New Roman"/>
                <w:sz w:val="21"/>
              </w:rPr>
            </w:pPr>
            <w:r>
              <w:rPr>
                <w:rFonts w:ascii="Times New Roman"/>
                <w:w w:val="99"/>
                <w:sz w:val="21"/>
              </w:rPr>
              <w:t>4</w:t>
            </w:r>
          </w:p>
        </w:tc>
        <w:tc>
          <w:tcPr>
            <w:tcW w:w="2708" w:type="dxa"/>
          </w:tcPr>
          <w:p w:rsidR="00B04AE3" w:rsidRDefault="00B04AE3">
            <w:pPr>
              <w:pStyle w:val="TableParagraph"/>
              <w:spacing w:before="63"/>
              <w:ind w:left="282" w:right="275"/>
              <w:rPr>
                <w:sz w:val="21"/>
              </w:rPr>
            </w:pPr>
            <w:r>
              <w:rPr>
                <w:rFonts w:hint="eastAsia"/>
                <w:sz w:val="21"/>
              </w:rPr>
              <w:t>危险废物泄漏</w:t>
            </w:r>
          </w:p>
        </w:tc>
        <w:tc>
          <w:tcPr>
            <w:tcW w:w="1861" w:type="dxa"/>
          </w:tcPr>
          <w:p w:rsidR="00B04AE3" w:rsidRDefault="00B04AE3">
            <w:pPr>
              <w:pStyle w:val="TableParagraph"/>
              <w:spacing w:before="63"/>
              <w:ind w:left="169" w:right="161"/>
              <w:rPr>
                <w:sz w:val="21"/>
              </w:rPr>
            </w:pPr>
            <w:r>
              <w:rPr>
                <w:rFonts w:ascii="Times New Roman" w:eastAsia="Times New Roman"/>
                <w:sz w:val="21"/>
              </w:rPr>
              <w:t>COD</w:t>
            </w:r>
            <w:r>
              <w:rPr>
                <w:rFonts w:hint="eastAsia"/>
                <w:sz w:val="21"/>
              </w:rPr>
              <w:t>、石油类</w:t>
            </w:r>
          </w:p>
        </w:tc>
        <w:tc>
          <w:tcPr>
            <w:tcW w:w="1690" w:type="dxa"/>
          </w:tcPr>
          <w:p w:rsidR="00B04AE3" w:rsidRDefault="00B04AE3">
            <w:pPr>
              <w:pStyle w:val="TableParagraph"/>
              <w:spacing w:before="77"/>
              <w:ind w:left="86" w:right="77"/>
              <w:rPr>
                <w:rFonts w:ascii="Times New Roman"/>
                <w:sz w:val="21"/>
              </w:rPr>
            </w:pPr>
            <w:r>
              <w:rPr>
                <w:rFonts w:ascii="Times New Roman"/>
                <w:sz w:val="21"/>
              </w:rPr>
              <w:t>--</w:t>
            </w:r>
          </w:p>
        </w:tc>
        <w:tc>
          <w:tcPr>
            <w:tcW w:w="1627" w:type="dxa"/>
            <w:vMerge/>
            <w:tcBorders>
              <w:top w:val="nil"/>
            </w:tcBorders>
          </w:tcPr>
          <w:p w:rsidR="00B04AE3" w:rsidRDefault="00B04AE3">
            <w:pPr>
              <w:rPr>
                <w:sz w:val="2"/>
                <w:szCs w:val="2"/>
              </w:rPr>
            </w:pPr>
          </w:p>
        </w:tc>
      </w:tr>
    </w:tbl>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lang w:val="en-US"/>
        </w:rPr>
        <w:t>3</w:t>
      </w:r>
      <w:r>
        <w:rPr>
          <w:rFonts w:hint="eastAsia"/>
          <w:spacing w:val="-6"/>
          <w:szCs w:val="22"/>
        </w:rPr>
        <w:t>）现场监测仪器设备</w:t>
      </w:r>
    </w:p>
    <w:p w:rsidR="00B04AE3" w:rsidRDefault="00B04AE3">
      <w:pPr>
        <w:pStyle w:val="BodyText"/>
        <w:spacing w:before="20" w:line="360" w:lineRule="auto"/>
        <w:ind w:left="334" w:right="334" w:firstLine="482"/>
        <w:jc w:val="both"/>
        <w:rPr>
          <w:spacing w:val="-6"/>
          <w:szCs w:val="22"/>
        </w:rPr>
      </w:pPr>
      <w:r>
        <w:rPr>
          <w:rFonts w:hint="eastAsia"/>
          <w:spacing w:val="-6"/>
          <w:szCs w:val="22"/>
        </w:rPr>
        <w:t>现场监测仪器设备应能快速鉴定、鉴别污染物，并能给出定性、半定量或定量的监测结果，直接读数，使用方便，易于携带，对样品的前处理要求低。</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根据企业实际情况，本项目使用的监测仪器主要为氨氮、化学需氧量分析仪。</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lang w:val="en-US"/>
        </w:rPr>
        <w:t>4</w:t>
      </w:r>
      <w:r>
        <w:rPr>
          <w:rFonts w:hint="eastAsia"/>
          <w:spacing w:val="-6"/>
          <w:szCs w:val="22"/>
        </w:rPr>
        <w:t>）监测频次</w:t>
      </w:r>
    </w:p>
    <w:p w:rsidR="00B04AE3" w:rsidRDefault="00B04AE3">
      <w:pPr>
        <w:pStyle w:val="BodyText"/>
        <w:spacing w:before="20" w:line="360" w:lineRule="auto"/>
        <w:ind w:left="334" w:right="334" w:firstLine="482"/>
        <w:jc w:val="both"/>
        <w:rPr>
          <w:spacing w:val="-6"/>
          <w:szCs w:val="22"/>
        </w:rPr>
      </w:pPr>
      <w:r>
        <w:rPr>
          <w:rFonts w:hint="eastAsia"/>
          <w:spacing w:val="-6"/>
          <w:szCs w:val="22"/>
        </w:rPr>
        <w:t>一般在环境突发事件刚发生时，适当增加采样频次，待摸清污染物变化规律后，则可以减少采样的频次。</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、地表水</w:t>
      </w:r>
    </w:p>
    <w:p w:rsidR="00B04AE3" w:rsidRDefault="00B04AE3">
      <w:pPr>
        <w:pStyle w:val="BodyText"/>
        <w:spacing w:before="20" w:line="360" w:lineRule="auto"/>
        <w:ind w:left="334" w:right="334" w:firstLine="482"/>
        <w:jc w:val="both"/>
        <w:rPr>
          <w:spacing w:val="-6"/>
          <w:szCs w:val="22"/>
        </w:rPr>
      </w:pPr>
      <w:r>
        <w:rPr>
          <w:rFonts w:hint="eastAsia"/>
          <w:spacing w:val="-6"/>
          <w:szCs w:val="22"/>
        </w:rPr>
        <w:t>事故发生及处理过程中进行实时监测，每</w:t>
      </w:r>
      <w:r>
        <w:rPr>
          <w:spacing w:val="-6"/>
          <w:szCs w:val="22"/>
        </w:rPr>
        <w:t xml:space="preserve"> 20min </w:t>
      </w:r>
      <w:r>
        <w:rPr>
          <w:rFonts w:hint="eastAsia"/>
          <w:spacing w:val="-6"/>
          <w:szCs w:val="22"/>
        </w:rPr>
        <w:t>监测一次直至应急结束。</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、地下水</w:t>
      </w:r>
    </w:p>
    <w:p w:rsidR="00B04AE3" w:rsidRDefault="00B04AE3">
      <w:pPr>
        <w:pStyle w:val="BodyText"/>
        <w:spacing w:before="20" w:line="360" w:lineRule="auto"/>
        <w:ind w:left="334" w:right="334" w:firstLine="482"/>
        <w:jc w:val="both"/>
        <w:rPr>
          <w:spacing w:val="-6"/>
          <w:szCs w:val="22"/>
        </w:rPr>
      </w:pPr>
      <w:r>
        <w:rPr>
          <w:rFonts w:hint="eastAsia"/>
          <w:spacing w:val="-6"/>
          <w:szCs w:val="22"/>
        </w:rPr>
        <w:t>事故发生后，不定期进行跟踪监测。</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、大气</w:t>
      </w:r>
    </w:p>
    <w:p w:rsidR="00B04AE3" w:rsidRDefault="00B04AE3">
      <w:pPr>
        <w:pStyle w:val="BodyText"/>
        <w:spacing w:before="20" w:line="360" w:lineRule="auto"/>
        <w:ind w:left="334" w:right="334" w:firstLine="482"/>
        <w:jc w:val="both"/>
        <w:rPr>
          <w:spacing w:val="-6"/>
          <w:szCs w:val="22"/>
        </w:rPr>
      </w:pPr>
      <w:r>
        <w:rPr>
          <w:rFonts w:hint="eastAsia"/>
          <w:spacing w:val="-6"/>
          <w:szCs w:val="22"/>
        </w:rPr>
        <w:t>事故发生及处理过程中进行实时监测，每</w:t>
      </w:r>
      <w:r>
        <w:rPr>
          <w:spacing w:val="-6"/>
          <w:szCs w:val="22"/>
        </w:rPr>
        <w:t xml:space="preserve"> 30min </w:t>
      </w:r>
      <w:r>
        <w:rPr>
          <w:rFonts w:hint="eastAsia"/>
          <w:spacing w:val="-6"/>
          <w:szCs w:val="22"/>
        </w:rPr>
        <w:t>监测一次直至应急结束。</w:t>
      </w:r>
    </w:p>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、厂区及周边土壤</w:t>
      </w:r>
    </w:p>
    <w:p w:rsidR="00B04AE3" w:rsidRDefault="00B04AE3">
      <w:pPr>
        <w:pStyle w:val="BodyText"/>
        <w:spacing w:before="20" w:line="360" w:lineRule="auto"/>
        <w:ind w:left="334" w:right="334" w:firstLine="482"/>
        <w:jc w:val="both"/>
        <w:rPr>
          <w:spacing w:val="-6"/>
          <w:szCs w:val="22"/>
        </w:rPr>
      </w:pPr>
      <w:r>
        <w:rPr>
          <w:rFonts w:hint="eastAsia"/>
          <w:spacing w:val="-6"/>
          <w:szCs w:val="22"/>
        </w:rPr>
        <w:t>事故发生后检测一次。</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5</w:t>
      </w:r>
      <w:r>
        <w:rPr>
          <w:rFonts w:hint="eastAsia"/>
          <w:spacing w:val="-6"/>
          <w:szCs w:val="22"/>
        </w:rPr>
        <w:t>）监测方法</w:t>
      </w:r>
    </w:p>
    <w:p w:rsidR="00B04AE3" w:rsidRDefault="00B04AE3">
      <w:pPr>
        <w:tabs>
          <w:tab w:val="left" w:pos="3812"/>
        </w:tabs>
        <w:spacing w:before="161"/>
        <w:ind w:left="2773"/>
        <w:rPr>
          <w:b/>
          <w:sz w:val="24"/>
        </w:rPr>
      </w:pPr>
      <w:r>
        <w:rPr>
          <w:rFonts w:hint="eastAsia"/>
          <w:b/>
          <w:sz w:val="24"/>
        </w:rPr>
        <w:t>表</w:t>
      </w:r>
      <w:r>
        <w:rPr>
          <w:b/>
          <w:spacing w:val="-62"/>
          <w:sz w:val="24"/>
        </w:rPr>
        <w:t xml:space="preserve"> </w:t>
      </w:r>
      <w:r>
        <w:rPr>
          <w:rFonts w:ascii="Times New Roman" w:eastAsia="Times New Roman"/>
          <w:b/>
          <w:sz w:val="24"/>
        </w:rPr>
        <w:t>7.5-3</w:t>
      </w:r>
      <w:r>
        <w:rPr>
          <w:rFonts w:ascii="Times New Roman" w:eastAsia="Times New Roman"/>
          <w:b/>
          <w:sz w:val="24"/>
        </w:rPr>
        <w:tab/>
      </w:r>
      <w:r>
        <w:rPr>
          <w:rFonts w:hint="eastAsia"/>
          <w:b/>
          <w:sz w:val="24"/>
        </w:rPr>
        <w:t>各监测项目监测方法一览表</w:t>
      </w:r>
    </w:p>
    <w:tbl>
      <w:tblPr>
        <w:tblW w:w="8626"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817"/>
        <w:gridCol w:w="1134"/>
        <w:gridCol w:w="4820"/>
        <w:gridCol w:w="1855"/>
      </w:tblGrid>
      <w:tr w:rsidR="00B04AE3">
        <w:trPr>
          <w:trHeight w:val="408"/>
        </w:trPr>
        <w:tc>
          <w:tcPr>
            <w:tcW w:w="817" w:type="dxa"/>
            <w:shd w:val="clear" w:color="auto" w:fill="DFDFDF"/>
          </w:tcPr>
          <w:p w:rsidR="00B04AE3" w:rsidRDefault="00B04AE3">
            <w:pPr>
              <w:pStyle w:val="TableParagraph"/>
              <w:spacing w:before="1"/>
              <w:ind w:right="187"/>
              <w:jc w:val="right"/>
              <w:rPr>
                <w:b/>
                <w:sz w:val="21"/>
              </w:rPr>
            </w:pPr>
            <w:r>
              <w:rPr>
                <w:rFonts w:hint="eastAsia"/>
                <w:b/>
                <w:w w:val="95"/>
                <w:sz w:val="21"/>
              </w:rPr>
              <w:t>序号</w:t>
            </w:r>
          </w:p>
        </w:tc>
        <w:tc>
          <w:tcPr>
            <w:tcW w:w="1134" w:type="dxa"/>
            <w:shd w:val="clear" w:color="auto" w:fill="DFDFDF"/>
          </w:tcPr>
          <w:p w:rsidR="00B04AE3" w:rsidRDefault="00B04AE3">
            <w:pPr>
              <w:pStyle w:val="TableParagraph"/>
              <w:spacing w:before="1"/>
              <w:ind w:left="146" w:right="136"/>
              <w:rPr>
                <w:b/>
                <w:sz w:val="21"/>
              </w:rPr>
            </w:pPr>
            <w:r>
              <w:rPr>
                <w:rFonts w:hint="eastAsia"/>
                <w:b/>
                <w:sz w:val="21"/>
              </w:rPr>
              <w:t>项目</w:t>
            </w:r>
          </w:p>
        </w:tc>
        <w:tc>
          <w:tcPr>
            <w:tcW w:w="4820" w:type="dxa"/>
            <w:shd w:val="clear" w:color="auto" w:fill="DFDFDF"/>
          </w:tcPr>
          <w:p w:rsidR="00B04AE3" w:rsidRDefault="00B04AE3">
            <w:pPr>
              <w:pStyle w:val="TableParagraph"/>
              <w:spacing w:before="1"/>
              <w:ind w:left="12"/>
              <w:rPr>
                <w:b/>
                <w:sz w:val="21"/>
              </w:rPr>
            </w:pPr>
            <w:r>
              <w:rPr>
                <w:rFonts w:hint="eastAsia"/>
                <w:b/>
                <w:sz w:val="21"/>
              </w:rPr>
              <w:t>测定方法</w:t>
            </w:r>
          </w:p>
        </w:tc>
        <w:tc>
          <w:tcPr>
            <w:tcW w:w="1855" w:type="dxa"/>
            <w:shd w:val="clear" w:color="auto" w:fill="DFDFDF"/>
          </w:tcPr>
          <w:p w:rsidR="00B04AE3" w:rsidRDefault="00B04AE3">
            <w:pPr>
              <w:pStyle w:val="TableParagraph"/>
              <w:spacing w:before="1"/>
              <w:ind w:left="138" w:right="127"/>
              <w:rPr>
                <w:b/>
                <w:sz w:val="21"/>
              </w:rPr>
            </w:pPr>
            <w:r>
              <w:rPr>
                <w:rFonts w:hint="eastAsia"/>
                <w:b/>
                <w:sz w:val="21"/>
              </w:rPr>
              <w:t>方法来源</w:t>
            </w:r>
          </w:p>
        </w:tc>
      </w:tr>
      <w:tr w:rsidR="00B04AE3">
        <w:trPr>
          <w:trHeight w:val="395"/>
        </w:trPr>
        <w:tc>
          <w:tcPr>
            <w:tcW w:w="817" w:type="dxa"/>
            <w:vMerge w:val="restart"/>
          </w:tcPr>
          <w:p w:rsidR="00B04AE3" w:rsidRDefault="00B04AE3">
            <w:pPr>
              <w:pStyle w:val="TableParagraph"/>
              <w:spacing w:line="268" w:lineRule="exact"/>
              <w:ind w:left="8"/>
              <w:rPr>
                <w:sz w:val="21"/>
              </w:rPr>
            </w:pPr>
            <w:r>
              <w:rPr>
                <w:rFonts w:hint="eastAsia"/>
                <w:sz w:val="21"/>
              </w:rPr>
              <w:t>环境</w:t>
            </w:r>
          </w:p>
          <w:p w:rsidR="00B04AE3" w:rsidRDefault="00B04AE3">
            <w:pPr>
              <w:pStyle w:val="TableParagraph"/>
              <w:spacing w:line="268" w:lineRule="exact"/>
              <w:ind w:left="8"/>
              <w:rPr>
                <w:sz w:val="21"/>
              </w:rPr>
            </w:pPr>
            <w:r>
              <w:rPr>
                <w:rFonts w:hint="eastAsia"/>
                <w:sz w:val="21"/>
              </w:rPr>
              <w:t>空气</w:t>
            </w:r>
          </w:p>
        </w:tc>
        <w:tc>
          <w:tcPr>
            <w:tcW w:w="1134" w:type="dxa"/>
          </w:tcPr>
          <w:p w:rsidR="00B04AE3" w:rsidRDefault="00B04AE3">
            <w:pPr>
              <w:pStyle w:val="TableParagraph"/>
              <w:spacing w:line="268" w:lineRule="exact"/>
              <w:ind w:left="8"/>
              <w:rPr>
                <w:sz w:val="21"/>
              </w:rPr>
            </w:pPr>
            <w:r>
              <w:rPr>
                <w:rFonts w:hint="eastAsia"/>
                <w:sz w:val="21"/>
              </w:rPr>
              <w:t>氨</w:t>
            </w:r>
          </w:p>
        </w:tc>
        <w:tc>
          <w:tcPr>
            <w:tcW w:w="4820" w:type="dxa"/>
          </w:tcPr>
          <w:p w:rsidR="00B04AE3" w:rsidRDefault="00B04AE3">
            <w:pPr>
              <w:pStyle w:val="TableParagraph"/>
              <w:spacing w:line="268" w:lineRule="exact"/>
              <w:ind w:left="8"/>
              <w:rPr>
                <w:sz w:val="21"/>
              </w:rPr>
            </w:pPr>
            <w:r>
              <w:rPr>
                <w:rFonts w:hint="eastAsia"/>
                <w:sz w:val="21"/>
              </w:rPr>
              <w:t>环境空气和废气</w:t>
            </w:r>
            <w:r>
              <w:rPr>
                <w:sz w:val="21"/>
              </w:rPr>
              <w:t xml:space="preserve"> </w:t>
            </w:r>
            <w:r>
              <w:rPr>
                <w:rFonts w:hint="eastAsia"/>
                <w:sz w:val="21"/>
              </w:rPr>
              <w:t>氨的测定</w:t>
            </w:r>
            <w:r>
              <w:rPr>
                <w:sz w:val="21"/>
              </w:rPr>
              <w:t xml:space="preserve"> </w:t>
            </w:r>
            <w:r>
              <w:rPr>
                <w:rFonts w:hint="eastAsia"/>
                <w:sz w:val="21"/>
              </w:rPr>
              <w:t>纳氏试剂分光光度法</w:t>
            </w:r>
          </w:p>
        </w:tc>
        <w:tc>
          <w:tcPr>
            <w:tcW w:w="1855" w:type="dxa"/>
          </w:tcPr>
          <w:p w:rsidR="00B04AE3" w:rsidRDefault="00B04AE3">
            <w:pPr>
              <w:pStyle w:val="TableParagraph"/>
              <w:spacing w:line="268" w:lineRule="exact"/>
              <w:ind w:left="8"/>
              <w:rPr>
                <w:sz w:val="21"/>
              </w:rPr>
            </w:pPr>
            <w:r>
              <w:rPr>
                <w:sz w:val="21"/>
              </w:rPr>
              <w:t>HJ 533-2009</w:t>
            </w:r>
          </w:p>
        </w:tc>
      </w:tr>
      <w:tr w:rsidR="00B04AE3">
        <w:trPr>
          <w:trHeight w:val="545"/>
        </w:trPr>
        <w:tc>
          <w:tcPr>
            <w:tcW w:w="817" w:type="dxa"/>
            <w:vMerge/>
          </w:tcPr>
          <w:p w:rsidR="00B04AE3" w:rsidRDefault="00B04AE3">
            <w:pPr>
              <w:pStyle w:val="TableParagraph"/>
              <w:spacing w:line="268" w:lineRule="exact"/>
              <w:ind w:left="8"/>
              <w:rPr>
                <w:sz w:val="21"/>
              </w:rPr>
            </w:pPr>
          </w:p>
        </w:tc>
        <w:tc>
          <w:tcPr>
            <w:tcW w:w="1134" w:type="dxa"/>
          </w:tcPr>
          <w:p w:rsidR="00B04AE3" w:rsidRDefault="00B04AE3">
            <w:pPr>
              <w:pStyle w:val="TableParagraph"/>
              <w:spacing w:line="268" w:lineRule="exact"/>
              <w:ind w:left="8"/>
              <w:rPr>
                <w:sz w:val="21"/>
              </w:rPr>
            </w:pPr>
            <w:r>
              <w:rPr>
                <w:sz w:val="21"/>
              </w:rPr>
              <w:t>SO2</w:t>
            </w:r>
          </w:p>
        </w:tc>
        <w:tc>
          <w:tcPr>
            <w:tcW w:w="4820" w:type="dxa"/>
          </w:tcPr>
          <w:p w:rsidR="00B04AE3" w:rsidRDefault="00B04AE3">
            <w:pPr>
              <w:pStyle w:val="TableParagraph"/>
              <w:spacing w:line="268" w:lineRule="exact"/>
              <w:ind w:left="8"/>
              <w:rPr>
                <w:sz w:val="21"/>
              </w:rPr>
            </w:pPr>
            <w:r>
              <w:rPr>
                <w:rFonts w:hint="eastAsia"/>
                <w:sz w:val="21"/>
              </w:rPr>
              <w:t>环境空气</w:t>
            </w:r>
            <w:r>
              <w:rPr>
                <w:sz w:val="21"/>
              </w:rPr>
              <w:t xml:space="preserve"> </w:t>
            </w:r>
            <w:r>
              <w:rPr>
                <w:rFonts w:hint="eastAsia"/>
                <w:sz w:val="21"/>
              </w:rPr>
              <w:t>二氧化硫的测定</w:t>
            </w:r>
            <w:r>
              <w:rPr>
                <w:sz w:val="21"/>
              </w:rPr>
              <w:t xml:space="preserve"> </w:t>
            </w:r>
            <w:r>
              <w:rPr>
                <w:rFonts w:hint="eastAsia"/>
                <w:sz w:val="21"/>
              </w:rPr>
              <w:t>甲醛吸收副玫瑰苯胺分光光度法</w:t>
            </w:r>
          </w:p>
        </w:tc>
        <w:tc>
          <w:tcPr>
            <w:tcW w:w="1855" w:type="dxa"/>
          </w:tcPr>
          <w:p w:rsidR="00B04AE3" w:rsidRDefault="00B04AE3">
            <w:pPr>
              <w:pStyle w:val="TableParagraph"/>
              <w:spacing w:line="268" w:lineRule="exact"/>
              <w:ind w:left="8"/>
              <w:rPr>
                <w:sz w:val="21"/>
              </w:rPr>
            </w:pPr>
            <w:r>
              <w:rPr>
                <w:sz w:val="21"/>
              </w:rPr>
              <w:t>HJ 482-2009</w:t>
            </w:r>
          </w:p>
        </w:tc>
      </w:tr>
      <w:tr w:rsidR="00B04AE3">
        <w:trPr>
          <w:trHeight w:val="543"/>
        </w:trPr>
        <w:tc>
          <w:tcPr>
            <w:tcW w:w="817" w:type="dxa"/>
            <w:vMerge/>
          </w:tcPr>
          <w:p w:rsidR="00B04AE3" w:rsidRDefault="00B04AE3">
            <w:pPr>
              <w:rPr>
                <w:sz w:val="21"/>
              </w:rPr>
            </w:pPr>
          </w:p>
        </w:tc>
        <w:tc>
          <w:tcPr>
            <w:tcW w:w="1134" w:type="dxa"/>
          </w:tcPr>
          <w:p w:rsidR="00B04AE3" w:rsidRDefault="00B04AE3">
            <w:pPr>
              <w:pStyle w:val="TableParagraph"/>
              <w:spacing w:before="146"/>
              <w:ind w:left="146" w:right="136"/>
              <w:rPr>
                <w:sz w:val="21"/>
              </w:rPr>
            </w:pPr>
            <w:r>
              <w:rPr>
                <w:sz w:val="21"/>
              </w:rPr>
              <w:t>NOX</w:t>
            </w:r>
          </w:p>
        </w:tc>
        <w:tc>
          <w:tcPr>
            <w:tcW w:w="4820" w:type="dxa"/>
          </w:tcPr>
          <w:p w:rsidR="00B04AE3" w:rsidRDefault="00B04AE3">
            <w:pPr>
              <w:pStyle w:val="TableParagraph"/>
              <w:spacing w:line="268" w:lineRule="exact"/>
              <w:ind w:left="8"/>
              <w:rPr>
                <w:sz w:val="21"/>
              </w:rPr>
            </w:pPr>
            <w:r>
              <w:rPr>
                <w:rFonts w:hint="eastAsia"/>
                <w:sz w:val="21"/>
              </w:rPr>
              <w:t>环境空气</w:t>
            </w:r>
            <w:r>
              <w:rPr>
                <w:sz w:val="21"/>
              </w:rPr>
              <w:t xml:space="preserve"> </w:t>
            </w:r>
            <w:r>
              <w:rPr>
                <w:rFonts w:hint="eastAsia"/>
                <w:sz w:val="21"/>
              </w:rPr>
              <w:t>氮氧化物（一氧化氮和二氧化氮）的测</w:t>
            </w:r>
          </w:p>
          <w:p w:rsidR="00B04AE3" w:rsidRDefault="00B04AE3">
            <w:pPr>
              <w:pStyle w:val="TableParagraph"/>
              <w:spacing w:before="4" w:line="251" w:lineRule="exact"/>
              <w:ind w:left="8"/>
              <w:rPr>
                <w:sz w:val="21"/>
              </w:rPr>
            </w:pPr>
            <w:r>
              <w:rPr>
                <w:rFonts w:hint="eastAsia"/>
                <w:sz w:val="21"/>
              </w:rPr>
              <w:t>定</w:t>
            </w:r>
            <w:r>
              <w:rPr>
                <w:sz w:val="21"/>
              </w:rPr>
              <w:t xml:space="preserve"> </w:t>
            </w:r>
            <w:r>
              <w:rPr>
                <w:rFonts w:hint="eastAsia"/>
                <w:sz w:val="21"/>
              </w:rPr>
              <w:t>盐酸萘乙二胺分光光度法</w:t>
            </w:r>
          </w:p>
        </w:tc>
        <w:tc>
          <w:tcPr>
            <w:tcW w:w="1855" w:type="dxa"/>
          </w:tcPr>
          <w:p w:rsidR="00B04AE3" w:rsidRDefault="00B04AE3">
            <w:pPr>
              <w:pStyle w:val="TableParagraph"/>
              <w:spacing w:before="149"/>
              <w:ind w:left="138" w:right="128"/>
              <w:rPr>
                <w:sz w:val="21"/>
              </w:rPr>
            </w:pPr>
            <w:r>
              <w:rPr>
                <w:sz w:val="21"/>
              </w:rPr>
              <w:t>HJ 479-2009</w:t>
            </w:r>
          </w:p>
        </w:tc>
      </w:tr>
      <w:tr w:rsidR="00B04AE3">
        <w:trPr>
          <w:trHeight w:val="483"/>
        </w:trPr>
        <w:tc>
          <w:tcPr>
            <w:tcW w:w="817" w:type="dxa"/>
            <w:vMerge/>
          </w:tcPr>
          <w:p w:rsidR="00B04AE3" w:rsidRDefault="00B04AE3">
            <w:pPr>
              <w:rPr>
                <w:sz w:val="21"/>
              </w:rPr>
            </w:pPr>
          </w:p>
        </w:tc>
        <w:tc>
          <w:tcPr>
            <w:tcW w:w="1134" w:type="dxa"/>
          </w:tcPr>
          <w:p w:rsidR="00B04AE3" w:rsidRDefault="00B04AE3">
            <w:pPr>
              <w:pStyle w:val="TableParagraph"/>
              <w:spacing w:before="119"/>
              <w:ind w:left="144" w:right="136"/>
              <w:rPr>
                <w:sz w:val="21"/>
              </w:rPr>
            </w:pPr>
            <w:r>
              <w:rPr>
                <w:sz w:val="21"/>
              </w:rPr>
              <w:t>TSP</w:t>
            </w:r>
          </w:p>
        </w:tc>
        <w:tc>
          <w:tcPr>
            <w:tcW w:w="4820" w:type="dxa"/>
          </w:tcPr>
          <w:p w:rsidR="00B04AE3" w:rsidRDefault="00B04AE3">
            <w:pPr>
              <w:pStyle w:val="TableParagraph"/>
              <w:spacing w:before="105"/>
              <w:ind w:left="8"/>
              <w:rPr>
                <w:sz w:val="21"/>
              </w:rPr>
            </w:pPr>
            <w:r>
              <w:rPr>
                <w:rFonts w:hint="eastAsia"/>
                <w:sz w:val="21"/>
              </w:rPr>
              <w:t>环境空气</w:t>
            </w:r>
            <w:r>
              <w:rPr>
                <w:sz w:val="21"/>
              </w:rPr>
              <w:t xml:space="preserve"> </w:t>
            </w:r>
            <w:r>
              <w:rPr>
                <w:rFonts w:hint="eastAsia"/>
                <w:sz w:val="21"/>
              </w:rPr>
              <w:t>总悬浮颗粒物的测定</w:t>
            </w:r>
            <w:r>
              <w:rPr>
                <w:sz w:val="21"/>
              </w:rPr>
              <w:t xml:space="preserve"> </w:t>
            </w:r>
            <w:r>
              <w:rPr>
                <w:rFonts w:hint="eastAsia"/>
                <w:sz w:val="21"/>
              </w:rPr>
              <w:t>重量法</w:t>
            </w:r>
          </w:p>
        </w:tc>
        <w:tc>
          <w:tcPr>
            <w:tcW w:w="1855" w:type="dxa"/>
          </w:tcPr>
          <w:p w:rsidR="00B04AE3" w:rsidRDefault="00B04AE3">
            <w:pPr>
              <w:pStyle w:val="TableParagraph"/>
              <w:spacing w:before="1" w:line="242" w:lineRule="exact"/>
              <w:ind w:right="359"/>
              <w:jc w:val="left"/>
              <w:rPr>
                <w:sz w:val="21"/>
              </w:rPr>
            </w:pPr>
            <w:r>
              <w:rPr>
                <w:sz w:val="21"/>
              </w:rPr>
              <w:t>GB/T 15432-</w:t>
            </w:r>
            <w:r>
              <w:rPr>
                <w:sz w:val="21"/>
                <w:lang w:val="en-US"/>
              </w:rPr>
              <w:t>1</w:t>
            </w:r>
            <w:r>
              <w:rPr>
                <w:sz w:val="21"/>
              </w:rPr>
              <w:t>995</w:t>
            </w:r>
          </w:p>
        </w:tc>
      </w:tr>
      <w:tr w:rsidR="00B04AE3">
        <w:trPr>
          <w:trHeight w:val="398"/>
        </w:trPr>
        <w:tc>
          <w:tcPr>
            <w:tcW w:w="817" w:type="dxa"/>
            <w:vMerge w:val="restart"/>
          </w:tcPr>
          <w:p w:rsidR="00B04AE3" w:rsidRDefault="00B04AE3">
            <w:pPr>
              <w:pStyle w:val="TableParagraph"/>
              <w:spacing w:line="268" w:lineRule="exact"/>
              <w:ind w:left="8"/>
              <w:rPr>
                <w:sz w:val="21"/>
              </w:rPr>
            </w:pPr>
          </w:p>
          <w:p w:rsidR="00B04AE3" w:rsidRDefault="00B04AE3">
            <w:pPr>
              <w:pStyle w:val="TableParagraph"/>
              <w:spacing w:line="268" w:lineRule="exact"/>
              <w:ind w:left="8"/>
              <w:rPr>
                <w:sz w:val="21"/>
              </w:rPr>
            </w:pPr>
            <w:r>
              <w:rPr>
                <w:rFonts w:hint="eastAsia"/>
                <w:sz w:val="21"/>
              </w:rPr>
              <w:t>地表水</w:t>
            </w:r>
          </w:p>
        </w:tc>
        <w:tc>
          <w:tcPr>
            <w:tcW w:w="1134" w:type="dxa"/>
          </w:tcPr>
          <w:p w:rsidR="00B04AE3" w:rsidRDefault="00B04AE3">
            <w:pPr>
              <w:pStyle w:val="TableParagraph"/>
              <w:spacing w:line="268" w:lineRule="exact"/>
              <w:ind w:left="8"/>
              <w:rPr>
                <w:sz w:val="21"/>
              </w:rPr>
            </w:pPr>
            <w:r>
              <w:rPr>
                <w:sz w:val="21"/>
              </w:rPr>
              <w:t>pH</w:t>
            </w:r>
          </w:p>
        </w:tc>
        <w:tc>
          <w:tcPr>
            <w:tcW w:w="4820" w:type="dxa"/>
          </w:tcPr>
          <w:p w:rsidR="00B04AE3" w:rsidRDefault="00B04AE3">
            <w:pPr>
              <w:pStyle w:val="TableParagraph"/>
              <w:spacing w:line="268" w:lineRule="exact"/>
              <w:ind w:left="8"/>
              <w:rPr>
                <w:sz w:val="21"/>
              </w:rPr>
            </w:pPr>
            <w:r>
              <w:rPr>
                <w:rFonts w:hint="eastAsia"/>
                <w:sz w:val="21"/>
              </w:rPr>
              <w:t>水质</w:t>
            </w:r>
            <w:r>
              <w:rPr>
                <w:sz w:val="21"/>
              </w:rPr>
              <w:tab/>
              <w:t xml:space="preserve">pH </w:t>
            </w:r>
            <w:r>
              <w:rPr>
                <w:rFonts w:hint="eastAsia"/>
                <w:sz w:val="21"/>
              </w:rPr>
              <w:t>值的测定</w:t>
            </w:r>
            <w:r>
              <w:rPr>
                <w:sz w:val="21"/>
              </w:rPr>
              <w:tab/>
            </w:r>
            <w:r>
              <w:rPr>
                <w:rFonts w:hint="eastAsia"/>
                <w:sz w:val="21"/>
              </w:rPr>
              <w:t>玻璃电极法</w:t>
            </w:r>
          </w:p>
        </w:tc>
        <w:tc>
          <w:tcPr>
            <w:tcW w:w="1855" w:type="dxa"/>
          </w:tcPr>
          <w:p w:rsidR="00B04AE3" w:rsidRDefault="00B04AE3">
            <w:pPr>
              <w:pStyle w:val="TableParagraph"/>
              <w:spacing w:line="268" w:lineRule="exact"/>
              <w:ind w:left="8"/>
              <w:rPr>
                <w:sz w:val="21"/>
              </w:rPr>
            </w:pPr>
            <w:r>
              <w:rPr>
                <w:sz w:val="21"/>
              </w:rPr>
              <w:t>GB/T 6920-1986</w:t>
            </w:r>
          </w:p>
        </w:tc>
      </w:tr>
      <w:tr w:rsidR="00B04AE3">
        <w:trPr>
          <w:trHeight w:val="400"/>
        </w:trPr>
        <w:tc>
          <w:tcPr>
            <w:tcW w:w="817" w:type="dxa"/>
            <w:vMerge/>
            <w:tcBorders>
              <w:top w:val="nil"/>
            </w:tcBorders>
          </w:tcPr>
          <w:p w:rsidR="00B04AE3" w:rsidRDefault="00B04AE3">
            <w:pPr>
              <w:rPr>
                <w:sz w:val="21"/>
              </w:rPr>
            </w:pPr>
          </w:p>
        </w:tc>
        <w:tc>
          <w:tcPr>
            <w:tcW w:w="1134" w:type="dxa"/>
          </w:tcPr>
          <w:p w:rsidR="00B04AE3" w:rsidRDefault="00B04AE3">
            <w:pPr>
              <w:pStyle w:val="TableParagraph"/>
              <w:spacing w:before="17"/>
              <w:ind w:left="143" w:right="136"/>
              <w:rPr>
                <w:sz w:val="21"/>
              </w:rPr>
            </w:pPr>
            <w:r>
              <w:rPr>
                <w:sz w:val="21"/>
              </w:rPr>
              <w:t>COD</w:t>
            </w:r>
          </w:p>
        </w:tc>
        <w:tc>
          <w:tcPr>
            <w:tcW w:w="4820" w:type="dxa"/>
          </w:tcPr>
          <w:p w:rsidR="00B04AE3" w:rsidRDefault="00B04AE3">
            <w:pPr>
              <w:pStyle w:val="TableParagraph"/>
              <w:spacing w:before="63"/>
              <w:ind w:left="8"/>
              <w:rPr>
                <w:sz w:val="21"/>
              </w:rPr>
            </w:pPr>
            <w:r>
              <w:rPr>
                <w:rFonts w:hint="eastAsia"/>
                <w:sz w:val="21"/>
              </w:rPr>
              <w:t>水质</w:t>
            </w:r>
            <w:r>
              <w:rPr>
                <w:sz w:val="21"/>
              </w:rPr>
              <w:t xml:space="preserve"> </w:t>
            </w:r>
            <w:r>
              <w:rPr>
                <w:rFonts w:hint="eastAsia"/>
                <w:sz w:val="21"/>
              </w:rPr>
              <w:t>化学需氧量的测定</w:t>
            </w:r>
            <w:r>
              <w:rPr>
                <w:sz w:val="21"/>
              </w:rPr>
              <w:t xml:space="preserve"> </w:t>
            </w:r>
            <w:r>
              <w:rPr>
                <w:rFonts w:hint="eastAsia"/>
                <w:sz w:val="21"/>
              </w:rPr>
              <w:t>重铬酸盐法</w:t>
            </w:r>
          </w:p>
        </w:tc>
        <w:tc>
          <w:tcPr>
            <w:tcW w:w="1855" w:type="dxa"/>
          </w:tcPr>
          <w:p w:rsidR="00B04AE3" w:rsidRDefault="00B04AE3">
            <w:pPr>
              <w:pStyle w:val="TableParagraph"/>
              <w:spacing w:before="123"/>
              <w:ind w:left="138" w:right="128"/>
              <w:rPr>
                <w:sz w:val="21"/>
              </w:rPr>
            </w:pPr>
            <w:r>
              <w:rPr>
                <w:sz w:val="21"/>
              </w:rPr>
              <w:t>GB 11914-1989</w:t>
            </w:r>
          </w:p>
        </w:tc>
      </w:tr>
      <w:tr w:rsidR="00B04AE3">
        <w:trPr>
          <w:trHeight w:val="408"/>
        </w:trPr>
        <w:tc>
          <w:tcPr>
            <w:tcW w:w="817" w:type="dxa"/>
            <w:vMerge/>
            <w:tcBorders>
              <w:top w:val="nil"/>
            </w:tcBorders>
          </w:tcPr>
          <w:p w:rsidR="00B04AE3" w:rsidRDefault="00B04AE3">
            <w:pPr>
              <w:rPr>
                <w:sz w:val="21"/>
              </w:rPr>
            </w:pPr>
          </w:p>
        </w:tc>
        <w:tc>
          <w:tcPr>
            <w:tcW w:w="1134" w:type="dxa"/>
          </w:tcPr>
          <w:p w:rsidR="00B04AE3" w:rsidRDefault="00B04AE3">
            <w:pPr>
              <w:pStyle w:val="TableParagraph"/>
              <w:spacing w:before="1"/>
              <w:ind w:left="143" w:right="136"/>
              <w:rPr>
                <w:sz w:val="21"/>
              </w:rPr>
            </w:pPr>
            <w:r>
              <w:rPr>
                <w:rFonts w:hint="eastAsia"/>
                <w:sz w:val="21"/>
              </w:rPr>
              <w:t>氨氮</w:t>
            </w:r>
          </w:p>
        </w:tc>
        <w:tc>
          <w:tcPr>
            <w:tcW w:w="4820" w:type="dxa"/>
          </w:tcPr>
          <w:p w:rsidR="00B04AE3" w:rsidRDefault="00B04AE3">
            <w:pPr>
              <w:pStyle w:val="TableParagraph"/>
              <w:spacing w:before="69"/>
              <w:ind w:left="8"/>
              <w:rPr>
                <w:sz w:val="21"/>
              </w:rPr>
            </w:pPr>
            <w:r>
              <w:rPr>
                <w:rFonts w:hint="eastAsia"/>
                <w:sz w:val="21"/>
              </w:rPr>
              <w:t>水质</w:t>
            </w:r>
            <w:r>
              <w:rPr>
                <w:sz w:val="21"/>
              </w:rPr>
              <w:t xml:space="preserve"> </w:t>
            </w:r>
            <w:r>
              <w:rPr>
                <w:rFonts w:hint="eastAsia"/>
                <w:sz w:val="21"/>
              </w:rPr>
              <w:t>氨氮的测定</w:t>
            </w:r>
            <w:r>
              <w:rPr>
                <w:sz w:val="21"/>
              </w:rPr>
              <w:t xml:space="preserve"> </w:t>
            </w:r>
            <w:r>
              <w:rPr>
                <w:rFonts w:hint="eastAsia"/>
                <w:sz w:val="21"/>
              </w:rPr>
              <w:t>纳氏试剂分光光度法</w:t>
            </w:r>
          </w:p>
        </w:tc>
        <w:tc>
          <w:tcPr>
            <w:tcW w:w="1855" w:type="dxa"/>
          </w:tcPr>
          <w:p w:rsidR="00B04AE3" w:rsidRDefault="00B04AE3">
            <w:pPr>
              <w:pStyle w:val="TableParagraph"/>
              <w:spacing w:before="128"/>
              <w:ind w:left="138" w:right="128"/>
              <w:rPr>
                <w:sz w:val="21"/>
              </w:rPr>
            </w:pPr>
            <w:r>
              <w:rPr>
                <w:sz w:val="21"/>
              </w:rPr>
              <w:t>HJ 535-2009</w:t>
            </w:r>
          </w:p>
        </w:tc>
      </w:tr>
      <w:tr w:rsidR="00B04AE3">
        <w:trPr>
          <w:trHeight w:val="407"/>
        </w:trPr>
        <w:tc>
          <w:tcPr>
            <w:tcW w:w="817" w:type="dxa"/>
            <w:vMerge/>
            <w:tcBorders>
              <w:top w:val="nil"/>
            </w:tcBorders>
          </w:tcPr>
          <w:p w:rsidR="00B04AE3" w:rsidRDefault="00B04AE3">
            <w:pPr>
              <w:rPr>
                <w:sz w:val="21"/>
              </w:rPr>
            </w:pPr>
          </w:p>
        </w:tc>
        <w:tc>
          <w:tcPr>
            <w:tcW w:w="1134" w:type="dxa"/>
          </w:tcPr>
          <w:p w:rsidR="00B04AE3" w:rsidRDefault="00B04AE3">
            <w:pPr>
              <w:pStyle w:val="TableParagraph"/>
              <w:ind w:left="143" w:right="136"/>
              <w:rPr>
                <w:sz w:val="21"/>
              </w:rPr>
            </w:pPr>
            <w:r>
              <w:rPr>
                <w:rFonts w:hint="eastAsia"/>
                <w:sz w:val="21"/>
              </w:rPr>
              <w:t>石油类</w:t>
            </w:r>
          </w:p>
        </w:tc>
        <w:tc>
          <w:tcPr>
            <w:tcW w:w="4820" w:type="dxa"/>
          </w:tcPr>
          <w:p w:rsidR="00B04AE3" w:rsidRDefault="00B04AE3">
            <w:pPr>
              <w:pStyle w:val="TableParagraph"/>
              <w:spacing w:before="67"/>
              <w:ind w:left="8"/>
              <w:rPr>
                <w:sz w:val="21"/>
              </w:rPr>
            </w:pPr>
            <w:r>
              <w:rPr>
                <w:rFonts w:hint="eastAsia"/>
                <w:sz w:val="21"/>
              </w:rPr>
              <w:t>水质石油类和动植物油类的测定</w:t>
            </w:r>
            <w:r>
              <w:rPr>
                <w:sz w:val="21"/>
              </w:rPr>
              <w:t xml:space="preserve"> </w:t>
            </w:r>
            <w:r>
              <w:rPr>
                <w:rFonts w:hint="eastAsia"/>
                <w:sz w:val="21"/>
              </w:rPr>
              <w:t>红外分光光度法</w:t>
            </w:r>
          </w:p>
        </w:tc>
        <w:tc>
          <w:tcPr>
            <w:tcW w:w="1855" w:type="dxa"/>
          </w:tcPr>
          <w:p w:rsidR="00B04AE3" w:rsidRDefault="00B04AE3">
            <w:pPr>
              <w:pStyle w:val="TableParagraph"/>
              <w:spacing w:before="127"/>
              <w:ind w:left="138" w:right="128"/>
              <w:rPr>
                <w:sz w:val="21"/>
              </w:rPr>
            </w:pPr>
            <w:r>
              <w:rPr>
                <w:sz w:val="21"/>
              </w:rPr>
              <w:t>HJ 637-2012</w:t>
            </w:r>
          </w:p>
        </w:tc>
      </w:tr>
      <w:tr w:rsidR="00B04AE3">
        <w:trPr>
          <w:trHeight w:val="397"/>
        </w:trPr>
        <w:tc>
          <w:tcPr>
            <w:tcW w:w="817" w:type="dxa"/>
            <w:vMerge/>
            <w:tcBorders>
              <w:top w:val="nil"/>
            </w:tcBorders>
          </w:tcPr>
          <w:p w:rsidR="00B04AE3" w:rsidRDefault="00B04AE3">
            <w:pPr>
              <w:rPr>
                <w:sz w:val="21"/>
              </w:rPr>
            </w:pPr>
          </w:p>
        </w:tc>
        <w:tc>
          <w:tcPr>
            <w:tcW w:w="1134" w:type="dxa"/>
          </w:tcPr>
          <w:p w:rsidR="00B04AE3" w:rsidRDefault="00B04AE3">
            <w:pPr>
              <w:pStyle w:val="TableParagraph"/>
              <w:spacing w:before="16"/>
              <w:ind w:left="142" w:right="136"/>
              <w:rPr>
                <w:sz w:val="21"/>
              </w:rPr>
            </w:pPr>
            <w:r>
              <w:rPr>
                <w:sz w:val="21"/>
              </w:rPr>
              <w:t>Cu</w:t>
            </w:r>
          </w:p>
        </w:tc>
        <w:tc>
          <w:tcPr>
            <w:tcW w:w="4820" w:type="dxa"/>
          </w:tcPr>
          <w:p w:rsidR="00B04AE3" w:rsidRDefault="00B04AE3">
            <w:pPr>
              <w:pStyle w:val="TableParagraph"/>
              <w:tabs>
                <w:tab w:val="left" w:pos="2720"/>
              </w:tabs>
              <w:spacing w:before="62"/>
              <w:ind w:left="8"/>
              <w:rPr>
                <w:sz w:val="21"/>
              </w:rPr>
            </w:pPr>
            <w:r>
              <w:rPr>
                <w:rFonts w:hint="eastAsia"/>
                <w:sz w:val="21"/>
              </w:rPr>
              <w:t>水质铜、锌、铅、镉的测定</w:t>
            </w:r>
            <w:r>
              <w:rPr>
                <w:sz w:val="21"/>
              </w:rPr>
              <w:tab/>
            </w:r>
            <w:r>
              <w:rPr>
                <w:rFonts w:hint="eastAsia"/>
                <w:sz w:val="21"/>
              </w:rPr>
              <w:t>原子吸收分光光度法</w:t>
            </w:r>
          </w:p>
        </w:tc>
        <w:tc>
          <w:tcPr>
            <w:tcW w:w="1855" w:type="dxa"/>
          </w:tcPr>
          <w:p w:rsidR="00B04AE3" w:rsidRDefault="00B04AE3">
            <w:pPr>
              <w:pStyle w:val="TableParagraph"/>
              <w:spacing w:before="73"/>
              <w:ind w:left="138" w:right="128"/>
              <w:rPr>
                <w:sz w:val="21"/>
              </w:rPr>
            </w:pPr>
            <w:r>
              <w:rPr>
                <w:sz w:val="21"/>
              </w:rPr>
              <w:t>GB/T 7475-1987</w:t>
            </w:r>
          </w:p>
        </w:tc>
      </w:tr>
    </w:tbl>
    <w:p w:rsidR="00B04AE3" w:rsidRDefault="00B04AE3">
      <w:pPr>
        <w:spacing w:before="2"/>
        <w:ind w:left="817"/>
        <w:rPr>
          <w:b/>
          <w:sz w:val="24"/>
        </w:rPr>
      </w:pPr>
      <w:bookmarkStart w:id="149" w:name="8.4.4监测报告"/>
      <w:bookmarkEnd w:id="149"/>
      <w:r>
        <w:rPr>
          <w:rFonts w:ascii="Times New Roman" w:eastAsia="Times New Roman"/>
          <w:b/>
          <w:sz w:val="24"/>
        </w:rPr>
        <w:t xml:space="preserve">8.4.4 </w:t>
      </w:r>
      <w:r>
        <w:rPr>
          <w:rFonts w:hint="eastAsia"/>
          <w:b/>
          <w:sz w:val="24"/>
        </w:rPr>
        <w:t>监测报告</w:t>
      </w:r>
    </w:p>
    <w:p w:rsidR="00B04AE3" w:rsidRDefault="00B04AE3">
      <w:pPr>
        <w:pStyle w:val="BodyText"/>
        <w:spacing w:before="20" w:line="360" w:lineRule="auto"/>
        <w:ind w:left="334" w:right="334" w:firstLine="482"/>
        <w:jc w:val="both"/>
        <w:rPr>
          <w:spacing w:val="-6"/>
          <w:szCs w:val="22"/>
        </w:rPr>
      </w:pPr>
      <w:r>
        <w:rPr>
          <w:rFonts w:hint="eastAsia"/>
          <w:spacing w:val="-6"/>
          <w:szCs w:val="22"/>
        </w:rPr>
        <w:t>⑴报告原则</w:t>
      </w:r>
    </w:p>
    <w:p w:rsidR="00B04AE3" w:rsidRDefault="00B04AE3">
      <w:pPr>
        <w:pStyle w:val="BodyText"/>
        <w:spacing w:before="20" w:line="360" w:lineRule="auto"/>
        <w:ind w:left="334" w:right="334" w:firstLine="482"/>
        <w:jc w:val="both"/>
        <w:rPr>
          <w:spacing w:val="-6"/>
          <w:szCs w:val="22"/>
        </w:rPr>
      </w:pPr>
      <w:r>
        <w:rPr>
          <w:rFonts w:hint="eastAsia"/>
          <w:spacing w:val="-6"/>
          <w:szCs w:val="22"/>
        </w:rPr>
        <w:t>突发环境事件应急监测报告以及时、快速报送为原则。</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⑵报告形式</w:t>
      </w:r>
    </w:p>
    <w:p w:rsidR="00B04AE3" w:rsidRDefault="00B04AE3">
      <w:pPr>
        <w:pStyle w:val="BodyText"/>
        <w:spacing w:before="20" w:line="360" w:lineRule="auto"/>
        <w:ind w:left="334" w:right="334" w:firstLine="482"/>
        <w:jc w:val="both"/>
        <w:rPr>
          <w:spacing w:val="-6"/>
          <w:szCs w:val="22"/>
        </w:rPr>
      </w:pPr>
      <w:r>
        <w:rPr>
          <w:rFonts w:hint="eastAsia"/>
          <w:spacing w:val="-6"/>
          <w:szCs w:val="22"/>
        </w:rPr>
        <w:t>为及时上报突发环境事件应急监测的监测结果，可采用电话、传真、电子邮件、监测快报、简报等形式报送监测结果等简要信息。</w:t>
      </w:r>
    </w:p>
    <w:p w:rsidR="00B04AE3" w:rsidRDefault="00B04AE3">
      <w:pPr>
        <w:pStyle w:val="BodyText"/>
        <w:spacing w:before="20" w:line="360" w:lineRule="auto"/>
        <w:ind w:left="334" w:right="334" w:firstLine="482"/>
        <w:jc w:val="both"/>
        <w:rPr>
          <w:spacing w:val="-6"/>
          <w:szCs w:val="22"/>
        </w:rPr>
      </w:pPr>
      <w:r>
        <w:rPr>
          <w:rFonts w:hint="eastAsia"/>
          <w:spacing w:val="-6"/>
          <w:szCs w:val="22"/>
        </w:rPr>
        <w:t>⑶报告内容</w:t>
      </w:r>
    </w:p>
    <w:p w:rsidR="00B04AE3" w:rsidRDefault="00B04AE3">
      <w:pPr>
        <w:pStyle w:val="BodyText"/>
        <w:spacing w:before="20" w:line="360" w:lineRule="auto"/>
        <w:ind w:left="334" w:right="334" w:firstLine="482"/>
        <w:jc w:val="both"/>
        <w:rPr>
          <w:spacing w:val="-6"/>
          <w:szCs w:val="22"/>
        </w:rPr>
      </w:pPr>
      <w:r>
        <w:rPr>
          <w:rFonts w:hint="eastAsia"/>
          <w:spacing w:val="-6"/>
          <w:szCs w:val="22"/>
        </w:rPr>
        <w:t>①标题名称；</w:t>
      </w:r>
    </w:p>
    <w:p w:rsidR="00B04AE3" w:rsidRDefault="00B04AE3">
      <w:pPr>
        <w:pStyle w:val="BodyText"/>
        <w:spacing w:before="20" w:line="360" w:lineRule="auto"/>
        <w:ind w:left="334" w:right="334" w:firstLine="482"/>
        <w:jc w:val="both"/>
        <w:rPr>
          <w:spacing w:val="-6"/>
          <w:szCs w:val="22"/>
        </w:rPr>
      </w:pPr>
      <w:r>
        <w:rPr>
          <w:rFonts w:hint="eastAsia"/>
          <w:spacing w:val="-6"/>
          <w:szCs w:val="22"/>
        </w:rPr>
        <w:t>②监测单位名称和地址，进行测试的地点（当测试地点不在本厂时，应注明测试地点）；</w:t>
      </w:r>
    </w:p>
    <w:p w:rsidR="00B04AE3" w:rsidRDefault="00B04AE3">
      <w:pPr>
        <w:pStyle w:val="BodyText"/>
        <w:spacing w:before="20" w:line="360" w:lineRule="auto"/>
        <w:ind w:left="334" w:right="334" w:firstLine="482"/>
        <w:jc w:val="both"/>
        <w:rPr>
          <w:spacing w:val="-6"/>
          <w:szCs w:val="22"/>
        </w:rPr>
      </w:pPr>
      <w:r>
        <w:rPr>
          <w:rFonts w:hint="eastAsia"/>
          <w:spacing w:val="-6"/>
          <w:szCs w:val="22"/>
        </w:rPr>
        <w:t>③监测报告的唯一性编号和每一页与总页数的标志；</w:t>
      </w:r>
    </w:p>
    <w:p w:rsidR="00B04AE3" w:rsidRDefault="00B04AE3">
      <w:pPr>
        <w:pStyle w:val="BodyText"/>
        <w:spacing w:before="20" w:line="360" w:lineRule="auto"/>
        <w:ind w:left="334" w:right="334" w:firstLine="482"/>
        <w:jc w:val="both"/>
        <w:rPr>
          <w:spacing w:val="-6"/>
          <w:szCs w:val="22"/>
        </w:rPr>
      </w:pPr>
      <w:r>
        <w:rPr>
          <w:rFonts w:hint="eastAsia"/>
          <w:spacing w:val="-6"/>
          <w:szCs w:val="22"/>
        </w:rPr>
        <w:t>④事故发生的时间、地点，监测断面（点位）示意图，发生原因，污染来源，主要污染物污染范围，必要的水文气象参数等；</w:t>
      </w:r>
    </w:p>
    <w:p w:rsidR="00B04AE3" w:rsidRDefault="00B04AE3">
      <w:pPr>
        <w:pStyle w:val="BodyText"/>
        <w:spacing w:before="20" w:line="360" w:lineRule="auto"/>
        <w:ind w:left="334" w:right="334" w:firstLine="482"/>
        <w:jc w:val="both"/>
        <w:rPr>
          <w:spacing w:val="-6"/>
          <w:szCs w:val="22"/>
        </w:rPr>
      </w:pPr>
      <w:r>
        <w:rPr>
          <w:rFonts w:hint="eastAsia"/>
          <w:spacing w:val="-6"/>
          <w:szCs w:val="22"/>
        </w:rPr>
        <w:t>⑤所用方法的标志（名称和编号）；</w:t>
      </w:r>
    </w:p>
    <w:p w:rsidR="00B04AE3" w:rsidRDefault="00B04AE3">
      <w:pPr>
        <w:pStyle w:val="BodyText"/>
        <w:spacing w:before="20" w:line="360" w:lineRule="auto"/>
        <w:ind w:left="334" w:right="334" w:firstLine="482"/>
        <w:jc w:val="both"/>
        <w:rPr>
          <w:spacing w:val="-6"/>
          <w:szCs w:val="22"/>
        </w:rPr>
      </w:pPr>
      <w:r>
        <w:rPr>
          <w:rFonts w:hint="eastAsia"/>
          <w:spacing w:val="-6"/>
          <w:szCs w:val="22"/>
        </w:rPr>
        <w:t>⑥样品的描述、状态和明确的标志；</w:t>
      </w:r>
    </w:p>
    <w:p w:rsidR="00B04AE3" w:rsidRDefault="00B04AE3">
      <w:pPr>
        <w:pStyle w:val="BodyText"/>
        <w:spacing w:before="20" w:line="360" w:lineRule="auto"/>
        <w:ind w:left="334" w:right="334" w:firstLine="482"/>
        <w:jc w:val="both"/>
        <w:rPr>
          <w:spacing w:val="-6"/>
          <w:szCs w:val="22"/>
        </w:rPr>
      </w:pPr>
      <w:r>
        <w:rPr>
          <w:rFonts w:hint="eastAsia"/>
          <w:spacing w:val="-6"/>
          <w:szCs w:val="22"/>
        </w:rPr>
        <w:t>⑦样品采样日期、接收日期、监测日期；</w:t>
      </w:r>
    </w:p>
    <w:p w:rsidR="00B04AE3" w:rsidRDefault="00B04AE3">
      <w:pPr>
        <w:pStyle w:val="BodyText"/>
        <w:spacing w:before="20" w:line="360" w:lineRule="auto"/>
        <w:ind w:left="334" w:right="334" w:firstLine="482"/>
        <w:jc w:val="both"/>
        <w:rPr>
          <w:spacing w:val="-6"/>
          <w:szCs w:val="22"/>
        </w:rPr>
      </w:pPr>
      <w:r>
        <w:rPr>
          <w:rFonts w:hint="eastAsia"/>
          <w:spacing w:val="-6"/>
          <w:szCs w:val="22"/>
        </w:rPr>
        <w:t>⑧监测结果和结果评价（必要时）；</w:t>
      </w:r>
    </w:p>
    <w:p w:rsidR="00B04AE3" w:rsidRDefault="00B04AE3">
      <w:pPr>
        <w:pStyle w:val="BodyText"/>
        <w:spacing w:before="20" w:line="360" w:lineRule="auto"/>
        <w:ind w:left="334" w:right="334" w:firstLine="482"/>
        <w:jc w:val="both"/>
        <w:rPr>
          <w:spacing w:val="-6"/>
          <w:szCs w:val="22"/>
        </w:rPr>
      </w:pPr>
      <w:r>
        <w:rPr>
          <w:rFonts w:hint="eastAsia"/>
          <w:spacing w:val="-6"/>
          <w:szCs w:val="22"/>
        </w:rPr>
        <w:t>⑨审核人、授权签字人签字等。</w:t>
      </w:r>
    </w:p>
    <w:p w:rsidR="00B04AE3" w:rsidRDefault="00B04AE3">
      <w:pPr>
        <w:pStyle w:val="BodyText"/>
        <w:spacing w:before="20" w:line="360" w:lineRule="auto"/>
        <w:ind w:left="334" w:right="334" w:firstLine="482"/>
        <w:jc w:val="both"/>
        <w:rPr>
          <w:spacing w:val="-6"/>
          <w:szCs w:val="22"/>
        </w:rPr>
      </w:pPr>
      <w:r>
        <w:rPr>
          <w:rFonts w:hint="eastAsia"/>
          <w:spacing w:val="-6"/>
          <w:szCs w:val="22"/>
        </w:rPr>
        <w:t>⑷报送范围</w:t>
      </w:r>
    </w:p>
    <w:p w:rsidR="00B04AE3" w:rsidRDefault="00B04AE3">
      <w:pPr>
        <w:pStyle w:val="BodyText"/>
        <w:spacing w:before="20" w:line="360" w:lineRule="auto"/>
        <w:ind w:left="334" w:right="334" w:firstLine="482"/>
        <w:jc w:val="both"/>
        <w:rPr>
          <w:spacing w:val="-6"/>
          <w:szCs w:val="22"/>
        </w:rPr>
      </w:pPr>
      <w:r>
        <w:rPr>
          <w:rFonts w:hint="eastAsia"/>
          <w:spacing w:val="-6"/>
          <w:szCs w:val="22"/>
        </w:rPr>
        <w:t>突发性环境污染事件（故）应急预案要求进行报送</w:t>
      </w:r>
      <w:r>
        <w:rPr>
          <w:spacing w:val="-6"/>
          <w:szCs w:val="22"/>
        </w:rPr>
        <w:t xml:space="preserve"> II </w:t>
      </w:r>
      <w:r>
        <w:rPr>
          <w:rFonts w:hint="eastAsia"/>
          <w:spacing w:val="-6"/>
          <w:szCs w:val="22"/>
        </w:rPr>
        <w:t>级和</w:t>
      </w:r>
      <w:r>
        <w:rPr>
          <w:spacing w:val="-6"/>
          <w:szCs w:val="22"/>
        </w:rPr>
        <w:t xml:space="preserve"> III </w:t>
      </w:r>
      <w:r>
        <w:rPr>
          <w:rFonts w:hint="eastAsia"/>
          <w:spacing w:val="-6"/>
          <w:szCs w:val="22"/>
        </w:rPr>
        <w:t>级突发环境事件监测报告应报告给应急指挥部；</w:t>
      </w:r>
      <w:r>
        <w:rPr>
          <w:spacing w:val="-6"/>
          <w:szCs w:val="22"/>
        </w:rPr>
        <w:t xml:space="preserve">I </w:t>
      </w:r>
      <w:r>
        <w:rPr>
          <w:rFonts w:hint="eastAsia"/>
          <w:spacing w:val="-6"/>
          <w:szCs w:val="22"/>
        </w:rPr>
        <w:t>级突发环境事件除上报给突发环境事件应急指挥部外，还应上报给经济技术开发区环保局应急办。</w:t>
      </w:r>
    </w:p>
    <w:p w:rsidR="00B04AE3" w:rsidRDefault="00B04AE3">
      <w:pPr>
        <w:pStyle w:val="ListParagraph"/>
        <w:numPr>
          <w:ilvl w:val="1"/>
          <w:numId w:val="34"/>
        </w:numPr>
        <w:tabs>
          <w:tab w:val="left" w:pos="1382"/>
        </w:tabs>
        <w:spacing w:before="99"/>
        <w:ind w:hanging="451"/>
        <w:rPr>
          <w:b/>
          <w:sz w:val="30"/>
        </w:rPr>
      </w:pPr>
      <w:bookmarkStart w:id="150" w:name="8.5应急终止"/>
      <w:bookmarkStart w:id="151" w:name="_bookmark35"/>
      <w:bookmarkEnd w:id="150"/>
      <w:bookmarkEnd w:id="151"/>
      <w:r>
        <w:rPr>
          <w:rFonts w:hint="eastAsia"/>
          <w:b/>
          <w:sz w:val="30"/>
        </w:rPr>
        <w:t>应急终止</w:t>
      </w:r>
    </w:p>
    <w:p w:rsidR="00B04AE3" w:rsidRDefault="00B04AE3">
      <w:pPr>
        <w:pStyle w:val="BodyText"/>
        <w:spacing w:before="20" w:line="360" w:lineRule="auto"/>
        <w:ind w:left="334" w:right="334" w:firstLine="482"/>
        <w:jc w:val="both"/>
        <w:rPr>
          <w:spacing w:val="-6"/>
          <w:szCs w:val="22"/>
        </w:rPr>
      </w:pPr>
      <w:r>
        <w:rPr>
          <w:rFonts w:hint="eastAsia"/>
          <w:spacing w:val="-6"/>
          <w:szCs w:val="22"/>
        </w:rPr>
        <w:t>事件现场得以控制，环境符合有关标准，导致次生、衍生事件隐患消除后，经事件现场应急指挥机构批准后，现场立即结束。</w:t>
      </w:r>
    </w:p>
    <w:p w:rsidR="00B04AE3" w:rsidRDefault="00B04AE3">
      <w:pPr>
        <w:pStyle w:val="ListParagraph"/>
        <w:numPr>
          <w:ilvl w:val="2"/>
          <w:numId w:val="34"/>
        </w:numPr>
        <w:tabs>
          <w:tab w:val="left" w:pos="1358"/>
        </w:tabs>
        <w:spacing w:line="306" w:lineRule="exact"/>
        <w:rPr>
          <w:b/>
          <w:sz w:val="24"/>
        </w:rPr>
      </w:pPr>
      <w:bookmarkStart w:id="152" w:name="8.5.1应急终止的条件"/>
      <w:bookmarkEnd w:id="152"/>
      <w:r>
        <w:rPr>
          <w:rFonts w:hint="eastAsia"/>
          <w:b/>
          <w:w w:val="95"/>
          <w:sz w:val="24"/>
        </w:rPr>
        <w:t>应急终止的条件</w:t>
      </w:r>
    </w:p>
    <w:p w:rsidR="00B04AE3" w:rsidRDefault="00B04AE3">
      <w:pPr>
        <w:pStyle w:val="BodyText"/>
        <w:spacing w:before="20" w:line="360" w:lineRule="auto"/>
        <w:ind w:left="334" w:right="334" w:firstLine="482"/>
        <w:jc w:val="both"/>
        <w:rPr>
          <w:spacing w:val="-6"/>
          <w:szCs w:val="22"/>
        </w:rPr>
      </w:pPr>
      <w:r>
        <w:rPr>
          <w:rFonts w:hint="eastAsia"/>
          <w:spacing w:val="-6"/>
          <w:szCs w:val="22"/>
        </w:rPr>
        <w:t>符合下列条件，即满足终止条件：</w:t>
      </w:r>
    </w:p>
    <w:p w:rsidR="00B04AE3" w:rsidRDefault="00B04AE3">
      <w:pPr>
        <w:pStyle w:val="BodyText"/>
        <w:spacing w:before="20" w:line="360" w:lineRule="auto"/>
        <w:ind w:left="334" w:right="334" w:firstLine="482"/>
        <w:jc w:val="both"/>
        <w:rPr>
          <w:spacing w:val="-6"/>
          <w:szCs w:val="22"/>
        </w:rPr>
      </w:pPr>
      <w:r>
        <w:rPr>
          <w:rFonts w:hint="eastAsia"/>
          <w:spacing w:val="-6"/>
          <w:szCs w:val="22"/>
        </w:rPr>
        <w:t>⑴事故现场得到控制，泄漏物质妥善处置，污染面清洗完毕，事件条件已经消除；</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⑵污染源的泄漏或释放已降到规定的限值之内；</w:t>
      </w:r>
    </w:p>
    <w:p w:rsidR="00B04AE3" w:rsidRDefault="00B04AE3">
      <w:pPr>
        <w:pStyle w:val="BodyText"/>
        <w:spacing w:before="20" w:line="360" w:lineRule="auto"/>
        <w:ind w:left="334" w:right="334" w:firstLine="482"/>
        <w:jc w:val="both"/>
        <w:rPr>
          <w:spacing w:val="-6"/>
          <w:szCs w:val="22"/>
        </w:rPr>
      </w:pPr>
      <w:r>
        <w:rPr>
          <w:rFonts w:hint="eastAsia"/>
          <w:spacing w:val="-6"/>
          <w:szCs w:val="22"/>
        </w:rPr>
        <w:t>⑶事件所造成的灾害已彻底消除，无继发可能；</w:t>
      </w:r>
    </w:p>
    <w:p w:rsidR="00B04AE3" w:rsidRDefault="00B04AE3">
      <w:pPr>
        <w:pStyle w:val="BodyText"/>
        <w:spacing w:before="20" w:line="360" w:lineRule="auto"/>
        <w:ind w:left="334" w:right="334" w:firstLine="482"/>
        <w:jc w:val="both"/>
      </w:pPr>
      <w:r>
        <w:rPr>
          <w:rFonts w:hint="eastAsia"/>
          <w:spacing w:val="-6"/>
          <w:szCs w:val="22"/>
        </w:rPr>
        <w:t>⑷事故现场的各种专业应急处置行动已无继续的必要</w:t>
      </w:r>
      <w:r>
        <w:rPr>
          <w:rFonts w:hint="eastAsia"/>
        </w:rPr>
        <w:t>；</w:t>
      </w:r>
    </w:p>
    <w:p w:rsidR="00B04AE3" w:rsidRDefault="00B04AE3">
      <w:pPr>
        <w:pStyle w:val="ListParagraph"/>
        <w:numPr>
          <w:ilvl w:val="2"/>
          <w:numId w:val="34"/>
        </w:numPr>
        <w:tabs>
          <w:tab w:val="left" w:pos="1358"/>
        </w:tabs>
        <w:spacing w:before="158"/>
        <w:rPr>
          <w:b/>
          <w:sz w:val="24"/>
        </w:rPr>
      </w:pPr>
      <w:bookmarkStart w:id="153" w:name="8.5.2应急终止的程序"/>
      <w:bookmarkEnd w:id="153"/>
      <w:r>
        <w:rPr>
          <w:rFonts w:hint="eastAsia"/>
          <w:b/>
          <w:sz w:val="24"/>
        </w:rPr>
        <w:t>应急终止的程序</w:t>
      </w:r>
    </w:p>
    <w:p w:rsidR="00B04AE3" w:rsidRDefault="00B04AE3">
      <w:pPr>
        <w:pStyle w:val="BodyText"/>
        <w:spacing w:before="20" w:line="360" w:lineRule="auto"/>
        <w:ind w:left="334" w:right="334" w:firstLine="482"/>
        <w:jc w:val="both"/>
        <w:rPr>
          <w:spacing w:val="-6"/>
          <w:szCs w:val="22"/>
        </w:rPr>
      </w:pPr>
      <w:r>
        <w:rPr>
          <w:rFonts w:hint="eastAsia"/>
          <w:spacing w:val="-6"/>
          <w:szCs w:val="22"/>
        </w:rPr>
        <w:t>各小组完成救援任务后，及时反馈信息，应急指挥部根据反馈信息，确认救援结束：</w:t>
      </w:r>
    </w:p>
    <w:p w:rsidR="00B04AE3" w:rsidRDefault="00B04AE3">
      <w:pPr>
        <w:pStyle w:val="BodyText"/>
        <w:spacing w:before="20" w:line="360" w:lineRule="auto"/>
        <w:ind w:left="334" w:right="334" w:firstLine="482"/>
        <w:jc w:val="both"/>
        <w:rPr>
          <w:spacing w:val="-6"/>
          <w:szCs w:val="22"/>
        </w:rPr>
      </w:pPr>
      <w:r>
        <w:rPr>
          <w:rFonts w:hint="eastAsia"/>
          <w:spacing w:val="-6"/>
          <w:szCs w:val="22"/>
        </w:rPr>
        <w:t>①</w:t>
      </w:r>
      <w:r>
        <w:rPr>
          <w:spacing w:val="-6"/>
          <w:szCs w:val="22"/>
        </w:rPr>
        <w:t xml:space="preserve">III </w:t>
      </w:r>
      <w:r>
        <w:rPr>
          <w:rFonts w:hint="eastAsia"/>
          <w:spacing w:val="-6"/>
          <w:szCs w:val="22"/>
        </w:rPr>
        <w:t>级突发环境事件由应急办公室决定终止救援，由应急办公室下达终止命令；</w:t>
      </w:r>
    </w:p>
    <w:p w:rsidR="00B04AE3" w:rsidRDefault="00B04AE3">
      <w:pPr>
        <w:pStyle w:val="BodyText"/>
        <w:spacing w:before="20" w:line="360" w:lineRule="auto"/>
        <w:ind w:left="334" w:right="334" w:firstLine="482"/>
        <w:jc w:val="both"/>
        <w:rPr>
          <w:spacing w:val="-6"/>
          <w:szCs w:val="22"/>
        </w:rPr>
      </w:pPr>
      <w:r>
        <w:rPr>
          <w:rFonts w:hint="eastAsia"/>
          <w:spacing w:val="-6"/>
          <w:szCs w:val="22"/>
        </w:rPr>
        <w:t>②</w:t>
      </w:r>
      <w:r>
        <w:rPr>
          <w:spacing w:val="-6"/>
          <w:szCs w:val="22"/>
        </w:rPr>
        <w:t xml:space="preserve">II </w:t>
      </w:r>
      <w:r>
        <w:rPr>
          <w:rFonts w:hint="eastAsia"/>
          <w:spacing w:val="-6"/>
          <w:szCs w:val="22"/>
        </w:rPr>
        <w:t>级突发环境事件由应急救援指挥部决定终止救援，发布终止命令。应急救援指挥部向应急办公室下达应急救援终止命令，再由应急办公室向各救援小组转达应急救援终止命令；</w:t>
      </w:r>
    </w:p>
    <w:p w:rsidR="00B04AE3" w:rsidRDefault="00B04AE3">
      <w:pPr>
        <w:pStyle w:val="BodyText"/>
        <w:spacing w:before="20" w:line="360" w:lineRule="auto"/>
        <w:ind w:left="334" w:right="334" w:firstLine="482"/>
        <w:jc w:val="both"/>
        <w:rPr>
          <w:spacing w:val="-6"/>
          <w:szCs w:val="22"/>
        </w:rPr>
      </w:pPr>
      <w:r>
        <w:rPr>
          <w:rFonts w:hint="eastAsia"/>
          <w:spacing w:val="-6"/>
          <w:szCs w:val="22"/>
        </w:rPr>
        <w:t>③</w:t>
      </w:r>
      <w:r>
        <w:rPr>
          <w:spacing w:val="-6"/>
          <w:szCs w:val="22"/>
        </w:rPr>
        <w:t xml:space="preserve">I </w:t>
      </w:r>
      <w:r>
        <w:rPr>
          <w:rFonts w:hint="eastAsia"/>
          <w:spacing w:val="-6"/>
          <w:szCs w:val="22"/>
        </w:rPr>
        <w:t>级突发环境事件由公司应急救援指挥部和经济技术开发区环保局应急办共同决定终止救援，由临时指挥部向应急办公室下达救援终止命令。再由应急办公室向各救援小组和周围受影响的敏感目标转达救援终止命令。</w:t>
      </w:r>
    </w:p>
    <w:p w:rsidR="00B04AE3" w:rsidRDefault="00B04AE3">
      <w:pPr>
        <w:pStyle w:val="BodyText"/>
        <w:spacing w:line="307" w:lineRule="exact"/>
        <w:ind w:left="817"/>
      </w:pPr>
      <w:r>
        <w:rPr>
          <w:rFonts w:hint="eastAsia"/>
        </w:rPr>
        <w:t>突发环境事件应急终止的程序见图</w:t>
      </w:r>
      <w:r>
        <w:t xml:space="preserve"> </w:t>
      </w:r>
      <w:r>
        <w:rPr>
          <w:rFonts w:ascii="Times New Roman" w:eastAsia="Times New Roman"/>
        </w:rPr>
        <w:t>8.4-1</w:t>
      </w:r>
      <w:r>
        <w:rPr>
          <w:rFonts w:hint="eastAsia"/>
        </w:rPr>
        <w:t>。</w:t>
      </w:r>
    </w:p>
    <w:p w:rsidR="00B04AE3" w:rsidRDefault="00B04AE3">
      <w:pPr>
        <w:spacing w:line="307" w:lineRule="exact"/>
        <w:sectPr w:rsidR="00B04AE3">
          <w:footerReference w:type="default" r:id="rId29"/>
          <w:pgSz w:w="11910" w:h="16840"/>
          <w:pgMar w:top="1340" w:right="1460" w:bottom="1180" w:left="1460" w:header="878" w:footer="993" w:gutter="0"/>
          <w:cols w:space="720"/>
        </w:sectPr>
      </w:pPr>
    </w:p>
    <w:p w:rsidR="00B04AE3" w:rsidRDefault="00B04AE3">
      <w:pPr>
        <w:pStyle w:val="BodyText"/>
        <w:spacing w:before="6"/>
        <w:rPr>
          <w:sz w:val="7"/>
        </w:rPr>
      </w:pPr>
    </w:p>
    <w:p w:rsidR="00B04AE3" w:rsidRDefault="00B04AE3">
      <w:pPr>
        <w:pStyle w:val="BodyText"/>
        <w:ind w:left="337"/>
        <w:rPr>
          <w:sz w:val="20"/>
        </w:rPr>
      </w:pPr>
      <w:r>
        <w:rPr>
          <w:noProof/>
          <w:lang w:val="en-US"/>
        </w:rPr>
      </w:r>
      <w:r w:rsidRPr="000C330E">
        <w:rPr>
          <w:sz w:val="20"/>
        </w:rPr>
        <w:pict>
          <v:group id="_x0000_s1283" style="width:424pt;height:469pt;mso-position-horizontal-relative:char;mso-position-vertical-relative:line" coordsize="8480,9380">
            <v:shape id="_x0000_s1284" style="position:absolute;width:8480;height:9380" coordsize="8480,9380" o:spt="100" adj="0,,0" path="m8480,9380l,9380,,,8480,r,10l20,10,10,20r10,l20,9360r-10,l20,9370r8460,l8480,9380xm20,20r-10,l20,10r,10xm8460,20l20,20r,-10l8460,10r,10xm8460,9370r,-9360l8470,20r10,l8480,9360r-10,l8460,9370xm8480,20r-10,l8460,10r20,l8480,20xm20,9370l10,9360r10,l20,9370xm8460,9370r-8440,l20,9360r8440,l8460,9370xm8480,9370r-20,l8470,9360r10,l8480,9370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85" type="#_x0000_t75" style="position:absolute;left:542;top:470;width:7753;height:8595">
              <v:imagedata r:id="rId30" o:title=""/>
            </v:shape>
            <v:shape id="_x0000_s1286" style="position:absolute;left:362;top:673;width:2527;height:4648" coordorigin="362,673" coordsize="2527,4648" o:spt="100" adj="0,,0" path="m2789,713l2689,673r162,33l2789,706r,7xm730,5321r-368,l362,706r2408,l2789,713r-2412,l370,721r7,l377,5306r-7,l377,5313r353,l730,5321xm2851,721r-62,l2789,706r62,l2889,713r-38,8xm377,721r-7,l377,713r,8xm2770,721r-2393,l377,713r2412,l2770,721xm2689,753r100,-40l2789,721r62,l2689,753xm377,5313r-7,-7l377,5306r,7xm730,5313r-353,l377,5306r353,l730,531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287" style="position:absolute;left:5770;top:673;width:2527;height:4649" coordorigin="5771,674" coordsize="2527,4649" o:spt="100" adj="0,,0" path="m5971,754l5771,714r200,-40l5889,706r-18,l5871,721r18,l5971,754xm5871,714r,-8l5889,706r-18,8xm8282,721r-2393,l5871,714r18,-8l8297,706r,8l8282,714r,7xm5889,721r-18,l5871,714r18,7xm8282,5315r,-4601l8289,721r8,l8297,5307r-8,l8282,5315xm8297,721r-8,l8282,714r15,l8297,721xm8297,5322r-367,l7930,5307r352,l8282,5315r15,l8297,5322xm8297,5315r-15,l8289,5307r8,l8297,5315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288" style="position:absolute" from="2529,5315" to="3429,5315"/>
            <v:line id="_x0000_s1289" style="position:absolute" from="5230,5315" to="6131,5315" strokeweight=".8pt"/>
            <v:shape id="_x0000_s1290" type="#_x0000_t202" style="position:absolute;left:3041;top:589;width:2538;height:209" filled="f" stroked="f">
              <v:textbox inset="0,0,0,0">
                <w:txbxContent>
                  <w:p w:rsidR="00B04AE3" w:rsidRDefault="00B04AE3">
                    <w:pPr>
                      <w:spacing w:line="209" w:lineRule="exact"/>
                      <w:rPr>
                        <w:sz w:val="21"/>
                      </w:rPr>
                    </w:pPr>
                    <w:r>
                      <w:rPr>
                        <w:rFonts w:hint="eastAsia"/>
                        <w:sz w:val="21"/>
                      </w:rPr>
                      <w:t>突发环境事件应急救援行动</w:t>
                    </w:r>
                  </w:p>
                </w:txbxContent>
              </v:textbox>
            </v:shape>
            <v:shape id="_x0000_s1291" type="#_x0000_t202" style="position:absolute;left:3041;top:1525;width:2329;height:209" filled="f" stroked="f">
              <v:textbox inset="0,0,0,0">
                <w:txbxContent>
                  <w:p w:rsidR="00B04AE3" w:rsidRDefault="00B04AE3">
                    <w:pPr>
                      <w:spacing w:line="209" w:lineRule="exact"/>
                      <w:rPr>
                        <w:sz w:val="21"/>
                      </w:rPr>
                    </w:pPr>
                    <w:r>
                      <w:rPr>
                        <w:rFonts w:hint="eastAsia"/>
                        <w:sz w:val="21"/>
                      </w:rPr>
                      <w:t>救援任务完成、反馈信息</w:t>
                    </w:r>
                  </w:p>
                </w:txbxContent>
              </v:textbox>
            </v:shape>
            <v:shape id="_x0000_s1292" type="#_x0000_t202" style="position:absolute;left:701;top:2773;width:1701;height:209" filled="f" stroked="f">
              <v:textbox inset="0,0,0,0">
                <w:txbxContent>
                  <w:p w:rsidR="00B04AE3" w:rsidRDefault="00B04AE3">
                    <w:pPr>
                      <w:spacing w:line="209" w:lineRule="exact"/>
                      <w:rPr>
                        <w:sz w:val="21"/>
                      </w:rPr>
                    </w:pPr>
                    <w:r>
                      <w:rPr>
                        <w:rFonts w:hint="eastAsia"/>
                        <w:sz w:val="21"/>
                      </w:rPr>
                      <w:t>Ⅲ级突发环境事件</w:t>
                    </w:r>
                  </w:p>
                </w:txbxContent>
              </v:textbox>
            </v:shape>
            <v:shape id="_x0000_s1293" type="#_x0000_t202" style="position:absolute;left:3401;top:2773;width:1698;height:209" filled="f" stroked="f">
              <v:textbox inset="0,0,0,0">
                <w:txbxContent>
                  <w:p w:rsidR="00B04AE3" w:rsidRDefault="00B04AE3">
                    <w:pPr>
                      <w:spacing w:line="209" w:lineRule="exact"/>
                      <w:rPr>
                        <w:sz w:val="21"/>
                      </w:rPr>
                    </w:pPr>
                    <w:r>
                      <w:rPr>
                        <w:rFonts w:hint="eastAsia"/>
                        <w:sz w:val="21"/>
                      </w:rPr>
                      <w:t>Ⅱ级突发环境事件</w:t>
                    </w:r>
                  </w:p>
                </w:txbxContent>
              </v:textbox>
            </v:shape>
            <v:shape id="_x0000_s1294" type="#_x0000_t202" style="position:absolute;left:6101;top:2773;width:1698;height:209" filled="f" stroked="f">
              <v:textbox inset="0,0,0,0">
                <w:txbxContent>
                  <w:p w:rsidR="00B04AE3" w:rsidRDefault="00B04AE3">
                    <w:pPr>
                      <w:spacing w:line="209" w:lineRule="exact"/>
                      <w:rPr>
                        <w:sz w:val="21"/>
                      </w:rPr>
                    </w:pPr>
                    <w:r>
                      <w:rPr>
                        <w:rFonts w:hint="eastAsia"/>
                        <w:sz w:val="21"/>
                      </w:rPr>
                      <w:t>Ⅰ级突发环境事件</w:t>
                    </w:r>
                  </w:p>
                </w:txbxContent>
              </v:textbox>
            </v:shape>
            <v:shape id="_x0000_s1295" type="#_x0000_t202" style="position:absolute;left:1104;top:3865;width:1069;height:209" filled="f" stroked="f">
              <v:textbox inset="0,0,0,0">
                <w:txbxContent>
                  <w:p w:rsidR="00B04AE3" w:rsidRDefault="00B04AE3">
                    <w:pPr>
                      <w:spacing w:line="209" w:lineRule="exact"/>
                      <w:rPr>
                        <w:sz w:val="21"/>
                      </w:rPr>
                    </w:pPr>
                    <w:r>
                      <w:rPr>
                        <w:rFonts w:hint="eastAsia"/>
                        <w:sz w:val="21"/>
                      </w:rPr>
                      <w:t>应急办公室</w:t>
                    </w:r>
                  </w:p>
                </w:txbxContent>
              </v:textbox>
            </v:shape>
            <v:shape id="_x0000_s1296" type="#_x0000_t202" style="position:absolute;left:3804;top:3865;width:1069;height:209" filled="f" stroked="f">
              <v:textbox inset="0,0,0,0">
                <w:txbxContent>
                  <w:p w:rsidR="00B04AE3" w:rsidRDefault="00B04AE3">
                    <w:pPr>
                      <w:spacing w:line="209" w:lineRule="exact"/>
                      <w:rPr>
                        <w:sz w:val="21"/>
                      </w:rPr>
                    </w:pPr>
                    <w:r>
                      <w:rPr>
                        <w:rFonts w:hint="eastAsia"/>
                        <w:sz w:val="21"/>
                      </w:rPr>
                      <w:t>应急指挥部</w:t>
                    </w:r>
                  </w:p>
                </w:txbxContent>
              </v:textbox>
            </v:shape>
            <v:shape id="_x0000_s1297" type="#_x0000_t202" style="position:absolute;left:6295;top:3774;width:1489;height:483" filled="f" stroked="f">
              <v:textbox inset="0,0,0,0">
                <w:txbxContent>
                  <w:p w:rsidR="00B04AE3" w:rsidRDefault="00B04AE3">
                    <w:pPr>
                      <w:spacing w:line="239" w:lineRule="exact"/>
                      <w:ind w:right="18"/>
                      <w:jc w:val="center"/>
                      <w:rPr>
                        <w:sz w:val="21"/>
                      </w:rPr>
                    </w:pPr>
                    <w:r>
                      <w:rPr>
                        <w:rFonts w:hint="eastAsia"/>
                        <w:sz w:val="21"/>
                      </w:rPr>
                      <w:t>应急指挥部、高</w:t>
                    </w:r>
                  </w:p>
                  <w:p w:rsidR="00B04AE3" w:rsidRDefault="00B04AE3">
                    <w:pPr>
                      <w:spacing w:before="4" w:line="239" w:lineRule="exact"/>
                      <w:ind w:right="20"/>
                      <w:jc w:val="center"/>
                      <w:rPr>
                        <w:sz w:val="21"/>
                      </w:rPr>
                    </w:pPr>
                    <w:r>
                      <w:rPr>
                        <w:rFonts w:hint="eastAsia"/>
                        <w:sz w:val="21"/>
                      </w:rPr>
                      <w:t>新区环保局</w:t>
                    </w:r>
                  </w:p>
                </w:txbxContent>
              </v:textbox>
            </v:shape>
            <v:shape id="_x0000_s1298" type="#_x0000_t202" style="position:absolute;left:1090;top:5204;width:858;height:209" filled="f" stroked="f">
              <v:textbox inset="0,0,0,0">
                <w:txbxContent>
                  <w:p w:rsidR="00B04AE3" w:rsidRDefault="00B04AE3">
                    <w:pPr>
                      <w:spacing w:line="209" w:lineRule="exact"/>
                      <w:rPr>
                        <w:sz w:val="21"/>
                      </w:rPr>
                    </w:pPr>
                    <w:r>
                      <w:rPr>
                        <w:rFonts w:hint="eastAsia"/>
                        <w:sz w:val="21"/>
                      </w:rPr>
                      <w:t>事件判断</w:t>
                    </w:r>
                  </w:p>
                </w:txbxContent>
              </v:textbox>
            </v:shape>
            <v:shape id="_x0000_s1299" type="#_x0000_t202" style="position:absolute;left:3943;top:5231;width:858;height:209" filled="f" stroked="f">
              <v:textbox inset="0,0,0,0">
                <w:txbxContent>
                  <w:p w:rsidR="00B04AE3" w:rsidRDefault="00B04AE3">
                    <w:pPr>
                      <w:spacing w:line="209" w:lineRule="exact"/>
                      <w:rPr>
                        <w:sz w:val="21"/>
                      </w:rPr>
                    </w:pPr>
                    <w:r>
                      <w:rPr>
                        <w:rFonts w:hint="eastAsia"/>
                        <w:sz w:val="21"/>
                      </w:rPr>
                      <w:t>事件判断</w:t>
                    </w:r>
                  </w:p>
                </w:txbxContent>
              </v:textbox>
            </v:shape>
            <v:shape id="_x0000_s1300" type="#_x0000_t202" style="position:absolute;left:6591;top:5192;width:858;height:209" filled="f" stroked="f">
              <v:textbox inset="0,0,0,0">
                <w:txbxContent>
                  <w:p w:rsidR="00B04AE3" w:rsidRDefault="00B04AE3">
                    <w:pPr>
                      <w:spacing w:line="209" w:lineRule="exact"/>
                      <w:rPr>
                        <w:sz w:val="21"/>
                      </w:rPr>
                    </w:pPr>
                    <w:r>
                      <w:rPr>
                        <w:rFonts w:hint="eastAsia"/>
                        <w:sz w:val="21"/>
                      </w:rPr>
                      <w:t>事件判断</w:t>
                    </w:r>
                  </w:p>
                </w:txbxContent>
              </v:textbox>
            </v:shape>
            <v:shape id="_x0000_s1301" type="#_x0000_t202" style="position:absolute;left:1234;top:5730;width:229;height:209" filled="f" stroked="f">
              <v:textbox inset="0,0,0,0">
                <w:txbxContent>
                  <w:p w:rsidR="00B04AE3" w:rsidRDefault="00B04AE3">
                    <w:pPr>
                      <w:spacing w:line="209" w:lineRule="exact"/>
                      <w:rPr>
                        <w:sz w:val="21"/>
                      </w:rPr>
                    </w:pPr>
                    <w:r>
                      <w:rPr>
                        <w:rFonts w:hint="eastAsia"/>
                        <w:w w:val="99"/>
                        <w:sz w:val="21"/>
                      </w:rPr>
                      <w:t>是</w:t>
                    </w:r>
                  </w:p>
                </w:txbxContent>
              </v:textbox>
            </v:shape>
            <v:shape id="_x0000_s1302" type="#_x0000_t202" style="position:absolute;left:3934;top:5730;width:229;height:209" filled="f" stroked="f">
              <v:textbox inset="0,0,0,0">
                <w:txbxContent>
                  <w:p w:rsidR="00B04AE3" w:rsidRDefault="00B04AE3">
                    <w:pPr>
                      <w:spacing w:line="209" w:lineRule="exact"/>
                      <w:rPr>
                        <w:sz w:val="21"/>
                      </w:rPr>
                    </w:pPr>
                    <w:r>
                      <w:rPr>
                        <w:rFonts w:hint="eastAsia"/>
                        <w:w w:val="99"/>
                        <w:sz w:val="21"/>
                      </w:rPr>
                      <w:t>是</w:t>
                    </w:r>
                  </w:p>
                </w:txbxContent>
              </v:textbox>
            </v:shape>
            <v:shape id="_x0000_s1303" type="#_x0000_t202" style="position:absolute;left:6634;top:5730;width:229;height:209" filled="f" stroked="f">
              <v:textbox inset="0,0,0,0">
                <w:txbxContent>
                  <w:p w:rsidR="00B04AE3" w:rsidRDefault="00B04AE3">
                    <w:pPr>
                      <w:spacing w:line="209" w:lineRule="exact"/>
                      <w:rPr>
                        <w:sz w:val="21"/>
                      </w:rPr>
                    </w:pPr>
                    <w:r>
                      <w:rPr>
                        <w:rFonts w:hint="eastAsia"/>
                        <w:w w:val="99"/>
                        <w:sz w:val="21"/>
                      </w:rPr>
                      <w:t>是</w:t>
                    </w:r>
                  </w:p>
                </w:txbxContent>
              </v:textbox>
            </v:shape>
            <v:shape id="_x0000_s1304" type="#_x0000_t202" style="position:absolute;left:1061;top:6361;width:858;height:209" filled="f" stroked="f">
              <v:textbox inset="0,0,0,0">
                <w:txbxContent>
                  <w:p w:rsidR="00B04AE3" w:rsidRDefault="00B04AE3">
                    <w:pPr>
                      <w:spacing w:line="209" w:lineRule="exact"/>
                      <w:rPr>
                        <w:sz w:val="21"/>
                      </w:rPr>
                    </w:pPr>
                    <w:r>
                      <w:rPr>
                        <w:rFonts w:hint="eastAsia"/>
                        <w:sz w:val="21"/>
                      </w:rPr>
                      <w:t>应急终止</w:t>
                    </w:r>
                  </w:p>
                </w:txbxContent>
              </v:textbox>
            </v:shape>
            <v:shape id="_x0000_s1305" type="#_x0000_t202" style="position:absolute;left:3761;top:6361;width:858;height:209" filled="f" stroked="f">
              <v:textbox inset="0,0,0,0">
                <w:txbxContent>
                  <w:p w:rsidR="00B04AE3" w:rsidRDefault="00B04AE3">
                    <w:pPr>
                      <w:spacing w:line="209" w:lineRule="exact"/>
                      <w:rPr>
                        <w:sz w:val="21"/>
                      </w:rPr>
                    </w:pPr>
                    <w:r>
                      <w:rPr>
                        <w:rFonts w:hint="eastAsia"/>
                        <w:sz w:val="21"/>
                      </w:rPr>
                      <w:t>应急终止</w:t>
                    </w:r>
                  </w:p>
                </w:txbxContent>
              </v:textbox>
            </v:shape>
            <v:shape id="_x0000_s1306" type="#_x0000_t202" style="position:absolute;left:6461;top:6361;width:858;height:209" filled="f" stroked="f">
              <v:textbox inset="0,0,0,0">
                <w:txbxContent>
                  <w:p w:rsidR="00B04AE3" w:rsidRDefault="00B04AE3">
                    <w:pPr>
                      <w:spacing w:line="209" w:lineRule="exact"/>
                      <w:rPr>
                        <w:sz w:val="21"/>
                      </w:rPr>
                    </w:pPr>
                    <w:r>
                      <w:rPr>
                        <w:rFonts w:hint="eastAsia"/>
                        <w:sz w:val="21"/>
                      </w:rPr>
                      <w:t>应急终止</w:t>
                    </w:r>
                  </w:p>
                </w:txbxContent>
              </v:textbox>
            </v:shape>
            <v:shape id="_x0000_s1307" type="#_x0000_t202" style="position:absolute;left:881;top:7297;width:1489;height:209" filled="f" stroked="f">
              <v:textbox inset="0,0,0,0">
                <w:txbxContent>
                  <w:p w:rsidR="00B04AE3" w:rsidRDefault="00B04AE3">
                    <w:pPr>
                      <w:spacing w:line="209" w:lineRule="exact"/>
                      <w:rPr>
                        <w:sz w:val="21"/>
                      </w:rPr>
                    </w:pPr>
                    <w:r>
                      <w:rPr>
                        <w:rFonts w:hint="eastAsia"/>
                        <w:sz w:val="21"/>
                      </w:rPr>
                      <w:t>各应急救援小组</w:t>
                    </w:r>
                  </w:p>
                </w:txbxContent>
              </v:textbox>
            </v:shape>
            <v:shape id="_x0000_s1308" type="#_x0000_t202" style="position:absolute;left:3761;top:7297;width:1069;height:209" filled="f" stroked="f">
              <v:textbox inset="0,0,0,0">
                <w:txbxContent>
                  <w:p w:rsidR="00B04AE3" w:rsidRDefault="00B04AE3">
                    <w:pPr>
                      <w:spacing w:line="209" w:lineRule="exact"/>
                      <w:rPr>
                        <w:sz w:val="21"/>
                      </w:rPr>
                    </w:pPr>
                    <w:r>
                      <w:rPr>
                        <w:rFonts w:hint="eastAsia"/>
                        <w:sz w:val="21"/>
                      </w:rPr>
                      <w:t>应急办公室</w:t>
                    </w:r>
                  </w:p>
                </w:txbxContent>
              </v:textbox>
            </v:shape>
            <v:shape id="_x0000_s1309" type="#_x0000_t202" style="position:absolute;left:6461;top:7297;width:1069;height:209" filled="f" stroked="f">
              <v:textbox inset="0,0,0,0">
                <w:txbxContent>
                  <w:p w:rsidR="00B04AE3" w:rsidRDefault="00B04AE3">
                    <w:pPr>
                      <w:spacing w:line="209" w:lineRule="exact"/>
                      <w:rPr>
                        <w:sz w:val="21"/>
                      </w:rPr>
                    </w:pPr>
                    <w:r>
                      <w:rPr>
                        <w:rFonts w:hint="eastAsia"/>
                        <w:sz w:val="21"/>
                      </w:rPr>
                      <w:t>应急办公室</w:t>
                    </w:r>
                  </w:p>
                </w:txbxContent>
              </v:textbox>
            </v:shape>
            <v:shape id="_x0000_s1310" type="#_x0000_t202" style="position:absolute;left:3581;top:8389;width:1489;height:209" filled="f" stroked="f">
              <v:textbox inset="0,0,0,0">
                <w:txbxContent>
                  <w:p w:rsidR="00B04AE3" w:rsidRDefault="00B04AE3">
                    <w:pPr>
                      <w:spacing w:line="209" w:lineRule="exact"/>
                      <w:rPr>
                        <w:sz w:val="21"/>
                      </w:rPr>
                    </w:pPr>
                    <w:r>
                      <w:rPr>
                        <w:rFonts w:hint="eastAsia"/>
                        <w:sz w:val="21"/>
                      </w:rPr>
                      <w:t>各应急救援小组</w:t>
                    </w:r>
                  </w:p>
                </w:txbxContent>
              </v:textbox>
            </v:shape>
            <v:shape id="_x0000_s1311" type="#_x0000_t202" style="position:absolute;left:5921;top:8389;width:2236;height:481" filled="f" stroked="f">
              <v:textbox inset="0,0,0,0">
                <w:txbxContent>
                  <w:p w:rsidR="00B04AE3" w:rsidRDefault="00B04AE3">
                    <w:pPr>
                      <w:spacing w:line="239" w:lineRule="exact"/>
                      <w:rPr>
                        <w:sz w:val="21"/>
                      </w:rPr>
                    </w:pPr>
                    <w:r>
                      <w:rPr>
                        <w:rFonts w:hint="eastAsia"/>
                        <w:spacing w:val="-10"/>
                        <w:sz w:val="21"/>
                      </w:rPr>
                      <w:t>各应急救援小组、公司周</w:t>
                    </w:r>
                  </w:p>
                  <w:p w:rsidR="00B04AE3" w:rsidRDefault="00B04AE3">
                    <w:pPr>
                      <w:spacing w:before="2" w:line="239" w:lineRule="exact"/>
                      <w:rPr>
                        <w:sz w:val="21"/>
                      </w:rPr>
                    </w:pPr>
                    <w:r>
                      <w:rPr>
                        <w:rFonts w:hint="eastAsia"/>
                        <w:sz w:val="21"/>
                      </w:rPr>
                      <w:t>围受影响的敏感目标</w:t>
                    </w:r>
                  </w:p>
                </w:txbxContent>
              </v:textbox>
            </v:shape>
            <w10:anchorlock/>
          </v:group>
        </w:pict>
      </w:r>
    </w:p>
    <w:p w:rsidR="00B04AE3" w:rsidRDefault="00B04AE3">
      <w:pPr>
        <w:tabs>
          <w:tab w:val="left" w:pos="3572"/>
        </w:tabs>
        <w:spacing w:line="281" w:lineRule="exact"/>
        <w:ind w:left="2533"/>
        <w:rPr>
          <w:b/>
          <w:sz w:val="24"/>
        </w:rPr>
      </w:pPr>
      <w:r>
        <w:rPr>
          <w:rFonts w:hint="eastAsia"/>
          <w:b/>
          <w:sz w:val="24"/>
        </w:rPr>
        <w:t>图</w:t>
      </w:r>
      <w:r>
        <w:rPr>
          <w:b/>
          <w:spacing w:val="-62"/>
          <w:sz w:val="24"/>
        </w:rPr>
        <w:t xml:space="preserve"> </w:t>
      </w:r>
      <w:r>
        <w:rPr>
          <w:rFonts w:ascii="Times New Roman" w:eastAsia="Times New Roman"/>
          <w:b/>
          <w:sz w:val="24"/>
        </w:rPr>
        <w:t>8.4-1</w:t>
      </w:r>
      <w:r>
        <w:rPr>
          <w:rFonts w:ascii="Times New Roman" w:eastAsia="Times New Roman"/>
          <w:b/>
          <w:sz w:val="24"/>
        </w:rPr>
        <w:tab/>
      </w:r>
      <w:r>
        <w:rPr>
          <w:rFonts w:hint="eastAsia"/>
          <w:b/>
          <w:sz w:val="24"/>
        </w:rPr>
        <w:t>突发环境事件应急终止程序</w:t>
      </w:r>
    </w:p>
    <w:p w:rsidR="00B04AE3" w:rsidRDefault="00B04AE3">
      <w:pPr>
        <w:pStyle w:val="ListParagraph"/>
        <w:numPr>
          <w:ilvl w:val="1"/>
          <w:numId w:val="34"/>
        </w:numPr>
        <w:tabs>
          <w:tab w:val="left" w:pos="1387"/>
        </w:tabs>
        <w:spacing w:before="158"/>
        <w:ind w:left="1386" w:hanging="449"/>
        <w:rPr>
          <w:b/>
          <w:sz w:val="30"/>
        </w:rPr>
      </w:pPr>
      <w:bookmarkStart w:id="154" w:name="8.6应急终止后的行动"/>
      <w:bookmarkStart w:id="155" w:name="_bookmark36"/>
      <w:bookmarkEnd w:id="154"/>
      <w:bookmarkEnd w:id="155"/>
      <w:r>
        <w:rPr>
          <w:rFonts w:hint="eastAsia"/>
          <w:b/>
          <w:sz w:val="30"/>
        </w:rPr>
        <w:t>应急终止后的行动</w:t>
      </w:r>
    </w:p>
    <w:p w:rsidR="00B04AE3" w:rsidRDefault="00B04AE3">
      <w:pPr>
        <w:pStyle w:val="BodyText"/>
        <w:spacing w:before="20" w:line="360" w:lineRule="auto"/>
        <w:ind w:left="334" w:right="334" w:firstLine="482"/>
        <w:jc w:val="both"/>
        <w:rPr>
          <w:spacing w:val="-6"/>
          <w:szCs w:val="22"/>
        </w:rPr>
      </w:pPr>
      <w:r>
        <w:rPr>
          <w:rFonts w:hint="eastAsia"/>
          <w:spacing w:val="-6"/>
          <w:szCs w:val="22"/>
        </w:rPr>
        <w:t>⑴事故处理完毕后，应急救援指挥部要及时将环境危险已解除的情况通报给公司相关部门和根据临时指挥部的指示通知周边单位、社区和社会关注区事件危险已解除，以恢复他们正常的工作和生活。</w:t>
      </w:r>
    </w:p>
    <w:p w:rsidR="00B04AE3" w:rsidRDefault="00B04AE3">
      <w:pPr>
        <w:pStyle w:val="BodyText"/>
        <w:spacing w:before="20" w:line="360" w:lineRule="auto"/>
        <w:ind w:left="334" w:right="334" w:firstLine="482"/>
        <w:jc w:val="both"/>
        <w:rPr>
          <w:spacing w:val="-6"/>
          <w:szCs w:val="22"/>
        </w:rPr>
      </w:pPr>
      <w:r>
        <w:rPr>
          <w:rFonts w:hint="eastAsia"/>
          <w:spacing w:val="-6"/>
          <w:szCs w:val="22"/>
        </w:rPr>
        <w:t>⑵由应急办公室负责采用照相和录像的方法保存事故现场资料。</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⑶应急办公室负责组织对现场中暴露的工作人员、应急行动人员进行身体检查和受污染设备、事故现场进行清洁净化、整理、分类回收；</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⑷对工艺流程、设备进行全面检查，排除故障和不安全因素。</w:t>
      </w:r>
      <w:bookmarkStart w:id="156" w:name="9后期处置"/>
      <w:bookmarkEnd w:id="156"/>
    </w:p>
    <w:p w:rsidR="00B04AE3" w:rsidRDefault="00B04AE3">
      <w:pPr>
        <w:pStyle w:val="BodyText"/>
        <w:spacing w:before="20" w:line="360" w:lineRule="auto"/>
        <w:ind w:left="334" w:right="334" w:firstLine="482"/>
        <w:jc w:val="both"/>
        <w:rPr>
          <w:spacing w:val="-6"/>
          <w:szCs w:val="22"/>
        </w:rPr>
      </w:pPr>
      <w:r>
        <w:rPr>
          <w:rFonts w:hint="eastAsia"/>
          <w:spacing w:val="-6"/>
          <w:szCs w:val="22"/>
        </w:rPr>
        <w:t>应急办公室负责调查事故的原因，经济损失，认定事故的责任者；</w:t>
      </w:r>
    </w:p>
    <w:p w:rsidR="00B04AE3" w:rsidRDefault="00B04AE3">
      <w:pPr>
        <w:pStyle w:val="BodyText"/>
        <w:spacing w:before="20" w:line="360" w:lineRule="auto"/>
        <w:ind w:left="334" w:right="334" w:firstLine="482"/>
        <w:jc w:val="both"/>
        <w:rPr>
          <w:spacing w:val="-6"/>
          <w:szCs w:val="22"/>
        </w:rPr>
      </w:pPr>
      <w:r>
        <w:rPr>
          <w:rFonts w:hint="eastAsia"/>
          <w:spacing w:val="-6"/>
          <w:szCs w:val="22"/>
        </w:rPr>
        <w:t>⑸突发环境污染事故应急处理结束后，应急办公室应组织公司相关部门认真总结、分析、吸取事故教训，及时进行整改完善；</w:t>
      </w:r>
    </w:p>
    <w:p w:rsidR="00B04AE3" w:rsidRDefault="00B04AE3">
      <w:pPr>
        <w:pStyle w:val="BodyText"/>
        <w:spacing w:before="20" w:line="360" w:lineRule="auto"/>
        <w:ind w:left="334" w:right="334" w:firstLine="482"/>
        <w:jc w:val="both"/>
        <w:rPr>
          <w:spacing w:val="-6"/>
          <w:szCs w:val="22"/>
        </w:rPr>
      </w:pPr>
      <w:r>
        <w:rPr>
          <w:rFonts w:hint="eastAsia"/>
          <w:spacing w:val="-6"/>
          <w:szCs w:val="22"/>
        </w:rPr>
        <w:t>⑹应急办公室组织各职能小组对应急计划和实施程序的可行性、应急装备的有效性、应急人员的素质和反应速度作出评价，并提出对应急预案的修改意见和建议。</w:t>
      </w:r>
    </w:p>
    <w:p w:rsidR="00B04AE3" w:rsidRDefault="00B04AE3">
      <w:pPr>
        <w:pStyle w:val="BodyText"/>
        <w:spacing w:before="20" w:line="360" w:lineRule="auto"/>
        <w:ind w:left="334" w:right="334" w:firstLine="482"/>
        <w:jc w:val="both"/>
        <w:rPr>
          <w:spacing w:val="-6"/>
          <w:szCs w:val="22"/>
        </w:rPr>
      </w:pPr>
      <w:r>
        <w:rPr>
          <w:rFonts w:hint="eastAsia"/>
          <w:spacing w:val="-6"/>
          <w:szCs w:val="22"/>
        </w:rPr>
        <w:t>⑺如有需要，应急办公室可组织环境监测、环境评价人员及相关部门专家进行跟踪监测，并对事故进行污染损失评估。弄清楚污染状况和污染覆盖面，</w:t>
      </w:r>
      <w:r>
        <w:rPr>
          <w:spacing w:val="-6"/>
          <w:szCs w:val="22"/>
        </w:rPr>
        <w:t xml:space="preserve"> </w:t>
      </w:r>
      <w:r>
        <w:rPr>
          <w:rFonts w:hint="eastAsia"/>
          <w:spacing w:val="-6"/>
          <w:szCs w:val="22"/>
        </w:rPr>
        <w:t>确定事故的波及范围和影响程度，对事故污染的经济损失进行评估，评价报告报经济技术开发区环保局应急办作为事故处理的依据。</w:t>
      </w:r>
    </w:p>
    <w:p w:rsidR="00B04AE3" w:rsidRDefault="00B04AE3">
      <w:pPr>
        <w:pStyle w:val="BodyText"/>
        <w:spacing w:before="20" w:line="360" w:lineRule="auto"/>
        <w:ind w:left="334" w:right="334" w:firstLine="482"/>
        <w:jc w:val="both"/>
        <w:rPr>
          <w:spacing w:val="-6"/>
          <w:szCs w:val="22"/>
        </w:rPr>
      </w:pPr>
      <w:r>
        <w:rPr>
          <w:rFonts w:hint="eastAsia"/>
          <w:spacing w:val="-6"/>
          <w:szCs w:val="22"/>
        </w:rPr>
        <w:t>报告一般包括如下几个方面：①自然资源和能源流失的损失；②人员生命、健康和劳动力的损失；③事故清污费用及其他事故处理费用；④事故环境恢复措施及相关监测费用；⑤其他相关费用。</w:t>
      </w:r>
    </w:p>
    <w:p w:rsidR="00B04AE3" w:rsidRDefault="00B04AE3">
      <w:pPr>
        <w:pStyle w:val="BodyText"/>
        <w:spacing w:before="20" w:line="360" w:lineRule="auto"/>
        <w:ind w:left="334" w:right="334" w:firstLine="482"/>
        <w:jc w:val="both"/>
      </w:pPr>
      <w:r>
        <w:rPr>
          <w:rFonts w:hint="eastAsia"/>
          <w:spacing w:val="-6"/>
          <w:szCs w:val="22"/>
        </w:rPr>
        <w:t>跟踪监测与评估</w:t>
      </w:r>
      <w:r>
        <w:rPr>
          <w:spacing w:val="-6"/>
          <w:szCs w:val="22"/>
        </w:rPr>
        <w:t>:</w:t>
      </w:r>
      <w:r>
        <w:rPr>
          <w:rFonts w:hint="eastAsia"/>
          <w:spacing w:val="-6"/>
          <w:szCs w:val="22"/>
        </w:rPr>
        <w:t>事故现场经过处置后，为检验其处置效果，同时为掌握事故影响的程度和范围，还应做好跟踪监测，直到污染物达到排放标准和环境质量标准为止。监测间隔时间</w:t>
      </w:r>
      <w:r>
        <w:rPr>
          <w:spacing w:val="-6"/>
          <w:szCs w:val="22"/>
        </w:rPr>
        <w:t xml:space="preserve"> 2 </w:t>
      </w:r>
      <w:r>
        <w:rPr>
          <w:rFonts w:hint="eastAsia"/>
          <w:spacing w:val="-6"/>
          <w:szCs w:val="22"/>
        </w:rPr>
        <w:t>小时一次</w:t>
      </w:r>
      <w:r>
        <w:rPr>
          <w:rFonts w:hint="eastAsia"/>
        </w:rPr>
        <w:t>。</w:t>
      </w:r>
    </w:p>
    <w:p w:rsidR="00B04AE3" w:rsidRDefault="00B04AE3">
      <w:pPr>
        <w:spacing w:line="364" w:lineRule="auto"/>
        <w:jc w:val="both"/>
        <w:sectPr w:rsidR="00B04AE3">
          <w:pgSz w:w="11910" w:h="16840"/>
          <w:pgMar w:top="1340" w:right="1460" w:bottom="1180" w:left="1460" w:header="878" w:footer="993" w:gutter="0"/>
          <w:cols w:space="720"/>
        </w:sectPr>
      </w:pPr>
    </w:p>
    <w:p w:rsidR="00B04AE3" w:rsidRDefault="00B04AE3">
      <w:pPr>
        <w:pStyle w:val="ListParagraph"/>
        <w:numPr>
          <w:ilvl w:val="0"/>
          <w:numId w:val="34"/>
        </w:numPr>
        <w:tabs>
          <w:tab w:val="left" w:pos="607"/>
        </w:tabs>
        <w:spacing w:before="97"/>
        <w:ind w:left="606" w:hanging="269"/>
        <w:rPr>
          <w:rFonts w:ascii="Times New Roman" w:eastAsia="Times New Roman"/>
          <w:b/>
          <w:sz w:val="36"/>
        </w:rPr>
      </w:pPr>
      <w:bookmarkStart w:id="157" w:name="_bookmark37"/>
      <w:bookmarkEnd w:id="157"/>
      <w:r>
        <w:rPr>
          <w:rFonts w:hint="eastAsia"/>
          <w:b/>
          <w:sz w:val="36"/>
        </w:rPr>
        <w:t>后期处置</w:t>
      </w:r>
    </w:p>
    <w:p w:rsidR="00B04AE3" w:rsidRDefault="00B04AE3">
      <w:pPr>
        <w:pStyle w:val="ListParagraph"/>
        <w:numPr>
          <w:ilvl w:val="1"/>
          <w:numId w:val="35"/>
        </w:numPr>
        <w:tabs>
          <w:tab w:val="left" w:pos="787"/>
        </w:tabs>
        <w:spacing w:before="239"/>
        <w:rPr>
          <w:b/>
          <w:sz w:val="30"/>
        </w:rPr>
      </w:pPr>
      <w:bookmarkStart w:id="158" w:name="9.1现场保护"/>
      <w:bookmarkStart w:id="159" w:name="_bookmark38"/>
      <w:bookmarkEnd w:id="158"/>
      <w:bookmarkEnd w:id="159"/>
      <w:r>
        <w:rPr>
          <w:rFonts w:hint="eastAsia"/>
          <w:b/>
          <w:sz w:val="30"/>
        </w:rPr>
        <w:t>现场保护</w:t>
      </w:r>
    </w:p>
    <w:p w:rsidR="00B04AE3" w:rsidRDefault="00B04AE3">
      <w:pPr>
        <w:pStyle w:val="BodyText"/>
        <w:spacing w:before="20" w:line="360" w:lineRule="auto"/>
        <w:ind w:left="334" w:right="334" w:firstLine="482"/>
        <w:jc w:val="both"/>
        <w:rPr>
          <w:spacing w:val="-6"/>
          <w:szCs w:val="22"/>
        </w:rPr>
      </w:pPr>
      <w:r>
        <w:rPr>
          <w:rFonts w:hint="eastAsia"/>
          <w:spacing w:val="-6"/>
          <w:szCs w:val="22"/>
        </w:rPr>
        <w:t>警戒保卫组负责抢险后事故现场保护，划出警戒线，无关人员不得随便入内，不得故意破坏、践踏事故现场，保护事故现场及相关数据，等待事故调查人员取证。</w:t>
      </w:r>
    </w:p>
    <w:p w:rsidR="00B04AE3" w:rsidRDefault="00B04AE3">
      <w:pPr>
        <w:pStyle w:val="BodyText"/>
        <w:spacing w:line="307" w:lineRule="exact"/>
        <w:ind w:left="817"/>
      </w:pPr>
      <w:r>
        <w:rPr>
          <w:rFonts w:hint="eastAsia"/>
        </w:rPr>
        <w:t>该部分专门负责的人员如下：</w:t>
      </w:r>
    </w:p>
    <w:p w:rsidR="00B04AE3" w:rsidRDefault="00B04AE3">
      <w:pPr>
        <w:spacing w:before="158" w:after="4"/>
        <w:ind w:left="7"/>
        <w:jc w:val="center"/>
        <w:rPr>
          <w:b/>
          <w:sz w:val="24"/>
        </w:rPr>
      </w:pPr>
      <w:r>
        <w:rPr>
          <w:rFonts w:hint="eastAsia"/>
          <w:b/>
          <w:sz w:val="24"/>
        </w:rPr>
        <w:t>表</w:t>
      </w:r>
      <w:r>
        <w:rPr>
          <w:b/>
          <w:sz w:val="24"/>
        </w:rPr>
        <w:t xml:space="preserve"> </w:t>
      </w:r>
      <w:r>
        <w:rPr>
          <w:rFonts w:ascii="Times New Roman" w:eastAsia="Times New Roman"/>
          <w:b/>
          <w:sz w:val="24"/>
        </w:rPr>
        <w:t xml:space="preserve">9.1-1 </w:t>
      </w:r>
      <w:r>
        <w:rPr>
          <w:rFonts w:hint="eastAsia"/>
          <w:b/>
          <w:sz w:val="24"/>
        </w:rPr>
        <w:t>警戒保卫组人员名单</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886"/>
        <w:gridCol w:w="2548"/>
        <w:gridCol w:w="2548"/>
        <w:gridCol w:w="2546"/>
      </w:tblGrid>
      <w:tr w:rsidR="00B04AE3">
        <w:trPr>
          <w:trHeight w:val="340"/>
        </w:trPr>
        <w:tc>
          <w:tcPr>
            <w:tcW w:w="886" w:type="dxa"/>
            <w:shd w:val="clear" w:color="auto" w:fill="DFDFDF"/>
          </w:tcPr>
          <w:p w:rsidR="00B04AE3" w:rsidRDefault="00B04AE3">
            <w:pPr>
              <w:pStyle w:val="TableParagraph"/>
              <w:spacing w:before="33"/>
              <w:ind w:left="212" w:right="202"/>
              <w:rPr>
                <w:b/>
                <w:sz w:val="21"/>
              </w:rPr>
            </w:pPr>
            <w:r>
              <w:rPr>
                <w:rFonts w:hint="eastAsia"/>
                <w:b/>
                <w:sz w:val="21"/>
              </w:rPr>
              <w:t>序号</w:t>
            </w:r>
          </w:p>
        </w:tc>
        <w:tc>
          <w:tcPr>
            <w:tcW w:w="2548" w:type="dxa"/>
            <w:shd w:val="clear" w:color="auto" w:fill="DFDFDF"/>
          </w:tcPr>
          <w:p w:rsidR="00B04AE3" w:rsidRDefault="00B04AE3">
            <w:pPr>
              <w:pStyle w:val="TableParagraph"/>
              <w:spacing w:before="33"/>
              <w:ind w:left="728" w:right="720"/>
              <w:rPr>
                <w:b/>
                <w:sz w:val="21"/>
              </w:rPr>
            </w:pPr>
            <w:r>
              <w:rPr>
                <w:rFonts w:hint="eastAsia"/>
                <w:b/>
                <w:sz w:val="21"/>
              </w:rPr>
              <w:t>部门</w:t>
            </w:r>
          </w:p>
        </w:tc>
        <w:tc>
          <w:tcPr>
            <w:tcW w:w="2548" w:type="dxa"/>
            <w:shd w:val="clear" w:color="auto" w:fill="DFDFDF"/>
          </w:tcPr>
          <w:p w:rsidR="00B04AE3" w:rsidRDefault="00B04AE3">
            <w:pPr>
              <w:pStyle w:val="TableParagraph"/>
              <w:spacing w:before="33"/>
              <w:ind w:left="728" w:right="718"/>
              <w:rPr>
                <w:b/>
                <w:sz w:val="21"/>
              </w:rPr>
            </w:pPr>
            <w:r>
              <w:rPr>
                <w:rFonts w:hint="eastAsia"/>
                <w:b/>
                <w:sz w:val="21"/>
              </w:rPr>
              <w:t>姓名</w:t>
            </w:r>
          </w:p>
        </w:tc>
        <w:tc>
          <w:tcPr>
            <w:tcW w:w="2546" w:type="dxa"/>
            <w:shd w:val="clear" w:color="auto" w:fill="DFDFDF"/>
          </w:tcPr>
          <w:p w:rsidR="00B04AE3" w:rsidRDefault="00B04AE3">
            <w:pPr>
              <w:pStyle w:val="TableParagraph"/>
              <w:spacing w:before="33"/>
              <w:ind w:left="675" w:right="662"/>
              <w:rPr>
                <w:b/>
                <w:sz w:val="21"/>
              </w:rPr>
            </w:pPr>
            <w:r>
              <w:rPr>
                <w:rFonts w:hint="eastAsia"/>
                <w:b/>
                <w:sz w:val="21"/>
              </w:rPr>
              <w:t>联系方式</w:t>
            </w:r>
          </w:p>
        </w:tc>
      </w:tr>
      <w:tr w:rsidR="00B04AE3">
        <w:trPr>
          <w:trHeight w:val="340"/>
        </w:trPr>
        <w:tc>
          <w:tcPr>
            <w:tcW w:w="886" w:type="dxa"/>
          </w:tcPr>
          <w:p w:rsidR="00B04AE3" w:rsidRDefault="00B04AE3">
            <w:pPr>
              <w:pStyle w:val="TableParagraph"/>
              <w:spacing w:before="47"/>
              <w:ind w:left="6"/>
              <w:rPr>
                <w:rFonts w:ascii="Times New Roman"/>
                <w:sz w:val="21"/>
              </w:rPr>
            </w:pPr>
            <w:r>
              <w:rPr>
                <w:rFonts w:ascii="Times New Roman"/>
                <w:w w:val="99"/>
                <w:sz w:val="21"/>
              </w:rPr>
              <w:t>1</w:t>
            </w:r>
          </w:p>
        </w:tc>
        <w:tc>
          <w:tcPr>
            <w:tcW w:w="2548" w:type="dxa"/>
          </w:tcPr>
          <w:p w:rsidR="00B04AE3" w:rsidRDefault="00B04AE3">
            <w:pPr>
              <w:pStyle w:val="TableParagraph"/>
              <w:spacing w:before="33"/>
              <w:ind w:left="728" w:right="720"/>
              <w:rPr>
                <w:sz w:val="21"/>
              </w:rPr>
            </w:pPr>
            <w:r>
              <w:rPr>
                <w:rFonts w:hint="eastAsia"/>
                <w:sz w:val="21"/>
              </w:rPr>
              <w:t>警戒保卫组</w:t>
            </w:r>
          </w:p>
        </w:tc>
        <w:tc>
          <w:tcPr>
            <w:tcW w:w="2548" w:type="dxa"/>
          </w:tcPr>
          <w:p w:rsidR="00B04AE3" w:rsidRDefault="00B04AE3">
            <w:pPr>
              <w:pStyle w:val="TableParagraph"/>
              <w:spacing w:before="33"/>
              <w:ind w:left="727" w:right="720"/>
              <w:rPr>
                <w:sz w:val="21"/>
              </w:rPr>
            </w:pPr>
            <w:r>
              <w:rPr>
                <w:rFonts w:hint="eastAsia"/>
                <w:sz w:val="21"/>
              </w:rPr>
              <w:t>张磊磊</w:t>
            </w:r>
          </w:p>
        </w:tc>
        <w:tc>
          <w:tcPr>
            <w:tcW w:w="2546" w:type="dxa"/>
          </w:tcPr>
          <w:p w:rsidR="00B04AE3" w:rsidRDefault="00B04AE3">
            <w:pPr>
              <w:pStyle w:val="TableParagraph"/>
              <w:spacing w:before="47"/>
              <w:ind w:left="675" w:right="665"/>
              <w:rPr>
                <w:rFonts w:ascii="Times New Roman"/>
                <w:sz w:val="21"/>
              </w:rPr>
            </w:pPr>
            <w:r>
              <w:rPr>
                <w:rFonts w:ascii="Times New Roman"/>
                <w:sz w:val="21"/>
              </w:rPr>
              <w:t>13755774497</w:t>
            </w:r>
          </w:p>
        </w:tc>
      </w:tr>
    </w:tbl>
    <w:p w:rsidR="00B04AE3" w:rsidRDefault="00B04AE3">
      <w:pPr>
        <w:pStyle w:val="ListParagraph"/>
        <w:numPr>
          <w:ilvl w:val="1"/>
          <w:numId w:val="35"/>
        </w:numPr>
        <w:tabs>
          <w:tab w:val="left" w:pos="787"/>
        </w:tabs>
        <w:spacing w:before="2"/>
        <w:rPr>
          <w:b/>
          <w:sz w:val="30"/>
        </w:rPr>
      </w:pPr>
      <w:bookmarkStart w:id="160" w:name="9.2现场洗消"/>
      <w:bookmarkStart w:id="161" w:name="_bookmark39"/>
      <w:bookmarkEnd w:id="160"/>
      <w:bookmarkEnd w:id="161"/>
      <w:r>
        <w:rPr>
          <w:rFonts w:hint="eastAsia"/>
          <w:b/>
          <w:sz w:val="30"/>
        </w:rPr>
        <w:t>现场洗消</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根据抢险后事故现场的具体情况，洗消去污可以采用以下几种方法：</w:t>
      </w:r>
    </w:p>
    <w:p w:rsidR="00B04AE3" w:rsidRDefault="00B04AE3">
      <w:pPr>
        <w:pStyle w:val="BodyText"/>
        <w:spacing w:before="20" w:line="360" w:lineRule="auto"/>
        <w:ind w:left="334" w:right="334" w:firstLine="482"/>
        <w:jc w:val="both"/>
        <w:rPr>
          <w:spacing w:val="-6"/>
          <w:szCs w:val="22"/>
        </w:rPr>
      </w:pPr>
      <w:r>
        <w:rPr>
          <w:rFonts w:hint="eastAsia"/>
          <w:spacing w:val="-6"/>
          <w:szCs w:val="22"/>
        </w:rPr>
        <w:t>⑴稀释：物料泄漏事故现场洗消工作由事发所在单位负责人具体负责。用酸碱中和的方法将废水中和至</w:t>
      </w:r>
      <w:r>
        <w:rPr>
          <w:spacing w:val="-6"/>
          <w:szCs w:val="22"/>
        </w:rPr>
        <w:t xml:space="preserve"> pH </w:t>
      </w:r>
      <w:r>
        <w:rPr>
          <w:rFonts w:hint="eastAsia"/>
          <w:spacing w:val="-6"/>
          <w:szCs w:val="22"/>
        </w:rPr>
        <w:t>在</w:t>
      </w:r>
      <w:r>
        <w:rPr>
          <w:spacing w:val="-6"/>
          <w:szCs w:val="22"/>
        </w:rPr>
        <w:t xml:space="preserve"> 6-9 </w:t>
      </w:r>
      <w:r>
        <w:rPr>
          <w:rFonts w:hint="eastAsia"/>
          <w:spacing w:val="-6"/>
          <w:szCs w:val="22"/>
        </w:rPr>
        <w:t>即可，产生的废水回收至公司事故水池内；消防废水稀释现场，洗消后的废液排入事故水池。</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⑵吸附：用于吸附泄漏物的消防沙，属于危废，要集中储存在容器中，</w:t>
      </w:r>
      <w:r>
        <w:rPr>
          <w:spacing w:val="-6"/>
          <w:szCs w:val="22"/>
        </w:rPr>
        <w:t xml:space="preserve"> </w:t>
      </w:r>
      <w:r>
        <w:rPr>
          <w:rFonts w:hint="eastAsia"/>
          <w:spacing w:val="-6"/>
          <w:szCs w:val="22"/>
        </w:rPr>
        <w:t>交由有资质的单位集中处置。</w:t>
      </w:r>
    </w:p>
    <w:p w:rsidR="00B04AE3" w:rsidRDefault="00B04AE3">
      <w:pPr>
        <w:pStyle w:val="BodyText"/>
        <w:spacing w:line="306" w:lineRule="exact"/>
        <w:ind w:left="817"/>
      </w:pPr>
      <w:r>
        <w:rPr>
          <w:rFonts w:hint="eastAsia"/>
        </w:rPr>
        <w:t>该部分专门负责的人员如下：</w:t>
      </w:r>
    </w:p>
    <w:p w:rsidR="00B04AE3" w:rsidRDefault="00B04AE3">
      <w:pPr>
        <w:spacing w:before="161"/>
        <w:ind w:left="7"/>
        <w:jc w:val="center"/>
        <w:rPr>
          <w:b/>
          <w:sz w:val="24"/>
        </w:rPr>
      </w:pPr>
      <w:r>
        <w:rPr>
          <w:rFonts w:hint="eastAsia"/>
          <w:b/>
          <w:sz w:val="24"/>
        </w:rPr>
        <w:t>表</w:t>
      </w:r>
      <w:r>
        <w:rPr>
          <w:b/>
          <w:sz w:val="24"/>
        </w:rPr>
        <w:t xml:space="preserve"> </w:t>
      </w:r>
      <w:r>
        <w:rPr>
          <w:rFonts w:ascii="Times New Roman" w:eastAsia="Times New Roman"/>
          <w:b/>
          <w:sz w:val="24"/>
        </w:rPr>
        <w:t xml:space="preserve">9.2-1 </w:t>
      </w:r>
      <w:r>
        <w:rPr>
          <w:rFonts w:hint="eastAsia"/>
          <w:b/>
          <w:sz w:val="24"/>
        </w:rPr>
        <w:t>抢险救援组人员名单</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886"/>
        <w:gridCol w:w="2548"/>
        <w:gridCol w:w="2548"/>
        <w:gridCol w:w="2546"/>
      </w:tblGrid>
      <w:tr w:rsidR="00B04AE3">
        <w:trPr>
          <w:trHeight w:val="340"/>
        </w:trPr>
        <w:tc>
          <w:tcPr>
            <w:tcW w:w="886" w:type="dxa"/>
            <w:shd w:val="clear" w:color="auto" w:fill="DFDFDF"/>
          </w:tcPr>
          <w:p w:rsidR="00B04AE3" w:rsidRDefault="00B04AE3">
            <w:pPr>
              <w:pStyle w:val="TableParagraph"/>
              <w:spacing w:before="32"/>
              <w:ind w:left="212" w:right="202"/>
              <w:rPr>
                <w:b/>
                <w:sz w:val="21"/>
              </w:rPr>
            </w:pPr>
            <w:r>
              <w:rPr>
                <w:rFonts w:hint="eastAsia"/>
                <w:b/>
                <w:sz w:val="21"/>
              </w:rPr>
              <w:t>序号</w:t>
            </w:r>
          </w:p>
        </w:tc>
        <w:tc>
          <w:tcPr>
            <w:tcW w:w="2548" w:type="dxa"/>
            <w:shd w:val="clear" w:color="auto" w:fill="DFDFDF"/>
          </w:tcPr>
          <w:p w:rsidR="00B04AE3" w:rsidRDefault="00B04AE3">
            <w:pPr>
              <w:pStyle w:val="TableParagraph"/>
              <w:spacing w:before="32"/>
              <w:ind w:left="728" w:right="720"/>
              <w:rPr>
                <w:b/>
                <w:sz w:val="21"/>
              </w:rPr>
            </w:pPr>
            <w:r>
              <w:rPr>
                <w:rFonts w:hint="eastAsia"/>
                <w:b/>
                <w:sz w:val="21"/>
              </w:rPr>
              <w:t>部门</w:t>
            </w:r>
          </w:p>
        </w:tc>
        <w:tc>
          <w:tcPr>
            <w:tcW w:w="2548" w:type="dxa"/>
            <w:shd w:val="clear" w:color="auto" w:fill="DFDFDF"/>
          </w:tcPr>
          <w:p w:rsidR="00B04AE3" w:rsidRDefault="00B04AE3">
            <w:pPr>
              <w:pStyle w:val="TableParagraph"/>
              <w:spacing w:before="32"/>
              <w:ind w:left="728" w:right="718"/>
              <w:rPr>
                <w:b/>
                <w:sz w:val="21"/>
              </w:rPr>
            </w:pPr>
            <w:r>
              <w:rPr>
                <w:rFonts w:hint="eastAsia"/>
                <w:b/>
                <w:sz w:val="21"/>
              </w:rPr>
              <w:t>姓名</w:t>
            </w:r>
          </w:p>
        </w:tc>
        <w:tc>
          <w:tcPr>
            <w:tcW w:w="2546" w:type="dxa"/>
            <w:shd w:val="clear" w:color="auto" w:fill="DFDFDF"/>
          </w:tcPr>
          <w:p w:rsidR="00B04AE3" w:rsidRDefault="00B04AE3">
            <w:pPr>
              <w:pStyle w:val="TableParagraph"/>
              <w:spacing w:before="32"/>
              <w:ind w:left="675" w:right="662"/>
              <w:rPr>
                <w:b/>
                <w:sz w:val="21"/>
              </w:rPr>
            </w:pPr>
            <w:r>
              <w:rPr>
                <w:rFonts w:hint="eastAsia"/>
                <w:b/>
                <w:sz w:val="21"/>
              </w:rPr>
              <w:t>联系方式</w:t>
            </w:r>
          </w:p>
        </w:tc>
      </w:tr>
      <w:tr w:rsidR="00B04AE3">
        <w:trPr>
          <w:trHeight w:val="339"/>
        </w:trPr>
        <w:tc>
          <w:tcPr>
            <w:tcW w:w="886" w:type="dxa"/>
          </w:tcPr>
          <w:p w:rsidR="00B04AE3" w:rsidRDefault="00B04AE3">
            <w:pPr>
              <w:pStyle w:val="TableParagraph"/>
              <w:spacing w:before="49"/>
              <w:ind w:left="6"/>
              <w:rPr>
                <w:rFonts w:ascii="Times New Roman"/>
                <w:sz w:val="21"/>
              </w:rPr>
            </w:pPr>
            <w:r>
              <w:rPr>
                <w:rFonts w:ascii="Times New Roman"/>
                <w:w w:val="99"/>
                <w:sz w:val="21"/>
              </w:rPr>
              <w:t>1</w:t>
            </w:r>
          </w:p>
        </w:tc>
        <w:tc>
          <w:tcPr>
            <w:tcW w:w="2548" w:type="dxa"/>
            <w:vMerge w:val="restart"/>
          </w:tcPr>
          <w:p w:rsidR="00B04AE3" w:rsidRDefault="00B04AE3">
            <w:pPr>
              <w:pStyle w:val="TableParagraph"/>
              <w:spacing w:before="3"/>
              <w:jc w:val="left"/>
              <w:rPr>
                <w:b/>
                <w:sz w:val="16"/>
              </w:rPr>
            </w:pPr>
          </w:p>
          <w:p w:rsidR="00B04AE3" w:rsidRDefault="00B04AE3">
            <w:pPr>
              <w:pStyle w:val="TableParagraph"/>
              <w:ind w:left="748"/>
              <w:jc w:val="left"/>
              <w:rPr>
                <w:sz w:val="21"/>
              </w:rPr>
            </w:pPr>
            <w:r>
              <w:rPr>
                <w:rFonts w:hint="eastAsia"/>
                <w:sz w:val="21"/>
              </w:rPr>
              <w:t>抢险救援组</w:t>
            </w:r>
          </w:p>
        </w:tc>
        <w:tc>
          <w:tcPr>
            <w:tcW w:w="2548" w:type="dxa"/>
            <w:vAlign w:val="center"/>
          </w:tcPr>
          <w:p w:rsidR="00B04AE3" w:rsidRDefault="00B04AE3">
            <w:pPr>
              <w:jc w:val="center"/>
              <w:rPr>
                <w:color w:val="FF0000"/>
                <w:sz w:val="21"/>
              </w:rPr>
            </w:pPr>
            <w:r>
              <w:rPr>
                <w:rFonts w:hint="eastAsia"/>
                <w:sz w:val="21"/>
              </w:rPr>
              <w:t>魏龙</w:t>
            </w:r>
          </w:p>
        </w:tc>
        <w:tc>
          <w:tcPr>
            <w:tcW w:w="2546" w:type="dxa"/>
            <w:vAlign w:val="center"/>
          </w:tcPr>
          <w:p w:rsidR="00B04AE3" w:rsidRDefault="00B04AE3">
            <w:pPr>
              <w:jc w:val="center"/>
              <w:rPr>
                <w:rFonts w:ascii="Times New Roman"/>
                <w:color w:val="FF0000"/>
                <w:sz w:val="21"/>
              </w:rPr>
            </w:pPr>
            <w:r>
              <w:rPr>
                <w:sz w:val="21"/>
              </w:rPr>
              <w:t>15070864925</w:t>
            </w:r>
          </w:p>
        </w:tc>
      </w:tr>
      <w:tr w:rsidR="00B04AE3">
        <w:trPr>
          <w:trHeight w:val="340"/>
        </w:trPr>
        <w:tc>
          <w:tcPr>
            <w:tcW w:w="886" w:type="dxa"/>
          </w:tcPr>
          <w:p w:rsidR="00B04AE3" w:rsidRDefault="00B04AE3">
            <w:pPr>
              <w:pStyle w:val="TableParagraph"/>
              <w:spacing w:before="47"/>
              <w:ind w:left="6"/>
              <w:rPr>
                <w:rFonts w:ascii="Times New Roman"/>
                <w:sz w:val="21"/>
              </w:rPr>
            </w:pPr>
            <w:r>
              <w:rPr>
                <w:rFonts w:ascii="Times New Roman"/>
                <w:w w:val="99"/>
                <w:sz w:val="21"/>
              </w:rPr>
              <w:t>2</w:t>
            </w:r>
          </w:p>
        </w:tc>
        <w:tc>
          <w:tcPr>
            <w:tcW w:w="2548" w:type="dxa"/>
            <w:vMerge/>
            <w:tcBorders>
              <w:top w:val="nil"/>
            </w:tcBorders>
          </w:tcPr>
          <w:p w:rsidR="00B04AE3" w:rsidRDefault="00B04AE3">
            <w:pPr>
              <w:rPr>
                <w:sz w:val="2"/>
                <w:szCs w:val="2"/>
              </w:rPr>
            </w:pPr>
          </w:p>
        </w:tc>
        <w:tc>
          <w:tcPr>
            <w:tcW w:w="2548" w:type="dxa"/>
            <w:vAlign w:val="center"/>
          </w:tcPr>
          <w:p w:rsidR="00B04AE3" w:rsidRDefault="00B04AE3">
            <w:pPr>
              <w:jc w:val="center"/>
              <w:rPr>
                <w:sz w:val="21"/>
              </w:rPr>
            </w:pPr>
            <w:r>
              <w:rPr>
                <w:rFonts w:hint="eastAsia"/>
                <w:sz w:val="21"/>
              </w:rPr>
              <w:t>黄硕奇</w:t>
            </w:r>
          </w:p>
        </w:tc>
        <w:tc>
          <w:tcPr>
            <w:tcW w:w="2546" w:type="dxa"/>
            <w:vAlign w:val="center"/>
          </w:tcPr>
          <w:p w:rsidR="00B04AE3" w:rsidRDefault="00B04AE3">
            <w:pPr>
              <w:jc w:val="center"/>
              <w:rPr>
                <w:sz w:val="21"/>
              </w:rPr>
            </w:pPr>
            <w:r>
              <w:rPr>
                <w:sz w:val="21"/>
              </w:rPr>
              <w:t>13197910632</w:t>
            </w:r>
          </w:p>
        </w:tc>
      </w:tr>
    </w:tbl>
    <w:p w:rsidR="00B04AE3" w:rsidRDefault="00B04AE3">
      <w:pPr>
        <w:pStyle w:val="ListParagraph"/>
        <w:numPr>
          <w:ilvl w:val="1"/>
          <w:numId w:val="35"/>
        </w:numPr>
        <w:tabs>
          <w:tab w:val="left" w:pos="787"/>
        </w:tabs>
        <w:spacing w:before="1"/>
        <w:rPr>
          <w:b/>
          <w:sz w:val="30"/>
        </w:rPr>
      </w:pPr>
      <w:bookmarkStart w:id="162" w:name="9.3善后处理"/>
      <w:bookmarkStart w:id="163" w:name="_bookmark40"/>
      <w:bookmarkEnd w:id="162"/>
      <w:bookmarkEnd w:id="163"/>
      <w:r>
        <w:rPr>
          <w:rFonts w:hint="eastAsia"/>
          <w:b/>
          <w:sz w:val="30"/>
        </w:rPr>
        <w:t>善后处理</w:t>
      </w:r>
    </w:p>
    <w:p w:rsidR="00B04AE3" w:rsidRDefault="00B04AE3">
      <w:pPr>
        <w:pStyle w:val="BodyText"/>
        <w:spacing w:before="20" w:line="360" w:lineRule="auto"/>
        <w:ind w:left="334" w:right="334" w:firstLine="482"/>
        <w:jc w:val="both"/>
        <w:rPr>
          <w:spacing w:val="-6"/>
          <w:szCs w:val="22"/>
        </w:rPr>
      </w:pPr>
      <w:r>
        <w:rPr>
          <w:rFonts w:hint="eastAsia"/>
          <w:spacing w:val="-6"/>
          <w:szCs w:val="22"/>
        </w:rPr>
        <w:t>善后安置工作由应急办公室负责，包括人员安置、损失补偿、征用物资补偿及灾后重建，污染物收集、清理与处理等事项。</w:t>
      </w:r>
    </w:p>
    <w:p w:rsidR="00B04AE3" w:rsidRDefault="00B04AE3">
      <w:pPr>
        <w:spacing w:after="3" w:line="306" w:lineRule="exact"/>
        <w:ind w:left="7"/>
        <w:jc w:val="center"/>
        <w:rPr>
          <w:b/>
          <w:sz w:val="24"/>
        </w:rPr>
      </w:pPr>
      <w:r>
        <w:rPr>
          <w:rFonts w:hint="eastAsia"/>
          <w:b/>
          <w:sz w:val="24"/>
        </w:rPr>
        <w:t>表</w:t>
      </w:r>
      <w:r>
        <w:rPr>
          <w:b/>
          <w:sz w:val="24"/>
        </w:rPr>
        <w:t xml:space="preserve"> </w:t>
      </w:r>
      <w:r>
        <w:rPr>
          <w:rFonts w:ascii="Times New Roman" w:eastAsia="Times New Roman"/>
          <w:b/>
          <w:sz w:val="24"/>
        </w:rPr>
        <w:t xml:space="preserve">9.2-2  </w:t>
      </w:r>
      <w:r>
        <w:rPr>
          <w:rFonts w:hint="eastAsia"/>
          <w:b/>
          <w:sz w:val="24"/>
        </w:rPr>
        <w:t>应急指挥部人员名单</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886"/>
        <w:gridCol w:w="2548"/>
        <w:gridCol w:w="2548"/>
        <w:gridCol w:w="2546"/>
      </w:tblGrid>
      <w:tr w:rsidR="00B04AE3">
        <w:trPr>
          <w:trHeight w:val="340"/>
        </w:trPr>
        <w:tc>
          <w:tcPr>
            <w:tcW w:w="886" w:type="dxa"/>
            <w:shd w:val="clear" w:color="auto" w:fill="DFDFDF"/>
          </w:tcPr>
          <w:p w:rsidR="00B04AE3" w:rsidRDefault="00B04AE3">
            <w:pPr>
              <w:pStyle w:val="TableParagraph"/>
              <w:spacing w:before="34"/>
              <w:ind w:left="212" w:right="202"/>
              <w:rPr>
                <w:b/>
                <w:sz w:val="21"/>
              </w:rPr>
            </w:pPr>
            <w:r>
              <w:rPr>
                <w:rFonts w:hint="eastAsia"/>
                <w:b/>
                <w:sz w:val="21"/>
              </w:rPr>
              <w:t>序号</w:t>
            </w:r>
          </w:p>
        </w:tc>
        <w:tc>
          <w:tcPr>
            <w:tcW w:w="2548" w:type="dxa"/>
            <w:shd w:val="clear" w:color="auto" w:fill="DFDFDF"/>
          </w:tcPr>
          <w:p w:rsidR="00B04AE3" w:rsidRDefault="00B04AE3">
            <w:pPr>
              <w:pStyle w:val="TableParagraph"/>
              <w:spacing w:before="34"/>
              <w:ind w:left="728" w:right="720"/>
              <w:rPr>
                <w:b/>
                <w:sz w:val="21"/>
              </w:rPr>
            </w:pPr>
            <w:r>
              <w:rPr>
                <w:rFonts w:hint="eastAsia"/>
                <w:b/>
                <w:sz w:val="21"/>
              </w:rPr>
              <w:t>部门</w:t>
            </w:r>
          </w:p>
        </w:tc>
        <w:tc>
          <w:tcPr>
            <w:tcW w:w="2548" w:type="dxa"/>
            <w:shd w:val="clear" w:color="auto" w:fill="DFDFDF"/>
          </w:tcPr>
          <w:p w:rsidR="00B04AE3" w:rsidRDefault="00B04AE3">
            <w:pPr>
              <w:pStyle w:val="TableParagraph"/>
              <w:spacing w:before="34"/>
              <w:ind w:left="728" w:right="718"/>
              <w:rPr>
                <w:b/>
                <w:sz w:val="21"/>
              </w:rPr>
            </w:pPr>
            <w:r>
              <w:rPr>
                <w:rFonts w:hint="eastAsia"/>
                <w:b/>
                <w:sz w:val="21"/>
              </w:rPr>
              <w:t>姓名</w:t>
            </w:r>
          </w:p>
        </w:tc>
        <w:tc>
          <w:tcPr>
            <w:tcW w:w="2546" w:type="dxa"/>
            <w:shd w:val="clear" w:color="auto" w:fill="DFDFDF"/>
          </w:tcPr>
          <w:p w:rsidR="00B04AE3" w:rsidRDefault="00B04AE3">
            <w:pPr>
              <w:pStyle w:val="TableParagraph"/>
              <w:spacing w:before="34"/>
              <w:ind w:left="675" w:right="662"/>
              <w:rPr>
                <w:b/>
                <w:sz w:val="21"/>
              </w:rPr>
            </w:pPr>
            <w:r>
              <w:rPr>
                <w:rFonts w:hint="eastAsia"/>
                <w:b/>
                <w:sz w:val="21"/>
              </w:rPr>
              <w:t>联系方式</w:t>
            </w:r>
          </w:p>
        </w:tc>
      </w:tr>
      <w:tr w:rsidR="00B04AE3">
        <w:trPr>
          <w:trHeight w:val="340"/>
        </w:trPr>
        <w:tc>
          <w:tcPr>
            <w:tcW w:w="886" w:type="dxa"/>
          </w:tcPr>
          <w:p w:rsidR="00B04AE3" w:rsidRDefault="00B04AE3">
            <w:pPr>
              <w:pStyle w:val="TableParagraph"/>
              <w:spacing w:before="48"/>
              <w:ind w:left="6"/>
              <w:rPr>
                <w:rFonts w:ascii="Times New Roman"/>
                <w:sz w:val="21"/>
              </w:rPr>
            </w:pPr>
            <w:r>
              <w:rPr>
                <w:rFonts w:ascii="Times New Roman"/>
                <w:w w:val="99"/>
                <w:sz w:val="21"/>
              </w:rPr>
              <w:t>1</w:t>
            </w:r>
          </w:p>
        </w:tc>
        <w:tc>
          <w:tcPr>
            <w:tcW w:w="2548" w:type="dxa"/>
          </w:tcPr>
          <w:p w:rsidR="00B04AE3" w:rsidRDefault="00B04AE3">
            <w:pPr>
              <w:pStyle w:val="TableParagraph"/>
              <w:spacing w:before="34"/>
              <w:ind w:left="726" w:right="720"/>
              <w:rPr>
                <w:sz w:val="21"/>
              </w:rPr>
            </w:pPr>
            <w:r>
              <w:rPr>
                <w:rFonts w:hint="eastAsia"/>
                <w:sz w:val="21"/>
              </w:rPr>
              <w:t>总指挥</w:t>
            </w:r>
          </w:p>
        </w:tc>
        <w:tc>
          <w:tcPr>
            <w:tcW w:w="2548" w:type="dxa"/>
          </w:tcPr>
          <w:p w:rsidR="00B04AE3" w:rsidRDefault="00B04AE3">
            <w:pPr>
              <w:pStyle w:val="TableParagraph"/>
              <w:spacing w:before="34"/>
              <w:ind w:left="727" w:right="720"/>
              <w:rPr>
                <w:sz w:val="21"/>
              </w:rPr>
            </w:pPr>
            <w:r>
              <w:rPr>
                <w:rFonts w:hint="eastAsia"/>
                <w:sz w:val="21"/>
              </w:rPr>
              <w:t>金云峰</w:t>
            </w:r>
          </w:p>
        </w:tc>
        <w:tc>
          <w:tcPr>
            <w:tcW w:w="2546" w:type="dxa"/>
          </w:tcPr>
          <w:p w:rsidR="00B04AE3" w:rsidRDefault="00B04AE3">
            <w:pPr>
              <w:pStyle w:val="TableParagraph"/>
              <w:spacing w:before="48"/>
              <w:ind w:left="675" w:right="665"/>
              <w:rPr>
                <w:rFonts w:ascii="Times New Roman"/>
                <w:sz w:val="21"/>
              </w:rPr>
            </w:pPr>
            <w:r>
              <w:rPr>
                <w:rFonts w:ascii="Times New Roman"/>
                <w:sz w:val="21"/>
              </w:rPr>
              <w:t>15797906676</w:t>
            </w:r>
          </w:p>
        </w:tc>
      </w:tr>
      <w:tr w:rsidR="00B04AE3">
        <w:trPr>
          <w:trHeight w:val="340"/>
        </w:trPr>
        <w:tc>
          <w:tcPr>
            <w:tcW w:w="886" w:type="dxa"/>
          </w:tcPr>
          <w:p w:rsidR="00B04AE3" w:rsidRDefault="00B04AE3">
            <w:pPr>
              <w:pStyle w:val="TableParagraph"/>
              <w:spacing w:before="48"/>
              <w:ind w:left="6"/>
              <w:rPr>
                <w:rFonts w:ascii="Times New Roman"/>
                <w:sz w:val="21"/>
              </w:rPr>
            </w:pPr>
            <w:r>
              <w:rPr>
                <w:rFonts w:ascii="Times New Roman"/>
                <w:w w:val="99"/>
                <w:sz w:val="21"/>
              </w:rPr>
              <w:t>2</w:t>
            </w:r>
          </w:p>
        </w:tc>
        <w:tc>
          <w:tcPr>
            <w:tcW w:w="2548" w:type="dxa"/>
          </w:tcPr>
          <w:p w:rsidR="00B04AE3" w:rsidRDefault="00B04AE3">
            <w:pPr>
              <w:pStyle w:val="TableParagraph"/>
              <w:spacing w:before="34"/>
              <w:ind w:left="728" w:right="720"/>
              <w:rPr>
                <w:sz w:val="21"/>
              </w:rPr>
            </w:pPr>
            <w:r>
              <w:rPr>
                <w:rFonts w:hint="eastAsia"/>
                <w:sz w:val="21"/>
              </w:rPr>
              <w:t>副总指挥</w:t>
            </w:r>
          </w:p>
        </w:tc>
        <w:tc>
          <w:tcPr>
            <w:tcW w:w="2548" w:type="dxa"/>
          </w:tcPr>
          <w:p w:rsidR="00B04AE3" w:rsidRDefault="00B04AE3">
            <w:pPr>
              <w:pStyle w:val="TableParagraph"/>
              <w:spacing w:before="34"/>
              <w:ind w:left="727" w:right="720"/>
              <w:rPr>
                <w:sz w:val="21"/>
              </w:rPr>
            </w:pPr>
            <w:r>
              <w:rPr>
                <w:rFonts w:hint="eastAsia"/>
                <w:sz w:val="21"/>
              </w:rPr>
              <w:t>廖欣</w:t>
            </w:r>
          </w:p>
        </w:tc>
        <w:tc>
          <w:tcPr>
            <w:tcW w:w="2546" w:type="dxa"/>
          </w:tcPr>
          <w:p w:rsidR="00B04AE3" w:rsidRDefault="00B04AE3">
            <w:pPr>
              <w:pStyle w:val="TableParagraph"/>
              <w:spacing w:before="48"/>
              <w:ind w:left="675" w:right="665"/>
              <w:rPr>
                <w:rFonts w:ascii="Times New Roman"/>
                <w:sz w:val="21"/>
              </w:rPr>
            </w:pPr>
            <w:r>
              <w:rPr>
                <w:rFonts w:ascii="Times New Roman"/>
                <w:sz w:val="21"/>
              </w:rPr>
              <w:t>13879166894</w:t>
            </w:r>
          </w:p>
        </w:tc>
      </w:tr>
      <w:tr w:rsidR="00B04AE3">
        <w:trPr>
          <w:trHeight w:val="340"/>
        </w:trPr>
        <w:tc>
          <w:tcPr>
            <w:tcW w:w="886" w:type="dxa"/>
          </w:tcPr>
          <w:p w:rsidR="00B04AE3" w:rsidRDefault="00B04AE3">
            <w:pPr>
              <w:pStyle w:val="TableParagraph"/>
              <w:spacing w:before="49"/>
              <w:ind w:left="6"/>
              <w:rPr>
                <w:rFonts w:ascii="Times New Roman"/>
                <w:sz w:val="21"/>
              </w:rPr>
            </w:pPr>
            <w:r>
              <w:rPr>
                <w:rFonts w:ascii="Times New Roman"/>
                <w:w w:val="99"/>
                <w:sz w:val="21"/>
              </w:rPr>
              <w:t>3</w:t>
            </w:r>
          </w:p>
        </w:tc>
        <w:tc>
          <w:tcPr>
            <w:tcW w:w="2548" w:type="dxa"/>
            <w:vMerge w:val="restart"/>
          </w:tcPr>
          <w:p w:rsidR="00B04AE3" w:rsidRDefault="00B04AE3">
            <w:pPr>
              <w:pStyle w:val="TableParagraph"/>
              <w:spacing w:before="3"/>
              <w:jc w:val="left"/>
              <w:rPr>
                <w:b/>
                <w:sz w:val="16"/>
              </w:rPr>
            </w:pPr>
          </w:p>
          <w:p w:rsidR="00B04AE3" w:rsidRDefault="00B04AE3">
            <w:pPr>
              <w:pStyle w:val="TableParagraph"/>
              <w:ind w:left="748"/>
              <w:jc w:val="left"/>
              <w:rPr>
                <w:sz w:val="21"/>
              </w:rPr>
            </w:pPr>
            <w:r>
              <w:rPr>
                <w:rFonts w:hint="eastAsia"/>
                <w:sz w:val="21"/>
              </w:rPr>
              <w:t>应急办成员</w:t>
            </w:r>
          </w:p>
        </w:tc>
        <w:tc>
          <w:tcPr>
            <w:tcW w:w="2548" w:type="dxa"/>
          </w:tcPr>
          <w:p w:rsidR="00B04AE3" w:rsidRDefault="00B04AE3">
            <w:pPr>
              <w:pStyle w:val="TableParagraph"/>
              <w:spacing w:before="35"/>
              <w:ind w:left="727" w:right="720"/>
              <w:rPr>
                <w:sz w:val="21"/>
              </w:rPr>
            </w:pPr>
            <w:r>
              <w:rPr>
                <w:rFonts w:hint="eastAsia"/>
                <w:sz w:val="21"/>
              </w:rPr>
              <w:t>金云峰</w:t>
            </w:r>
          </w:p>
        </w:tc>
        <w:tc>
          <w:tcPr>
            <w:tcW w:w="2546" w:type="dxa"/>
          </w:tcPr>
          <w:p w:rsidR="00B04AE3" w:rsidRDefault="00B04AE3">
            <w:pPr>
              <w:pStyle w:val="TableParagraph"/>
              <w:spacing w:before="49"/>
              <w:ind w:left="675" w:right="665"/>
              <w:rPr>
                <w:rFonts w:ascii="Times New Roman"/>
                <w:sz w:val="21"/>
              </w:rPr>
            </w:pPr>
            <w:r>
              <w:rPr>
                <w:rFonts w:ascii="Times New Roman"/>
                <w:sz w:val="21"/>
              </w:rPr>
              <w:t>15797906676</w:t>
            </w:r>
          </w:p>
        </w:tc>
      </w:tr>
      <w:tr w:rsidR="00B04AE3">
        <w:trPr>
          <w:trHeight w:val="340"/>
        </w:trPr>
        <w:tc>
          <w:tcPr>
            <w:tcW w:w="886" w:type="dxa"/>
          </w:tcPr>
          <w:p w:rsidR="00B04AE3" w:rsidRDefault="00B04AE3">
            <w:pPr>
              <w:pStyle w:val="TableParagraph"/>
              <w:spacing w:before="49"/>
              <w:ind w:left="6"/>
              <w:rPr>
                <w:rFonts w:ascii="Times New Roman"/>
                <w:sz w:val="21"/>
              </w:rPr>
            </w:pPr>
            <w:r>
              <w:rPr>
                <w:rFonts w:ascii="Times New Roman"/>
                <w:w w:val="99"/>
                <w:sz w:val="21"/>
              </w:rPr>
              <w:t>4</w:t>
            </w:r>
          </w:p>
        </w:tc>
        <w:tc>
          <w:tcPr>
            <w:tcW w:w="2548" w:type="dxa"/>
            <w:vMerge/>
            <w:tcBorders>
              <w:top w:val="nil"/>
            </w:tcBorders>
          </w:tcPr>
          <w:p w:rsidR="00B04AE3" w:rsidRDefault="00B04AE3">
            <w:pPr>
              <w:rPr>
                <w:sz w:val="2"/>
                <w:szCs w:val="2"/>
              </w:rPr>
            </w:pPr>
          </w:p>
        </w:tc>
        <w:tc>
          <w:tcPr>
            <w:tcW w:w="2548" w:type="dxa"/>
          </w:tcPr>
          <w:p w:rsidR="00B04AE3" w:rsidRDefault="00B04AE3">
            <w:pPr>
              <w:pStyle w:val="TableParagraph"/>
              <w:spacing w:before="33"/>
              <w:ind w:left="727" w:right="720"/>
              <w:rPr>
                <w:sz w:val="21"/>
              </w:rPr>
            </w:pPr>
            <w:r>
              <w:rPr>
                <w:rFonts w:hint="eastAsia"/>
                <w:sz w:val="21"/>
              </w:rPr>
              <w:t>廖欣</w:t>
            </w:r>
          </w:p>
        </w:tc>
        <w:tc>
          <w:tcPr>
            <w:tcW w:w="2546" w:type="dxa"/>
          </w:tcPr>
          <w:p w:rsidR="00B04AE3" w:rsidRDefault="00B04AE3">
            <w:pPr>
              <w:pStyle w:val="TableParagraph"/>
              <w:spacing w:before="49"/>
              <w:ind w:left="675" w:right="665"/>
              <w:rPr>
                <w:rFonts w:ascii="Times New Roman"/>
                <w:sz w:val="21"/>
              </w:rPr>
            </w:pPr>
            <w:r>
              <w:rPr>
                <w:rFonts w:ascii="Times New Roman"/>
                <w:sz w:val="21"/>
              </w:rPr>
              <w:t>13879166894</w:t>
            </w:r>
          </w:p>
        </w:tc>
      </w:tr>
    </w:tbl>
    <w:p w:rsidR="00B04AE3" w:rsidRDefault="00B04AE3">
      <w:pPr>
        <w:pStyle w:val="ListParagraph"/>
        <w:numPr>
          <w:ilvl w:val="2"/>
          <w:numId w:val="36"/>
        </w:numPr>
        <w:tabs>
          <w:tab w:val="left" w:pos="1348"/>
        </w:tabs>
        <w:spacing w:before="1"/>
        <w:rPr>
          <w:b/>
          <w:sz w:val="24"/>
        </w:rPr>
      </w:pPr>
      <w:bookmarkStart w:id="164" w:name="9.3.1伤亡人员的安置与抚恤"/>
      <w:bookmarkEnd w:id="164"/>
      <w:r>
        <w:rPr>
          <w:rFonts w:hint="eastAsia"/>
          <w:b/>
          <w:sz w:val="24"/>
        </w:rPr>
        <w:t>伤亡人员的安置与抚恤</w:t>
      </w:r>
    </w:p>
    <w:p w:rsidR="00B04AE3" w:rsidRDefault="00B04AE3">
      <w:pPr>
        <w:pStyle w:val="BodyText"/>
        <w:spacing w:before="20" w:line="360" w:lineRule="auto"/>
        <w:ind w:left="334" w:right="334" w:firstLine="482"/>
        <w:jc w:val="both"/>
        <w:rPr>
          <w:spacing w:val="-6"/>
          <w:szCs w:val="22"/>
        </w:rPr>
      </w:pPr>
      <w:r>
        <w:rPr>
          <w:rFonts w:hint="eastAsia"/>
          <w:spacing w:val="-6"/>
          <w:szCs w:val="22"/>
        </w:rPr>
        <w:t>如有人员伤亡，公司负责人连同应急办公司查明事故原因后，根据国家法律</w:t>
      </w:r>
      <w:bookmarkStart w:id="165" w:name="10_应急培训和演练"/>
      <w:bookmarkEnd w:id="165"/>
      <w:r>
        <w:rPr>
          <w:rFonts w:hint="eastAsia"/>
          <w:spacing w:val="-6"/>
          <w:szCs w:val="22"/>
        </w:rPr>
        <w:t>法规标准做好善后处理工作，妥善安置伤者家属，并积极赔偿或赔付相关费用。</w:t>
      </w:r>
    </w:p>
    <w:p w:rsidR="00B04AE3" w:rsidRDefault="00B04AE3">
      <w:pPr>
        <w:pStyle w:val="ListParagraph"/>
        <w:numPr>
          <w:ilvl w:val="2"/>
          <w:numId w:val="36"/>
        </w:numPr>
        <w:tabs>
          <w:tab w:val="left" w:pos="1348"/>
        </w:tabs>
        <w:spacing w:before="160"/>
        <w:rPr>
          <w:b/>
          <w:sz w:val="24"/>
        </w:rPr>
      </w:pPr>
      <w:bookmarkStart w:id="166" w:name="9.3.2调用物资的清理与补偿"/>
      <w:bookmarkEnd w:id="166"/>
      <w:r>
        <w:rPr>
          <w:rFonts w:hint="eastAsia"/>
          <w:b/>
          <w:sz w:val="24"/>
        </w:rPr>
        <w:t>调用物资的清理与补偿</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⑴应急办公室对调用物资进行及时清理；</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⑵清查短缺应急救援物资，并及时补充。</w:t>
      </w:r>
    </w:p>
    <w:p w:rsidR="00B04AE3" w:rsidRDefault="00B04AE3">
      <w:pPr>
        <w:pStyle w:val="ListParagraph"/>
        <w:numPr>
          <w:ilvl w:val="2"/>
          <w:numId w:val="36"/>
        </w:numPr>
        <w:tabs>
          <w:tab w:val="left" w:pos="1358"/>
        </w:tabs>
        <w:spacing w:before="158"/>
        <w:ind w:left="1357"/>
        <w:rPr>
          <w:b/>
          <w:sz w:val="24"/>
        </w:rPr>
      </w:pPr>
      <w:r>
        <w:rPr>
          <w:rFonts w:hint="eastAsia"/>
          <w:b/>
          <w:sz w:val="24"/>
        </w:rPr>
        <w:t>环境污染的赔偿</w:t>
      </w:r>
    </w:p>
    <w:p w:rsidR="00B04AE3" w:rsidRDefault="00B04AE3">
      <w:pPr>
        <w:pStyle w:val="BodyText"/>
        <w:spacing w:before="20" w:line="360" w:lineRule="auto"/>
        <w:ind w:left="334" w:right="334" w:firstLine="482"/>
        <w:jc w:val="both"/>
        <w:rPr>
          <w:spacing w:val="-6"/>
          <w:szCs w:val="22"/>
        </w:rPr>
      </w:pPr>
      <w:r>
        <w:rPr>
          <w:rFonts w:hint="eastAsia"/>
          <w:spacing w:val="-6"/>
          <w:szCs w:val="22"/>
        </w:rPr>
        <w:t>对于环境污染赔偿，公司负责人连同安全环保部、生产部、财务部等部门成立事故赔偿小组，对环境影响进行评估和处理，并跟踪污染情况。</w:t>
      </w:r>
    </w:p>
    <w:p w:rsidR="00B04AE3" w:rsidRDefault="00B04AE3">
      <w:pPr>
        <w:pStyle w:val="ListParagraph"/>
        <w:numPr>
          <w:ilvl w:val="1"/>
          <w:numId w:val="36"/>
        </w:numPr>
        <w:tabs>
          <w:tab w:val="left" w:pos="787"/>
        </w:tabs>
        <w:spacing w:before="5"/>
        <w:ind w:left="786" w:hanging="449"/>
        <w:rPr>
          <w:rFonts w:ascii="Times New Roman" w:eastAsia="Times New Roman"/>
          <w:b/>
          <w:sz w:val="30"/>
        </w:rPr>
      </w:pPr>
      <w:bookmarkStart w:id="167" w:name="9.4环境影响评估"/>
      <w:bookmarkStart w:id="168" w:name="_bookmark41"/>
      <w:bookmarkEnd w:id="167"/>
      <w:bookmarkEnd w:id="168"/>
      <w:r>
        <w:rPr>
          <w:rFonts w:hint="eastAsia"/>
          <w:b/>
          <w:sz w:val="30"/>
        </w:rPr>
        <w:t>环境影响评估</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办公室组织环境监测、环境评价人员及相关部门或专家对事故进行污染损失评估和进行后续追踪监测，弄清污染状况和污染覆盖面，确定事故的波及范围和影响程度，对事故污染的经济损失进行评估，报经济技术开发区环保局应急办。</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环境污染事故的经济损失一般包括如下几方面：</w:t>
      </w:r>
    </w:p>
    <w:p w:rsidR="00B04AE3" w:rsidRDefault="00B04AE3">
      <w:pPr>
        <w:pStyle w:val="BodyText"/>
        <w:spacing w:before="20" w:line="360" w:lineRule="auto"/>
        <w:ind w:left="334" w:right="334" w:firstLine="482"/>
        <w:jc w:val="both"/>
        <w:rPr>
          <w:spacing w:val="-6"/>
          <w:szCs w:val="22"/>
        </w:rPr>
      </w:pPr>
      <w:r>
        <w:rPr>
          <w:rFonts w:hint="eastAsia"/>
          <w:spacing w:val="-6"/>
          <w:szCs w:val="22"/>
        </w:rPr>
        <w:t>⑴自然资源和能源流失的损失；</w:t>
      </w:r>
    </w:p>
    <w:p w:rsidR="00B04AE3" w:rsidRDefault="00B04AE3">
      <w:pPr>
        <w:pStyle w:val="BodyText"/>
        <w:spacing w:before="20" w:line="360" w:lineRule="auto"/>
        <w:ind w:left="334" w:right="334" w:firstLine="482"/>
        <w:jc w:val="both"/>
        <w:rPr>
          <w:spacing w:val="-6"/>
          <w:szCs w:val="22"/>
        </w:rPr>
      </w:pPr>
      <w:r>
        <w:rPr>
          <w:rFonts w:hint="eastAsia"/>
          <w:spacing w:val="-6"/>
          <w:szCs w:val="22"/>
        </w:rPr>
        <w:t>⑵人员生命、健康和劳动力损失；</w:t>
      </w:r>
    </w:p>
    <w:p w:rsidR="00B04AE3" w:rsidRDefault="00B04AE3">
      <w:pPr>
        <w:pStyle w:val="BodyText"/>
        <w:spacing w:before="20" w:line="360" w:lineRule="auto"/>
        <w:ind w:left="334" w:right="334" w:firstLine="482"/>
        <w:jc w:val="both"/>
        <w:rPr>
          <w:spacing w:val="-6"/>
          <w:szCs w:val="22"/>
        </w:rPr>
      </w:pPr>
      <w:r>
        <w:rPr>
          <w:rFonts w:hint="eastAsia"/>
          <w:spacing w:val="-6"/>
          <w:szCs w:val="22"/>
        </w:rPr>
        <w:t>⑶事故清污费用及其它事故处理费用；</w:t>
      </w:r>
    </w:p>
    <w:p w:rsidR="00B04AE3" w:rsidRDefault="00B04AE3">
      <w:pPr>
        <w:pStyle w:val="BodyText"/>
        <w:spacing w:before="20" w:line="360" w:lineRule="auto"/>
        <w:ind w:left="334" w:right="334" w:firstLine="482"/>
        <w:jc w:val="both"/>
        <w:rPr>
          <w:spacing w:val="-6"/>
          <w:szCs w:val="22"/>
        </w:rPr>
      </w:pPr>
      <w:r>
        <w:rPr>
          <w:rFonts w:hint="eastAsia"/>
          <w:spacing w:val="-6"/>
          <w:szCs w:val="22"/>
        </w:rPr>
        <w:t>⑷事故后期环境恢复措施及相关监测费用；</w:t>
      </w:r>
    </w:p>
    <w:p w:rsidR="00B04AE3" w:rsidRDefault="00B04AE3">
      <w:pPr>
        <w:pStyle w:val="BodyText"/>
        <w:spacing w:before="20" w:line="360" w:lineRule="auto"/>
        <w:ind w:left="334" w:right="334" w:firstLine="482"/>
        <w:jc w:val="both"/>
        <w:rPr>
          <w:spacing w:val="-6"/>
          <w:szCs w:val="22"/>
        </w:rPr>
      </w:pPr>
      <w:r>
        <w:rPr>
          <w:rFonts w:hint="eastAsia"/>
          <w:spacing w:val="-6"/>
          <w:szCs w:val="22"/>
        </w:rPr>
        <w:t>⑸其它相关费用。</w:t>
      </w:r>
    </w:p>
    <w:p w:rsidR="00B04AE3" w:rsidRDefault="00B04AE3">
      <w:pPr>
        <w:pStyle w:val="ListParagraph"/>
        <w:numPr>
          <w:ilvl w:val="1"/>
          <w:numId w:val="36"/>
        </w:numPr>
        <w:tabs>
          <w:tab w:val="left" w:pos="787"/>
        </w:tabs>
        <w:spacing w:before="160"/>
        <w:ind w:left="786" w:hanging="449"/>
        <w:rPr>
          <w:rFonts w:ascii="Times New Roman" w:eastAsia="Times New Roman"/>
          <w:b/>
          <w:sz w:val="30"/>
        </w:rPr>
      </w:pPr>
      <w:bookmarkStart w:id="169" w:name="9.5工作总结与评价"/>
      <w:bookmarkStart w:id="170" w:name="_bookmark42"/>
      <w:bookmarkEnd w:id="169"/>
      <w:bookmarkEnd w:id="170"/>
      <w:r>
        <w:rPr>
          <w:rFonts w:hint="eastAsia"/>
          <w:b/>
          <w:sz w:val="30"/>
        </w:rPr>
        <w:t>工作总结与评价</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应急响应和救援工作结束后，由应急办公室牵头，按事故“四不放过”原则，</w:t>
      </w:r>
      <w:r>
        <w:rPr>
          <w:spacing w:val="-6"/>
          <w:szCs w:val="22"/>
        </w:rPr>
        <w:t xml:space="preserve"> </w:t>
      </w:r>
      <w:r>
        <w:rPr>
          <w:rFonts w:hint="eastAsia"/>
          <w:spacing w:val="-6"/>
          <w:szCs w:val="22"/>
        </w:rPr>
        <w:t>认真分析事故原因，制定防范措施，落实安全生产责任制，防止类似事故发生。</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应急办公室负责收集、整理应急救援工作记录、方案、文件等资料，组织专家对应急救援过程和应急救援保障等工作进行总结和评估，提出改进意见和建议，并将总结评估报告报经济技术开发区环保局应急办。</w:t>
      </w:r>
    </w:p>
    <w:p w:rsidR="00B04AE3" w:rsidRDefault="00B04AE3">
      <w:pPr>
        <w:spacing w:line="364" w:lineRule="auto"/>
        <w:jc w:val="both"/>
        <w:sectPr w:rsidR="00B04AE3">
          <w:footerReference w:type="default" r:id="rId31"/>
          <w:pgSz w:w="11910" w:h="16840"/>
          <w:pgMar w:top="1340" w:right="1460" w:bottom="1180" w:left="1460" w:header="878" w:footer="993" w:gutter="0"/>
          <w:cols w:space="720"/>
        </w:sectPr>
      </w:pPr>
    </w:p>
    <w:p w:rsidR="00B04AE3" w:rsidRDefault="00B04AE3">
      <w:pPr>
        <w:pStyle w:val="ListParagraph"/>
        <w:numPr>
          <w:ilvl w:val="0"/>
          <w:numId w:val="36"/>
        </w:numPr>
        <w:tabs>
          <w:tab w:val="left" w:pos="787"/>
        </w:tabs>
        <w:spacing w:before="97"/>
        <w:ind w:left="786" w:hanging="449"/>
        <w:rPr>
          <w:rFonts w:ascii="Times New Roman" w:eastAsia="Times New Roman"/>
          <w:b/>
          <w:sz w:val="36"/>
        </w:rPr>
      </w:pPr>
      <w:bookmarkStart w:id="171" w:name="_bookmark43"/>
      <w:bookmarkEnd w:id="171"/>
      <w:r>
        <w:rPr>
          <w:rFonts w:hint="eastAsia"/>
          <w:b/>
          <w:sz w:val="36"/>
        </w:rPr>
        <w:t>应急培训和演练</w:t>
      </w:r>
    </w:p>
    <w:p w:rsidR="00B04AE3" w:rsidRDefault="00B04AE3">
      <w:pPr>
        <w:pStyle w:val="ListParagraph"/>
        <w:numPr>
          <w:ilvl w:val="1"/>
          <w:numId w:val="37"/>
        </w:numPr>
        <w:tabs>
          <w:tab w:val="left" w:pos="938"/>
        </w:tabs>
        <w:spacing w:before="239"/>
        <w:rPr>
          <w:b/>
          <w:sz w:val="30"/>
        </w:rPr>
      </w:pPr>
      <w:bookmarkStart w:id="172" w:name="10.1应急培训"/>
      <w:bookmarkStart w:id="173" w:name="_bookmark44"/>
      <w:bookmarkEnd w:id="172"/>
      <w:bookmarkEnd w:id="173"/>
      <w:r>
        <w:rPr>
          <w:rFonts w:hint="eastAsia"/>
          <w:b/>
          <w:sz w:val="30"/>
        </w:rPr>
        <w:t>应急培训</w:t>
      </w:r>
    </w:p>
    <w:p w:rsidR="00B04AE3" w:rsidRDefault="00B04AE3">
      <w:pPr>
        <w:pStyle w:val="BodyText"/>
        <w:spacing w:before="20" w:line="360" w:lineRule="auto"/>
        <w:ind w:left="334" w:right="334" w:firstLine="482"/>
        <w:jc w:val="both"/>
        <w:rPr>
          <w:spacing w:val="-6"/>
          <w:szCs w:val="22"/>
        </w:rPr>
      </w:pPr>
      <w:r>
        <w:rPr>
          <w:rFonts w:hint="eastAsia"/>
          <w:spacing w:val="-6"/>
          <w:szCs w:val="22"/>
        </w:rPr>
        <w:t>对公司员工进行培训，防止突发性环境事件的发生，并能在事件发生后，能以最快的速度发挥最大的效能，有序地实施救援。应急救援培训的目的：</w:t>
      </w:r>
    </w:p>
    <w:p w:rsidR="00B04AE3" w:rsidRDefault="00B04AE3">
      <w:pPr>
        <w:pStyle w:val="BodyText"/>
        <w:spacing w:before="20" w:line="360" w:lineRule="auto"/>
        <w:ind w:left="334" w:right="334" w:firstLine="482"/>
        <w:jc w:val="both"/>
        <w:rPr>
          <w:spacing w:val="-6"/>
          <w:szCs w:val="22"/>
        </w:rPr>
      </w:pPr>
      <w:r>
        <w:rPr>
          <w:rFonts w:hint="eastAsia"/>
          <w:spacing w:val="-6"/>
          <w:szCs w:val="22"/>
        </w:rPr>
        <w:t>①提高公司员工的安全意识和对突发事故的思想重视程度。</w:t>
      </w:r>
    </w:p>
    <w:p w:rsidR="00B04AE3" w:rsidRDefault="00B04AE3">
      <w:pPr>
        <w:pStyle w:val="BodyText"/>
        <w:spacing w:before="20" w:line="360" w:lineRule="auto"/>
        <w:ind w:left="334" w:right="334" w:firstLine="482"/>
        <w:jc w:val="both"/>
        <w:rPr>
          <w:spacing w:val="-6"/>
          <w:szCs w:val="22"/>
        </w:rPr>
      </w:pPr>
      <w:r>
        <w:rPr>
          <w:rFonts w:hint="eastAsia"/>
          <w:spacing w:val="-6"/>
          <w:szCs w:val="22"/>
        </w:rPr>
        <w:t>②提高公司特殊岗位和参与应急响应人员的岗位操作水平和应急技能。</w:t>
      </w:r>
    </w:p>
    <w:p w:rsidR="00B04AE3" w:rsidRDefault="00B04AE3">
      <w:pPr>
        <w:pStyle w:val="BodyText"/>
        <w:spacing w:before="20" w:line="360" w:lineRule="auto"/>
        <w:ind w:left="334" w:right="334" w:firstLine="482"/>
        <w:jc w:val="both"/>
        <w:rPr>
          <w:spacing w:val="-6"/>
          <w:szCs w:val="22"/>
        </w:rPr>
      </w:pPr>
      <w:r>
        <w:rPr>
          <w:rFonts w:hint="eastAsia"/>
          <w:spacing w:val="-6"/>
          <w:szCs w:val="22"/>
        </w:rPr>
        <w:t>③了解并掌握乙醇及各类危险废弃物的特性和危害。</w:t>
      </w:r>
    </w:p>
    <w:p w:rsidR="00B04AE3" w:rsidRDefault="00B04AE3">
      <w:pPr>
        <w:pStyle w:val="BodyText"/>
        <w:spacing w:before="20" w:line="360" w:lineRule="auto"/>
        <w:ind w:left="334" w:right="334" w:firstLine="482"/>
        <w:jc w:val="both"/>
        <w:rPr>
          <w:spacing w:val="-6"/>
          <w:szCs w:val="22"/>
        </w:rPr>
      </w:pPr>
      <w:r>
        <w:rPr>
          <w:rFonts w:hint="eastAsia"/>
          <w:spacing w:val="-6"/>
          <w:szCs w:val="22"/>
        </w:rPr>
        <w:t>④提高对企业危险目标、潜在风险的预防、控制能力和水平。</w:t>
      </w:r>
    </w:p>
    <w:p w:rsidR="00B04AE3" w:rsidRDefault="00B04AE3">
      <w:pPr>
        <w:pStyle w:val="BodyText"/>
        <w:spacing w:before="20" w:line="360" w:lineRule="auto"/>
        <w:ind w:left="334" w:right="334" w:firstLine="482"/>
        <w:jc w:val="both"/>
        <w:rPr>
          <w:spacing w:val="-6"/>
          <w:szCs w:val="22"/>
        </w:rPr>
      </w:pPr>
      <w:r>
        <w:rPr>
          <w:rFonts w:hint="eastAsia"/>
          <w:spacing w:val="-6"/>
          <w:szCs w:val="22"/>
        </w:rPr>
        <w:t>⑤熟悉理解“事故应急预案”的内容和要求，正确作出应急响应。</w:t>
      </w:r>
    </w:p>
    <w:p w:rsidR="00B04AE3" w:rsidRDefault="00B04AE3">
      <w:pPr>
        <w:pStyle w:val="ListParagraph"/>
        <w:numPr>
          <w:ilvl w:val="2"/>
          <w:numId w:val="37"/>
        </w:numPr>
        <w:tabs>
          <w:tab w:val="left" w:pos="998"/>
        </w:tabs>
        <w:spacing w:before="161"/>
        <w:rPr>
          <w:b/>
          <w:sz w:val="24"/>
        </w:rPr>
      </w:pPr>
      <w:bookmarkStart w:id="174" w:name="10.1.1培训组织"/>
      <w:bookmarkEnd w:id="174"/>
      <w:r>
        <w:rPr>
          <w:rFonts w:hint="eastAsia"/>
          <w:b/>
          <w:sz w:val="24"/>
        </w:rPr>
        <w:t>培训组织</w:t>
      </w:r>
    </w:p>
    <w:p w:rsidR="00B04AE3" w:rsidRDefault="00B04AE3">
      <w:pPr>
        <w:pStyle w:val="BodyText"/>
        <w:spacing w:before="20" w:line="360" w:lineRule="auto"/>
        <w:ind w:left="334" w:right="334" w:firstLine="482"/>
        <w:jc w:val="both"/>
        <w:rPr>
          <w:spacing w:val="-6"/>
          <w:szCs w:val="22"/>
        </w:rPr>
      </w:pPr>
      <w:r>
        <w:rPr>
          <w:rFonts w:hint="eastAsia"/>
          <w:spacing w:val="-6"/>
          <w:szCs w:val="22"/>
        </w:rPr>
        <w:t>培训的实施：①全体员工分别按培训计划参加培训；②师资以专兼职结合，内请外聘解决；③培训过程中，应急办公室负责检查培训进度和培训质量；④各类培训做好培训记录，培训考试试卷由应急办公室保存；⑤特殊工种参加法定的持证上岗培训。</w:t>
      </w:r>
    </w:p>
    <w:p w:rsidR="00B04AE3" w:rsidRDefault="00B04AE3">
      <w:pPr>
        <w:pStyle w:val="ListParagraph"/>
        <w:numPr>
          <w:ilvl w:val="2"/>
          <w:numId w:val="37"/>
        </w:numPr>
        <w:tabs>
          <w:tab w:val="left" w:pos="998"/>
        </w:tabs>
        <w:rPr>
          <w:b/>
          <w:sz w:val="24"/>
        </w:rPr>
      </w:pPr>
      <w:bookmarkStart w:id="175" w:name="10.1.2培训内容和对象"/>
      <w:bookmarkEnd w:id="175"/>
      <w:r>
        <w:rPr>
          <w:rFonts w:hint="eastAsia"/>
          <w:b/>
          <w:sz w:val="24"/>
        </w:rPr>
        <w:t>培训内容和对象</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根据受培训人员的不同情况，选择不同侧重点，制定切实可行的培训计划，确定培训内容，详见表</w:t>
      </w:r>
      <w:r>
        <w:rPr>
          <w:spacing w:val="-6"/>
          <w:szCs w:val="22"/>
        </w:rPr>
        <w:t xml:space="preserve"> 10-1</w:t>
      </w:r>
      <w:r>
        <w:rPr>
          <w:rFonts w:hint="eastAsia"/>
          <w:spacing w:val="-6"/>
          <w:szCs w:val="22"/>
        </w:rPr>
        <w:t>。</w:t>
      </w:r>
    </w:p>
    <w:p w:rsidR="00B04AE3" w:rsidRDefault="00B04AE3">
      <w:pPr>
        <w:tabs>
          <w:tab w:val="left" w:pos="989"/>
        </w:tabs>
        <w:spacing w:after="3" w:line="306" w:lineRule="exact"/>
        <w:ind w:left="7"/>
        <w:jc w:val="center"/>
        <w:rPr>
          <w:b/>
          <w:sz w:val="24"/>
        </w:rPr>
      </w:pPr>
      <w:r>
        <w:rPr>
          <w:rFonts w:hint="eastAsia"/>
          <w:b/>
          <w:sz w:val="24"/>
        </w:rPr>
        <w:t>表</w:t>
      </w:r>
      <w:r>
        <w:rPr>
          <w:b/>
          <w:spacing w:val="-62"/>
          <w:sz w:val="24"/>
        </w:rPr>
        <w:t xml:space="preserve"> </w:t>
      </w:r>
      <w:r>
        <w:rPr>
          <w:rFonts w:ascii="Times New Roman" w:eastAsia="Times New Roman"/>
          <w:b/>
          <w:sz w:val="24"/>
        </w:rPr>
        <w:t>10-1</w:t>
      </w:r>
      <w:r>
        <w:rPr>
          <w:rFonts w:ascii="Times New Roman" w:eastAsia="Times New Roman"/>
          <w:b/>
          <w:sz w:val="24"/>
        </w:rPr>
        <w:tab/>
      </w:r>
      <w:r>
        <w:rPr>
          <w:rFonts w:hint="eastAsia"/>
          <w:b/>
          <w:sz w:val="24"/>
        </w:rPr>
        <w:t>培训内容和培训对象</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737"/>
        <w:gridCol w:w="2437"/>
        <w:gridCol w:w="5354"/>
      </w:tblGrid>
      <w:tr w:rsidR="00B04AE3">
        <w:trPr>
          <w:trHeight w:val="397"/>
        </w:trPr>
        <w:tc>
          <w:tcPr>
            <w:tcW w:w="737" w:type="dxa"/>
            <w:shd w:val="clear" w:color="auto" w:fill="DFDFDF"/>
          </w:tcPr>
          <w:p w:rsidR="00B04AE3" w:rsidRDefault="00B04AE3">
            <w:pPr>
              <w:pStyle w:val="TableParagraph"/>
              <w:spacing w:before="63"/>
              <w:ind w:left="137" w:right="127"/>
              <w:rPr>
                <w:b/>
                <w:sz w:val="21"/>
              </w:rPr>
            </w:pPr>
            <w:r>
              <w:rPr>
                <w:rFonts w:hint="eastAsia"/>
                <w:b/>
                <w:sz w:val="21"/>
              </w:rPr>
              <w:t>序号</w:t>
            </w:r>
          </w:p>
        </w:tc>
        <w:tc>
          <w:tcPr>
            <w:tcW w:w="2437" w:type="dxa"/>
            <w:shd w:val="clear" w:color="auto" w:fill="DFDFDF"/>
          </w:tcPr>
          <w:p w:rsidR="00B04AE3" w:rsidRDefault="00B04AE3">
            <w:pPr>
              <w:pStyle w:val="TableParagraph"/>
              <w:spacing w:before="63"/>
              <w:ind w:left="796"/>
              <w:jc w:val="left"/>
              <w:rPr>
                <w:b/>
                <w:sz w:val="21"/>
              </w:rPr>
            </w:pPr>
            <w:r>
              <w:rPr>
                <w:rFonts w:hint="eastAsia"/>
                <w:b/>
                <w:sz w:val="21"/>
              </w:rPr>
              <w:t>培训内容</w:t>
            </w:r>
          </w:p>
        </w:tc>
        <w:tc>
          <w:tcPr>
            <w:tcW w:w="5354" w:type="dxa"/>
            <w:shd w:val="clear" w:color="auto" w:fill="DFDFDF"/>
          </w:tcPr>
          <w:p w:rsidR="00B04AE3" w:rsidRDefault="00B04AE3">
            <w:pPr>
              <w:pStyle w:val="TableParagraph"/>
              <w:spacing w:before="63"/>
              <w:ind w:left="1920" w:right="1909"/>
              <w:rPr>
                <w:b/>
                <w:sz w:val="21"/>
              </w:rPr>
            </w:pPr>
            <w:r>
              <w:rPr>
                <w:rFonts w:hint="eastAsia"/>
                <w:b/>
                <w:sz w:val="21"/>
              </w:rPr>
              <w:t>接受培训对象</w:t>
            </w:r>
          </w:p>
        </w:tc>
      </w:tr>
      <w:tr w:rsidR="00B04AE3">
        <w:trPr>
          <w:trHeight w:val="397"/>
        </w:trPr>
        <w:tc>
          <w:tcPr>
            <w:tcW w:w="737" w:type="dxa"/>
          </w:tcPr>
          <w:p w:rsidR="00B04AE3" w:rsidRDefault="00B04AE3">
            <w:pPr>
              <w:pStyle w:val="TableParagraph"/>
              <w:spacing w:before="78"/>
              <w:ind w:left="7"/>
              <w:rPr>
                <w:rFonts w:ascii="Times New Roman"/>
                <w:sz w:val="21"/>
              </w:rPr>
            </w:pPr>
            <w:r>
              <w:rPr>
                <w:rFonts w:ascii="Times New Roman"/>
                <w:w w:val="99"/>
                <w:sz w:val="21"/>
              </w:rPr>
              <w:t>1</w:t>
            </w:r>
          </w:p>
        </w:tc>
        <w:tc>
          <w:tcPr>
            <w:tcW w:w="2437" w:type="dxa"/>
          </w:tcPr>
          <w:p w:rsidR="00B04AE3" w:rsidRDefault="00B04AE3">
            <w:pPr>
              <w:pStyle w:val="TableParagraph"/>
              <w:spacing w:before="64"/>
              <w:ind w:left="376"/>
              <w:jc w:val="left"/>
              <w:rPr>
                <w:sz w:val="21"/>
              </w:rPr>
            </w:pPr>
            <w:r>
              <w:rPr>
                <w:rFonts w:hint="eastAsia"/>
                <w:sz w:val="21"/>
              </w:rPr>
              <w:t>事故应急救援预案</w:t>
            </w:r>
          </w:p>
        </w:tc>
        <w:tc>
          <w:tcPr>
            <w:tcW w:w="5354" w:type="dxa"/>
          </w:tcPr>
          <w:p w:rsidR="00B04AE3" w:rsidRDefault="00B04AE3">
            <w:pPr>
              <w:pStyle w:val="TableParagraph"/>
              <w:spacing w:before="64"/>
              <w:ind w:left="1920" w:right="1494"/>
              <w:rPr>
                <w:sz w:val="21"/>
              </w:rPr>
            </w:pPr>
            <w:r>
              <w:rPr>
                <w:rFonts w:hint="eastAsia"/>
                <w:sz w:val="21"/>
              </w:rPr>
              <w:t>企业员工</w:t>
            </w:r>
          </w:p>
        </w:tc>
      </w:tr>
      <w:tr w:rsidR="00B04AE3">
        <w:trPr>
          <w:trHeight w:val="397"/>
        </w:trPr>
        <w:tc>
          <w:tcPr>
            <w:tcW w:w="737" w:type="dxa"/>
          </w:tcPr>
          <w:p w:rsidR="00B04AE3" w:rsidRDefault="00B04AE3">
            <w:pPr>
              <w:pStyle w:val="TableParagraph"/>
              <w:spacing w:before="76"/>
              <w:ind w:left="7"/>
              <w:rPr>
                <w:rFonts w:ascii="Times New Roman"/>
                <w:sz w:val="21"/>
              </w:rPr>
            </w:pPr>
            <w:r>
              <w:rPr>
                <w:rFonts w:ascii="Times New Roman"/>
                <w:w w:val="99"/>
                <w:sz w:val="21"/>
              </w:rPr>
              <w:t>2</w:t>
            </w:r>
          </w:p>
        </w:tc>
        <w:tc>
          <w:tcPr>
            <w:tcW w:w="2437" w:type="dxa"/>
          </w:tcPr>
          <w:p w:rsidR="00B04AE3" w:rsidRDefault="00B04AE3">
            <w:pPr>
              <w:pStyle w:val="TableParagraph"/>
              <w:spacing w:before="62"/>
              <w:ind w:left="376"/>
              <w:jc w:val="left"/>
              <w:rPr>
                <w:sz w:val="21"/>
              </w:rPr>
            </w:pPr>
            <w:r>
              <w:rPr>
                <w:rFonts w:hint="eastAsia"/>
                <w:sz w:val="21"/>
              </w:rPr>
              <w:t>应急知识宣传资料</w:t>
            </w:r>
          </w:p>
        </w:tc>
        <w:tc>
          <w:tcPr>
            <w:tcW w:w="5354" w:type="dxa"/>
          </w:tcPr>
          <w:p w:rsidR="00B04AE3" w:rsidRDefault="00B04AE3">
            <w:pPr>
              <w:pStyle w:val="TableParagraph"/>
              <w:spacing w:before="62"/>
              <w:ind w:left="1731"/>
              <w:jc w:val="left"/>
              <w:rPr>
                <w:sz w:val="21"/>
              </w:rPr>
            </w:pPr>
            <w:r>
              <w:rPr>
                <w:rFonts w:hint="eastAsia"/>
                <w:sz w:val="21"/>
              </w:rPr>
              <w:t>企业员工、外部公众</w:t>
            </w:r>
          </w:p>
        </w:tc>
      </w:tr>
      <w:tr w:rsidR="00B04AE3">
        <w:trPr>
          <w:trHeight w:val="396"/>
        </w:trPr>
        <w:tc>
          <w:tcPr>
            <w:tcW w:w="737" w:type="dxa"/>
          </w:tcPr>
          <w:p w:rsidR="00B04AE3" w:rsidRDefault="00B04AE3">
            <w:pPr>
              <w:pStyle w:val="TableParagraph"/>
              <w:spacing w:before="77"/>
              <w:ind w:left="7"/>
              <w:rPr>
                <w:rFonts w:ascii="Times New Roman"/>
                <w:sz w:val="21"/>
              </w:rPr>
            </w:pPr>
            <w:r>
              <w:rPr>
                <w:rFonts w:ascii="Times New Roman"/>
                <w:w w:val="99"/>
                <w:sz w:val="21"/>
              </w:rPr>
              <w:t>3</w:t>
            </w:r>
          </w:p>
        </w:tc>
        <w:tc>
          <w:tcPr>
            <w:tcW w:w="2437" w:type="dxa"/>
          </w:tcPr>
          <w:p w:rsidR="00B04AE3" w:rsidRDefault="00B04AE3">
            <w:pPr>
              <w:pStyle w:val="TableParagraph"/>
              <w:spacing w:before="64"/>
              <w:ind w:left="588"/>
              <w:jc w:val="left"/>
              <w:rPr>
                <w:sz w:val="21"/>
              </w:rPr>
            </w:pPr>
            <w:r>
              <w:rPr>
                <w:rFonts w:hint="eastAsia"/>
                <w:sz w:val="21"/>
              </w:rPr>
              <w:t>危险废物特性</w:t>
            </w:r>
          </w:p>
        </w:tc>
        <w:tc>
          <w:tcPr>
            <w:tcW w:w="5354" w:type="dxa"/>
          </w:tcPr>
          <w:p w:rsidR="00B04AE3" w:rsidRDefault="00B04AE3">
            <w:pPr>
              <w:pStyle w:val="TableParagraph"/>
              <w:spacing w:before="64"/>
              <w:ind w:left="1100"/>
              <w:jc w:val="left"/>
              <w:rPr>
                <w:sz w:val="21"/>
              </w:rPr>
            </w:pPr>
            <w:r>
              <w:rPr>
                <w:rFonts w:hint="eastAsia"/>
                <w:sz w:val="21"/>
              </w:rPr>
              <w:t>企业主要岗位入员、应急参与人员</w:t>
            </w:r>
          </w:p>
        </w:tc>
      </w:tr>
      <w:tr w:rsidR="00B04AE3">
        <w:trPr>
          <w:trHeight w:val="397"/>
        </w:trPr>
        <w:tc>
          <w:tcPr>
            <w:tcW w:w="737" w:type="dxa"/>
          </w:tcPr>
          <w:p w:rsidR="00B04AE3" w:rsidRDefault="00B04AE3">
            <w:pPr>
              <w:pStyle w:val="TableParagraph"/>
              <w:spacing w:before="76"/>
              <w:ind w:left="7"/>
              <w:rPr>
                <w:rFonts w:ascii="Times New Roman"/>
                <w:sz w:val="21"/>
              </w:rPr>
            </w:pPr>
            <w:r>
              <w:rPr>
                <w:rFonts w:ascii="Times New Roman"/>
                <w:w w:val="99"/>
                <w:sz w:val="21"/>
              </w:rPr>
              <w:t>4</w:t>
            </w:r>
          </w:p>
        </w:tc>
        <w:tc>
          <w:tcPr>
            <w:tcW w:w="2437" w:type="dxa"/>
          </w:tcPr>
          <w:p w:rsidR="00B04AE3" w:rsidRDefault="00B04AE3">
            <w:pPr>
              <w:pStyle w:val="TableParagraph"/>
              <w:spacing w:before="62"/>
              <w:ind w:left="482"/>
              <w:jc w:val="left"/>
              <w:rPr>
                <w:sz w:val="21"/>
              </w:rPr>
            </w:pPr>
            <w:r>
              <w:rPr>
                <w:rFonts w:hint="eastAsia"/>
                <w:sz w:val="21"/>
              </w:rPr>
              <w:t>突发事故危害性</w:t>
            </w:r>
          </w:p>
        </w:tc>
        <w:tc>
          <w:tcPr>
            <w:tcW w:w="5354" w:type="dxa"/>
          </w:tcPr>
          <w:p w:rsidR="00B04AE3" w:rsidRDefault="00B04AE3">
            <w:pPr>
              <w:pStyle w:val="TableParagraph"/>
              <w:spacing w:before="62"/>
              <w:ind w:left="1731"/>
              <w:jc w:val="left"/>
              <w:rPr>
                <w:sz w:val="21"/>
              </w:rPr>
            </w:pPr>
            <w:r>
              <w:rPr>
                <w:rFonts w:hint="eastAsia"/>
                <w:sz w:val="21"/>
              </w:rPr>
              <w:t>企业员工、外部公众</w:t>
            </w:r>
          </w:p>
        </w:tc>
      </w:tr>
      <w:tr w:rsidR="00B04AE3">
        <w:trPr>
          <w:trHeight w:val="397"/>
        </w:trPr>
        <w:tc>
          <w:tcPr>
            <w:tcW w:w="737" w:type="dxa"/>
          </w:tcPr>
          <w:p w:rsidR="00B04AE3" w:rsidRDefault="00B04AE3">
            <w:pPr>
              <w:pStyle w:val="TableParagraph"/>
              <w:spacing w:before="77"/>
              <w:ind w:left="7"/>
              <w:rPr>
                <w:rFonts w:ascii="Times New Roman"/>
                <w:sz w:val="21"/>
              </w:rPr>
            </w:pPr>
            <w:r>
              <w:rPr>
                <w:rFonts w:ascii="Times New Roman"/>
                <w:w w:val="99"/>
                <w:sz w:val="21"/>
              </w:rPr>
              <w:t>5</w:t>
            </w:r>
          </w:p>
        </w:tc>
        <w:tc>
          <w:tcPr>
            <w:tcW w:w="2437" w:type="dxa"/>
          </w:tcPr>
          <w:p w:rsidR="00B04AE3" w:rsidRDefault="00B04AE3">
            <w:pPr>
              <w:pStyle w:val="TableParagraph"/>
              <w:spacing w:before="63"/>
              <w:ind w:left="376"/>
              <w:jc w:val="left"/>
              <w:rPr>
                <w:sz w:val="21"/>
              </w:rPr>
            </w:pPr>
            <w:r>
              <w:rPr>
                <w:rFonts w:hint="eastAsia"/>
                <w:sz w:val="21"/>
              </w:rPr>
              <w:t>应急演练知识培训</w:t>
            </w:r>
          </w:p>
        </w:tc>
        <w:tc>
          <w:tcPr>
            <w:tcW w:w="5354" w:type="dxa"/>
          </w:tcPr>
          <w:p w:rsidR="00B04AE3" w:rsidRDefault="00B04AE3">
            <w:pPr>
              <w:pStyle w:val="TableParagraph"/>
              <w:spacing w:before="63"/>
              <w:ind w:left="1731"/>
              <w:jc w:val="left"/>
              <w:rPr>
                <w:sz w:val="21"/>
              </w:rPr>
            </w:pPr>
            <w:r>
              <w:rPr>
                <w:rFonts w:hint="eastAsia"/>
                <w:sz w:val="21"/>
              </w:rPr>
              <w:t>应急响应人员及领导</w:t>
            </w:r>
          </w:p>
        </w:tc>
      </w:tr>
      <w:tr w:rsidR="00B04AE3">
        <w:trPr>
          <w:trHeight w:val="397"/>
        </w:trPr>
        <w:tc>
          <w:tcPr>
            <w:tcW w:w="737" w:type="dxa"/>
          </w:tcPr>
          <w:p w:rsidR="00B04AE3" w:rsidRDefault="00B04AE3">
            <w:pPr>
              <w:pStyle w:val="TableParagraph"/>
              <w:spacing w:before="76"/>
              <w:ind w:left="7"/>
              <w:rPr>
                <w:rFonts w:ascii="Times New Roman"/>
                <w:sz w:val="21"/>
              </w:rPr>
            </w:pPr>
            <w:r>
              <w:rPr>
                <w:rFonts w:ascii="Times New Roman"/>
                <w:w w:val="99"/>
                <w:sz w:val="21"/>
              </w:rPr>
              <w:t>6</w:t>
            </w:r>
          </w:p>
        </w:tc>
        <w:tc>
          <w:tcPr>
            <w:tcW w:w="2437" w:type="dxa"/>
          </w:tcPr>
          <w:p w:rsidR="00B04AE3" w:rsidRDefault="00B04AE3">
            <w:pPr>
              <w:pStyle w:val="TableParagraph"/>
              <w:spacing w:before="62"/>
              <w:ind w:left="588"/>
              <w:jc w:val="left"/>
              <w:rPr>
                <w:sz w:val="21"/>
              </w:rPr>
            </w:pPr>
            <w:r>
              <w:rPr>
                <w:rFonts w:hint="eastAsia"/>
                <w:sz w:val="21"/>
              </w:rPr>
              <w:t>事故报警程序</w:t>
            </w:r>
          </w:p>
        </w:tc>
        <w:tc>
          <w:tcPr>
            <w:tcW w:w="5354" w:type="dxa"/>
          </w:tcPr>
          <w:p w:rsidR="00B04AE3" w:rsidRDefault="00B04AE3">
            <w:pPr>
              <w:pStyle w:val="TableParagraph"/>
              <w:spacing w:before="62"/>
              <w:ind w:left="1920" w:right="1912"/>
              <w:rPr>
                <w:sz w:val="21"/>
              </w:rPr>
            </w:pPr>
            <w:r>
              <w:rPr>
                <w:rFonts w:hint="eastAsia"/>
                <w:sz w:val="21"/>
              </w:rPr>
              <w:t>企业员工</w:t>
            </w:r>
          </w:p>
        </w:tc>
      </w:tr>
      <w:tr w:rsidR="00B04AE3">
        <w:trPr>
          <w:trHeight w:val="397"/>
        </w:trPr>
        <w:tc>
          <w:tcPr>
            <w:tcW w:w="737" w:type="dxa"/>
          </w:tcPr>
          <w:p w:rsidR="00B04AE3" w:rsidRDefault="00B04AE3">
            <w:pPr>
              <w:pStyle w:val="TableParagraph"/>
              <w:spacing w:before="77"/>
              <w:ind w:left="7"/>
              <w:rPr>
                <w:rFonts w:ascii="Times New Roman"/>
                <w:sz w:val="21"/>
              </w:rPr>
            </w:pPr>
            <w:r>
              <w:rPr>
                <w:rFonts w:ascii="Times New Roman"/>
                <w:w w:val="99"/>
                <w:sz w:val="21"/>
              </w:rPr>
              <w:t>7</w:t>
            </w:r>
          </w:p>
        </w:tc>
        <w:tc>
          <w:tcPr>
            <w:tcW w:w="2437" w:type="dxa"/>
          </w:tcPr>
          <w:p w:rsidR="00B04AE3" w:rsidRDefault="00B04AE3">
            <w:pPr>
              <w:pStyle w:val="TableParagraph"/>
              <w:spacing w:before="63"/>
              <w:ind w:right="262"/>
              <w:jc w:val="right"/>
              <w:rPr>
                <w:sz w:val="21"/>
              </w:rPr>
            </w:pPr>
            <w:r>
              <w:rPr>
                <w:rFonts w:hint="eastAsia"/>
                <w:w w:val="95"/>
                <w:sz w:val="21"/>
              </w:rPr>
              <w:t>消防、初期灭火知识</w:t>
            </w:r>
          </w:p>
        </w:tc>
        <w:tc>
          <w:tcPr>
            <w:tcW w:w="5354" w:type="dxa"/>
          </w:tcPr>
          <w:p w:rsidR="00B04AE3" w:rsidRDefault="00B04AE3">
            <w:pPr>
              <w:pStyle w:val="TableParagraph"/>
              <w:spacing w:before="63"/>
              <w:ind w:left="680"/>
              <w:jc w:val="left"/>
              <w:rPr>
                <w:sz w:val="21"/>
              </w:rPr>
            </w:pPr>
            <w:r>
              <w:rPr>
                <w:rFonts w:hint="eastAsia"/>
                <w:sz w:val="21"/>
              </w:rPr>
              <w:t>环境、安全工作人员，主要危险源场所人员</w:t>
            </w:r>
          </w:p>
        </w:tc>
      </w:tr>
      <w:tr w:rsidR="00B04AE3">
        <w:trPr>
          <w:trHeight w:val="396"/>
        </w:trPr>
        <w:tc>
          <w:tcPr>
            <w:tcW w:w="737" w:type="dxa"/>
          </w:tcPr>
          <w:p w:rsidR="00B04AE3" w:rsidRDefault="00B04AE3">
            <w:pPr>
              <w:pStyle w:val="TableParagraph"/>
              <w:spacing w:before="78"/>
              <w:ind w:left="7"/>
              <w:rPr>
                <w:rFonts w:ascii="Times New Roman"/>
                <w:sz w:val="21"/>
              </w:rPr>
            </w:pPr>
            <w:r>
              <w:rPr>
                <w:rFonts w:ascii="Times New Roman"/>
                <w:w w:val="99"/>
                <w:sz w:val="21"/>
              </w:rPr>
              <w:t>8</w:t>
            </w:r>
          </w:p>
        </w:tc>
        <w:tc>
          <w:tcPr>
            <w:tcW w:w="2437" w:type="dxa"/>
          </w:tcPr>
          <w:p w:rsidR="00B04AE3" w:rsidRDefault="00B04AE3">
            <w:pPr>
              <w:pStyle w:val="TableParagraph"/>
              <w:spacing w:before="64"/>
              <w:ind w:left="588"/>
              <w:jc w:val="left"/>
              <w:rPr>
                <w:sz w:val="21"/>
              </w:rPr>
            </w:pPr>
            <w:r>
              <w:rPr>
                <w:rFonts w:hint="eastAsia"/>
                <w:sz w:val="21"/>
              </w:rPr>
              <w:t>抢救抢修知识</w:t>
            </w:r>
          </w:p>
        </w:tc>
        <w:tc>
          <w:tcPr>
            <w:tcW w:w="5354" w:type="dxa"/>
          </w:tcPr>
          <w:p w:rsidR="00B04AE3" w:rsidRDefault="00B04AE3">
            <w:pPr>
              <w:pStyle w:val="TableParagraph"/>
              <w:spacing w:before="64"/>
              <w:ind w:left="471"/>
              <w:jc w:val="left"/>
              <w:rPr>
                <w:sz w:val="21"/>
              </w:rPr>
            </w:pPr>
            <w:r>
              <w:rPr>
                <w:rFonts w:hint="eastAsia"/>
                <w:sz w:val="21"/>
              </w:rPr>
              <w:t>消防与抢险救灾专业人员，主要危险源场所人员</w:t>
            </w:r>
          </w:p>
        </w:tc>
      </w:tr>
      <w:tr w:rsidR="00B04AE3">
        <w:trPr>
          <w:trHeight w:val="397"/>
        </w:trPr>
        <w:tc>
          <w:tcPr>
            <w:tcW w:w="737" w:type="dxa"/>
          </w:tcPr>
          <w:p w:rsidR="00B04AE3" w:rsidRDefault="00B04AE3">
            <w:pPr>
              <w:pStyle w:val="TableParagraph"/>
              <w:spacing w:before="76"/>
              <w:ind w:left="7"/>
              <w:rPr>
                <w:rFonts w:ascii="Times New Roman"/>
                <w:sz w:val="21"/>
              </w:rPr>
            </w:pPr>
            <w:r>
              <w:rPr>
                <w:rFonts w:ascii="Times New Roman"/>
                <w:w w:val="99"/>
                <w:sz w:val="21"/>
              </w:rPr>
              <w:t>9</w:t>
            </w:r>
          </w:p>
        </w:tc>
        <w:tc>
          <w:tcPr>
            <w:tcW w:w="2437" w:type="dxa"/>
          </w:tcPr>
          <w:p w:rsidR="00B04AE3" w:rsidRDefault="00B04AE3">
            <w:pPr>
              <w:pStyle w:val="TableParagraph"/>
              <w:spacing w:before="62"/>
              <w:ind w:left="588"/>
              <w:jc w:val="left"/>
              <w:rPr>
                <w:sz w:val="21"/>
              </w:rPr>
            </w:pPr>
            <w:r>
              <w:rPr>
                <w:rFonts w:hint="eastAsia"/>
                <w:sz w:val="21"/>
              </w:rPr>
              <w:t>现场人员救援</w:t>
            </w:r>
          </w:p>
        </w:tc>
        <w:tc>
          <w:tcPr>
            <w:tcW w:w="5354" w:type="dxa"/>
          </w:tcPr>
          <w:p w:rsidR="00B04AE3" w:rsidRDefault="00B04AE3">
            <w:pPr>
              <w:pStyle w:val="TableParagraph"/>
              <w:spacing w:before="62"/>
              <w:ind w:left="471"/>
              <w:jc w:val="left"/>
              <w:rPr>
                <w:sz w:val="21"/>
              </w:rPr>
            </w:pPr>
            <w:r>
              <w:rPr>
                <w:rFonts w:hint="eastAsia"/>
                <w:sz w:val="21"/>
              </w:rPr>
              <w:t>消防与抢险救灾专业人员，主要危险源场所人员</w:t>
            </w:r>
          </w:p>
        </w:tc>
      </w:tr>
      <w:tr w:rsidR="00B04AE3">
        <w:trPr>
          <w:trHeight w:val="397"/>
        </w:trPr>
        <w:tc>
          <w:tcPr>
            <w:tcW w:w="737" w:type="dxa"/>
          </w:tcPr>
          <w:p w:rsidR="00B04AE3" w:rsidRDefault="00B04AE3">
            <w:pPr>
              <w:pStyle w:val="TableParagraph"/>
              <w:spacing w:before="77"/>
              <w:ind w:left="134" w:right="127"/>
              <w:rPr>
                <w:rFonts w:ascii="Times New Roman"/>
                <w:sz w:val="21"/>
              </w:rPr>
            </w:pPr>
            <w:r>
              <w:rPr>
                <w:rFonts w:ascii="Times New Roman"/>
                <w:sz w:val="21"/>
              </w:rPr>
              <w:t>10</w:t>
            </w:r>
          </w:p>
        </w:tc>
        <w:tc>
          <w:tcPr>
            <w:tcW w:w="2437" w:type="dxa"/>
          </w:tcPr>
          <w:p w:rsidR="00B04AE3" w:rsidRDefault="00B04AE3">
            <w:pPr>
              <w:pStyle w:val="TableParagraph"/>
              <w:spacing w:before="63"/>
              <w:ind w:left="376"/>
              <w:jc w:val="left"/>
              <w:rPr>
                <w:sz w:val="21"/>
              </w:rPr>
            </w:pPr>
            <w:r>
              <w:rPr>
                <w:rFonts w:hint="eastAsia"/>
                <w:sz w:val="21"/>
              </w:rPr>
              <w:t>受伤人员临时急救</w:t>
            </w:r>
          </w:p>
        </w:tc>
        <w:tc>
          <w:tcPr>
            <w:tcW w:w="5354" w:type="dxa"/>
          </w:tcPr>
          <w:p w:rsidR="00B04AE3" w:rsidRDefault="00B04AE3">
            <w:pPr>
              <w:pStyle w:val="TableParagraph"/>
              <w:spacing w:before="63"/>
              <w:ind w:left="786"/>
              <w:jc w:val="left"/>
              <w:rPr>
                <w:sz w:val="21"/>
              </w:rPr>
            </w:pPr>
            <w:r>
              <w:rPr>
                <w:rFonts w:hint="eastAsia"/>
                <w:sz w:val="21"/>
              </w:rPr>
              <w:t>主要危险源场所人员，医疗救治专业人员</w:t>
            </w:r>
          </w:p>
        </w:tc>
      </w:tr>
      <w:tr w:rsidR="00B04AE3">
        <w:trPr>
          <w:trHeight w:val="397"/>
        </w:trPr>
        <w:tc>
          <w:tcPr>
            <w:tcW w:w="737" w:type="dxa"/>
          </w:tcPr>
          <w:p w:rsidR="00B04AE3" w:rsidRDefault="00B04AE3">
            <w:pPr>
              <w:pStyle w:val="TableParagraph"/>
              <w:spacing w:before="76"/>
              <w:ind w:left="137" w:right="126"/>
              <w:rPr>
                <w:rFonts w:ascii="Times New Roman"/>
                <w:sz w:val="21"/>
              </w:rPr>
            </w:pPr>
            <w:r>
              <w:rPr>
                <w:rFonts w:ascii="Times New Roman"/>
                <w:sz w:val="21"/>
              </w:rPr>
              <w:t>11</w:t>
            </w:r>
          </w:p>
        </w:tc>
        <w:tc>
          <w:tcPr>
            <w:tcW w:w="2437" w:type="dxa"/>
          </w:tcPr>
          <w:p w:rsidR="00B04AE3" w:rsidRDefault="00B04AE3">
            <w:pPr>
              <w:pStyle w:val="TableParagraph"/>
              <w:spacing w:before="62"/>
              <w:ind w:right="370"/>
              <w:jc w:val="right"/>
              <w:rPr>
                <w:sz w:val="21"/>
              </w:rPr>
            </w:pPr>
            <w:r>
              <w:rPr>
                <w:rFonts w:hint="eastAsia"/>
                <w:w w:val="95"/>
                <w:sz w:val="21"/>
              </w:rPr>
              <w:t>现场环境监测</w:t>
            </w:r>
          </w:p>
        </w:tc>
        <w:tc>
          <w:tcPr>
            <w:tcW w:w="5354" w:type="dxa"/>
          </w:tcPr>
          <w:p w:rsidR="00B04AE3" w:rsidRDefault="00B04AE3">
            <w:pPr>
              <w:pStyle w:val="TableParagraph"/>
              <w:spacing w:before="62"/>
              <w:ind w:left="1920" w:right="1914"/>
              <w:rPr>
                <w:sz w:val="21"/>
              </w:rPr>
            </w:pPr>
            <w:r>
              <w:rPr>
                <w:rFonts w:hint="eastAsia"/>
                <w:sz w:val="21"/>
              </w:rPr>
              <w:t>环保工作人员</w:t>
            </w:r>
          </w:p>
        </w:tc>
      </w:tr>
      <w:tr w:rsidR="00B04AE3">
        <w:trPr>
          <w:trHeight w:val="395"/>
        </w:trPr>
        <w:tc>
          <w:tcPr>
            <w:tcW w:w="737" w:type="dxa"/>
          </w:tcPr>
          <w:p w:rsidR="00B04AE3" w:rsidRDefault="00B04AE3">
            <w:pPr>
              <w:pStyle w:val="TableParagraph"/>
              <w:spacing w:before="77"/>
              <w:ind w:left="134" w:right="127"/>
              <w:rPr>
                <w:rFonts w:ascii="Times New Roman"/>
                <w:sz w:val="21"/>
              </w:rPr>
            </w:pPr>
            <w:r>
              <w:rPr>
                <w:rFonts w:ascii="Times New Roman"/>
                <w:sz w:val="21"/>
              </w:rPr>
              <w:t>12</w:t>
            </w:r>
          </w:p>
        </w:tc>
        <w:tc>
          <w:tcPr>
            <w:tcW w:w="2437" w:type="dxa"/>
          </w:tcPr>
          <w:p w:rsidR="00B04AE3" w:rsidRDefault="00B04AE3">
            <w:pPr>
              <w:pStyle w:val="TableParagraph"/>
              <w:spacing w:before="63"/>
              <w:ind w:left="588"/>
              <w:jc w:val="left"/>
              <w:rPr>
                <w:sz w:val="21"/>
              </w:rPr>
            </w:pPr>
            <w:r>
              <w:rPr>
                <w:rFonts w:hint="eastAsia"/>
                <w:sz w:val="21"/>
              </w:rPr>
              <w:t>安全专业培训</w:t>
            </w:r>
          </w:p>
        </w:tc>
        <w:tc>
          <w:tcPr>
            <w:tcW w:w="5354" w:type="dxa"/>
          </w:tcPr>
          <w:p w:rsidR="00B04AE3" w:rsidRDefault="00B04AE3">
            <w:pPr>
              <w:pStyle w:val="TableParagraph"/>
              <w:spacing w:before="63"/>
              <w:ind w:left="1920" w:right="1914"/>
              <w:rPr>
                <w:sz w:val="21"/>
              </w:rPr>
            </w:pPr>
            <w:r>
              <w:rPr>
                <w:rFonts w:hint="eastAsia"/>
                <w:sz w:val="21"/>
              </w:rPr>
              <w:t>安全环保部人员</w:t>
            </w:r>
          </w:p>
        </w:tc>
      </w:tr>
      <w:tr w:rsidR="00B04AE3">
        <w:trPr>
          <w:trHeight w:val="397"/>
        </w:trPr>
        <w:tc>
          <w:tcPr>
            <w:tcW w:w="737" w:type="dxa"/>
          </w:tcPr>
          <w:p w:rsidR="00B04AE3" w:rsidRDefault="00B04AE3">
            <w:pPr>
              <w:pStyle w:val="TableParagraph"/>
              <w:spacing w:before="76"/>
              <w:ind w:left="134" w:right="127"/>
              <w:rPr>
                <w:rFonts w:ascii="Times New Roman"/>
                <w:sz w:val="21"/>
              </w:rPr>
            </w:pPr>
            <w:r>
              <w:rPr>
                <w:rFonts w:ascii="Times New Roman"/>
                <w:sz w:val="21"/>
                <w:lang w:val="en-US"/>
              </w:rPr>
              <w:t>1</w:t>
            </w:r>
            <w:r>
              <w:rPr>
                <w:rFonts w:ascii="Times New Roman"/>
                <w:sz w:val="21"/>
              </w:rPr>
              <w:t>3</w:t>
            </w:r>
          </w:p>
        </w:tc>
        <w:tc>
          <w:tcPr>
            <w:tcW w:w="2437" w:type="dxa"/>
          </w:tcPr>
          <w:p w:rsidR="00B04AE3" w:rsidRDefault="00B04AE3">
            <w:pPr>
              <w:pStyle w:val="TableParagraph"/>
              <w:spacing w:before="62"/>
              <w:ind w:left="376"/>
              <w:jc w:val="left"/>
              <w:rPr>
                <w:sz w:val="21"/>
              </w:rPr>
            </w:pPr>
            <w:r>
              <w:rPr>
                <w:rFonts w:hint="eastAsia"/>
                <w:sz w:val="21"/>
              </w:rPr>
              <w:t>事故现场逃生自救</w:t>
            </w:r>
          </w:p>
        </w:tc>
        <w:tc>
          <w:tcPr>
            <w:tcW w:w="5354" w:type="dxa"/>
          </w:tcPr>
          <w:p w:rsidR="00B04AE3" w:rsidRDefault="00B04AE3">
            <w:pPr>
              <w:pStyle w:val="TableParagraph"/>
              <w:spacing w:before="62"/>
              <w:ind w:left="1731"/>
              <w:jc w:val="left"/>
              <w:rPr>
                <w:sz w:val="21"/>
              </w:rPr>
            </w:pPr>
            <w:r>
              <w:rPr>
                <w:rFonts w:hint="eastAsia"/>
                <w:sz w:val="21"/>
              </w:rPr>
              <w:t>危险源现场作业人员</w:t>
            </w:r>
          </w:p>
        </w:tc>
      </w:tr>
    </w:tbl>
    <w:p w:rsidR="00B04AE3" w:rsidRDefault="00B04AE3">
      <w:pPr>
        <w:spacing w:before="2"/>
        <w:ind w:left="817"/>
        <w:rPr>
          <w:b/>
          <w:sz w:val="24"/>
        </w:rPr>
      </w:pPr>
      <w:r>
        <w:rPr>
          <w:rFonts w:ascii="Times New Roman" w:eastAsia="Times New Roman"/>
          <w:b/>
          <w:sz w:val="24"/>
        </w:rPr>
        <w:t>1</w:t>
      </w:r>
      <w:r>
        <w:rPr>
          <w:rFonts w:hint="eastAsia"/>
          <w:b/>
          <w:sz w:val="24"/>
        </w:rPr>
        <w:t>、自吸过滤式防毒面具（半面罩）的使用方法</w:t>
      </w:r>
    </w:p>
    <w:p w:rsidR="00B04AE3" w:rsidRDefault="00B04AE3">
      <w:pPr>
        <w:pStyle w:val="BodyText"/>
        <w:spacing w:before="20" w:line="360" w:lineRule="auto"/>
        <w:ind w:left="334" w:right="334" w:firstLine="482"/>
        <w:jc w:val="both"/>
        <w:rPr>
          <w:spacing w:val="-6"/>
          <w:szCs w:val="22"/>
        </w:rPr>
      </w:pPr>
      <w:r>
        <w:rPr>
          <w:rFonts w:hint="eastAsia"/>
          <w:spacing w:val="-6"/>
          <w:szCs w:val="22"/>
        </w:rPr>
        <w:t>⑴使用前必须弄清作业环境中的毒物质、浓度和空气中氧含量；检查各部件是否完好，导气管有无堵塞或破损，金属部件有无生锈、变形、橡胶有否老化。螺纹接头有无生锈、变形、连接是否紧密；检查部件和结合部的气密性。</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⑵撕开过滤件封口处的封条，将过滤件的顶部与底部密封盖去掉</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⑶将过滤件接口垂直对准面具上的过滤件接口，拧紧后稍微回转以避免因旋拧过紧而导致脱扣，并检查安装是否合格。</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⑷将连接好的面罩挂于胸前，把面罩头套的调节带放至最大限度。</w:t>
      </w:r>
    </w:p>
    <w:p w:rsidR="00B04AE3" w:rsidRDefault="00B04AE3">
      <w:pPr>
        <w:pStyle w:val="BodyText"/>
        <w:spacing w:before="20" w:line="360" w:lineRule="auto"/>
        <w:ind w:left="334" w:right="334" w:firstLine="482"/>
        <w:jc w:val="both"/>
        <w:rPr>
          <w:spacing w:val="-6"/>
          <w:szCs w:val="22"/>
        </w:rPr>
      </w:pPr>
      <w:r>
        <w:rPr>
          <w:rFonts w:hint="eastAsia"/>
          <w:spacing w:val="-6"/>
          <w:szCs w:val="22"/>
        </w:rPr>
        <w:t>⑸戴上面具，双手抓住面具头套调节带同时向两侧拉紧，直至完全罩住面部并有硅胶反折边与面部完全贴合的感觉后即可，根据舒适性和密封性选择适当的松紧度。</w:t>
      </w:r>
    </w:p>
    <w:p w:rsidR="00B04AE3" w:rsidRDefault="00B04AE3">
      <w:pPr>
        <w:pStyle w:val="BodyText"/>
        <w:spacing w:before="20" w:line="360" w:lineRule="auto"/>
        <w:ind w:left="334" w:right="334" w:firstLine="482"/>
        <w:jc w:val="both"/>
        <w:rPr>
          <w:spacing w:val="-6"/>
          <w:szCs w:val="22"/>
        </w:rPr>
      </w:pPr>
      <w:r>
        <w:rPr>
          <w:rFonts w:hint="eastAsia"/>
          <w:spacing w:val="-6"/>
          <w:szCs w:val="22"/>
        </w:rPr>
        <w:t>⑹全面罩防毒面具简易气密测试：带好面罩后用手掌堵住滤毒罐进气口，然后用力吸气，面罩会因气压关系向内挤压往面部紧贴，则表明面罩已经佩戴气密，不会产生漏气。</w:t>
      </w:r>
    </w:p>
    <w:p w:rsidR="00B04AE3" w:rsidRDefault="00B04AE3">
      <w:pPr>
        <w:pStyle w:val="BodyText"/>
        <w:spacing w:before="20" w:line="360" w:lineRule="auto"/>
        <w:ind w:left="334" w:right="334" w:firstLine="482"/>
        <w:jc w:val="both"/>
        <w:rPr>
          <w:spacing w:val="-6"/>
          <w:szCs w:val="22"/>
        </w:rPr>
      </w:pPr>
      <w:r>
        <w:rPr>
          <w:rFonts w:hint="eastAsia"/>
          <w:spacing w:val="-6"/>
          <w:szCs w:val="22"/>
        </w:rPr>
        <w:t>⑺深呼吸测试通气是否顺畅。待防护设备佩戴完整检查无误后，方可进入符合使用条件的污染区作业。</w:t>
      </w:r>
    </w:p>
    <w:p w:rsidR="00B04AE3" w:rsidRDefault="00B04AE3">
      <w:pPr>
        <w:pStyle w:val="BodyText"/>
        <w:spacing w:before="20" w:line="360" w:lineRule="auto"/>
        <w:ind w:left="334" w:right="334" w:firstLine="482"/>
        <w:jc w:val="both"/>
        <w:rPr>
          <w:spacing w:val="-6"/>
          <w:szCs w:val="22"/>
        </w:rPr>
      </w:pPr>
      <w:r>
        <w:rPr>
          <w:rFonts w:hint="eastAsia"/>
          <w:spacing w:val="-6"/>
          <w:szCs w:val="22"/>
        </w:rPr>
        <w:t>⑻使用后应清洗，消毒。在清洗和消毒时，应使用干净的布，蘸中性的家用皂液清洁，还应注意环境温度，不可使橡胶等部件轩受温度影响而发生质变受损；</w:t>
      </w:r>
    </w:p>
    <w:p w:rsidR="00B04AE3" w:rsidRDefault="00B04AE3">
      <w:pPr>
        <w:pStyle w:val="BodyText"/>
        <w:spacing w:before="20" w:line="360" w:lineRule="auto"/>
        <w:ind w:left="334" w:right="334" w:firstLine="482"/>
        <w:jc w:val="both"/>
        <w:rPr>
          <w:spacing w:val="-6"/>
          <w:szCs w:val="22"/>
        </w:rPr>
      </w:pPr>
      <w:r>
        <w:rPr>
          <w:rFonts w:hint="eastAsia"/>
          <w:spacing w:val="-6"/>
          <w:szCs w:val="22"/>
        </w:rPr>
        <w:t>⑼禁止使用汽油、含氯的除油液体（如三氯乙烯）、有机溶剂或研磨型清洗剂清理清洗长管和面罩；</w:t>
      </w:r>
    </w:p>
    <w:p w:rsidR="00B04AE3" w:rsidRDefault="00B04AE3">
      <w:pPr>
        <w:pStyle w:val="BodyText"/>
        <w:spacing w:before="20" w:line="360" w:lineRule="auto"/>
        <w:ind w:left="334" w:right="334" w:firstLine="482"/>
        <w:jc w:val="both"/>
        <w:rPr>
          <w:spacing w:val="-6"/>
          <w:szCs w:val="22"/>
        </w:rPr>
      </w:pPr>
      <w:r>
        <w:rPr>
          <w:rFonts w:hint="eastAsia"/>
          <w:spacing w:val="-6"/>
          <w:szCs w:val="22"/>
        </w:rPr>
        <w:t>⑽应专人使用和保管。</w:t>
      </w:r>
    </w:p>
    <w:p w:rsidR="00B04AE3" w:rsidRDefault="00B04AE3">
      <w:pPr>
        <w:spacing w:before="160"/>
        <w:ind w:left="817"/>
        <w:rPr>
          <w:b/>
          <w:sz w:val="24"/>
        </w:rPr>
      </w:pPr>
      <w:r>
        <w:rPr>
          <w:rFonts w:ascii="Times New Roman" w:eastAsia="Times New Roman"/>
          <w:b/>
          <w:sz w:val="24"/>
        </w:rPr>
        <w:t>2</w:t>
      </w:r>
      <w:r>
        <w:rPr>
          <w:rFonts w:hint="eastAsia"/>
          <w:b/>
          <w:sz w:val="24"/>
        </w:rPr>
        <w:t>、正压式呼吸器的使用方法</w:t>
      </w:r>
    </w:p>
    <w:p w:rsidR="00B04AE3" w:rsidRDefault="00B04AE3">
      <w:pPr>
        <w:pStyle w:val="BodyText"/>
        <w:spacing w:before="20" w:line="360" w:lineRule="auto"/>
        <w:ind w:left="334" w:right="334" w:firstLine="482"/>
        <w:jc w:val="both"/>
        <w:rPr>
          <w:spacing w:val="-6"/>
          <w:szCs w:val="22"/>
        </w:rPr>
      </w:pPr>
      <w:r>
        <w:rPr>
          <w:rFonts w:hint="eastAsia"/>
          <w:spacing w:val="-6"/>
          <w:szCs w:val="22"/>
        </w:rPr>
        <w:t>⑴佩戴时，先将快速接头断开</w:t>
      </w:r>
      <w:r>
        <w:rPr>
          <w:spacing w:val="-6"/>
          <w:szCs w:val="22"/>
        </w:rPr>
        <w:t>(</w:t>
      </w:r>
      <w:r>
        <w:rPr>
          <w:rFonts w:hint="eastAsia"/>
          <w:spacing w:val="-6"/>
          <w:szCs w:val="22"/>
        </w:rPr>
        <w:t>以防在佩戴时损坏全面罩</w:t>
      </w:r>
      <w:r>
        <w:rPr>
          <w:spacing w:val="-6"/>
          <w:szCs w:val="22"/>
        </w:rPr>
        <w:t>)</w:t>
      </w:r>
      <w:r>
        <w:rPr>
          <w:rFonts w:hint="eastAsia"/>
          <w:spacing w:val="-6"/>
          <w:szCs w:val="22"/>
        </w:rPr>
        <w:t>，然后将背托在人体背部</w:t>
      </w:r>
      <w:r>
        <w:rPr>
          <w:spacing w:val="-6"/>
          <w:szCs w:val="22"/>
        </w:rPr>
        <w:t>(</w:t>
      </w:r>
      <w:r>
        <w:rPr>
          <w:rFonts w:hint="eastAsia"/>
          <w:spacing w:val="-6"/>
          <w:szCs w:val="22"/>
        </w:rPr>
        <w:t>空气瓶开关在下方</w:t>
      </w:r>
      <w:r>
        <w:rPr>
          <w:spacing w:val="-6"/>
          <w:szCs w:val="22"/>
        </w:rPr>
        <w:t>)</w:t>
      </w:r>
      <w:r>
        <w:rPr>
          <w:rFonts w:hint="eastAsia"/>
          <w:spacing w:val="-6"/>
          <w:szCs w:val="22"/>
        </w:rPr>
        <w:t>，根据身材调节好肩带、腰带并系紧，以合身、牢靠、舒适为宜。</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⑵把全面罩上的长系带套在脖子上，使用前全面罩置于胸前，以便随吮佩戴，然后将快速接头接好。</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⑶将供给阀的转换开关置于关闭位置，打开空气瓶开关。</w:t>
      </w:r>
    </w:p>
    <w:p w:rsidR="00B04AE3" w:rsidRDefault="00B04AE3">
      <w:pPr>
        <w:pStyle w:val="BodyText"/>
        <w:spacing w:before="20" w:line="360" w:lineRule="auto"/>
        <w:ind w:left="334" w:right="334" w:firstLine="482"/>
        <w:jc w:val="both"/>
        <w:rPr>
          <w:spacing w:val="-6"/>
          <w:szCs w:val="22"/>
        </w:rPr>
      </w:pPr>
      <w:r>
        <w:rPr>
          <w:rFonts w:hint="eastAsia"/>
          <w:spacing w:val="-6"/>
          <w:szCs w:val="22"/>
        </w:rPr>
        <w:t>⑷戴好全面罩</w:t>
      </w:r>
      <w:r>
        <w:rPr>
          <w:spacing w:val="-6"/>
          <w:szCs w:val="22"/>
        </w:rPr>
        <w:t>(</w:t>
      </w:r>
      <w:r>
        <w:rPr>
          <w:rFonts w:hint="eastAsia"/>
          <w:spacing w:val="-6"/>
          <w:szCs w:val="22"/>
        </w:rPr>
        <w:t>可不用系带</w:t>
      </w:r>
      <w:r>
        <w:rPr>
          <w:spacing w:val="-6"/>
          <w:szCs w:val="22"/>
        </w:rPr>
        <w:t>)</w:t>
      </w:r>
      <w:r>
        <w:rPr>
          <w:rFonts w:hint="eastAsia"/>
          <w:spacing w:val="-6"/>
          <w:szCs w:val="22"/>
        </w:rPr>
        <w:t>进行</w:t>
      </w:r>
      <w:r>
        <w:rPr>
          <w:spacing w:val="-6"/>
          <w:szCs w:val="22"/>
        </w:rPr>
        <w:t xml:space="preserve"> 2~3 </w:t>
      </w:r>
      <w:r>
        <w:rPr>
          <w:rFonts w:hint="eastAsia"/>
          <w:spacing w:val="-6"/>
          <w:szCs w:val="22"/>
        </w:rPr>
        <w:t>次深呼吸，应感觉舒畅。屏气或呼气时，供给阀应停止供气，无“咝咝”的响声。用手按压供给阀的杠杆，检查其开启或关闭是否灵活。一切正常时，将全面罩系带收紧，收紧程度以既要保证气密又感觉舒适、无明显的压痛为宜。</w:t>
      </w:r>
    </w:p>
    <w:p w:rsidR="00B04AE3" w:rsidRDefault="00B04AE3">
      <w:pPr>
        <w:pStyle w:val="BodyText"/>
        <w:spacing w:before="20" w:line="360" w:lineRule="auto"/>
        <w:ind w:left="334" w:right="334" w:firstLine="482"/>
        <w:jc w:val="both"/>
        <w:rPr>
          <w:spacing w:val="-6"/>
          <w:szCs w:val="22"/>
        </w:rPr>
      </w:pPr>
      <w:r>
        <w:rPr>
          <w:rFonts w:hint="eastAsia"/>
          <w:spacing w:val="-6"/>
          <w:szCs w:val="22"/>
        </w:rPr>
        <w:t>⑸撤离现场到达安全处所后，将全面罩系带卡子松开，摘下全面罩。</w:t>
      </w:r>
    </w:p>
    <w:p w:rsidR="00B04AE3" w:rsidRDefault="00B04AE3">
      <w:pPr>
        <w:pStyle w:val="BodyText"/>
        <w:spacing w:before="20" w:line="360" w:lineRule="auto"/>
        <w:ind w:left="334" w:right="334" w:firstLine="482"/>
        <w:jc w:val="both"/>
        <w:rPr>
          <w:spacing w:val="-6"/>
          <w:szCs w:val="22"/>
        </w:rPr>
      </w:pPr>
      <w:r>
        <w:rPr>
          <w:rFonts w:hint="eastAsia"/>
          <w:spacing w:val="-6"/>
          <w:szCs w:val="22"/>
        </w:rPr>
        <w:t>⑹关闭气瓶开关，打开供给阀，拔开快速接头，从身上卸下呼吸器。</w:t>
      </w:r>
    </w:p>
    <w:p w:rsidR="00B04AE3" w:rsidRDefault="00B04AE3">
      <w:pPr>
        <w:spacing w:before="158"/>
        <w:ind w:left="817"/>
        <w:rPr>
          <w:b/>
          <w:sz w:val="24"/>
        </w:rPr>
      </w:pPr>
      <w:r>
        <w:rPr>
          <w:rFonts w:ascii="Times New Roman" w:eastAsia="Times New Roman"/>
          <w:b/>
          <w:sz w:val="24"/>
        </w:rPr>
        <w:t>3</w:t>
      </w:r>
      <w:r>
        <w:rPr>
          <w:rFonts w:hint="eastAsia"/>
          <w:b/>
          <w:sz w:val="24"/>
        </w:rPr>
        <w:t>、灭火器的使用方法</w:t>
      </w:r>
    </w:p>
    <w:p w:rsidR="00B04AE3" w:rsidRDefault="00B04AE3">
      <w:pPr>
        <w:pStyle w:val="BodyText"/>
        <w:spacing w:before="20" w:line="360" w:lineRule="auto"/>
        <w:ind w:left="334" w:right="334" w:firstLine="482"/>
        <w:jc w:val="both"/>
        <w:rPr>
          <w:spacing w:val="-6"/>
          <w:szCs w:val="22"/>
        </w:rPr>
      </w:pPr>
      <w:r>
        <w:rPr>
          <w:rFonts w:hint="eastAsia"/>
          <w:spacing w:val="-6"/>
          <w:szCs w:val="22"/>
        </w:rPr>
        <w:t>将灭火器提到起火地点附近，站在火场的上风头（</w:t>
      </w:r>
      <w:r>
        <w:rPr>
          <w:spacing w:val="-6"/>
          <w:szCs w:val="22"/>
        </w:rPr>
        <w:t>1</w:t>
      </w:r>
      <w:r>
        <w:rPr>
          <w:rFonts w:hint="eastAsia"/>
          <w:spacing w:val="-6"/>
          <w:szCs w:val="22"/>
        </w:rPr>
        <w:t>）拔下保险销；（</w:t>
      </w:r>
      <w:r>
        <w:rPr>
          <w:spacing w:val="-6"/>
          <w:szCs w:val="22"/>
        </w:rPr>
        <w:t>2</w:t>
      </w:r>
      <w:r>
        <w:rPr>
          <w:rFonts w:hint="eastAsia"/>
          <w:spacing w:val="-6"/>
          <w:szCs w:val="22"/>
        </w:rPr>
        <w:t>）一手握紧喷管；（</w:t>
      </w:r>
      <w:r>
        <w:rPr>
          <w:spacing w:val="-6"/>
          <w:szCs w:val="22"/>
        </w:rPr>
        <w:t>3</w:t>
      </w:r>
      <w:r>
        <w:rPr>
          <w:rFonts w:hint="eastAsia"/>
          <w:spacing w:val="-6"/>
          <w:szCs w:val="22"/>
        </w:rPr>
        <w:t>）另一手捏紧压把；（</w:t>
      </w:r>
      <w:r>
        <w:rPr>
          <w:spacing w:val="-6"/>
          <w:szCs w:val="22"/>
        </w:rPr>
        <w:t>4</w:t>
      </w:r>
      <w:r>
        <w:rPr>
          <w:rFonts w:hint="eastAsia"/>
          <w:spacing w:val="-6"/>
          <w:szCs w:val="22"/>
        </w:rPr>
        <w:t>）喷嘴对准火焰根部扫射。</w:t>
      </w:r>
    </w:p>
    <w:p w:rsidR="00B04AE3" w:rsidRDefault="00B04AE3">
      <w:pPr>
        <w:spacing w:line="306" w:lineRule="exact"/>
        <w:ind w:left="817"/>
        <w:rPr>
          <w:b/>
          <w:sz w:val="24"/>
        </w:rPr>
      </w:pPr>
      <w:r>
        <w:rPr>
          <w:rFonts w:ascii="Times New Roman" w:eastAsia="Times New Roman"/>
          <w:b/>
          <w:sz w:val="24"/>
        </w:rPr>
        <w:t>4</w:t>
      </w:r>
      <w:r>
        <w:rPr>
          <w:rFonts w:hint="eastAsia"/>
          <w:b/>
          <w:sz w:val="24"/>
        </w:rPr>
        <w:t>、事件发生后知何开展自救和互救</w:t>
      </w:r>
    </w:p>
    <w:p w:rsidR="00B04AE3" w:rsidRDefault="00B04AE3">
      <w:pPr>
        <w:pStyle w:val="ListParagraph"/>
        <w:tabs>
          <w:tab w:val="left" w:pos="1419"/>
        </w:tabs>
        <w:spacing w:before="158"/>
        <w:ind w:left="817" w:firstLine="0"/>
        <w:rPr>
          <w:sz w:val="24"/>
        </w:rPr>
      </w:pPr>
      <w:r>
        <w:rPr>
          <w:rFonts w:hint="eastAsia"/>
          <w:sz w:val="24"/>
        </w:rPr>
        <w:t>⑴必须确保在做好个人防护的前提下，才能进入事件现场；</w:t>
      </w:r>
    </w:p>
    <w:p w:rsidR="00B04AE3" w:rsidRDefault="00B04AE3">
      <w:pPr>
        <w:pStyle w:val="ListParagraph"/>
        <w:tabs>
          <w:tab w:val="left" w:pos="1419"/>
        </w:tabs>
        <w:spacing w:before="161"/>
        <w:ind w:left="817" w:firstLine="0"/>
        <w:rPr>
          <w:sz w:val="24"/>
        </w:rPr>
      </w:pPr>
      <w:r>
        <w:rPr>
          <w:rFonts w:hint="eastAsia"/>
          <w:sz w:val="24"/>
        </w:rPr>
        <w:t>⑵必须要两人以上同时进入事件现场。</w:t>
      </w:r>
    </w:p>
    <w:p w:rsidR="00B04AE3" w:rsidRDefault="00B04AE3">
      <w:pPr>
        <w:spacing w:before="160"/>
        <w:ind w:left="817"/>
        <w:rPr>
          <w:b/>
          <w:sz w:val="24"/>
        </w:rPr>
      </w:pPr>
      <w:r>
        <w:rPr>
          <w:rFonts w:ascii="Times New Roman" w:eastAsia="Times New Roman"/>
          <w:b/>
          <w:sz w:val="24"/>
        </w:rPr>
        <w:t>5</w:t>
      </w:r>
      <w:r>
        <w:rPr>
          <w:rFonts w:hint="eastAsia"/>
          <w:b/>
          <w:sz w:val="24"/>
        </w:rPr>
        <w:t>、事件发生后的撤离和疏散方法</w:t>
      </w:r>
    </w:p>
    <w:p w:rsidR="00B04AE3" w:rsidRDefault="00B04AE3">
      <w:pPr>
        <w:pStyle w:val="BodyText"/>
        <w:spacing w:before="20" w:line="360" w:lineRule="auto"/>
        <w:ind w:left="334" w:right="334" w:firstLine="482"/>
        <w:jc w:val="both"/>
        <w:rPr>
          <w:spacing w:val="-6"/>
          <w:szCs w:val="22"/>
        </w:rPr>
      </w:pPr>
      <w:r>
        <w:rPr>
          <w:rFonts w:hint="eastAsia"/>
          <w:spacing w:val="-6"/>
          <w:szCs w:val="22"/>
        </w:rPr>
        <w:t>事件发生后除了应急救援人员外，其余人员应按照紧急疏散线路示意图，向公司门口进行疏散，详见附件七。</w:t>
      </w:r>
    </w:p>
    <w:p w:rsidR="00B04AE3" w:rsidRDefault="00B04AE3">
      <w:pPr>
        <w:spacing w:line="306" w:lineRule="exact"/>
        <w:ind w:left="817"/>
        <w:rPr>
          <w:b/>
          <w:sz w:val="24"/>
        </w:rPr>
      </w:pPr>
      <w:r>
        <w:rPr>
          <w:rFonts w:ascii="Times New Roman" w:eastAsia="Times New Roman"/>
          <w:b/>
          <w:sz w:val="24"/>
        </w:rPr>
        <w:t>6</w:t>
      </w:r>
      <w:r>
        <w:rPr>
          <w:rFonts w:hint="eastAsia"/>
          <w:b/>
          <w:sz w:val="24"/>
        </w:rPr>
        <w:t>、事故废水的处置方法</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1</w:t>
      </w:r>
      <w:r>
        <w:rPr>
          <w:rFonts w:hint="eastAsia"/>
          <w:spacing w:val="-6"/>
          <w:szCs w:val="22"/>
        </w:rPr>
        <w:t>）公司发生事故后，要及时关闭污水截止阀，必要时用沙袋封堵污水外排口；（</w:t>
      </w:r>
      <w:r>
        <w:rPr>
          <w:spacing w:val="-6"/>
          <w:szCs w:val="22"/>
        </w:rPr>
        <w:t>2</w:t>
      </w:r>
      <w:r>
        <w:rPr>
          <w:rFonts w:hint="eastAsia"/>
          <w:spacing w:val="-6"/>
          <w:szCs w:val="22"/>
        </w:rPr>
        <w:t>）将所有的事故废水沿着专用导流沟自流入事故水池；（</w:t>
      </w:r>
      <w:r>
        <w:rPr>
          <w:spacing w:val="-6"/>
          <w:szCs w:val="22"/>
        </w:rPr>
        <w:t>3</w:t>
      </w:r>
      <w:r>
        <w:rPr>
          <w:rFonts w:hint="eastAsia"/>
          <w:spacing w:val="-6"/>
          <w:szCs w:val="22"/>
        </w:rPr>
        <w:t>）事故后，</w:t>
      </w:r>
      <w:r>
        <w:rPr>
          <w:spacing w:val="-6"/>
          <w:szCs w:val="22"/>
        </w:rPr>
        <w:t xml:space="preserve"> </w:t>
      </w:r>
      <w:r>
        <w:rPr>
          <w:rFonts w:hint="eastAsia"/>
          <w:spacing w:val="-6"/>
          <w:szCs w:val="22"/>
        </w:rPr>
        <w:t>将事故水池内的事故废水经污水处理站处理达标后外排。</w:t>
      </w:r>
    </w:p>
    <w:p w:rsidR="00B04AE3" w:rsidRDefault="00B04AE3">
      <w:pPr>
        <w:spacing w:line="304" w:lineRule="exact"/>
        <w:ind w:left="817"/>
        <w:rPr>
          <w:b/>
          <w:sz w:val="24"/>
        </w:rPr>
      </w:pPr>
      <w:r>
        <w:rPr>
          <w:rFonts w:ascii="Times New Roman" w:eastAsia="Times New Roman"/>
          <w:b/>
          <w:sz w:val="24"/>
        </w:rPr>
        <w:t>8</w:t>
      </w:r>
      <w:r>
        <w:rPr>
          <w:rFonts w:hint="eastAsia"/>
          <w:b/>
          <w:sz w:val="24"/>
        </w:rPr>
        <w:t>、消防废水泄漏应急处置措施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厂区存在的火灾事故风险源主要为锅炉房、高纯镓车间及事故池。</w:t>
      </w:r>
    </w:p>
    <w:p w:rsidR="00B04AE3" w:rsidRDefault="00B04AE3">
      <w:pPr>
        <w:pStyle w:val="BodyText"/>
        <w:spacing w:before="20" w:line="360" w:lineRule="auto"/>
        <w:ind w:left="334" w:right="334" w:firstLine="482"/>
        <w:jc w:val="both"/>
        <w:rPr>
          <w:spacing w:val="-6"/>
          <w:szCs w:val="22"/>
        </w:rPr>
      </w:pPr>
      <w:r>
        <w:rPr>
          <w:rFonts w:hint="eastAsia"/>
          <w:spacing w:val="-6"/>
          <w:szCs w:val="22"/>
        </w:rPr>
        <w:t>⑴火灾、爆炸事故发生时抢险救援组及时堵住雨水外排口，防止消防废水流出厂外，污染地表水；</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⑵在事故发生点周围产生的消防废水沿着排水沟自流入集水池内；</w:t>
      </w:r>
    </w:p>
    <w:p w:rsidR="00B04AE3" w:rsidRDefault="00B04AE3">
      <w:pPr>
        <w:pStyle w:val="BodyText"/>
        <w:spacing w:before="20" w:line="360" w:lineRule="auto"/>
        <w:ind w:left="334" w:right="334" w:firstLine="482"/>
        <w:jc w:val="both"/>
        <w:rPr>
          <w:spacing w:val="-6"/>
          <w:szCs w:val="22"/>
        </w:rPr>
      </w:pPr>
      <w:r>
        <w:rPr>
          <w:rFonts w:hint="eastAsia"/>
          <w:spacing w:val="-6"/>
          <w:szCs w:val="22"/>
        </w:rPr>
        <w:t>⑶抢险救援组人员穿戴个人防护用品，做好个人防护工作后，进入事故现场抢救或搜寻可能的受伤、被困人员，转移现场可燃或易燃物品；</w:t>
      </w:r>
    </w:p>
    <w:p w:rsidR="00B04AE3" w:rsidRDefault="00B04AE3">
      <w:pPr>
        <w:pStyle w:val="BodyText"/>
        <w:spacing w:before="20" w:line="360" w:lineRule="auto"/>
        <w:ind w:left="334" w:right="334" w:firstLine="482"/>
        <w:jc w:val="both"/>
        <w:rPr>
          <w:spacing w:val="-6"/>
          <w:szCs w:val="22"/>
        </w:rPr>
      </w:pPr>
      <w:r>
        <w:rPr>
          <w:rFonts w:hint="eastAsia"/>
          <w:spacing w:val="-6"/>
          <w:szCs w:val="22"/>
        </w:rPr>
        <w:t>⑷通讯联络组联系环境监测站对周边的环境进行监测；</w:t>
      </w:r>
    </w:p>
    <w:p w:rsidR="00B04AE3" w:rsidRDefault="00B04AE3">
      <w:pPr>
        <w:pStyle w:val="BodyText"/>
        <w:spacing w:before="20" w:line="360" w:lineRule="auto"/>
        <w:ind w:left="334" w:right="334" w:firstLine="482"/>
        <w:jc w:val="both"/>
        <w:rPr>
          <w:spacing w:val="-6"/>
          <w:szCs w:val="22"/>
        </w:rPr>
      </w:pPr>
      <w:r>
        <w:rPr>
          <w:rFonts w:hint="eastAsia"/>
          <w:spacing w:val="-6"/>
          <w:szCs w:val="22"/>
        </w:rPr>
        <w:t>⑸环境监测组要迅速的引导监测站找到应急监测的点位，同时将监测的数据及时反馈给临时应急指挥部，供领导做出及时的判断，指导应急救援工作。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⑹因灭火产生的消防废水应收集进事故水池，严禁消防废水漫流，污染地表水、土壤和地下水。</w:t>
      </w:r>
    </w:p>
    <w:p w:rsidR="00B04AE3" w:rsidRDefault="00B04AE3">
      <w:pPr>
        <w:spacing w:before="160"/>
        <w:ind w:left="817"/>
        <w:rPr>
          <w:b/>
          <w:sz w:val="24"/>
        </w:rPr>
      </w:pPr>
      <w:r>
        <w:rPr>
          <w:rFonts w:ascii="Times New Roman" w:eastAsia="Times New Roman"/>
          <w:b/>
          <w:sz w:val="24"/>
        </w:rPr>
        <w:t>9</w:t>
      </w:r>
      <w:r>
        <w:rPr>
          <w:rFonts w:hint="eastAsia"/>
          <w:b/>
          <w:sz w:val="24"/>
        </w:rPr>
        <w:t>、人员急救</w:t>
      </w:r>
    </w:p>
    <w:p w:rsidR="00B04AE3" w:rsidRDefault="00B04AE3">
      <w:pPr>
        <w:pStyle w:val="BodyText"/>
        <w:spacing w:before="20" w:line="360" w:lineRule="auto"/>
        <w:ind w:left="334" w:right="334" w:firstLine="482"/>
        <w:jc w:val="both"/>
        <w:rPr>
          <w:spacing w:val="-6"/>
          <w:szCs w:val="22"/>
        </w:rPr>
      </w:pPr>
      <w:r>
        <w:rPr>
          <w:rFonts w:hint="eastAsia"/>
          <w:spacing w:val="-6"/>
          <w:szCs w:val="22"/>
        </w:rPr>
        <w:t>①人工呼吸</w:t>
      </w:r>
    </w:p>
    <w:p w:rsidR="00B04AE3" w:rsidRDefault="00B04AE3">
      <w:pPr>
        <w:pStyle w:val="BodyText"/>
        <w:spacing w:before="20" w:line="360" w:lineRule="auto"/>
        <w:ind w:left="334" w:right="334" w:firstLine="482"/>
        <w:jc w:val="both"/>
        <w:rPr>
          <w:spacing w:val="-6"/>
          <w:szCs w:val="22"/>
        </w:rPr>
      </w:pPr>
      <w:r>
        <w:rPr>
          <w:rFonts w:hint="eastAsia"/>
          <w:spacing w:val="-6"/>
          <w:szCs w:val="22"/>
        </w:rPr>
        <w:t>首先确认呼吸道是否通畅；</w:t>
      </w:r>
    </w:p>
    <w:p w:rsidR="00B04AE3" w:rsidRDefault="00B04AE3">
      <w:pPr>
        <w:pStyle w:val="BodyText"/>
        <w:spacing w:before="20" w:line="360" w:lineRule="auto"/>
        <w:ind w:left="334" w:right="334" w:firstLine="482"/>
        <w:jc w:val="both"/>
        <w:rPr>
          <w:spacing w:val="-6"/>
          <w:szCs w:val="22"/>
        </w:rPr>
      </w:pPr>
      <w:r>
        <w:rPr>
          <w:rFonts w:hint="eastAsia"/>
          <w:spacing w:val="-6"/>
          <w:szCs w:val="22"/>
        </w:rPr>
        <w:t>⑴以耳靠近病人的鼻和口，以听或感觉是否有气流（也可观察棉花或纸条）。</w:t>
      </w:r>
    </w:p>
    <w:p w:rsidR="00B04AE3" w:rsidRDefault="00B04AE3">
      <w:pPr>
        <w:pStyle w:val="BodyText"/>
        <w:spacing w:before="20" w:line="360" w:lineRule="auto"/>
        <w:ind w:left="334" w:right="334" w:firstLine="482"/>
        <w:jc w:val="both"/>
        <w:rPr>
          <w:spacing w:val="-6"/>
          <w:szCs w:val="22"/>
        </w:rPr>
      </w:pPr>
      <w:r>
        <w:rPr>
          <w:rFonts w:hint="eastAsia"/>
          <w:spacing w:val="-6"/>
          <w:szCs w:val="22"/>
        </w:rPr>
        <w:t>⑵观察病人的胸廓是否有起伏，判断呼吸是否停止。</w:t>
      </w:r>
    </w:p>
    <w:p w:rsidR="00B04AE3" w:rsidRDefault="00B04AE3">
      <w:pPr>
        <w:pStyle w:val="BodyText"/>
        <w:spacing w:before="20" w:line="360" w:lineRule="auto"/>
        <w:ind w:left="334" w:right="334" w:firstLine="482"/>
        <w:jc w:val="both"/>
        <w:rPr>
          <w:spacing w:val="-6"/>
          <w:szCs w:val="22"/>
        </w:rPr>
      </w:pPr>
      <w:r>
        <w:rPr>
          <w:rFonts w:hint="eastAsia"/>
          <w:spacing w:val="-6"/>
          <w:szCs w:val="22"/>
        </w:rPr>
        <w:t>⑶然后清除呼吸道内的异物或分泌物，利用托下颌或将头部后仰可消除舌后缀引起的气道梗阻。</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⑷再进行口对口人工呼吸法：抢救者用手捏住患者的鼻孔，以每分钟</w:t>
      </w:r>
      <w:r>
        <w:rPr>
          <w:spacing w:val="-6"/>
          <w:szCs w:val="22"/>
        </w:rPr>
        <w:t xml:space="preserve"> 16-20</w:t>
      </w:r>
    </w:p>
    <w:p w:rsidR="00B04AE3" w:rsidRDefault="00B04AE3">
      <w:pPr>
        <w:pStyle w:val="BodyText"/>
        <w:spacing w:before="20" w:line="360" w:lineRule="auto"/>
        <w:ind w:left="334" w:right="334" w:firstLine="482"/>
        <w:jc w:val="both"/>
        <w:rPr>
          <w:spacing w:val="-6"/>
          <w:szCs w:val="22"/>
        </w:rPr>
      </w:pPr>
      <w:r>
        <w:rPr>
          <w:rFonts w:hint="eastAsia"/>
          <w:spacing w:val="-6"/>
          <w:szCs w:val="22"/>
        </w:rPr>
        <w:t>次的速度向患者口中吹气，也可进行心脏按压法。</w:t>
      </w:r>
    </w:p>
    <w:p w:rsidR="00B04AE3" w:rsidRDefault="00B04AE3">
      <w:pPr>
        <w:pStyle w:val="BodyText"/>
        <w:spacing w:before="20" w:line="360" w:lineRule="auto"/>
        <w:ind w:left="334" w:right="334" w:firstLine="482"/>
        <w:jc w:val="both"/>
        <w:rPr>
          <w:spacing w:val="-6"/>
          <w:szCs w:val="22"/>
        </w:rPr>
      </w:pPr>
      <w:r>
        <w:rPr>
          <w:rFonts w:hint="eastAsia"/>
          <w:spacing w:val="-6"/>
          <w:szCs w:val="22"/>
        </w:rPr>
        <w:t>②按压术</w:t>
      </w:r>
    </w:p>
    <w:p w:rsidR="00B04AE3" w:rsidRDefault="00B04AE3">
      <w:pPr>
        <w:pStyle w:val="BodyText"/>
        <w:spacing w:before="20" w:line="360" w:lineRule="auto"/>
        <w:ind w:left="334" w:right="334" w:firstLine="482"/>
        <w:jc w:val="both"/>
        <w:rPr>
          <w:spacing w:val="-6"/>
          <w:szCs w:val="22"/>
        </w:rPr>
      </w:pPr>
      <w:r>
        <w:rPr>
          <w:rFonts w:hint="eastAsia"/>
          <w:spacing w:val="-6"/>
          <w:szCs w:val="22"/>
        </w:rPr>
        <w:t>针对心跳骤停者，方法：患者平躺在硬地上或木板床上，抢救者用双手挤压患者胸骨下端略靠左方，每分钟挤压</w:t>
      </w:r>
      <w:r>
        <w:rPr>
          <w:spacing w:val="-6"/>
          <w:szCs w:val="22"/>
        </w:rPr>
        <w:t xml:space="preserve"> 60-70 </w:t>
      </w:r>
      <w:r>
        <w:rPr>
          <w:rFonts w:hint="eastAsia"/>
          <w:spacing w:val="-6"/>
          <w:szCs w:val="22"/>
        </w:rPr>
        <w:t>次，挤压时不要用力过猛，防肋骨骨折，心跳恢复的可靠指征是颈动脉或股动脉搏动恢复，血压复升，听诊有心音。</w:t>
      </w:r>
    </w:p>
    <w:p w:rsidR="00B04AE3" w:rsidRDefault="00B04AE3">
      <w:pPr>
        <w:pStyle w:val="BodyText"/>
        <w:spacing w:before="20" w:line="360" w:lineRule="auto"/>
        <w:ind w:left="334" w:right="334" w:firstLine="482"/>
        <w:jc w:val="both"/>
        <w:rPr>
          <w:spacing w:val="-6"/>
          <w:szCs w:val="22"/>
        </w:rPr>
      </w:pPr>
      <w:r>
        <w:rPr>
          <w:rFonts w:hint="eastAsia"/>
          <w:spacing w:val="-6"/>
          <w:szCs w:val="22"/>
        </w:rPr>
        <w:t>③现场外伤止血方法</w:t>
      </w:r>
    </w:p>
    <w:p w:rsidR="00B04AE3" w:rsidRDefault="00B04AE3">
      <w:pPr>
        <w:pStyle w:val="BodyText"/>
        <w:spacing w:before="20" w:line="360" w:lineRule="auto"/>
        <w:ind w:left="334" w:right="334" w:firstLine="482"/>
        <w:jc w:val="both"/>
        <w:rPr>
          <w:spacing w:val="-6"/>
          <w:szCs w:val="22"/>
        </w:rPr>
      </w:pPr>
      <w:r>
        <w:rPr>
          <w:rFonts w:hint="eastAsia"/>
          <w:spacing w:val="-6"/>
          <w:szCs w:val="22"/>
        </w:rPr>
        <w:t>外伤止血方法有肢体抬高法和止血带止血法。肢体抬高法：抬起并保持出血的肢体高于胸部。一般用于四肢远端的出血，一般不单独用；止血带止血法：四肢大动脉的出血可用一米长的橡皮带或手帕、领带、长袜、丝巾等折叠成带状，</w:t>
      </w:r>
      <w:r>
        <w:rPr>
          <w:spacing w:val="-6"/>
          <w:szCs w:val="22"/>
        </w:rPr>
        <w:t xml:space="preserve"> </w:t>
      </w:r>
      <w:r>
        <w:rPr>
          <w:rFonts w:hint="eastAsia"/>
          <w:spacing w:val="-6"/>
          <w:szCs w:val="22"/>
        </w:rPr>
        <w:t>宽度</w:t>
      </w:r>
      <w:r>
        <w:rPr>
          <w:spacing w:val="-6"/>
          <w:szCs w:val="22"/>
        </w:rPr>
        <w:t xml:space="preserve"> 5 </w:t>
      </w:r>
      <w:r>
        <w:rPr>
          <w:rFonts w:hint="eastAsia"/>
          <w:spacing w:val="-6"/>
          <w:szCs w:val="22"/>
        </w:rPr>
        <w:t>厘米以上。先将伤肢抬高，然后将代用止血带缠绕在伤口近心端（先垫好衬垫）并用力勒紧至伤口无血，打结或用笔杆、筷子等插入其中，一提、二缚、三固定。每隔一小时（寒冷季节半小时）松开</w:t>
      </w:r>
      <w:r>
        <w:rPr>
          <w:spacing w:val="-6"/>
          <w:szCs w:val="22"/>
        </w:rPr>
        <w:t xml:space="preserve"> 1-2 </w:t>
      </w:r>
      <w:r>
        <w:rPr>
          <w:rFonts w:hint="eastAsia"/>
          <w:spacing w:val="-6"/>
          <w:szCs w:val="22"/>
        </w:rPr>
        <w:t>分钟，以防肢体坏死。</w:t>
      </w:r>
    </w:p>
    <w:p w:rsidR="00B04AE3" w:rsidRDefault="00B04AE3">
      <w:pPr>
        <w:pStyle w:val="BodyText"/>
        <w:spacing w:before="20" w:line="360" w:lineRule="auto"/>
        <w:ind w:left="334" w:right="334" w:firstLine="482"/>
        <w:jc w:val="both"/>
        <w:rPr>
          <w:spacing w:val="-6"/>
          <w:szCs w:val="22"/>
        </w:rPr>
      </w:pPr>
      <w:r>
        <w:rPr>
          <w:rFonts w:hint="eastAsia"/>
          <w:spacing w:val="-6"/>
          <w:szCs w:val="22"/>
        </w:rPr>
        <w:t>一般情况下出血分类分为以下几种情况：</w:t>
      </w:r>
      <w:r>
        <w:rPr>
          <w:spacing w:val="-6"/>
          <w:szCs w:val="22"/>
        </w:rPr>
        <w:t xml:space="preserve"> </w:t>
      </w:r>
      <w:r>
        <w:rPr>
          <w:rFonts w:hint="eastAsia"/>
          <w:spacing w:val="-6"/>
          <w:szCs w:val="22"/>
        </w:rPr>
        <w:t>外出血：血液从皮肤向体外流出。</w:t>
      </w:r>
    </w:p>
    <w:p w:rsidR="00B04AE3" w:rsidRDefault="00B04AE3">
      <w:pPr>
        <w:pStyle w:val="BodyText"/>
        <w:spacing w:before="20" w:line="360" w:lineRule="auto"/>
        <w:ind w:left="334" w:right="334" w:firstLine="482"/>
        <w:jc w:val="both"/>
        <w:rPr>
          <w:spacing w:val="-6"/>
          <w:szCs w:val="22"/>
        </w:rPr>
      </w:pPr>
      <w:r>
        <w:rPr>
          <w:rFonts w:hint="eastAsia"/>
          <w:spacing w:val="-6"/>
          <w:szCs w:val="22"/>
        </w:rPr>
        <w:t>内出血：血液从破裂的血管流入组织，脏器或体腔内。静脉出血：颜色暗红，流出缓慢，呈持续性。</w:t>
      </w:r>
    </w:p>
    <w:p w:rsidR="00B04AE3" w:rsidRDefault="00B04AE3">
      <w:pPr>
        <w:pStyle w:val="BodyText"/>
        <w:spacing w:before="20" w:line="360" w:lineRule="auto"/>
        <w:ind w:left="334" w:right="334" w:firstLine="482"/>
        <w:jc w:val="both"/>
        <w:rPr>
          <w:spacing w:val="-6"/>
          <w:szCs w:val="22"/>
        </w:rPr>
      </w:pPr>
      <w:r>
        <w:rPr>
          <w:rFonts w:hint="eastAsia"/>
          <w:spacing w:val="-6"/>
          <w:szCs w:val="22"/>
        </w:rPr>
        <w:t>动脉出血：颜色鲜红，血流急，呈喷泉状或一汩汩涌出。</w:t>
      </w:r>
    </w:p>
    <w:p w:rsidR="00B04AE3" w:rsidRDefault="00B04AE3">
      <w:pPr>
        <w:pStyle w:val="ListParagraph"/>
        <w:numPr>
          <w:ilvl w:val="2"/>
          <w:numId w:val="37"/>
        </w:numPr>
        <w:tabs>
          <w:tab w:val="left" w:pos="998"/>
        </w:tabs>
        <w:spacing w:before="158"/>
        <w:rPr>
          <w:b/>
          <w:sz w:val="24"/>
        </w:rPr>
      </w:pPr>
      <w:bookmarkStart w:id="176" w:name="10.1.3培训要求"/>
      <w:bookmarkEnd w:id="176"/>
      <w:r>
        <w:rPr>
          <w:rFonts w:hint="eastAsia"/>
          <w:b/>
          <w:sz w:val="24"/>
        </w:rPr>
        <w:t>培训要求</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应急培训的基本要求：</w:t>
      </w:r>
    </w:p>
    <w:p w:rsidR="00B04AE3" w:rsidRDefault="00B04AE3">
      <w:pPr>
        <w:pStyle w:val="BodyText"/>
        <w:spacing w:before="20" w:line="360" w:lineRule="auto"/>
        <w:ind w:left="334" w:right="334" w:firstLine="482"/>
        <w:jc w:val="both"/>
        <w:rPr>
          <w:spacing w:val="-6"/>
          <w:szCs w:val="22"/>
        </w:rPr>
      </w:pPr>
      <w:r>
        <w:rPr>
          <w:rFonts w:hint="eastAsia"/>
          <w:spacing w:val="-6"/>
          <w:szCs w:val="22"/>
        </w:rPr>
        <w:t>⑴每位应急人员应有坚强的意志和作风，健康的体能，临场处置各种突</w:t>
      </w:r>
    </w:p>
    <w:p w:rsidR="00B04AE3" w:rsidRDefault="00B04AE3">
      <w:pPr>
        <w:pStyle w:val="BodyText"/>
        <w:spacing w:before="20" w:line="360" w:lineRule="auto"/>
        <w:ind w:left="334" w:right="334" w:firstLine="482"/>
        <w:jc w:val="both"/>
        <w:rPr>
          <w:spacing w:val="-6"/>
          <w:szCs w:val="22"/>
        </w:rPr>
        <w:sectPr w:rsidR="00B04AE3">
          <w:pgSz w:w="11910" w:h="16840"/>
          <w:pgMar w:top="1340" w:right="1460" w:bottom="1180" w:left="1460" w:header="878" w:footer="993" w:gutter="0"/>
          <w:cols w:space="720"/>
        </w:sectPr>
      </w:pPr>
    </w:p>
    <w:p w:rsidR="00B04AE3" w:rsidRDefault="00B04AE3">
      <w:pPr>
        <w:pStyle w:val="BodyText"/>
        <w:spacing w:before="20" w:line="360" w:lineRule="auto"/>
        <w:ind w:left="334" w:right="334" w:firstLine="482"/>
        <w:jc w:val="both"/>
        <w:rPr>
          <w:spacing w:val="-6"/>
          <w:szCs w:val="22"/>
        </w:rPr>
      </w:pPr>
      <w:r>
        <w:rPr>
          <w:rFonts w:hint="eastAsia"/>
          <w:spacing w:val="-6"/>
          <w:szCs w:val="22"/>
        </w:rPr>
        <w:t>变事故的能力，有自救和互救的能力。</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⑵正确使用各种防护设施、通讯装备。</w:t>
      </w:r>
    </w:p>
    <w:p w:rsidR="00B04AE3" w:rsidRDefault="00B04AE3">
      <w:pPr>
        <w:pStyle w:val="BodyText"/>
        <w:spacing w:before="20" w:line="360" w:lineRule="auto"/>
        <w:ind w:left="334" w:right="334" w:firstLine="482"/>
        <w:jc w:val="both"/>
        <w:rPr>
          <w:spacing w:val="-6"/>
          <w:szCs w:val="22"/>
        </w:rPr>
      </w:pPr>
      <w:r>
        <w:rPr>
          <w:rFonts w:hint="eastAsia"/>
          <w:spacing w:val="-6"/>
          <w:szCs w:val="22"/>
        </w:rPr>
        <w:t>⑶熟练使用各种救护器材、工具，明确自己的救援任务。</w:t>
      </w:r>
    </w:p>
    <w:p w:rsidR="00B04AE3" w:rsidRDefault="00B04AE3">
      <w:pPr>
        <w:pStyle w:val="BodyText"/>
        <w:spacing w:before="20" w:line="360" w:lineRule="auto"/>
        <w:ind w:left="334" w:right="334" w:firstLine="482"/>
        <w:jc w:val="both"/>
        <w:rPr>
          <w:spacing w:val="-6"/>
          <w:szCs w:val="22"/>
        </w:rPr>
      </w:pPr>
      <w:r>
        <w:rPr>
          <w:rFonts w:hint="eastAsia"/>
          <w:spacing w:val="-6"/>
          <w:szCs w:val="22"/>
        </w:rPr>
        <w:t>⑷预案涉及人员明确各自的职责和应急应对能力。</w:t>
      </w:r>
    </w:p>
    <w:p w:rsidR="00B04AE3" w:rsidRDefault="00B04AE3">
      <w:pPr>
        <w:pStyle w:val="BodyText"/>
        <w:spacing w:before="20" w:line="360" w:lineRule="auto"/>
        <w:ind w:left="334" w:right="334" w:firstLine="482"/>
        <w:jc w:val="both"/>
        <w:rPr>
          <w:spacing w:val="-6"/>
          <w:szCs w:val="22"/>
        </w:rPr>
      </w:pPr>
      <w:r>
        <w:rPr>
          <w:rFonts w:hint="eastAsia"/>
          <w:spacing w:val="-6"/>
          <w:szCs w:val="22"/>
        </w:rPr>
        <w:t>⑸外部公众的培训，根据疏散、个体防护等需要进行。需要时向周边群众进行宣传，使事故波及到区域的外部公众都能对危险废弃物事故应急救援的基本程序、采取的措施等内容有全面了解。</w:t>
      </w:r>
    </w:p>
    <w:p w:rsidR="00B04AE3" w:rsidRDefault="00B04AE3">
      <w:pPr>
        <w:pStyle w:val="BodyText"/>
        <w:spacing w:before="20" w:line="360" w:lineRule="auto"/>
        <w:ind w:left="334" w:right="334" w:firstLine="482"/>
        <w:jc w:val="both"/>
        <w:rPr>
          <w:spacing w:val="-6"/>
          <w:szCs w:val="22"/>
        </w:rPr>
      </w:pPr>
      <w:r>
        <w:rPr>
          <w:rFonts w:hint="eastAsia"/>
          <w:spacing w:val="-6"/>
          <w:szCs w:val="22"/>
        </w:rPr>
        <w:t>⑹培训频次：公司应急办公室每年向公司申请专项资金、聘请或抽调专业人员开展两次对应急救援人员根据专业分工不同进行危险废弃物火灾或泄漏事故的专业性培训，重点掌握危险废弃物物理化学性质、扑救处置方法和注意事项，不断提高应急救援队伍的整体素质和救援专业水平。</w:t>
      </w:r>
    </w:p>
    <w:p w:rsidR="00B04AE3" w:rsidRDefault="00B04AE3">
      <w:pPr>
        <w:pStyle w:val="BodyText"/>
        <w:spacing w:before="20" w:line="360" w:lineRule="auto"/>
        <w:ind w:left="334" w:right="334" w:firstLine="482"/>
        <w:jc w:val="both"/>
        <w:rPr>
          <w:spacing w:val="-6"/>
          <w:szCs w:val="22"/>
        </w:rPr>
      </w:pPr>
      <w:r>
        <w:rPr>
          <w:rFonts w:hint="eastAsia"/>
          <w:spacing w:val="-6"/>
          <w:szCs w:val="22"/>
        </w:rPr>
        <w:t>⑺应急办公室应对培训的计划、内容、方式、考核等予以记录归档。</w:t>
      </w:r>
    </w:p>
    <w:p w:rsidR="00B04AE3" w:rsidRDefault="00B04AE3">
      <w:pPr>
        <w:pStyle w:val="ListParagraph"/>
        <w:numPr>
          <w:ilvl w:val="2"/>
          <w:numId w:val="37"/>
        </w:numPr>
        <w:tabs>
          <w:tab w:val="left" w:pos="998"/>
        </w:tabs>
        <w:spacing w:before="160"/>
        <w:rPr>
          <w:b/>
          <w:sz w:val="24"/>
        </w:rPr>
      </w:pPr>
      <w:bookmarkStart w:id="177" w:name="10.1.4培训考核"/>
      <w:bookmarkEnd w:id="177"/>
      <w:r>
        <w:rPr>
          <w:rFonts w:hint="eastAsia"/>
          <w:b/>
          <w:sz w:val="24"/>
        </w:rPr>
        <w:t>培训考核</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应急培训结束后，公司应急办公室对参与培训的人员进行考核。考核结果由公司应急救援办公室备案。</w:t>
      </w:r>
    </w:p>
    <w:p w:rsidR="00B04AE3" w:rsidRDefault="00B04AE3">
      <w:pPr>
        <w:pStyle w:val="BodyText"/>
        <w:spacing w:before="20" w:line="360" w:lineRule="auto"/>
        <w:ind w:left="334" w:right="334" w:firstLine="482"/>
        <w:jc w:val="both"/>
        <w:rPr>
          <w:spacing w:val="-6"/>
          <w:szCs w:val="22"/>
        </w:rPr>
      </w:pPr>
      <w:r>
        <w:rPr>
          <w:rFonts w:hint="eastAsia"/>
          <w:spacing w:val="-6"/>
          <w:szCs w:val="22"/>
        </w:rPr>
        <w:t>核对象：主要是公司管理人员、生产人员。</w:t>
      </w:r>
    </w:p>
    <w:p w:rsidR="00B04AE3" w:rsidRDefault="00B04AE3">
      <w:pPr>
        <w:pStyle w:val="BodyText"/>
        <w:spacing w:before="20" w:line="360" w:lineRule="auto"/>
        <w:ind w:left="334" w:right="334" w:firstLine="482"/>
        <w:jc w:val="both"/>
        <w:rPr>
          <w:spacing w:val="-6"/>
          <w:szCs w:val="22"/>
        </w:rPr>
      </w:pPr>
      <w:r>
        <w:rPr>
          <w:rFonts w:hint="eastAsia"/>
          <w:spacing w:val="-6"/>
          <w:szCs w:val="22"/>
        </w:rPr>
        <w:t>考核方法：采取试卷问答、现场提问、实际操作演练三种相结合的方式进行考核。</w:t>
      </w:r>
    </w:p>
    <w:p w:rsidR="00B04AE3" w:rsidRDefault="00B04AE3">
      <w:pPr>
        <w:pStyle w:val="BodyText"/>
        <w:spacing w:before="20" w:line="360" w:lineRule="auto"/>
        <w:ind w:left="334" w:right="334" w:firstLine="482"/>
        <w:jc w:val="both"/>
        <w:rPr>
          <w:spacing w:val="-6"/>
          <w:szCs w:val="22"/>
        </w:rPr>
      </w:pPr>
      <w:r>
        <w:rPr>
          <w:rFonts w:hint="eastAsia"/>
          <w:spacing w:val="-6"/>
          <w:szCs w:val="22"/>
        </w:rPr>
        <w:t>考核结果：考核结束后，由公司应急救援办公室将考核结果予以公布，对考核不合格的人员进行再培训。应急救援人员培训考核不合格的，由应急救援办公室在公司范围内进行通报批评。应急预案培训考核表见附件二十一。</w:t>
      </w:r>
    </w:p>
    <w:p w:rsidR="00B04AE3" w:rsidRDefault="00B04AE3">
      <w:pPr>
        <w:pStyle w:val="ListParagraph"/>
        <w:numPr>
          <w:ilvl w:val="1"/>
          <w:numId w:val="37"/>
        </w:numPr>
        <w:tabs>
          <w:tab w:val="left" w:pos="938"/>
        </w:tabs>
        <w:spacing w:line="384" w:lineRule="exact"/>
        <w:rPr>
          <w:b/>
          <w:sz w:val="30"/>
        </w:rPr>
      </w:pPr>
      <w:bookmarkStart w:id="178" w:name="10.2应急演练"/>
      <w:bookmarkStart w:id="179" w:name="_bookmark45"/>
      <w:bookmarkEnd w:id="178"/>
      <w:bookmarkEnd w:id="179"/>
      <w:r>
        <w:rPr>
          <w:rFonts w:hint="eastAsia"/>
          <w:b/>
          <w:sz w:val="30"/>
        </w:rPr>
        <w:t>应急演练</w:t>
      </w:r>
    </w:p>
    <w:p w:rsidR="00B04AE3" w:rsidRDefault="00B04AE3">
      <w:pPr>
        <w:pStyle w:val="BodyText"/>
        <w:spacing w:before="20" w:line="360" w:lineRule="auto"/>
        <w:ind w:left="334" w:right="334" w:firstLine="482"/>
        <w:jc w:val="both"/>
        <w:rPr>
          <w:spacing w:val="-6"/>
          <w:szCs w:val="22"/>
        </w:rPr>
      </w:pPr>
      <w:r>
        <w:rPr>
          <w:rFonts w:hint="eastAsia"/>
          <w:spacing w:val="-6"/>
          <w:szCs w:val="22"/>
        </w:rPr>
        <w:t>通过预案演练来考察应急预案的完善性和可操作性，考察应急设备设施性能的可靠性，考察和锻炼应急人员的应急能力，培养应急指挥人员对事故预警的判断能力和公司员工的自救能力。</w:t>
      </w:r>
    </w:p>
    <w:p w:rsidR="00B04AE3" w:rsidRDefault="00B04AE3">
      <w:pPr>
        <w:pStyle w:val="ListParagraph"/>
        <w:numPr>
          <w:ilvl w:val="2"/>
          <w:numId w:val="37"/>
        </w:numPr>
        <w:tabs>
          <w:tab w:val="left" w:pos="998"/>
        </w:tabs>
        <w:spacing w:line="307" w:lineRule="exact"/>
        <w:rPr>
          <w:b/>
          <w:sz w:val="24"/>
        </w:rPr>
      </w:pPr>
      <w:bookmarkStart w:id="180" w:name="10.2.1应急演练的组织"/>
      <w:bookmarkEnd w:id="180"/>
      <w:r>
        <w:rPr>
          <w:rFonts w:hint="eastAsia"/>
          <w:b/>
          <w:w w:val="95"/>
          <w:sz w:val="24"/>
        </w:rPr>
        <w:t>应急演练的组织</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应急演练分为部门、公司级演练和配合政府部门演练三级；</w:t>
      </w:r>
    </w:p>
    <w:p w:rsidR="00B04AE3" w:rsidRDefault="00B04AE3">
      <w:pPr>
        <w:pStyle w:val="BodyText"/>
        <w:spacing w:before="20" w:line="360" w:lineRule="auto"/>
        <w:ind w:left="334" w:right="334" w:firstLine="482"/>
        <w:jc w:val="both"/>
        <w:rPr>
          <w:spacing w:val="-6"/>
          <w:szCs w:val="22"/>
        </w:rPr>
      </w:pPr>
      <w:r>
        <w:rPr>
          <w:rFonts w:hint="eastAsia"/>
          <w:spacing w:val="-6"/>
          <w:szCs w:val="22"/>
        </w:rPr>
        <w:t>⑴部门级的演练由部门负责人（现场指挥）组织进行，公司安全、环保、技术及相关部门派员观摩指导；</w:t>
      </w:r>
      <w:bookmarkStart w:id="181" w:name="11_奖惩_"/>
      <w:bookmarkEnd w:id="181"/>
    </w:p>
    <w:p w:rsidR="00B04AE3" w:rsidRDefault="00B04AE3">
      <w:pPr>
        <w:pStyle w:val="BodyText"/>
        <w:spacing w:before="20" w:line="360" w:lineRule="auto"/>
        <w:ind w:left="334" w:right="334" w:firstLine="482"/>
        <w:jc w:val="both"/>
        <w:rPr>
          <w:spacing w:val="-6"/>
          <w:szCs w:val="22"/>
        </w:rPr>
      </w:pPr>
      <w:r>
        <w:rPr>
          <w:rFonts w:hint="eastAsia"/>
          <w:spacing w:val="-6"/>
          <w:szCs w:val="22"/>
        </w:rPr>
        <w:t>⑵公司级演练由公司应急指挥小组组织进行，各相关部门参加；</w:t>
      </w:r>
    </w:p>
    <w:p w:rsidR="00B04AE3" w:rsidRDefault="00B04AE3">
      <w:pPr>
        <w:pStyle w:val="BodyText"/>
        <w:spacing w:before="20" w:line="360" w:lineRule="auto"/>
        <w:ind w:left="334" w:right="334" w:firstLine="482"/>
        <w:jc w:val="both"/>
        <w:rPr>
          <w:spacing w:val="-6"/>
          <w:szCs w:val="22"/>
        </w:rPr>
      </w:pPr>
      <w:r>
        <w:rPr>
          <w:rFonts w:hint="eastAsia"/>
          <w:spacing w:val="-6"/>
          <w:szCs w:val="22"/>
        </w:rPr>
        <w:t>⑶与政府有关部门的联合演练，由政府有关部门组织进行，公司应急领导小组成员参加，相关部门人员参加配合。</w:t>
      </w:r>
    </w:p>
    <w:p w:rsidR="00B04AE3" w:rsidRDefault="00B04AE3">
      <w:pPr>
        <w:pStyle w:val="ListParagraph"/>
        <w:numPr>
          <w:ilvl w:val="2"/>
          <w:numId w:val="37"/>
        </w:numPr>
        <w:tabs>
          <w:tab w:val="left" w:pos="998"/>
        </w:tabs>
        <w:spacing w:before="5"/>
        <w:rPr>
          <w:b/>
          <w:sz w:val="24"/>
        </w:rPr>
      </w:pPr>
      <w:bookmarkStart w:id="182" w:name="10.2.2应急演练的准备"/>
      <w:bookmarkEnd w:id="182"/>
      <w:r>
        <w:rPr>
          <w:rFonts w:hint="eastAsia"/>
          <w:b/>
          <w:sz w:val="24"/>
        </w:rPr>
        <w:t>应急演练的准备</w:t>
      </w:r>
    </w:p>
    <w:p w:rsidR="00B04AE3" w:rsidRDefault="00B04AE3">
      <w:pPr>
        <w:pStyle w:val="BodyText"/>
        <w:spacing w:before="20" w:line="360" w:lineRule="auto"/>
        <w:ind w:left="334" w:right="334" w:firstLine="482"/>
        <w:jc w:val="both"/>
        <w:rPr>
          <w:spacing w:val="-6"/>
          <w:szCs w:val="22"/>
        </w:rPr>
      </w:pPr>
      <w:r>
        <w:rPr>
          <w:rFonts w:hint="eastAsia"/>
          <w:spacing w:val="-6"/>
          <w:szCs w:val="22"/>
        </w:rPr>
        <w:t>⑴演练应制订演练方案，按演练级别报应急指挥负责人审批；</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⑵演练前应落实所需的各种器材装备与物资、交通车辆、防护器材的准备，以确保演练顺利进行；</w:t>
      </w:r>
    </w:p>
    <w:p w:rsidR="00B04AE3" w:rsidRDefault="00B04AE3">
      <w:pPr>
        <w:pStyle w:val="BodyText"/>
        <w:spacing w:before="20" w:line="360" w:lineRule="auto"/>
        <w:ind w:left="334" w:right="334" w:firstLine="482"/>
        <w:jc w:val="both"/>
        <w:rPr>
          <w:spacing w:val="-6"/>
          <w:szCs w:val="22"/>
        </w:rPr>
      </w:pPr>
      <w:r>
        <w:rPr>
          <w:rFonts w:hint="eastAsia"/>
          <w:spacing w:val="-6"/>
          <w:szCs w:val="22"/>
        </w:rPr>
        <w:t>⑶演练前应通知周边社区、企业人员，必要时与新闻媒体沟通，以避免造成不必要的影响。</w:t>
      </w:r>
    </w:p>
    <w:p w:rsidR="00B04AE3" w:rsidRDefault="00B04AE3">
      <w:pPr>
        <w:pStyle w:val="ListParagraph"/>
        <w:numPr>
          <w:ilvl w:val="2"/>
          <w:numId w:val="37"/>
        </w:numPr>
        <w:tabs>
          <w:tab w:val="left" w:pos="998"/>
        </w:tabs>
        <w:spacing w:line="306" w:lineRule="exact"/>
        <w:rPr>
          <w:b/>
          <w:sz w:val="24"/>
        </w:rPr>
      </w:pPr>
      <w:bookmarkStart w:id="183" w:name="10.2.3应急演练的方式、范围和频次"/>
      <w:bookmarkEnd w:id="183"/>
      <w:r>
        <w:rPr>
          <w:rFonts w:hint="eastAsia"/>
          <w:b/>
          <w:sz w:val="24"/>
        </w:rPr>
        <w:t>应急演练的方式、范围和频次</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应急演练的方式：根据实际情况，可采用桌面推演，模拟演练、仿真演练等方式。</w:t>
      </w:r>
    </w:p>
    <w:p w:rsidR="00B04AE3" w:rsidRDefault="00B04AE3">
      <w:pPr>
        <w:pStyle w:val="BodyText"/>
        <w:spacing w:before="20" w:line="360" w:lineRule="auto"/>
        <w:ind w:left="334" w:right="334" w:firstLine="482"/>
        <w:jc w:val="both"/>
        <w:rPr>
          <w:spacing w:val="-6"/>
          <w:szCs w:val="22"/>
        </w:rPr>
      </w:pPr>
      <w:r>
        <w:rPr>
          <w:rFonts w:hint="eastAsia"/>
          <w:spacing w:val="-6"/>
          <w:szCs w:val="22"/>
        </w:rPr>
        <w:t>演练的范围：根据演练的方式，本着节俭、实用的原则，确定演练的范围，</w:t>
      </w:r>
      <w:r>
        <w:rPr>
          <w:spacing w:val="-6"/>
          <w:szCs w:val="22"/>
        </w:rPr>
        <w:t xml:space="preserve"> </w:t>
      </w:r>
      <w:r>
        <w:rPr>
          <w:rFonts w:hint="eastAsia"/>
          <w:spacing w:val="-6"/>
          <w:szCs w:val="22"/>
        </w:rPr>
        <w:t>可根据需要进行全面演练、也可针对重点进行局部演练。</w:t>
      </w:r>
    </w:p>
    <w:p w:rsidR="00B04AE3" w:rsidRDefault="00B04AE3">
      <w:pPr>
        <w:pStyle w:val="BodyText"/>
        <w:spacing w:before="20" w:line="360" w:lineRule="auto"/>
        <w:ind w:left="334" w:right="334" w:firstLine="482"/>
        <w:jc w:val="both"/>
        <w:rPr>
          <w:spacing w:val="-6"/>
          <w:szCs w:val="22"/>
        </w:rPr>
      </w:pPr>
      <w:r>
        <w:rPr>
          <w:rFonts w:hint="eastAsia"/>
          <w:spacing w:val="-6"/>
          <w:szCs w:val="22"/>
        </w:rPr>
        <w:t>演练频次：每年公司组织一次应急预案演练。</w:t>
      </w:r>
    </w:p>
    <w:p w:rsidR="00B04AE3" w:rsidRDefault="00B04AE3">
      <w:pPr>
        <w:pStyle w:val="ListParagraph"/>
        <w:numPr>
          <w:ilvl w:val="2"/>
          <w:numId w:val="37"/>
        </w:numPr>
        <w:tabs>
          <w:tab w:val="left" w:pos="998"/>
        </w:tabs>
        <w:spacing w:before="158"/>
        <w:rPr>
          <w:b/>
          <w:sz w:val="24"/>
        </w:rPr>
      </w:pPr>
      <w:bookmarkStart w:id="184" w:name="10.2.4应急演练的评价和总结"/>
      <w:bookmarkEnd w:id="184"/>
      <w:r>
        <w:rPr>
          <w:rFonts w:hint="eastAsia"/>
          <w:b/>
          <w:sz w:val="24"/>
        </w:rPr>
        <w:t>应急演练的评价和总结</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⑴应急演练结束后，应急办公室适时组织本单位专业技术人员进行分析评价，总结经验，分析不足之处，完善应急预案，健全应急保障。</w:t>
      </w:r>
    </w:p>
    <w:p w:rsidR="00B04AE3" w:rsidRDefault="00B04AE3">
      <w:pPr>
        <w:pStyle w:val="BodyText"/>
        <w:spacing w:before="20" w:line="360" w:lineRule="auto"/>
        <w:ind w:left="334" w:right="334" w:firstLine="482"/>
        <w:jc w:val="both"/>
        <w:rPr>
          <w:spacing w:val="-6"/>
          <w:szCs w:val="22"/>
        </w:rPr>
      </w:pPr>
      <w:r>
        <w:rPr>
          <w:rFonts w:hint="eastAsia"/>
          <w:spacing w:val="-6"/>
          <w:szCs w:val="22"/>
        </w:rPr>
        <w:t>⑵演练应留有相应的演练记录并归档。</w:t>
      </w:r>
    </w:p>
    <w:p w:rsidR="00B04AE3" w:rsidRDefault="00B04AE3">
      <w:pPr>
        <w:rPr>
          <w:sz w:val="24"/>
        </w:rPr>
        <w:sectPr w:rsidR="00B04AE3">
          <w:pgSz w:w="11910" w:h="16840"/>
          <w:pgMar w:top="1340" w:right="1460" w:bottom="1180" w:left="1460" w:header="878" w:footer="993" w:gutter="0"/>
          <w:cols w:space="720"/>
        </w:sectPr>
      </w:pPr>
    </w:p>
    <w:p w:rsidR="00B04AE3" w:rsidRDefault="00B04AE3">
      <w:pPr>
        <w:pStyle w:val="ListParagraph"/>
        <w:numPr>
          <w:ilvl w:val="0"/>
          <w:numId w:val="37"/>
        </w:numPr>
        <w:tabs>
          <w:tab w:val="left" w:pos="768"/>
        </w:tabs>
        <w:spacing w:before="97"/>
        <w:ind w:left="767" w:hanging="430"/>
        <w:rPr>
          <w:rFonts w:ascii="Times New Roman" w:eastAsia="Times New Roman"/>
          <w:b/>
          <w:sz w:val="36"/>
        </w:rPr>
      </w:pPr>
      <w:bookmarkStart w:id="185" w:name="12_保障措施"/>
      <w:bookmarkEnd w:id="185"/>
      <w:r>
        <w:rPr>
          <w:rFonts w:hint="eastAsia"/>
          <w:b/>
          <w:sz w:val="36"/>
        </w:rPr>
        <w:t>奖惩</w:t>
      </w:r>
    </w:p>
    <w:p w:rsidR="00B04AE3" w:rsidRDefault="00B04AE3">
      <w:pPr>
        <w:pStyle w:val="ListParagraph"/>
        <w:numPr>
          <w:ilvl w:val="1"/>
          <w:numId w:val="37"/>
        </w:numPr>
        <w:tabs>
          <w:tab w:val="left" w:pos="921"/>
        </w:tabs>
        <w:spacing w:before="239"/>
        <w:ind w:left="920" w:hanging="583"/>
        <w:rPr>
          <w:b/>
          <w:sz w:val="30"/>
        </w:rPr>
      </w:pPr>
      <w:bookmarkStart w:id="186" w:name="11.1奖惩"/>
      <w:bookmarkStart w:id="187" w:name="_bookmark46"/>
      <w:bookmarkEnd w:id="186"/>
      <w:bookmarkEnd w:id="187"/>
      <w:r>
        <w:rPr>
          <w:rFonts w:hint="eastAsia"/>
          <w:b/>
          <w:sz w:val="30"/>
        </w:rPr>
        <w:t>奖惩</w:t>
      </w:r>
    </w:p>
    <w:p w:rsidR="00B04AE3" w:rsidRDefault="00B04AE3">
      <w:pPr>
        <w:pStyle w:val="BodyText"/>
        <w:spacing w:before="20" w:line="360" w:lineRule="auto"/>
        <w:ind w:left="334" w:right="334" w:firstLine="482"/>
        <w:jc w:val="both"/>
        <w:rPr>
          <w:spacing w:val="-6"/>
          <w:szCs w:val="22"/>
        </w:rPr>
      </w:pPr>
      <w:r>
        <w:rPr>
          <w:rFonts w:hint="eastAsia"/>
          <w:spacing w:val="-6"/>
          <w:szCs w:val="22"/>
        </w:rPr>
        <w:t>在突发环境事件应急处理救援工作中有下列行为之一的部门和个人依据公司奖励制度给予表扬奖励和经济奖励：</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⑴对反应迅速、处置果断出色完成突发环境事件应急救援任务，成绩显著的，每人每次给予</w:t>
      </w:r>
      <w:r>
        <w:rPr>
          <w:spacing w:val="-6"/>
          <w:szCs w:val="22"/>
        </w:rPr>
        <w:t xml:space="preserve"> 1000 </w:t>
      </w:r>
      <w:r>
        <w:rPr>
          <w:rFonts w:hint="eastAsia"/>
          <w:spacing w:val="-6"/>
          <w:szCs w:val="22"/>
        </w:rPr>
        <w:t>元；</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⑵对防止突发环境事件发生，使国家、集体和人民群众的生命财产免受或者减少损失，成绩显著的，每人每次给予</w:t>
      </w:r>
      <w:r>
        <w:rPr>
          <w:spacing w:val="-6"/>
          <w:szCs w:val="22"/>
        </w:rPr>
        <w:t xml:space="preserve"> 500 </w:t>
      </w:r>
      <w:r>
        <w:rPr>
          <w:rFonts w:hint="eastAsia"/>
          <w:spacing w:val="-6"/>
          <w:szCs w:val="22"/>
        </w:rPr>
        <w:t>元；</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⑶对事件应急准备与响应提出重大建议，实施效果显著的，每人每次给予</w:t>
      </w:r>
      <w:r>
        <w:rPr>
          <w:spacing w:val="-6"/>
          <w:szCs w:val="22"/>
        </w:rPr>
        <w:t xml:space="preserve"> 300 </w:t>
      </w:r>
      <w:r>
        <w:rPr>
          <w:rFonts w:hint="eastAsia"/>
          <w:spacing w:val="-6"/>
          <w:szCs w:val="22"/>
        </w:rPr>
        <w:t>元；</w:t>
      </w:r>
    </w:p>
    <w:p w:rsidR="00B04AE3" w:rsidRDefault="00B04AE3">
      <w:pPr>
        <w:pStyle w:val="BodyText"/>
        <w:spacing w:before="20" w:line="360" w:lineRule="auto"/>
        <w:ind w:left="334" w:right="334" w:firstLine="482"/>
        <w:jc w:val="both"/>
        <w:rPr>
          <w:spacing w:val="-6"/>
          <w:szCs w:val="22"/>
        </w:rPr>
      </w:pPr>
      <w:r>
        <w:rPr>
          <w:rFonts w:hint="eastAsia"/>
          <w:spacing w:val="-6"/>
          <w:szCs w:val="22"/>
        </w:rPr>
        <w:t>⑷有其他特殊贡献的，根据实际情况给予经济奖励。</w:t>
      </w:r>
    </w:p>
    <w:p w:rsidR="00B04AE3" w:rsidRDefault="00B04AE3">
      <w:pPr>
        <w:pStyle w:val="ListParagraph"/>
        <w:numPr>
          <w:ilvl w:val="1"/>
          <w:numId w:val="37"/>
        </w:numPr>
        <w:tabs>
          <w:tab w:val="left" w:pos="921"/>
        </w:tabs>
        <w:spacing w:before="157"/>
        <w:ind w:left="920" w:hanging="583"/>
        <w:rPr>
          <w:b/>
          <w:sz w:val="30"/>
        </w:rPr>
      </w:pPr>
      <w:bookmarkStart w:id="188" w:name="11.2责任追究"/>
      <w:bookmarkStart w:id="189" w:name="_bookmark47"/>
      <w:bookmarkEnd w:id="188"/>
      <w:bookmarkEnd w:id="189"/>
      <w:r>
        <w:rPr>
          <w:rFonts w:hint="eastAsia"/>
          <w:b/>
          <w:sz w:val="30"/>
        </w:rPr>
        <w:t>责任追究</w:t>
      </w:r>
    </w:p>
    <w:p w:rsidR="00B04AE3" w:rsidRDefault="00B04AE3">
      <w:pPr>
        <w:pStyle w:val="BodyText"/>
        <w:spacing w:before="20" w:line="360" w:lineRule="auto"/>
        <w:ind w:left="334" w:right="334" w:firstLine="482"/>
        <w:jc w:val="both"/>
        <w:rPr>
          <w:spacing w:val="-6"/>
          <w:szCs w:val="22"/>
        </w:rPr>
      </w:pPr>
      <w:r>
        <w:rPr>
          <w:rFonts w:hint="eastAsia"/>
          <w:spacing w:val="-6"/>
          <w:szCs w:val="22"/>
        </w:rPr>
        <w:t>在突发环境事件应急处置救援工作中有下列行为之一的，依据公司的相关规定对有关责任人员视情节和危害后果给予一定的处罚，情节严重的移交相关部门依法追究其法律责任：</w:t>
      </w:r>
    </w:p>
    <w:p w:rsidR="00B04AE3" w:rsidRDefault="00B04AE3">
      <w:pPr>
        <w:pStyle w:val="BodyText"/>
        <w:spacing w:before="20" w:line="360" w:lineRule="auto"/>
        <w:ind w:left="334" w:right="334" w:firstLine="482"/>
        <w:jc w:val="both"/>
        <w:rPr>
          <w:spacing w:val="-6"/>
          <w:szCs w:val="22"/>
        </w:rPr>
      </w:pPr>
      <w:r>
        <w:rPr>
          <w:rFonts w:hint="eastAsia"/>
          <w:spacing w:val="-6"/>
          <w:szCs w:val="22"/>
        </w:rPr>
        <w:t>⑴不遵从突发环境事件应急预案的规定，拒绝承担突发环境事件应急准备义务的，罚款</w:t>
      </w:r>
      <w:r>
        <w:rPr>
          <w:spacing w:val="-6"/>
          <w:szCs w:val="22"/>
        </w:rPr>
        <w:t xml:space="preserve"> 300 </w:t>
      </w:r>
      <w:r>
        <w:rPr>
          <w:rFonts w:hint="eastAsia"/>
          <w:spacing w:val="-6"/>
          <w:szCs w:val="22"/>
        </w:rPr>
        <w:t>元；</w:t>
      </w:r>
    </w:p>
    <w:p w:rsidR="00B04AE3" w:rsidRDefault="00B04AE3">
      <w:pPr>
        <w:pStyle w:val="BodyText"/>
        <w:spacing w:before="20" w:line="360" w:lineRule="auto"/>
        <w:ind w:left="334" w:right="334" w:firstLine="482"/>
        <w:jc w:val="both"/>
        <w:rPr>
          <w:spacing w:val="-6"/>
          <w:szCs w:val="22"/>
        </w:rPr>
      </w:pPr>
      <w:r>
        <w:rPr>
          <w:rFonts w:hint="eastAsia"/>
          <w:spacing w:val="-6"/>
          <w:szCs w:val="22"/>
        </w:rPr>
        <w:t>⑵不按规定报告突发环境事件真实情况，造成危害扩大，导致严重后果的，罚款</w:t>
      </w:r>
      <w:r>
        <w:rPr>
          <w:spacing w:val="-6"/>
          <w:szCs w:val="22"/>
        </w:rPr>
        <w:t xml:space="preserve"> 1000 </w:t>
      </w:r>
      <w:r>
        <w:rPr>
          <w:rFonts w:hint="eastAsia"/>
          <w:spacing w:val="-6"/>
          <w:szCs w:val="22"/>
        </w:rPr>
        <w:t>元；</w:t>
      </w:r>
    </w:p>
    <w:p w:rsidR="00B04AE3" w:rsidRDefault="00B04AE3">
      <w:pPr>
        <w:pStyle w:val="BodyText"/>
        <w:spacing w:before="20" w:line="360" w:lineRule="auto"/>
        <w:ind w:left="334" w:right="334" w:firstLine="482"/>
        <w:jc w:val="both"/>
        <w:rPr>
          <w:spacing w:val="-6"/>
          <w:szCs w:val="22"/>
        </w:rPr>
      </w:pPr>
      <w:r>
        <w:rPr>
          <w:rFonts w:hint="eastAsia"/>
          <w:spacing w:val="-6"/>
          <w:szCs w:val="22"/>
        </w:rPr>
        <w:t>⑶拒不执行突发环境事件应急预案，不服从命令、指挥或者在事件应急响应时临阵脱逃的，罚款</w:t>
      </w:r>
      <w:r>
        <w:rPr>
          <w:spacing w:val="-6"/>
          <w:szCs w:val="22"/>
        </w:rPr>
        <w:t xml:space="preserve"> 2000 </w:t>
      </w:r>
      <w:r>
        <w:rPr>
          <w:rFonts w:hint="eastAsia"/>
          <w:spacing w:val="-6"/>
          <w:szCs w:val="22"/>
        </w:rPr>
        <w:t>元；</w:t>
      </w:r>
    </w:p>
    <w:p w:rsidR="00B04AE3" w:rsidRDefault="00B04AE3">
      <w:pPr>
        <w:pStyle w:val="BodyText"/>
        <w:spacing w:before="20" w:line="360" w:lineRule="auto"/>
        <w:ind w:left="334" w:right="334" w:firstLine="482"/>
        <w:jc w:val="both"/>
        <w:rPr>
          <w:spacing w:val="-6"/>
          <w:szCs w:val="22"/>
        </w:rPr>
      </w:pPr>
      <w:r>
        <w:rPr>
          <w:rFonts w:hint="eastAsia"/>
          <w:spacing w:val="-6"/>
          <w:szCs w:val="22"/>
        </w:rPr>
        <w:t>⑷盗窃、贪污、挪用环境事件应急工作资金、装备和韧资的，除将资金、装备和物资收回外，给予开除；</w:t>
      </w:r>
    </w:p>
    <w:p w:rsidR="00B04AE3" w:rsidRDefault="00B04AE3">
      <w:pPr>
        <w:pStyle w:val="BodyText"/>
        <w:spacing w:before="20" w:line="360" w:lineRule="auto"/>
        <w:ind w:left="334" w:right="334" w:firstLine="482"/>
        <w:jc w:val="both"/>
        <w:rPr>
          <w:spacing w:val="-6"/>
          <w:szCs w:val="22"/>
        </w:rPr>
      </w:pPr>
      <w:r>
        <w:rPr>
          <w:rFonts w:hint="eastAsia"/>
          <w:spacing w:val="-6"/>
          <w:szCs w:val="22"/>
        </w:rPr>
        <w:t>⑸有其他对环境事件应急工作造成危害行为的，根据实际情况给予经济处罚。</w:t>
      </w:r>
    </w:p>
    <w:p w:rsidR="00B04AE3" w:rsidRDefault="00B04AE3">
      <w:pPr>
        <w:spacing w:line="362" w:lineRule="auto"/>
        <w:rPr>
          <w:sz w:val="24"/>
        </w:rPr>
        <w:sectPr w:rsidR="00B04AE3">
          <w:pgSz w:w="11910" w:h="16840"/>
          <w:pgMar w:top="1340" w:right="1460" w:bottom="1180" w:left="1460" w:header="878" w:footer="993" w:gutter="0"/>
          <w:cols w:space="720"/>
        </w:sectPr>
      </w:pPr>
    </w:p>
    <w:p w:rsidR="00B04AE3" w:rsidRDefault="00B04AE3">
      <w:pPr>
        <w:pStyle w:val="ListParagraph"/>
        <w:numPr>
          <w:ilvl w:val="0"/>
          <w:numId w:val="37"/>
        </w:numPr>
        <w:tabs>
          <w:tab w:val="left" w:pos="787"/>
        </w:tabs>
        <w:spacing w:before="97"/>
        <w:ind w:left="786" w:hanging="449"/>
        <w:rPr>
          <w:rFonts w:ascii="Times New Roman" w:eastAsia="Times New Roman"/>
          <w:b/>
          <w:sz w:val="36"/>
        </w:rPr>
      </w:pPr>
      <w:bookmarkStart w:id="190" w:name="_bookmark48"/>
      <w:bookmarkEnd w:id="190"/>
      <w:r>
        <w:rPr>
          <w:rFonts w:hint="eastAsia"/>
          <w:b/>
          <w:sz w:val="36"/>
        </w:rPr>
        <w:t>保障措施</w:t>
      </w:r>
    </w:p>
    <w:p w:rsidR="00B04AE3" w:rsidRDefault="00B04AE3">
      <w:pPr>
        <w:pStyle w:val="ListParagraph"/>
        <w:numPr>
          <w:ilvl w:val="1"/>
          <w:numId w:val="37"/>
        </w:numPr>
        <w:tabs>
          <w:tab w:val="left" w:pos="938"/>
        </w:tabs>
        <w:spacing w:before="239"/>
        <w:rPr>
          <w:b/>
          <w:sz w:val="30"/>
        </w:rPr>
      </w:pPr>
      <w:bookmarkStart w:id="191" w:name="12.1经费保障"/>
      <w:bookmarkStart w:id="192" w:name="_bookmark49"/>
      <w:bookmarkEnd w:id="191"/>
      <w:bookmarkEnd w:id="192"/>
      <w:r>
        <w:rPr>
          <w:rFonts w:hint="eastAsia"/>
          <w:b/>
          <w:sz w:val="30"/>
        </w:rPr>
        <w:t>经费保障</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应急救援所需经费，公司财务部应设立专项安全应急经费。安全经费投入包括应急救援器材的购置、维护、校验，为应急救援队员提供足够的劳保用品、用具，安全应急经费可从公司安全投入经费中列支，确保应急经费及时到位，为应急救援过程中所亟需的费用提供强劲保障。突发环境事件应急经费使用情况见表</w:t>
      </w:r>
      <w:r>
        <w:rPr>
          <w:spacing w:val="-6"/>
          <w:szCs w:val="22"/>
        </w:rPr>
        <w:t xml:space="preserve"> 12-1</w:t>
      </w:r>
      <w:r>
        <w:rPr>
          <w:rFonts w:hint="eastAsia"/>
          <w:spacing w:val="-6"/>
          <w:szCs w:val="22"/>
        </w:rPr>
        <w:t>。</w:t>
      </w:r>
    </w:p>
    <w:p w:rsidR="00B04AE3" w:rsidRDefault="00B04AE3">
      <w:pPr>
        <w:tabs>
          <w:tab w:val="left" w:pos="3303"/>
        </w:tabs>
        <w:spacing w:after="2" w:line="306" w:lineRule="exact"/>
        <w:ind w:left="2322"/>
        <w:rPr>
          <w:b/>
          <w:sz w:val="24"/>
        </w:rPr>
      </w:pPr>
      <w:r>
        <w:rPr>
          <w:rFonts w:hint="eastAsia"/>
          <w:b/>
          <w:sz w:val="24"/>
        </w:rPr>
        <w:t>表</w:t>
      </w:r>
      <w:r>
        <w:rPr>
          <w:b/>
          <w:spacing w:val="-62"/>
          <w:sz w:val="24"/>
        </w:rPr>
        <w:t xml:space="preserve"> </w:t>
      </w:r>
      <w:r>
        <w:rPr>
          <w:rFonts w:ascii="Times New Roman" w:eastAsia="Times New Roman"/>
          <w:b/>
          <w:sz w:val="24"/>
        </w:rPr>
        <w:t>12-1</w:t>
      </w:r>
      <w:r>
        <w:rPr>
          <w:rFonts w:ascii="Times New Roman" w:eastAsia="Times New Roman"/>
          <w:b/>
          <w:sz w:val="24"/>
        </w:rPr>
        <w:tab/>
      </w:r>
      <w:r>
        <w:rPr>
          <w:rFonts w:hint="eastAsia"/>
          <w:b/>
          <w:sz w:val="24"/>
        </w:rPr>
        <w:t>突发环境事件应急经费使用情况</w:t>
      </w:r>
    </w:p>
    <w:tbl>
      <w:tblPr>
        <w:tblW w:w="8528" w:type="dxa"/>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44"/>
        <w:gridCol w:w="3536"/>
        <w:gridCol w:w="812"/>
        <w:gridCol w:w="3536"/>
      </w:tblGrid>
      <w:tr w:rsidR="00B04AE3">
        <w:trPr>
          <w:trHeight w:val="340"/>
        </w:trPr>
        <w:tc>
          <w:tcPr>
            <w:tcW w:w="644" w:type="dxa"/>
            <w:shd w:val="clear" w:color="auto" w:fill="DFDFDF"/>
          </w:tcPr>
          <w:p w:rsidR="00B04AE3" w:rsidRDefault="00B04AE3">
            <w:pPr>
              <w:pStyle w:val="TableParagraph"/>
              <w:spacing w:before="32"/>
              <w:ind w:left="89" w:right="82"/>
              <w:rPr>
                <w:b/>
                <w:sz w:val="21"/>
              </w:rPr>
            </w:pPr>
            <w:r>
              <w:rPr>
                <w:rFonts w:hint="eastAsia"/>
                <w:b/>
                <w:sz w:val="21"/>
              </w:rPr>
              <w:t>序号</w:t>
            </w:r>
          </w:p>
        </w:tc>
        <w:tc>
          <w:tcPr>
            <w:tcW w:w="3536" w:type="dxa"/>
            <w:shd w:val="clear" w:color="auto" w:fill="DFDFDF"/>
          </w:tcPr>
          <w:p w:rsidR="00B04AE3" w:rsidRDefault="00B04AE3">
            <w:pPr>
              <w:pStyle w:val="TableParagraph"/>
              <w:spacing w:before="32"/>
              <w:ind w:left="171" w:right="158"/>
              <w:rPr>
                <w:b/>
                <w:sz w:val="21"/>
              </w:rPr>
            </w:pPr>
            <w:r>
              <w:rPr>
                <w:rFonts w:hint="eastAsia"/>
                <w:b/>
                <w:sz w:val="21"/>
              </w:rPr>
              <w:t>使用范围</w:t>
            </w:r>
          </w:p>
        </w:tc>
        <w:tc>
          <w:tcPr>
            <w:tcW w:w="812" w:type="dxa"/>
            <w:shd w:val="clear" w:color="auto" w:fill="DFDFDF"/>
          </w:tcPr>
          <w:p w:rsidR="00B04AE3" w:rsidRDefault="00B04AE3">
            <w:pPr>
              <w:pStyle w:val="TableParagraph"/>
              <w:spacing w:before="32"/>
              <w:ind w:left="95" w:right="86"/>
              <w:rPr>
                <w:b/>
                <w:sz w:val="21"/>
              </w:rPr>
            </w:pPr>
            <w:r>
              <w:rPr>
                <w:rFonts w:hint="eastAsia"/>
                <w:b/>
                <w:sz w:val="21"/>
              </w:rPr>
              <w:t>数量</w:t>
            </w:r>
          </w:p>
        </w:tc>
        <w:tc>
          <w:tcPr>
            <w:tcW w:w="3536" w:type="dxa"/>
            <w:shd w:val="clear" w:color="auto" w:fill="DFDFDF"/>
          </w:tcPr>
          <w:p w:rsidR="00B04AE3" w:rsidRDefault="00B04AE3">
            <w:pPr>
              <w:pStyle w:val="TableParagraph"/>
              <w:spacing w:before="32"/>
              <w:ind w:left="1137"/>
              <w:jc w:val="left"/>
              <w:rPr>
                <w:b/>
                <w:sz w:val="21"/>
              </w:rPr>
            </w:pPr>
            <w:r>
              <w:rPr>
                <w:rFonts w:hint="eastAsia"/>
                <w:b/>
                <w:sz w:val="21"/>
              </w:rPr>
              <w:t>监督管理措施</w:t>
            </w:r>
          </w:p>
        </w:tc>
      </w:tr>
      <w:tr w:rsidR="00B04AE3">
        <w:trPr>
          <w:trHeight w:val="340"/>
        </w:trPr>
        <w:tc>
          <w:tcPr>
            <w:tcW w:w="644" w:type="dxa"/>
          </w:tcPr>
          <w:p w:rsidR="00B04AE3" w:rsidRDefault="00B04AE3">
            <w:pPr>
              <w:pStyle w:val="TableParagraph"/>
              <w:spacing w:before="48"/>
              <w:ind w:left="8"/>
              <w:rPr>
                <w:rFonts w:ascii="Times New Roman"/>
                <w:sz w:val="21"/>
              </w:rPr>
            </w:pPr>
            <w:r>
              <w:rPr>
                <w:rFonts w:ascii="Times New Roman"/>
                <w:w w:val="99"/>
                <w:sz w:val="21"/>
              </w:rPr>
              <w:t>1</w:t>
            </w:r>
          </w:p>
        </w:tc>
        <w:tc>
          <w:tcPr>
            <w:tcW w:w="3536" w:type="dxa"/>
          </w:tcPr>
          <w:p w:rsidR="00B04AE3" w:rsidRDefault="00B04AE3">
            <w:pPr>
              <w:pStyle w:val="TableParagraph"/>
              <w:spacing w:before="32"/>
              <w:ind w:left="171" w:right="165"/>
              <w:rPr>
                <w:sz w:val="21"/>
              </w:rPr>
            </w:pPr>
            <w:r>
              <w:rPr>
                <w:rFonts w:hint="eastAsia"/>
                <w:sz w:val="21"/>
              </w:rPr>
              <w:t>应急人员培训</w:t>
            </w:r>
          </w:p>
        </w:tc>
        <w:tc>
          <w:tcPr>
            <w:tcW w:w="812" w:type="dxa"/>
          </w:tcPr>
          <w:p w:rsidR="00B04AE3" w:rsidRDefault="00B04AE3">
            <w:pPr>
              <w:pStyle w:val="TableParagraph"/>
              <w:spacing w:before="32"/>
              <w:ind w:left="95" w:right="89"/>
              <w:rPr>
                <w:sz w:val="21"/>
              </w:rPr>
            </w:pPr>
            <w:r>
              <w:rPr>
                <w:rFonts w:ascii="Times New Roman" w:eastAsia="Times New Roman"/>
                <w:sz w:val="21"/>
              </w:rPr>
              <w:t xml:space="preserve">1 </w:t>
            </w:r>
            <w:r>
              <w:rPr>
                <w:rFonts w:hint="eastAsia"/>
                <w:sz w:val="21"/>
              </w:rPr>
              <w:t>万元</w:t>
            </w:r>
          </w:p>
        </w:tc>
        <w:tc>
          <w:tcPr>
            <w:tcW w:w="3536" w:type="dxa"/>
            <w:vMerge w:val="restart"/>
          </w:tcPr>
          <w:p w:rsidR="00B04AE3" w:rsidRDefault="00B04AE3">
            <w:pPr>
              <w:pStyle w:val="TableParagraph"/>
              <w:spacing w:before="11"/>
              <w:jc w:val="left"/>
              <w:rPr>
                <w:b/>
                <w:sz w:val="29"/>
              </w:rPr>
            </w:pPr>
          </w:p>
          <w:p w:rsidR="00B04AE3" w:rsidRDefault="00B04AE3">
            <w:pPr>
              <w:pStyle w:val="TableParagraph"/>
              <w:ind w:left="297"/>
              <w:jc w:val="left"/>
              <w:rPr>
                <w:sz w:val="21"/>
              </w:rPr>
            </w:pPr>
            <w:r>
              <w:rPr>
                <w:rFonts w:hint="eastAsia"/>
                <w:sz w:val="21"/>
              </w:rPr>
              <w:t>年终统计开支使用向指挥部汇报</w:t>
            </w:r>
          </w:p>
        </w:tc>
      </w:tr>
      <w:tr w:rsidR="00B04AE3">
        <w:trPr>
          <w:trHeight w:val="340"/>
        </w:trPr>
        <w:tc>
          <w:tcPr>
            <w:tcW w:w="644" w:type="dxa"/>
          </w:tcPr>
          <w:p w:rsidR="00B04AE3" w:rsidRDefault="00B04AE3">
            <w:pPr>
              <w:pStyle w:val="TableParagraph"/>
              <w:spacing w:before="49"/>
              <w:ind w:left="8"/>
              <w:rPr>
                <w:rFonts w:ascii="Times New Roman"/>
                <w:sz w:val="21"/>
              </w:rPr>
            </w:pPr>
            <w:r>
              <w:rPr>
                <w:rFonts w:ascii="Times New Roman"/>
                <w:w w:val="99"/>
                <w:sz w:val="21"/>
              </w:rPr>
              <w:t>2</w:t>
            </w:r>
          </w:p>
        </w:tc>
        <w:tc>
          <w:tcPr>
            <w:tcW w:w="3536" w:type="dxa"/>
          </w:tcPr>
          <w:p w:rsidR="00B04AE3" w:rsidRDefault="00B04AE3">
            <w:pPr>
              <w:pStyle w:val="TableParagraph"/>
              <w:spacing w:before="32"/>
              <w:ind w:left="171" w:right="165"/>
              <w:rPr>
                <w:sz w:val="21"/>
              </w:rPr>
            </w:pPr>
            <w:r>
              <w:rPr>
                <w:rFonts w:hint="eastAsia"/>
                <w:sz w:val="21"/>
              </w:rPr>
              <w:t>应急人员演练</w:t>
            </w:r>
          </w:p>
        </w:tc>
        <w:tc>
          <w:tcPr>
            <w:tcW w:w="812" w:type="dxa"/>
          </w:tcPr>
          <w:p w:rsidR="00B04AE3" w:rsidRDefault="00B04AE3">
            <w:pPr>
              <w:pStyle w:val="TableParagraph"/>
              <w:spacing w:before="32"/>
              <w:ind w:left="95" w:right="89"/>
              <w:rPr>
                <w:sz w:val="21"/>
              </w:rPr>
            </w:pPr>
            <w:r>
              <w:rPr>
                <w:rFonts w:ascii="Times New Roman" w:eastAsia="Times New Roman"/>
                <w:sz w:val="21"/>
              </w:rPr>
              <w:t xml:space="preserve">2 </w:t>
            </w:r>
            <w:r>
              <w:rPr>
                <w:rFonts w:hint="eastAsia"/>
                <w:sz w:val="21"/>
              </w:rPr>
              <w:t>万元</w:t>
            </w:r>
          </w:p>
        </w:tc>
        <w:tc>
          <w:tcPr>
            <w:tcW w:w="3536" w:type="dxa"/>
            <w:vMerge/>
            <w:tcBorders>
              <w:top w:val="nil"/>
            </w:tcBorders>
          </w:tcPr>
          <w:p w:rsidR="00B04AE3" w:rsidRDefault="00B04AE3">
            <w:pPr>
              <w:rPr>
                <w:sz w:val="2"/>
                <w:szCs w:val="2"/>
              </w:rPr>
            </w:pPr>
          </w:p>
        </w:tc>
      </w:tr>
      <w:tr w:rsidR="00B04AE3">
        <w:trPr>
          <w:trHeight w:val="340"/>
        </w:trPr>
        <w:tc>
          <w:tcPr>
            <w:tcW w:w="644" w:type="dxa"/>
          </w:tcPr>
          <w:p w:rsidR="00B04AE3" w:rsidRDefault="00B04AE3">
            <w:pPr>
              <w:pStyle w:val="TableParagraph"/>
              <w:spacing w:before="47"/>
              <w:ind w:left="8"/>
              <w:rPr>
                <w:rFonts w:ascii="Times New Roman"/>
                <w:sz w:val="21"/>
              </w:rPr>
            </w:pPr>
            <w:r>
              <w:rPr>
                <w:rFonts w:ascii="Times New Roman"/>
                <w:w w:val="99"/>
                <w:sz w:val="21"/>
              </w:rPr>
              <w:t>3</w:t>
            </w:r>
          </w:p>
        </w:tc>
        <w:tc>
          <w:tcPr>
            <w:tcW w:w="3536" w:type="dxa"/>
          </w:tcPr>
          <w:p w:rsidR="00B04AE3" w:rsidRDefault="00B04AE3">
            <w:pPr>
              <w:pStyle w:val="TableParagraph"/>
              <w:spacing w:before="33"/>
              <w:ind w:left="171" w:right="165"/>
              <w:rPr>
                <w:sz w:val="21"/>
              </w:rPr>
            </w:pPr>
            <w:r>
              <w:rPr>
                <w:rFonts w:hint="eastAsia"/>
                <w:sz w:val="21"/>
              </w:rPr>
              <w:t>应急救援物资的保养、维修、更新</w:t>
            </w:r>
          </w:p>
        </w:tc>
        <w:tc>
          <w:tcPr>
            <w:tcW w:w="812" w:type="dxa"/>
          </w:tcPr>
          <w:p w:rsidR="00B04AE3" w:rsidRDefault="00B04AE3">
            <w:pPr>
              <w:pStyle w:val="TableParagraph"/>
              <w:spacing w:before="33"/>
              <w:ind w:left="95" w:right="89"/>
              <w:rPr>
                <w:sz w:val="21"/>
              </w:rPr>
            </w:pPr>
            <w:r>
              <w:rPr>
                <w:rFonts w:ascii="Times New Roman" w:eastAsia="Times New Roman"/>
                <w:sz w:val="21"/>
              </w:rPr>
              <w:t xml:space="preserve">5 </w:t>
            </w:r>
            <w:r>
              <w:rPr>
                <w:rFonts w:hint="eastAsia"/>
                <w:sz w:val="21"/>
              </w:rPr>
              <w:t>万元</w:t>
            </w:r>
          </w:p>
        </w:tc>
        <w:tc>
          <w:tcPr>
            <w:tcW w:w="3536" w:type="dxa"/>
            <w:vMerge/>
            <w:tcBorders>
              <w:top w:val="nil"/>
            </w:tcBorders>
          </w:tcPr>
          <w:p w:rsidR="00B04AE3" w:rsidRDefault="00B04AE3">
            <w:pPr>
              <w:rPr>
                <w:sz w:val="2"/>
                <w:szCs w:val="2"/>
              </w:rPr>
            </w:pPr>
          </w:p>
        </w:tc>
      </w:tr>
      <w:tr w:rsidR="00B04AE3">
        <w:trPr>
          <w:trHeight w:val="340"/>
        </w:trPr>
        <w:tc>
          <w:tcPr>
            <w:tcW w:w="644" w:type="dxa"/>
          </w:tcPr>
          <w:p w:rsidR="00B04AE3" w:rsidRDefault="00B04AE3">
            <w:pPr>
              <w:pStyle w:val="TableParagraph"/>
              <w:spacing w:before="33"/>
              <w:ind w:left="87" w:right="82"/>
              <w:rPr>
                <w:sz w:val="21"/>
              </w:rPr>
            </w:pPr>
            <w:r>
              <w:rPr>
                <w:rFonts w:hint="eastAsia"/>
                <w:sz w:val="21"/>
              </w:rPr>
              <w:t>合计</w:t>
            </w:r>
          </w:p>
        </w:tc>
        <w:tc>
          <w:tcPr>
            <w:tcW w:w="7884" w:type="dxa"/>
            <w:gridSpan w:val="3"/>
          </w:tcPr>
          <w:p w:rsidR="00B04AE3" w:rsidRDefault="00B04AE3">
            <w:pPr>
              <w:pStyle w:val="TableParagraph"/>
              <w:spacing w:before="33"/>
              <w:ind w:left="3631" w:right="3625"/>
              <w:rPr>
                <w:sz w:val="21"/>
              </w:rPr>
            </w:pPr>
            <w:r>
              <w:rPr>
                <w:rFonts w:ascii="Times New Roman" w:eastAsia="Times New Roman"/>
                <w:sz w:val="21"/>
              </w:rPr>
              <w:t xml:space="preserve">8 </w:t>
            </w:r>
            <w:r>
              <w:rPr>
                <w:rFonts w:hint="eastAsia"/>
                <w:sz w:val="21"/>
              </w:rPr>
              <w:t>万元</w:t>
            </w:r>
          </w:p>
        </w:tc>
      </w:tr>
    </w:tbl>
    <w:p w:rsidR="00B04AE3" w:rsidRDefault="00B04AE3">
      <w:pPr>
        <w:pStyle w:val="ListParagraph"/>
        <w:numPr>
          <w:ilvl w:val="1"/>
          <w:numId w:val="37"/>
        </w:numPr>
        <w:tabs>
          <w:tab w:val="left" w:pos="938"/>
        </w:tabs>
        <w:spacing w:before="1"/>
        <w:rPr>
          <w:b/>
          <w:sz w:val="30"/>
        </w:rPr>
      </w:pPr>
      <w:bookmarkStart w:id="193" w:name="12.2应急物资装备保障"/>
      <w:bookmarkStart w:id="194" w:name="_bookmark50"/>
      <w:bookmarkEnd w:id="193"/>
      <w:bookmarkEnd w:id="194"/>
      <w:r>
        <w:rPr>
          <w:rFonts w:hint="eastAsia"/>
          <w:b/>
          <w:sz w:val="30"/>
        </w:rPr>
        <w:t>应急物资装备保障</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常备应对突发环境事件的物资和人员装备，专门存放并由应急救援物资保障组管理维护，定期检查使用的应急物资和装备的类型、数量、性能、存放位置，配备物资质量是否完好、数量否足够，能否满足应急状态时的需要，并做好记录，并及时更新过期物资。</w:t>
      </w:r>
    </w:p>
    <w:p w:rsidR="00B04AE3" w:rsidRDefault="00B04AE3">
      <w:pPr>
        <w:pStyle w:val="ListParagraph"/>
        <w:numPr>
          <w:ilvl w:val="1"/>
          <w:numId w:val="37"/>
        </w:numPr>
        <w:tabs>
          <w:tab w:val="left" w:pos="938"/>
        </w:tabs>
        <w:spacing w:line="382" w:lineRule="exact"/>
        <w:rPr>
          <w:b/>
          <w:sz w:val="30"/>
        </w:rPr>
      </w:pPr>
      <w:bookmarkStart w:id="195" w:name="12.3应急队伍保障"/>
      <w:bookmarkStart w:id="196" w:name="_bookmark51"/>
      <w:bookmarkEnd w:id="195"/>
      <w:bookmarkEnd w:id="196"/>
      <w:r>
        <w:rPr>
          <w:rFonts w:hint="eastAsia"/>
          <w:b/>
          <w:sz w:val="30"/>
        </w:rPr>
        <w:t>应急队伍保障</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建立突发环境事件应急救援队伍，培训一支常备不懈，熟知环境应急知识，充分掌握各类突发环境事件处置措施的预备应急力量；定期组织环境应急实战演练，提高防范和处置突发性环境事件的技能，增强实战能力，保证在突发环境事故发生后，能迅速赶赴现场完成抢救、排险、监测等现场处置工作。详见第五章。</w:t>
      </w:r>
    </w:p>
    <w:p w:rsidR="00B04AE3" w:rsidRDefault="00B04AE3">
      <w:pPr>
        <w:pStyle w:val="BodyText"/>
        <w:spacing w:before="20" w:line="360" w:lineRule="auto"/>
        <w:ind w:left="334" w:right="334" w:firstLine="482"/>
        <w:jc w:val="both"/>
        <w:rPr>
          <w:spacing w:val="-6"/>
          <w:szCs w:val="22"/>
        </w:rPr>
      </w:pPr>
      <w:r>
        <w:rPr>
          <w:rFonts w:hint="eastAsia"/>
          <w:spacing w:val="-6"/>
          <w:szCs w:val="22"/>
        </w:rPr>
        <w:t>各职能小组人员构成有变动的，由其上级机构作出人员调整说明，并及时补足人员，对于新入组的成员，组长要尽职尽责，将本小组职责说明，并做好小组内应急演练和培训。</w:t>
      </w:r>
    </w:p>
    <w:p w:rsidR="00B04AE3" w:rsidRDefault="00B04AE3">
      <w:pPr>
        <w:pStyle w:val="ListParagraph"/>
        <w:numPr>
          <w:ilvl w:val="1"/>
          <w:numId w:val="37"/>
        </w:numPr>
        <w:tabs>
          <w:tab w:val="left" w:pos="938"/>
        </w:tabs>
        <w:spacing w:line="384" w:lineRule="exact"/>
        <w:rPr>
          <w:b/>
          <w:sz w:val="30"/>
        </w:rPr>
      </w:pPr>
      <w:bookmarkStart w:id="197" w:name="12.4通信与信息保障"/>
      <w:bookmarkStart w:id="198" w:name="_bookmark52"/>
      <w:bookmarkEnd w:id="197"/>
      <w:bookmarkEnd w:id="198"/>
      <w:r>
        <w:rPr>
          <w:rFonts w:hint="eastAsia"/>
          <w:b/>
          <w:sz w:val="30"/>
        </w:rPr>
        <w:t>通信与信息保障</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公司应急预案相关人员要确保手机</w:t>
      </w:r>
      <w:r>
        <w:rPr>
          <w:spacing w:val="-6"/>
          <w:szCs w:val="22"/>
        </w:rPr>
        <w:t xml:space="preserve"> 24 </w:t>
      </w:r>
      <w:r>
        <w:rPr>
          <w:rFonts w:hint="eastAsia"/>
          <w:spacing w:val="-6"/>
          <w:szCs w:val="22"/>
        </w:rPr>
        <w:t>小时正常开机，各部门电话处于值班监听状态，确保本预案启动时各应急小组之间的联络畅通。</w:t>
      </w:r>
      <w:bookmarkStart w:id="199" w:name="13_预案的评审、备案、发布和更新_"/>
      <w:bookmarkEnd w:id="199"/>
      <w:r>
        <w:rPr>
          <w:rFonts w:hint="eastAsia"/>
          <w:spacing w:val="-6"/>
          <w:szCs w:val="22"/>
        </w:rPr>
        <w:t>对讲机报警或内部电话、手机报警。应急联系电话详见附件十。</w:t>
      </w:r>
    </w:p>
    <w:p w:rsidR="00B04AE3" w:rsidRDefault="00B04AE3">
      <w:pPr>
        <w:pStyle w:val="ListParagraph"/>
        <w:numPr>
          <w:ilvl w:val="1"/>
          <w:numId w:val="37"/>
        </w:numPr>
        <w:tabs>
          <w:tab w:val="left" w:pos="938"/>
        </w:tabs>
        <w:spacing w:before="160"/>
        <w:rPr>
          <w:b/>
          <w:sz w:val="30"/>
        </w:rPr>
      </w:pPr>
      <w:bookmarkStart w:id="200" w:name="12.5治安保障"/>
      <w:bookmarkStart w:id="201" w:name="_bookmark53"/>
      <w:bookmarkEnd w:id="200"/>
      <w:bookmarkEnd w:id="201"/>
      <w:r>
        <w:rPr>
          <w:rFonts w:hint="eastAsia"/>
          <w:b/>
          <w:sz w:val="30"/>
        </w:rPr>
        <w:t>治安保障</w:t>
      </w:r>
    </w:p>
    <w:p w:rsidR="00B04AE3" w:rsidRDefault="00B04AE3">
      <w:pPr>
        <w:pStyle w:val="BodyText"/>
        <w:spacing w:before="20" w:line="360" w:lineRule="auto"/>
        <w:ind w:left="334" w:right="334" w:firstLine="482"/>
        <w:jc w:val="both"/>
        <w:rPr>
          <w:spacing w:val="-6"/>
          <w:szCs w:val="22"/>
        </w:rPr>
      </w:pPr>
      <w:r>
        <w:rPr>
          <w:rFonts w:hint="eastAsia"/>
          <w:spacing w:val="-6"/>
          <w:szCs w:val="22"/>
        </w:rPr>
        <w:t>预案启动后由警戒保卫组负责现场人员疏散工作，并控制好现场做好治安保障工作。用彩带设置警戒线，限制人员进出，避免无关人员进入危险区域及危害波及区域；为事故发生后的单位和人员提供一切方便、避免因措施不当而导致人为事故或继发性事故蔓延或扩大。在</w:t>
      </w:r>
      <w:r>
        <w:rPr>
          <w:spacing w:val="-6"/>
          <w:szCs w:val="22"/>
        </w:rPr>
        <w:t xml:space="preserve"> 110 </w:t>
      </w:r>
      <w:r>
        <w:rPr>
          <w:rFonts w:hint="eastAsia"/>
          <w:spacing w:val="-6"/>
          <w:szCs w:val="22"/>
        </w:rPr>
        <w:t>民警到达现场后，主动说明情况并积极配合民警展开工作。</w:t>
      </w:r>
    </w:p>
    <w:p w:rsidR="00B04AE3" w:rsidRDefault="00B04AE3">
      <w:pPr>
        <w:spacing w:line="364" w:lineRule="auto"/>
        <w:jc w:val="both"/>
        <w:sectPr w:rsidR="00B04AE3">
          <w:footerReference w:type="default" r:id="rId32"/>
          <w:pgSz w:w="11910" w:h="16840"/>
          <w:pgMar w:top="1340" w:right="1460" w:bottom="1180" w:left="1460" w:header="878" w:footer="993" w:gutter="0"/>
          <w:pgNumType w:start="80"/>
          <w:cols w:space="720"/>
        </w:sectPr>
      </w:pPr>
    </w:p>
    <w:p w:rsidR="00B04AE3" w:rsidRDefault="00B04AE3">
      <w:pPr>
        <w:pStyle w:val="ListParagraph"/>
        <w:numPr>
          <w:ilvl w:val="0"/>
          <w:numId w:val="37"/>
        </w:numPr>
        <w:tabs>
          <w:tab w:val="left" w:pos="787"/>
        </w:tabs>
        <w:spacing w:before="97"/>
        <w:ind w:left="786" w:hanging="449"/>
        <w:rPr>
          <w:rFonts w:ascii="Times New Roman" w:eastAsia="Times New Roman"/>
          <w:b/>
          <w:sz w:val="36"/>
        </w:rPr>
      </w:pPr>
      <w:bookmarkStart w:id="202" w:name="14附则_"/>
      <w:bookmarkStart w:id="203" w:name="_bookmark54"/>
      <w:bookmarkEnd w:id="202"/>
      <w:bookmarkEnd w:id="203"/>
      <w:r>
        <w:rPr>
          <w:rFonts w:hint="eastAsia"/>
          <w:b/>
          <w:sz w:val="36"/>
        </w:rPr>
        <w:t>预案的评审、备案、发布和更新</w:t>
      </w:r>
    </w:p>
    <w:p w:rsidR="00B04AE3" w:rsidRDefault="00B04AE3">
      <w:pPr>
        <w:pStyle w:val="ListParagraph"/>
        <w:numPr>
          <w:ilvl w:val="1"/>
          <w:numId w:val="37"/>
        </w:numPr>
        <w:tabs>
          <w:tab w:val="left" w:pos="938"/>
        </w:tabs>
        <w:spacing w:before="239"/>
        <w:rPr>
          <w:b/>
          <w:sz w:val="30"/>
        </w:rPr>
      </w:pPr>
      <w:bookmarkStart w:id="204" w:name="13.1预案的评审"/>
      <w:bookmarkStart w:id="205" w:name="_bookmark55"/>
      <w:bookmarkEnd w:id="204"/>
      <w:bookmarkEnd w:id="205"/>
      <w:r>
        <w:rPr>
          <w:rFonts w:hint="eastAsia"/>
          <w:b/>
          <w:sz w:val="30"/>
        </w:rPr>
        <w:t>预案的评审</w:t>
      </w:r>
    </w:p>
    <w:p w:rsidR="00B04AE3" w:rsidRDefault="00B04AE3">
      <w:pPr>
        <w:pStyle w:val="BodyText"/>
        <w:spacing w:before="20" w:line="360" w:lineRule="auto"/>
        <w:ind w:left="334" w:right="334" w:firstLine="482"/>
        <w:jc w:val="both"/>
        <w:rPr>
          <w:spacing w:val="-6"/>
          <w:szCs w:val="22"/>
        </w:rPr>
      </w:pPr>
      <w:r>
        <w:rPr>
          <w:rFonts w:hint="eastAsia"/>
          <w:spacing w:val="-6"/>
          <w:szCs w:val="22"/>
        </w:rPr>
        <w:t>为了保证其科学性、实用性，由市环保局应急办、经济技术开发区环保局应急办和环保专家、相关行业专家成立评估小组进行评估。</w:t>
      </w:r>
    </w:p>
    <w:p w:rsidR="00B04AE3" w:rsidRDefault="00B04AE3">
      <w:pPr>
        <w:pStyle w:val="ListParagraph"/>
        <w:numPr>
          <w:ilvl w:val="2"/>
          <w:numId w:val="37"/>
        </w:numPr>
        <w:tabs>
          <w:tab w:val="left" w:pos="998"/>
        </w:tabs>
        <w:spacing w:line="306" w:lineRule="exact"/>
        <w:rPr>
          <w:b/>
          <w:sz w:val="24"/>
        </w:rPr>
      </w:pPr>
      <w:bookmarkStart w:id="206" w:name="13.1.1内部评审"/>
      <w:bookmarkEnd w:id="206"/>
      <w:r>
        <w:rPr>
          <w:rFonts w:hint="eastAsia"/>
          <w:b/>
          <w:sz w:val="24"/>
        </w:rPr>
        <w:t>内部评审</w:t>
      </w:r>
    </w:p>
    <w:p w:rsidR="00B04AE3" w:rsidRDefault="00B04AE3">
      <w:pPr>
        <w:pStyle w:val="BodyText"/>
        <w:spacing w:before="20" w:line="360" w:lineRule="auto"/>
        <w:ind w:left="334" w:right="334" w:firstLine="482"/>
        <w:jc w:val="both"/>
        <w:rPr>
          <w:spacing w:val="-6"/>
          <w:szCs w:val="22"/>
        </w:rPr>
      </w:pPr>
      <w:r>
        <w:rPr>
          <w:rFonts w:hint="eastAsia"/>
          <w:spacing w:val="-6"/>
          <w:szCs w:val="22"/>
        </w:rPr>
        <w:t>方案制定后，由公司组织预案相关部门、应急管理人员进行内部技术评审。</w:t>
      </w:r>
    </w:p>
    <w:p w:rsidR="00B04AE3" w:rsidRDefault="00B04AE3">
      <w:pPr>
        <w:pStyle w:val="ListParagraph"/>
        <w:numPr>
          <w:ilvl w:val="2"/>
          <w:numId w:val="37"/>
        </w:numPr>
        <w:tabs>
          <w:tab w:val="left" w:pos="998"/>
        </w:tabs>
        <w:spacing w:before="158"/>
        <w:rPr>
          <w:b/>
          <w:sz w:val="24"/>
        </w:rPr>
      </w:pPr>
      <w:bookmarkStart w:id="207" w:name="13.1.2外部评审"/>
      <w:bookmarkEnd w:id="207"/>
      <w:r>
        <w:rPr>
          <w:rFonts w:hint="eastAsia"/>
          <w:b/>
          <w:sz w:val="24"/>
        </w:rPr>
        <w:t>外部评审</w:t>
      </w:r>
    </w:p>
    <w:p w:rsidR="00B04AE3" w:rsidRDefault="00B04AE3">
      <w:pPr>
        <w:pStyle w:val="BodyText"/>
        <w:spacing w:before="20" w:line="360" w:lineRule="auto"/>
        <w:ind w:left="334" w:right="334" w:firstLine="482"/>
        <w:jc w:val="both"/>
        <w:rPr>
          <w:spacing w:val="-6"/>
          <w:szCs w:val="22"/>
        </w:rPr>
      </w:pPr>
      <w:r>
        <w:rPr>
          <w:rFonts w:hint="eastAsia"/>
          <w:spacing w:val="-6"/>
          <w:szCs w:val="22"/>
        </w:rPr>
        <w:t>为了保证其科学性、实用性，由公司邀请环保局应急办和环保专家、相关行业专家成立评估小组进行评估。</w:t>
      </w:r>
    </w:p>
    <w:p w:rsidR="00B04AE3" w:rsidRDefault="00B04AE3">
      <w:pPr>
        <w:pStyle w:val="ListParagraph"/>
        <w:numPr>
          <w:ilvl w:val="1"/>
          <w:numId w:val="37"/>
        </w:numPr>
        <w:tabs>
          <w:tab w:val="left" w:pos="938"/>
        </w:tabs>
        <w:spacing w:before="5"/>
        <w:rPr>
          <w:b/>
          <w:sz w:val="30"/>
        </w:rPr>
      </w:pPr>
      <w:bookmarkStart w:id="208" w:name="13.2备案管理"/>
      <w:bookmarkStart w:id="209" w:name="_bookmark56"/>
      <w:bookmarkEnd w:id="208"/>
      <w:bookmarkEnd w:id="209"/>
      <w:r>
        <w:rPr>
          <w:rFonts w:hint="eastAsia"/>
          <w:b/>
          <w:sz w:val="30"/>
        </w:rPr>
        <w:t>备案管理</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企业环境应急预案应当在环境应急预案签署发布之日起</w:t>
      </w:r>
      <w:r>
        <w:rPr>
          <w:spacing w:val="-6"/>
          <w:szCs w:val="22"/>
        </w:rPr>
        <w:t xml:space="preserve"> 20 </w:t>
      </w:r>
      <w:r>
        <w:rPr>
          <w:rFonts w:hint="eastAsia"/>
          <w:spacing w:val="-6"/>
          <w:szCs w:val="22"/>
        </w:rPr>
        <w:t>个工作日内，报经济技术开发区环保局备案。</w:t>
      </w:r>
    </w:p>
    <w:p w:rsidR="00B04AE3" w:rsidRDefault="00B04AE3">
      <w:pPr>
        <w:pStyle w:val="ListParagraph"/>
        <w:numPr>
          <w:ilvl w:val="1"/>
          <w:numId w:val="37"/>
        </w:numPr>
        <w:tabs>
          <w:tab w:val="left" w:pos="938"/>
        </w:tabs>
        <w:spacing w:before="1"/>
        <w:rPr>
          <w:b/>
          <w:sz w:val="30"/>
        </w:rPr>
      </w:pPr>
      <w:bookmarkStart w:id="210" w:name="13.3发布与更新"/>
      <w:bookmarkStart w:id="211" w:name="_bookmark57"/>
      <w:bookmarkEnd w:id="210"/>
      <w:bookmarkEnd w:id="211"/>
      <w:r>
        <w:rPr>
          <w:rFonts w:hint="eastAsia"/>
          <w:b/>
          <w:sz w:val="30"/>
        </w:rPr>
        <w:t>发布与更新</w:t>
      </w:r>
    </w:p>
    <w:p w:rsidR="00B04AE3" w:rsidRDefault="00B04AE3">
      <w:pPr>
        <w:pStyle w:val="BodyText"/>
        <w:spacing w:before="20" w:line="360" w:lineRule="auto"/>
        <w:ind w:left="334" w:right="334" w:firstLine="482"/>
        <w:jc w:val="both"/>
        <w:rPr>
          <w:spacing w:val="-6"/>
          <w:szCs w:val="22"/>
        </w:rPr>
      </w:pPr>
      <w:r>
        <w:rPr>
          <w:rFonts w:hint="eastAsia"/>
          <w:spacing w:val="-6"/>
          <w:szCs w:val="22"/>
        </w:rPr>
        <w:t>随着应急救援相关法律法规的制订、修改和完善，部门职责或应急资源发生变化，或者应急过程中发现存在问题和出现新的情况，应及时修订完善预案。有下列情况之一的立即进行修订：</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、预案依据的相关法律法规等发生重大变化。</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、本公司生产工艺或技术等发生重大变化。</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、公司周边及大气排放影响范围内环境敏感目标发生重大变化。</w:t>
      </w:r>
    </w:p>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、预案相关部门和人员发生变化影响到应急体系的。</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企业环境应急预案有重大修订的，应当在发布之日起</w:t>
      </w:r>
      <w:r>
        <w:rPr>
          <w:spacing w:val="-6"/>
          <w:szCs w:val="22"/>
        </w:rPr>
        <w:t xml:space="preserve"> 20 </w:t>
      </w:r>
      <w:r>
        <w:rPr>
          <w:rFonts w:hint="eastAsia"/>
          <w:spacing w:val="-6"/>
          <w:szCs w:val="22"/>
        </w:rPr>
        <w:t>个工作日内向原受理部门变更备案。环境应急预案个别内容进行调整、需告之环境主管部门的，应当在发布之日起</w:t>
      </w:r>
      <w:r>
        <w:rPr>
          <w:spacing w:val="-6"/>
          <w:szCs w:val="22"/>
        </w:rPr>
        <w:t xml:space="preserve"> 20 </w:t>
      </w:r>
      <w:r>
        <w:rPr>
          <w:rFonts w:hint="eastAsia"/>
          <w:spacing w:val="-6"/>
          <w:szCs w:val="22"/>
        </w:rPr>
        <w:t>个工作日内以文件形式告知原受理部门。</w:t>
      </w:r>
    </w:p>
    <w:p w:rsidR="00B04AE3" w:rsidRDefault="00B04AE3">
      <w:pPr>
        <w:pStyle w:val="ListParagraph"/>
        <w:numPr>
          <w:ilvl w:val="1"/>
          <w:numId w:val="37"/>
        </w:numPr>
        <w:tabs>
          <w:tab w:val="left" w:pos="938"/>
        </w:tabs>
        <w:spacing w:line="384" w:lineRule="exact"/>
        <w:rPr>
          <w:b/>
          <w:sz w:val="30"/>
        </w:rPr>
      </w:pPr>
      <w:bookmarkStart w:id="212" w:name="13.4预案的实施和生效时间"/>
      <w:bookmarkStart w:id="213" w:name="_bookmark58"/>
      <w:bookmarkEnd w:id="212"/>
      <w:bookmarkEnd w:id="213"/>
      <w:r>
        <w:rPr>
          <w:rFonts w:hint="eastAsia"/>
          <w:b/>
          <w:sz w:val="30"/>
        </w:rPr>
        <w:t>预案的实施和生效时间</w:t>
      </w:r>
    </w:p>
    <w:p w:rsidR="00B04AE3" w:rsidRDefault="00B04AE3">
      <w:pPr>
        <w:pStyle w:val="BodyText"/>
        <w:spacing w:before="199"/>
        <w:ind w:left="817"/>
      </w:pPr>
      <w:r>
        <w:rPr>
          <w:rFonts w:hint="eastAsia"/>
        </w:rPr>
        <w:t>本预案自审批、备案后发布实施。</w:t>
      </w:r>
    </w:p>
    <w:p w:rsidR="00B04AE3" w:rsidRDefault="00B04AE3">
      <w:pPr>
        <w:sectPr w:rsidR="00B04AE3">
          <w:pgSz w:w="11910" w:h="16840"/>
          <w:pgMar w:top="1340" w:right="1460" w:bottom="1180" w:left="1460" w:header="878" w:footer="993" w:gutter="0"/>
          <w:cols w:space="720"/>
        </w:sectPr>
      </w:pPr>
    </w:p>
    <w:p w:rsidR="00B04AE3" w:rsidRDefault="00B04AE3">
      <w:pPr>
        <w:pStyle w:val="ListParagraph"/>
        <w:numPr>
          <w:ilvl w:val="0"/>
          <w:numId w:val="37"/>
        </w:numPr>
        <w:tabs>
          <w:tab w:val="left" w:pos="787"/>
        </w:tabs>
        <w:spacing w:before="97"/>
        <w:ind w:left="786" w:hanging="449"/>
        <w:rPr>
          <w:rFonts w:ascii="Times New Roman" w:eastAsia="Times New Roman"/>
          <w:b/>
          <w:sz w:val="36"/>
        </w:rPr>
      </w:pPr>
      <w:bookmarkStart w:id="214" w:name="_bookmark59"/>
      <w:bookmarkEnd w:id="214"/>
      <w:r>
        <w:rPr>
          <w:rFonts w:hint="eastAsia"/>
          <w:b/>
          <w:sz w:val="36"/>
        </w:rPr>
        <w:t>附则</w:t>
      </w:r>
    </w:p>
    <w:p w:rsidR="00B04AE3" w:rsidRDefault="00B04AE3">
      <w:pPr>
        <w:pStyle w:val="ListParagraph"/>
        <w:numPr>
          <w:ilvl w:val="1"/>
          <w:numId w:val="37"/>
        </w:numPr>
        <w:tabs>
          <w:tab w:val="left" w:pos="938"/>
        </w:tabs>
        <w:spacing w:before="239"/>
        <w:rPr>
          <w:b/>
          <w:sz w:val="30"/>
        </w:rPr>
      </w:pPr>
      <w:bookmarkStart w:id="215" w:name="14.1术语和定义"/>
      <w:bookmarkStart w:id="216" w:name="_bookmark60"/>
      <w:bookmarkEnd w:id="215"/>
      <w:bookmarkEnd w:id="216"/>
      <w:r>
        <w:rPr>
          <w:rFonts w:hint="eastAsia"/>
          <w:b/>
          <w:sz w:val="30"/>
        </w:rPr>
        <w:t>术语和定义</w:t>
      </w:r>
    </w:p>
    <w:p w:rsidR="00B04AE3" w:rsidRDefault="00B04AE3">
      <w:pPr>
        <w:pStyle w:val="BodyText"/>
        <w:spacing w:before="20" w:line="360" w:lineRule="auto"/>
        <w:ind w:left="334" w:right="334" w:firstLine="482"/>
        <w:jc w:val="both"/>
        <w:rPr>
          <w:spacing w:val="-6"/>
          <w:szCs w:val="22"/>
        </w:rPr>
      </w:pPr>
      <w:r>
        <w:rPr>
          <w:rFonts w:hint="eastAsia"/>
          <w:spacing w:val="-6"/>
          <w:szCs w:val="22"/>
        </w:rPr>
        <w:t>危险物质：指《危险化学品名录》（</w:t>
      </w:r>
      <w:r>
        <w:rPr>
          <w:spacing w:val="-6"/>
          <w:szCs w:val="22"/>
        </w:rPr>
        <w:t>2015</w:t>
      </w:r>
      <w:r>
        <w:rPr>
          <w:rFonts w:hint="eastAsia"/>
          <w:spacing w:val="-6"/>
          <w:szCs w:val="22"/>
        </w:rPr>
        <w:t>）中的物质和易燃易爆物品。</w:t>
      </w:r>
    </w:p>
    <w:p w:rsidR="00B04AE3" w:rsidRDefault="00B04AE3">
      <w:pPr>
        <w:pStyle w:val="BodyText"/>
        <w:spacing w:before="20" w:line="360" w:lineRule="auto"/>
        <w:ind w:left="334" w:right="334" w:firstLine="482"/>
        <w:jc w:val="both"/>
        <w:rPr>
          <w:spacing w:val="-6"/>
          <w:szCs w:val="22"/>
        </w:rPr>
      </w:pPr>
      <w:r>
        <w:rPr>
          <w:rFonts w:hint="eastAsia"/>
          <w:spacing w:val="-6"/>
          <w:szCs w:val="22"/>
        </w:rPr>
        <w:t>危险废物：指列入《国家危险废物名录》或者根据《危险废物鉴别标准和危险废物鉴别技术规范》（</w:t>
      </w:r>
      <w:r>
        <w:rPr>
          <w:spacing w:val="-6"/>
          <w:szCs w:val="22"/>
        </w:rPr>
        <w:t>HJ/T298</w:t>
      </w:r>
      <w:r>
        <w:rPr>
          <w:rFonts w:hint="eastAsia"/>
          <w:spacing w:val="-6"/>
          <w:szCs w:val="22"/>
        </w:rPr>
        <w:t>）认定的具有危险特性的固体废物。</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环境敏感区：根据《建设项目环境影响评价分类管理名录》规定，指依法设立的各级各类自然、文化保护地，以及对建设项目的某类污染因子或者生态影响因子特别敏感的区域。</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环境保护目标：指在突发环境事件应急中，需要保护的环境敏感区域中可能受到影响的对象。</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事件：指由于违反环境保护法律法规的经济、社会活动与行为，以及由于意外因素的影响或不可抗拒的自然灾害等原因致使环境受到污染，生态系统受到干扰，人体健康受到危害，社会财富受到损失，造成不良社会影响的事件。</w:t>
      </w:r>
    </w:p>
    <w:p w:rsidR="00B04AE3" w:rsidRDefault="00B04AE3">
      <w:pPr>
        <w:pStyle w:val="BodyText"/>
        <w:spacing w:before="20" w:line="360" w:lineRule="auto"/>
        <w:ind w:left="334" w:right="334" w:firstLine="482"/>
        <w:jc w:val="both"/>
        <w:rPr>
          <w:spacing w:val="-6"/>
          <w:szCs w:val="22"/>
        </w:rPr>
      </w:pPr>
      <w:r>
        <w:rPr>
          <w:rFonts w:hint="eastAsia"/>
          <w:spacing w:val="-6"/>
          <w:szCs w:val="22"/>
        </w:rPr>
        <w:t>突发环境事件：指突然发生，造成或者可能造成重大人员伤亡、重大财产损失和对全国或者某一地区的经济社会稳定、政治安定构成重大威胁和损害，有重大社会影响的涉及公共安全的环境事件。</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应急救援：指突发环境事件发生时，采取的消除、减少事件危害和防止事件恶化，最大限度降低事件损失的措施。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应急监测：指在环境应急情况下，为发现和查明环境污染情况和污染范围而进行的环境监测，包括定点监测和动态监测。</w:t>
      </w:r>
    </w:p>
    <w:p w:rsidR="00B04AE3" w:rsidRDefault="00B04AE3">
      <w:pPr>
        <w:pStyle w:val="BodyText"/>
        <w:spacing w:before="20" w:line="360" w:lineRule="auto"/>
        <w:ind w:left="334" w:right="334" w:firstLine="482"/>
        <w:jc w:val="both"/>
        <w:rPr>
          <w:spacing w:val="-6"/>
          <w:szCs w:val="22"/>
        </w:rPr>
      </w:pPr>
      <w:r>
        <w:rPr>
          <w:rFonts w:hint="eastAsia"/>
          <w:spacing w:val="-6"/>
          <w:szCs w:val="22"/>
        </w:rPr>
        <w:t>应急演练：为检验应急预案的有效性、应急准备的完善性、应急响应能力的适应性和应急人员的协同性而进行的一种模拟应急响应的实践活动。根据所涉及的内容和范围的不同，可分为单项演练、综合演练和指挥中心、现场应急组织联合进行的联合演练。</w:t>
      </w:r>
    </w:p>
    <w:p w:rsidR="00B04AE3" w:rsidRDefault="00B04AE3">
      <w:pPr>
        <w:spacing w:line="343" w:lineRule="auto"/>
        <w:jc w:val="both"/>
        <w:sectPr w:rsidR="00B04AE3">
          <w:pgSz w:w="11910" w:h="16840"/>
          <w:pgMar w:top="1340" w:right="1460" w:bottom="1180" w:left="1460" w:header="878" w:footer="993" w:gutter="0"/>
          <w:cols w:space="720"/>
        </w:sectPr>
      </w:pPr>
    </w:p>
    <w:p w:rsidR="00B04AE3" w:rsidRDefault="00B04AE3">
      <w:pPr>
        <w:pStyle w:val="ListParagraph"/>
        <w:numPr>
          <w:ilvl w:val="1"/>
          <w:numId w:val="37"/>
        </w:numPr>
        <w:tabs>
          <w:tab w:val="left" w:pos="938"/>
        </w:tabs>
        <w:spacing w:before="99"/>
        <w:rPr>
          <w:b/>
          <w:sz w:val="30"/>
        </w:rPr>
      </w:pPr>
      <w:bookmarkStart w:id="217" w:name="14.2修改记录表"/>
      <w:bookmarkStart w:id="218" w:name="_bookmark61"/>
      <w:bookmarkStart w:id="219" w:name="附件"/>
      <w:bookmarkEnd w:id="217"/>
      <w:bookmarkEnd w:id="218"/>
      <w:bookmarkEnd w:id="219"/>
      <w:r>
        <w:rPr>
          <w:rFonts w:hint="eastAsia"/>
          <w:b/>
          <w:sz w:val="30"/>
        </w:rPr>
        <w:t>修改记录表</w:t>
      </w:r>
    </w:p>
    <w:p w:rsidR="00B04AE3" w:rsidRDefault="00B04AE3">
      <w:pPr>
        <w:pStyle w:val="BodyText"/>
        <w:spacing w:before="197"/>
        <w:ind w:left="817"/>
      </w:pPr>
      <w:r>
        <w:rPr>
          <w:rFonts w:hint="eastAsia"/>
        </w:rPr>
        <w:t>公司修改记录表见表</w:t>
      </w:r>
      <w:r>
        <w:t xml:space="preserve"> </w:t>
      </w:r>
      <w:r>
        <w:rPr>
          <w:rFonts w:ascii="Times New Roman" w:eastAsia="Times New Roman"/>
        </w:rPr>
        <w:t>14-1</w:t>
      </w:r>
      <w:r>
        <w:rPr>
          <w:rFonts w:hint="eastAsia"/>
        </w:rPr>
        <w:t>。</w:t>
      </w:r>
    </w:p>
    <w:p w:rsidR="00B04AE3" w:rsidRDefault="00B04AE3">
      <w:pPr>
        <w:tabs>
          <w:tab w:val="left" w:pos="986"/>
        </w:tabs>
        <w:spacing w:before="160"/>
        <w:ind w:left="5"/>
        <w:jc w:val="center"/>
        <w:rPr>
          <w:b/>
          <w:sz w:val="24"/>
        </w:rPr>
      </w:pPr>
      <w:r>
        <w:rPr>
          <w:noProof/>
          <w:lang w:val="en-US"/>
        </w:rPr>
        <w:pict>
          <v:group id="_x0000_s1314" style="position:absolute;left:0;text-align:left;margin-left:84.2pt;margin-top:31.2pt;width:438.7pt;height:548.1pt;z-index:251656704;mso-position-horizontal-relative:page" coordorigin="1684,625" coordsize="8774,10962">
            <v:shape id="_x0000_s1315" style="position:absolute;left:1684;top:587;width:8774;height:10962" coordorigin="1684,587" coordsize="8774,10962" o:spt="100" adj="0,,0" path="m1684,630r8774,m1684,1107r8774,m1684,1584r8774,m1684,11582r8774,m1689,625r,10961m3110,625r,954m10453,634r,10952e" filled="f" strokeweight=".48pt">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316" type="#_x0000_t202" style="position:absolute;left:1797;top:1624;width:1220;height:240" filled="f" stroked="f">
              <v:textbox inset="0,0,0,0">
                <w:txbxContent>
                  <w:p w:rsidR="00B04AE3" w:rsidRDefault="00B04AE3">
                    <w:pPr>
                      <w:spacing w:line="240" w:lineRule="exact"/>
                      <w:rPr>
                        <w:sz w:val="24"/>
                      </w:rPr>
                    </w:pPr>
                    <w:r>
                      <w:rPr>
                        <w:rFonts w:hint="eastAsia"/>
                        <w:sz w:val="24"/>
                      </w:rPr>
                      <w:t>内容摘要：</w:t>
                    </w:r>
                  </w:p>
                </w:txbxContent>
              </v:textbox>
            </v:shape>
            <v:shape id="_x0000_s1317" type="#_x0000_t202" style="position:absolute;left:1689;top:1106;width:1421;height:477" filled="f" strokeweight=".48pt">
              <v:textbox inset="0,0,0,0">
                <w:txbxContent>
                  <w:p w:rsidR="00B04AE3" w:rsidRDefault="00B04AE3">
                    <w:pPr>
                      <w:spacing w:before="1"/>
                      <w:ind w:left="226"/>
                      <w:rPr>
                        <w:sz w:val="24"/>
                      </w:rPr>
                    </w:pPr>
                    <w:r>
                      <w:rPr>
                        <w:rFonts w:hint="eastAsia"/>
                        <w:sz w:val="24"/>
                      </w:rPr>
                      <w:t>修改原因</w:t>
                    </w:r>
                  </w:p>
                </w:txbxContent>
              </v:textbox>
            </v:shape>
            <v:shape id="_x0000_s1318" type="#_x0000_t202" style="position:absolute;left:1689;top:629;width:1421;height:477" filled="f" strokeweight=".48pt">
              <v:textbox inset="0,0,0,0">
                <w:txbxContent>
                  <w:p w:rsidR="00B04AE3" w:rsidRDefault="00B04AE3">
                    <w:pPr>
                      <w:spacing w:before="3"/>
                      <w:ind w:left="226"/>
                      <w:rPr>
                        <w:sz w:val="24"/>
                      </w:rPr>
                    </w:pPr>
                    <w:r>
                      <w:rPr>
                        <w:rFonts w:hint="eastAsia"/>
                        <w:sz w:val="24"/>
                      </w:rPr>
                      <w:t>修改时间</w:t>
                    </w:r>
                  </w:p>
                </w:txbxContent>
              </v:textbox>
            </v:shape>
            <w10:wrap anchorx="page"/>
          </v:group>
        </w:pict>
      </w:r>
      <w:r>
        <w:rPr>
          <w:rFonts w:hint="eastAsia"/>
          <w:b/>
          <w:sz w:val="24"/>
        </w:rPr>
        <w:t>表</w:t>
      </w:r>
      <w:r>
        <w:rPr>
          <w:b/>
          <w:spacing w:val="-62"/>
          <w:sz w:val="24"/>
        </w:rPr>
        <w:t xml:space="preserve"> </w:t>
      </w:r>
      <w:r>
        <w:rPr>
          <w:rFonts w:ascii="Times New Roman" w:eastAsia="Times New Roman"/>
          <w:b/>
          <w:sz w:val="24"/>
        </w:rPr>
        <w:t>14-1</w:t>
      </w:r>
      <w:r>
        <w:rPr>
          <w:rFonts w:ascii="Times New Roman" w:eastAsia="Times New Roman"/>
          <w:b/>
          <w:sz w:val="24"/>
        </w:rPr>
        <w:tab/>
      </w:r>
      <w:r>
        <w:rPr>
          <w:rFonts w:hint="eastAsia"/>
          <w:b/>
          <w:sz w:val="24"/>
        </w:rPr>
        <w:t>修改记录表</w:t>
      </w:r>
    </w:p>
    <w:p w:rsidR="00B04AE3" w:rsidRDefault="00B04AE3">
      <w:pPr>
        <w:jc w:val="center"/>
        <w:rPr>
          <w:sz w:val="24"/>
        </w:rPr>
        <w:sectPr w:rsidR="00B04AE3">
          <w:pgSz w:w="11910" w:h="16840"/>
          <w:pgMar w:top="1340" w:right="1460" w:bottom="1180" w:left="1460" w:header="878" w:footer="993" w:gutter="0"/>
          <w:cols w:space="720"/>
        </w:sectPr>
      </w:pPr>
    </w:p>
    <w:p w:rsidR="00B04AE3" w:rsidRDefault="00B04AE3">
      <w:pPr>
        <w:spacing w:before="98"/>
        <w:ind w:left="337"/>
        <w:rPr>
          <w:b/>
          <w:sz w:val="28"/>
        </w:rPr>
      </w:pPr>
      <w:bookmarkStart w:id="220" w:name="_bookmark62"/>
      <w:bookmarkEnd w:id="220"/>
      <w:r>
        <w:rPr>
          <w:rFonts w:hint="eastAsia"/>
          <w:b/>
          <w:sz w:val="28"/>
        </w:rPr>
        <w:t>附件</w:t>
      </w:r>
    </w:p>
    <w:p w:rsidR="00B04AE3" w:rsidRDefault="00B04AE3">
      <w:pPr>
        <w:spacing w:before="185"/>
        <w:ind w:left="337"/>
        <w:rPr>
          <w:b/>
          <w:sz w:val="24"/>
        </w:rPr>
      </w:pPr>
      <w:r>
        <w:rPr>
          <w:rFonts w:hint="eastAsia"/>
          <w:b/>
          <w:w w:val="95"/>
          <w:sz w:val="24"/>
        </w:rPr>
        <w:t>附件一：公司地理位置图</w:t>
      </w:r>
    </w:p>
    <w:p w:rsidR="00B04AE3" w:rsidRDefault="00B04AE3">
      <w:pPr>
        <w:spacing w:before="160" w:line="364" w:lineRule="auto"/>
        <w:ind w:left="337" w:right="5514"/>
        <w:jc w:val="both"/>
        <w:rPr>
          <w:b/>
          <w:sz w:val="24"/>
        </w:rPr>
      </w:pPr>
      <w:r>
        <w:rPr>
          <w:rFonts w:hint="eastAsia"/>
          <w:b/>
          <w:spacing w:val="-2"/>
          <w:sz w:val="24"/>
        </w:rPr>
        <w:t>附件二：公司周围地表水系图附件三：公司周围道路示意图</w:t>
      </w:r>
      <w:r>
        <w:rPr>
          <w:rFonts w:hint="eastAsia"/>
          <w:b/>
          <w:sz w:val="24"/>
        </w:rPr>
        <w:t>附件四：公司平面布置图</w:t>
      </w:r>
    </w:p>
    <w:p w:rsidR="00B04AE3" w:rsidRDefault="00B04AE3">
      <w:pPr>
        <w:spacing w:line="305" w:lineRule="exact"/>
        <w:ind w:left="337"/>
        <w:rPr>
          <w:b/>
          <w:sz w:val="24"/>
        </w:rPr>
      </w:pPr>
      <w:r>
        <w:rPr>
          <w:rFonts w:hint="eastAsia"/>
          <w:b/>
          <w:sz w:val="24"/>
        </w:rPr>
        <w:t>附件五：公司风险源布置图</w:t>
      </w:r>
    </w:p>
    <w:p w:rsidR="00B04AE3" w:rsidRDefault="00B04AE3">
      <w:pPr>
        <w:spacing w:before="161"/>
        <w:ind w:left="337"/>
        <w:rPr>
          <w:b/>
          <w:sz w:val="24"/>
        </w:rPr>
      </w:pPr>
      <w:r>
        <w:rPr>
          <w:rFonts w:hint="eastAsia"/>
          <w:b/>
          <w:sz w:val="24"/>
        </w:rPr>
        <w:t>附件六：公司雨、污线路示意图</w:t>
      </w:r>
    </w:p>
    <w:p w:rsidR="00B04AE3" w:rsidRDefault="00B04AE3">
      <w:pPr>
        <w:spacing w:before="158" w:line="364" w:lineRule="auto"/>
        <w:ind w:left="337" w:right="3039"/>
        <w:rPr>
          <w:b/>
          <w:sz w:val="24"/>
        </w:rPr>
      </w:pPr>
      <w:r>
        <w:rPr>
          <w:rFonts w:hint="eastAsia"/>
          <w:b/>
          <w:sz w:val="24"/>
        </w:rPr>
        <w:t>附件七：公司周围</w:t>
      </w:r>
      <w:r>
        <w:rPr>
          <w:rFonts w:ascii="Times New Roman" w:eastAsia="Times New Roman"/>
          <w:b/>
          <w:sz w:val="24"/>
        </w:rPr>
        <w:t>5</w:t>
      </w:r>
      <w:r>
        <w:rPr>
          <w:rFonts w:hint="eastAsia"/>
          <w:b/>
          <w:sz w:val="24"/>
        </w:rPr>
        <w:t>公里范围内环境保护目标分布图附件八：公司紧急疏散线路图</w:t>
      </w:r>
    </w:p>
    <w:p w:rsidR="00B04AE3" w:rsidRDefault="00B04AE3">
      <w:pPr>
        <w:spacing w:line="306" w:lineRule="exact"/>
        <w:ind w:left="337"/>
        <w:rPr>
          <w:b/>
          <w:sz w:val="24"/>
        </w:rPr>
      </w:pPr>
      <w:r>
        <w:rPr>
          <w:rFonts w:hint="eastAsia"/>
          <w:b/>
          <w:sz w:val="24"/>
        </w:rPr>
        <w:t>附件九：应急设施布置图</w:t>
      </w:r>
    </w:p>
    <w:p w:rsidR="00B04AE3" w:rsidRDefault="00B04AE3">
      <w:pPr>
        <w:spacing w:before="160" w:line="362" w:lineRule="auto"/>
        <w:ind w:left="337" w:right="3829"/>
        <w:rPr>
          <w:b/>
          <w:sz w:val="24"/>
        </w:rPr>
      </w:pPr>
      <w:r>
        <w:rPr>
          <w:rFonts w:hint="eastAsia"/>
          <w:b/>
          <w:sz w:val="24"/>
        </w:rPr>
        <w:t>附件十：公司应急救援人员名单、联系方式</w:t>
      </w:r>
      <w:r>
        <w:rPr>
          <w:b/>
          <w:sz w:val="24"/>
        </w:rPr>
        <w:t xml:space="preserve"> </w:t>
      </w:r>
      <w:r>
        <w:rPr>
          <w:rFonts w:hint="eastAsia"/>
          <w:b/>
          <w:spacing w:val="-1"/>
          <w:sz w:val="24"/>
        </w:rPr>
        <w:t>附件十一：公司外部救援、检测单位联系电话</w:t>
      </w:r>
    </w:p>
    <w:p w:rsidR="00B04AE3" w:rsidRDefault="00B04AE3">
      <w:pPr>
        <w:spacing w:before="5" w:line="364" w:lineRule="auto"/>
        <w:ind w:left="337" w:right="3347"/>
        <w:rPr>
          <w:b/>
          <w:sz w:val="24"/>
        </w:rPr>
      </w:pPr>
      <w:r>
        <w:rPr>
          <w:rFonts w:hint="eastAsia"/>
          <w:b/>
          <w:sz w:val="24"/>
        </w:rPr>
        <w:t>附件十二：公司信息上报受理机构名单及联系方式附件十三：公司突发环境事件信息通告表</w:t>
      </w:r>
    </w:p>
    <w:p w:rsidR="00B04AE3" w:rsidRDefault="00B04AE3">
      <w:pPr>
        <w:spacing w:line="362" w:lineRule="auto"/>
        <w:ind w:left="337" w:right="5274"/>
        <w:rPr>
          <w:b/>
          <w:sz w:val="24"/>
        </w:rPr>
      </w:pPr>
      <w:r>
        <w:rPr>
          <w:rFonts w:hint="eastAsia"/>
          <w:b/>
          <w:spacing w:val="-2"/>
          <w:sz w:val="24"/>
        </w:rPr>
        <w:t>附件十四：应急预案培训考核表</w:t>
      </w:r>
      <w:r>
        <w:rPr>
          <w:rFonts w:hint="eastAsia"/>
          <w:b/>
          <w:sz w:val="24"/>
        </w:rPr>
        <w:t>附件十五：应急救援协议</w:t>
      </w:r>
    </w:p>
    <w:p w:rsidR="00B04AE3" w:rsidRDefault="00B04AE3">
      <w:pPr>
        <w:spacing w:before="4" w:line="364" w:lineRule="auto"/>
        <w:ind w:left="337" w:right="5996"/>
        <w:jc w:val="both"/>
        <w:rPr>
          <w:b/>
          <w:sz w:val="24"/>
        </w:rPr>
      </w:pPr>
      <w:r>
        <w:rPr>
          <w:rFonts w:hint="eastAsia"/>
          <w:b/>
          <w:spacing w:val="-2"/>
          <w:sz w:val="24"/>
        </w:rPr>
        <w:t>附件十六：相关环评批复附件十七：相关验收批复</w:t>
      </w:r>
      <w:r>
        <w:rPr>
          <w:rFonts w:hint="eastAsia"/>
          <w:b/>
          <w:spacing w:val="-2"/>
          <w:w w:val="95"/>
          <w:sz w:val="24"/>
        </w:rPr>
        <w:t>附件十八：危废处置协议</w:t>
      </w:r>
    </w:p>
    <w:p w:rsidR="00B04AE3" w:rsidRDefault="00B04AE3">
      <w:pPr>
        <w:spacing w:line="364" w:lineRule="auto"/>
        <w:jc w:val="both"/>
        <w:rPr>
          <w:sz w:val="24"/>
        </w:rPr>
        <w:sectPr w:rsidR="00B04AE3">
          <w:pgSz w:w="11910" w:h="16840"/>
          <w:pgMar w:top="1340" w:right="1460" w:bottom="1180" w:left="1460" w:header="878" w:footer="993" w:gutter="0"/>
          <w:cols w:space="720"/>
        </w:sectPr>
      </w:pPr>
    </w:p>
    <w:p w:rsidR="00B04AE3" w:rsidRDefault="00B04AE3">
      <w:pPr>
        <w:pStyle w:val="BodyText"/>
        <w:rPr>
          <w:rFonts w:ascii="楷体" w:eastAsia="楷体" w:hAnsi="楷体"/>
          <w:sz w:val="20"/>
        </w:rPr>
      </w:pPr>
    </w:p>
    <w:p w:rsidR="00B04AE3" w:rsidRDefault="00B04AE3">
      <w:pPr>
        <w:pStyle w:val="BodyText"/>
        <w:rPr>
          <w:rFonts w:ascii="楷体" w:eastAsia="楷体" w:hAnsi="楷体"/>
          <w:sz w:val="20"/>
        </w:rPr>
      </w:pPr>
    </w:p>
    <w:p w:rsidR="00B04AE3" w:rsidRDefault="00B04AE3">
      <w:pPr>
        <w:pStyle w:val="BodyText"/>
        <w:rPr>
          <w:b/>
          <w:sz w:val="20"/>
        </w:rPr>
      </w:pPr>
      <w:r>
        <w:rPr>
          <w:noProof/>
          <w:lang w:val="en-US"/>
        </w:rPr>
        <w:pict>
          <v:shape id="图片 27" o:spid="_x0000_s1322" type="#_x0000_t75" alt="风玫瑰图" style="position:absolute;margin-left:592.55pt;margin-top:3.2pt;width:102pt;height:102.75pt;z-index:251665920;visibility:visible">
            <v:imagedata r:id="rId33" o:title=""/>
          </v:shape>
        </w:pict>
      </w:r>
      <w:r>
        <w:rPr>
          <w:noProof/>
          <w:lang w:val="en-US"/>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323" type="#_x0000_t61" style="position:absolute;margin-left:220.5pt;margin-top:113.75pt;width:101.25pt;height:25.5pt;z-index:251663872" adj="44544,42861">
            <v:textbox>
              <w:txbxContent>
                <w:p w:rsidR="00B04AE3" w:rsidRDefault="00B04AE3">
                  <w:r>
                    <w:rPr>
                      <w:rFonts w:hint="eastAsia"/>
                    </w:rPr>
                    <w:t>海立电器公司</w:t>
                  </w:r>
                </w:p>
              </w:txbxContent>
            </v:textbox>
          </v:shape>
        </w:pict>
      </w:r>
      <w:r w:rsidRPr="00E43F4D">
        <w:rPr>
          <w:rFonts w:ascii="楷体" w:eastAsia="楷体" w:hAnsi="楷体"/>
          <w:noProof/>
          <w:sz w:val="20"/>
          <w:lang w:val="en-US"/>
        </w:rPr>
        <w:pict>
          <v:shape id="图片 1" o:spid="_x0000_i1035" type="#_x0000_t75" alt="QQ截图20170329152349" style="width:697.5pt;height:375pt;visibility:visible">
            <v:imagedata r:id="rId34" o:title=""/>
          </v:shape>
        </w:pict>
      </w:r>
    </w:p>
    <w:p w:rsidR="00B04AE3" w:rsidRDefault="00B04AE3">
      <w:pPr>
        <w:pStyle w:val="BodyText"/>
        <w:rPr>
          <w:b/>
          <w:sz w:val="20"/>
        </w:rPr>
      </w:pPr>
      <w:r>
        <w:rPr>
          <w:noProof/>
          <w:lang w:val="en-US"/>
        </w:rPr>
        <w:pict>
          <v:group id="_x0000_s1324" style="position:absolute;margin-left:303.75pt;margin-top:11.25pt;width:288.75pt;height:24pt;z-index:251666944;mso-position-horizontal-relative:page" coordorigin="5986,275" coordsize="5775,480">
            <v:shape id="_x0000_s1325" type="#_x0000_t75" style="position:absolute;left:5985;top:275;width:5775;height:480">
              <v:imagedata r:id="rId35" o:title=""/>
            </v:shape>
            <v:shape id="_x0000_s1326" type="#_x0000_t202" style="position:absolute;left:5985;top:275;width:5775;height:480" filled="f" stroked="f">
              <v:textbox inset="0,0,0,0">
                <w:txbxContent>
                  <w:p w:rsidR="00B04AE3" w:rsidRDefault="00B04AE3">
                    <w:pPr>
                      <w:tabs>
                        <w:tab w:val="left" w:pos="2498"/>
                      </w:tabs>
                      <w:spacing w:before="73"/>
                      <w:ind w:left="1596"/>
                      <w:rPr>
                        <w:b/>
                        <w:sz w:val="24"/>
                      </w:rPr>
                    </w:pPr>
                    <w:r>
                      <w:rPr>
                        <w:rFonts w:hint="eastAsia"/>
                        <w:b/>
                      </w:rPr>
                      <w:t>附图</w:t>
                    </w:r>
                    <w:r>
                      <w:rPr>
                        <w:b/>
                        <w:spacing w:val="-60"/>
                        <w:sz w:val="24"/>
                      </w:rPr>
                      <w:t xml:space="preserve"> </w:t>
                    </w:r>
                    <w:r>
                      <w:rPr>
                        <w:rFonts w:ascii="Times New Roman" w:eastAsia="Times New Roman"/>
                        <w:b/>
                        <w:sz w:val="24"/>
                      </w:rPr>
                      <w:t>1</w:t>
                    </w:r>
                    <w:r>
                      <w:rPr>
                        <w:rFonts w:ascii="Times New Roman" w:eastAsia="Times New Roman"/>
                        <w:b/>
                        <w:sz w:val="24"/>
                      </w:rPr>
                      <w:tab/>
                    </w:r>
                    <w:r>
                      <w:rPr>
                        <w:rFonts w:hint="eastAsia"/>
                        <w:b/>
                        <w:sz w:val="24"/>
                      </w:rPr>
                      <w:t>企业地理位置图</w:t>
                    </w:r>
                  </w:p>
                </w:txbxContent>
              </v:textbox>
            </v:shape>
            <w10:wrap type="topAndBottom" anchorx="page"/>
          </v:group>
        </w:pict>
      </w:r>
    </w:p>
    <w:p w:rsidR="00B04AE3" w:rsidRDefault="00B04AE3">
      <w:pPr>
        <w:pStyle w:val="BodyText"/>
        <w:rPr>
          <w:b/>
          <w:sz w:val="20"/>
        </w:rPr>
      </w:pPr>
    </w:p>
    <w:p w:rsidR="00B04AE3" w:rsidRDefault="00B04AE3">
      <w:pPr>
        <w:pStyle w:val="BodyText"/>
        <w:rPr>
          <w:b/>
          <w:sz w:val="20"/>
        </w:rPr>
      </w:pPr>
    </w:p>
    <w:p w:rsidR="00B04AE3" w:rsidRDefault="00B04AE3">
      <w:pPr>
        <w:pStyle w:val="BodyText"/>
        <w:jc w:val="center"/>
        <w:rPr>
          <w:b/>
          <w:sz w:val="20"/>
        </w:rPr>
      </w:pPr>
    </w:p>
    <w:p w:rsidR="00B04AE3" w:rsidRDefault="00B04AE3">
      <w:pPr>
        <w:pStyle w:val="BodyText"/>
        <w:jc w:val="right"/>
        <w:rPr>
          <w:b/>
          <w:sz w:val="20"/>
        </w:rPr>
      </w:pPr>
      <w:r>
        <w:rPr>
          <w:noProof/>
          <w:lang w:val="en-US"/>
        </w:rPr>
        <w:pict>
          <v:shape id="图片 29" o:spid="_x0000_s1327" type="#_x0000_t75" alt="风玫瑰图" style="position:absolute;left:0;text-align:left;margin-left:59.3pt;margin-top:2.65pt;width:102pt;height:102.75pt;z-index:251667968;visibility:visible">
            <v:imagedata r:id="rId33" o:title=""/>
          </v:shape>
        </w:pict>
      </w:r>
      <w:r w:rsidRPr="00E43F4D">
        <w:rPr>
          <w:b/>
          <w:noProof/>
          <w:sz w:val="20"/>
          <w:lang w:val="en-US"/>
        </w:rPr>
        <w:pict>
          <v:shape id="图片 28" o:spid="_x0000_i1036" type="#_x0000_t75" alt="9" style="width:590.25pt;height:448.5pt;visibility:visible">
            <v:imagedata r:id="rId36" o:title=""/>
          </v:shape>
        </w:pict>
      </w:r>
    </w:p>
    <w:p w:rsidR="00B04AE3" w:rsidRDefault="00B04AE3">
      <w:pPr>
        <w:pStyle w:val="BodyText"/>
        <w:jc w:val="center"/>
        <w:rPr>
          <w:b/>
          <w:sz w:val="20"/>
        </w:rPr>
      </w:pPr>
      <w:r>
        <w:rPr>
          <w:rFonts w:hint="eastAsia"/>
          <w:b/>
        </w:rPr>
        <w:t>附件二</w:t>
      </w:r>
      <w:r>
        <w:rPr>
          <w:b/>
        </w:rPr>
        <w:tab/>
      </w:r>
      <w:r>
        <w:rPr>
          <w:rFonts w:hint="eastAsia"/>
          <w:b/>
        </w:rPr>
        <w:t>公司周围地表水系图</w:t>
      </w:r>
    </w:p>
    <w:p w:rsidR="00B04AE3" w:rsidRDefault="00B04AE3">
      <w:pPr>
        <w:pStyle w:val="BodyText"/>
        <w:rPr>
          <w:b/>
          <w:sz w:val="20"/>
        </w:rPr>
      </w:pPr>
    </w:p>
    <w:p w:rsidR="00B04AE3" w:rsidRDefault="00B04AE3">
      <w:pPr>
        <w:pStyle w:val="BodyText"/>
        <w:jc w:val="center"/>
        <w:rPr>
          <w:b/>
          <w:sz w:val="20"/>
        </w:rPr>
      </w:pPr>
      <w:r w:rsidRPr="00E43F4D">
        <w:rPr>
          <w:b/>
          <w:noProof/>
          <w:sz w:val="20"/>
          <w:lang w:val="en-US"/>
        </w:rPr>
        <w:pict>
          <v:shape id="图片 32" o:spid="_x0000_i1037" type="#_x0000_t75" alt="10" style="width:561.75pt;height:404.25pt;visibility:visible">
            <v:imagedata r:id="rId37" o:title=""/>
          </v:shape>
        </w:pict>
      </w:r>
      <w:r>
        <w:rPr>
          <w:noProof/>
          <w:lang w:val="en-US"/>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328" type="#_x0000_t62" style="position:absolute;left:0;text-align:left;margin-left:90.75pt;margin-top:139.25pt;width:67.45pt;height:24.75pt;z-index:-251666944;mso-position-horizontal-relative:text;mso-position-vertical-relative:text" adj="23890,40320">
            <v:textbox>
              <w:txbxContent>
                <w:p w:rsidR="00B04AE3" w:rsidRDefault="00B04AE3">
                  <w:r>
                    <w:rPr>
                      <w:rFonts w:hint="eastAsia"/>
                    </w:rPr>
                    <w:t>日修路</w:t>
                  </w:r>
                </w:p>
              </w:txbxContent>
            </v:textbox>
          </v:shape>
        </w:pict>
      </w:r>
      <w:r>
        <w:rPr>
          <w:noProof/>
          <w:lang w:val="en-US"/>
        </w:rPr>
        <w:pict>
          <v:shape id="_x0000_s1329" type="#_x0000_t62" style="position:absolute;left:0;text-align:left;margin-left:341.25pt;margin-top:166.25pt;width:67.45pt;height:24.75pt;z-index:-251667968;mso-position-horizontal-relative:text;mso-position-vertical-relative:text" adj="2280,33775">
            <v:textbox>
              <w:txbxContent>
                <w:p w:rsidR="00B04AE3" w:rsidRDefault="00B04AE3">
                  <w:r>
                    <w:rPr>
                      <w:rFonts w:hint="eastAsia"/>
                    </w:rPr>
                    <w:t>经开大道</w:t>
                  </w:r>
                </w:p>
              </w:txbxContent>
            </v:textbox>
          </v:shape>
        </w:pict>
      </w:r>
      <w:r>
        <w:rPr>
          <w:noProof/>
          <w:lang w:val="en-US"/>
        </w:rPr>
        <w:pict>
          <v:shape id="_x0000_s1330" type="#_x0000_t62" style="position:absolute;left:0;text-align:left;margin-left:212.25pt;margin-top:78.5pt;width:67.45pt;height:24.75pt;z-index:251617792;mso-position-horizontal-relative:text;mso-position-vertical-relative:text" adj="2280,33775">
            <v:textbox>
              <w:txbxContent>
                <w:p w:rsidR="00B04AE3" w:rsidRDefault="00B04AE3">
                  <w:r>
                    <w:rPr>
                      <w:rFonts w:hint="eastAsia"/>
                    </w:rPr>
                    <w:t>梅林大街</w:t>
                  </w:r>
                </w:p>
              </w:txbxContent>
            </v:textbox>
          </v:shape>
        </w:pict>
      </w:r>
      <w:r>
        <w:rPr>
          <w:noProof/>
          <w:lang w:val="en-US"/>
        </w:rPr>
        <w:pict>
          <v:line id="_x0000_s1331" style="position:absolute;left:0;text-align:left;z-index:251616768;mso-position-horizontal-relative:text;mso-position-vertical-relative:text" from="339.75pt,126.55pt" to="339.8pt,214.3pt" filled="t" strokecolor="red"/>
        </w:pict>
      </w:r>
      <w:r>
        <w:rPr>
          <w:noProof/>
          <w:lang w:val="en-US"/>
        </w:rPr>
        <w:pict>
          <v:line id="_x0000_s1332" style="position:absolute;left:0;text-align:left;flip:y;z-index:251615744;mso-position-horizontal-relative:text;mso-position-vertical-relative:text" from="171pt,221.8pt" to="333pt,222.55pt" filled="t" strokecolor="red"/>
        </w:pict>
      </w:r>
      <w:r>
        <w:rPr>
          <w:noProof/>
          <w:lang w:val="en-US"/>
        </w:rPr>
        <w:pict>
          <v:line id="_x0000_s1333" style="position:absolute;left:0;text-align:left;z-index:251611648;mso-position-horizontal-relative:text;mso-position-vertical-relative:text" from="166.5pt,125.05pt" to="166.55pt,220.3pt" filled="t" strokecolor="red"/>
        </w:pict>
      </w:r>
      <w:r>
        <w:rPr>
          <w:noProof/>
          <w:lang w:val="en-US"/>
        </w:rPr>
        <w:pict>
          <v:line id="_x0000_s1334" style="position:absolute;left:0;text-align:left;z-index:251612672;mso-position-horizontal-relative:text;mso-position-vertical-relative:text" from="166.5pt,120.25pt" to="327.8pt,120.3pt" filled="t" strokecolor="red"/>
        </w:pict>
      </w:r>
      <w:r>
        <w:rPr>
          <w:noProof/>
          <w:lang w:val="en-US"/>
        </w:rPr>
        <w:pict>
          <v:shape id="图片 31" o:spid="_x0000_s1335" type="#_x0000_t75" alt="风玫瑰图" style="position:absolute;left:0;text-align:left;margin-left:46.55pt;margin-top:3.4pt;width:102pt;height:102.75pt;z-index:251668992;visibility:visible;mso-position-horizontal-relative:text;mso-position-vertical-relative:text">
            <v:imagedata r:id="rId33" o:title=""/>
          </v:shape>
        </w:pict>
      </w:r>
    </w:p>
    <w:p w:rsidR="00B04AE3" w:rsidRDefault="00B04AE3">
      <w:pPr>
        <w:tabs>
          <w:tab w:val="left" w:pos="1932"/>
        </w:tabs>
        <w:spacing w:before="66"/>
        <w:ind w:left="969"/>
        <w:jc w:val="center"/>
        <w:rPr>
          <w:b/>
          <w:sz w:val="24"/>
        </w:rPr>
      </w:pPr>
      <w:r>
        <w:rPr>
          <w:rFonts w:hint="eastAsia"/>
          <w:b/>
          <w:sz w:val="24"/>
        </w:rPr>
        <w:t>附件三</w:t>
      </w:r>
      <w:r>
        <w:rPr>
          <w:b/>
          <w:sz w:val="24"/>
        </w:rPr>
        <w:tab/>
      </w:r>
      <w:r>
        <w:rPr>
          <w:rFonts w:hint="eastAsia"/>
          <w:b/>
          <w:sz w:val="24"/>
        </w:rPr>
        <w:t>公司周围道路示意图</w:t>
      </w:r>
    </w:p>
    <w:p w:rsidR="00B04AE3" w:rsidRDefault="00B04AE3">
      <w:pPr>
        <w:pStyle w:val="BodyText"/>
        <w:rPr>
          <w:b/>
          <w:sz w:val="20"/>
        </w:rPr>
      </w:pPr>
    </w:p>
    <w:p w:rsidR="00B04AE3" w:rsidRDefault="00B04AE3">
      <w:pPr>
        <w:pStyle w:val="BodyText"/>
        <w:rPr>
          <w:b/>
          <w:sz w:val="20"/>
        </w:rPr>
      </w:pPr>
    </w:p>
    <w:p w:rsidR="00B04AE3" w:rsidRDefault="00B04AE3">
      <w:pPr>
        <w:pStyle w:val="BodyText"/>
        <w:rPr>
          <w:b/>
          <w:sz w:val="20"/>
        </w:rPr>
      </w:pPr>
    </w:p>
    <w:p w:rsidR="00B04AE3" w:rsidRDefault="00B04AE3">
      <w:pPr>
        <w:pStyle w:val="BodyText"/>
        <w:rPr>
          <w:b/>
          <w:sz w:val="20"/>
        </w:rPr>
      </w:pPr>
    </w:p>
    <w:p w:rsidR="00B04AE3" w:rsidRDefault="00B04AE3">
      <w:pPr>
        <w:pStyle w:val="BodyText"/>
        <w:jc w:val="right"/>
        <w:rPr>
          <w:b/>
          <w:sz w:val="20"/>
        </w:rPr>
      </w:pPr>
      <w:r w:rsidRPr="00E43F4D">
        <w:rPr>
          <w:b/>
          <w:noProof/>
          <w:sz w:val="20"/>
          <w:lang w:val="en-US"/>
        </w:rPr>
        <w:pict>
          <v:shape id="图片 33" o:spid="_x0000_i1038" type="#_x0000_t75" alt="11" style="width:647.25pt;height:353.25pt;visibility:visible">
            <v:imagedata r:id="rId38" o:title=""/>
          </v:shape>
        </w:pict>
      </w:r>
    </w:p>
    <w:p w:rsidR="00B04AE3" w:rsidRDefault="00B04AE3">
      <w:pPr>
        <w:pStyle w:val="BodyText"/>
        <w:rPr>
          <w:b/>
          <w:sz w:val="20"/>
        </w:rPr>
      </w:pPr>
    </w:p>
    <w:p w:rsidR="00B04AE3" w:rsidRDefault="00B04AE3">
      <w:pPr>
        <w:tabs>
          <w:tab w:val="left" w:pos="1929"/>
        </w:tabs>
        <w:spacing w:before="198"/>
        <w:ind w:left="967"/>
        <w:jc w:val="center"/>
        <w:rPr>
          <w:b/>
          <w:sz w:val="24"/>
        </w:rPr>
      </w:pPr>
      <w:r>
        <w:rPr>
          <w:rFonts w:hint="eastAsia"/>
          <w:b/>
          <w:sz w:val="24"/>
        </w:rPr>
        <w:t>附件四</w:t>
      </w:r>
      <w:r>
        <w:rPr>
          <w:b/>
          <w:sz w:val="24"/>
        </w:rPr>
        <w:tab/>
      </w:r>
      <w:r>
        <w:rPr>
          <w:rFonts w:hint="eastAsia"/>
          <w:b/>
          <w:sz w:val="24"/>
        </w:rPr>
        <w:t>公司平面布局图</w:t>
      </w:r>
    </w:p>
    <w:p w:rsidR="00B04AE3" w:rsidRDefault="00B04AE3">
      <w:pPr>
        <w:pStyle w:val="BodyText"/>
        <w:rPr>
          <w:b/>
          <w:sz w:val="20"/>
        </w:rPr>
      </w:pPr>
    </w:p>
    <w:p w:rsidR="00B04AE3" w:rsidRDefault="00B04AE3">
      <w:pPr>
        <w:pStyle w:val="BodyText"/>
        <w:rPr>
          <w:b/>
          <w:sz w:val="20"/>
        </w:rPr>
      </w:pPr>
    </w:p>
    <w:p w:rsidR="00B04AE3" w:rsidRDefault="00B04AE3">
      <w:pPr>
        <w:pStyle w:val="BodyText"/>
        <w:spacing w:before="5"/>
        <w:rPr>
          <w:b/>
          <w:sz w:val="21"/>
        </w:rPr>
      </w:pPr>
    </w:p>
    <w:p w:rsidR="00B04AE3" w:rsidRDefault="00B04AE3">
      <w:pPr>
        <w:pStyle w:val="BodyText"/>
        <w:rPr>
          <w:b/>
          <w:sz w:val="20"/>
        </w:rPr>
      </w:pPr>
    </w:p>
    <w:p w:rsidR="00B04AE3" w:rsidRDefault="00B04AE3">
      <w:pPr>
        <w:pStyle w:val="BodyText"/>
        <w:rPr>
          <w:b/>
          <w:sz w:val="20"/>
        </w:rPr>
      </w:pPr>
    </w:p>
    <w:p w:rsidR="00B04AE3" w:rsidRDefault="00B04AE3">
      <w:pPr>
        <w:tabs>
          <w:tab w:val="left" w:pos="1932"/>
        </w:tabs>
        <w:ind w:left="969"/>
        <w:jc w:val="center"/>
        <w:rPr>
          <w:b/>
          <w:sz w:val="24"/>
        </w:rPr>
      </w:pPr>
      <w:bookmarkStart w:id="221" w:name="附件五__公司风险源分布图"/>
      <w:bookmarkEnd w:id="221"/>
      <w:r>
        <w:rPr>
          <w:noProof/>
          <w:lang w:val="en-US"/>
        </w:rPr>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336" type="#_x0000_t71" style="position:absolute;left:0;text-align:left;margin-left:66pt;margin-top:416.35pt;width:15.75pt;height:19.5pt;z-index:-251688448" fillcolor="red"/>
        </w:pict>
      </w:r>
      <w:r>
        <w:rPr>
          <w:noProof/>
          <w:lang w:val="en-US"/>
        </w:rPr>
        <w:pict>
          <v:shape id="_x0000_s1337" type="#_x0000_t202" style="position:absolute;left:0;text-align:left;margin-left:62.25pt;margin-top:404.3pt;width:88.5pt;height:45.05pt;z-index:-251690496">
            <v:textbox>
              <w:txbxContent>
                <w:p w:rsidR="00B04AE3" w:rsidRDefault="00B04AE3" w:rsidP="003446E2">
                  <w:pPr>
                    <w:ind w:firstLineChars="200" w:firstLine="31680"/>
                  </w:pPr>
                  <w:r>
                    <w:rPr>
                      <w:rFonts w:hint="eastAsia"/>
                    </w:rPr>
                    <w:t>图例</w:t>
                  </w:r>
                </w:p>
                <w:p w:rsidR="00B04AE3" w:rsidRDefault="00B04AE3">
                  <w:pPr>
                    <w:pStyle w:val="Default"/>
                  </w:pPr>
                  <w:r>
                    <w:t xml:space="preserve">    </w:t>
                  </w:r>
                  <w:r>
                    <w:rPr>
                      <w:rFonts w:hint="eastAsia"/>
                    </w:rPr>
                    <w:t>风险源</w:t>
                  </w:r>
                </w:p>
                <w:p w:rsidR="00B04AE3" w:rsidRDefault="00B04AE3">
                  <w:pPr>
                    <w:pStyle w:val="Default"/>
                  </w:pPr>
                  <w:r>
                    <w:t xml:space="preserve">  </w:t>
                  </w:r>
                </w:p>
              </w:txbxContent>
            </v:textbox>
          </v:shape>
        </w:pict>
      </w:r>
      <w:r>
        <w:rPr>
          <w:noProof/>
          <w:lang w:val="en-US"/>
        </w:rPr>
        <w:pict>
          <v:shape id="_x0000_s1338" type="#_x0000_t71" style="position:absolute;left:0;text-align:left;margin-left:316.5pt;margin-top:267.25pt;width:16.5pt;height:15.75pt;z-index:-251693568" fillcolor="red"/>
        </w:pict>
      </w:r>
      <w:r>
        <w:rPr>
          <w:noProof/>
          <w:lang w:val="en-US"/>
        </w:rPr>
        <w:pict>
          <v:shape id="_x0000_s1339" type="#_x0000_t71" style="position:absolute;left:0;text-align:left;margin-left:319.5pt;margin-top:223pt;width:10.5pt;height:13.5pt;z-index:-251697664" fillcolor="red"/>
        </w:pict>
      </w:r>
      <w:r w:rsidRPr="00E43F4D">
        <w:rPr>
          <w:b/>
          <w:noProof/>
          <w:sz w:val="24"/>
          <w:lang w:val="en-US"/>
        </w:rPr>
        <w:pict>
          <v:shape id="图片 38" o:spid="_x0000_i1039" type="#_x0000_t75" alt="13" style="width:575.25pt;height:451.5pt;visibility:visible">
            <v:imagedata r:id="rId39" o:title=""/>
          </v:shape>
        </w:pict>
      </w:r>
      <w:r>
        <w:rPr>
          <w:noProof/>
          <w:lang w:val="en-US"/>
        </w:rPr>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340" type="#_x0000_t72" style="position:absolute;left:0;text-align:left;margin-left:285pt;margin-top:179.8pt;width:14.2pt;height:26.25pt;z-index:-251686400;mso-position-horizontal-relative:text;mso-position-vertical-relative:text" fillcolor="red"/>
        </w:pict>
      </w:r>
    </w:p>
    <w:p w:rsidR="00B04AE3" w:rsidRDefault="00B04AE3">
      <w:pPr>
        <w:tabs>
          <w:tab w:val="left" w:pos="1932"/>
        </w:tabs>
        <w:ind w:left="969"/>
        <w:jc w:val="center"/>
        <w:rPr>
          <w:b/>
          <w:sz w:val="24"/>
        </w:rPr>
      </w:pPr>
      <w:r>
        <w:rPr>
          <w:rFonts w:hint="eastAsia"/>
          <w:b/>
          <w:sz w:val="24"/>
        </w:rPr>
        <w:t>附件五</w:t>
      </w:r>
      <w:r>
        <w:rPr>
          <w:b/>
          <w:sz w:val="24"/>
        </w:rPr>
        <w:tab/>
      </w:r>
      <w:r>
        <w:rPr>
          <w:rFonts w:hint="eastAsia"/>
          <w:b/>
          <w:sz w:val="24"/>
        </w:rPr>
        <w:t>公司风险源分布图</w:t>
      </w:r>
    </w:p>
    <w:p w:rsidR="00B04AE3" w:rsidRDefault="00B04AE3">
      <w:pPr>
        <w:jc w:val="center"/>
        <w:rPr>
          <w:sz w:val="24"/>
        </w:rPr>
        <w:sectPr w:rsidR="00B04AE3">
          <w:headerReference w:type="default" r:id="rId40"/>
          <w:footerReference w:type="default" r:id="rId41"/>
          <w:pgSz w:w="16840" w:h="11910" w:orient="landscape"/>
          <w:pgMar w:top="1100" w:right="2420" w:bottom="1180" w:left="1460" w:header="878" w:footer="993" w:gutter="0"/>
          <w:cols w:space="720"/>
        </w:sectPr>
      </w:pPr>
    </w:p>
    <w:p w:rsidR="00B04AE3" w:rsidRDefault="00B04AE3">
      <w:pPr>
        <w:pStyle w:val="BodyText"/>
        <w:jc w:val="center"/>
        <w:rPr>
          <w:b/>
          <w:sz w:val="20"/>
        </w:rPr>
      </w:pPr>
    </w:p>
    <w:p w:rsidR="00B04AE3" w:rsidRDefault="00B04AE3">
      <w:pPr>
        <w:pStyle w:val="BodyText"/>
        <w:jc w:val="center"/>
        <w:rPr>
          <w:b/>
          <w:sz w:val="20"/>
        </w:rPr>
      </w:pPr>
      <w:r>
        <w:rPr>
          <w:noProof/>
          <w:lang w:val="en-US"/>
        </w:rPr>
        <w:pict>
          <v:line id="_x0000_s1342" style="position:absolute;left:0;text-align:left;z-index:251610624" from="116.25pt,57.5pt" to="117pt,262.25pt" strokecolor="#0070c0" strokeweight="3pt"/>
        </w:pict>
      </w:r>
      <w:r>
        <w:rPr>
          <w:noProof/>
          <w:lang w:val="en-US"/>
        </w:rPr>
        <w:pict>
          <v:line id="_x0000_s1343" style="position:absolute;left:0;text-align:left;z-index:251613696" from="514.5pt,63.5pt" to="515.25pt,268.25pt" filled="t" strokecolor="#0070c0" strokeweight="3pt"/>
        </w:pict>
      </w:r>
      <w:r>
        <w:rPr>
          <w:noProof/>
          <w:lang w:val="en-US"/>
        </w:rPr>
        <w:pict>
          <v:line id="_x0000_s1344" style="position:absolute;left:0;text-align:left;z-index:-251641344" from="116.25pt,266.75pt" to="523.4pt,268.25pt" strokecolor="#0070c0" strokeweight="3pt"/>
        </w:pict>
      </w:r>
      <w:r>
        <w:rPr>
          <w:noProof/>
          <w:lang w:val="en-US"/>
        </w:rPr>
        <w:pict>
          <v:line id="_x0000_s1345" style="position:absolute;left:0;text-align:left;z-index:-251651584" from="132.75pt,291.5pt" to="539.9pt,293pt" strokecolor="#0070c0" strokeweight="3pt"/>
        </w:pict>
      </w:r>
      <w:r>
        <w:rPr>
          <w:noProof/>
          <w:lang w:val="en-US"/>
        </w:rPr>
        <w:pict>
          <v:line id="_x0000_s1346" style="position:absolute;left:0;text-align:left;z-index:251614720" from="127.5pt,53pt" to="507.7pt,56pt" filled="t" strokecolor="#0070c0" strokeweight="3pt"/>
        </w:pict>
      </w:r>
      <w:r w:rsidRPr="00E43F4D">
        <w:rPr>
          <w:b/>
          <w:noProof/>
          <w:sz w:val="20"/>
          <w:lang w:val="en-US"/>
        </w:rPr>
        <w:pict>
          <v:shape id="图片 34" o:spid="_x0000_i1040" type="#_x0000_t75" alt="南昌海立总平图_00" style="width:471.75pt;height:376.5pt;visibility:visible">
            <v:imagedata r:id="rId42" o:title="" cropbottom="6910f" cropleft="3115f" cropright="13746f"/>
          </v:shape>
        </w:pict>
      </w:r>
    </w:p>
    <w:p w:rsidR="00B04AE3" w:rsidRDefault="00B04AE3">
      <w:pPr>
        <w:pStyle w:val="BodyText"/>
        <w:rPr>
          <w:b/>
          <w:sz w:val="20"/>
        </w:rPr>
      </w:pPr>
    </w:p>
    <w:p w:rsidR="00B04AE3" w:rsidRDefault="00B04AE3">
      <w:pPr>
        <w:tabs>
          <w:tab w:val="left" w:pos="1932"/>
        </w:tabs>
        <w:spacing w:before="195"/>
        <w:ind w:left="969"/>
        <w:jc w:val="center"/>
        <w:rPr>
          <w:b/>
          <w:sz w:val="24"/>
        </w:rPr>
      </w:pPr>
      <w:r>
        <w:rPr>
          <w:rFonts w:hint="eastAsia"/>
          <w:b/>
          <w:sz w:val="24"/>
        </w:rPr>
        <w:t>附件六</w:t>
      </w:r>
      <w:r>
        <w:rPr>
          <w:b/>
          <w:sz w:val="24"/>
        </w:rPr>
        <w:tab/>
      </w:r>
      <w:r>
        <w:rPr>
          <w:rFonts w:hint="eastAsia"/>
          <w:b/>
          <w:sz w:val="24"/>
        </w:rPr>
        <w:t>公司雨污管线分布图</w:t>
      </w:r>
    </w:p>
    <w:p w:rsidR="00B04AE3" w:rsidRDefault="00B04AE3">
      <w:pPr>
        <w:pStyle w:val="BodyText"/>
        <w:rPr>
          <w:b/>
          <w:sz w:val="20"/>
        </w:rPr>
      </w:pPr>
    </w:p>
    <w:p w:rsidR="00B04AE3" w:rsidRDefault="00B04AE3">
      <w:pPr>
        <w:pStyle w:val="BodyText"/>
        <w:jc w:val="center"/>
        <w:rPr>
          <w:b/>
          <w:sz w:val="20"/>
        </w:rPr>
      </w:pPr>
      <w:r>
        <w:rPr>
          <w:noProof/>
          <w:lang w:val="en-US"/>
        </w:rPr>
        <w:pict>
          <v:shape id="图片 36" o:spid="_x0000_s1347" type="#_x0000_t75" alt="风玫瑰图" style="position:absolute;left:0;text-align:left;margin-left:31.55pt;margin-top:2.1pt;width:102pt;height:102.75pt;z-index:251670016;visibility:visible">
            <v:imagedata r:id="rId33" o:title=""/>
          </v:shape>
        </w:pict>
      </w:r>
      <w:r w:rsidRPr="00E43F4D">
        <w:rPr>
          <w:b/>
          <w:noProof/>
          <w:sz w:val="20"/>
          <w:lang w:val="en-US"/>
        </w:rPr>
        <w:pict>
          <v:shape id="图片 35" o:spid="_x0000_i1041" type="#_x0000_t75" alt="12" style="width:585pt;height:459.75pt;visibility:visible">
            <v:imagedata r:id="rId43" o:title=""/>
          </v:shape>
        </w:pict>
      </w:r>
    </w:p>
    <w:p w:rsidR="00B04AE3" w:rsidRDefault="00B04AE3" w:rsidP="003446E2">
      <w:pPr>
        <w:pStyle w:val="BodyText"/>
        <w:ind w:firstLineChars="1300" w:firstLine="31680"/>
        <w:rPr>
          <w:b/>
          <w:sz w:val="20"/>
        </w:rPr>
      </w:pPr>
      <w:r>
        <w:rPr>
          <w:rFonts w:hint="eastAsia"/>
          <w:b/>
        </w:rPr>
        <w:t>附件七</w:t>
      </w:r>
      <w:r>
        <w:rPr>
          <w:b/>
        </w:rPr>
        <w:tab/>
      </w:r>
      <w:r>
        <w:rPr>
          <w:rFonts w:hint="eastAsia"/>
          <w:b/>
        </w:rPr>
        <w:t>企业周边环境风险保护目标分布图</w:t>
      </w:r>
    </w:p>
    <w:p w:rsidR="00B04AE3" w:rsidRDefault="00B04AE3">
      <w:pPr>
        <w:pStyle w:val="BodyText"/>
        <w:rPr>
          <w:b/>
          <w:sz w:val="20"/>
        </w:rPr>
      </w:pPr>
    </w:p>
    <w:p w:rsidR="00B04AE3" w:rsidRDefault="00B04AE3">
      <w:pPr>
        <w:pStyle w:val="BodyText"/>
        <w:jc w:val="center"/>
        <w:rPr>
          <w:b/>
          <w:sz w:val="20"/>
        </w:rPr>
      </w:pPr>
      <w:r>
        <w:rPr>
          <w:noProof/>
          <w:lang w:val="en-US"/>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348" type="#_x0000_t68" style="position:absolute;left:0;text-align:left;margin-left:233.25pt;margin-top:48.85pt;width:7.5pt;height:26.25pt;z-index:-251687424" fillcolor="red"/>
        </w:pict>
      </w:r>
      <w:r>
        <w:rPr>
          <w:noProof/>
          <w:lang w:val="en-US"/>
        </w:rPr>
        <w:pict>
          <v:shape id="_x0000_s1349" type="#_x0000_t68" style="position:absolute;left:0;text-align:left;margin-left:231.05pt;margin-top:109.6pt;width:11.95pt;height:71.25pt;z-index:-251689472" fillcolor="red"/>
        </w:pict>
      </w:r>
      <w:r>
        <w:rPr>
          <w:noProof/>
          <w:lang w:val="en-US"/>
        </w:rPr>
        <w:pict>
          <v:shape id="_x0000_s1350" type="#_x0000_t68" style="position:absolute;left:0;text-align:left;margin-left:231pt;margin-top:211.6pt;width:8.25pt;height:45pt;z-index:-251692544" fillcolor="red"/>
        </w:pict>
      </w:r>
      <w:r>
        <w:rPr>
          <w:noProof/>
          <w:lang w:val="en-US"/>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351" type="#_x0000_t66" style="position:absolute;left:0;text-align:left;margin-left:301.5pt;margin-top:194.35pt;width:73.5pt;height:9pt;z-index:-251696640" fillcolor="red"/>
        </w:pict>
      </w:r>
      <w:r>
        <w:rPr>
          <w:noProof/>
          <w:lang w:val="en-US"/>
        </w:rPr>
        <w:pict>
          <v:shape id="_x0000_s1352" type="#_x0000_t66" style="position:absolute;left:0;text-align:left;margin-left:435.75pt;margin-top:205.65pt;width:52.5pt;height:10.45pt;z-index:-251642368" fillcolor="red"/>
        </w:pict>
      </w:r>
      <w:r>
        <w:rPr>
          <w:noProof/>
          <w:lang w:val="en-US"/>
        </w:rPr>
        <w:pict>
          <v:shape id="_x0000_s1353" type="#_x0000_t66" style="position:absolute;left:0;text-align:left;margin-left:423.75pt;margin-top:193.65pt;width:52.5pt;height:10.45pt;z-index:-251691520" fillcolor="red"/>
        </w:pict>
      </w:r>
      <w:r>
        <w:rPr>
          <w:noProof/>
          <w:lang w:val="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54" type="#_x0000_t13" style="position:absolute;left:0;text-align:left;margin-left:370.5pt;margin-top:121.3pt;width:53.95pt;height:12pt;flip:x;z-index:-251695616" fillcolor="red"/>
        </w:pict>
      </w:r>
      <w:r>
        <w:rPr>
          <w:noProof/>
          <w:lang w:val="en-US"/>
        </w:rPr>
        <w:pict>
          <v:shape id="_x0000_s1355" type="#_x0000_t66" style="position:absolute;left:0;text-align:left;margin-left:266.25pt;margin-top:120.15pt;width:59.2pt;height:12.65pt;z-index:-251694592" fillcolor="red"/>
        </w:pict>
      </w:r>
      <w:r>
        <w:rPr>
          <w:noProof/>
          <w:lang w:val="en-US"/>
        </w:rPr>
        <w:pict>
          <v:shape id="_x0000_s1356" type="#_x0000_t13" style="position:absolute;left:0;text-align:left;margin-left:453pt;margin-top:130.3pt;width:46.5pt;height:18.75pt;flip:x;z-index:-251644416" fillcolor="red"/>
        </w:pict>
      </w:r>
      <w:r>
        <w:rPr>
          <w:noProof/>
          <w:lang w:val="en-US"/>
        </w:rPr>
        <w:pict>
          <v:shape id="_x0000_s1357" type="#_x0000_t13" style="position:absolute;left:0;text-align:left;margin-left:465pt;margin-top:142.3pt;width:46.5pt;height:18.75pt;flip:x;z-index:-251643392" fillcolor="red"/>
        </w:pict>
      </w:r>
      <w:r w:rsidRPr="00E43F4D">
        <w:rPr>
          <w:b/>
          <w:noProof/>
          <w:sz w:val="20"/>
          <w:lang w:val="en-US"/>
        </w:rPr>
        <w:pict>
          <v:shape id="图片 37" o:spid="_x0000_i1042" type="#_x0000_t75" alt="南昌海立总平图_00" style="width:471.75pt;height:376.5pt;visibility:visible">
            <v:imagedata r:id="rId42" o:title="" cropbottom="6910f" cropleft="3115f" cropright="13746f"/>
          </v:shape>
        </w:pict>
      </w:r>
    </w:p>
    <w:p w:rsidR="00B04AE3" w:rsidRDefault="00B04AE3">
      <w:pPr>
        <w:pStyle w:val="BodyText"/>
        <w:rPr>
          <w:b/>
          <w:sz w:val="20"/>
        </w:rPr>
      </w:pPr>
    </w:p>
    <w:p w:rsidR="00B04AE3" w:rsidRDefault="00B04AE3">
      <w:pPr>
        <w:pStyle w:val="BodyText"/>
        <w:rPr>
          <w:b/>
          <w:sz w:val="20"/>
        </w:rPr>
      </w:pPr>
    </w:p>
    <w:p w:rsidR="00B04AE3" w:rsidRDefault="00B04AE3">
      <w:pPr>
        <w:tabs>
          <w:tab w:val="left" w:pos="1932"/>
        </w:tabs>
        <w:ind w:left="969"/>
        <w:jc w:val="center"/>
        <w:rPr>
          <w:b/>
          <w:sz w:val="24"/>
        </w:rPr>
      </w:pPr>
      <w:bookmarkStart w:id="222" w:name="附件八__公司应急疏散路线图"/>
      <w:bookmarkEnd w:id="222"/>
      <w:r>
        <w:rPr>
          <w:rFonts w:hint="eastAsia"/>
          <w:b/>
          <w:sz w:val="24"/>
        </w:rPr>
        <w:t>附件八</w:t>
      </w:r>
      <w:r>
        <w:rPr>
          <w:b/>
          <w:sz w:val="24"/>
        </w:rPr>
        <w:tab/>
      </w:r>
      <w:r>
        <w:rPr>
          <w:rFonts w:hint="eastAsia"/>
          <w:b/>
          <w:sz w:val="24"/>
        </w:rPr>
        <w:t>公司应急疏散路线图</w:t>
      </w:r>
    </w:p>
    <w:p w:rsidR="00B04AE3" w:rsidRDefault="00B04AE3">
      <w:pPr>
        <w:jc w:val="center"/>
        <w:rPr>
          <w:sz w:val="24"/>
        </w:rPr>
        <w:sectPr w:rsidR="00B04AE3">
          <w:footerReference w:type="default" r:id="rId44"/>
          <w:pgSz w:w="16840" w:h="11910" w:orient="landscape"/>
          <w:pgMar w:top="1100" w:right="2420" w:bottom="1180" w:left="1460" w:header="878" w:footer="993" w:gutter="0"/>
          <w:cols w:space="720"/>
        </w:sectPr>
      </w:pPr>
    </w:p>
    <w:p w:rsidR="00B04AE3" w:rsidRDefault="00B04AE3">
      <w:pPr>
        <w:pStyle w:val="BodyText"/>
        <w:jc w:val="center"/>
        <w:rPr>
          <w:b/>
        </w:rPr>
      </w:pPr>
      <w:r>
        <w:rPr>
          <w:noProof/>
          <w:lang w:val="en-US"/>
        </w:rPr>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358" type="#_x0000_t188" style="position:absolute;left:0;text-align:left;margin-left:45pt;margin-top:430.5pt;width:18.75pt;height:9pt;z-index:-251668992" fillcolor="#00b050"/>
        </w:pict>
      </w:r>
      <w:r>
        <w:rPr>
          <w:noProof/>
          <w:lang w:val="en-US"/>
        </w:rPr>
        <w:pict>
          <v:shape id="_x0000_s1359" type="#_x0000_t68" style="position:absolute;left:0;text-align:left;margin-left:39.75pt;margin-top:397.8pt;width:9pt;height:18.75pt;z-index:-251670016" fillcolor="black"/>
        </w:pict>
      </w:r>
      <w:r>
        <w:rPr>
          <w:noProof/>
          <w:lang w:val="en-US"/>
        </w:rPr>
        <w:pict>
          <v:shapetype id="_x0000_t76" coordsize="21600,21600" o:spt="76" adj="6480,8640,4320" path="m10800,l@0@2@1@2@1@1@2@1@2@0,,10800@2@3@2@4@1@4@1@5@0@5,10800,21600@3@5@4@5@4@4@5@4@5@3,21600,10800@5@0@5@1@4@1@4@2@3@2xe">
            <v:stroke joinstyle="miter"/>
            <v:formulas>
              <v:f eqn="val #0"/>
              <v:f eqn="val #1"/>
              <v:f eqn="val #2"/>
              <v:f eqn="sum 21600 0 #0"/>
              <v:f eqn="sum 21600 0 #1"/>
              <v:f eqn="sum 21600 0 #2"/>
              <v:f eqn="sum #0 0 10800"/>
              <v:f eqn="sum #1 0 10800"/>
              <v:f eqn="prod @7 #2 @6"/>
              <v:f eqn="sum 21600 0 @8"/>
            </v:formulas>
            <v:path o:connecttype="rect" textboxrect="@8,@1,@9,@4;@1,@8,@4,@9"/>
            <v:handles>
              <v:h position="#0,topLeft" xrange="@2,@1"/>
              <v:h position="#1,#2" xrange="@0,10800" yrange="0,@0"/>
            </v:handles>
          </v:shapetype>
          <v:shape id="_x0000_s1360" type="#_x0000_t76" style="position:absolute;left:0;text-align:left;margin-left:37.5pt;margin-top:377.1pt;width:18pt;height:19.5pt;z-index:-251671040" fillcolor="red"/>
        </w:pict>
      </w:r>
      <w:r>
        <w:rPr>
          <w:noProof/>
          <w:lang w:val="en-US"/>
        </w:rPr>
        <w:pict>
          <v:shape id="_x0000_s1361" type="#_x0000_t202" style="position:absolute;left:0;text-align:left;margin-left:36.75pt;margin-top:362.1pt;width:117pt;height:84.75pt;z-index:-251672064">
            <v:textbox>
              <w:txbxContent>
                <w:p w:rsidR="00B04AE3" w:rsidRDefault="00B04AE3" w:rsidP="003446E2">
                  <w:pPr>
                    <w:ind w:firstLineChars="300" w:firstLine="31680"/>
                  </w:pPr>
                  <w:r>
                    <w:rPr>
                      <w:rFonts w:hint="eastAsia"/>
                    </w:rPr>
                    <w:t>图例</w:t>
                  </w:r>
                </w:p>
                <w:p w:rsidR="00B04AE3" w:rsidRDefault="00B04AE3">
                  <w:pPr>
                    <w:pStyle w:val="Default"/>
                    <w:rPr>
                      <w:b/>
                      <w:sz w:val="19"/>
                    </w:rPr>
                  </w:pPr>
                  <w:r>
                    <w:t xml:space="preserve">   </w:t>
                  </w:r>
                  <w:r>
                    <w:rPr>
                      <w:rFonts w:hint="eastAsia"/>
                      <w:b/>
                      <w:sz w:val="19"/>
                    </w:rPr>
                    <w:t>消防设备</w:t>
                  </w:r>
                </w:p>
                <w:p w:rsidR="00B04AE3" w:rsidRDefault="00B04AE3">
                  <w:pPr>
                    <w:pStyle w:val="Default"/>
                    <w:rPr>
                      <w:b/>
                      <w:sz w:val="19"/>
                    </w:rPr>
                  </w:pPr>
                </w:p>
                <w:p w:rsidR="00B04AE3" w:rsidRDefault="00B04AE3">
                  <w:pPr>
                    <w:pStyle w:val="Default"/>
                    <w:rPr>
                      <w:b/>
                      <w:sz w:val="19"/>
                    </w:rPr>
                  </w:pPr>
                  <w:r>
                    <w:rPr>
                      <w:b/>
                      <w:sz w:val="19"/>
                    </w:rPr>
                    <w:t xml:space="preserve">  </w:t>
                  </w:r>
                  <w:r>
                    <w:rPr>
                      <w:rFonts w:hint="eastAsia"/>
                      <w:b/>
                      <w:sz w:val="19"/>
                    </w:rPr>
                    <w:t>应急物资</w:t>
                  </w:r>
                </w:p>
                <w:p w:rsidR="00B04AE3" w:rsidRDefault="00B04AE3">
                  <w:pPr>
                    <w:pStyle w:val="Default"/>
                    <w:rPr>
                      <w:b/>
                      <w:sz w:val="19"/>
                    </w:rPr>
                  </w:pPr>
                </w:p>
                <w:p w:rsidR="00B04AE3" w:rsidRDefault="00B04AE3">
                  <w:pPr>
                    <w:pStyle w:val="Default"/>
                    <w:rPr>
                      <w:b/>
                      <w:sz w:val="19"/>
                    </w:rPr>
                  </w:pPr>
                  <w:r>
                    <w:rPr>
                      <w:b/>
                      <w:sz w:val="19"/>
                    </w:rPr>
                    <w:t xml:space="preserve">      </w:t>
                  </w:r>
                  <w:r>
                    <w:rPr>
                      <w:rFonts w:hint="eastAsia"/>
                      <w:b/>
                      <w:sz w:val="19"/>
                    </w:rPr>
                    <w:t>监测预警设备</w:t>
                  </w:r>
                </w:p>
              </w:txbxContent>
            </v:textbox>
          </v:shape>
        </w:pict>
      </w:r>
      <w:r>
        <w:rPr>
          <w:noProof/>
          <w:lang w:val="en-US"/>
        </w:rPr>
        <w:pict>
          <v:shape id="_x0000_s1362" type="#_x0000_t188" style="position:absolute;left:0;text-align:left;margin-left:532.5pt;margin-top:423.3pt;width:22.5pt;height:9pt;z-index:-251673088" fillcolor="#00b050"/>
        </w:pict>
      </w:r>
      <w:r>
        <w:rPr>
          <w:noProof/>
          <w:lang w:val="en-US"/>
        </w:rPr>
        <w:pict>
          <v:shape id="_x0000_s1363" type="#_x0000_t188" style="position:absolute;left:0;text-align:left;margin-left:109.5pt;margin-top:119.4pt;width:16.5pt;height:10.5pt;z-index:-251674112" fillcolor="#00b050"/>
        </w:pict>
      </w:r>
      <w:r>
        <w:rPr>
          <w:noProof/>
          <w:lang w:val="en-US"/>
        </w:rPr>
        <w:pict>
          <v:shape id="_x0000_s1364" type="#_x0000_t188" style="position:absolute;left:0;text-align:left;margin-left:476.25pt;margin-top:30.15pt;width:22.5pt;height:9.75pt;z-index:-251675136" fillcolor="#00b050"/>
        </w:pict>
      </w:r>
      <w:r>
        <w:rPr>
          <w:noProof/>
          <w:lang w:val="en-US"/>
        </w:rPr>
        <w:pict>
          <v:shape id="_x0000_s1365" type="#_x0000_t188" style="position:absolute;left:0;text-align:left;margin-left:258pt;margin-top:195.15pt;width:16.5pt;height:7.5pt;z-index:-251676160" fillcolor="#00b050"/>
        </w:pict>
      </w:r>
      <w:r>
        <w:rPr>
          <w:noProof/>
          <w:lang w:val="en-US"/>
        </w:rPr>
        <w:pict>
          <v:shape id="_x0000_s1366" type="#_x0000_t68" style="position:absolute;left:0;text-align:left;margin-left:332.25pt;margin-top:324.75pt;width:12.75pt;height:20.25pt;z-index:-251677184" fillcolor="black"/>
        </w:pict>
      </w:r>
      <w:r>
        <w:rPr>
          <w:noProof/>
          <w:lang w:val="en-US"/>
        </w:rPr>
        <w:pict>
          <v:shape id="_x0000_s1367" type="#_x0000_t68" style="position:absolute;left:0;text-align:left;margin-left:113.25pt;margin-top:27.75pt;width:14.25pt;height:18pt;z-index:-251678208" fillcolor="black"/>
        </w:pict>
      </w:r>
      <w:r>
        <w:rPr>
          <w:noProof/>
          <w:lang w:val="en-US"/>
        </w:rPr>
        <w:pict>
          <v:shape id="_x0000_s1368" type="#_x0000_t68" style="position:absolute;left:0;text-align:left;margin-left:516.75pt;margin-top:30pt;width:17.25pt;height:18.75pt;z-index:-251679232" fillcolor="black"/>
        </w:pict>
      </w:r>
      <w:r>
        <w:rPr>
          <w:noProof/>
          <w:lang w:val="en-US"/>
        </w:rPr>
        <w:pict>
          <v:shape id="_x0000_s1369" type="#_x0000_t76" style="position:absolute;left:0;text-align:left;margin-left:297pt;margin-top:223.5pt;width:9pt;height:15pt;z-index:-251680256" fillcolor="red"/>
        </w:pict>
      </w:r>
      <w:r>
        <w:rPr>
          <w:noProof/>
          <w:lang w:val="en-US"/>
        </w:rPr>
        <w:pict>
          <v:shape id="_x0000_s1370" type="#_x0000_t76" style="position:absolute;left:0;text-align:left;margin-left:300.75pt;margin-top:267.75pt;width:9.75pt;height:13.5pt;z-index:-251681280" fillcolor="red"/>
        </w:pict>
      </w:r>
      <w:r>
        <w:rPr>
          <w:noProof/>
          <w:lang w:val="en-US"/>
        </w:rPr>
        <w:pict>
          <v:shape id="_x0000_s1371" type="#_x0000_t76" style="position:absolute;left:0;text-align:left;margin-left:261pt;margin-top:173.25pt;width:12pt;height:15.75pt;z-index:-251682304" fillcolor="red"/>
        </w:pict>
      </w:r>
      <w:r>
        <w:rPr>
          <w:noProof/>
          <w:lang w:val="en-US"/>
        </w:rPr>
        <w:pict>
          <v:shape id="_x0000_s1372" type="#_x0000_t76" style="position:absolute;left:0;text-align:left;margin-left:66pt;margin-top:27pt;width:17.25pt;height:27.75pt;z-index:-251683328" fillcolor="red"/>
        </w:pict>
      </w:r>
      <w:r>
        <w:rPr>
          <w:noProof/>
          <w:lang w:val="en-US"/>
        </w:rPr>
        <w:pict>
          <v:shape id="_x0000_s1373" type="#_x0000_t76" style="position:absolute;left:0;text-align:left;margin-left:551.25pt;margin-top:327.75pt;width:19.5pt;height:24pt;z-index:-251684352" fillcolor="red"/>
        </w:pict>
      </w:r>
      <w:r>
        <w:rPr>
          <w:noProof/>
          <w:lang w:val="en-US"/>
        </w:rPr>
        <w:pict>
          <v:shape id="_x0000_s1374" type="#_x0000_t76" style="position:absolute;left:0;text-align:left;margin-left:552pt;margin-top:30pt;width:13.5pt;height:20.25pt;z-index:-251685376" fillcolor="red"/>
        </w:pict>
      </w:r>
      <w:r w:rsidRPr="00E43F4D">
        <w:rPr>
          <w:b/>
          <w:noProof/>
          <w:lang w:val="en-US"/>
        </w:rPr>
        <w:pict>
          <v:shape id="图片 39" o:spid="_x0000_i1043" type="#_x0000_t75" alt="13" style="width:575.25pt;height:451.5pt;visibility:visible">
            <v:imagedata r:id="rId39" o:title=""/>
          </v:shape>
        </w:pict>
      </w:r>
    </w:p>
    <w:p w:rsidR="00B04AE3" w:rsidRDefault="00B04AE3">
      <w:pPr>
        <w:tabs>
          <w:tab w:val="left" w:pos="1932"/>
        </w:tabs>
        <w:spacing w:before="119"/>
        <w:ind w:left="969"/>
        <w:jc w:val="center"/>
        <w:rPr>
          <w:b/>
          <w:sz w:val="24"/>
        </w:rPr>
      </w:pPr>
      <w:r>
        <w:rPr>
          <w:rFonts w:hint="eastAsia"/>
          <w:b/>
          <w:sz w:val="24"/>
        </w:rPr>
        <w:t>附件九</w:t>
      </w:r>
      <w:r>
        <w:rPr>
          <w:b/>
          <w:sz w:val="24"/>
        </w:rPr>
        <w:tab/>
      </w:r>
      <w:r>
        <w:rPr>
          <w:rFonts w:hint="eastAsia"/>
          <w:b/>
          <w:sz w:val="24"/>
        </w:rPr>
        <w:t>公司应急设施分布图</w:t>
      </w:r>
    </w:p>
    <w:p w:rsidR="00B04AE3" w:rsidRDefault="00B04AE3">
      <w:pPr>
        <w:jc w:val="both"/>
        <w:rPr>
          <w:sz w:val="24"/>
        </w:rPr>
        <w:sectPr w:rsidR="00B04AE3">
          <w:pgSz w:w="16840" w:h="11910" w:orient="landscape"/>
          <w:pgMar w:top="1100" w:right="2420" w:bottom="1180" w:left="1460" w:header="878" w:footer="993" w:gutter="0"/>
          <w:cols w:space="720"/>
        </w:sectPr>
      </w:pPr>
      <w:bookmarkStart w:id="223" w:name="附件九__公司应急设施分布图"/>
      <w:bookmarkEnd w:id="223"/>
    </w:p>
    <w:p w:rsidR="00B04AE3" w:rsidRDefault="00B04AE3">
      <w:pPr>
        <w:tabs>
          <w:tab w:val="left" w:pos="984"/>
        </w:tabs>
        <w:spacing w:before="64" w:after="2"/>
        <w:ind w:left="21"/>
        <w:jc w:val="center"/>
        <w:rPr>
          <w:b/>
          <w:sz w:val="24"/>
        </w:rPr>
      </w:pPr>
      <w:bookmarkStart w:id="224" w:name="附件十__公司应急救援指挥部和应急救援人员名单、联系方式"/>
      <w:bookmarkEnd w:id="224"/>
      <w:r>
        <w:rPr>
          <w:rFonts w:hint="eastAsia"/>
          <w:b/>
          <w:sz w:val="24"/>
        </w:rPr>
        <w:t>附件十</w:t>
      </w:r>
      <w:r>
        <w:rPr>
          <w:b/>
          <w:sz w:val="24"/>
        </w:rPr>
        <w:tab/>
      </w:r>
      <w:r>
        <w:rPr>
          <w:rFonts w:hint="eastAsia"/>
          <w:b/>
          <w:sz w:val="24"/>
        </w:rPr>
        <w:t>公司应急救援指挥部和应急救援人员名单、联系方式</w:t>
      </w:r>
    </w:p>
    <w:tbl>
      <w:tblPr>
        <w:tblW w:w="9280" w:type="dxa"/>
        <w:jc w:val="center"/>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2849"/>
        <w:gridCol w:w="2840"/>
        <w:gridCol w:w="3591"/>
      </w:tblGrid>
      <w:tr w:rsidR="00B04AE3">
        <w:trPr>
          <w:trHeight w:val="341"/>
          <w:jc w:val="center"/>
        </w:trPr>
        <w:tc>
          <w:tcPr>
            <w:tcW w:w="2849" w:type="dxa"/>
            <w:shd w:val="clear" w:color="auto" w:fill="DFDFDF"/>
            <w:vAlign w:val="center"/>
          </w:tcPr>
          <w:p w:rsidR="00B04AE3" w:rsidRDefault="00B04AE3">
            <w:pPr>
              <w:pStyle w:val="TableParagraph"/>
              <w:spacing w:before="34"/>
              <w:ind w:left="306" w:right="296"/>
              <w:rPr>
                <w:b/>
                <w:sz w:val="21"/>
              </w:rPr>
            </w:pPr>
            <w:r>
              <w:rPr>
                <w:rFonts w:hint="eastAsia"/>
                <w:b/>
                <w:sz w:val="21"/>
              </w:rPr>
              <w:t>部门</w:t>
            </w:r>
          </w:p>
        </w:tc>
        <w:tc>
          <w:tcPr>
            <w:tcW w:w="2840" w:type="dxa"/>
            <w:shd w:val="clear" w:color="auto" w:fill="DFDFDF"/>
            <w:vAlign w:val="center"/>
          </w:tcPr>
          <w:p w:rsidR="00B04AE3" w:rsidRDefault="00B04AE3">
            <w:pPr>
              <w:pStyle w:val="TableParagraph"/>
              <w:spacing w:before="34"/>
              <w:ind w:left="1142" w:right="1132"/>
              <w:rPr>
                <w:b/>
                <w:sz w:val="21"/>
              </w:rPr>
            </w:pPr>
            <w:r>
              <w:rPr>
                <w:rFonts w:hint="eastAsia"/>
                <w:b/>
                <w:sz w:val="21"/>
              </w:rPr>
              <w:t>姓名</w:t>
            </w:r>
          </w:p>
        </w:tc>
        <w:tc>
          <w:tcPr>
            <w:tcW w:w="3591" w:type="dxa"/>
            <w:shd w:val="clear" w:color="auto" w:fill="DFDFDF"/>
            <w:vAlign w:val="center"/>
          </w:tcPr>
          <w:p w:rsidR="00B04AE3" w:rsidRDefault="00B04AE3">
            <w:pPr>
              <w:pStyle w:val="TableParagraph"/>
              <w:spacing w:before="34"/>
              <w:ind w:left="1271" w:right="1261"/>
              <w:rPr>
                <w:b/>
                <w:sz w:val="21"/>
              </w:rPr>
            </w:pPr>
            <w:r>
              <w:rPr>
                <w:rFonts w:hint="eastAsia"/>
                <w:b/>
                <w:sz w:val="21"/>
              </w:rPr>
              <w:t>联系方式</w:t>
            </w:r>
          </w:p>
        </w:tc>
      </w:tr>
      <w:tr w:rsidR="00B04AE3">
        <w:trPr>
          <w:trHeight w:val="341"/>
          <w:jc w:val="center"/>
        </w:trPr>
        <w:tc>
          <w:tcPr>
            <w:tcW w:w="2849" w:type="dxa"/>
            <w:vAlign w:val="center"/>
          </w:tcPr>
          <w:p w:rsidR="00B04AE3" w:rsidRDefault="00B04AE3">
            <w:pPr>
              <w:pStyle w:val="TableParagraph"/>
              <w:spacing w:before="34"/>
              <w:ind w:left="304" w:right="299"/>
              <w:rPr>
                <w:sz w:val="21"/>
              </w:rPr>
            </w:pPr>
            <w:r>
              <w:rPr>
                <w:rFonts w:hint="eastAsia"/>
                <w:sz w:val="21"/>
              </w:rPr>
              <w:t>总指挥（总经理）</w:t>
            </w:r>
          </w:p>
        </w:tc>
        <w:tc>
          <w:tcPr>
            <w:tcW w:w="2840" w:type="dxa"/>
            <w:vAlign w:val="center"/>
          </w:tcPr>
          <w:p w:rsidR="00B04AE3" w:rsidRDefault="00B04AE3">
            <w:pPr>
              <w:pStyle w:val="TableParagraph"/>
              <w:spacing w:before="34"/>
              <w:ind w:left="304" w:right="299"/>
              <w:rPr>
                <w:sz w:val="21"/>
              </w:rPr>
            </w:pPr>
            <w:r>
              <w:rPr>
                <w:rFonts w:hint="eastAsia"/>
                <w:sz w:val="21"/>
              </w:rPr>
              <w:t>金云峰</w:t>
            </w:r>
          </w:p>
        </w:tc>
        <w:tc>
          <w:tcPr>
            <w:tcW w:w="3591" w:type="dxa"/>
            <w:vAlign w:val="center"/>
          </w:tcPr>
          <w:p w:rsidR="00B04AE3" w:rsidRDefault="00B04AE3">
            <w:pPr>
              <w:pStyle w:val="TableParagraph"/>
              <w:spacing w:before="34"/>
              <w:ind w:right="1261"/>
              <w:rPr>
                <w:sz w:val="21"/>
              </w:rPr>
            </w:pPr>
            <w:r>
              <w:rPr>
                <w:sz w:val="21"/>
              </w:rPr>
              <w:t>15797906676</w:t>
            </w:r>
          </w:p>
        </w:tc>
      </w:tr>
      <w:tr w:rsidR="00B04AE3">
        <w:trPr>
          <w:trHeight w:val="341"/>
          <w:jc w:val="center"/>
        </w:trPr>
        <w:tc>
          <w:tcPr>
            <w:tcW w:w="2849" w:type="dxa"/>
            <w:vAlign w:val="center"/>
          </w:tcPr>
          <w:p w:rsidR="00B04AE3" w:rsidRDefault="00B04AE3">
            <w:pPr>
              <w:pStyle w:val="TableParagraph"/>
              <w:spacing w:before="35"/>
              <w:ind w:left="306" w:right="299"/>
              <w:rPr>
                <w:sz w:val="21"/>
              </w:rPr>
            </w:pPr>
            <w:r>
              <w:rPr>
                <w:rFonts w:hint="eastAsia"/>
                <w:sz w:val="21"/>
              </w:rPr>
              <w:t>副总指挥（办公室主任）</w:t>
            </w:r>
          </w:p>
        </w:tc>
        <w:tc>
          <w:tcPr>
            <w:tcW w:w="2840" w:type="dxa"/>
            <w:vAlign w:val="center"/>
          </w:tcPr>
          <w:p w:rsidR="00B04AE3" w:rsidRDefault="00B04AE3">
            <w:pPr>
              <w:pStyle w:val="TableParagraph"/>
              <w:spacing w:before="34"/>
              <w:ind w:left="304" w:right="299"/>
              <w:rPr>
                <w:sz w:val="21"/>
              </w:rPr>
            </w:pPr>
            <w:r>
              <w:rPr>
                <w:rFonts w:hint="eastAsia"/>
                <w:sz w:val="21"/>
              </w:rPr>
              <w:t>谢子伟</w:t>
            </w:r>
          </w:p>
        </w:tc>
        <w:tc>
          <w:tcPr>
            <w:tcW w:w="3591" w:type="dxa"/>
            <w:vAlign w:val="center"/>
          </w:tcPr>
          <w:p w:rsidR="00B04AE3" w:rsidRDefault="00B04AE3">
            <w:pPr>
              <w:pStyle w:val="TableParagraph"/>
              <w:spacing w:before="34"/>
              <w:ind w:left="304" w:right="299"/>
              <w:rPr>
                <w:sz w:val="21"/>
              </w:rPr>
            </w:pPr>
            <w:r>
              <w:rPr>
                <w:sz w:val="21"/>
              </w:rPr>
              <w:t>13870073675</w:t>
            </w:r>
          </w:p>
        </w:tc>
      </w:tr>
      <w:tr w:rsidR="00B04AE3">
        <w:trPr>
          <w:trHeight w:val="341"/>
          <w:jc w:val="center"/>
        </w:trPr>
        <w:tc>
          <w:tcPr>
            <w:tcW w:w="2849" w:type="dxa"/>
            <w:vMerge w:val="restart"/>
            <w:vAlign w:val="center"/>
          </w:tcPr>
          <w:p w:rsidR="00B04AE3" w:rsidRDefault="00B04AE3">
            <w:pPr>
              <w:pStyle w:val="TableParagraph"/>
              <w:spacing w:before="3"/>
              <w:rPr>
                <w:b/>
                <w:sz w:val="16"/>
              </w:rPr>
            </w:pPr>
          </w:p>
          <w:p w:rsidR="00B04AE3" w:rsidRDefault="00B04AE3">
            <w:pPr>
              <w:pStyle w:val="TableParagraph"/>
              <w:ind w:left="958"/>
              <w:rPr>
                <w:sz w:val="21"/>
              </w:rPr>
            </w:pPr>
            <w:r>
              <w:rPr>
                <w:rFonts w:hint="eastAsia"/>
                <w:sz w:val="21"/>
              </w:rPr>
              <w:t>应急办公室</w:t>
            </w:r>
          </w:p>
        </w:tc>
        <w:tc>
          <w:tcPr>
            <w:tcW w:w="2840" w:type="dxa"/>
            <w:vAlign w:val="center"/>
          </w:tcPr>
          <w:p w:rsidR="00B04AE3" w:rsidRDefault="00B04AE3">
            <w:pPr>
              <w:pStyle w:val="TableParagraph"/>
              <w:spacing w:before="34"/>
              <w:ind w:left="304" w:right="299"/>
              <w:rPr>
                <w:sz w:val="21"/>
              </w:rPr>
            </w:pPr>
            <w:r>
              <w:rPr>
                <w:rFonts w:hint="eastAsia"/>
                <w:sz w:val="21"/>
              </w:rPr>
              <w:t>鲍伟</w:t>
            </w:r>
          </w:p>
        </w:tc>
        <w:tc>
          <w:tcPr>
            <w:tcW w:w="3591" w:type="dxa"/>
            <w:vAlign w:val="center"/>
          </w:tcPr>
          <w:p w:rsidR="00B04AE3" w:rsidRDefault="00B04AE3">
            <w:pPr>
              <w:pStyle w:val="TableParagraph"/>
              <w:spacing w:before="34"/>
              <w:ind w:left="304" w:right="299"/>
              <w:rPr>
                <w:sz w:val="21"/>
              </w:rPr>
            </w:pPr>
            <w:r>
              <w:rPr>
                <w:sz w:val="21"/>
              </w:rPr>
              <w:t>13707093687</w:t>
            </w:r>
          </w:p>
        </w:tc>
      </w:tr>
      <w:tr w:rsidR="00B04AE3">
        <w:trPr>
          <w:trHeight w:val="341"/>
          <w:jc w:val="center"/>
        </w:trPr>
        <w:tc>
          <w:tcPr>
            <w:tcW w:w="2849" w:type="dxa"/>
            <w:vMerge/>
            <w:tcBorders>
              <w:top w:val="nil"/>
            </w:tcBorders>
            <w:vAlign w:val="center"/>
          </w:tcPr>
          <w:p w:rsidR="00B04AE3" w:rsidRDefault="00B04AE3">
            <w:pPr>
              <w:jc w:val="center"/>
              <w:rPr>
                <w:sz w:val="2"/>
                <w:szCs w:val="2"/>
              </w:rPr>
            </w:pPr>
          </w:p>
        </w:tc>
        <w:tc>
          <w:tcPr>
            <w:tcW w:w="2840" w:type="dxa"/>
            <w:vAlign w:val="center"/>
          </w:tcPr>
          <w:p w:rsidR="00B04AE3" w:rsidRDefault="00B04AE3">
            <w:pPr>
              <w:pStyle w:val="TableParagraph"/>
              <w:spacing w:before="34"/>
              <w:ind w:left="304" w:right="299"/>
              <w:rPr>
                <w:sz w:val="21"/>
              </w:rPr>
            </w:pPr>
            <w:r>
              <w:rPr>
                <w:rFonts w:hint="eastAsia"/>
                <w:sz w:val="21"/>
              </w:rPr>
              <w:t>王新</w:t>
            </w:r>
          </w:p>
        </w:tc>
        <w:tc>
          <w:tcPr>
            <w:tcW w:w="3591" w:type="dxa"/>
            <w:vAlign w:val="center"/>
          </w:tcPr>
          <w:p w:rsidR="00B04AE3" w:rsidRDefault="00B04AE3">
            <w:pPr>
              <w:pStyle w:val="TableParagraph"/>
              <w:spacing w:before="34"/>
              <w:ind w:left="304" w:right="299"/>
              <w:rPr>
                <w:sz w:val="21"/>
              </w:rPr>
            </w:pPr>
            <w:r>
              <w:rPr>
                <w:sz w:val="21"/>
              </w:rPr>
              <w:t>15170474865</w:t>
            </w:r>
          </w:p>
        </w:tc>
      </w:tr>
      <w:tr w:rsidR="00B04AE3">
        <w:trPr>
          <w:trHeight w:val="341"/>
          <w:jc w:val="center"/>
        </w:trPr>
        <w:tc>
          <w:tcPr>
            <w:tcW w:w="2849" w:type="dxa"/>
            <w:vMerge w:val="restart"/>
            <w:vAlign w:val="center"/>
          </w:tcPr>
          <w:p w:rsidR="00B04AE3" w:rsidRDefault="00B04AE3">
            <w:pPr>
              <w:pStyle w:val="TableParagraph"/>
              <w:spacing w:before="4"/>
              <w:rPr>
                <w:b/>
                <w:sz w:val="16"/>
              </w:rPr>
            </w:pPr>
          </w:p>
          <w:p w:rsidR="00B04AE3" w:rsidRDefault="00B04AE3">
            <w:pPr>
              <w:pStyle w:val="TableParagraph"/>
              <w:ind w:left="958"/>
              <w:rPr>
                <w:sz w:val="21"/>
              </w:rPr>
            </w:pPr>
            <w:r>
              <w:rPr>
                <w:rFonts w:hint="eastAsia"/>
                <w:sz w:val="21"/>
              </w:rPr>
              <w:t>抢险救援组</w:t>
            </w:r>
          </w:p>
        </w:tc>
        <w:tc>
          <w:tcPr>
            <w:tcW w:w="2840" w:type="dxa"/>
            <w:vAlign w:val="center"/>
          </w:tcPr>
          <w:p w:rsidR="00B04AE3" w:rsidRDefault="00B04AE3">
            <w:pPr>
              <w:jc w:val="center"/>
              <w:rPr>
                <w:sz w:val="21"/>
              </w:rPr>
            </w:pPr>
            <w:r>
              <w:rPr>
                <w:rFonts w:hint="eastAsia"/>
                <w:sz w:val="21"/>
              </w:rPr>
              <w:t>谢子伟</w:t>
            </w:r>
          </w:p>
        </w:tc>
        <w:tc>
          <w:tcPr>
            <w:tcW w:w="3591" w:type="dxa"/>
            <w:vAlign w:val="center"/>
          </w:tcPr>
          <w:p w:rsidR="00B04AE3" w:rsidRDefault="00B04AE3">
            <w:pPr>
              <w:pStyle w:val="TableParagraph"/>
              <w:spacing w:before="34"/>
              <w:ind w:right="1261"/>
              <w:rPr>
                <w:sz w:val="21"/>
              </w:rPr>
            </w:pPr>
            <w:r>
              <w:rPr>
                <w:sz w:val="21"/>
              </w:rPr>
              <w:t>13870073675</w:t>
            </w:r>
          </w:p>
        </w:tc>
      </w:tr>
      <w:tr w:rsidR="00B04AE3">
        <w:trPr>
          <w:trHeight w:val="341"/>
          <w:jc w:val="center"/>
        </w:trPr>
        <w:tc>
          <w:tcPr>
            <w:tcW w:w="2849" w:type="dxa"/>
            <w:vMerge/>
            <w:tcBorders>
              <w:top w:val="nil"/>
            </w:tcBorders>
            <w:vAlign w:val="center"/>
          </w:tcPr>
          <w:p w:rsidR="00B04AE3" w:rsidRDefault="00B04AE3">
            <w:pPr>
              <w:jc w:val="center"/>
              <w:rPr>
                <w:sz w:val="2"/>
                <w:szCs w:val="2"/>
              </w:rPr>
            </w:pPr>
          </w:p>
        </w:tc>
        <w:tc>
          <w:tcPr>
            <w:tcW w:w="2840" w:type="dxa"/>
            <w:vAlign w:val="center"/>
          </w:tcPr>
          <w:p w:rsidR="00B04AE3" w:rsidRDefault="00B04AE3">
            <w:pPr>
              <w:jc w:val="center"/>
              <w:rPr>
                <w:sz w:val="21"/>
              </w:rPr>
            </w:pPr>
            <w:r>
              <w:rPr>
                <w:rFonts w:hint="eastAsia"/>
                <w:sz w:val="21"/>
              </w:rPr>
              <w:t>廖欣</w:t>
            </w:r>
          </w:p>
        </w:tc>
        <w:tc>
          <w:tcPr>
            <w:tcW w:w="3591" w:type="dxa"/>
            <w:vAlign w:val="center"/>
          </w:tcPr>
          <w:p w:rsidR="00B04AE3" w:rsidRDefault="00B04AE3">
            <w:pPr>
              <w:pStyle w:val="TableParagraph"/>
              <w:spacing w:before="34"/>
              <w:ind w:right="1261"/>
              <w:rPr>
                <w:sz w:val="21"/>
              </w:rPr>
            </w:pPr>
            <w:r>
              <w:rPr>
                <w:sz w:val="21"/>
              </w:rPr>
              <w:t>13979150645</w:t>
            </w:r>
          </w:p>
        </w:tc>
      </w:tr>
      <w:tr w:rsidR="00B04AE3">
        <w:trPr>
          <w:trHeight w:val="341"/>
          <w:jc w:val="center"/>
        </w:trPr>
        <w:tc>
          <w:tcPr>
            <w:tcW w:w="2849" w:type="dxa"/>
            <w:vAlign w:val="center"/>
          </w:tcPr>
          <w:p w:rsidR="00B04AE3" w:rsidRDefault="00B04AE3">
            <w:pPr>
              <w:pStyle w:val="TableParagraph"/>
              <w:spacing w:before="34"/>
              <w:ind w:left="306" w:right="296"/>
              <w:rPr>
                <w:sz w:val="21"/>
              </w:rPr>
            </w:pPr>
            <w:r>
              <w:rPr>
                <w:rFonts w:hint="eastAsia"/>
                <w:sz w:val="21"/>
              </w:rPr>
              <w:t>通讯联络组</w:t>
            </w:r>
          </w:p>
        </w:tc>
        <w:tc>
          <w:tcPr>
            <w:tcW w:w="2840" w:type="dxa"/>
            <w:vAlign w:val="center"/>
          </w:tcPr>
          <w:p w:rsidR="00B04AE3" w:rsidRDefault="00B04AE3">
            <w:pPr>
              <w:pStyle w:val="TableParagraph"/>
              <w:spacing w:before="34"/>
              <w:ind w:left="304" w:right="299"/>
              <w:rPr>
                <w:sz w:val="21"/>
              </w:rPr>
            </w:pPr>
            <w:r>
              <w:rPr>
                <w:rFonts w:hint="eastAsia"/>
                <w:sz w:val="21"/>
              </w:rPr>
              <w:t>刘超</w:t>
            </w:r>
          </w:p>
        </w:tc>
        <w:tc>
          <w:tcPr>
            <w:tcW w:w="3591" w:type="dxa"/>
            <w:vAlign w:val="center"/>
          </w:tcPr>
          <w:p w:rsidR="00B04AE3" w:rsidRDefault="00B04AE3">
            <w:pPr>
              <w:pStyle w:val="TableParagraph"/>
              <w:spacing w:before="34"/>
              <w:ind w:left="304" w:right="299"/>
              <w:rPr>
                <w:sz w:val="21"/>
              </w:rPr>
            </w:pPr>
            <w:r>
              <w:rPr>
                <w:sz w:val="21"/>
              </w:rPr>
              <w:t>13767121060</w:t>
            </w:r>
          </w:p>
        </w:tc>
      </w:tr>
      <w:tr w:rsidR="00B04AE3">
        <w:trPr>
          <w:trHeight w:val="341"/>
          <w:jc w:val="center"/>
        </w:trPr>
        <w:tc>
          <w:tcPr>
            <w:tcW w:w="2849" w:type="dxa"/>
            <w:vAlign w:val="center"/>
          </w:tcPr>
          <w:p w:rsidR="00B04AE3" w:rsidRDefault="00B04AE3">
            <w:pPr>
              <w:pStyle w:val="TableParagraph"/>
              <w:spacing w:before="35"/>
              <w:ind w:left="306" w:right="296"/>
              <w:rPr>
                <w:sz w:val="21"/>
              </w:rPr>
            </w:pPr>
            <w:r>
              <w:rPr>
                <w:rFonts w:hint="eastAsia"/>
                <w:sz w:val="21"/>
              </w:rPr>
              <w:t>警戒保卫组</w:t>
            </w:r>
          </w:p>
        </w:tc>
        <w:tc>
          <w:tcPr>
            <w:tcW w:w="2840" w:type="dxa"/>
            <w:vAlign w:val="center"/>
          </w:tcPr>
          <w:p w:rsidR="00B04AE3" w:rsidRDefault="00B04AE3">
            <w:pPr>
              <w:pStyle w:val="TableParagraph"/>
              <w:spacing w:before="34"/>
              <w:ind w:left="304" w:right="299"/>
              <w:rPr>
                <w:sz w:val="21"/>
              </w:rPr>
            </w:pPr>
            <w:r>
              <w:rPr>
                <w:rFonts w:hint="eastAsia"/>
                <w:sz w:val="21"/>
              </w:rPr>
              <w:t>张磊磊</w:t>
            </w:r>
          </w:p>
        </w:tc>
        <w:tc>
          <w:tcPr>
            <w:tcW w:w="3591" w:type="dxa"/>
            <w:vAlign w:val="center"/>
          </w:tcPr>
          <w:p w:rsidR="00B04AE3" w:rsidRDefault="00B04AE3">
            <w:pPr>
              <w:pStyle w:val="TableParagraph"/>
              <w:spacing w:before="34"/>
              <w:ind w:left="304" w:right="299"/>
              <w:rPr>
                <w:sz w:val="21"/>
              </w:rPr>
            </w:pPr>
            <w:r>
              <w:rPr>
                <w:sz w:val="21"/>
              </w:rPr>
              <w:t>13755774497</w:t>
            </w:r>
          </w:p>
        </w:tc>
      </w:tr>
      <w:tr w:rsidR="00B04AE3">
        <w:trPr>
          <w:trHeight w:val="341"/>
          <w:jc w:val="center"/>
        </w:trPr>
        <w:tc>
          <w:tcPr>
            <w:tcW w:w="2849" w:type="dxa"/>
            <w:vAlign w:val="center"/>
          </w:tcPr>
          <w:p w:rsidR="00B04AE3" w:rsidRDefault="00B04AE3">
            <w:pPr>
              <w:pStyle w:val="TableParagraph"/>
              <w:spacing w:before="33"/>
              <w:ind w:left="306" w:right="296"/>
              <w:rPr>
                <w:sz w:val="21"/>
              </w:rPr>
            </w:pPr>
            <w:r>
              <w:rPr>
                <w:rFonts w:hint="eastAsia"/>
                <w:sz w:val="21"/>
              </w:rPr>
              <w:t>医疗救护组</w:t>
            </w:r>
          </w:p>
        </w:tc>
        <w:tc>
          <w:tcPr>
            <w:tcW w:w="2840" w:type="dxa"/>
            <w:vAlign w:val="center"/>
          </w:tcPr>
          <w:p w:rsidR="00B04AE3" w:rsidRDefault="00B04AE3">
            <w:pPr>
              <w:pStyle w:val="TableParagraph"/>
              <w:spacing w:before="34"/>
              <w:ind w:left="304" w:right="299"/>
              <w:rPr>
                <w:sz w:val="21"/>
              </w:rPr>
            </w:pPr>
            <w:r>
              <w:rPr>
                <w:rFonts w:hint="eastAsia"/>
                <w:sz w:val="21"/>
              </w:rPr>
              <w:t>夏志亮</w:t>
            </w:r>
          </w:p>
        </w:tc>
        <w:tc>
          <w:tcPr>
            <w:tcW w:w="3591" w:type="dxa"/>
            <w:vAlign w:val="center"/>
          </w:tcPr>
          <w:p w:rsidR="00B04AE3" w:rsidRDefault="00B04AE3">
            <w:pPr>
              <w:pStyle w:val="TableParagraph"/>
              <w:spacing w:before="34"/>
              <w:ind w:left="304" w:right="299"/>
              <w:rPr>
                <w:sz w:val="21"/>
              </w:rPr>
            </w:pPr>
            <w:r>
              <w:rPr>
                <w:sz w:val="21"/>
              </w:rPr>
              <w:t>15879135422</w:t>
            </w:r>
          </w:p>
        </w:tc>
      </w:tr>
      <w:tr w:rsidR="00B04AE3">
        <w:trPr>
          <w:trHeight w:val="351"/>
          <w:jc w:val="center"/>
        </w:trPr>
        <w:tc>
          <w:tcPr>
            <w:tcW w:w="2849" w:type="dxa"/>
            <w:vAlign w:val="center"/>
          </w:tcPr>
          <w:p w:rsidR="00B04AE3" w:rsidRDefault="00B04AE3">
            <w:pPr>
              <w:pStyle w:val="TableParagraph"/>
              <w:spacing w:before="33"/>
              <w:ind w:left="306" w:right="296"/>
              <w:rPr>
                <w:sz w:val="21"/>
              </w:rPr>
            </w:pPr>
            <w:r>
              <w:rPr>
                <w:rFonts w:hint="eastAsia"/>
                <w:sz w:val="21"/>
              </w:rPr>
              <w:t>后勤保障组</w:t>
            </w:r>
          </w:p>
        </w:tc>
        <w:tc>
          <w:tcPr>
            <w:tcW w:w="2840" w:type="dxa"/>
            <w:vAlign w:val="center"/>
          </w:tcPr>
          <w:p w:rsidR="00B04AE3" w:rsidRDefault="00B04AE3">
            <w:pPr>
              <w:pStyle w:val="TableParagraph"/>
              <w:spacing w:before="34"/>
              <w:ind w:left="304" w:right="299"/>
              <w:rPr>
                <w:sz w:val="21"/>
              </w:rPr>
            </w:pPr>
            <w:r>
              <w:rPr>
                <w:rFonts w:hint="eastAsia"/>
                <w:sz w:val="21"/>
              </w:rPr>
              <w:t>刘超</w:t>
            </w:r>
          </w:p>
        </w:tc>
        <w:tc>
          <w:tcPr>
            <w:tcW w:w="3591" w:type="dxa"/>
            <w:vAlign w:val="center"/>
          </w:tcPr>
          <w:p w:rsidR="00B04AE3" w:rsidRDefault="00B04AE3">
            <w:pPr>
              <w:pStyle w:val="TableParagraph"/>
              <w:spacing w:before="34"/>
              <w:ind w:left="304" w:right="299"/>
              <w:rPr>
                <w:sz w:val="21"/>
              </w:rPr>
            </w:pPr>
            <w:r>
              <w:rPr>
                <w:sz w:val="21"/>
              </w:rPr>
              <w:t>13767121060</w:t>
            </w:r>
          </w:p>
        </w:tc>
      </w:tr>
    </w:tbl>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spacing w:before="1" w:after="4"/>
        <w:ind w:left="12"/>
        <w:jc w:val="center"/>
        <w:rPr>
          <w:b/>
          <w:sz w:val="24"/>
        </w:rPr>
      </w:pPr>
    </w:p>
    <w:p w:rsidR="00B04AE3" w:rsidRDefault="00B04AE3">
      <w:pPr>
        <w:pStyle w:val="Default"/>
        <w:rPr>
          <w:b/>
        </w:rPr>
      </w:pPr>
    </w:p>
    <w:p w:rsidR="00B04AE3" w:rsidRDefault="00B04AE3">
      <w:pPr>
        <w:pStyle w:val="Default"/>
        <w:rPr>
          <w:b/>
        </w:rPr>
      </w:pPr>
    </w:p>
    <w:p w:rsidR="00B04AE3" w:rsidRDefault="00B04AE3">
      <w:pPr>
        <w:pStyle w:val="Default"/>
        <w:rPr>
          <w:b/>
        </w:rPr>
      </w:pPr>
    </w:p>
    <w:p w:rsidR="00B04AE3" w:rsidRDefault="00B04AE3">
      <w:pPr>
        <w:spacing w:before="1" w:after="4"/>
        <w:ind w:left="12"/>
        <w:jc w:val="center"/>
        <w:rPr>
          <w:b/>
          <w:sz w:val="24"/>
        </w:rPr>
      </w:pPr>
      <w:r>
        <w:rPr>
          <w:rFonts w:hint="eastAsia"/>
          <w:b/>
          <w:sz w:val="24"/>
        </w:rPr>
        <w:t>企业各生产线相关负责人及联系方式</w:t>
      </w:r>
    </w:p>
    <w:p w:rsidR="00B04AE3" w:rsidRDefault="00B04AE3">
      <w:pPr>
        <w:rPr>
          <w:sz w:val="21"/>
        </w:rPr>
      </w:pPr>
    </w:p>
    <w:tbl>
      <w:tblPr>
        <w:tblpPr w:leftFromText="180" w:rightFromText="180" w:vertAnchor="page" w:horzAnchor="margin" w:tblpXSpec="center" w:tblpY="2010"/>
        <w:tblW w:w="7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918"/>
        <w:gridCol w:w="1202"/>
        <w:gridCol w:w="2293"/>
        <w:gridCol w:w="1864"/>
      </w:tblGrid>
      <w:tr w:rsidR="00B04AE3">
        <w:trPr>
          <w:trHeight w:val="334"/>
        </w:trPr>
        <w:tc>
          <w:tcPr>
            <w:tcW w:w="1918" w:type="dxa"/>
            <w:vAlign w:val="center"/>
          </w:tcPr>
          <w:p w:rsidR="00B04AE3" w:rsidRDefault="00B04AE3">
            <w:pPr>
              <w:jc w:val="center"/>
              <w:rPr>
                <w:b/>
                <w:bCs/>
                <w:sz w:val="21"/>
              </w:rPr>
            </w:pPr>
            <w:r>
              <w:rPr>
                <w:rFonts w:hint="eastAsia"/>
                <w:b/>
                <w:bCs/>
                <w:sz w:val="21"/>
              </w:rPr>
              <w:t>职</w:t>
            </w:r>
            <w:r>
              <w:rPr>
                <w:b/>
                <w:bCs/>
                <w:sz w:val="21"/>
              </w:rPr>
              <w:t xml:space="preserve">  </w:t>
            </w:r>
            <w:r>
              <w:rPr>
                <w:rFonts w:hint="eastAsia"/>
                <w:b/>
                <w:bCs/>
                <w:sz w:val="21"/>
              </w:rPr>
              <w:t>务</w:t>
            </w:r>
          </w:p>
        </w:tc>
        <w:tc>
          <w:tcPr>
            <w:tcW w:w="1202" w:type="dxa"/>
            <w:vAlign w:val="center"/>
          </w:tcPr>
          <w:p w:rsidR="00B04AE3" w:rsidRDefault="00B04AE3">
            <w:pPr>
              <w:jc w:val="center"/>
              <w:rPr>
                <w:b/>
                <w:bCs/>
                <w:sz w:val="21"/>
              </w:rPr>
            </w:pPr>
            <w:r>
              <w:rPr>
                <w:rFonts w:hint="eastAsia"/>
                <w:b/>
                <w:bCs/>
                <w:sz w:val="21"/>
              </w:rPr>
              <w:t>姓名</w:t>
            </w:r>
          </w:p>
        </w:tc>
        <w:tc>
          <w:tcPr>
            <w:tcW w:w="2293" w:type="dxa"/>
            <w:vAlign w:val="center"/>
          </w:tcPr>
          <w:p w:rsidR="00B04AE3" w:rsidRDefault="00B04AE3">
            <w:pPr>
              <w:jc w:val="center"/>
              <w:rPr>
                <w:b/>
                <w:bCs/>
                <w:sz w:val="21"/>
              </w:rPr>
            </w:pPr>
            <w:r>
              <w:rPr>
                <w:rFonts w:hint="eastAsia"/>
                <w:b/>
                <w:bCs/>
                <w:sz w:val="21"/>
              </w:rPr>
              <w:t>部门</w:t>
            </w:r>
            <w:r>
              <w:rPr>
                <w:b/>
                <w:bCs/>
                <w:sz w:val="21"/>
              </w:rPr>
              <w:t>/</w:t>
            </w:r>
            <w:r>
              <w:rPr>
                <w:rFonts w:hint="eastAsia"/>
                <w:b/>
                <w:bCs/>
                <w:sz w:val="21"/>
              </w:rPr>
              <w:t>职务</w:t>
            </w:r>
          </w:p>
        </w:tc>
        <w:tc>
          <w:tcPr>
            <w:tcW w:w="1864" w:type="dxa"/>
            <w:vAlign w:val="center"/>
          </w:tcPr>
          <w:p w:rsidR="00B04AE3" w:rsidRDefault="00B04AE3">
            <w:pPr>
              <w:jc w:val="center"/>
              <w:rPr>
                <w:b/>
                <w:bCs/>
                <w:sz w:val="21"/>
              </w:rPr>
            </w:pPr>
            <w:r>
              <w:rPr>
                <w:rFonts w:hint="eastAsia"/>
                <w:b/>
                <w:bCs/>
                <w:sz w:val="21"/>
              </w:rPr>
              <w:t>联系电话号码</w:t>
            </w:r>
          </w:p>
        </w:tc>
      </w:tr>
      <w:tr w:rsidR="00B04AE3">
        <w:trPr>
          <w:trHeight w:val="412"/>
        </w:trPr>
        <w:tc>
          <w:tcPr>
            <w:tcW w:w="1918" w:type="dxa"/>
            <w:vAlign w:val="center"/>
          </w:tcPr>
          <w:p w:rsidR="00B04AE3" w:rsidRDefault="00B04AE3">
            <w:pPr>
              <w:jc w:val="center"/>
              <w:rPr>
                <w:sz w:val="21"/>
              </w:rPr>
            </w:pPr>
            <w:r>
              <w:rPr>
                <w:rFonts w:hint="eastAsia"/>
                <w:sz w:val="21"/>
              </w:rPr>
              <w:t>总指挥</w:t>
            </w:r>
          </w:p>
        </w:tc>
        <w:tc>
          <w:tcPr>
            <w:tcW w:w="1202" w:type="dxa"/>
            <w:vAlign w:val="center"/>
          </w:tcPr>
          <w:p w:rsidR="00B04AE3" w:rsidRDefault="00B04AE3">
            <w:pPr>
              <w:jc w:val="center"/>
              <w:rPr>
                <w:sz w:val="21"/>
              </w:rPr>
            </w:pPr>
            <w:r>
              <w:rPr>
                <w:rFonts w:hint="eastAsia"/>
                <w:sz w:val="21"/>
              </w:rPr>
              <w:t>金云峰</w:t>
            </w:r>
          </w:p>
        </w:tc>
        <w:tc>
          <w:tcPr>
            <w:tcW w:w="2293" w:type="dxa"/>
            <w:vAlign w:val="center"/>
          </w:tcPr>
          <w:p w:rsidR="00B04AE3" w:rsidRDefault="00B04AE3">
            <w:pPr>
              <w:jc w:val="center"/>
              <w:rPr>
                <w:sz w:val="21"/>
              </w:rPr>
            </w:pPr>
            <w:r>
              <w:rPr>
                <w:rFonts w:hint="eastAsia"/>
                <w:sz w:val="21"/>
              </w:rPr>
              <w:t>总经理</w:t>
            </w:r>
          </w:p>
        </w:tc>
        <w:tc>
          <w:tcPr>
            <w:tcW w:w="1864" w:type="dxa"/>
            <w:vAlign w:val="center"/>
          </w:tcPr>
          <w:p w:rsidR="00B04AE3" w:rsidRDefault="00B04AE3">
            <w:pPr>
              <w:jc w:val="center"/>
              <w:rPr>
                <w:sz w:val="21"/>
              </w:rPr>
            </w:pPr>
            <w:r>
              <w:rPr>
                <w:sz w:val="21"/>
              </w:rPr>
              <w:t>15797906676</w:t>
            </w:r>
          </w:p>
        </w:tc>
      </w:tr>
      <w:tr w:rsidR="00B04AE3">
        <w:trPr>
          <w:trHeight w:val="424"/>
        </w:trPr>
        <w:tc>
          <w:tcPr>
            <w:tcW w:w="1918" w:type="dxa"/>
            <w:vAlign w:val="center"/>
          </w:tcPr>
          <w:p w:rsidR="00B04AE3" w:rsidRDefault="00B04AE3">
            <w:pPr>
              <w:jc w:val="center"/>
              <w:rPr>
                <w:sz w:val="21"/>
              </w:rPr>
            </w:pPr>
            <w:r>
              <w:rPr>
                <w:rFonts w:hint="eastAsia"/>
                <w:sz w:val="21"/>
              </w:rPr>
              <w:t>副总指挥</w:t>
            </w:r>
          </w:p>
        </w:tc>
        <w:tc>
          <w:tcPr>
            <w:tcW w:w="1202" w:type="dxa"/>
            <w:vAlign w:val="center"/>
          </w:tcPr>
          <w:p w:rsidR="00B04AE3" w:rsidRDefault="00B04AE3">
            <w:pPr>
              <w:jc w:val="center"/>
              <w:rPr>
                <w:sz w:val="21"/>
              </w:rPr>
            </w:pPr>
            <w:r>
              <w:rPr>
                <w:rFonts w:hint="eastAsia"/>
                <w:sz w:val="21"/>
              </w:rPr>
              <w:t>鲍伟</w:t>
            </w:r>
          </w:p>
        </w:tc>
        <w:tc>
          <w:tcPr>
            <w:tcW w:w="2293" w:type="dxa"/>
            <w:vAlign w:val="center"/>
          </w:tcPr>
          <w:p w:rsidR="00B04AE3" w:rsidRDefault="00B04AE3">
            <w:pPr>
              <w:jc w:val="center"/>
              <w:rPr>
                <w:sz w:val="21"/>
              </w:rPr>
            </w:pPr>
            <w:r>
              <w:rPr>
                <w:rFonts w:hint="eastAsia"/>
                <w:sz w:val="21"/>
              </w:rPr>
              <w:t>副总经理</w:t>
            </w:r>
          </w:p>
        </w:tc>
        <w:tc>
          <w:tcPr>
            <w:tcW w:w="1864" w:type="dxa"/>
            <w:vAlign w:val="center"/>
          </w:tcPr>
          <w:p w:rsidR="00B04AE3" w:rsidRDefault="00B04AE3">
            <w:pPr>
              <w:jc w:val="center"/>
              <w:rPr>
                <w:sz w:val="21"/>
              </w:rPr>
            </w:pPr>
            <w:r>
              <w:rPr>
                <w:sz w:val="21"/>
              </w:rPr>
              <w:t>13707093687</w:t>
            </w:r>
          </w:p>
        </w:tc>
      </w:tr>
      <w:tr w:rsidR="00B04AE3">
        <w:trPr>
          <w:trHeight w:val="424"/>
        </w:trPr>
        <w:tc>
          <w:tcPr>
            <w:tcW w:w="1918" w:type="dxa"/>
            <w:vAlign w:val="center"/>
          </w:tcPr>
          <w:p w:rsidR="00B04AE3" w:rsidRDefault="00B04AE3">
            <w:pPr>
              <w:jc w:val="center"/>
              <w:rPr>
                <w:sz w:val="21"/>
              </w:rPr>
            </w:pPr>
            <w:r>
              <w:rPr>
                <w:rFonts w:hint="eastAsia"/>
                <w:sz w:val="21"/>
              </w:rPr>
              <w:t>副总指挥</w:t>
            </w:r>
          </w:p>
        </w:tc>
        <w:tc>
          <w:tcPr>
            <w:tcW w:w="1202" w:type="dxa"/>
            <w:vAlign w:val="center"/>
          </w:tcPr>
          <w:p w:rsidR="00B04AE3" w:rsidRDefault="00B04AE3">
            <w:pPr>
              <w:jc w:val="center"/>
              <w:rPr>
                <w:sz w:val="21"/>
              </w:rPr>
            </w:pPr>
            <w:r>
              <w:rPr>
                <w:rFonts w:hint="eastAsia"/>
                <w:sz w:val="21"/>
              </w:rPr>
              <w:t>谢子伟</w:t>
            </w:r>
          </w:p>
        </w:tc>
        <w:tc>
          <w:tcPr>
            <w:tcW w:w="2293" w:type="dxa"/>
            <w:vAlign w:val="center"/>
          </w:tcPr>
          <w:p w:rsidR="00B04AE3" w:rsidRDefault="00B04AE3">
            <w:pPr>
              <w:jc w:val="center"/>
              <w:rPr>
                <w:sz w:val="21"/>
              </w:rPr>
            </w:pPr>
            <w:r>
              <w:rPr>
                <w:rFonts w:hint="eastAsia"/>
                <w:sz w:val="21"/>
              </w:rPr>
              <w:t>人事行政部经理</w:t>
            </w:r>
          </w:p>
        </w:tc>
        <w:tc>
          <w:tcPr>
            <w:tcW w:w="1864" w:type="dxa"/>
            <w:vAlign w:val="center"/>
          </w:tcPr>
          <w:p w:rsidR="00B04AE3" w:rsidRDefault="00B04AE3">
            <w:pPr>
              <w:jc w:val="center"/>
              <w:rPr>
                <w:sz w:val="21"/>
              </w:rPr>
            </w:pPr>
            <w:r>
              <w:rPr>
                <w:sz w:val="21"/>
              </w:rPr>
              <w:t>13755640881</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廖欣</w:t>
            </w:r>
          </w:p>
        </w:tc>
        <w:tc>
          <w:tcPr>
            <w:tcW w:w="2293" w:type="dxa"/>
            <w:vAlign w:val="center"/>
          </w:tcPr>
          <w:p w:rsidR="00B04AE3" w:rsidRDefault="00B04AE3">
            <w:pPr>
              <w:jc w:val="center"/>
              <w:rPr>
                <w:sz w:val="21"/>
              </w:rPr>
            </w:pPr>
            <w:r>
              <w:rPr>
                <w:rFonts w:hint="eastAsia"/>
                <w:sz w:val="21"/>
              </w:rPr>
              <w:t>生产技术部经理</w:t>
            </w:r>
          </w:p>
        </w:tc>
        <w:tc>
          <w:tcPr>
            <w:tcW w:w="1864" w:type="dxa"/>
            <w:vAlign w:val="center"/>
          </w:tcPr>
          <w:p w:rsidR="00B04AE3" w:rsidRDefault="00B04AE3">
            <w:pPr>
              <w:jc w:val="center"/>
              <w:rPr>
                <w:sz w:val="21"/>
              </w:rPr>
            </w:pPr>
            <w:r>
              <w:rPr>
                <w:sz w:val="21"/>
              </w:rPr>
              <w:t>13879166894</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隋焱</w:t>
            </w:r>
          </w:p>
        </w:tc>
        <w:tc>
          <w:tcPr>
            <w:tcW w:w="2293" w:type="dxa"/>
            <w:vAlign w:val="center"/>
          </w:tcPr>
          <w:p w:rsidR="00B04AE3" w:rsidRDefault="00B04AE3">
            <w:pPr>
              <w:jc w:val="center"/>
              <w:rPr>
                <w:sz w:val="21"/>
              </w:rPr>
            </w:pPr>
            <w:r>
              <w:rPr>
                <w:rFonts w:hint="eastAsia"/>
                <w:sz w:val="21"/>
              </w:rPr>
              <w:t>财务部经理</w:t>
            </w:r>
          </w:p>
        </w:tc>
        <w:tc>
          <w:tcPr>
            <w:tcW w:w="1864" w:type="dxa"/>
            <w:vAlign w:val="center"/>
          </w:tcPr>
          <w:p w:rsidR="00B04AE3" w:rsidRDefault="00B04AE3">
            <w:pPr>
              <w:jc w:val="center"/>
              <w:rPr>
                <w:sz w:val="21"/>
              </w:rPr>
            </w:pPr>
            <w:r>
              <w:rPr>
                <w:sz w:val="21"/>
              </w:rPr>
              <w:t>15879153615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闵瑞</w:t>
            </w:r>
          </w:p>
        </w:tc>
        <w:tc>
          <w:tcPr>
            <w:tcW w:w="2293" w:type="dxa"/>
            <w:vAlign w:val="center"/>
          </w:tcPr>
          <w:p w:rsidR="00B04AE3" w:rsidRDefault="00B04AE3">
            <w:pPr>
              <w:jc w:val="center"/>
              <w:rPr>
                <w:sz w:val="21"/>
              </w:rPr>
            </w:pPr>
            <w:r>
              <w:rPr>
                <w:rFonts w:hint="eastAsia"/>
                <w:sz w:val="21"/>
              </w:rPr>
              <w:t>品质保证部经理</w:t>
            </w:r>
          </w:p>
        </w:tc>
        <w:tc>
          <w:tcPr>
            <w:tcW w:w="1864" w:type="dxa"/>
            <w:vAlign w:val="center"/>
          </w:tcPr>
          <w:p w:rsidR="00B04AE3" w:rsidRDefault="00B04AE3">
            <w:pPr>
              <w:jc w:val="center"/>
              <w:rPr>
                <w:sz w:val="21"/>
              </w:rPr>
            </w:pPr>
            <w:r>
              <w:rPr>
                <w:sz w:val="21"/>
              </w:rPr>
              <w:t>13870839645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周易</w:t>
            </w:r>
          </w:p>
        </w:tc>
        <w:tc>
          <w:tcPr>
            <w:tcW w:w="2293" w:type="dxa"/>
            <w:vAlign w:val="center"/>
          </w:tcPr>
          <w:p w:rsidR="00B04AE3" w:rsidRDefault="00B04AE3">
            <w:pPr>
              <w:jc w:val="center"/>
              <w:rPr>
                <w:sz w:val="21"/>
              </w:rPr>
            </w:pPr>
            <w:r>
              <w:rPr>
                <w:rFonts w:hint="eastAsia"/>
                <w:sz w:val="21"/>
              </w:rPr>
              <w:t>技术研发中心经理</w:t>
            </w:r>
          </w:p>
        </w:tc>
        <w:tc>
          <w:tcPr>
            <w:tcW w:w="1864" w:type="dxa"/>
            <w:vAlign w:val="center"/>
          </w:tcPr>
          <w:p w:rsidR="00B04AE3" w:rsidRDefault="00B04AE3">
            <w:pPr>
              <w:jc w:val="center"/>
              <w:rPr>
                <w:sz w:val="21"/>
              </w:rPr>
            </w:pPr>
            <w:r>
              <w:rPr>
                <w:sz w:val="21"/>
              </w:rPr>
              <w:t>13901813913</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王立剑</w:t>
            </w:r>
          </w:p>
        </w:tc>
        <w:tc>
          <w:tcPr>
            <w:tcW w:w="2293" w:type="dxa"/>
            <w:vAlign w:val="center"/>
          </w:tcPr>
          <w:p w:rsidR="00B04AE3" w:rsidRDefault="00B04AE3">
            <w:pPr>
              <w:jc w:val="center"/>
              <w:rPr>
                <w:sz w:val="21"/>
              </w:rPr>
            </w:pPr>
            <w:r>
              <w:rPr>
                <w:rFonts w:hint="eastAsia"/>
                <w:sz w:val="21"/>
              </w:rPr>
              <w:t>计划部经理</w:t>
            </w:r>
          </w:p>
        </w:tc>
        <w:tc>
          <w:tcPr>
            <w:tcW w:w="1864" w:type="dxa"/>
            <w:vAlign w:val="center"/>
          </w:tcPr>
          <w:p w:rsidR="00B04AE3" w:rsidRDefault="00B04AE3">
            <w:pPr>
              <w:jc w:val="center"/>
              <w:rPr>
                <w:sz w:val="21"/>
              </w:rPr>
            </w:pPr>
            <w:r>
              <w:rPr>
                <w:sz w:val="21"/>
              </w:rPr>
              <w:t>13767018223</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刘伟军</w:t>
            </w:r>
          </w:p>
        </w:tc>
        <w:tc>
          <w:tcPr>
            <w:tcW w:w="2293" w:type="dxa"/>
            <w:vAlign w:val="center"/>
          </w:tcPr>
          <w:p w:rsidR="00B04AE3" w:rsidRDefault="00B04AE3">
            <w:pPr>
              <w:jc w:val="center"/>
              <w:rPr>
                <w:sz w:val="21"/>
              </w:rPr>
            </w:pPr>
            <w:r>
              <w:rPr>
                <w:rFonts w:hint="eastAsia"/>
                <w:sz w:val="21"/>
              </w:rPr>
              <w:t>压缩机装配部经理</w:t>
            </w:r>
          </w:p>
        </w:tc>
        <w:tc>
          <w:tcPr>
            <w:tcW w:w="1864" w:type="dxa"/>
            <w:vAlign w:val="center"/>
          </w:tcPr>
          <w:p w:rsidR="00B04AE3" w:rsidRDefault="00B04AE3">
            <w:pPr>
              <w:jc w:val="center"/>
              <w:rPr>
                <w:sz w:val="21"/>
              </w:rPr>
            </w:pPr>
            <w:r>
              <w:rPr>
                <w:sz w:val="21"/>
              </w:rPr>
              <w:t>15070956958</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张勇</w:t>
            </w:r>
          </w:p>
        </w:tc>
        <w:tc>
          <w:tcPr>
            <w:tcW w:w="2293" w:type="dxa"/>
            <w:vAlign w:val="center"/>
          </w:tcPr>
          <w:p w:rsidR="00B04AE3" w:rsidRDefault="00B04AE3">
            <w:pPr>
              <w:jc w:val="center"/>
              <w:rPr>
                <w:sz w:val="21"/>
              </w:rPr>
            </w:pPr>
            <w:r>
              <w:rPr>
                <w:rFonts w:hint="eastAsia"/>
                <w:sz w:val="21"/>
              </w:rPr>
              <w:t>部品生产部经理</w:t>
            </w:r>
          </w:p>
        </w:tc>
        <w:tc>
          <w:tcPr>
            <w:tcW w:w="1864" w:type="dxa"/>
            <w:vAlign w:val="center"/>
          </w:tcPr>
          <w:p w:rsidR="00B04AE3" w:rsidRDefault="00B04AE3">
            <w:pPr>
              <w:jc w:val="center"/>
              <w:rPr>
                <w:sz w:val="21"/>
              </w:rPr>
            </w:pPr>
            <w:r>
              <w:rPr>
                <w:sz w:val="21"/>
              </w:rPr>
              <w:t>13870962310</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王新</w:t>
            </w:r>
          </w:p>
        </w:tc>
        <w:tc>
          <w:tcPr>
            <w:tcW w:w="2293" w:type="dxa"/>
            <w:vAlign w:val="center"/>
          </w:tcPr>
          <w:p w:rsidR="00B04AE3" w:rsidRDefault="00B04AE3">
            <w:pPr>
              <w:jc w:val="center"/>
              <w:rPr>
                <w:sz w:val="21"/>
              </w:rPr>
            </w:pPr>
            <w:r>
              <w:rPr>
                <w:rFonts w:hint="eastAsia"/>
                <w:sz w:val="21"/>
              </w:rPr>
              <w:t>总经办经理</w:t>
            </w:r>
          </w:p>
        </w:tc>
        <w:tc>
          <w:tcPr>
            <w:tcW w:w="1864" w:type="dxa"/>
            <w:vAlign w:val="center"/>
          </w:tcPr>
          <w:p w:rsidR="00B04AE3" w:rsidRDefault="00B04AE3">
            <w:pPr>
              <w:jc w:val="center"/>
              <w:rPr>
                <w:sz w:val="21"/>
              </w:rPr>
            </w:pPr>
            <w:r>
              <w:rPr>
                <w:sz w:val="21"/>
              </w:rPr>
              <w:t>15170474865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bookmarkStart w:id="225" w:name="_GoBack"/>
            <w:r>
              <w:rPr>
                <w:rFonts w:hint="eastAsia"/>
                <w:sz w:val="21"/>
              </w:rPr>
              <w:t>谢子伟</w:t>
            </w:r>
            <w:bookmarkEnd w:id="225"/>
          </w:p>
        </w:tc>
        <w:tc>
          <w:tcPr>
            <w:tcW w:w="2293" w:type="dxa"/>
            <w:vAlign w:val="center"/>
          </w:tcPr>
          <w:p w:rsidR="00B04AE3" w:rsidRDefault="00B04AE3">
            <w:pPr>
              <w:jc w:val="center"/>
              <w:rPr>
                <w:sz w:val="21"/>
              </w:rPr>
            </w:pPr>
            <w:r>
              <w:rPr>
                <w:rFonts w:hint="eastAsia"/>
                <w:sz w:val="21"/>
              </w:rPr>
              <w:t>行政安保科经理</w:t>
            </w:r>
          </w:p>
        </w:tc>
        <w:tc>
          <w:tcPr>
            <w:tcW w:w="1864" w:type="dxa"/>
            <w:vAlign w:val="center"/>
          </w:tcPr>
          <w:p w:rsidR="00B04AE3" w:rsidRDefault="00B04AE3">
            <w:pPr>
              <w:jc w:val="center"/>
              <w:rPr>
                <w:sz w:val="21"/>
              </w:rPr>
            </w:pPr>
            <w:r>
              <w:rPr>
                <w:sz w:val="21"/>
              </w:rPr>
              <w:t>13870073675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陈小灵</w:t>
            </w:r>
          </w:p>
        </w:tc>
        <w:tc>
          <w:tcPr>
            <w:tcW w:w="2293" w:type="dxa"/>
            <w:vAlign w:val="center"/>
          </w:tcPr>
          <w:p w:rsidR="00B04AE3" w:rsidRDefault="00B04AE3">
            <w:pPr>
              <w:jc w:val="center"/>
              <w:rPr>
                <w:sz w:val="21"/>
              </w:rPr>
            </w:pPr>
            <w:r>
              <w:rPr>
                <w:rFonts w:hint="eastAsia"/>
                <w:sz w:val="21"/>
              </w:rPr>
              <w:t>能源环境科经理</w:t>
            </w:r>
          </w:p>
        </w:tc>
        <w:tc>
          <w:tcPr>
            <w:tcW w:w="1864" w:type="dxa"/>
            <w:vAlign w:val="center"/>
          </w:tcPr>
          <w:p w:rsidR="00B04AE3" w:rsidRDefault="00B04AE3">
            <w:pPr>
              <w:jc w:val="center"/>
              <w:rPr>
                <w:sz w:val="21"/>
              </w:rPr>
            </w:pPr>
            <w:r>
              <w:rPr>
                <w:sz w:val="21"/>
              </w:rPr>
              <w:t>15970439835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刘超</w:t>
            </w:r>
          </w:p>
        </w:tc>
        <w:tc>
          <w:tcPr>
            <w:tcW w:w="2293" w:type="dxa"/>
            <w:vAlign w:val="center"/>
          </w:tcPr>
          <w:p w:rsidR="00B04AE3" w:rsidRDefault="00B04AE3">
            <w:pPr>
              <w:jc w:val="center"/>
              <w:rPr>
                <w:sz w:val="21"/>
              </w:rPr>
            </w:pPr>
            <w:r>
              <w:rPr>
                <w:rFonts w:hint="eastAsia"/>
                <w:sz w:val="21"/>
              </w:rPr>
              <w:t>行政安保科助理</w:t>
            </w:r>
          </w:p>
        </w:tc>
        <w:tc>
          <w:tcPr>
            <w:tcW w:w="1864" w:type="dxa"/>
            <w:vAlign w:val="center"/>
          </w:tcPr>
          <w:p w:rsidR="00B04AE3" w:rsidRDefault="00B04AE3">
            <w:pPr>
              <w:jc w:val="center"/>
              <w:rPr>
                <w:sz w:val="21"/>
              </w:rPr>
            </w:pPr>
            <w:r>
              <w:rPr>
                <w:sz w:val="21"/>
              </w:rPr>
              <w:t>13767121060</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程雅萍</w:t>
            </w:r>
          </w:p>
        </w:tc>
        <w:tc>
          <w:tcPr>
            <w:tcW w:w="2293" w:type="dxa"/>
            <w:vAlign w:val="center"/>
          </w:tcPr>
          <w:p w:rsidR="00B04AE3" w:rsidRDefault="00B04AE3">
            <w:pPr>
              <w:jc w:val="center"/>
              <w:rPr>
                <w:sz w:val="21"/>
              </w:rPr>
            </w:pPr>
            <w:r>
              <w:rPr>
                <w:rFonts w:hint="eastAsia"/>
                <w:sz w:val="21"/>
              </w:rPr>
              <w:t>资材科经理</w:t>
            </w:r>
          </w:p>
        </w:tc>
        <w:tc>
          <w:tcPr>
            <w:tcW w:w="1864" w:type="dxa"/>
            <w:vAlign w:val="center"/>
          </w:tcPr>
          <w:p w:rsidR="00B04AE3" w:rsidRDefault="00B04AE3">
            <w:pPr>
              <w:jc w:val="center"/>
              <w:rPr>
                <w:sz w:val="21"/>
              </w:rPr>
            </w:pPr>
            <w:r>
              <w:rPr>
                <w:sz w:val="21"/>
              </w:rPr>
              <w:t>13507005981</w:t>
            </w:r>
          </w:p>
        </w:tc>
      </w:tr>
    </w:tbl>
    <w:p w:rsidR="00B04AE3" w:rsidRDefault="00B04AE3">
      <w:pPr>
        <w:tabs>
          <w:tab w:val="left" w:pos="1219"/>
        </w:tabs>
        <w:spacing w:before="64" w:after="2"/>
        <w:ind w:left="14"/>
        <w:jc w:val="center"/>
        <w:rPr>
          <w:b/>
          <w:sz w:val="24"/>
        </w:rPr>
      </w:pPr>
      <w:bookmarkStart w:id="226" w:name="附件十一__公司外部救援、检测单位联系电话"/>
      <w:bookmarkStart w:id="227" w:name="附件十三__公司突发环境事件信息通告表"/>
      <w:bookmarkEnd w:id="226"/>
      <w:bookmarkEnd w:id="227"/>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p>
    <w:p w:rsidR="00B04AE3" w:rsidRDefault="00B04AE3">
      <w:pPr>
        <w:tabs>
          <w:tab w:val="left" w:pos="1219"/>
        </w:tabs>
        <w:spacing w:before="64" w:after="2"/>
        <w:ind w:left="14"/>
        <w:jc w:val="center"/>
        <w:rPr>
          <w:b/>
          <w:sz w:val="24"/>
        </w:rPr>
      </w:pPr>
      <w:r>
        <w:rPr>
          <w:rFonts w:hint="eastAsia"/>
          <w:b/>
          <w:sz w:val="24"/>
        </w:rPr>
        <w:t>附件十一</w:t>
      </w:r>
      <w:r>
        <w:rPr>
          <w:b/>
          <w:sz w:val="24"/>
        </w:rPr>
        <w:tab/>
      </w:r>
      <w:r>
        <w:rPr>
          <w:rFonts w:hint="eastAsia"/>
          <w:b/>
          <w:sz w:val="24"/>
        </w:rPr>
        <w:t>公司外部救援、检测单位联系电话</w:t>
      </w:r>
    </w:p>
    <w:tbl>
      <w:tblPr>
        <w:tblW w:w="8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2842"/>
        <w:gridCol w:w="2843"/>
        <w:gridCol w:w="2843"/>
      </w:tblGrid>
      <w:tr w:rsidR="00B04AE3">
        <w:trPr>
          <w:trHeight w:val="397"/>
          <w:jc w:val="center"/>
        </w:trPr>
        <w:tc>
          <w:tcPr>
            <w:tcW w:w="2842" w:type="dxa"/>
            <w:shd w:val="clear" w:color="auto" w:fill="DFDFDF"/>
            <w:vAlign w:val="center"/>
          </w:tcPr>
          <w:p w:rsidR="00B04AE3" w:rsidRDefault="00B04AE3">
            <w:pPr>
              <w:pStyle w:val="TableParagraph"/>
              <w:spacing w:before="63"/>
              <w:ind w:left="664" w:right="656"/>
              <w:rPr>
                <w:b/>
                <w:sz w:val="21"/>
              </w:rPr>
            </w:pPr>
            <w:r>
              <w:rPr>
                <w:rFonts w:hint="eastAsia"/>
                <w:b/>
                <w:sz w:val="21"/>
              </w:rPr>
              <w:t>单位</w:t>
            </w:r>
          </w:p>
        </w:tc>
        <w:tc>
          <w:tcPr>
            <w:tcW w:w="2843" w:type="dxa"/>
            <w:shd w:val="clear" w:color="auto" w:fill="DFDFDF"/>
            <w:vAlign w:val="center"/>
          </w:tcPr>
          <w:p w:rsidR="00B04AE3" w:rsidRDefault="00B04AE3">
            <w:pPr>
              <w:pStyle w:val="TableParagraph"/>
              <w:spacing w:before="63"/>
              <w:ind w:left="763" w:right="752"/>
              <w:rPr>
                <w:b/>
                <w:sz w:val="21"/>
              </w:rPr>
            </w:pPr>
            <w:r>
              <w:rPr>
                <w:rFonts w:hint="eastAsia"/>
                <w:b/>
                <w:sz w:val="21"/>
              </w:rPr>
              <w:t>科室名称</w:t>
            </w:r>
          </w:p>
        </w:tc>
        <w:tc>
          <w:tcPr>
            <w:tcW w:w="2843" w:type="dxa"/>
            <w:shd w:val="clear" w:color="auto" w:fill="DFDFDF"/>
            <w:vAlign w:val="center"/>
          </w:tcPr>
          <w:p w:rsidR="00B04AE3" w:rsidRDefault="00B04AE3">
            <w:pPr>
              <w:pStyle w:val="TableParagraph"/>
              <w:spacing w:before="63"/>
              <w:ind w:left="763" w:right="750"/>
              <w:rPr>
                <w:b/>
                <w:sz w:val="21"/>
              </w:rPr>
            </w:pPr>
            <w:r>
              <w:rPr>
                <w:rFonts w:hint="eastAsia"/>
                <w:b/>
                <w:sz w:val="21"/>
              </w:rPr>
              <w:t>办公电话</w:t>
            </w:r>
          </w:p>
        </w:tc>
      </w:tr>
      <w:tr w:rsidR="00B04AE3">
        <w:trPr>
          <w:trHeight w:val="396"/>
          <w:jc w:val="center"/>
        </w:trPr>
        <w:tc>
          <w:tcPr>
            <w:tcW w:w="2842" w:type="dxa"/>
            <w:vAlign w:val="center"/>
          </w:tcPr>
          <w:p w:rsidR="00B04AE3" w:rsidRDefault="00B04AE3">
            <w:pPr>
              <w:pStyle w:val="TableParagraph"/>
              <w:ind w:left="789"/>
              <w:rPr>
                <w:sz w:val="21"/>
              </w:rPr>
            </w:pPr>
            <w:r>
              <w:rPr>
                <w:rFonts w:hint="eastAsia"/>
                <w:sz w:val="21"/>
              </w:rPr>
              <w:t>南昌市环保局</w:t>
            </w:r>
          </w:p>
        </w:tc>
        <w:tc>
          <w:tcPr>
            <w:tcW w:w="2843" w:type="dxa"/>
            <w:vAlign w:val="center"/>
          </w:tcPr>
          <w:p w:rsidR="00B04AE3" w:rsidRDefault="00B04AE3">
            <w:pPr>
              <w:pStyle w:val="TableParagraph"/>
              <w:spacing w:before="64"/>
              <w:ind w:left="760" w:right="752"/>
              <w:rPr>
                <w:sz w:val="21"/>
              </w:rPr>
            </w:pPr>
            <w:r>
              <w:rPr>
                <w:rFonts w:hint="eastAsia"/>
                <w:sz w:val="21"/>
              </w:rPr>
              <w:t>办公室</w:t>
            </w:r>
          </w:p>
        </w:tc>
        <w:tc>
          <w:tcPr>
            <w:tcW w:w="2843" w:type="dxa"/>
            <w:vAlign w:val="center"/>
          </w:tcPr>
          <w:p w:rsidR="00B04AE3" w:rsidRDefault="00B04AE3">
            <w:pPr>
              <w:pStyle w:val="TableParagraph"/>
              <w:spacing w:before="78"/>
              <w:ind w:right="752"/>
              <w:rPr>
                <w:rFonts w:ascii="Times New Roman"/>
                <w:sz w:val="21"/>
                <w:lang w:val="en-US"/>
              </w:rPr>
            </w:pPr>
            <w:r>
              <w:rPr>
                <w:rFonts w:ascii="Times New Roman"/>
                <w:sz w:val="21"/>
              </w:rPr>
              <w:t>079</w:t>
            </w:r>
            <w:r>
              <w:rPr>
                <w:rFonts w:ascii="Times New Roman"/>
                <w:sz w:val="21"/>
                <w:lang w:val="en-US"/>
              </w:rPr>
              <w:t>1-83986156</w:t>
            </w:r>
          </w:p>
        </w:tc>
      </w:tr>
      <w:tr w:rsidR="00B04AE3">
        <w:trPr>
          <w:trHeight w:val="397"/>
          <w:jc w:val="center"/>
        </w:trPr>
        <w:tc>
          <w:tcPr>
            <w:tcW w:w="2842" w:type="dxa"/>
            <w:vAlign w:val="center"/>
          </w:tcPr>
          <w:p w:rsidR="00B04AE3" w:rsidRDefault="00B04AE3">
            <w:pPr>
              <w:pStyle w:val="TableParagraph"/>
              <w:spacing w:before="63"/>
              <w:ind w:right="656"/>
              <w:rPr>
                <w:sz w:val="21"/>
              </w:rPr>
            </w:pPr>
            <w:r>
              <w:rPr>
                <w:rFonts w:hint="eastAsia"/>
                <w:sz w:val="21"/>
              </w:rPr>
              <w:t>经济技术开发区环保局</w:t>
            </w:r>
          </w:p>
        </w:tc>
        <w:tc>
          <w:tcPr>
            <w:tcW w:w="2843" w:type="dxa"/>
            <w:vAlign w:val="center"/>
          </w:tcPr>
          <w:p w:rsidR="00B04AE3" w:rsidRDefault="00B04AE3">
            <w:pPr>
              <w:pStyle w:val="TableParagraph"/>
              <w:spacing w:before="63"/>
              <w:ind w:left="760" w:right="752"/>
              <w:rPr>
                <w:sz w:val="21"/>
              </w:rPr>
            </w:pPr>
            <w:r>
              <w:rPr>
                <w:rFonts w:hint="eastAsia"/>
                <w:sz w:val="21"/>
              </w:rPr>
              <w:t>办公室</w:t>
            </w:r>
          </w:p>
        </w:tc>
        <w:tc>
          <w:tcPr>
            <w:tcW w:w="2843" w:type="dxa"/>
            <w:vAlign w:val="center"/>
          </w:tcPr>
          <w:p w:rsidR="00B04AE3" w:rsidRDefault="00B04AE3">
            <w:pPr>
              <w:pStyle w:val="TableParagraph"/>
              <w:spacing w:before="77"/>
              <w:ind w:right="752"/>
              <w:rPr>
                <w:rFonts w:ascii="Times New Roman"/>
                <w:sz w:val="21"/>
                <w:lang w:val="en-US"/>
              </w:rPr>
            </w:pPr>
            <w:r>
              <w:rPr>
                <w:rFonts w:ascii="Times New Roman"/>
                <w:sz w:val="21"/>
              </w:rPr>
              <w:t>07</w:t>
            </w:r>
            <w:r>
              <w:rPr>
                <w:rFonts w:ascii="Times New Roman"/>
                <w:sz w:val="21"/>
                <w:lang w:val="en-US"/>
              </w:rPr>
              <w:t>91</w:t>
            </w:r>
            <w:r>
              <w:rPr>
                <w:rFonts w:ascii="Times New Roman"/>
                <w:sz w:val="21"/>
              </w:rPr>
              <w:t>-</w:t>
            </w:r>
            <w:r>
              <w:rPr>
                <w:rFonts w:ascii="Times New Roman"/>
                <w:sz w:val="21"/>
                <w:lang w:val="en-US"/>
              </w:rPr>
              <w:t>88391921</w:t>
            </w:r>
          </w:p>
        </w:tc>
      </w:tr>
      <w:tr w:rsidR="00B04AE3">
        <w:trPr>
          <w:trHeight w:val="397"/>
          <w:jc w:val="center"/>
        </w:trPr>
        <w:tc>
          <w:tcPr>
            <w:tcW w:w="2842" w:type="dxa"/>
            <w:vAlign w:val="center"/>
          </w:tcPr>
          <w:p w:rsidR="00B04AE3" w:rsidRDefault="00B04AE3">
            <w:pPr>
              <w:pStyle w:val="TableParagraph"/>
              <w:spacing w:before="62"/>
              <w:ind w:left="661" w:right="656"/>
              <w:rPr>
                <w:sz w:val="21"/>
              </w:rPr>
            </w:pPr>
            <w:r>
              <w:rPr>
                <w:rFonts w:hint="eastAsia"/>
                <w:sz w:val="21"/>
              </w:rPr>
              <w:t>南昌市安监局</w:t>
            </w:r>
          </w:p>
        </w:tc>
        <w:tc>
          <w:tcPr>
            <w:tcW w:w="2843" w:type="dxa"/>
            <w:vAlign w:val="center"/>
          </w:tcPr>
          <w:p w:rsidR="00B04AE3" w:rsidRDefault="00B04AE3">
            <w:pPr>
              <w:pStyle w:val="TableParagraph"/>
              <w:spacing w:before="62"/>
              <w:ind w:left="760" w:right="752"/>
              <w:rPr>
                <w:sz w:val="21"/>
              </w:rPr>
            </w:pPr>
            <w:r>
              <w:rPr>
                <w:rFonts w:hint="eastAsia"/>
                <w:sz w:val="21"/>
              </w:rPr>
              <w:t>办公室</w:t>
            </w:r>
          </w:p>
        </w:tc>
        <w:tc>
          <w:tcPr>
            <w:tcW w:w="2843" w:type="dxa"/>
            <w:vAlign w:val="center"/>
          </w:tcPr>
          <w:p w:rsidR="00B04AE3" w:rsidRDefault="00B04AE3">
            <w:pPr>
              <w:pStyle w:val="TableParagraph"/>
              <w:spacing w:before="76"/>
              <w:ind w:right="752"/>
              <w:rPr>
                <w:rFonts w:ascii="Times New Roman"/>
                <w:sz w:val="21"/>
              </w:rPr>
            </w:pPr>
            <w:r>
              <w:rPr>
                <w:rFonts w:ascii="Times New Roman"/>
                <w:sz w:val="21"/>
              </w:rPr>
              <w:t>079</w:t>
            </w:r>
            <w:r>
              <w:rPr>
                <w:rFonts w:ascii="Times New Roman"/>
                <w:sz w:val="21"/>
                <w:lang w:val="en-US"/>
              </w:rPr>
              <w:t>1</w:t>
            </w:r>
            <w:r>
              <w:rPr>
                <w:rFonts w:ascii="Times New Roman"/>
                <w:sz w:val="21"/>
              </w:rPr>
              <w:t>-</w:t>
            </w:r>
            <w:r>
              <w:rPr>
                <w:rFonts w:ascii="Arial" w:hAnsi="Arial" w:cs="Arial"/>
                <w:color w:val="000000"/>
                <w:sz w:val="19"/>
                <w:szCs w:val="19"/>
                <w:shd w:val="clear" w:color="auto" w:fill="FFFFFF"/>
              </w:rPr>
              <w:t>83986158</w:t>
            </w:r>
          </w:p>
        </w:tc>
      </w:tr>
      <w:tr w:rsidR="00B04AE3">
        <w:trPr>
          <w:trHeight w:val="396"/>
          <w:jc w:val="center"/>
        </w:trPr>
        <w:tc>
          <w:tcPr>
            <w:tcW w:w="2842" w:type="dxa"/>
            <w:vMerge w:val="restart"/>
            <w:vAlign w:val="center"/>
          </w:tcPr>
          <w:p w:rsidR="00B04AE3" w:rsidRDefault="00B04AE3">
            <w:pPr>
              <w:pStyle w:val="TableParagraph"/>
              <w:spacing w:before="1"/>
              <w:ind w:left="661" w:right="656"/>
              <w:rPr>
                <w:sz w:val="21"/>
              </w:rPr>
            </w:pPr>
          </w:p>
          <w:p w:rsidR="00B04AE3" w:rsidRDefault="00B04AE3">
            <w:pPr>
              <w:pStyle w:val="TableParagraph"/>
              <w:spacing w:before="1"/>
              <w:ind w:left="661" w:right="656"/>
              <w:rPr>
                <w:sz w:val="21"/>
              </w:rPr>
            </w:pPr>
            <w:r>
              <w:rPr>
                <w:rFonts w:hint="eastAsia"/>
                <w:sz w:val="21"/>
              </w:rPr>
              <w:t>公安</w:t>
            </w:r>
          </w:p>
        </w:tc>
        <w:tc>
          <w:tcPr>
            <w:tcW w:w="2843" w:type="dxa"/>
            <w:vAlign w:val="center"/>
          </w:tcPr>
          <w:p w:rsidR="00B04AE3" w:rsidRDefault="00B04AE3">
            <w:pPr>
              <w:pStyle w:val="TableParagraph"/>
              <w:spacing w:before="63"/>
              <w:ind w:right="752"/>
              <w:rPr>
                <w:sz w:val="21"/>
              </w:rPr>
            </w:pPr>
            <w:r>
              <w:rPr>
                <w:rFonts w:hint="eastAsia"/>
                <w:sz w:val="21"/>
              </w:rPr>
              <w:t>经济技术开发区分局</w:t>
            </w:r>
          </w:p>
        </w:tc>
        <w:tc>
          <w:tcPr>
            <w:tcW w:w="2843" w:type="dxa"/>
            <w:vAlign w:val="center"/>
          </w:tcPr>
          <w:p w:rsidR="00B04AE3" w:rsidRDefault="00B04AE3">
            <w:pPr>
              <w:pStyle w:val="TableParagraph"/>
              <w:spacing w:before="77"/>
              <w:ind w:right="752"/>
              <w:rPr>
                <w:rFonts w:ascii="Times New Roman"/>
                <w:sz w:val="21"/>
              </w:rPr>
            </w:pPr>
            <w:r>
              <w:rPr>
                <w:rFonts w:ascii="Times New Roman"/>
                <w:sz w:val="21"/>
              </w:rPr>
              <w:t>079</w:t>
            </w:r>
            <w:r>
              <w:rPr>
                <w:rFonts w:ascii="Times New Roman"/>
                <w:sz w:val="21"/>
                <w:lang w:val="en-US"/>
              </w:rPr>
              <w:t>1</w:t>
            </w:r>
            <w:r>
              <w:rPr>
                <w:rFonts w:ascii="Times New Roman"/>
                <w:sz w:val="21"/>
              </w:rPr>
              <w:t>-</w:t>
            </w:r>
            <w:r>
              <w:rPr>
                <w:rFonts w:ascii="Arial" w:hAnsi="Arial" w:cs="Arial"/>
                <w:color w:val="333333"/>
                <w:sz w:val="19"/>
                <w:szCs w:val="19"/>
                <w:shd w:val="clear" w:color="auto" w:fill="FFFFFF"/>
              </w:rPr>
              <w:t>83851110</w:t>
            </w:r>
          </w:p>
        </w:tc>
      </w:tr>
      <w:tr w:rsidR="00B04AE3">
        <w:trPr>
          <w:trHeight w:val="397"/>
          <w:jc w:val="center"/>
        </w:trPr>
        <w:tc>
          <w:tcPr>
            <w:tcW w:w="2842" w:type="dxa"/>
            <w:vMerge/>
            <w:tcBorders>
              <w:top w:val="nil"/>
            </w:tcBorders>
            <w:vAlign w:val="center"/>
          </w:tcPr>
          <w:p w:rsidR="00B04AE3" w:rsidRDefault="00B04AE3">
            <w:pPr>
              <w:jc w:val="center"/>
              <w:rPr>
                <w:sz w:val="2"/>
                <w:szCs w:val="2"/>
              </w:rPr>
            </w:pPr>
          </w:p>
        </w:tc>
        <w:tc>
          <w:tcPr>
            <w:tcW w:w="2843" w:type="dxa"/>
            <w:vAlign w:val="center"/>
          </w:tcPr>
          <w:p w:rsidR="00B04AE3" w:rsidRDefault="00B04AE3">
            <w:pPr>
              <w:pStyle w:val="TableParagraph"/>
              <w:spacing w:before="64"/>
              <w:ind w:left="758" w:right="752"/>
              <w:rPr>
                <w:sz w:val="21"/>
              </w:rPr>
            </w:pPr>
            <w:r>
              <w:rPr>
                <w:rFonts w:ascii="Times New Roman" w:eastAsia="Times New Roman"/>
                <w:sz w:val="21"/>
              </w:rPr>
              <w:t xml:space="preserve">110 </w:t>
            </w:r>
            <w:r>
              <w:rPr>
                <w:rFonts w:hint="eastAsia"/>
                <w:sz w:val="21"/>
              </w:rPr>
              <w:t>指挥中心</w:t>
            </w:r>
          </w:p>
        </w:tc>
        <w:tc>
          <w:tcPr>
            <w:tcW w:w="2843" w:type="dxa"/>
            <w:vAlign w:val="center"/>
          </w:tcPr>
          <w:p w:rsidR="00B04AE3" w:rsidRDefault="00B04AE3">
            <w:pPr>
              <w:pStyle w:val="TableParagraph"/>
              <w:spacing w:before="78"/>
              <w:ind w:left="763" w:right="752"/>
              <w:rPr>
                <w:rFonts w:ascii="Times New Roman"/>
                <w:sz w:val="21"/>
              </w:rPr>
            </w:pPr>
            <w:r>
              <w:rPr>
                <w:rFonts w:ascii="Times New Roman"/>
                <w:sz w:val="21"/>
              </w:rPr>
              <w:t>110</w:t>
            </w:r>
          </w:p>
        </w:tc>
      </w:tr>
      <w:tr w:rsidR="00B04AE3">
        <w:trPr>
          <w:trHeight w:val="397"/>
          <w:jc w:val="center"/>
        </w:trPr>
        <w:tc>
          <w:tcPr>
            <w:tcW w:w="2842" w:type="dxa"/>
            <w:vAlign w:val="center"/>
          </w:tcPr>
          <w:p w:rsidR="00B04AE3" w:rsidRDefault="00B04AE3">
            <w:pPr>
              <w:pStyle w:val="TableParagraph"/>
              <w:spacing w:before="63"/>
              <w:ind w:left="661" w:right="656"/>
              <w:rPr>
                <w:sz w:val="21"/>
              </w:rPr>
            </w:pPr>
            <w:r>
              <w:rPr>
                <w:rFonts w:hint="eastAsia"/>
                <w:sz w:val="21"/>
              </w:rPr>
              <w:t>消防</w:t>
            </w:r>
          </w:p>
        </w:tc>
        <w:tc>
          <w:tcPr>
            <w:tcW w:w="2843" w:type="dxa"/>
            <w:vAlign w:val="center"/>
          </w:tcPr>
          <w:p w:rsidR="00B04AE3" w:rsidRDefault="00B04AE3">
            <w:pPr>
              <w:pStyle w:val="TableParagraph"/>
              <w:spacing w:before="63"/>
              <w:ind w:left="755" w:right="752"/>
              <w:rPr>
                <w:sz w:val="21"/>
              </w:rPr>
            </w:pPr>
            <w:r>
              <w:rPr>
                <w:rFonts w:hint="eastAsia"/>
                <w:sz w:val="21"/>
              </w:rPr>
              <w:t>南昌市消防队</w:t>
            </w:r>
          </w:p>
        </w:tc>
        <w:tc>
          <w:tcPr>
            <w:tcW w:w="2843" w:type="dxa"/>
            <w:vAlign w:val="center"/>
          </w:tcPr>
          <w:p w:rsidR="00B04AE3" w:rsidRDefault="00B04AE3">
            <w:pPr>
              <w:pStyle w:val="TableParagraph"/>
              <w:spacing w:before="76"/>
              <w:ind w:left="763" w:right="752"/>
              <w:rPr>
                <w:rFonts w:ascii="Times New Roman"/>
                <w:sz w:val="21"/>
                <w:lang w:val="en-US"/>
              </w:rPr>
            </w:pPr>
            <w:r>
              <w:rPr>
                <w:rFonts w:ascii="Times New Roman"/>
                <w:sz w:val="21"/>
                <w:lang w:val="en-US"/>
              </w:rPr>
              <w:t>119</w:t>
            </w:r>
          </w:p>
        </w:tc>
      </w:tr>
      <w:tr w:rsidR="00B04AE3">
        <w:trPr>
          <w:trHeight w:val="397"/>
          <w:jc w:val="center"/>
        </w:trPr>
        <w:tc>
          <w:tcPr>
            <w:tcW w:w="2842" w:type="dxa"/>
            <w:vAlign w:val="center"/>
          </w:tcPr>
          <w:p w:rsidR="00B04AE3" w:rsidRDefault="00B04AE3">
            <w:pPr>
              <w:pStyle w:val="TableParagraph"/>
              <w:spacing w:before="63"/>
              <w:ind w:right="656"/>
              <w:rPr>
                <w:sz w:val="21"/>
              </w:rPr>
            </w:pPr>
            <w:r>
              <w:rPr>
                <w:rFonts w:hint="eastAsia"/>
                <w:sz w:val="21"/>
              </w:rPr>
              <w:t>南昌市卫生防疫站</w:t>
            </w:r>
          </w:p>
        </w:tc>
        <w:tc>
          <w:tcPr>
            <w:tcW w:w="2843" w:type="dxa"/>
            <w:vAlign w:val="center"/>
          </w:tcPr>
          <w:p w:rsidR="00B04AE3" w:rsidRDefault="00B04AE3">
            <w:pPr>
              <w:pStyle w:val="TableParagraph"/>
              <w:spacing w:before="63"/>
              <w:ind w:left="755" w:right="752"/>
              <w:rPr>
                <w:sz w:val="21"/>
              </w:rPr>
            </w:pPr>
            <w:r>
              <w:rPr>
                <w:rFonts w:hint="eastAsia"/>
                <w:sz w:val="21"/>
              </w:rPr>
              <w:t>办公室</w:t>
            </w:r>
          </w:p>
        </w:tc>
        <w:tc>
          <w:tcPr>
            <w:tcW w:w="2843" w:type="dxa"/>
            <w:vAlign w:val="center"/>
          </w:tcPr>
          <w:p w:rsidR="00B04AE3" w:rsidRDefault="00B04AE3">
            <w:pPr>
              <w:pStyle w:val="TableParagraph"/>
              <w:spacing w:before="76"/>
              <w:ind w:right="752"/>
              <w:rPr>
                <w:rFonts w:ascii="Times New Roman"/>
                <w:sz w:val="21"/>
                <w:lang w:val="en-US"/>
              </w:rPr>
            </w:pPr>
            <w:r>
              <w:rPr>
                <w:rFonts w:ascii="Times New Roman"/>
                <w:sz w:val="21"/>
              </w:rPr>
              <w:t>079</w:t>
            </w:r>
            <w:r>
              <w:rPr>
                <w:rFonts w:ascii="Times New Roman"/>
                <w:sz w:val="21"/>
                <w:lang w:val="en-US"/>
              </w:rPr>
              <w:t>1</w:t>
            </w:r>
            <w:r>
              <w:rPr>
                <w:rFonts w:ascii="Times New Roman"/>
                <w:sz w:val="21"/>
              </w:rPr>
              <w:t>-</w:t>
            </w:r>
            <w:r>
              <w:rPr>
                <w:rFonts w:ascii="Arial" w:hAnsi="Arial" w:cs="Arial"/>
                <w:color w:val="333333"/>
                <w:sz w:val="19"/>
                <w:szCs w:val="19"/>
                <w:shd w:val="clear" w:color="auto" w:fill="FFFFFF"/>
              </w:rPr>
              <w:t>86767172</w:t>
            </w:r>
          </w:p>
        </w:tc>
      </w:tr>
      <w:tr w:rsidR="00B04AE3">
        <w:trPr>
          <w:trHeight w:val="396"/>
          <w:jc w:val="center"/>
        </w:trPr>
        <w:tc>
          <w:tcPr>
            <w:tcW w:w="2842" w:type="dxa"/>
            <w:vAlign w:val="center"/>
          </w:tcPr>
          <w:p w:rsidR="00B04AE3" w:rsidRDefault="00B04AE3">
            <w:pPr>
              <w:pStyle w:val="TableParagraph"/>
              <w:spacing w:before="63"/>
              <w:ind w:left="666" w:right="656"/>
              <w:rPr>
                <w:sz w:val="21"/>
              </w:rPr>
            </w:pPr>
            <w:r>
              <w:rPr>
                <w:rFonts w:hint="eastAsia"/>
                <w:sz w:val="21"/>
              </w:rPr>
              <w:t>市政府</w:t>
            </w:r>
          </w:p>
        </w:tc>
        <w:tc>
          <w:tcPr>
            <w:tcW w:w="2843" w:type="dxa"/>
            <w:vAlign w:val="center"/>
          </w:tcPr>
          <w:p w:rsidR="00B04AE3" w:rsidRDefault="00B04AE3">
            <w:pPr>
              <w:pStyle w:val="TableParagraph"/>
              <w:spacing w:before="63"/>
              <w:ind w:left="760" w:right="752"/>
              <w:rPr>
                <w:sz w:val="21"/>
              </w:rPr>
            </w:pPr>
            <w:r>
              <w:rPr>
                <w:rFonts w:hint="eastAsia"/>
                <w:sz w:val="21"/>
              </w:rPr>
              <w:t>办公室</w:t>
            </w:r>
          </w:p>
        </w:tc>
        <w:tc>
          <w:tcPr>
            <w:tcW w:w="2843" w:type="dxa"/>
            <w:vAlign w:val="center"/>
          </w:tcPr>
          <w:p w:rsidR="00B04AE3" w:rsidRDefault="00B04AE3">
            <w:pPr>
              <w:pStyle w:val="TableParagraph"/>
              <w:spacing w:before="77"/>
              <w:ind w:right="752"/>
              <w:rPr>
                <w:rFonts w:ascii="Times New Roman"/>
                <w:sz w:val="21"/>
              </w:rPr>
            </w:pPr>
            <w:r>
              <w:rPr>
                <w:rFonts w:ascii="Arial" w:hAnsi="Arial" w:cs="Arial"/>
                <w:color w:val="333333"/>
                <w:sz w:val="19"/>
                <w:szCs w:val="19"/>
                <w:shd w:val="clear" w:color="auto" w:fill="FFFFFF"/>
              </w:rPr>
              <w:t>0791-83883866</w:t>
            </w:r>
          </w:p>
        </w:tc>
      </w:tr>
      <w:tr w:rsidR="00B04AE3">
        <w:trPr>
          <w:trHeight w:val="397"/>
          <w:jc w:val="center"/>
        </w:trPr>
        <w:tc>
          <w:tcPr>
            <w:tcW w:w="2842" w:type="dxa"/>
            <w:vAlign w:val="center"/>
          </w:tcPr>
          <w:p w:rsidR="00B04AE3" w:rsidRDefault="00B04AE3">
            <w:pPr>
              <w:pStyle w:val="TableParagraph"/>
              <w:spacing w:before="62"/>
              <w:ind w:left="661" w:right="656"/>
              <w:rPr>
                <w:sz w:val="21"/>
              </w:rPr>
            </w:pPr>
            <w:r>
              <w:rPr>
                <w:rFonts w:hint="eastAsia"/>
                <w:sz w:val="21"/>
              </w:rPr>
              <w:t>经济技术开发区管委会</w:t>
            </w:r>
          </w:p>
        </w:tc>
        <w:tc>
          <w:tcPr>
            <w:tcW w:w="2843" w:type="dxa"/>
            <w:vAlign w:val="center"/>
          </w:tcPr>
          <w:p w:rsidR="00B04AE3" w:rsidRDefault="00B04AE3">
            <w:pPr>
              <w:pStyle w:val="TableParagraph"/>
              <w:spacing w:before="62"/>
              <w:ind w:left="760" w:right="752"/>
              <w:rPr>
                <w:sz w:val="21"/>
              </w:rPr>
            </w:pPr>
            <w:r>
              <w:rPr>
                <w:rFonts w:hint="eastAsia"/>
                <w:sz w:val="21"/>
              </w:rPr>
              <w:t>办公室</w:t>
            </w:r>
          </w:p>
        </w:tc>
        <w:tc>
          <w:tcPr>
            <w:tcW w:w="2843" w:type="dxa"/>
            <w:vAlign w:val="center"/>
          </w:tcPr>
          <w:p w:rsidR="00B04AE3" w:rsidRDefault="00B04AE3">
            <w:pPr>
              <w:pStyle w:val="TableParagraph"/>
              <w:spacing w:before="76"/>
              <w:ind w:right="752"/>
              <w:rPr>
                <w:rFonts w:ascii="Times New Roman"/>
                <w:sz w:val="21"/>
              </w:rPr>
            </w:pPr>
            <w:r>
              <w:rPr>
                <w:rFonts w:ascii="Arial" w:hAnsi="Arial" w:cs="Arial"/>
                <w:color w:val="333333"/>
                <w:sz w:val="19"/>
                <w:szCs w:val="19"/>
                <w:shd w:val="clear" w:color="auto" w:fill="FFFFFF"/>
              </w:rPr>
              <w:t>0791-87121782</w:t>
            </w:r>
          </w:p>
        </w:tc>
      </w:tr>
      <w:tr w:rsidR="00B04AE3">
        <w:trPr>
          <w:trHeight w:val="397"/>
          <w:jc w:val="center"/>
        </w:trPr>
        <w:tc>
          <w:tcPr>
            <w:tcW w:w="2842" w:type="dxa"/>
            <w:vAlign w:val="center"/>
          </w:tcPr>
          <w:p w:rsidR="00B04AE3" w:rsidRDefault="00B04AE3">
            <w:pPr>
              <w:pStyle w:val="TableParagraph"/>
              <w:spacing w:before="63"/>
              <w:ind w:left="664" w:right="656"/>
              <w:rPr>
                <w:sz w:val="21"/>
              </w:rPr>
            </w:pPr>
            <w:r>
              <w:rPr>
                <w:rFonts w:hint="eastAsia"/>
                <w:sz w:val="21"/>
              </w:rPr>
              <w:t>医疗部门</w:t>
            </w:r>
          </w:p>
        </w:tc>
        <w:tc>
          <w:tcPr>
            <w:tcW w:w="2843" w:type="dxa"/>
            <w:vAlign w:val="center"/>
          </w:tcPr>
          <w:p w:rsidR="00B04AE3" w:rsidRDefault="00B04AE3">
            <w:pPr>
              <w:pStyle w:val="TableParagraph"/>
              <w:spacing w:before="63"/>
              <w:ind w:left="758" w:right="752"/>
              <w:rPr>
                <w:sz w:val="21"/>
              </w:rPr>
            </w:pPr>
            <w:r>
              <w:rPr>
                <w:rFonts w:hint="eastAsia"/>
                <w:sz w:val="21"/>
              </w:rPr>
              <w:t>市人民医院</w:t>
            </w:r>
          </w:p>
        </w:tc>
        <w:tc>
          <w:tcPr>
            <w:tcW w:w="2843" w:type="dxa"/>
            <w:vAlign w:val="center"/>
          </w:tcPr>
          <w:p w:rsidR="00B04AE3" w:rsidRDefault="00B04AE3">
            <w:pPr>
              <w:pStyle w:val="TableParagraph"/>
              <w:spacing w:before="77"/>
              <w:ind w:left="761" w:right="752"/>
              <w:rPr>
                <w:rFonts w:ascii="Times New Roman"/>
                <w:sz w:val="21"/>
              </w:rPr>
            </w:pPr>
            <w:r>
              <w:rPr>
                <w:rFonts w:ascii="Times New Roman"/>
                <w:sz w:val="21"/>
              </w:rPr>
              <w:t>120</w:t>
            </w:r>
          </w:p>
        </w:tc>
      </w:tr>
      <w:tr w:rsidR="00B04AE3">
        <w:trPr>
          <w:trHeight w:val="397"/>
          <w:jc w:val="center"/>
        </w:trPr>
        <w:tc>
          <w:tcPr>
            <w:tcW w:w="2842" w:type="dxa"/>
            <w:vAlign w:val="center"/>
          </w:tcPr>
          <w:p w:rsidR="00B04AE3" w:rsidRDefault="00B04AE3">
            <w:pPr>
              <w:pStyle w:val="TableParagraph"/>
              <w:spacing w:before="62"/>
              <w:ind w:left="664" w:right="656"/>
              <w:rPr>
                <w:sz w:val="21"/>
              </w:rPr>
            </w:pPr>
            <w:r>
              <w:rPr>
                <w:rFonts w:hint="eastAsia"/>
                <w:sz w:val="21"/>
              </w:rPr>
              <w:t>环境监测</w:t>
            </w:r>
          </w:p>
        </w:tc>
        <w:tc>
          <w:tcPr>
            <w:tcW w:w="2843" w:type="dxa"/>
            <w:vAlign w:val="center"/>
          </w:tcPr>
          <w:p w:rsidR="00B04AE3" w:rsidRDefault="00B04AE3">
            <w:pPr>
              <w:pStyle w:val="TableParagraph"/>
              <w:spacing w:before="62"/>
              <w:ind w:left="580"/>
              <w:rPr>
                <w:sz w:val="21"/>
              </w:rPr>
            </w:pPr>
            <w:r>
              <w:rPr>
                <w:rFonts w:hint="eastAsia"/>
                <w:sz w:val="21"/>
              </w:rPr>
              <w:t>南昌市环境监测站</w:t>
            </w:r>
          </w:p>
        </w:tc>
        <w:tc>
          <w:tcPr>
            <w:tcW w:w="2843" w:type="dxa"/>
            <w:vAlign w:val="center"/>
          </w:tcPr>
          <w:p w:rsidR="00B04AE3" w:rsidRDefault="00B04AE3">
            <w:pPr>
              <w:pStyle w:val="TableParagraph"/>
              <w:spacing w:before="76"/>
              <w:ind w:left="809"/>
              <w:rPr>
                <w:rFonts w:ascii="Times New Roman"/>
                <w:sz w:val="21"/>
              </w:rPr>
            </w:pPr>
            <w:r>
              <w:rPr>
                <w:rFonts w:ascii="Times New Roman"/>
                <w:sz w:val="21"/>
              </w:rPr>
              <w:t>0791-86356077</w:t>
            </w:r>
          </w:p>
        </w:tc>
      </w:tr>
    </w:tbl>
    <w:p w:rsidR="00B04AE3" w:rsidRDefault="00B04AE3">
      <w:pPr>
        <w:pStyle w:val="BodyText"/>
        <w:spacing w:before="9"/>
        <w:rPr>
          <w:b/>
          <w:sz w:val="21"/>
        </w:rPr>
      </w:pPr>
    </w:p>
    <w:p w:rsidR="00B04AE3" w:rsidRDefault="00B04AE3">
      <w:pPr>
        <w:pStyle w:val="BodyText"/>
        <w:spacing w:before="9"/>
        <w:rPr>
          <w:b/>
          <w:sz w:val="21"/>
        </w:rPr>
      </w:pPr>
    </w:p>
    <w:p w:rsidR="00B04AE3" w:rsidRDefault="00B04AE3">
      <w:pPr>
        <w:tabs>
          <w:tab w:val="left" w:pos="1221"/>
        </w:tabs>
        <w:ind w:left="17"/>
        <w:jc w:val="center"/>
        <w:rPr>
          <w:b/>
          <w:sz w:val="24"/>
        </w:rPr>
      </w:pPr>
      <w:bookmarkStart w:id="228" w:name="附件十二__公司信息上报受理机构名单及联系方式"/>
      <w:bookmarkEnd w:id="228"/>
      <w:r>
        <w:rPr>
          <w:rFonts w:hint="eastAsia"/>
          <w:b/>
          <w:sz w:val="24"/>
        </w:rPr>
        <w:t>附件十二</w:t>
      </w:r>
      <w:r>
        <w:rPr>
          <w:b/>
          <w:sz w:val="24"/>
        </w:rPr>
        <w:tab/>
      </w:r>
      <w:r>
        <w:rPr>
          <w:rFonts w:hint="eastAsia"/>
          <w:b/>
          <w:sz w:val="24"/>
        </w:rPr>
        <w:t>公司信息上报受理机构名单及联系方式</w:t>
      </w:r>
    </w:p>
    <w:tbl>
      <w:tblPr>
        <w:tblW w:w="9662"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4831"/>
        <w:gridCol w:w="4831"/>
      </w:tblGrid>
      <w:tr w:rsidR="00B04AE3">
        <w:trPr>
          <w:trHeight w:val="340"/>
        </w:trPr>
        <w:tc>
          <w:tcPr>
            <w:tcW w:w="4831" w:type="dxa"/>
            <w:shd w:val="clear" w:color="auto" w:fill="DFDFDF"/>
          </w:tcPr>
          <w:p w:rsidR="00B04AE3" w:rsidRDefault="00B04AE3">
            <w:pPr>
              <w:pStyle w:val="TableParagraph"/>
              <w:spacing w:before="33"/>
              <w:ind w:left="1658" w:right="1651"/>
              <w:rPr>
                <w:b/>
                <w:sz w:val="21"/>
              </w:rPr>
            </w:pPr>
            <w:r>
              <w:rPr>
                <w:rFonts w:hint="eastAsia"/>
                <w:b/>
                <w:sz w:val="21"/>
              </w:rPr>
              <w:t>单位</w:t>
            </w:r>
          </w:p>
        </w:tc>
        <w:tc>
          <w:tcPr>
            <w:tcW w:w="4831" w:type="dxa"/>
            <w:shd w:val="clear" w:color="auto" w:fill="DFDFDF"/>
          </w:tcPr>
          <w:p w:rsidR="00B04AE3" w:rsidRDefault="00B04AE3">
            <w:pPr>
              <w:pStyle w:val="TableParagraph"/>
              <w:spacing w:before="33"/>
              <w:ind w:left="1658" w:right="1646"/>
              <w:rPr>
                <w:b/>
                <w:sz w:val="21"/>
              </w:rPr>
            </w:pPr>
            <w:r>
              <w:rPr>
                <w:rFonts w:hint="eastAsia"/>
                <w:b/>
                <w:sz w:val="21"/>
              </w:rPr>
              <w:t>联系电话</w:t>
            </w:r>
          </w:p>
        </w:tc>
      </w:tr>
      <w:tr w:rsidR="00B04AE3">
        <w:trPr>
          <w:trHeight w:val="340"/>
        </w:trPr>
        <w:tc>
          <w:tcPr>
            <w:tcW w:w="4831" w:type="dxa"/>
          </w:tcPr>
          <w:p w:rsidR="00B04AE3" w:rsidRDefault="00B04AE3">
            <w:pPr>
              <w:pStyle w:val="TableParagraph"/>
              <w:spacing w:before="31"/>
              <w:ind w:left="1658" w:right="1653"/>
              <w:rPr>
                <w:sz w:val="21"/>
              </w:rPr>
            </w:pPr>
            <w:r>
              <w:rPr>
                <w:rFonts w:hint="eastAsia"/>
                <w:sz w:val="21"/>
              </w:rPr>
              <w:t>南昌市环保局</w:t>
            </w:r>
          </w:p>
        </w:tc>
        <w:tc>
          <w:tcPr>
            <w:tcW w:w="4831" w:type="dxa"/>
          </w:tcPr>
          <w:p w:rsidR="00B04AE3" w:rsidRDefault="00B04AE3">
            <w:pPr>
              <w:pStyle w:val="TableParagraph"/>
              <w:spacing w:before="45"/>
              <w:ind w:left="1658" w:right="1647"/>
              <w:rPr>
                <w:rFonts w:ascii="Times New Roman"/>
                <w:sz w:val="21"/>
              </w:rPr>
            </w:pPr>
            <w:r>
              <w:rPr>
                <w:rFonts w:ascii="Times New Roman"/>
                <w:sz w:val="21"/>
              </w:rPr>
              <w:t>079</w:t>
            </w:r>
            <w:r>
              <w:rPr>
                <w:rFonts w:ascii="Times New Roman"/>
                <w:sz w:val="21"/>
                <w:lang w:val="en-US"/>
              </w:rPr>
              <w:t>1-83986156</w:t>
            </w:r>
          </w:p>
        </w:tc>
      </w:tr>
      <w:tr w:rsidR="00B04AE3">
        <w:trPr>
          <w:trHeight w:val="340"/>
        </w:trPr>
        <w:tc>
          <w:tcPr>
            <w:tcW w:w="4831" w:type="dxa"/>
          </w:tcPr>
          <w:p w:rsidR="00B04AE3" w:rsidRDefault="00B04AE3">
            <w:pPr>
              <w:pStyle w:val="TableParagraph"/>
              <w:spacing w:before="31"/>
              <w:ind w:left="1658" w:right="1653"/>
              <w:rPr>
                <w:sz w:val="21"/>
              </w:rPr>
            </w:pPr>
            <w:r>
              <w:rPr>
                <w:rFonts w:hint="eastAsia"/>
                <w:sz w:val="21"/>
              </w:rPr>
              <w:t>南昌市安监局</w:t>
            </w:r>
          </w:p>
        </w:tc>
        <w:tc>
          <w:tcPr>
            <w:tcW w:w="4831" w:type="dxa"/>
          </w:tcPr>
          <w:p w:rsidR="00B04AE3" w:rsidRDefault="00B04AE3">
            <w:pPr>
              <w:pStyle w:val="TableParagraph"/>
              <w:spacing w:before="45"/>
              <w:ind w:left="1658" w:right="1647"/>
              <w:rPr>
                <w:rFonts w:ascii="Times New Roman"/>
                <w:sz w:val="21"/>
              </w:rPr>
            </w:pPr>
            <w:r>
              <w:rPr>
                <w:rFonts w:ascii="Times New Roman"/>
                <w:sz w:val="21"/>
              </w:rPr>
              <w:t>079</w:t>
            </w:r>
            <w:r>
              <w:rPr>
                <w:rFonts w:ascii="Times New Roman"/>
                <w:sz w:val="21"/>
                <w:lang w:val="en-US"/>
              </w:rPr>
              <w:t>1</w:t>
            </w:r>
            <w:r>
              <w:rPr>
                <w:rFonts w:ascii="Times New Roman"/>
                <w:sz w:val="21"/>
              </w:rPr>
              <w:t>-</w:t>
            </w:r>
            <w:r>
              <w:rPr>
                <w:rFonts w:ascii="Arial" w:hAnsi="Arial" w:cs="Arial"/>
                <w:color w:val="000000"/>
                <w:sz w:val="19"/>
                <w:szCs w:val="19"/>
                <w:shd w:val="clear" w:color="auto" w:fill="FFFFFF"/>
              </w:rPr>
              <w:t>83986158</w:t>
            </w:r>
          </w:p>
        </w:tc>
      </w:tr>
      <w:tr w:rsidR="00B04AE3">
        <w:trPr>
          <w:trHeight w:val="340"/>
        </w:trPr>
        <w:tc>
          <w:tcPr>
            <w:tcW w:w="4831" w:type="dxa"/>
          </w:tcPr>
          <w:p w:rsidR="00B04AE3" w:rsidRDefault="00B04AE3">
            <w:pPr>
              <w:pStyle w:val="TableParagraph"/>
              <w:spacing w:before="31"/>
              <w:ind w:left="1658" w:right="1653"/>
              <w:rPr>
                <w:sz w:val="21"/>
              </w:rPr>
            </w:pPr>
            <w:r>
              <w:rPr>
                <w:rFonts w:hint="eastAsia"/>
                <w:sz w:val="21"/>
              </w:rPr>
              <w:t>经济技术开发区环保局</w:t>
            </w:r>
          </w:p>
        </w:tc>
        <w:tc>
          <w:tcPr>
            <w:tcW w:w="4831" w:type="dxa"/>
          </w:tcPr>
          <w:p w:rsidR="00B04AE3" w:rsidRDefault="00B04AE3">
            <w:pPr>
              <w:pStyle w:val="TableParagraph"/>
              <w:spacing w:before="45"/>
              <w:ind w:left="1658" w:right="1647"/>
              <w:rPr>
                <w:rFonts w:ascii="Times New Roman"/>
                <w:sz w:val="21"/>
              </w:rPr>
            </w:pPr>
            <w:r>
              <w:rPr>
                <w:rFonts w:ascii="Times New Roman"/>
                <w:sz w:val="21"/>
              </w:rPr>
              <w:t>07</w:t>
            </w:r>
            <w:r>
              <w:rPr>
                <w:rFonts w:ascii="Times New Roman"/>
                <w:sz w:val="21"/>
                <w:lang w:val="en-US"/>
              </w:rPr>
              <w:t>91</w:t>
            </w:r>
            <w:r>
              <w:rPr>
                <w:rFonts w:ascii="Times New Roman"/>
                <w:sz w:val="21"/>
              </w:rPr>
              <w:t>-</w:t>
            </w:r>
            <w:r>
              <w:rPr>
                <w:rFonts w:ascii="Times New Roman"/>
                <w:sz w:val="21"/>
                <w:lang w:val="en-US"/>
              </w:rPr>
              <w:t>88391921</w:t>
            </w:r>
          </w:p>
        </w:tc>
      </w:tr>
      <w:tr w:rsidR="00B04AE3">
        <w:trPr>
          <w:trHeight w:val="340"/>
        </w:trPr>
        <w:tc>
          <w:tcPr>
            <w:tcW w:w="4831" w:type="dxa"/>
          </w:tcPr>
          <w:p w:rsidR="00B04AE3" w:rsidRDefault="00B04AE3">
            <w:pPr>
              <w:pStyle w:val="TableParagraph"/>
              <w:spacing w:before="32"/>
              <w:ind w:left="1658" w:right="1653"/>
              <w:rPr>
                <w:sz w:val="21"/>
              </w:rPr>
            </w:pPr>
            <w:r>
              <w:rPr>
                <w:rFonts w:hint="eastAsia"/>
                <w:sz w:val="21"/>
              </w:rPr>
              <w:t>经济技术开发区公安分局</w:t>
            </w:r>
          </w:p>
        </w:tc>
        <w:tc>
          <w:tcPr>
            <w:tcW w:w="4831" w:type="dxa"/>
          </w:tcPr>
          <w:p w:rsidR="00B04AE3" w:rsidRDefault="00B04AE3">
            <w:pPr>
              <w:pStyle w:val="TableParagraph"/>
              <w:spacing w:before="46"/>
              <w:ind w:left="1658" w:right="1647"/>
              <w:rPr>
                <w:rFonts w:ascii="Times New Roman"/>
                <w:sz w:val="21"/>
              </w:rPr>
            </w:pPr>
            <w:r>
              <w:rPr>
                <w:rFonts w:ascii="Times New Roman"/>
                <w:sz w:val="21"/>
              </w:rPr>
              <w:t>079</w:t>
            </w:r>
            <w:r>
              <w:rPr>
                <w:rFonts w:ascii="Times New Roman"/>
                <w:sz w:val="21"/>
                <w:lang w:val="en-US"/>
              </w:rPr>
              <w:t>1</w:t>
            </w:r>
            <w:r>
              <w:rPr>
                <w:rFonts w:ascii="Times New Roman"/>
                <w:sz w:val="21"/>
              </w:rPr>
              <w:t>-</w:t>
            </w:r>
            <w:r>
              <w:rPr>
                <w:rFonts w:ascii="Arial" w:hAnsi="Arial" w:cs="Arial"/>
                <w:color w:val="333333"/>
                <w:sz w:val="19"/>
                <w:szCs w:val="19"/>
                <w:shd w:val="clear" w:color="auto" w:fill="FFFFFF"/>
              </w:rPr>
              <w:t>83851110</w:t>
            </w:r>
          </w:p>
        </w:tc>
      </w:tr>
    </w:tbl>
    <w:p w:rsidR="00B04AE3" w:rsidRDefault="00B04AE3">
      <w:pPr>
        <w:rPr>
          <w:rFonts w:ascii="Times New Roman"/>
          <w:sz w:val="21"/>
        </w:rPr>
        <w:sectPr w:rsidR="00B04AE3">
          <w:headerReference w:type="default" r:id="rId45"/>
          <w:footerReference w:type="default" r:id="rId46"/>
          <w:pgSz w:w="11910" w:h="16840"/>
          <w:pgMar w:top="1360" w:right="1000" w:bottom="1180" w:left="1000" w:header="878" w:footer="993" w:gutter="0"/>
          <w:cols w:space="720"/>
        </w:sectPr>
      </w:pPr>
    </w:p>
    <w:p w:rsidR="00B04AE3" w:rsidRDefault="00B04AE3">
      <w:pPr>
        <w:tabs>
          <w:tab w:val="left" w:pos="3996"/>
        </w:tabs>
        <w:spacing w:before="64" w:after="2"/>
        <w:ind w:left="2792"/>
        <w:rPr>
          <w:b/>
          <w:sz w:val="24"/>
        </w:rPr>
      </w:pPr>
      <w:r>
        <w:rPr>
          <w:rFonts w:hint="eastAsia"/>
          <w:b/>
          <w:sz w:val="24"/>
        </w:rPr>
        <w:t>附件十三</w:t>
      </w:r>
      <w:r>
        <w:rPr>
          <w:b/>
          <w:sz w:val="24"/>
        </w:rPr>
        <w:tab/>
      </w:r>
      <w:r>
        <w:rPr>
          <w:rFonts w:hint="eastAsia"/>
          <w:b/>
          <w:sz w:val="24"/>
        </w:rPr>
        <w:t>公司突发环境事件信息通告表</w:t>
      </w:r>
    </w:p>
    <w:tbl>
      <w:tblPr>
        <w:tblW w:w="9662"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958"/>
        <w:gridCol w:w="1432"/>
        <w:gridCol w:w="1934"/>
        <w:gridCol w:w="1159"/>
        <w:gridCol w:w="1484"/>
        <w:gridCol w:w="1695"/>
      </w:tblGrid>
      <w:tr w:rsidR="00B04AE3">
        <w:trPr>
          <w:trHeight w:val="467"/>
        </w:trPr>
        <w:tc>
          <w:tcPr>
            <w:tcW w:w="9662" w:type="dxa"/>
            <w:gridSpan w:val="6"/>
          </w:tcPr>
          <w:p w:rsidR="00B04AE3" w:rsidRDefault="00B04AE3">
            <w:pPr>
              <w:pStyle w:val="TableParagraph"/>
              <w:spacing w:before="1"/>
              <w:ind w:left="106"/>
              <w:jc w:val="left"/>
              <w:rPr>
                <w:sz w:val="24"/>
              </w:rPr>
            </w:pPr>
            <w:r>
              <w:rPr>
                <w:rFonts w:hint="eastAsia"/>
                <w:sz w:val="24"/>
              </w:rPr>
              <w:t>南昌海立电器有限公司突发环境事件信息通告表</w:t>
            </w:r>
          </w:p>
        </w:tc>
      </w:tr>
      <w:tr w:rsidR="00B04AE3">
        <w:trPr>
          <w:trHeight w:val="467"/>
        </w:trPr>
        <w:tc>
          <w:tcPr>
            <w:tcW w:w="1958" w:type="dxa"/>
          </w:tcPr>
          <w:p w:rsidR="00B04AE3" w:rsidRDefault="00B04AE3">
            <w:pPr>
              <w:pStyle w:val="TableParagraph"/>
              <w:spacing w:before="2"/>
              <w:ind w:left="106"/>
              <w:jc w:val="left"/>
              <w:rPr>
                <w:sz w:val="24"/>
              </w:rPr>
            </w:pPr>
            <w:r>
              <w:rPr>
                <w:rFonts w:hint="eastAsia"/>
                <w:sz w:val="24"/>
              </w:rPr>
              <w:t>时间</w:t>
            </w:r>
          </w:p>
        </w:tc>
        <w:tc>
          <w:tcPr>
            <w:tcW w:w="1432" w:type="dxa"/>
          </w:tcPr>
          <w:p w:rsidR="00B04AE3" w:rsidRDefault="00B04AE3">
            <w:pPr>
              <w:pStyle w:val="TableParagraph"/>
              <w:jc w:val="left"/>
              <w:rPr>
                <w:rFonts w:ascii="Times New Roman"/>
              </w:rPr>
            </w:pPr>
          </w:p>
        </w:tc>
        <w:tc>
          <w:tcPr>
            <w:tcW w:w="1934" w:type="dxa"/>
          </w:tcPr>
          <w:p w:rsidR="00B04AE3" w:rsidRDefault="00B04AE3">
            <w:pPr>
              <w:pStyle w:val="TableParagraph"/>
              <w:spacing w:before="2"/>
              <w:ind w:right="355"/>
              <w:jc w:val="right"/>
              <w:rPr>
                <w:sz w:val="24"/>
              </w:rPr>
            </w:pPr>
            <w:r>
              <w:rPr>
                <w:rFonts w:hint="eastAsia"/>
                <w:sz w:val="24"/>
              </w:rPr>
              <w:t>污染物名称</w:t>
            </w:r>
          </w:p>
        </w:tc>
        <w:tc>
          <w:tcPr>
            <w:tcW w:w="1159" w:type="dxa"/>
          </w:tcPr>
          <w:p w:rsidR="00B04AE3" w:rsidRDefault="00B04AE3">
            <w:pPr>
              <w:pStyle w:val="TableParagraph"/>
              <w:jc w:val="left"/>
              <w:rPr>
                <w:rFonts w:ascii="Times New Roman"/>
              </w:rPr>
            </w:pPr>
          </w:p>
        </w:tc>
        <w:tc>
          <w:tcPr>
            <w:tcW w:w="1484" w:type="dxa"/>
          </w:tcPr>
          <w:p w:rsidR="00B04AE3" w:rsidRDefault="00B04AE3">
            <w:pPr>
              <w:pStyle w:val="TableParagraph"/>
              <w:spacing w:before="2"/>
              <w:ind w:left="108"/>
              <w:jc w:val="left"/>
              <w:rPr>
                <w:sz w:val="24"/>
              </w:rPr>
            </w:pPr>
            <w:r>
              <w:rPr>
                <w:rFonts w:hint="eastAsia"/>
                <w:sz w:val="24"/>
              </w:rPr>
              <w:t>污染类型</w:t>
            </w:r>
          </w:p>
        </w:tc>
        <w:tc>
          <w:tcPr>
            <w:tcW w:w="1695" w:type="dxa"/>
          </w:tcPr>
          <w:p w:rsidR="00B04AE3" w:rsidRDefault="00B04AE3">
            <w:pPr>
              <w:pStyle w:val="TableParagraph"/>
              <w:jc w:val="left"/>
              <w:rPr>
                <w:rFonts w:ascii="Times New Roman"/>
              </w:rPr>
            </w:pPr>
          </w:p>
        </w:tc>
      </w:tr>
      <w:tr w:rsidR="00B04AE3">
        <w:trPr>
          <w:trHeight w:val="467"/>
        </w:trPr>
        <w:tc>
          <w:tcPr>
            <w:tcW w:w="1958" w:type="dxa"/>
          </w:tcPr>
          <w:p w:rsidR="00B04AE3" w:rsidRDefault="00B04AE3">
            <w:pPr>
              <w:pStyle w:val="TableParagraph"/>
              <w:spacing w:before="3"/>
              <w:ind w:left="106"/>
              <w:jc w:val="left"/>
              <w:rPr>
                <w:sz w:val="24"/>
              </w:rPr>
            </w:pPr>
            <w:r>
              <w:rPr>
                <w:rFonts w:hint="eastAsia"/>
                <w:sz w:val="24"/>
              </w:rPr>
              <w:t>危险等级</w:t>
            </w:r>
          </w:p>
        </w:tc>
        <w:tc>
          <w:tcPr>
            <w:tcW w:w="1432" w:type="dxa"/>
          </w:tcPr>
          <w:p w:rsidR="00B04AE3" w:rsidRDefault="00B04AE3">
            <w:pPr>
              <w:pStyle w:val="TableParagraph"/>
              <w:jc w:val="left"/>
              <w:rPr>
                <w:rFonts w:ascii="Times New Roman"/>
              </w:rPr>
            </w:pPr>
          </w:p>
        </w:tc>
        <w:tc>
          <w:tcPr>
            <w:tcW w:w="1934" w:type="dxa"/>
          </w:tcPr>
          <w:p w:rsidR="00B04AE3" w:rsidRDefault="00B04AE3">
            <w:pPr>
              <w:pStyle w:val="TableParagraph"/>
              <w:spacing w:before="3"/>
              <w:ind w:right="374"/>
              <w:jc w:val="right"/>
              <w:rPr>
                <w:sz w:val="24"/>
              </w:rPr>
            </w:pPr>
            <w:r>
              <w:rPr>
                <w:rFonts w:hint="eastAsia"/>
                <w:sz w:val="24"/>
              </w:rPr>
              <w:t>人员伤亡情况</w:t>
            </w:r>
          </w:p>
        </w:tc>
        <w:tc>
          <w:tcPr>
            <w:tcW w:w="4338" w:type="dxa"/>
            <w:gridSpan w:val="3"/>
          </w:tcPr>
          <w:p w:rsidR="00B04AE3" w:rsidRDefault="00B04AE3">
            <w:pPr>
              <w:pStyle w:val="TableParagraph"/>
              <w:jc w:val="left"/>
              <w:rPr>
                <w:rFonts w:ascii="Times New Roman"/>
              </w:rPr>
            </w:pPr>
          </w:p>
        </w:tc>
      </w:tr>
      <w:tr w:rsidR="00B04AE3">
        <w:trPr>
          <w:trHeight w:val="466"/>
        </w:trPr>
        <w:tc>
          <w:tcPr>
            <w:tcW w:w="1958" w:type="dxa"/>
          </w:tcPr>
          <w:p w:rsidR="00B04AE3" w:rsidRDefault="00B04AE3">
            <w:pPr>
              <w:pStyle w:val="TableParagraph"/>
              <w:spacing w:before="1"/>
              <w:ind w:left="106"/>
              <w:jc w:val="left"/>
              <w:rPr>
                <w:sz w:val="24"/>
              </w:rPr>
            </w:pPr>
            <w:r>
              <w:rPr>
                <w:rFonts w:hint="eastAsia"/>
                <w:sz w:val="24"/>
              </w:rPr>
              <w:t>受影响范围</w:t>
            </w:r>
          </w:p>
        </w:tc>
        <w:tc>
          <w:tcPr>
            <w:tcW w:w="7704" w:type="dxa"/>
            <w:gridSpan w:val="5"/>
          </w:tcPr>
          <w:p w:rsidR="00B04AE3" w:rsidRDefault="00B04AE3">
            <w:pPr>
              <w:pStyle w:val="TableParagraph"/>
              <w:jc w:val="left"/>
              <w:rPr>
                <w:rFonts w:ascii="Times New Roman"/>
              </w:rPr>
            </w:pPr>
          </w:p>
        </w:tc>
      </w:tr>
      <w:tr w:rsidR="00B04AE3">
        <w:trPr>
          <w:trHeight w:val="10922"/>
        </w:trPr>
        <w:tc>
          <w:tcPr>
            <w:tcW w:w="9662" w:type="dxa"/>
            <w:gridSpan w:val="6"/>
          </w:tcPr>
          <w:p w:rsidR="00B04AE3" w:rsidRDefault="00B04AE3">
            <w:pPr>
              <w:pStyle w:val="TableParagraph"/>
              <w:spacing w:before="2"/>
              <w:ind w:left="106"/>
              <w:jc w:val="left"/>
              <w:rPr>
                <w:sz w:val="24"/>
              </w:rPr>
            </w:pPr>
            <w:r>
              <w:rPr>
                <w:rFonts w:hint="eastAsia"/>
                <w:sz w:val="24"/>
              </w:rPr>
              <w:t>事件过程及善后措施</w:t>
            </w: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jc w:val="left"/>
              <w:rPr>
                <w:b/>
                <w:sz w:val="24"/>
              </w:rPr>
            </w:pPr>
          </w:p>
          <w:p w:rsidR="00B04AE3" w:rsidRDefault="00B04AE3">
            <w:pPr>
              <w:pStyle w:val="TableParagraph"/>
              <w:spacing w:before="11"/>
              <w:jc w:val="left"/>
              <w:rPr>
                <w:b/>
              </w:rPr>
            </w:pPr>
          </w:p>
          <w:p w:rsidR="00B04AE3" w:rsidRDefault="00B04AE3">
            <w:pPr>
              <w:pStyle w:val="TableParagraph"/>
              <w:jc w:val="left"/>
              <w:rPr>
                <w:rFonts w:ascii="Times New Roman"/>
              </w:rPr>
            </w:pPr>
            <w:r>
              <w:rPr>
                <w:rFonts w:hint="eastAsia"/>
                <w:sz w:val="24"/>
              </w:rPr>
              <w:t>单位签章年</w:t>
            </w:r>
            <w:r>
              <w:rPr>
                <w:sz w:val="24"/>
              </w:rPr>
              <w:t xml:space="preserve"> </w:t>
            </w:r>
            <w:r>
              <w:rPr>
                <w:rFonts w:hint="eastAsia"/>
                <w:sz w:val="24"/>
              </w:rPr>
              <w:t>月</w:t>
            </w:r>
            <w:r>
              <w:rPr>
                <w:sz w:val="24"/>
              </w:rPr>
              <w:t xml:space="preserve"> </w:t>
            </w:r>
            <w:r>
              <w:rPr>
                <w:rFonts w:hint="eastAsia"/>
                <w:sz w:val="24"/>
              </w:rPr>
              <w:t>日</w:t>
            </w:r>
          </w:p>
        </w:tc>
      </w:tr>
    </w:tbl>
    <w:p w:rsidR="00B04AE3" w:rsidRDefault="00B04AE3">
      <w:pPr>
        <w:rPr>
          <w:rFonts w:ascii="Times New Roman"/>
        </w:rPr>
        <w:sectPr w:rsidR="00B04AE3">
          <w:pgSz w:w="11910" w:h="16840"/>
          <w:pgMar w:top="1360" w:right="1000" w:bottom="1180" w:left="1000" w:header="878" w:footer="993" w:gutter="0"/>
          <w:cols w:space="720"/>
        </w:sectPr>
      </w:pPr>
    </w:p>
    <w:p w:rsidR="00B04AE3" w:rsidRDefault="00B04AE3">
      <w:pPr>
        <w:pStyle w:val="BodyText"/>
        <w:spacing w:before="5"/>
        <w:rPr>
          <w:rFonts w:ascii="Times New Roman"/>
          <w:sz w:val="8"/>
        </w:rPr>
      </w:pPr>
    </w:p>
    <w:tbl>
      <w:tblPr>
        <w:tblW w:w="6154" w:type="dxa"/>
        <w:tblInd w:w="546" w:type="dxa"/>
        <w:tblLayout w:type="fixed"/>
        <w:tblCellMar>
          <w:left w:w="0" w:type="dxa"/>
          <w:right w:w="0" w:type="dxa"/>
        </w:tblCellMar>
        <w:tblLook w:val="00A0"/>
      </w:tblPr>
      <w:tblGrid>
        <w:gridCol w:w="1435"/>
        <w:gridCol w:w="601"/>
        <w:gridCol w:w="559"/>
        <w:gridCol w:w="1221"/>
        <w:gridCol w:w="2338"/>
      </w:tblGrid>
      <w:tr w:rsidR="00B04AE3">
        <w:trPr>
          <w:trHeight w:val="276"/>
        </w:trPr>
        <w:tc>
          <w:tcPr>
            <w:tcW w:w="2595" w:type="dxa"/>
            <w:gridSpan w:val="3"/>
          </w:tcPr>
          <w:p w:rsidR="00B04AE3" w:rsidRDefault="00B04AE3">
            <w:pPr>
              <w:pStyle w:val="TableParagraph"/>
              <w:jc w:val="left"/>
              <w:rPr>
                <w:rFonts w:ascii="Times New Roman"/>
                <w:sz w:val="20"/>
              </w:rPr>
            </w:pPr>
          </w:p>
        </w:tc>
        <w:tc>
          <w:tcPr>
            <w:tcW w:w="1221" w:type="dxa"/>
          </w:tcPr>
          <w:p w:rsidR="00B04AE3" w:rsidRDefault="00B04AE3">
            <w:pPr>
              <w:pStyle w:val="TableParagraph"/>
              <w:spacing w:line="256" w:lineRule="exact"/>
              <w:ind w:left="138"/>
              <w:jc w:val="left"/>
              <w:rPr>
                <w:b/>
                <w:sz w:val="24"/>
              </w:rPr>
            </w:pPr>
            <w:bookmarkStart w:id="229" w:name="附件十四__应急预案培训考核表"/>
            <w:bookmarkEnd w:id="229"/>
            <w:r>
              <w:rPr>
                <w:rFonts w:hint="eastAsia"/>
                <w:b/>
                <w:sz w:val="24"/>
              </w:rPr>
              <w:t>附件十四</w:t>
            </w:r>
          </w:p>
        </w:tc>
        <w:tc>
          <w:tcPr>
            <w:tcW w:w="2338" w:type="dxa"/>
          </w:tcPr>
          <w:p w:rsidR="00B04AE3" w:rsidRDefault="00B04AE3">
            <w:pPr>
              <w:pStyle w:val="TableParagraph"/>
              <w:spacing w:line="256" w:lineRule="exact"/>
              <w:ind w:left="121"/>
              <w:jc w:val="left"/>
              <w:rPr>
                <w:b/>
                <w:sz w:val="24"/>
              </w:rPr>
            </w:pPr>
            <w:r>
              <w:rPr>
                <w:rFonts w:hint="eastAsia"/>
                <w:b/>
                <w:sz w:val="24"/>
              </w:rPr>
              <w:t>应急预案培训考核表</w:t>
            </w:r>
          </w:p>
        </w:tc>
      </w:tr>
      <w:tr w:rsidR="00B04AE3">
        <w:trPr>
          <w:trHeight w:val="276"/>
        </w:trPr>
        <w:tc>
          <w:tcPr>
            <w:tcW w:w="1435" w:type="dxa"/>
          </w:tcPr>
          <w:p w:rsidR="00B04AE3" w:rsidRDefault="00B04AE3">
            <w:pPr>
              <w:pStyle w:val="TableParagraph"/>
              <w:spacing w:before="2" w:line="254" w:lineRule="exact"/>
              <w:ind w:left="50"/>
              <w:jc w:val="left"/>
              <w:rPr>
                <w:b/>
                <w:sz w:val="24"/>
              </w:rPr>
            </w:pPr>
            <w:r>
              <w:rPr>
                <w:rFonts w:hint="eastAsia"/>
                <w:b/>
                <w:sz w:val="24"/>
              </w:rPr>
              <w:t>填表日期：</w:t>
            </w:r>
          </w:p>
        </w:tc>
        <w:tc>
          <w:tcPr>
            <w:tcW w:w="601" w:type="dxa"/>
          </w:tcPr>
          <w:p w:rsidR="00B04AE3" w:rsidRDefault="00B04AE3">
            <w:pPr>
              <w:pStyle w:val="TableParagraph"/>
              <w:spacing w:before="2" w:line="254" w:lineRule="exact"/>
              <w:ind w:left="179"/>
              <w:jc w:val="left"/>
              <w:rPr>
                <w:b/>
                <w:sz w:val="24"/>
              </w:rPr>
            </w:pPr>
            <w:r>
              <w:rPr>
                <w:rFonts w:hint="eastAsia"/>
                <w:b/>
                <w:w w:val="99"/>
                <w:sz w:val="24"/>
              </w:rPr>
              <w:t>年</w:t>
            </w:r>
          </w:p>
        </w:tc>
        <w:tc>
          <w:tcPr>
            <w:tcW w:w="559" w:type="dxa"/>
          </w:tcPr>
          <w:p w:rsidR="00B04AE3" w:rsidRDefault="00B04AE3">
            <w:pPr>
              <w:pStyle w:val="TableParagraph"/>
              <w:spacing w:before="2" w:line="254" w:lineRule="exact"/>
              <w:ind w:left="181"/>
              <w:jc w:val="left"/>
              <w:rPr>
                <w:b/>
                <w:sz w:val="24"/>
              </w:rPr>
            </w:pPr>
            <w:r>
              <w:rPr>
                <w:rFonts w:hint="eastAsia"/>
                <w:b/>
                <w:w w:val="99"/>
                <w:sz w:val="24"/>
              </w:rPr>
              <w:t>月</w:t>
            </w:r>
          </w:p>
        </w:tc>
        <w:tc>
          <w:tcPr>
            <w:tcW w:w="1221" w:type="dxa"/>
          </w:tcPr>
          <w:p w:rsidR="00B04AE3" w:rsidRDefault="00B04AE3">
            <w:pPr>
              <w:pStyle w:val="TableParagraph"/>
              <w:spacing w:before="2" w:line="254" w:lineRule="exact"/>
              <w:ind w:left="222"/>
              <w:jc w:val="left"/>
              <w:rPr>
                <w:b/>
                <w:sz w:val="24"/>
              </w:rPr>
            </w:pPr>
            <w:r>
              <w:rPr>
                <w:rFonts w:hint="eastAsia"/>
                <w:b/>
                <w:w w:val="99"/>
                <w:sz w:val="24"/>
              </w:rPr>
              <w:t>日</w:t>
            </w:r>
          </w:p>
        </w:tc>
        <w:tc>
          <w:tcPr>
            <w:tcW w:w="2338" w:type="dxa"/>
          </w:tcPr>
          <w:p w:rsidR="00B04AE3" w:rsidRDefault="00B04AE3">
            <w:pPr>
              <w:pStyle w:val="TableParagraph"/>
              <w:spacing w:before="32" w:line="224" w:lineRule="exact"/>
              <w:ind w:left="1492"/>
              <w:jc w:val="left"/>
              <w:rPr>
                <w:sz w:val="21"/>
              </w:rPr>
            </w:pPr>
            <w:r>
              <w:rPr>
                <w:rFonts w:hint="eastAsia"/>
                <w:sz w:val="21"/>
              </w:rPr>
              <w:t>编号：</w:t>
            </w:r>
          </w:p>
        </w:tc>
      </w:tr>
    </w:tbl>
    <w:p w:rsidR="00B04AE3" w:rsidRDefault="00B04AE3">
      <w:pPr>
        <w:pStyle w:val="BodyText"/>
        <w:spacing w:before="7" w:after="1"/>
        <w:rPr>
          <w:rFonts w:ascii="Times New Roman"/>
          <w:sz w:val="16"/>
        </w:rPr>
      </w:pPr>
      <w:bookmarkStart w:id="230" w:name="附件十五__应急救援协议"/>
      <w:bookmarkEnd w:id="230"/>
    </w:p>
    <w:tbl>
      <w:tblPr>
        <w:tblW w:w="9662"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207"/>
        <w:gridCol w:w="1207"/>
        <w:gridCol w:w="1208"/>
        <w:gridCol w:w="1208"/>
        <w:gridCol w:w="1208"/>
        <w:gridCol w:w="1208"/>
        <w:gridCol w:w="1208"/>
        <w:gridCol w:w="1208"/>
      </w:tblGrid>
      <w:tr w:rsidR="00B04AE3">
        <w:trPr>
          <w:trHeight w:val="1160"/>
        </w:trPr>
        <w:tc>
          <w:tcPr>
            <w:tcW w:w="1207" w:type="dxa"/>
          </w:tcPr>
          <w:p w:rsidR="00B04AE3" w:rsidRDefault="00B04AE3">
            <w:pPr>
              <w:pStyle w:val="TableParagraph"/>
              <w:jc w:val="left"/>
              <w:rPr>
                <w:rFonts w:ascii="Times New Roman"/>
                <w:sz w:val="20"/>
              </w:rPr>
            </w:pPr>
          </w:p>
          <w:p w:rsidR="00B04AE3" w:rsidRDefault="00B04AE3">
            <w:pPr>
              <w:pStyle w:val="TableParagraph"/>
              <w:spacing w:before="8"/>
              <w:jc w:val="left"/>
              <w:rPr>
                <w:rFonts w:ascii="Times New Roman"/>
                <w:sz w:val="18"/>
              </w:rPr>
            </w:pPr>
          </w:p>
          <w:p w:rsidR="00B04AE3" w:rsidRDefault="00B04AE3">
            <w:pPr>
              <w:pStyle w:val="TableParagraph"/>
              <w:ind w:left="160" w:right="155"/>
              <w:rPr>
                <w:sz w:val="21"/>
              </w:rPr>
            </w:pPr>
            <w:r>
              <w:rPr>
                <w:rFonts w:hint="eastAsia"/>
                <w:sz w:val="21"/>
              </w:rPr>
              <w:t>姓名</w:t>
            </w:r>
          </w:p>
        </w:tc>
        <w:tc>
          <w:tcPr>
            <w:tcW w:w="1207" w:type="dxa"/>
          </w:tcPr>
          <w:p w:rsidR="00B04AE3" w:rsidRDefault="00B04AE3">
            <w:pPr>
              <w:pStyle w:val="TableParagraph"/>
              <w:jc w:val="left"/>
              <w:rPr>
                <w:rFonts w:ascii="Times New Roman"/>
                <w:sz w:val="20"/>
              </w:rPr>
            </w:pPr>
          </w:p>
        </w:tc>
        <w:tc>
          <w:tcPr>
            <w:tcW w:w="1208" w:type="dxa"/>
          </w:tcPr>
          <w:p w:rsidR="00B04AE3" w:rsidRDefault="00B04AE3">
            <w:pPr>
              <w:pStyle w:val="TableParagraph"/>
              <w:spacing w:before="9"/>
              <w:jc w:val="left"/>
              <w:rPr>
                <w:rFonts w:ascii="Times New Roman"/>
                <w:sz w:val="26"/>
              </w:rPr>
            </w:pPr>
          </w:p>
          <w:p w:rsidR="00B04AE3" w:rsidRDefault="00B04AE3">
            <w:pPr>
              <w:pStyle w:val="TableParagraph"/>
              <w:spacing w:before="1" w:line="242" w:lineRule="auto"/>
              <w:ind w:left="392" w:right="40" w:hanging="286"/>
              <w:jc w:val="left"/>
              <w:rPr>
                <w:sz w:val="21"/>
              </w:rPr>
            </w:pPr>
            <w:r>
              <w:rPr>
                <w:rFonts w:hint="eastAsia"/>
                <w:sz w:val="21"/>
              </w:rPr>
              <w:t>所属部门、车间</w:t>
            </w: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p w:rsidR="00B04AE3" w:rsidRDefault="00B04AE3">
            <w:pPr>
              <w:pStyle w:val="TableParagraph"/>
              <w:spacing w:before="8"/>
              <w:jc w:val="left"/>
              <w:rPr>
                <w:rFonts w:ascii="Times New Roman"/>
                <w:sz w:val="18"/>
              </w:rPr>
            </w:pPr>
          </w:p>
          <w:p w:rsidR="00B04AE3" w:rsidRDefault="00B04AE3">
            <w:pPr>
              <w:pStyle w:val="TableParagraph"/>
              <w:ind w:left="393"/>
              <w:jc w:val="left"/>
              <w:rPr>
                <w:sz w:val="21"/>
              </w:rPr>
            </w:pPr>
            <w:r>
              <w:rPr>
                <w:rFonts w:hint="eastAsia"/>
                <w:sz w:val="21"/>
              </w:rPr>
              <w:t>职务</w:t>
            </w: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p w:rsidR="00B04AE3" w:rsidRDefault="00B04AE3">
            <w:pPr>
              <w:pStyle w:val="TableParagraph"/>
              <w:spacing w:before="8"/>
              <w:jc w:val="left"/>
              <w:rPr>
                <w:rFonts w:ascii="Times New Roman"/>
                <w:sz w:val="18"/>
              </w:rPr>
            </w:pPr>
          </w:p>
          <w:p w:rsidR="00B04AE3" w:rsidRDefault="00B04AE3">
            <w:pPr>
              <w:pStyle w:val="TableParagraph"/>
              <w:ind w:left="182"/>
              <w:jc w:val="left"/>
              <w:rPr>
                <w:sz w:val="21"/>
              </w:rPr>
            </w:pPr>
            <w:r>
              <w:rPr>
                <w:rFonts w:hint="eastAsia"/>
                <w:sz w:val="21"/>
              </w:rPr>
              <w:t>工作时间</w:t>
            </w:r>
          </w:p>
        </w:tc>
        <w:tc>
          <w:tcPr>
            <w:tcW w:w="1208" w:type="dxa"/>
          </w:tcPr>
          <w:p w:rsidR="00B04AE3" w:rsidRDefault="00B04AE3">
            <w:pPr>
              <w:pStyle w:val="TableParagraph"/>
              <w:jc w:val="left"/>
              <w:rPr>
                <w:rFonts w:ascii="Times New Roman"/>
                <w:sz w:val="20"/>
              </w:rPr>
            </w:pPr>
          </w:p>
        </w:tc>
      </w:tr>
      <w:tr w:rsidR="00B04AE3">
        <w:trPr>
          <w:trHeight w:val="581"/>
        </w:trPr>
        <w:tc>
          <w:tcPr>
            <w:tcW w:w="1207" w:type="dxa"/>
          </w:tcPr>
          <w:p w:rsidR="00B04AE3" w:rsidRDefault="00B04AE3">
            <w:pPr>
              <w:pStyle w:val="TableParagraph"/>
              <w:spacing w:before="155"/>
              <w:ind w:left="162" w:right="155"/>
              <w:rPr>
                <w:sz w:val="21"/>
              </w:rPr>
            </w:pPr>
            <w:r>
              <w:rPr>
                <w:rFonts w:hint="eastAsia"/>
                <w:sz w:val="21"/>
              </w:rPr>
              <w:t>培训时间</w:t>
            </w:r>
          </w:p>
        </w:tc>
        <w:tc>
          <w:tcPr>
            <w:tcW w:w="1207" w:type="dxa"/>
          </w:tcPr>
          <w:p w:rsidR="00B04AE3" w:rsidRDefault="00B04AE3">
            <w:pPr>
              <w:pStyle w:val="TableParagraph"/>
              <w:jc w:val="left"/>
              <w:rPr>
                <w:rFonts w:ascii="Times New Roman"/>
                <w:sz w:val="20"/>
              </w:rPr>
            </w:pPr>
          </w:p>
        </w:tc>
        <w:tc>
          <w:tcPr>
            <w:tcW w:w="1208" w:type="dxa"/>
          </w:tcPr>
          <w:p w:rsidR="00B04AE3" w:rsidRDefault="00B04AE3">
            <w:pPr>
              <w:pStyle w:val="TableParagraph"/>
              <w:spacing w:before="155"/>
              <w:ind w:left="183"/>
              <w:jc w:val="left"/>
              <w:rPr>
                <w:sz w:val="21"/>
              </w:rPr>
            </w:pPr>
            <w:r>
              <w:rPr>
                <w:rFonts w:hint="eastAsia"/>
                <w:sz w:val="21"/>
              </w:rPr>
              <w:t>培训项目</w:t>
            </w:r>
          </w:p>
        </w:tc>
        <w:tc>
          <w:tcPr>
            <w:tcW w:w="2416" w:type="dxa"/>
            <w:gridSpan w:val="2"/>
          </w:tcPr>
          <w:p w:rsidR="00B04AE3" w:rsidRDefault="00B04AE3">
            <w:pPr>
              <w:pStyle w:val="TableParagraph"/>
              <w:jc w:val="left"/>
              <w:rPr>
                <w:rFonts w:ascii="Times New Roman"/>
                <w:sz w:val="20"/>
              </w:rPr>
            </w:pPr>
          </w:p>
        </w:tc>
        <w:tc>
          <w:tcPr>
            <w:tcW w:w="2416" w:type="dxa"/>
            <w:gridSpan w:val="2"/>
          </w:tcPr>
          <w:p w:rsidR="00B04AE3" w:rsidRDefault="00B04AE3">
            <w:pPr>
              <w:pStyle w:val="TableParagraph"/>
              <w:spacing w:before="155"/>
              <w:ind w:left="368"/>
              <w:jc w:val="left"/>
              <w:rPr>
                <w:sz w:val="21"/>
              </w:rPr>
            </w:pPr>
            <w:r>
              <w:rPr>
                <w:rFonts w:hint="eastAsia"/>
                <w:sz w:val="21"/>
              </w:rPr>
              <w:t>所属应急救援组织</w:t>
            </w:r>
          </w:p>
        </w:tc>
        <w:tc>
          <w:tcPr>
            <w:tcW w:w="1208" w:type="dxa"/>
          </w:tcPr>
          <w:p w:rsidR="00B04AE3" w:rsidRDefault="00B04AE3">
            <w:pPr>
              <w:pStyle w:val="TableParagraph"/>
              <w:jc w:val="left"/>
              <w:rPr>
                <w:rFonts w:ascii="Times New Roman"/>
                <w:sz w:val="20"/>
              </w:rPr>
            </w:pPr>
          </w:p>
        </w:tc>
      </w:tr>
      <w:tr w:rsidR="00B04AE3">
        <w:trPr>
          <w:trHeight w:val="580"/>
        </w:trPr>
        <w:tc>
          <w:tcPr>
            <w:tcW w:w="6038" w:type="dxa"/>
            <w:gridSpan w:val="5"/>
          </w:tcPr>
          <w:p w:rsidR="00B04AE3" w:rsidRDefault="00B04AE3">
            <w:pPr>
              <w:pStyle w:val="TableParagraph"/>
              <w:spacing w:before="155"/>
              <w:ind w:left="2576" w:right="2571"/>
              <w:rPr>
                <w:sz w:val="21"/>
              </w:rPr>
            </w:pPr>
            <w:r>
              <w:rPr>
                <w:rFonts w:hint="eastAsia"/>
                <w:sz w:val="21"/>
              </w:rPr>
              <w:t>考核内容</w:t>
            </w: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r>
      <w:tr w:rsidR="00B04AE3">
        <w:trPr>
          <w:trHeight w:val="544"/>
        </w:trPr>
        <w:tc>
          <w:tcPr>
            <w:tcW w:w="6038" w:type="dxa"/>
            <w:gridSpan w:val="5"/>
          </w:tcPr>
          <w:p w:rsidR="00B04AE3" w:rsidRDefault="00B04AE3">
            <w:pPr>
              <w:pStyle w:val="TableParagraph"/>
              <w:spacing w:before="135"/>
              <w:ind w:left="2576" w:right="2569"/>
              <w:rPr>
                <w:sz w:val="21"/>
              </w:rPr>
            </w:pPr>
            <w:r>
              <w:rPr>
                <w:rFonts w:hint="eastAsia"/>
                <w:sz w:val="21"/>
              </w:rPr>
              <w:t>口述：</w:t>
            </w: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r>
      <w:tr w:rsidR="00B04AE3">
        <w:trPr>
          <w:trHeight w:val="581"/>
        </w:trPr>
        <w:tc>
          <w:tcPr>
            <w:tcW w:w="6038" w:type="dxa"/>
            <w:gridSpan w:val="5"/>
          </w:tcPr>
          <w:p w:rsidR="00B04AE3" w:rsidRDefault="00B04AE3">
            <w:pPr>
              <w:pStyle w:val="TableParagraph"/>
              <w:spacing w:before="154"/>
              <w:ind w:left="2576" w:right="2569"/>
              <w:rPr>
                <w:sz w:val="21"/>
              </w:rPr>
            </w:pPr>
            <w:r>
              <w:rPr>
                <w:rFonts w:hint="eastAsia"/>
                <w:sz w:val="21"/>
              </w:rPr>
              <w:t>笔试：</w:t>
            </w: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r>
      <w:tr w:rsidR="00B04AE3">
        <w:trPr>
          <w:trHeight w:val="580"/>
        </w:trPr>
        <w:tc>
          <w:tcPr>
            <w:tcW w:w="6038" w:type="dxa"/>
            <w:gridSpan w:val="5"/>
          </w:tcPr>
          <w:p w:rsidR="00B04AE3" w:rsidRDefault="00B04AE3">
            <w:pPr>
              <w:pStyle w:val="TableParagraph"/>
              <w:spacing w:before="154"/>
              <w:ind w:left="2576" w:right="2569"/>
              <w:rPr>
                <w:sz w:val="21"/>
              </w:rPr>
            </w:pPr>
            <w:r>
              <w:rPr>
                <w:rFonts w:hint="eastAsia"/>
                <w:sz w:val="21"/>
              </w:rPr>
              <w:t>实操：</w:t>
            </w: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r>
      <w:tr w:rsidR="00B04AE3">
        <w:trPr>
          <w:trHeight w:val="580"/>
        </w:trPr>
        <w:tc>
          <w:tcPr>
            <w:tcW w:w="6038" w:type="dxa"/>
            <w:gridSpan w:val="5"/>
          </w:tcPr>
          <w:p w:rsidR="00B04AE3" w:rsidRDefault="00B04AE3">
            <w:pPr>
              <w:pStyle w:val="TableParagraph"/>
              <w:spacing w:before="156"/>
              <w:ind w:left="420"/>
              <w:jc w:val="left"/>
              <w:rPr>
                <w:sz w:val="21"/>
              </w:rPr>
            </w:pPr>
            <w:r>
              <w:rPr>
                <w:rFonts w:hint="eastAsia"/>
                <w:sz w:val="21"/>
              </w:rPr>
              <w:t>综合得分（口述占</w:t>
            </w:r>
            <w:r>
              <w:rPr>
                <w:sz w:val="21"/>
              </w:rPr>
              <w:t xml:space="preserve"> </w:t>
            </w:r>
            <w:r>
              <w:rPr>
                <w:rFonts w:ascii="Times New Roman" w:eastAsia="Times New Roman"/>
                <w:sz w:val="21"/>
              </w:rPr>
              <w:t>30</w:t>
            </w:r>
            <w:r>
              <w:rPr>
                <w:rFonts w:hint="eastAsia"/>
                <w:sz w:val="21"/>
              </w:rPr>
              <w:t>％，笔试占</w:t>
            </w:r>
            <w:r>
              <w:rPr>
                <w:sz w:val="21"/>
              </w:rPr>
              <w:t xml:space="preserve"> </w:t>
            </w:r>
            <w:r>
              <w:rPr>
                <w:rFonts w:ascii="Times New Roman" w:eastAsia="Times New Roman"/>
                <w:sz w:val="21"/>
              </w:rPr>
              <w:t>30</w:t>
            </w:r>
            <w:r>
              <w:rPr>
                <w:rFonts w:hint="eastAsia"/>
                <w:sz w:val="21"/>
              </w:rPr>
              <w:t>％，实操占</w:t>
            </w:r>
            <w:r>
              <w:rPr>
                <w:sz w:val="21"/>
              </w:rPr>
              <w:t xml:space="preserve"> </w:t>
            </w:r>
            <w:r>
              <w:rPr>
                <w:rFonts w:ascii="Times New Roman" w:eastAsia="Times New Roman"/>
                <w:sz w:val="21"/>
              </w:rPr>
              <w:t>40</w:t>
            </w:r>
            <w:r>
              <w:rPr>
                <w:rFonts w:hint="eastAsia"/>
                <w:sz w:val="21"/>
              </w:rPr>
              <w:t>％，）</w:t>
            </w: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c>
          <w:tcPr>
            <w:tcW w:w="1208" w:type="dxa"/>
          </w:tcPr>
          <w:p w:rsidR="00B04AE3" w:rsidRDefault="00B04AE3">
            <w:pPr>
              <w:pStyle w:val="TableParagraph"/>
              <w:jc w:val="left"/>
              <w:rPr>
                <w:rFonts w:ascii="Times New Roman"/>
                <w:sz w:val="20"/>
              </w:rPr>
            </w:pPr>
          </w:p>
        </w:tc>
      </w:tr>
      <w:tr w:rsidR="00B04AE3">
        <w:trPr>
          <w:trHeight w:val="581"/>
        </w:trPr>
        <w:tc>
          <w:tcPr>
            <w:tcW w:w="9662" w:type="dxa"/>
            <w:gridSpan w:val="8"/>
          </w:tcPr>
          <w:p w:rsidR="00B04AE3" w:rsidRDefault="00B04AE3">
            <w:pPr>
              <w:pStyle w:val="TableParagraph"/>
              <w:spacing w:before="155"/>
              <w:ind w:left="3968" w:right="3963"/>
              <w:rPr>
                <w:sz w:val="21"/>
              </w:rPr>
            </w:pPr>
            <w:r>
              <w:rPr>
                <w:rFonts w:hint="eastAsia"/>
                <w:sz w:val="21"/>
              </w:rPr>
              <w:t>主考部门综合评价</w:t>
            </w:r>
          </w:p>
        </w:tc>
      </w:tr>
      <w:tr w:rsidR="00B04AE3">
        <w:trPr>
          <w:trHeight w:val="581"/>
        </w:trPr>
        <w:tc>
          <w:tcPr>
            <w:tcW w:w="4830" w:type="dxa"/>
            <w:gridSpan w:val="4"/>
          </w:tcPr>
          <w:p w:rsidR="00B04AE3" w:rsidRDefault="00B04AE3">
            <w:pPr>
              <w:pStyle w:val="TableParagraph"/>
              <w:spacing w:before="154"/>
              <w:ind w:left="1469"/>
              <w:jc w:val="left"/>
              <w:rPr>
                <w:sz w:val="21"/>
              </w:rPr>
            </w:pPr>
            <w:r>
              <w:rPr>
                <w:rFonts w:hint="eastAsia"/>
                <w:sz w:val="21"/>
              </w:rPr>
              <w:t>应急救援指挥办公室</w:t>
            </w:r>
          </w:p>
        </w:tc>
        <w:tc>
          <w:tcPr>
            <w:tcW w:w="4832" w:type="dxa"/>
            <w:gridSpan w:val="4"/>
          </w:tcPr>
          <w:p w:rsidR="00B04AE3" w:rsidRDefault="00B04AE3">
            <w:pPr>
              <w:pStyle w:val="TableParagraph"/>
              <w:spacing w:before="154"/>
              <w:ind w:left="1659" w:right="1653"/>
              <w:rPr>
                <w:sz w:val="21"/>
              </w:rPr>
            </w:pPr>
            <w:r>
              <w:rPr>
                <w:rFonts w:hint="eastAsia"/>
                <w:sz w:val="21"/>
              </w:rPr>
              <w:t>应急救援指挥部</w:t>
            </w:r>
          </w:p>
        </w:tc>
      </w:tr>
      <w:tr w:rsidR="00B04AE3">
        <w:trPr>
          <w:trHeight w:val="5913"/>
        </w:trPr>
        <w:tc>
          <w:tcPr>
            <w:tcW w:w="4830" w:type="dxa"/>
            <w:gridSpan w:val="4"/>
          </w:tcPr>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spacing w:before="8"/>
              <w:jc w:val="left"/>
              <w:rPr>
                <w:rFonts w:ascii="Times New Roman"/>
                <w:sz w:val="18"/>
              </w:rPr>
            </w:pPr>
          </w:p>
          <w:p w:rsidR="00B04AE3" w:rsidRDefault="00B04AE3">
            <w:pPr>
              <w:pStyle w:val="TableParagraph"/>
              <w:ind w:left="1995"/>
              <w:jc w:val="left"/>
              <w:rPr>
                <w:sz w:val="21"/>
              </w:rPr>
            </w:pPr>
            <w:r>
              <w:rPr>
                <w:rFonts w:hint="eastAsia"/>
                <w:sz w:val="21"/>
              </w:rPr>
              <w:t>主任（签字）：</w:t>
            </w:r>
          </w:p>
        </w:tc>
        <w:tc>
          <w:tcPr>
            <w:tcW w:w="4832" w:type="dxa"/>
            <w:gridSpan w:val="4"/>
          </w:tcPr>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jc w:val="left"/>
              <w:rPr>
                <w:rFonts w:ascii="Times New Roman"/>
                <w:sz w:val="20"/>
              </w:rPr>
            </w:pPr>
          </w:p>
          <w:p w:rsidR="00B04AE3" w:rsidRDefault="00B04AE3">
            <w:pPr>
              <w:pStyle w:val="TableParagraph"/>
              <w:spacing w:before="8"/>
              <w:jc w:val="left"/>
              <w:rPr>
                <w:rFonts w:ascii="Times New Roman"/>
                <w:sz w:val="18"/>
              </w:rPr>
            </w:pPr>
          </w:p>
          <w:p w:rsidR="00B04AE3" w:rsidRDefault="00B04AE3">
            <w:pPr>
              <w:pStyle w:val="TableParagraph"/>
              <w:ind w:left="2258"/>
              <w:jc w:val="left"/>
              <w:rPr>
                <w:sz w:val="21"/>
              </w:rPr>
            </w:pPr>
            <w:r>
              <w:rPr>
                <w:rFonts w:hint="eastAsia"/>
                <w:sz w:val="21"/>
              </w:rPr>
              <w:t>总指挥（签字）：</w:t>
            </w:r>
          </w:p>
        </w:tc>
      </w:tr>
    </w:tbl>
    <w:p w:rsidR="00B04AE3" w:rsidRDefault="00B04AE3">
      <w:pPr>
        <w:rPr>
          <w:sz w:val="21"/>
        </w:rPr>
        <w:sectPr w:rsidR="00B04AE3">
          <w:pgSz w:w="11910" w:h="16840"/>
          <w:pgMar w:top="1360" w:right="1000" w:bottom="1180" w:left="1000" w:header="878" w:footer="993" w:gutter="0"/>
          <w:cols w:space="720"/>
        </w:sectPr>
      </w:pPr>
    </w:p>
    <w:p w:rsidR="00B04AE3" w:rsidRDefault="00B04AE3">
      <w:pPr>
        <w:tabs>
          <w:tab w:val="left" w:pos="5196"/>
        </w:tabs>
        <w:spacing w:before="64"/>
        <w:ind w:left="3992"/>
        <w:rPr>
          <w:b/>
          <w:sz w:val="24"/>
        </w:rPr>
      </w:pPr>
      <w:r>
        <w:rPr>
          <w:rFonts w:hint="eastAsia"/>
          <w:b/>
          <w:sz w:val="24"/>
        </w:rPr>
        <w:t>附件十六</w:t>
      </w:r>
      <w:r>
        <w:rPr>
          <w:b/>
          <w:sz w:val="24"/>
        </w:rPr>
        <w:tab/>
      </w:r>
      <w:r>
        <w:rPr>
          <w:rFonts w:hint="eastAsia"/>
          <w:b/>
          <w:sz w:val="24"/>
        </w:rPr>
        <w:t>相关环评批复</w:t>
      </w:r>
    </w:p>
    <w:p w:rsidR="00B04AE3" w:rsidRDefault="00B04AE3">
      <w:pPr>
        <w:pStyle w:val="BodyText"/>
        <w:spacing w:before="6" w:after="1"/>
        <w:rPr>
          <w:b/>
        </w:rPr>
      </w:pPr>
    </w:p>
    <w:tbl>
      <w:tblPr>
        <w:tblW w:w="9209"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4604"/>
        <w:gridCol w:w="4605"/>
      </w:tblGrid>
      <w:tr w:rsidR="00B04AE3">
        <w:trPr>
          <w:trHeight w:val="6348"/>
        </w:trPr>
        <w:tc>
          <w:tcPr>
            <w:tcW w:w="4604" w:type="dxa"/>
          </w:tcPr>
          <w:p w:rsidR="00B04AE3" w:rsidRDefault="00B04AE3">
            <w:pPr>
              <w:pStyle w:val="TableParagraph"/>
              <w:ind w:left="109"/>
              <w:jc w:val="left"/>
              <w:rPr>
                <w:sz w:val="20"/>
              </w:rPr>
            </w:pPr>
            <w:r w:rsidRPr="00E43F4D">
              <w:rPr>
                <w:noProof/>
                <w:sz w:val="20"/>
                <w:lang w:val="en-US"/>
              </w:rPr>
              <w:pict>
                <v:shape id="图片 10" o:spid="_x0000_i1044" type="#_x0000_t75" alt="环评更改批复1" style="width:228pt;height:318pt;visibility:visible">
                  <v:imagedata r:id="rId47" o:title=""/>
                </v:shape>
              </w:pict>
            </w:r>
          </w:p>
        </w:tc>
        <w:tc>
          <w:tcPr>
            <w:tcW w:w="4605" w:type="dxa"/>
          </w:tcPr>
          <w:p w:rsidR="00B04AE3" w:rsidRDefault="00B04AE3">
            <w:pPr>
              <w:pStyle w:val="TableParagraph"/>
              <w:spacing w:before="1"/>
              <w:jc w:val="left"/>
              <w:rPr>
                <w:b/>
                <w:sz w:val="3"/>
              </w:rPr>
            </w:pPr>
          </w:p>
          <w:p w:rsidR="00B04AE3" w:rsidRDefault="00B04AE3">
            <w:pPr>
              <w:pStyle w:val="TableParagraph"/>
              <w:ind w:left="108"/>
              <w:jc w:val="left"/>
              <w:rPr>
                <w:sz w:val="20"/>
              </w:rPr>
            </w:pPr>
            <w:r w:rsidRPr="00E43F4D">
              <w:rPr>
                <w:noProof/>
                <w:sz w:val="20"/>
                <w:lang w:val="en-US"/>
              </w:rPr>
              <w:pict>
                <v:shape id="图片 11" o:spid="_x0000_i1045" type="#_x0000_t75" alt="环评更改批复2" style="width:228.75pt;height:318pt;visibility:visible">
                  <v:imagedata r:id="rId48" o:title=""/>
                </v:shape>
              </w:pict>
            </w:r>
          </w:p>
        </w:tc>
      </w:tr>
      <w:tr w:rsidR="00B04AE3">
        <w:trPr>
          <w:trHeight w:val="6346"/>
        </w:trPr>
        <w:tc>
          <w:tcPr>
            <w:tcW w:w="4604" w:type="dxa"/>
          </w:tcPr>
          <w:p w:rsidR="00B04AE3" w:rsidRDefault="00B04AE3">
            <w:pPr>
              <w:pStyle w:val="TableParagraph"/>
              <w:ind w:left="109"/>
              <w:jc w:val="left"/>
              <w:rPr>
                <w:sz w:val="20"/>
              </w:rPr>
            </w:pPr>
            <w:r w:rsidRPr="00E43F4D">
              <w:rPr>
                <w:noProof/>
                <w:sz w:val="20"/>
                <w:lang w:val="en-US"/>
              </w:rPr>
              <w:pict>
                <v:shape id="图片 12" o:spid="_x0000_i1046" type="#_x0000_t75" alt="环评更改批复3" style="width:228pt;height:326.25pt;visibility:visible">
                  <v:imagedata r:id="rId49" o:title=""/>
                </v:shape>
              </w:pict>
            </w:r>
          </w:p>
        </w:tc>
        <w:tc>
          <w:tcPr>
            <w:tcW w:w="4605" w:type="dxa"/>
          </w:tcPr>
          <w:p w:rsidR="00B04AE3" w:rsidRDefault="00B04AE3">
            <w:pPr>
              <w:pStyle w:val="TableParagraph"/>
              <w:ind w:left="108"/>
              <w:jc w:val="left"/>
              <w:rPr>
                <w:sz w:val="20"/>
              </w:rPr>
            </w:pPr>
          </w:p>
        </w:tc>
      </w:tr>
    </w:tbl>
    <w:p w:rsidR="00B04AE3" w:rsidRDefault="00B04AE3">
      <w:pPr>
        <w:rPr>
          <w:sz w:val="20"/>
        </w:rPr>
        <w:sectPr w:rsidR="00B04AE3">
          <w:footerReference w:type="default" r:id="rId50"/>
          <w:pgSz w:w="11910" w:h="16840"/>
          <w:pgMar w:top="1360" w:right="1000" w:bottom="1180" w:left="1000" w:header="878" w:footer="993" w:gutter="0"/>
          <w:pgNumType w:start="100"/>
          <w:cols w:space="720"/>
        </w:sectPr>
      </w:pPr>
    </w:p>
    <w:p w:rsidR="00B04AE3" w:rsidRDefault="00B04AE3">
      <w:pPr>
        <w:tabs>
          <w:tab w:val="left" w:pos="5196"/>
        </w:tabs>
        <w:spacing w:before="64"/>
        <w:ind w:left="3992"/>
        <w:rPr>
          <w:b/>
          <w:sz w:val="24"/>
        </w:rPr>
      </w:pPr>
      <w:r>
        <w:rPr>
          <w:rFonts w:hint="eastAsia"/>
          <w:b/>
          <w:sz w:val="24"/>
        </w:rPr>
        <w:t>附件十七</w:t>
      </w:r>
      <w:r>
        <w:rPr>
          <w:b/>
          <w:sz w:val="24"/>
        </w:rPr>
        <w:tab/>
      </w:r>
      <w:r>
        <w:rPr>
          <w:rFonts w:hint="eastAsia"/>
          <w:b/>
          <w:sz w:val="24"/>
        </w:rPr>
        <w:t>相关验收批复</w:t>
      </w:r>
    </w:p>
    <w:p w:rsidR="00B04AE3" w:rsidRDefault="00B04AE3">
      <w:pPr>
        <w:pStyle w:val="BodyText"/>
        <w:spacing w:before="5"/>
        <w:rPr>
          <w:rFonts w:ascii="Times New Roman"/>
          <w:sz w:val="5"/>
        </w:rPr>
      </w:pPr>
    </w:p>
    <w:p w:rsidR="00B04AE3" w:rsidRDefault="00B04AE3">
      <w:pPr>
        <w:pStyle w:val="BodyText"/>
        <w:spacing w:before="5"/>
        <w:rPr>
          <w:rFonts w:ascii="Times New Roman"/>
          <w:sz w:val="5"/>
        </w:rPr>
      </w:pPr>
    </w:p>
    <w:p w:rsidR="00B04AE3" w:rsidRDefault="00B04AE3">
      <w:pPr>
        <w:pStyle w:val="BodyText"/>
        <w:spacing w:before="5"/>
        <w:rPr>
          <w:rFonts w:ascii="Times New Roman"/>
          <w:sz w:val="5"/>
        </w:rPr>
      </w:pPr>
    </w:p>
    <w:tbl>
      <w:tblPr>
        <w:tblW w:w="9209"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4604"/>
        <w:gridCol w:w="4605"/>
      </w:tblGrid>
      <w:tr w:rsidR="00B04AE3">
        <w:trPr>
          <w:trHeight w:val="6349"/>
        </w:trPr>
        <w:tc>
          <w:tcPr>
            <w:tcW w:w="4604" w:type="dxa"/>
          </w:tcPr>
          <w:p w:rsidR="00B04AE3" w:rsidRDefault="00B04AE3">
            <w:pPr>
              <w:pStyle w:val="TableParagraph"/>
              <w:ind w:left="109"/>
              <w:jc w:val="left"/>
              <w:rPr>
                <w:rFonts w:ascii="Times New Roman"/>
                <w:sz w:val="20"/>
              </w:rPr>
            </w:pPr>
            <w:r w:rsidRPr="00E43F4D">
              <w:rPr>
                <w:rFonts w:ascii="Times New Roman"/>
                <w:noProof/>
                <w:sz w:val="20"/>
                <w:lang w:val="en-US"/>
              </w:rPr>
              <w:pict>
                <v:shape id="图片 13" o:spid="_x0000_i1047" type="#_x0000_t75" alt="二、三期竣工验收的函_00" style="width:226.5pt;height:315.75pt;visibility:visible">
                  <v:imagedata r:id="rId51" o:title=""/>
                </v:shape>
              </w:pict>
            </w:r>
          </w:p>
        </w:tc>
        <w:tc>
          <w:tcPr>
            <w:tcW w:w="4605" w:type="dxa"/>
          </w:tcPr>
          <w:p w:rsidR="00B04AE3" w:rsidRDefault="00B04AE3">
            <w:pPr>
              <w:pStyle w:val="TableParagraph"/>
              <w:ind w:left="108"/>
              <w:jc w:val="left"/>
              <w:rPr>
                <w:rFonts w:ascii="Times New Roman"/>
                <w:sz w:val="20"/>
              </w:rPr>
            </w:pPr>
            <w:r w:rsidRPr="00E43F4D">
              <w:rPr>
                <w:rFonts w:ascii="Times New Roman"/>
                <w:noProof/>
                <w:sz w:val="20"/>
                <w:lang w:val="en-US"/>
              </w:rPr>
              <w:pict>
                <v:shape id="图片 14" o:spid="_x0000_i1048" type="#_x0000_t75" alt="二、三期竣工验收的函_01" style="width:226.5pt;height:314.25pt;visibility:visible">
                  <v:imagedata r:id="rId52" o:title=""/>
                </v:shape>
              </w:pict>
            </w:r>
          </w:p>
        </w:tc>
      </w:tr>
      <w:tr w:rsidR="00B04AE3">
        <w:trPr>
          <w:trHeight w:val="6268"/>
        </w:trPr>
        <w:tc>
          <w:tcPr>
            <w:tcW w:w="4604" w:type="dxa"/>
          </w:tcPr>
          <w:p w:rsidR="00B04AE3" w:rsidRDefault="00B04AE3">
            <w:pPr>
              <w:pStyle w:val="TableParagraph"/>
              <w:spacing w:before="5"/>
              <w:jc w:val="left"/>
              <w:rPr>
                <w:rFonts w:ascii="Times New Roman"/>
                <w:sz w:val="3"/>
              </w:rPr>
            </w:pPr>
          </w:p>
          <w:p w:rsidR="00B04AE3" w:rsidRDefault="00B04AE3">
            <w:pPr>
              <w:pStyle w:val="TableParagraph"/>
              <w:ind w:left="109"/>
              <w:jc w:val="left"/>
              <w:rPr>
                <w:rFonts w:ascii="Times New Roman"/>
                <w:sz w:val="20"/>
              </w:rPr>
            </w:pPr>
            <w:r w:rsidRPr="00E43F4D">
              <w:rPr>
                <w:rFonts w:ascii="Times New Roman"/>
                <w:noProof/>
                <w:sz w:val="20"/>
                <w:lang w:val="en-US"/>
              </w:rPr>
              <w:pict>
                <v:shape id="图片 16" o:spid="_x0000_i1049" type="#_x0000_t75" alt="二、三期竣工验收的函_02" style="width:226.5pt;height:314.25pt;visibility:visible">
                  <v:imagedata r:id="rId53" o:title=""/>
                </v:shape>
              </w:pict>
            </w:r>
          </w:p>
        </w:tc>
        <w:tc>
          <w:tcPr>
            <w:tcW w:w="4605" w:type="dxa"/>
          </w:tcPr>
          <w:p w:rsidR="00B04AE3" w:rsidRDefault="00B04AE3">
            <w:pPr>
              <w:pStyle w:val="TableParagraph"/>
              <w:ind w:left="108"/>
              <w:jc w:val="left"/>
              <w:rPr>
                <w:rFonts w:ascii="Times New Roman"/>
                <w:sz w:val="20"/>
              </w:rPr>
            </w:pPr>
            <w:r w:rsidRPr="00E43F4D">
              <w:rPr>
                <w:rFonts w:ascii="Times New Roman"/>
                <w:noProof/>
                <w:sz w:val="20"/>
                <w:lang w:val="en-US"/>
              </w:rPr>
              <w:pict>
                <v:shape id="图片 18" o:spid="_x0000_i1050" type="#_x0000_t75" alt="二、三期竣工验收的函_03" style="width:226.5pt;height:315.75pt;visibility:visible">
                  <v:imagedata r:id="rId54" o:title=""/>
                </v:shape>
              </w:pict>
            </w:r>
          </w:p>
        </w:tc>
      </w:tr>
    </w:tbl>
    <w:p w:rsidR="00B04AE3" w:rsidRDefault="00B04AE3">
      <w:pPr>
        <w:rPr>
          <w:rFonts w:ascii="Times New Roman"/>
          <w:sz w:val="20"/>
        </w:rPr>
        <w:sectPr w:rsidR="00B04AE3">
          <w:pgSz w:w="11910" w:h="16840"/>
          <w:pgMar w:top="1360" w:right="1000" w:bottom="1180" w:left="1000" w:header="878" w:footer="993" w:gutter="0"/>
          <w:cols w:space="720"/>
        </w:sectPr>
      </w:pPr>
    </w:p>
    <w:p w:rsidR="00B04AE3" w:rsidRDefault="00B04AE3">
      <w:pPr>
        <w:tabs>
          <w:tab w:val="left" w:pos="5196"/>
        </w:tabs>
        <w:spacing w:before="64"/>
        <w:ind w:left="3992"/>
        <w:rPr>
          <w:b/>
          <w:sz w:val="24"/>
        </w:rPr>
      </w:pPr>
      <w:r>
        <w:rPr>
          <w:rFonts w:hint="eastAsia"/>
          <w:b/>
          <w:sz w:val="24"/>
        </w:rPr>
        <w:t>附件十八</w:t>
      </w:r>
      <w:r>
        <w:rPr>
          <w:b/>
          <w:sz w:val="24"/>
        </w:rPr>
        <w:tab/>
      </w:r>
      <w:r>
        <w:rPr>
          <w:rFonts w:hint="eastAsia"/>
          <w:b/>
          <w:sz w:val="24"/>
        </w:rPr>
        <w:t>危废处置协议</w:t>
      </w:r>
    </w:p>
    <w:p w:rsidR="00B04AE3" w:rsidRDefault="00B04AE3">
      <w:pPr>
        <w:pStyle w:val="BodyText"/>
        <w:spacing w:before="5"/>
        <w:rPr>
          <w:rFonts w:ascii="Times New Roman"/>
          <w:sz w:val="5"/>
        </w:rPr>
      </w:pPr>
    </w:p>
    <w:p w:rsidR="00B04AE3" w:rsidRDefault="00B04AE3">
      <w:pPr>
        <w:pStyle w:val="BodyText"/>
        <w:spacing w:before="5"/>
        <w:rPr>
          <w:rFonts w:ascii="Times New Roman"/>
          <w:sz w:val="5"/>
        </w:rPr>
      </w:pPr>
    </w:p>
    <w:tbl>
      <w:tblPr>
        <w:tblW w:w="9209" w:type="dxa"/>
        <w:jc w:val="center"/>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4604"/>
        <w:gridCol w:w="4605"/>
      </w:tblGrid>
      <w:tr w:rsidR="00B04AE3">
        <w:trPr>
          <w:trHeight w:val="6349"/>
          <w:jc w:val="center"/>
        </w:trPr>
        <w:tc>
          <w:tcPr>
            <w:tcW w:w="4604" w:type="dxa"/>
          </w:tcPr>
          <w:p w:rsidR="00B04AE3" w:rsidRDefault="00B04AE3">
            <w:pPr>
              <w:pStyle w:val="TableParagraph"/>
              <w:ind w:left="109"/>
              <w:jc w:val="left"/>
              <w:rPr>
                <w:rFonts w:ascii="Times New Roman"/>
                <w:sz w:val="20"/>
              </w:rPr>
            </w:pPr>
            <w:r w:rsidRPr="00E43F4D">
              <w:rPr>
                <w:rFonts w:ascii="Times New Roman"/>
                <w:noProof/>
                <w:sz w:val="20"/>
                <w:lang w:val="en-US"/>
              </w:rPr>
              <w:pict>
                <v:shape id="图片 23" o:spid="_x0000_i1051" type="#_x0000_t75" alt="联单3" style="width:226.5pt;height:306pt;visibility:visible">
                  <v:imagedata r:id="rId55" o:title=""/>
                </v:shape>
              </w:pict>
            </w:r>
          </w:p>
        </w:tc>
        <w:tc>
          <w:tcPr>
            <w:tcW w:w="4605" w:type="dxa"/>
          </w:tcPr>
          <w:p w:rsidR="00B04AE3" w:rsidRDefault="00B04AE3">
            <w:pPr>
              <w:pStyle w:val="TableParagraph"/>
              <w:ind w:left="108"/>
              <w:jc w:val="left"/>
              <w:rPr>
                <w:rFonts w:ascii="Times New Roman"/>
                <w:sz w:val="20"/>
              </w:rPr>
            </w:pPr>
            <w:r w:rsidRPr="00E43F4D">
              <w:rPr>
                <w:rFonts w:ascii="Times New Roman"/>
                <w:noProof/>
                <w:sz w:val="20"/>
                <w:lang w:val="en-US"/>
              </w:rPr>
              <w:pict>
                <v:shape id="图片 24" o:spid="_x0000_i1052" type="#_x0000_t75" alt="联单5" style="width:226.5pt;height:306pt;visibility:visible">
                  <v:imagedata r:id="rId56" o:title=""/>
                </v:shape>
              </w:pict>
            </w:r>
          </w:p>
        </w:tc>
      </w:tr>
      <w:tr w:rsidR="00B04AE3">
        <w:trPr>
          <w:trHeight w:val="6268"/>
          <w:jc w:val="center"/>
        </w:trPr>
        <w:tc>
          <w:tcPr>
            <w:tcW w:w="4604" w:type="dxa"/>
          </w:tcPr>
          <w:p w:rsidR="00B04AE3" w:rsidRDefault="00B04AE3">
            <w:pPr>
              <w:pStyle w:val="TableParagraph"/>
              <w:spacing w:before="5"/>
              <w:jc w:val="left"/>
              <w:rPr>
                <w:rFonts w:ascii="Times New Roman"/>
                <w:sz w:val="3"/>
              </w:rPr>
            </w:pPr>
          </w:p>
          <w:p w:rsidR="00B04AE3" w:rsidRDefault="00B04AE3">
            <w:pPr>
              <w:pStyle w:val="TableParagraph"/>
              <w:ind w:left="109"/>
              <w:jc w:val="left"/>
              <w:rPr>
                <w:rFonts w:ascii="Times New Roman"/>
                <w:sz w:val="20"/>
              </w:rPr>
            </w:pPr>
            <w:r w:rsidRPr="00E43F4D">
              <w:rPr>
                <w:rFonts w:ascii="Times New Roman"/>
                <w:noProof/>
                <w:sz w:val="20"/>
                <w:lang w:val="en-US"/>
              </w:rPr>
              <w:pict>
                <v:shape id="图片 25" o:spid="_x0000_i1053" type="#_x0000_t75" alt="联单_4" style="width:226.5pt;height:306pt;visibility:visible">
                  <v:imagedata r:id="rId57" o:title=""/>
                </v:shape>
              </w:pict>
            </w:r>
          </w:p>
        </w:tc>
        <w:tc>
          <w:tcPr>
            <w:tcW w:w="4605" w:type="dxa"/>
          </w:tcPr>
          <w:p w:rsidR="00B04AE3" w:rsidRDefault="00B04AE3">
            <w:pPr>
              <w:pStyle w:val="TableParagraph"/>
              <w:ind w:left="108"/>
              <w:jc w:val="left"/>
              <w:rPr>
                <w:rFonts w:ascii="Times New Roman"/>
                <w:sz w:val="20"/>
              </w:rPr>
            </w:pPr>
          </w:p>
        </w:tc>
      </w:tr>
    </w:tbl>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spacing w:before="11"/>
        <w:rPr>
          <w:rFonts w:ascii="Times New Roman"/>
          <w:sz w:val="16"/>
        </w:rPr>
      </w:pPr>
    </w:p>
    <w:p w:rsidR="00B04AE3" w:rsidRDefault="00B04AE3">
      <w:pPr>
        <w:pStyle w:val="BodyText"/>
        <w:spacing w:before="11"/>
        <w:rPr>
          <w:rFonts w:ascii="Times New Roman"/>
          <w:sz w:val="16"/>
        </w:rPr>
      </w:pPr>
    </w:p>
    <w:p w:rsidR="00B04AE3" w:rsidRDefault="00B04AE3">
      <w:pPr>
        <w:spacing w:before="41"/>
        <w:ind w:right="1"/>
        <w:jc w:val="center"/>
        <w:rPr>
          <w:rFonts w:ascii="黑体" w:eastAsia="黑体"/>
          <w:sz w:val="42"/>
        </w:rPr>
      </w:pPr>
      <w:r>
        <w:rPr>
          <w:rFonts w:ascii="黑体" w:eastAsia="黑体" w:hint="eastAsia"/>
          <w:sz w:val="42"/>
        </w:rPr>
        <w:t>南昌海立电器有限公司</w:t>
      </w:r>
    </w:p>
    <w:p w:rsidR="00B04AE3" w:rsidRDefault="00B04AE3">
      <w:pPr>
        <w:pStyle w:val="BodyText"/>
        <w:spacing w:before="7"/>
        <w:rPr>
          <w:rFonts w:ascii="黑体"/>
          <w:sz w:val="62"/>
        </w:rPr>
      </w:pPr>
    </w:p>
    <w:p w:rsidR="00B04AE3" w:rsidRDefault="00B04AE3">
      <w:pPr>
        <w:ind w:right="1"/>
        <w:jc w:val="center"/>
        <w:rPr>
          <w:rFonts w:ascii="黑体" w:eastAsia="黑体"/>
          <w:sz w:val="52"/>
        </w:rPr>
      </w:pPr>
      <w:r>
        <w:rPr>
          <w:rFonts w:ascii="黑体" w:eastAsia="黑体" w:hint="eastAsia"/>
          <w:sz w:val="52"/>
        </w:rPr>
        <w:t>突发环境事件风险评估报告</w:t>
      </w: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spacing w:before="460"/>
        <w:jc w:val="center"/>
        <w:rPr>
          <w:b/>
          <w:sz w:val="36"/>
        </w:rPr>
      </w:pPr>
      <w:r>
        <w:rPr>
          <w:rFonts w:hint="eastAsia"/>
          <w:b/>
          <w:sz w:val="36"/>
        </w:rPr>
        <w:t>二〇一八年十二月</w:t>
      </w:r>
    </w:p>
    <w:p w:rsidR="00B04AE3" w:rsidRDefault="00B04AE3">
      <w:pPr>
        <w:jc w:val="center"/>
        <w:rPr>
          <w:sz w:val="36"/>
        </w:rPr>
        <w:sectPr w:rsidR="00B04AE3">
          <w:headerReference w:type="default" r:id="rId58"/>
          <w:footerReference w:type="default" r:id="rId59"/>
          <w:pgSz w:w="11910" w:h="16840"/>
          <w:pgMar w:top="1580" w:right="1000" w:bottom="280" w:left="1000" w:header="0" w:footer="0" w:gutter="0"/>
          <w:cols w:space="720"/>
        </w:sectPr>
      </w:pPr>
    </w:p>
    <w:p w:rsidR="00B04AE3" w:rsidRDefault="00B04AE3">
      <w:pPr>
        <w:pStyle w:val="Heading1"/>
        <w:spacing w:before="24"/>
        <w:ind w:left="4512"/>
      </w:pPr>
      <w:bookmarkStart w:id="231" w:name="_bookmark63"/>
      <w:bookmarkStart w:id="232" w:name="前言"/>
      <w:bookmarkEnd w:id="231"/>
      <w:bookmarkEnd w:id="232"/>
      <w:r>
        <w:rPr>
          <w:rFonts w:hint="eastAsia"/>
        </w:rPr>
        <w:t>前言</w:t>
      </w:r>
    </w:p>
    <w:p w:rsidR="00B04AE3" w:rsidRDefault="00B04AE3">
      <w:pPr>
        <w:pStyle w:val="BodyText"/>
        <w:spacing w:before="20" w:line="360" w:lineRule="auto"/>
        <w:ind w:left="334" w:right="334" w:firstLine="482"/>
        <w:jc w:val="both"/>
        <w:rPr>
          <w:spacing w:val="-6"/>
          <w:szCs w:val="22"/>
        </w:rPr>
      </w:pPr>
      <w:r>
        <w:rPr>
          <w:rFonts w:hint="eastAsia"/>
          <w:spacing w:val="-6"/>
          <w:szCs w:val="22"/>
        </w:rPr>
        <w:t>当前，我国已进入突发环境事件多发期和矛盾凸显期，环境问题已成为威胁人体健康、公共安全和社会稳定的重要因素之一。国务院高度重视环境风险防范与管理，</w:t>
      </w:r>
      <w:r>
        <w:rPr>
          <w:spacing w:val="-6"/>
          <w:szCs w:val="22"/>
        </w:rPr>
        <w:t>2011</w:t>
      </w:r>
      <w:r>
        <w:rPr>
          <w:rFonts w:hint="eastAsia"/>
          <w:spacing w:val="-6"/>
          <w:szCs w:val="22"/>
        </w:rPr>
        <w:t>年</w:t>
      </w:r>
      <w:r>
        <w:rPr>
          <w:spacing w:val="-6"/>
          <w:szCs w:val="22"/>
        </w:rPr>
        <w:t>10</w:t>
      </w:r>
      <w:r>
        <w:rPr>
          <w:rFonts w:hint="eastAsia"/>
          <w:spacing w:val="-6"/>
          <w:szCs w:val="22"/>
        </w:rPr>
        <w:t>月，发布了《国务院关于加强环境保护重点工作的意见》（国发</w:t>
      </w:r>
      <w:r>
        <w:rPr>
          <w:spacing w:val="-6"/>
          <w:szCs w:val="22"/>
        </w:rPr>
        <w:t>[2011]35</w:t>
      </w:r>
      <w:r>
        <w:rPr>
          <w:rFonts w:hint="eastAsia"/>
          <w:spacing w:val="-6"/>
          <w:szCs w:val="22"/>
        </w:rPr>
        <w:t>号），明确提出了“有效防范环境风险和妥善处理突发环境事件，完善以预防为主的环境风险管理制度，严格落实企业环境安全主体责任”，</w:t>
      </w:r>
      <w:r>
        <w:rPr>
          <w:spacing w:val="-6"/>
          <w:szCs w:val="22"/>
        </w:rPr>
        <w:t>2011</w:t>
      </w:r>
      <w:r>
        <w:rPr>
          <w:rFonts w:hint="eastAsia"/>
          <w:spacing w:val="-6"/>
          <w:szCs w:val="22"/>
        </w:rPr>
        <w:t>年</w:t>
      </w:r>
      <w:r>
        <w:rPr>
          <w:spacing w:val="-6"/>
          <w:szCs w:val="22"/>
        </w:rPr>
        <w:t xml:space="preserve">12 </w:t>
      </w:r>
      <w:r>
        <w:rPr>
          <w:rFonts w:hint="eastAsia"/>
          <w:spacing w:val="-6"/>
          <w:szCs w:val="22"/>
        </w:rPr>
        <w:t>月，国务院印发《国家环境保护“十二五”规划》，提出了“推进环境风险全过程管理，开展环境风险调查与评估”。</w:t>
      </w:r>
    </w:p>
    <w:p w:rsidR="00B04AE3" w:rsidRDefault="00B04AE3">
      <w:pPr>
        <w:pStyle w:val="BodyText"/>
        <w:spacing w:before="20" w:line="360" w:lineRule="auto"/>
        <w:ind w:left="334" w:right="334" w:firstLine="482"/>
        <w:jc w:val="both"/>
        <w:rPr>
          <w:spacing w:val="-6"/>
          <w:szCs w:val="22"/>
        </w:rPr>
      </w:pPr>
      <w:r>
        <w:rPr>
          <w:rFonts w:hint="eastAsia"/>
          <w:spacing w:val="-6"/>
          <w:szCs w:val="22"/>
        </w:rPr>
        <w:t>为贯彻落实“十二五”环境风险防控任务，保障人民群众的身体健康和环境安全，规范企业突发环境事件风险评估行为，为企业提高环境风险防控能力提供切实指导，为环保部门根据企业环境风险等级实施分级差别化管理提供技术支持，</w:t>
      </w:r>
      <w:r>
        <w:rPr>
          <w:spacing w:val="-6"/>
          <w:szCs w:val="22"/>
        </w:rPr>
        <w:t xml:space="preserve"> </w:t>
      </w:r>
      <w:r>
        <w:rPr>
          <w:rFonts w:hint="eastAsia"/>
          <w:spacing w:val="-6"/>
          <w:szCs w:val="22"/>
        </w:rPr>
        <w:t>环保部于</w:t>
      </w:r>
      <w:r>
        <w:rPr>
          <w:spacing w:val="-6"/>
          <w:szCs w:val="22"/>
        </w:rPr>
        <w:t>2014</w:t>
      </w:r>
      <w:r>
        <w:rPr>
          <w:rFonts w:hint="eastAsia"/>
          <w:spacing w:val="-6"/>
          <w:szCs w:val="22"/>
        </w:rPr>
        <w:t>年</w:t>
      </w:r>
      <w:r>
        <w:rPr>
          <w:spacing w:val="-6"/>
          <w:szCs w:val="22"/>
        </w:rPr>
        <w:t>4</w:t>
      </w:r>
      <w:r>
        <w:rPr>
          <w:rFonts w:hint="eastAsia"/>
          <w:spacing w:val="-6"/>
          <w:szCs w:val="22"/>
        </w:rPr>
        <w:t>月</w:t>
      </w:r>
      <w:r>
        <w:rPr>
          <w:spacing w:val="-6"/>
          <w:szCs w:val="22"/>
        </w:rPr>
        <w:t>3</w:t>
      </w:r>
      <w:r>
        <w:rPr>
          <w:rFonts w:hint="eastAsia"/>
          <w:spacing w:val="-6"/>
          <w:szCs w:val="22"/>
        </w:rPr>
        <w:t>日出台了《关于印发</w:t>
      </w:r>
      <w:r>
        <w:rPr>
          <w:spacing w:val="-6"/>
          <w:szCs w:val="22"/>
        </w:rPr>
        <w:t>&lt;</w:t>
      </w:r>
      <w:r>
        <w:rPr>
          <w:rFonts w:hint="eastAsia"/>
          <w:spacing w:val="-6"/>
          <w:szCs w:val="22"/>
        </w:rPr>
        <w:t>企业突发环境事件风险评估指南（试行）</w:t>
      </w:r>
      <w:r>
        <w:rPr>
          <w:spacing w:val="-6"/>
          <w:szCs w:val="22"/>
        </w:rPr>
        <w:t>&gt;</w:t>
      </w:r>
      <w:r>
        <w:rPr>
          <w:rFonts w:hint="eastAsia"/>
          <w:spacing w:val="-6"/>
          <w:szCs w:val="22"/>
        </w:rPr>
        <w:t>的通知》（环办</w:t>
      </w:r>
      <w:r>
        <w:rPr>
          <w:spacing w:val="-6"/>
          <w:szCs w:val="22"/>
        </w:rPr>
        <w:t>[2014]34</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企业事业单位突发环境事件应急预案备案管理办法（试行）》中提及到“企业环境应急预案首次备案，现场办理时应当提交下列文件：（三）环境风险评估报告的纸质文件和电子文件”因此，企业需要编制《南昌海立电器有限公司环境风险评估报告》。</w:t>
      </w:r>
    </w:p>
    <w:p w:rsidR="00B04AE3" w:rsidRDefault="00B04AE3">
      <w:pPr>
        <w:pStyle w:val="BodyText"/>
        <w:spacing w:before="20" w:line="360" w:lineRule="auto"/>
        <w:ind w:left="334" w:right="334" w:firstLine="482"/>
        <w:jc w:val="both"/>
      </w:pPr>
      <w:r>
        <w:rPr>
          <w:rFonts w:hint="eastAsia"/>
          <w:spacing w:val="-6"/>
          <w:szCs w:val="22"/>
        </w:rPr>
        <w:t>本报告针对南昌海立电器有限公司在生产过程中所涉及使用、存储或释放（包括生产原料、产品、辅助生产物料等）的风险物质进行识别，分析其可能引发的突发环境事件的后果，并对公司运行期间突然发生造成或可能造成环境污染、生态破坏、危及人民群众生命及财产安全、影响社会公共秩序、需要采取紧急措施加以应对的突发环境事件的可能性及危害程度进行评估</w:t>
      </w:r>
      <w:r>
        <w:rPr>
          <w:rFonts w:hint="eastAsia"/>
        </w:rPr>
        <w:t>。</w:t>
      </w:r>
    </w:p>
    <w:p w:rsidR="00B04AE3" w:rsidRDefault="00B04AE3">
      <w:pPr>
        <w:spacing w:line="364" w:lineRule="auto"/>
        <w:jc w:val="both"/>
        <w:sectPr w:rsidR="00B04AE3">
          <w:headerReference w:type="default" r:id="rId60"/>
          <w:footerReference w:type="default" r:id="rId61"/>
          <w:pgSz w:w="11910" w:h="16840"/>
          <w:pgMar w:top="1400" w:right="1000" w:bottom="280" w:left="1000" w:header="0" w:footer="0" w:gutter="0"/>
          <w:cols w:space="720"/>
        </w:sectPr>
      </w:pPr>
    </w:p>
    <w:p w:rsidR="00B04AE3" w:rsidRDefault="00B04AE3">
      <w:pPr>
        <w:tabs>
          <w:tab w:val="left" w:pos="719"/>
        </w:tabs>
        <w:spacing w:before="143"/>
        <w:ind w:right="1"/>
        <w:jc w:val="center"/>
        <w:rPr>
          <w:b/>
          <w:sz w:val="36"/>
        </w:rPr>
      </w:pPr>
      <w:r>
        <w:rPr>
          <w:rFonts w:hint="eastAsia"/>
          <w:b/>
          <w:sz w:val="36"/>
        </w:rPr>
        <w:t>目</w:t>
      </w:r>
      <w:r>
        <w:rPr>
          <w:b/>
          <w:sz w:val="36"/>
        </w:rPr>
        <w:tab/>
      </w:r>
      <w:r>
        <w:rPr>
          <w:rFonts w:hint="eastAsia"/>
          <w:b/>
          <w:sz w:val="36"/>
        </w:rPr>
        <w:t>录</w:t>
      </w:r>
    </w:p>
    <w:p w:rsidR="00B04AE3" w:rsidRDefault="00B04AE3">
      <w:pPr>
        <w:jc w:val="center"/>
        <w:rPr>
          <w:sz w:val="36"/>
        </w:rPr>
        <w:sectPr w:rsidR="00B04AE3">
          <w:headerReference w:type="default" r:id="rId62"/>
          <w:footerReference w:type="default" r:id="rId63"/>
          <w:pgSz w:w="11910" w:h="16840"/>
          <w:pgMar w:top="1360" w:right="1000" w:bottom="1730" w:left="1000" w:header="878" w:footer="1200" w:gutter="0"/>
          <w:pgNumType w:start="1"/>
          <w:cols w:space="720"/>
        </w:sectPr>
      </w:pPr>
    </w:p>
    <w:p w:rsidR="00B04AE3" w:rsidRDefault="00B04AE3">
      <w:pPr>
        <w:pStyle w:val="TOC1"/>
        <w:tabs>
          <w:tab w:val="right" w:leader="dot" w:pos="9104"/>
        </w:tabs>
        <w:spacing w:before="162"/>
        <w:ind w:left="800" w:firstLine="0"/>
        <w:rPr>
          <w:rFonts w:ascii="Times New Roman" w:eastAsia="Times New Roman"/>
        </w:rPr>
      </w:pPr>
      <w:hyperlink w:anchor="_bookmark63" w:history="1">
        <w:r>
          <w:rPr>
            <w:rFonts w:hint="eastAsia"/>
          </w:rPr>
          <w:t>前言</w:t>
        </w:r>
        <w:r>
          <w:tab/>
        </w:r>
        <w:r>
          <w:rPr>
            <w:rFonts w:ascii="Times New Roman" w:eastAsia="Times New Roman"/>
          </w:rPr>
          <w:t>II</w:t>
        </w:r>
      </w:hyperlink>
    </w:p>
    <w:p w:rsidR="00B04AE3" w:rsidRDefault="00B04AE3">
      <w:pPr>
        <w:pStyle w:val="TOC1"/>
        <w:numPr>
          <w:ilvl w:val="0"/>
          <w:numId w:val="38"/>
        </w:numPr>
        <w:tabs>
          <w:tab w:val="left" w:pos="1040"/>
          <w:tab w:val="right" w:leader="dot" w:pos="9106"/>
        </w:tabs>
        <w:rPr>
          <w:rFonts w:ascii="Times New Roman" w:eastAsia="Times New Roman"/>
        </w:rPr>
      </w:pPr>
      <w:hyperlink w:anchor="_bookmark64" w:history="1">
        <w:r>
          <w:rPr>
            <w:rFonts w:hint="eastAsia"/>
          </w:rPr>
          <w:t>总则</w:t>
        </w:r>
        <w:r>
          <w:tab/>
        </w:r>
        <w:r>
          <w:rPr>
            <w:rFonts w:ascii="Times New Roman" w:eastAsia="Times New Roman"/>
          </w:rPr>
          <w:t>1</w:t>
        </w:r>
      </w:hyperlink>
    </w:p>
    <w:p w:rsidR="00B04AE3" w:rsidRDefault="00B04AE3">
      <w:pPr>
        <w:pStyle w:val="TOC2"/>
        <w:numPr>
          <w:ilvl w:val="1"/>
          <w:numId w:val="38"/>
        </w:numPr>
        <w:tabs>
          <w:tab w:val="left" w:pos="1640"/>
          <w:tab w:val="right" w:leader="dot" w:pos="9106"/>
        </w:tabs>
        <w:rPr>
          <w:rFonts w:ascii="Times New Roman" w:eastAsia="Times New Roman"/>
        </w:rPr>
      </w:pPr>
      <w:hyperlink w:anchor="_bookmark65" w:history="1">
        <w:r>
          <w:rPr>
            <w:rFonts w:hint="eastAsia"/>
          </w:rPr>
          <w:t>编制目的</w:t>
        </w:r>
        <w:r>
          <w:tab/>
        </w:r>
        <w:r>
          <w:rPr>
            <w:rFonts w:ascii="Times New Roman" w:eastAsia="Times New Roman"/>
          </w:rPr>
          <w:t>1</w:t>
        </w:r>
      </w:hyperlink>
    </w:p>
    <w:p w:rsidR="00B04AE3" w:rsidRDefault="00B04AE3">
      <w:pPr>
        <w:pStyle w:val="TOC2"/>
        <w:numPr>
          <w:ilvl w:val="1"/>
          <w:numId w:val="38"/>
        </w:numPr>
        <w:tabs>
          <w:tab w:val="left" w:pos="1640"/>
          <w:tab w:val="right" w:leader="dot" w:pos="9106"/>
        </w:tabs>
        <w:spacing w:before="161"/>
        <w:rPr>
          <w:rFonts w:ascii="Times New Roman" w:eastAsia="Times New Roman"/>
        </w:rPr>
      </w:pPr>
      <w:hyperlink w:anchor="_bookmark66" w:history="1">
        <w:r>
          <w:rPr>
            <w:rFonts w:hint="eastAsia"/>
          </w:rPr>
          <w:t>编制原则</w:t>
        </w:r>
        <w:r>
          <w:tab/>
        </w:r>
        <w:r>
          <w:rPr>
            <w:rFonts w:ascii="Times New Roman" w:eastAsia="Times New Roman"/>
          </w:rPr>
          <w:t>1</w:t>
        </w:r>
      </w:hyperlink>
    </w:p>
    <w:p w:rsidR="00B04AE3" w:rsidRDefault="00B04AE3">
      <w:pPr>
        <w:pStyle w:val="TOC2"/>
        <w:numPr>
          <w:ilvl w:val="1"/>
          <w:numId w:val="38"/>
        </w:numPr>
        <w:tabs>
          <w:tab w:val="left" w:pos="1640"/>
          <w:tab w:val="right" w:leader="dot" w:pos="9106"/>
        </w:tabs>
        <w:rPr>
          <w:rFonts w:ascii="Times New Roman" w:eastAsia="Times New Roman"/>
        </w:rPr>
      </w:pPr>
      <w:hyperlink w:anchor="_bookmark67" w:history="1">
        <w:r>
          <w:rPr>
            <w:rFonts w:hint="eastAsia"/>
          </w:rPr>
          <w:t>编制依据</w:t>
        </w:r>
        <w:r>
          <w:tab/>
        </w:r>
        <w:r>
          <w:rPr>
            <w:rFonts w:ascii="Times New Roman" w:eastAsia="Times New Roman"/>
          </w:rPr>
          <w:t>2</w:t>
        </w:r>
      </w:hyperlink>
    </w:p>
    <w:p w:rsidR="00B04AE3" w:rsidRDefault="00B04AE3">
      <w:pPr>
        <w:pStyle w:val="TOC3"/>
        <w:numPr>
          <w:ilvl w:val="2"/>
          <w:numId w:val="38"/>
        </w:numPr>
        <w:tabs>
          <w:tab w:val="left" w:pos="2240"/>
          <w:tab w:val="right" w:leader="dot" w:pos="9106"/>
        </w:tabs>
        <w:rPr>
          <w:rFonts w:ascii="Times New Roman" w:eastAsia="Times New Roman"/>
        </w:rPr>
      </w:pPr>
      <w:hyperlink w:anchor="_bookmark68" w:history="1">
        <w:r>
          <w:rPr>
            <w:rFonts w:hint="eastAsia"/>
          </w:rPr>
          <w:t>法律法规、规章、指导性文件</w:t>
        </w:r>
        <w:r>
          <w:tab/>
        </w:r>
        <w:r>
          <w:rPr>
            <w:rFonts w:ascii="Times New Roman" w:eastAsia="Times New Roman"/>
          </w:rPr>
          <w:t>2</w:t>
        </w:r>
      </w:hyperlink>
    </w:p>
    <w:p w:rsidR="00B04AE3" w:rsidRDefault="00B04AE3">
      <w:pPr>
        <w:pStyle w:val="TOC3"/>
        <w:numPr>
          <w:ilvl w:val="2"/>
          <w:numId w:val="38"/>
        </w:numPr>
        <w:tabs>
          <w:tab w:val="left" w:pos="2240"/>
          <w:tab w:val="right" w:leader="dot" w:pos="9106"/>
        </w:tabs>
        <w:spacing w:before="160"/>
        <w:rPr>
          <w:rFonts w:ascii="Times New Roman" w:eastAsia="Times New Roman"/>
        </w:rPr>
      </w:pPr>
      <w:hyperlink w:anchor="_bookmark69" w:history="1">
        <w:r>
          <w:rPr>
            <w:rFonts w:hint="eastAsia"/>
          </w:rPr>
          <w:t>标准、技术规范</w:t>
        </w:r>
        <w:r>
          <w:tab/>
        </w:r>
        <w:r>
          <w:rPr>
            <w:rFonts w:ascii="Times New Roman" w:eastAsia="Times New Roman"/>
          </w:rPr>
          <w:t>3</w:t>
        </w:r>
      </w:hyperlink>
    </w:p>
    <w:p w:rsidR="00B04AE3" w:rsidRDefault="00B04AE3">
      <w:pPr>
        <w:pStyle w:val="TOC3"/>
        <w:numPr>
          <w:ilvl w:val="2"/>
          <w:numId w:val="38"/>
        </w:numPr>
        <w:tabs>
          <w:tab w:val="left" w:pos="2240"/>
          <w:tab w:val="right" w:leader="dot" w:pos="9106"/>
        </w:tabs>
        <w:rPr>
          <w:rFonts w:ascii="Times New Roman" w:eastAsia="Times New Roman"/>
        </w:rPr>
      </w:pPr>
      <w:hyperlink w:anchor="_bookmark70" w:history="1">
        <w:r>
          <w:rPr>
            <w:rFonts w:hint="eastAsia"/>
          </w:rPr>
          <w:t>其他文件</w:t>
        </w:r>
        <w:r>
          <w:tab/>
        </w:r>
        <w:r>
          <w:rPr>
            <w:rFonts w:ascii="Times New Roman" w:eastAsia="Times New Roman"/>
          </w:rPr>
          <w:t>4</w:t>
        </w:r>
      </w:hyperlink>
    </w:p>
    <w:p w:rsidR="00B04AE3" w:rsidRDefault="00B04AE3">
      <w:pPr>
        <w:pStyle w:val="TOC1"/>
        <w:numPr>
          <w:ilvl w:val="0"/>
          <w:numId w:val="38"/>
        </w:numPr>
        <w:tabs>
          <w:tab w:val="left" w:pos="1040"/>
          <w:tab w:val="right" w:leader="dot" w:pos="9106"/>
        </w:tabs>
        <w:spacing w:before="160"/>
        <w:rPr>
          <w:rFonts w:ascii="Times New Roman" w:eastAsia="Times New Roman"/>
        </w:rPr>
      </w:pPr>
      <w:hyperlink w:anchor="_bookmark71" w:history="1">
        <w:r>
          <w:rPr>
            <w:rFonts w:hint="eastAsia"/>
          </w:rPr>
          <w:t>资料准备与环境风险识别</w:t>
        </w:r>
        <w:r>
          <w:tab/>
        </w:r>
        <w:r>
          <w:rPr>
            <w:rFonts w:ascii="Times New Roman" w:eastAsia="Times New Roman"/>
          </w:rPr>
          <w:t>5</w:t>
        </w:r>
      </w:hyperlink>
    </w:p>
    <w:p w:rsidR="00B04AE3" w:rsidRDefault="00B04AE3">
      <w:pPr>
        <w:pStyle w:val="TOC2"/>
        <w:numPr>
          <w:ilvl w:val="1"/>
          <w:numId w:val="38"/>
        </w:numPr>
        <w:tabs>
          <w:tab w:val="left" w:pos="1640"/>
          <w:tab w:val="right" w:leader="dot" w:pos="9106"/>
        </w:tabs>
        <w:spacing w:before="161"/>
        <w:rPr>
          <w:rFonts w:ascii="Times New Roman" w:eastAsia="Times New Roman"/>
        </w:rPr>
      </w:pPr>
      <w:hyperlink w:anchor="_bookmark72" w:history="1">
        <w:r>
          <w:rPr>
            <w:rFonts w:hint="eastAsia"/>
          </w:rPr>
          <w:t>企业基本信息</w:t>
        </w:r>
        <w:r>
          <w:tab/>
        </w:r>
        <w:r>
          <w:rPr>
            <w:rFonts w:ascii="Times New Roman" w:eastAsia="Times New Roman"/>
          </w:rPr>
          <w:t>5</w:t>
        </w:r>
      </w:hyperlink>
    </w:p>
    <w:p w:rsidR="00B04AE3" w:rsidRDefault="00B04AE3">
      <w:pPr>
        <w:pStyle w:val="TOC3"/>
        <w:numPr>
          <w:ilvl w:val="2"/>
          <w:numId w:val="38"/>
        </w:numPr>
        <w:tabs>
          <w:tab w:val="left" w:pos="2240"/>
          <w:tab w:val="right" w:leader="dot" w:pos="9106"/>
        </w:tabs>
        <w:spacing w:before="160"/>
        <w:rPr>
          <w:rFonts w:ascii="Times New Roman" w:eastAsia="Times New Roman"/>
        </w:rPr>
      </w:pPr>
      <w:hyperlink w:anchor="_bookmark73" w:history="1">
        <w:r>
          <w:rPr>
            <w:rFonts w:hint="eastAsia"/>
          </w:rPr>
          <w:t>企业概况</w:t>
        </w:r>
        <w:r>
          <w:tab/>
        </w:r>
        <w:r>
          <w:rPr>
            <w:rFonts w:ascii="Times New Roman" w:eastAsia="Times New Roman"/>
          </w:rPr>
          <w:t>5</w:t>
        </w:r>
      </w:hyperlink>
    </w:p>
    <w:p w:rsidR="00B04AE3" w:rsidRDefault="00B04AE3">
      <w:pPr>
        <w:pStyle w:val="TOC3"/>
        <w:numPr>
          <w:ilvl w:val="2"/>
          <w:numId w:val="38"/>
        </w:numPr>
        <w:tabs>
          <w:tab w:val="left" w:pos="2240"/>
          <w:tab w:val="right" w:leader="dot" w:pos="9106"/>
        </w:tabs>
        <w:rPr>
          <w:rFonts w:ascii="Times New Roman" w:eastAsia="Times New Roman"/>
        </w:rPr>
      </w:pPr>
      <w:hyperlink w:anchor="_bookmark74" w:history="1">
        <w:r>
          <w:rPr>
            <w:rFonts w:hint="eastAsia"/>
          </w:rPr>
          <w:t>周边自然环境概况</w:t>
        </w:r>
        <w:r>
          <w:tab/>
        </w:r>
        <w:r>
          <w:rPr>
            <w:rFonts w:ascii="Times New Roman" w:eastAsia="Times New Roman"/>
          </w:rPr>
          <w:t>6</w:t>
        </w:r>
      </w:hyperlink>
    </w:p>
    <w:p w:rsidR="00B04AE3" w:rsidRDefault="00B04AE3">
      <w:pPr>
        <w:pStyle w:val="TOC3"/>
        <w:numPr>
          <w:ilvl w:val="2"/>
          <w:numId w:val="38"/>
        </w:numPr>
        <w:tabs>
          <w:tab w:val="left" w:pos="2240"/>
          <w:tab w:val="right" w:leader="dot" w:pos="9106"/>
        </w:tabs>
        <w:spacing w:before="160"/>
        <w:rPr>
          <w:rFonts w:ascii="Times New Roman" w:eastAsia="Times New Roman"/>
        </w:rPr>
      </w:pPr>
      <w:hyperlink w:anchor="_bookmark75" w:history="1">
        <w:r>
          <w:rPr>
            <w:rFonts w:hint="eastAsia"/>
          </w:rPr>
          <w:t>周边环境质量状况</w:t>
        </w:r>
        <w:r>
          <w:tab/>
        </w:r>
        <w:r>
          <w:rPr>
            <w:rFonts w:ascii="Times New Roman" w:eastAsia="Times New Roman"/>
          </w:rPr>
          <w:t>6</w:t>
        </w:r>
      </w:hyperlink>
    </w:p>
    <w:p w:rsidR="00B04AE3" w:rsidRDefault="00B04AE3">
      <w:pPr>
        <w:pStyle w:val="TOC2"/>
        <w:numPr>
          <w:ilvl w:val="1"/>
          <w:numId w:val="38"/>
        </w:numPr>
        <w:tabs>
          <w:tab w:val="left" w:pos="1640"/>
          <w:tab w:val="right" w:leader="dot" w:pos="9106"/>
        </w:tabs>
        <w:spacing w:before="161"/>
        <w:rPr>
          <w:rFonts w:ascii="Times New Roman" w:eastAsia="Times New Roman"/>
        </w:rPr>
      </w:pPr>
      <w:hyperlink w:anchor="_bookmark76" w:history="1">
        <w:r>
          <w:rPr>
            <w:rFonts w:hint="eastAsia"/>
          </w:rPr>
          <w:t>企业周边环境风险受体情况</w:t>
        </w:r>
        <w:r>
          <w:tab/>
        </w:r>
        <w:r>
          <w:rPr>
            <w:rFonts w:ascii="Times New Roman" w:eastAsia="Times New Roman"/>
          </w:rPr>
          <w:t>7</w:t>
        </w:r>
      </w:hyperlink>
    </w:p>
    <w:p w:rsidR="00B04AE3" w:rsidRDefault="00B04AE3">
      <w:pPr>
        <w:pStyle w:val="TOC2"/>
        <w:numPr>
          <w:ilvl w:val="1"/>
          <w:numId w:val="38"/>
        </w:numPr>
        <w:tabs>
          <w:tab w:val="left" w:pos="1640"/>
          <w:tab w:val="right" w:leader="dot" w:pos="9106"/>
        </w:tabs>
        <w:rPr>
          <w:rFonts w:ascii="Times New Roman" w:eastAsia="Times New Roman"/>
        </w:rPr>
      </w:pPr>
      <w:hyperlink w:anchor="_bookmark77" w:history="1">
        <w:r>
          <w:rPr>
            <w:rFonts w:hint="eastAsia"/>
          </w:rPr>
          <w:t>涉及环境风险物质情况</w:t>
        </w:r>
        <w:r>
          <w:tab/>
        </w:r>
        <w:r>
          <w:rPr>
            <w:rFonts w:ascii="Times New Roman" w:eastAsia="Times New Roman"/>
          </w:rPr>
          <w:t>9</w:t>
        </w:r>
      </w:hyperlink>
    </w:p>
    <w:p w:rsidR="00B04AE3" w:rsidRDefault="00B04AE3">
      <w:pPr>
        <w:pStyle w:val="TOC3"/>
        <w:numPr>
          <w:ilvl w:val="2"/>
          <w:numId w:val="38"/>
        </w:numPr>
        <w:tabs>
          <w:tab w:val="left" w:pos="2240"/>
          <w:tab w:val="right" w:leader="dot" w:pos="9106"/>
        </w:tabs>
        <w:rPr>
          <w:rFonts w:ascii="Times New Roman" w:eastAsia="Times New Roman"/>
        </w:rPr>
      </w:pPr>
      <w:hyperlink w:anchor="_bookmark78" w:history="1">
        <w:r>
          <w:rPr>
            <w:rFonts w:hint="eastAsia"/>
          </w:rPr>
          <w:t>大气环境风险物质基本情况</w:t>
        </w:r>
        <w:r>
          <w:tab/>
        </w:r>
        <w:r>
          <w:rPr>
            <w:rFonts w:ascii="Times New Roman" w:eastAsia="Times New Roman"/>
          </w:rPr>
          <w:t>10</w:t>
        </w:r>
      </w:hyperlink>
    </w:p>
    <w:p w:rsidR="00B04AE3" w:rsidRDefault="00B04AE3">
      <w:pPr>
        <w:pStyle w:val="TOC3"/>
        <w:numPr>
          <w:ilvl w:val="2"/>
          <w:numId w:val="38"/>
        </w:numPr>
        <w:tabs>
          <w:tab w:val="left" w:pos="2240"/>
          <w:tab w:val="right" w:leader="dot" w:pos="9106"/>
        </w:tabs>
        <w:spacing w:before="160"/>
        <w:rPr>
          <w:rFonts w:ascii="Times New Roman" w:eastAsia="Times New Roman"/>
        </w:rPr>
      </w:pPr>
      <w:hyperlink w:anchor="_bookmark79" w:history="1">
        <w:r>
          <w:rPr>
            <w:rFonts w:hint="eastAsia"/>
          </w:rPr>
          <w:t>涉水环境风险物质基本情况</w:t>
        </w:r>
        <w:r>
          <w:tab/>
        </w:r>
        <w:r>
          <w:rPr>
            <w:rFonts w:ascii="Times New Roman" w:eastAsia="Times New Roman"/>
          </w:rPr>
          <w:t>10</w:t>
        </w:r>
      </w:hyperlink>
    </w:p>
    <w:p w:rsidR="00B04AE3" w:rsidRDefault="00B04AE3">
      <w:pPr>
        <w:pStyle w:val="TOC3"/>
        <w:numPr>
          <w:ilvl w:val="2"/>
          <w:numId w:val="38"/>
        </w:numPr>
        <w:tabs>
          <w:tab w:val="left" w:pos="2240"/>
          <w:tab w:val="right" w:leader="dot" w:pos="9108"/>
        </w:tabs>
        <w:rPr>
          <w:rFonts w:ascii="Times New Roman" w:eastAsia="Times New Roman"/>
        </w:rPr>
      </w:pPr>
      <w:hyperlink w:anchor="_bookmark80" w:history="1">
        <w:r>
          <w:rPr>
            <w:rFonts w:hint="eastAsia"/>
          </w:rPr>
          <w:t>危险废物基本情况</w:t>
        </w:r>
        <w:r>
          <w:tab/>
        </w:r>
        <w:r>
          <w:rPr>
            <w:rFonts w:ascii="Times New Roman" w:eastAsia="Times New Roman"/>
            <w:spacing w:val="-4"/>
          </w:rPr>
          <w:t>11</w:t>
        </w:r>
      </w:hyperlink>
    </w:p>
    <w:p w:rsidR="00B04AE3" w:rsidRDefault="00B04AE3">
      <w:pPr>
        <w:pStyle w:val="TOC2"/>
        <w:numPr>
          <w:ilvl w:val="1"/>
          <w:numId w:val="38"/>
        </w:numPr>
        <w:tabs>
          <w:tab w:val="left" w:pos="1640"/>
          <w:tab w:val="right" w:leader="dot" w:pos="9108"/>
        </w:tabs>
        <w:rPr>
          <w:rFonts w:ascii="Times New Roman" w:eastAsia="Times New Roman"/>
        </w:rPr>
      </w:pPr>
      <w:hyperlink w:anchor="_bookmark81" w:history="1">
        <w:r>
          <w:rPr>
            <w:rFonts w:hint="eastAsia"/>
          </w:rPr>
          <w:t>环境风险源识别</w:t>
        </w:r>
        <w:r>
          <w:tab/>
        </w:r>
        <w:r>
          <w:rPr>
            <w:rFonts w:ascii="Times New Roman" w:eastAsia="Times New Roman"/>
            <w:spacing w:val="-4"/>
          </w:rPr>
          <w:t>11</w:t>
        </w:r>
      </w:hyperlink>
    </w:p>
    <w:p w:rsidR="00B04AE3" w:rsidRDefault="00B04AE3">
      <w:pPr>
        <w:pStyle w:val="TOC3"/>
        <w:numPr>
          <w:ilvl w:val="2"/>
          <w:numId w:val="38"/>
        </w:numPr>
        <w:tabs>
          <w:tab w:val="left" w:pos="2180"/>
          <w:tab w:val="right" w:leader="dot" w:pos="9108"/>
        </w:tabs>
        <w:ind w:left="2180" w:hanging="540"/>
        <w:rPr>
          <w:rFonts w:ascii="Times New Roman" w:eastAsia="Times New Roman"/>
        </w:rPr>
      </w:pPr>
      <w:hyperlink w:anchor="_bookmark82" w:history="1">
        <w:r>
          <w:rPr>
            <w:rFonts w:hint="eastAsia"/>
          </w:rPr>
          <w:t>物质风险源识别</w:t>
        </w:r>
        <w:r>
          <w:tab/>
        </w:r>
        <w:r>
          <w:rPr>
            <w:rFonts w:ascii="Times New Roman" w:eastAsia="Times New Roman"/>
            <w:spacing w:val="-4"/>
          </w:rPr>
          <w:t>11</w:t>
        </w:r>
      </w:hyperlink>
    </w:p>
    <w:p w:rsidR="00B04AE3" w:rsidRDefault="00B04AE3">
      <w:pPr>
        <w:pStyle w:val="TOC3"/>
        <w:numPr>
          <w:ilvl w:val="2"/>
          <w:numId w:val="38"/>
        </w:numPr>
        <w:tabs>
          <w:tab w:val="left" w:pos="2180"/>
          <w:tab w:val="right" w:leader="dot" w:pos="9106"/>
        </w:tabs>
        <w:spacing w:before="160"/>
        <w:ind w:left="2180" w:hanging="540"/>
        <w:rPr>
          <w:rFonts w:ascii="Times New Roman" w:eastAsia="Times New Roman"/>
        </w:rPr>
      </w:pPr>
      <w:hyperlink w:anchor="_bookmark83" w:history="1">
        <w:r>
          <w:rPr>
            <w:rFonts w:hint="eastAsia"/>
          </w:rPr>
          <w:t>生产设施风险源识别</w:t>
        </w:r>
        <w:r>
          <w:tab/>
        </w:r>
        <w:r>
          <w:rPr>
            <w:rFonts w:ascii="Times New Roman" w:eastAsia="Times New Roman"/>
          </w:rPr>
          <w:t>15</w:t>
        </w:r>
      </w:hyperlink>
    </w:p>
    <w:p w:rsidR="00B04AE3" w:rsidRDefault="00B04AE3">
      <w:pPr>
        <w:pStyle w:val="TOC2"/>
        <w:numPr>
          <w:ilvl w:val="1"/>
          <w:numId w:val="38"/>
        </w:numPr>
        <w:tabs>
          <w:tab w:val="left" w:pos="1640"/>
          <w:tab w:val="right" w:leader="dot" w:pos="9106"/>
        </w:tabs>
        <w:spacing w:before="161"/>
        <w:rPr>
          <w:rFonts w:ascii="Times New Roman" w:eastAsia="Times New Roman"/>
        </w:rPr>
      </w:pPr>
      <w:hyperlink w:anchor="_bookmark84" w:history="1">
        <w:r>
          <w:rPr>
            <w:rFonts w:hint="eastAsia"/>
          </w:rPr>
          <w:t>环境风险评价</w:t>
        </w:r>
        <w:r>
          <w:tab/>
        </w:r>
        <w:r>
          <w:rPr>
            <w:rFonts w:ascii="Times New Roman" w:eastAsia="Times New Roman"/>
          </w:rPr>
          <w:t>18</w:t>
        </w:r>
      </w:hyperlink>
    </w:p>
    <w:p w:rsidR="00B04AE3" w:rsidRDefault="00B04AE3">
      <w:pPr>
        <w:pStyle w:val="TOC3"/>
        <w:numPr>
          <w:ilvl w:val="2"/>
          <w:numId w:val="38"/>
        </w:numPr>
        <w:tabs>
          <w:tab w:val="left" w:pos="2360"/>
          <w:tab w:val="right" w:leader="dot" w:pos="9106"/>
        </w:tabs>
        <w:spacing w:before="160"/>
        <w:ind w:left="2360" w:hanging="720"/>
        <w:rPr>
          <w:rFonts w:ascii="Times New Roman" w:eastAsia="Times New Roman"/>
        </w:rPr>
      </w:pPr>
      <w:hyperlink w:anchor="_bookmark85" w:history="1">
        <w:r>
          <w:rPr>
            <w:rFonts w:hint="eastAsia"/>
          </w:rPr>
          <w:t>潜在危险性评估</w:t>
        </w:r>
        <w:r>
          <w:tab/>
        </w:r>
        <w:r>
          <w:rPr>
            <w:rFonts w:ascii="Times New Roman" w:eastAsia="Times New Roman"/>
          </w:rPr>
          <w:t>18</w:t>
        </w:r>
      </w:hyperlink>
    </w:p>
    <w:p w:rsidR="00B04AE3" w:rsidRDefault="00B04AE3">
      <w:pPr>
        <w:pStyle w:val="TOC3"/>
        <w:numPr>
          <w:ilvl w:val="2"/>
          <w:numId w:val="38"/>
        </w:numPr>
        <w:tabs>
          <w:tab w:val="left" w:pos="2360"/>
          <w:tab w:val="right" w:leader="dot" w:pos="9106"/>
        </w:tabs>
        <w:ind w:left="2360" w:hanging="720"/>
        <w:rPr>
          <w:rFonts w:ascii="Times New Roman" w:eastAsia="Times New Roman"/>
        </w:rPr>
      </w:pPr>
      <w:hyperlink w:anchor="_bookmark86" w:history="1">
        <w:r>
          <w:rPr>
            <w:rFonts w:hint="eastAsia"/>
          </w:rPr>
          <w:t>风险评价等级</w:t>
        </w:r>
        <w:r>
          <w:tab/>
        </w:r>
        <w:r>
          <w:rPr>
            <w:rFonts w:ascii="Times New Roman" w:eastAsia="Times New Roman"/>
          </w:rPr>
          <w:t>19</w:t>
        </w:r>
      </w:hyperlink>
    </w:p>
    <w:p w:rsidR="00B04AE3" w:rsidRDefault="00B04AE3">
      <w:pPr>
        <w:pStyle w:val="TOC3"/>
        <w:numPr>
          <w:ilvl w:val="2"/>
          <w:numId w:val="38"/>
        </w:numPr>
        <w:tabs>
          <w:tab w:val="left" w:pos="2240"/>
          <w:tab w:val="right" w:leader="dot" w:pos="9106"/>
        </w:tabs>
        <w:spacing w:before="160"/>
        <w:rPr>
          <w:rFonts w:ascii="Times New Roman" w:eastAsia="Times New Roman"/>
        </w:rPr>
      </w:pPr>
      <w:hyperlink w:anchor="_bookmark87" w:history="1">
        <w:r>
          <w:rPr>
            <w:rFonts w:hint="eastAsia"/>
          </w:rPr>
          <w:t>源项分析</w:t>
        </w:r>
        <w:r>
          <w:tab/>
        </w:r>
        <w:r>
          <w:rPr>
            <w:rFonts w:ascii="Times New Roman" w:eastAsia="Times New Roman"/>
          </w:rPr>
          <w:t>19</w:t>
        </w:r>
      </w:hyperlink>
    </w:p>
    <w:p w:rsidR="00B04AE3" w:rsidRDefault="00B04AE3">
      <w:pPr>
        <w:pStyle w:val="TOC3"/>
        <w:numPr>
          <w:ilvl w:val="2"/>
          <w:numId w:val="38"/>
        </w:numPr>
        <w:tabs>
          <w:tab w:val="left" w:pos="2240"/>
          <w:tab w:val="right" w:leader="dot" w:pos="9106"/>
        </w:tabs>
        <w:rPr>
          <w:rFonts w:ascii="Times New Roman" w:eastAsia="Times New Roman"/>
        </w:rPr>
      </w:pPr>
      <w:hyperlink w:anchor="_bookmark88" w:history="1">
        <w:r>
          <w:rPr>
            <w:rFonts w:hint="eastAsia"/>
          </w:rPr>
          <w:t>最大可信事故及其概率</w:t>
        </w:r>
        <w:r>
          <w:tab/>
        </w:r>
        <w:r>
          <w:rPr>
            <w:rFonts w:ascii="Times New Roman" w:eastAsia="Times New Roman"/>
          </w:rPr>
          <w:t>21</w:t>
        </w:r>
      </w:hyperlink>
    </w:p>
    <w:p w:rsidR="00B04AE3" w:rsidRDefault="00B04AE3">
      <w:pPr>
        <w:pStyle w:val="TOC3"/>
        <w:numPr>
          <w:ilvl w:val="2"/>
          <w:numId w:val="38"/>
        </w:numPr>
        <w:tabs>
          <w:tab w:val="left" w:pos="2180"/>
          <w:tab w:val="right" w:leader="dot" w:pos="9106"/>
        </w:tabs>
        <w:spacing w:before="160"/>
        <w:ind w:left="2180" w:hanging="540"/>
        <w:rPr>
          <w:rFonts w:ascii="Times New Roman" w:eastAsia="Times New Roman"/>
        </w:rPr>
      </w:pPr>
      <w:hyperlink w:anchor="_bookmark89" w:history="1">
        <w:r>
          <w:rPr>
            <w:rFonts w:hint="eastAsia"/>
          </w:rPr>
          <w:t>火灾、爆炸、泄漏等事故状态下的伴生次生污染情况</w:t>
        </w:r>
        <w:r>
          <w:tab/>
        </w:r>
        <w:r>
          <w:rPr>
            <w:rFonts w:ascii="Times New Roman" w:eastAsia="Times New Roman"/>
          </w:rPr>
          <w:t>21</w:t>
        </w:r>
      </w:hyperlink>
    </w:p>
    <w:p w:rsidR="00B04AE3" w:rsidRDefault="00B04AE3">
      <w:pPr>
        <w:pStyle w:val="TOC2"/>
        <w:numPr>
          <w:ilvl w:val="1"/>
          <w:numId w:val="38"/>
        </w:numPr>
        <w:tabs>
          <w:tab w:val="left" w:pos="1640"/>
          <w:tab w:val="right" w:leader="dot" w:pos="9106"/>
        </w:tabs>
        <w:spacing w:before="161" w:after="20"/>
        <w:rPr>
          <w:rFonts w:ascii="Times New Roman" w:eastAsia="Times New Roman"/>
        </w:rPr>
      </w:pPr>
      <w:hyperlink w:anchor="_bookmark90" w:history="1">
        <w:r>
          <w:rPr>
            <w:rFonts w:hint="eastAsia"/>
          </w:rPr>
          <w:t>生产工艺及设备</w:t>
        </w:r>
        <w:r>
          <w:tab/>
        </w:r>
        <w:r>
          <w:rPr>
            <w:rFonts w:ascii="Times New Roman" w:eastAsia="Times New Roman"/>
          </w:rPr>
          <w:t>22</w:t>
        </w:r>
      </w:hyperlink>
    </w:p>
    <w:p w:rsidR="00B04AE3" w:rsidRDefault="00B04AE3">
      <w:pPr>
        <w:pStyle w:val="TOC3"/>
        <w:numPr>
          <w:ilvl w:val="2"/>
          <w:numId w:val="38"/>
        </w:numPr>
        <w:tabs>
          <w:tab w:val="left" w:pos="2240"/>
          <w:tab w:val="left" w:leader="dot" w:pos="8866"/>
        </w:tabs>
        <w:spacing w:before="143"/>
        <w:rPr>
          <w:rFonts w:ascii="Times New Roman" w:eastAsia="Times New Roman"/>
        </w:rPr>
      </w:pPr>
      <w:hyperlink w:anchor="_bookmark91" w:history="1">
        <w:r>
          <w:rPr>
            <w:rFonts w:hint="eastAsia"/>
          </w:rPr>
          <w:t>生产工艺</w:t>
        </w:r>
        <w:r>
          <w:tab/>
        </w:r>
        <w:r>
          <w:rPr>
            <w:rFonts w:ascii="Times New Roman" w:eastAsia="Times New Roman"/>
          </w:rPr>
          <w:t>22</w:t>
        </w:r>
      </w:hyperlink>
    </w:p>
    <w:p w:rsidR="00B04AE3" w:rsidRDefault="00B04AE3">
      <w:pPr>
        <w:pStyle w:val="TOC3"/>
        <w:numPr>
          <w:ilvl w:val="2"/>
          <w:numId w:val="38"/>
        </w:numPr>
        <w:tabs>
          <w:tab w:val="left" w:pos="2240"/>
          <w:tab w:val="left" w:leader="dot" w:pos="8866"/>
        </w:tabs>
        <w:spacing w:before="160"/>
        <w:rPr>
          <w:rFonts w:ascii="Times New Roman" w:eastAsia="Times New Roman"/>
        </w:rPr>
      </w:pPr>
      <w:hyperlink w:anchor="_bookmark92" w:history="1">
        <w:r>
          <w:rPr>
            <w:rFonts w:hint="eastAsia"/>
          </w:rPr>
          <w:t>主要污染物产生及治理措施</w:t>
        </w:r>
        <w:r>
          <w:tab/>
        </w:r>
        <w:r>
          <w:rPr>
            <w:rFonts w:ascii="Times New Roman" w:eastAsia="Times New Roman"/>
          </w:rPr>
          <w:t>24</w:t>
        </w:r>
      </w:hyperlink>
    </w:p>
    <w:p w:rsidR="00B04AE3" w:rsidRDefault="00B04AE3">
      <w:pPr>
        <w:pStyle w:val="TOC3"/>
        <w:numPr>
          <w:ilvl w:val="2"/>
          <w:numId w:val="38"/>
        </w:numPr>
        <w:tabs>
          <w:tab w:val="left" w:pos="2240"/>
          <w:tab w:val="left" w:leader="dot" w:pos="8866"/>
        </w:tabs>
        <w:rPr>
          <w:rFonts w:ascii="Times New Roman" w:eastAsia="Times New Roman"/>
        </w:rPr>
      </w:pPr>
      <w:hyperlink w:anchor="_bookmark93" w:history="1">
        <w:r>
          <w:rPr>
            <w:rFonts w:hint="eastAsia"/>
          </w:rPr>
          <w:t>生产设备</w:t>
        </w:r>
        <w:r>
          <w:tab/>
        </w:r>
        <w:r>
          <w:rPr>
            <w:rFonts w:ascii="Times New Roman" w:eastAsia="Times New Roman"/>
          </w:rPr>
          <w:t>25</w:t>
        </w:r>
      </w:hyperlink>
    </w:p>
    <w:p w:rsidR="00B04AE3" w:rsidRDefault="00B04AE3">
      <w:pPr>
        <w:pStyle w:val="TOC2"/>
        <w:numPr>
          <w:ilvl w:val="1"/>
          <w:numId w:val="38"/>
        </w:numPr>
        <w:tabs>
          <w:tab w:val="left" w:pos="1640"/>
          <w:tab w:val="left" w:leader="dot" w:pos="8866"/>
        </w:tabs>
        <w:rPr>
          <w:rFonts w:ascii="Times New Roman" w:eastAsia="Times New Roman"/>
        </w:rPr>
      </w:pPr>
      <w:hyperlink w:anchor="_bookmark94" w:history="1">
        <w:r>
          <w:rPr>
            <w:rFonts w:hint="eastAsia"/>
          </w:rPr>
          <w:t>安全生产管理</w:t>
        </w:r>
        <w:r>
          <w:tab/>
        </w:r>
        <w:r>
          <w:rPr>
            <w:rFonts w:ascii="Times New Roman" w:eastAsia="Times New Roman"/>
          </w:rPr>
          <w:t>27</w:t>
        </w:r>
      </w:hyperlink>
    </w:p>
    <w:p w:rsidR="00B04AE3" w:rsidRDefault="00B04AE3">
      <w:pPr>
        <w:pStyle w:val="TOC2"/>
        <w:numPr>
          <w:ilvl w:val="1"/>
          <w:numId w:val="38"/>
        </w:numPr>
        <w:tabs>
          <w:tab w:val="left" w:pos="1640"/>
          <w:tab w:val="left" w:leader="dot" w:pos="8866"/>
        </w:tabs>
        <w:spacing w:before="161"/>
        <w:rPr>
          <w:rFonts w:ascii="Times New Roman" w:eastAsia="Times New Roman"/>
        </w:rPr>
      </w:pPr>
      <w:hyperlink w:anchor="_bookmark95" w:history="1">
        <w:r>
          <w:rPr>
            <w:rFonts w:hint="eastAsia"/>
          </w:rPr>
          <w:t>现有环境风险防控与应急措施情况</w:t>
        </w:r>
        <w:r>
          <w:tab/>
        </w:r>
        <w:r>
          <w:rPr>
            <w:rFonts w:ascii="Times New Roman" w:eastAsia="Times New Roman"/>
          </w:rPr>
          <w:t>27</w:t>
        </w:r>
      </w:hyperlink>
    </w:p>
    <w:p w:rsidR="00B04AE3" w:rsidRDefault="00B04AE3">
      <w:pPr>
        <w:pStyle w:val="TOC3"/>
        <w:numPr>
          <w:ilvl w:val="2"/>
          <w:numId w:val="38"/>
        </w:numPr>
        <w:tabs>
          <w:tab w:val="left" w:pos="2360"/>
          <w:tab w:val="left" w:leader="dot" w:pos="8866"/>
        </w:tabs>
        <w:spacing w:before="160"/>
        <w:ind w:left="2360" w:hanging="720"/>
        <w:rPr>
          <w:rFonts w:ascii="Times New Roman" w:eastAsia="Times New Roman"/>
        </w:rPr>
      </w:pPr>
      <w:hyperlink w:anchor="_bookmark96" w:history="1">
        <w:r>
          <w:rPr>
            <w:rFonts w:hint="eastAsia"/>
          </w:rPr>
          <w:t>宣传、培训和演习</w:t>
        </w:r>
        <w:r>
          <w:tab/>
        </w:r>
        <w:r>
          <w:rPr>
            <w:rFonts w:ascii="Times New Roman" w:eastAsia="Times New Roman"/>
          </w:rPr>
          <w:t>27</w:t>
        </w:r>
      </w:hyperlink>
    </w:p>
    <w:p w:rsidR="00B04AE3" w:rsidRDefault="00B04AE3">
      <w:pPr>
        <w:pStyle w:val="TOC3"/>
        <w:numPr>
          <w:ilvl w:val="2"/>
          <w:numId w:val="38"/>
        </w:numPr>
        <w:tabs>
          <w:tab w:val="left" w:pos="2360"/>
          <w:tab w:val="left" w:leader="dot" w:pos="8866"/>
        </w:tabs>
        <w:ind w:left="2360" w:hanging="720"/>
        <w:rPr>
          <w:rFonts w:ascii="Times New Roman" w:eastAsia="Times New Roman"/>
        </w:rPr>
      </w:pPr>
      <w:hyperlink w:anchor="_bookmark97" w:history="1">
        <w:r>
          <w:rPr>
            <w:rFonts w:hint="eastAsia"/>
          </w:rPr>
          <w:t>危险源监控</w:t>
        </w:r>
        <w:r>
          <w:tab/>
        </w:r>
        <w:r>
          <w:rPr>
            <w:rFonts w:ascii="Times New Roman" w:eastAsia="Times New Roman"/>
          </w:rPr>
          <w:t>27</w:t>
        </w:r>
      </w:hyperlink>
    </w:p>
    <w:p w:rsidR="00B04AE3" w:rsidRDefault="00B04AE3">
      <w:pPr>
        <w:pStyle w:val="TOC3"/>
        <w:numPr>
          <w:ilvl w:val="2"/>
          <w:numId w:val="38"/>
        </w:numPr>
        <w:tabs>
          <w:tab w:val="left" w:pos="2360"/>
          <w:tab w:val="left" w:leader="dot" w:pos="8866"/>
        </w:tabs>
        <w:spacing w:before="160"/>
        <w:ind w:left="2360" w:hanging="720"/>
        <w:rPr>
          <w:rFonts w:ascii="Times New Roman" w:eastAsia="Times New Roman"/>
        </w:rPr>
      </w:pPr>
      <w:hyperlink w:anchor="_bookmark98" w:history="1">
        <w:r>
          <w:rPr>
            <w:rFonts w:hint="eastAsia"/>
          </w:rPr>
          <w:t>预防措施</w:t>
        </w:r>
        <w:r>
          <w:tab/>
        </w:r>
        <w:r>
          <w:rPr>
            <w:rFonts w:ascii="Times New Roman" w:eastAsia="Times New Roman"/>
          </w:rPr>
          <w:t>29</w:t>
        </w:r>
      </w:hyperlink>
    </w:p>
    <w:p w:rsidR="00B04AE3" w:rsidRDefault="00B04AE3">
      <w:pPr>
        <w:pStyle w:val="TOC3"/>
        <w:numPr>
          <w:ilvl w:val="2"/>
          <w:numId w:val="38"/>
        </w:numPr>
        <w:tabs>
          <w:tab w:val="left" w:pos="2360"/>
          <w:tab w:val="left" w:leader="dot" w:pos="8866"/>
        </w:tabs>
        <w:ind w:left="2360" w:hanging="720"/>
        <w:rPr>
          <w:rFonts w:ascii="Times New Roman" w:eastAsia="Times New Roman"/>
        </w:rPr>
      </w:pPr>
      <w:hyperlink w:anchor="_bookmark99" w:history="1">
        <w:r>
          <w:rPr>
            <w:rFonts w:hint="eastAsia"/>
          </w:rPr>
          <w:t>生产废水处理系统收集、防控措施</w:t>
        </w:r>
        <w:r>
          <w:tab/>
        </w:r>
        <w:r>
          <w:rPr>
            <w:rFonts w:ascii="Times New Roman" w:eastAsia="Times New Roman"/>
          </w:rPr>
          <w:t>30</w:t>
        </w:r>
      </w:hyperlink>
    </w:p>
    <w:p w:rsidR="00B04AE3" w:rsidRDefault="00B04AE3">
      <w:pPr>
        <w:pStyle w:val="TOC2"/>
        <w:numPr>
          <w:ilvl w:val="1"/>
          <w:numId w:val="38"/>
        </w:numPr>
        <w:tabs>
          <w:tab w:val="left" w:pos="1640"/>
          <w:tab w:val="left" w:leader="dot" w:pos="8866"/>
        </w:tabs>
        <w:rPr>
          <w:rFonts w:ascii="Times New Roman" w:eastAsia="Times New Roman"/>
        </w:rPr>
      </w:pPr>
      <w:hyperlink w:anchor="_bookmark100" w:history="1">
        <w:r>
          <w:rPr>
            <w:rFonts w:hint="eastAsia"/>
          </w:rPr>
          <w:t>现有应急物资与装备、救援队伍情况</w:t>
        </w:r>
        <w:r>
          <w:tab/>
        </w:r>
        <w:r>
          <w:rPr>
            <w:rFonts w:ascii="Times New Roman" w:eastAsia="Times New Roman"/>
          </w:rPr>
          <w:t>30</w:t>
        </w:r>
      </w:hyperlink>
    </w:p>
    <w:p w:rsidR="00B04AE3" w:rsidRDefault="00B04AE3">
      <w:pPr>
        <w:pStyle w:val="TOC1"/>
        <w:numPr>
          <w:ilvl w:val="0"/>
          <w:numId w:val="38"/>
        </w:numPr>
        <w:tabs>
          <w:tab w:val="left" w:pos="1040"/>
          <w:tab w:val="left" w:leader="dot" w:pos="8866"/>
        </w:tabs>
        <w:rPr>
          <w:rFonts w:ascii="Times New Roman" w:eastAsia="Times New Roman"/>
        </w:rPr>
      </w:pPr>
      <w:hyperlink w:anchor="_bookmark101" w:history="1">
        <w:r>
          <w:rPr>
            <w:rFonts w:hint="eastAsia"/>
          </w:rPr>
          <w:t>可能发生的突发环境事件及后果分析</w:t>
        </w:r>
        <w:r>
          <w:tab/>
        </w:r>
        <w:r>
          <w:rPr>
            <w:rFonts w:ascii="Times New Roman" w:eastAsia="Times New Roman"/>
          </w:rPr>
          <w:t>31</w:t>
        </w:r>
      </w:hyperlink>
    </w:p>
    <w:p w:rsidR="00B04AE3" w:rsidRDefault="00B04AE3">
      <w:pPr>
        <w:pStyle w:val="TOC2"/>
        <w:numPr>
          <w:ilvl w:val="1"/>
          <w:numId w:val="38"/>
        </w:numPr>
        <w:tabs>
          <w:tab w:val="left" w:pos="1640"/>
          <w:tab w:val="left" w:leader="dot" w:pos="8866"/>
        </w:tabs>
        <w:rPr>
          <w:rFonts w:ascii="Times New Roman" w:eastAsia="Times New Roman"/>
        </w:rPr>
      </w:pPr>
      <w:hyperlink w:anchor="_bookmark102" w:history="1">
        <w:r>
          <w:rPr>
            <w:rFonts w:hint="eastAsia"/>
          </w:rPr>
          <w:t>突发环境事件情景分析</w:t>
        </w:r>
        <w:r>
          <w:tab/>
        </w:r>
        <w:r>
          <w:rPr>
            <w:rFonts w:ascii="Times New Roman" w:eastAsia="Times New Roman"/>
          </w:rPr>
          <w:t>31</w:t>
        </w:r>
      </w:hyperlink>
    </w:p>
    <w:p w:rsidR="00B04AE3" w:rsidRDefault="00B04AE3">
      <w:pPr>
        <w:pStyle w:val="TOC3"/>
        <w:numPr>
          <w:ilvl w:val="2"/>
          <w:numId w:val="38"/>
        </w:numPr>
        <w:tabs>
          <w:tab w:val="left" w:pos="2360"/>
          <w:tab w:val="left" w:leader="dot" w:pos="8866"/>
        </w:tabs>
        <w:ind w:left="2360" w:hanging="720"/>
        <w:rPr>
          <w:rFonts w:ascii="Times New Roman" w:eastAsia="Times New Roman"/>
        </w:rPr>
      </w:pPr>
      <w:hyperlink w:anchor="_bookmark103" w:history="1">
        <w:r>
          <w:rPr>
            <w:rFonts w:hint="eastAsia"/>
          </w:rPr>
          <w:t>国内同类企业突发环境事件</w:t>
        </w:r>
        <w:r>
          <w:tab/>
        </w:r>
        <w:r>
          <w:rPr>
            <w:rFonts w:ascii="Times New Roman" w:eastAsia="Times New Roman"/>
          </w:rPr>
          <w:t>31</w:t>
        </w:r>
      </w:hyperlink>
    </w:p>
    <w:p w:rsidR="00B04AE3" w:rsidRDefault="00B04AE3">
      <w:pPr>
        <w:pStyle w:val="TOC3"/>
        <w:numPr>
          <w:ilvl w:val="2"/>
          <w:numId w:val="38"/>
        </w:numPr>
        <w:tabs>
          <w:tab w:val="left" w:pos="2360"/>
          <w:tab w:val="left" w:leader="dot" w:pos="8866"/>
        </w:tabs>
        <w:spacing w:before="160"/>
        <w:ind w:left="2360" w:hanging="720"/>
        <w:rPr>
          <w:rFonts w:ascii="Times New Roman" w:eastAsia="Times New Roman"/>
        </w:rPr>
      </w:pPr>
      <w:hyperlink w:anchor="_bookmark104" w:history="1">
        <w:r>
          <w:rPr>
            <w:rFonts w:hint="eastAsia"/>
          </w:rPr>
          <w:t>企业典型突发环境事件情景分析</w:t>
        </w:r>
        <w:r>
          <w:tab/>
        </w:r>
        <w:r>
          <w:rPr>
            <w:rFonts w:ascii="Times New Roman" w:eastAsia="Times New Roman"/>
          </w:rPr>
          <w:t>33</w:t>
        </w:r>
      </w:hyperlink>
    </w:p>
    <w:p w:rsidR="00B04AE3" w:rsidRDefault="00B04AE3">
      <w:pPr>
        <w:pStyle w:val="TOC2"/>
        <w:numPr>
          <w:ilvl w:val="1"/>
          <w:numId w:val="38"/>
        </w:numPr>
        <w:tabs>
          <w:tab w:val="left" w:pos="1640"/>
          <w:tab w:val="left" w:leader="dot" w:pos="8866"/>
        </w:tabs>
        <w:spacing w:before="161"/>
        <w:rPr>
          <w:rFonts w:ascii="Times New Roman" w:eastAsia="Times New Roman"/>
        </w:rPr>
      </w:pPr>
      <w:hyperlink w:anchor="_bookmark105" w:history="1">
        <w:r>
          <w:rPr>
            <w:rFonts w:hint="eastAsia"/>
          </w:rPr>
          <w:t>突发环境事件情景源强分析</w:t>
        </w:r>
        <w:r>
          <w:tab/>
        </w:r>
        <w:r>
          <w:rPr>
            <w:rFonts w:ascii="Times New Roman" w:eastAsia="Times New Roman"/>
          </w:rPr>
          <w:t>35</w:t>
        </w:r>
      </w:hyperlink>
    </w:p>
    <w:p w:rsidR="00B04AE3" w:rsidRDefault="00B04AE3">
      <w:pPr>
        <w:pStyle w:val="TOC3"/>
        <w:numPr>
          <w:ilvl w:val="2"/>
          <w:numId w:val="38"/>
        </w:numPr>
        <w:tabs>
          <w:tab w:val="left" w:pos="2360"/>
          <w:tab w:val="left" w:leader="dot" w:pos="8866"/>
        </w:tabs>
        <w:spacing w:before="160"/>
        <w:ind w:left="2360" w:hanging="720"/>
        <w:rPr>
          <w:rFonts w:ascii="Times New Roman" w:eastAsia="Times New Roman"/>
        </w:rPr>
      </w:pPr>
      <w:hyperlink w:anchor="_bookmark106" w:history="1">
        <w:r>
          <w:rPr>
            <w:rFonts w:hint="eastAsia"/>
          </w:rPr>
          <w:t>重大危险源辨识</w:t>
        </w:r>
        <w:r>
          <w:tab/>
        </w:r>
        <w:r>
          <w:rPr>
            <w:rFonts w:ascii="Times New Roman" w:eastAsia="Times New Roman"/>
          </w:rPr>
          <w:t>37</w:t>
        </w:r>
      </w:hyperlink>
    </w:p>
    <w:p w:rsidR="00B04AE3" w:rsidRDefault="00B04AE3">
      <w:pPr>
        <w:pStyle w:val="TOC3"/>
        <w:numPr>
          <w:ilvl w:val="2"/>
          <w:numId w:val="38"/>
        </w:numPr>
        <w:tabs>
          <w:tab w:val="left" w:pos="2360"/>
          <w:tab w:val="left" w:leader="dot" w:pos="8866"/>
        </w:tabs>
        <w:ind w:left="2360" w:hanging="720"/>
        <w:rPr>
          <w:rFonts w:ascii="Times New Roman" w:eastAsia="Times New Roman"/>
        </w:rPr>
      </w:pPr>
      <w:hyperlink w:anchor="_bookmark107" w:history="1">
        <w:r>
          <w:rPr>
            <w:rFonts w:hint="eastAsia"/>
          </w:rPr>
          <w:t>源项分析</w:t>
        </w:r>
        <w:r>
          <w:tab/>
        </w:r>
        <w:r>
          <w:rPr>
            <w:rFonts w:ascii="Times New Roman" w:eastAsia="Times New Roman"/>
          </w:rPr>
          <w:t>38</w:t>
        </w:r>
      </w:hyperlink>
    </w:p>
    <w:p w:rsidR="00B04AE3" w:rsidRDefault="00B04AE3">
      <w:pPr>
        <w:pStyle w:val="TOC3"/>
        <w:numPr>
          <w:ilvl w:val="2"/>
          <w:numId w:val="38"/>
        </w:numPr>
        <w:tabs>
          <w:tab w:val="left" w:pos="2360"/>
          <w:tab w:val="left" w:leader="dot" w:pos="8866"/>
        </w:tabs>
        <w:spacing w:before="160"/>
        <w:ind w:left="2360" w:hanging="720"/>
        <w:rPr>
          <w:rFonts w:ascii="Times New Roman" w:eastAsia="Times New Roman"/>
        </w:rPr>
      </w:pPr>
      <w:hyperlink w:anchor="_bookmark108" w:history="1">
        <w:r>
          <w:rPr>
            <w:rFonts w:hint="eastAsia"/>
          </w:rPr>
          <w:t>泄漏事故源强分析</w:t>
        </w:r>
        <w:r>
          <w:tab/>
        </w:r>
        <w:r>
          <w:rPr>
            <w:rFonts w:ascii="Times New Roman" w:eastAsia="Times New Roman"/>
          </w:rPr>
          <w:t>38</w:t>
        </w:r>
      </w:hyperlink>
    </w:p>
    <w:p w:rsidR="00B04AE3" w:rsidRDefault="00B04AE3">
      <w:pPr>
        <w:pStyle w:val="TOC3"/>
        <w:numPr>
          <w:ilvl w:val="2"/>
          <w:numId w:val="38"/>
        </w:numPr>
        <w:tabs>
          <w:tab w:val="left" w:pos="2360"/>
          <w:tab w:val="left" w:leader="dot" w:pos="8866"/>
        </w:tabs>
        <w:ind w:left="2360" w:hanging="720"/>
        <w:rPr>
          <w:rFonts w:ascii="Times New Roman" w:eastAsia="Times New Roman"/>
        </w:rPr>
      </w:pPr>
      <w:hyperlink w:anchor="_bookmark109" w:history="1">
        <w:r>
          <w:rPr>
            <w:rFonts w:hint="eastAsia"/>
          </w:rPr>
          <w:t>非正常工况源强分析</w:t>
        </w:r>
        <w:r>
          <w:tab/>
        </w:r>
        <w:r>
          <w:rPr>
            <w:rFonts w:ascii="Times New Roman" w:eastAsia="Times New Roman"/>
          </w:rPr>
          <w:t>38</w:t>
        </w:r>
      </w:hyperlink>
    </w:p>
    <w:p w:rsidR="00B04AE3" w:rsidRDefault="00B04AE3">
      <w:pPr>
        <w:pStyle w:val="TOC2"/>
        <w:numPr>
          <w:ilvl w:val="1"/>
          <w:numId w:val="38"/>
        </w:numPr>
        <w:tabs>
          <w:tab w:val="left" w:pos="1640"/>
          <w:tab w:val="left" w:leader="dot" w:pos="8866"/>
        </w:tabs>
        <w:spacing w:line="364" w:lineRule="auto"/>
        <w:ind w:left="1220" w:right="797" w:firstLine="0"/>
        <w:rPr>
          <w:rFonts w:ascii="Times New Roman" w:eastAsia="Times New Roman"/>
        </w:rPr>
      </w:pPr>
      <w:hyperlink w:anchor="_bookmark110" w:history="1">
        <w:r>
          <w:rPr>
            <w:rFonts w:hint="eastAsia"/>
          </w:rPr>
          <w:t>释放环境风险物质的扩散途径、涉及环境风险防控与应急措施、应急</w:t>
        </w:r>
        <w:r>
          <w:rPr>
            <w:rFonts w:hint="eastAsia"/>
            <w:spacing w:val="-11"/>
          </w:rPr>
          <w:t>资</w:t>
        </w:r>
      </w:hyperlink>
      <w:r>
        <w:rPr>
          <w:rFonts w:hint="eastAsia"/>
        </w:rPr>
        <w:t>源情况分析</w:t>
      </w:r>
      <w:r>
        <w:tab/>
      </w:r>
      <w:r>
        <w:rPr>
          <w:rFonts w:ascii="Times New Roman" w:eastAsia="Times New Roman"/>
          <w:spacing w:val="-9"/>
        </w:rPr>
        <w:t>40</w:t>
      </w:r>
    </w:p>
    <w:p w:rsidR="00B04AE3" w:rsidRDefault="00B04AE3">
      <w:pPr>
        <w:pStyle w:val="TOC3"/>
        <w:numPr>
          <w:ilvl w:val="2"/>
          <w:numId w:val="38"/>
        </w:numPr>
        <w:tabs>
          <w:tab w:val="left" w:pos="2240"/>
          <w:tab w:val="left" w:leader="dot" w:pos="8866"/>
        </w:tabs>
        <w:spacing w:before="1"/>
        <w:rPr>
          <w:rFonts w:ascii="Times New Roman" w:eastAsia="Times New Roman"/>
        </w:rPr>
      </w:pPr>
      <w:hyperlink w:anchor="_bookmark111" w:history="1">
        <w:r>
          <w:rPr>
            <w:rFonts w:hint="eastAsia"/>
          </w:rPr>
          <w:t>环境风险物质泄漏事故的扩散途径、影响程度预测分析</w:t>
        </w:r>
        <w:r>
          <w:tab/>
        </w:r>
        <w:r>
          <w:rPr>
            <w:rFonts w:ascii="Times New Roman" w:eastAsia="Times New Roman"/>
          </w:rPr>
          <w:t>41</w:t>
        </w:r>
      </w:hyperlink>
    </w:p>
    <w:p w:rsidR="00B04AE3" w:rsidRDefault="00B04AE3">
      <w:pPr>
        <w:pStyle w:val="TOC2"/>
        <w:numPr>
          <w:ilvl w:val="1"/>
          <w:numId w:val="38"/>
        </w:numPr>
        <w:tabs>
          <w:tab w:val="left" w:pos="1640"/>
          <w:tab w:val="left" w:leader="dot" w:pos="8866"/>
        </w:tabs>
        <w:spacing w:before="161"/>
        <w:rPr>
          <w:rFonts w:ascii="Times New Roman" w:eastAsia="Times New Roman"/>
        </w:rPr>
      </w:pPr>
      <w:hyperlink w:anchor="_bookmark112" w:history="1">
        <w:r>
          <w:rPr>
            <w:rFonts w:hint="eastAsia"/>
          </w:rPr>
          <w:t>突发环境事件危害后果分析</w:t>
        </w:r>
        <w:r>
          <w:tab/>
        </w:r>
        <w:r>
          <w:rPr>
            <w:rFonts w:ascii="Times New Roman" w:eastAsia="Times New Roman"/>
          </w:rPr>
          <w:t>44</w:t>
        </w:r>
      </w:hyperlink>
    </w:p>
    <w:p w:rsidR="00B04AE3" w:rsidRDefault="00B04AE3">
      <w:pPr>
        <w:pStyle w:val="TOC3"/>
        <w:numPr>
          <w:ilvl w:val="2"/>
          <w:numId w:val="38"/>
        </w:numPr>
        <w:tabs>
          <w:tab w:val="left" w:pos="2360"/>
          <w:tab w:val="left" w:leader="dot" w:pos="8866"/>
        </w:tabs>
        <w:spacing w:before="160"/>
        <w:ind w:left="2360" w:hanging="720"/>
        <w:rPr>
          <w:rFonts w:ascii="Times New Roman" w:eastAsia="Times New Roman"/>
        </w:rPr>
      </w:pPr>
      <w:hyperlink w:anchor="_bookmark113" w:history="1">
        <w:r>
          <w:rPr>
            <w:rFonts w:hint="eastAsia"/>
          </w:rPr>
          <w:t>评价标准</w:t>
        </w:r>
        <w:r>
          <w:tab/>
        </w:r>
        <w:r>
          <w:rPr>
            <w:rFonts w:ascii="Times New Roman" w:eastAsia="Times New Roman"/>
          </w:rPr>
          <w:t>45</w:t>
        </w:r>
      </w:hyperlink>
    </w:p>
    <w:p w:rsidR="00B04AE3" w:rsidRDefault="00B04AE3">
      <w:pPr>
        <w:pStyle w:val="TOC3"/>
        <w:numPr>
          <w:ilvl w:val="2"/>
          <w:numId w:val="38"/>
        </w:numPr>
        <w:tabs>
          <w:tab w:val="left" w:pos="2240"/>
          <w:tab w:val="left" w:leader="dot" w:pos="8866"/>
        </w:tabs>
        <w:rPr>
          <w:rFonts w:ascii="Times New Roman" w:eastAsia="Times New Roman"/>
        </w:rPr>
      </w:pPr>
      <w:hyperlink w:anchor="_bookmark114" w:history="1">
        <w:r>
          <w:rPr>
            <w:rFonts w:hint="eastAsia"/>
          </w:rPr>
          <w:t>泄漏事故后果分析</w:t>
        </w:r>
        <w:r>
          <w:tab/>
        </w:r>
        <w:r>
          <w:rPr>
            <w:rFonts w:ascii="Times New Roman" w:eastAsia="Times New Roman"/>
          </w:rPr>
          <w:t>45</w:t>
        </w:r>
      </w:hyperlink>
    </w:p>
    <w:p w:rsidR="00B04AE3" w:rsidRDefault="00B04AE3">
      <w:pPr>
        <w:pStyle w:val="TOC3"/>
        <w:numPr>
          <w:ilvl w:val="2"/>
          <w:numId w:val="38"/>
        </w:numPr>
        <w:tabs>
          <w:tab w:val="left" w:pos="2240"/>
          <w:tab w:val="left" w:leader="dot" w:pos="8866"/>
        </w:tabs>
        <w:spacing w:before="160"/>
        <w:rPr>
          <w:rFonts w:ascii="Times New Roman" w:eastAsia="Times New Roman"/>
        </w:rPr>
      </w:pPr>
      <w:hyperlink w:anchor="_bookmark115" w:history="1">
        <w:r>
          <w:rPr>
            <w:rFonts w:hint="eastAsia"/>
          </w:rPr>
          <w:t>非正常工况后果分析</w:t>
        </w:r>
        <w:r>
          <w:tab/>
        </w:r>
        <w:r>
          <w:rPr>
            <w:rFonts w:ascii="Times New Roman" w:eastAsia="Times New Roman"/>
          </w:rPr>
          <w:t>45</w:t>
        </w:r>
      </w:hyperlink>
    </w:p>
    <w:p w:rsidR="00B04AE3" w:rsidRDefault="00B04AE3">
      <w:pPr>
        <w:pStyle w:val="TOC1"/>
        <w:numPr>
          <w:ilvl w:val="0"/>
          <w:numId w:val="38"/>
        </w:numPr>
        <w:tabs>
          <w:tab w:val="left" w:pos="1040"/>
          <w:tab w:val="left" w:leader="dot" w:pos="8866"/>
        </w:tabs>
        <w:rPr>
          <w:rFonts w:ascii="Times New Roman" w:eastAsia="Times New Roman"/>
        </w:rPr>
      </w:pPr>
      <w:hyperlink w:anchor="_bookmark116" w:history="1">
        <w:r>
          <w:rPr>
            <w:rFonts w:hint="eastAsia"/>
          </w:rPr>
          <w:t>现有环境风险防控和应急措施差距分析</w:t>
        </w:r>
        <w:r>
          <w:tab/>
        </w:r>
        <w:r>
          <w:rPr>
            <w:rFonts w:ascii="Times New Roman" w:eastAsia="Times New Roman"/>
          </w:rPr>
          <w:t>48</w:t>
        </w:r>
      </w:hyperlink>
    </w:p>
    <w:p w:rsidR="00B04AE3" w:rsidRDefault="00B04AE3">
      <w:pPr>
        <w:pStyle w:val="TOC2"/>
        <w:numPr>
          <w:ilvl w:val="1"/>
          <w:numId w:val="38"/>
        </w:numPr>
        <w:tabs>
          <w:tab w:val="left" w:pos="1640"/>
          <w:tab w:val="left" w:leader="dot" w:pos="8866"/>
        </w:tabs>
        <w:rPr>
          <w:rFonts w:ascii="Times New Roman" w:eastAsia="Times New Roman"/>
        </w:rPr>
      </w:pPr>
      <w:hyperlink w:anchor="_bookmark117" w:history="1">
        <w:r>
          <w:rPr>
            <w:rFonts w:hint="eastAsia"/>
          </w:rPr>
          <w:t>环境风险管理制度</w:t>
        </w:r>
        <w:r>
          <w:tab/>
        </w:r>
        <w:r>
          <w:rPr>
            <w:rFonts w:ascii="Times New Roman" w:eastAsia="Times New Roman"/>
          </w:rPr>
          <w:t>48</w:t>
        </w:r>
      </w:hyperlink>
    </w:p>
    <w:p w:rsidR="00B04AE3" w:rsidRDefault="00B04AE3">
      <w:pPr>
        <w:pStyle w:val="TOC2"/>
        <w:numPr>
          <w:ilvl w:val="1"/>
          <w:numId w:val="38"/>
        </w:numPr>
        <w:tabs>
          <w:tab w:val="left" w:pos="1640"/>
          <w:tab w:val="left" w:leader="dot" w:pos="8866"/>
        </w:tabs>
        <w:spacing w:before="161" w:after="176"/>
        <w:rPr>
          <w:rFonts w:ascii="Times New Roman" w:eastAsia="Times New Roman"/>
        </w:rPr>
      </w:pPr>
      <w:hyperlink w:anchor="_bookmark118" w:history="1">
        <w:r>
          <w:rPr>
            <w:rFonts w:hint="eastAsia"/>
          </w:rPr>
          <w:t>环境风险防控与应急措施</w:t>
        </w:r>
        <w:r>
          <w:tab/>
        </w:r>
        <w:r>
          <w:rPr>
            <w:rFonts w:ascii="Times New Roman" w:eastAsia="Times New Roman"/>
          </w:rPr>
          <w:t>48</w:t>
        </w:r>
      </w:hyperlink>
    </w:p>
    <w:p w:rsidR="00B04AE3" w:rsidRDefault="00B04AE3">
      <w:pPr>
        <w:pStyle w:val="TOC2"/>
        <w:numPr>
          <w:ilvl w:val="1"/>
          <w:numId w:val="38"/>
        </w:numPr>
        <w:tabs>
          <w:tab w:val="left" w:pos="1640"/>
          <w:tab w:val="right" w:leader="dot" w:pos="9106"/>
        </w:tabs>
        <w:spacing w:before="143"/>
        <w:rPr>
          <w:rFonts w:ascii="Times New Roman" w:eastAsia="Times New Roman"/>
        </w:rPr>
      </w:pPr>
      <w:hyperlink w:anchor="_bookmark119" w:history="1">
        <w:r>
          <w:rPr>
            <w:rFonts w:hint="eastAsia"/>
          </w:rPr>
          <w:t>环境应急资源</w:t>
        </w:r>
        <w:r>
          <w:tab/>
        </w:r>
        <w:r>
          <w:rPr>
            <w:rFonts w:ascii="Times New Roman" w:eastAsia="Times New Roman"/>
          </w:rPr>
          <w:t>49</w:t>
        </w:r>
      </w:hyperlink>
    </w:p>
    <w:p w:rsidR="00B04AE3" w:rsidRDefault="00B04AE3">
      <w:pPr>
        <w:pStyle w:val="TOC2"/>
        <w:numPr>
          <w:ilvl w:val="1"/>
          <w:numId w:val="38"/>
        </w:numPr>
        <w:tabs>
          <w:tab w:val="left" w:pos="1640"/>
          <w:tab w:val="right" w:leader="dot" w:pos="9106"/>
        </w:tabs>
        <w:rPr>
          <w:rFonts w:ascii="Times New Roman" w:eastAsia="Times New Roman"/>
        </w:rPr>
      </w:pPr>
      <w:hyperlink w:anchor="_bookmark120" w:history="1">
        <w:r>
          <w:rPr>
            <w:rFonts w:hint="eastAsia"/>
          </w:rPr>
          <w:t>历史经验总结教训</w:t>
        </w:r>
        <w:r>
          <w:tab/>
        </w:r>
        <w:r>
          <w:rPr>
            <w:rFonts w:ascii="Times New Roman" w:eastAsia="Times New Roman"/>
          </w:rPr>
          <w:t>49</w:t>
        </w:r>
      </w:hyperlink>
    </w:p>
    <w:p w:rsidR="00B04AE3" w:rsidRDefault="00B04AE3">
      <w:pPr>
        <w:pStyle w:val="TOC2"/>
        <w:numPr>
          <w:ilvl w:val="1"/>
          <w:numId w:val="38"/>
        </w:numPr>
        <w:tabs>
          <w:tab w:val="left" w:pos="1640"/>
          <w:tab w:val="right" w:leader="dot" w:pos="9106"/>
        </w:tabs>
        <w:spacing w:before="161"/>
        <w:rPr>
          <w:rFonts w:ascii="Times New Roman" w:eastAsia="Times New Roman"/>
        </w:rPr>
      </w:pPr>
      <w:hyperlink w:anchor="_bookmark121" w:history="1">
        <w:r>
          <w:rPr>
            <w:rFonts w:hint="eastAsia"/>
          </w:rPr>
          <w:t>需要整改的短期、中期和长期项目内容</w:t>
        </w:r>
        <w:r>
          <w:tab/>
        </w:r>
        <w:r>
          <w:rPr>
            <w:rFonts w:ascii="Times New Roman" w:eastAsia="Times New Roman"/>
          </w:rPr>
          <w:t>50</w:t>
        </w:r>
      </w:hyperlink>
    </w:p>
    <w:p w:rsidR="00B04AE3" w:rsidRDefault="00B04AE3">
      <w:pPr>
        <w:pStyle w:val="TOC1"/>
        <w:numPr>
          <w:ilvl w:val="0"/>
          <w:numId w:val="38"/>
        </w:numPr>
        <w:tabs>
          <w:tab w:val="left" w:pos="1040"/>
          <w:tab w:val="right" w:leader="dot" w:pos="9106"/>
        </w:tabs>
        <w:spacing w:before="160"/>
        <w:rPr>
          <w:rFonts w:ascii="Times New Roman" w:eastAsia="Times New Roman"/>
        </w:rPr>
      </w:pPr>
      <w:hyperlink w:anchor="_bookmark122" w:history="1">
        <w:r>
          <w:rPr>
            <w:rFonts w:hint="eastAsia"/>
          </w:rPr>
          <w:t>完善环境风险防控和应急措施的建议与实施计划</w:t>
        </w:r>
        <w:r>
          <w:tab/>
        </w:r>
        <w:r>
          <w:rPr>
            <w:rFonts w:ascii="Times New Roman" w:eastAsia="Times New Roman"/>
          </w:rPr>
          <w:t>52</w:t>
        </w:r>
      </w:hyperlink>
    </w:p>
    <w:p w:rsidR="00B04AE3" w:rsidRDefault="00B04AE3">
      <w:pPr>
        <w:pStyle w:val="TOC1"/>
        <w:numPr>
          <w:ilvl w:val="0"/>
          <w:numId w:val="38"/>
        </w:numPr>
        <w:tabs>
          <w:tab w:val="left" w:pos="1160"/>
          <w:tab w:val="right" w:leader="dot" w:pos="9106"/>
        </w:tabs>
        <w:ind w:left="1160" w:hanging="360"/>
        <w:rPr>
          <w:rFonts w:ascii="Times New Roman" w:eastAsia="Times New Roman"/>
        </w:rPr>
      </w:pPr>
      <w:hyperlink w:anchor="_bookmark123" w:history="1">
        <w:r>
          <w:rPr>
            <w:rFonts w:hint="eastAsia"/>
          </w:rPr>
          <w:t>企业突发环境事件风险等级</w:t>
        </w:r>
        <w:r>
          <w:tab/>
        </w:r>
        <w:r>
          <w:rPr>
            <w:rFonts w:ascii="Times New Roman" w:eastAsia="Times New Roman"/>
          </w:rPr>
          <w:t>54</w:t>
        </w:r>
      </w:hyperlink>
    </w:p>
    <w:p w:rsidR="00B04AE3" w:rsidRDefault="00B04AE3">
      <w:pPr>
        <w:pStyle w:val="TOC2"/>
        <w:numPr>
          <w:ilvl w:val="1"/>
          <w:numId w:val="38"/>
        </w:numPr>
        <w:tabs>
          <w:tab w:val="left" w:pos="1640"/>
          <w:tab w:val="right" w:leader="dot" w:pos="9106"/>
        </w:tabs>
        <w:rPr>
          <w:rFonts w:ascii="Times New Roman" w:eastAsia="Times New Roman"/>
        </w:rPr>
      </w:pPr>
      <w:hyperlink w:anchor="_bookmark124" w:history="1">
        <w:r>
          <w:rPr>
            <w:rFonts w:hint="eastAsia"/>
          </w:rPr>
          <w:t>突发大气环境事件风险分级</w:t>
        </w:r>
        <w:r>
          <w:tab/>
        </w:r>
        <w:r>
          <w:rPr>
            <w:rFonts w:ascii="Times New Roman" w:eastAsia="Times New Roman"/>
          </w:rPr>
          <w:t>55</w:t>
        </w:r>
      </w:hyperlink>
    </w:p>
    <w:p w:rsidR="00B04AE3" w:rsidRDefault="00B04AE3">
      <w:pPr>
        <w:pStyle w:val="TOC3"/>
        <w:numPr>
          <w:ilvl w:val="2"/>
          <w:numId w:val="38"/>
        </w:numPr>
        <w:tabs>
          <w:tab w:val="left" w:pos="2180"/>
          <w:tab w:val="right" w:leader="dot" w:pos="9106"/>
        </w:tabs>
        <w:ind w:left="2180" w:hanging="540"/>
        <w:rPr>
          <w:rFonts w:ascii="Times New Roman" w:eastAsia="Times New Roman"/>
        </w:rPr>
      </w:pPr>
      <w:hyperlink w:anchor="_bookmark125" w:history="1">
        <w:r>
          <w:rPr>
            <w:rFonts w:hint="eastAsia"/>
          </w:rPr>
          <w:t>计算涉气风险物质数量与临界量比值（</w:t>
        </w:r>
        <w:r>
          <w:rPr>
            <w:rFonts w:ascii="Times New Roman" w:eastAsia="Times New Roman"/>
          </w:rPr>
          <w:t>Q</w:t>
        </w:r>
        <w:r>
          <w:rPr>
            <w:rFonts w:hint="eastAsia"/>
          </w:rPr>
          <w:t>）</w:t>
        </w:r>
        <w:r>
          <w:tab/>
        </w:r>
        <w:r>
          <w:rPr>
            <w:rFonts w:ascii="Times New Roman" w:eastAsia="Times New Roman"/>
          </w:rPr>
          <w:t>55</w:t>
        </w:r>
      </w:hyperlink>
    </w:p>
    <w:p w:rsidR="00B04AE3" w:rsidRDefault="00B04AE3">
      <w:pPr>
        <w:pStyle w:val="TOC3"/>
        <w:numPr>
          <w:ilvl w:val="2"/>
          <w:numId w:val="38"/>
        </w:numPr>
        <w:tabs>
          <w:tab w:val="left" w:pos="2180"/>
          <w:tab w:val="right" w:leader="dot" w:pos="9106"/>
        </w:tabs>
        <w:spacing w:before="160"/>
        <w:ind w:left="2180" w:hanging="540"/>
        <w:rPr>
          <w:rFonts w:ascii="Times New Roman" w:eastAsia="Times New Roman"/>
        </w:rPr>
      </w:pPr>
      <w:hyperlink w:anchor="_bookmark126" w:history="1">
        <w:r>
          <w:rPr>
            <w:rFonts w:hint="eastAsia"/>
          </w:rPr>
          <w:t>生产工艺过程与大气环境风险控制水平（</w:t>
        </w:r>
        <w:r>
          <w:rPr>
            <w:rFonts w:ascii="Times New Roman" w:eastAsia="Times New Roman"/>
          </w:rPr>
          <w:t>M</w:t>
        </w:r>
        <w:r>
          <w:rPr>
            <w:rFonts w:hint="eastAsia"/>
          </w:rPr>
          <w:t>）评估</w:t>
        </w:r>
        <w:r>
          <w:tab/>
        </w:r>
        <w:r>
          <w:rPr>
            <w:rFonts w:ascii="Times New Roman" w:eastAsia="Times New Roman"/>
          </w:rPr>
          <w:t>56</w:t>
        </w:r>
      </w:hyperlink>
    </w:p>
    <w:p w:rsidR="00B04AE3" w:rsidRDefault="00B04AE3">
      <w:pPr>
        <w:pStyle w:val="TOC3"/>
        <w:numPr>
          <w:ilvl w:val="2"/>
          <w:numId w:val="38"/>
        </w:numPr>
        <w:tabs>
          <w:tab w:val="left" w:pos="2180"/>
          <w:tab w:val="right" w:leader="dot" w:pos="9106"/>
        </w:tabs>
        <w:ind w:left="2180" w:hanging="540"/>
        <w:rPr>
          <w:rFonts w:ascii="Times New Roman" w:eastAsia="Times New Roman"/>
        </w:rPr>
      </w:pPr>
      <w:hyperlink w:anchor="_bookmark127" w:history="1">
        <w:r>
          <w:rPr>
            <w:rFonts w:hint="eastAsia"/>
          </w:rPr>
          <w:t>大气环境风险受体敏感程度（</w:t>
        </w:r>
        <w:r>
          <w:rPr>
            <w:rFonts w:ascii="Times New Roman" w:eastAsia="Times New Roman"/>
          </w:rPr>
          <w:t>E</w:t>
        </w:r>
        <w:r>
          <w:rPr>
            <w:rFonts w:hint="eastAsia"/>
          </w:rPr>
          <w:t>）评估</w:t>
        </w:r>
        <w:r>
          <w:tab/>
        </w:r>
        <w:r>
          <w:rPr>
            <w:rFonts w:ascii="Times New Roman" w:eastAsia="Times New Roman"/>
          </w:rPr>
          <w:t>57</w:t>
        </w:r>
      </w:hyperlink>
    </w:p>
    <w:p w:rsidR="00B04AE3" w:rsidRDefault="00B04AE3">
      <w:pPr>
        <w:pStyle w:val="TOC3"/>
        <w:numPr>
          <w:ilvl w:val="2"/>
          <w:numId w:val="38"/>
        </w:numPr>
        <w:tabs>
          <w:tab w:val="left" w:pos="2180"/>
          <w:tab w:val="right" w:leader="dot" w:pos="9106"/>
        </w:tabs>
        <w:spacing w:before="160"/>
        <w:ind w:left="2180" w:hanging="540"/>
        <w:rPr>
          <w:rFonts w:ascii="Times New Roman" w:eastAsia="Times New Roman"/>
        </w:rPr>
      </w:pPr>
      <w:hyperlink w:anchor="_bookmark128" w:history="1">
        <w:r>
          <w:rPr>
            <w:rFonts w:hint="eastAsia"/>
          </w:rPr>
          <w:t>突发大气环境风险等级确定</w:t>
        </w:r>
        <w:r>
          <w:tab/>
        </w:r>
        <w:r>
          <w:rPr>
            <w:rFonts w:ascii="Times New Roman" w:eastAsia="Times New Roman"/>
          </w:rPr>
          <w:t>58</w:t>
        </w:r>
      </w:hyperlink>
    </w:p>
    <w:p w:rsidR="00B04AE3" w:rsidRDefault="00B04AE3">
      <w:pPr>
        <w:pStyle w:val="TOC3"/>
        <w:tabs>
          <w:tab w:val="right" w:leader="dot" w:pos="9106"/>
        </w:tabs>
        <w:ind w:left="1640" w:firstLine="0"/>
        <w:rPr>
          <w:rFonts w:ascii="Times New Roman" w:eastAsia="Times New Roman"/>
        </w:rPr>
      </w:pPr>
      <w:hyperlink w:anchor="_bookmark129" w:history="1">
        <w:r>
          <w:rPr>
            <w:rFonts w:ascii="Times New Roman" w:eastAsia="Times New Roman"/>
          </w:rPr>
          <w:t xml:space="preserve">6.1.4 </w:t>
        </w:r>
        <w:r>
          <w:rPr>
            <w:rFonts w:hint="eastAsia"/>
          </w:rPr>
          <w:t>突发大气环境风险等级表征</w:t>
        </w:r>
        <w:r>
          <w:tab/>
        </w:r>
        <w:r>
          <w:rPr>
            <w:rFonts w:ascii="Times New Roman" w:eastAsia="Times New Roman"/>
          </w:rPr>
          <w:t>58</w:t>
        </w:r>
      </w:hyperlink>
    </w:p>
    <w:p w:rsidR="00B04AE3" w:rsidRDefault="00B04AE3">
      <w:pPr>
        <w:pStyle w:val="TOC2"/>
        <w:numPr>
          <w:ilvl w:val="1"/>
          <w:numId w:val="38"/>
        </w:numPr>
        <w:tabs>
          <w:tab w:val="left" w:pos="1640"/>
          <w:tab w:val="right" w:leader="dot" w:pos="9106"/>
        </w:tabs>
        <w:rPr>
          <w:rFonts w:ascii="Times New Roman" w:eastAsia="Times New Roman"/>
        </w:rPr>
      </w:pPr>
      <w:hyperlink w:anchor="_bookmark130" w:history="1">
        <w:r>
          <w:rPr>
            <w:rFonts w:hint="eastAsia"/>
          </w:rPr>
          <w:t>突发水环境事件风险分级</w:t>
        </w:r>
        <w:r>
          <w:tab/>
        </w:r>
        <w:r>
          <w:rPr>
            <w:rFonts w:ascii="Times New Roman" w:eastAsia="Times New Roman"/>
          </w:rPr>
          <w:t>59</w:t>
        </w:r>
      </w:hyperlink>
    </w:p>
    <w:p w:rsidR="00B04AE3" w:rsidRDefault="00B04AE3">
      <w:pPr>
        <w:pStyle w:val="TOC3"/>
        <w:numPr>
          <w:ilvl w:val="2"/>
          <w:numId w:val="38"/>
        </w:numPr>
        <w:tabs>
          <w:tab w:val="left" w:pos="2180"/>
          <w:tab w:val="right" w:leader="dot" w:pos="9106"/>
        </w:tabs>
        <w:ind w:left="2180" w:hanging="540"/>
        <w:rPr>
          <w:rFonts w:ascii="Times New Roman" w:eastAsia="Times New Roman"/>
        </w:rPr>
      </w:pPr>
      <w:hyperlink w:anchor="_bookmark131" w:history="1">
        <w:r>
          <w:rPr>
            <w:rFonts w:hint="eastAsia"/>
          </w:rPr>
          <w:t>突发水环境事件风险分级</w:t>
        </w:r>
        <w:r>
          <w:tab/>
        </w:r>
        <w:r>
          <w:rPr>
            <w:rFonts w:ascii="Times New Roman" w:eastAsia="Times New Roman"/>
          </w:rPr>
          <w:t>59</w:t>
        </w:r>
      </w:hyperlink>
    </w:p>
    <w:p w:rsidR="00B04AE3" w:rsidRDefault="00B04AE3">
      <w:pPr>
        <w:pStyle w:val="TOC3"/>
        <w:numPr>
          <w:ilvl w:val="2"/>
          <w:numId w:val="38"/>
        </w:numPr>
        <w:tabs>
          <w:tab w:val="left" w:pos="2180"/>
          <w:tab w:val="right" w:leader="dot" w:pos="9106"/>
        </w:tabs>
        <w:spacing w:before="160"/>
        <w:ind w:left="2180" w:hanging="540"/>
        <w:rPr>
          <w:rFonts w:ascii="Times New Roman" w:eastAsia="Times New Roman"/>
        </w:rPr>
      </w:pPr>
      <w:hyperlink w:anchor="_bookmark132" w:history="1">
        <w:r>
          <w:rPr>
            <w:rFonts w:hint="eastAsia"/>
          </w:rPr>
          <w:t>生产工艺过程与水环境风险控制水平（</w:t>
        </w:r>
        <w:r>
          <w:rPr>
            <w:rFonts w:ascii="Times New Roman" w:eastAsia="Times New Roman"/>
          </w:rPr>
          <w:t>M</w:t>
        </w:r>
        <w:r>
          <w:rPr>
            <w:rFonts w:hint="eastAsia"/>
          </w:rPr>
          <w:t>）评估</w:t>
        </w:r>
        <w:r>
          <w:tab/>
        </w:r>
        <w:r>
          <w:rPr>
            <w:rFonts w:ascii="Times New Roman" w:eastAsia="Times New Roman"/>
          </w:rPr>
          <w:t>59</w:t>
        </w:r>
      </w:hyperlink>
    </w:p>
    <w:p w:rsidR="00B04AE3" w:rsidRDefault="00B04AE3">
      <w:pPr>
        <w:pStyle w:val="TOC3"/>
        <w:numPr>
          <w:ilvl w:val="2"/>
          <w:numId w:val="38"/>
        </w:numPr>
        <w:tabs>
          <w:tab w:val="left" w:pos="2180"/>
          <w:tab w:val="right" w:leader="dot" w:pos="9106"/>
        </w:tabs>
        <w:ind w:left="2180" w:hanging="540"/>
        <w:rPr>
          <w:rFonts w:ascii="Times New Roman" w:eastAsia="Times New Roman"/>
        </w:rPr>
      </w:pPr>
      <w:hyperlink w:anchor="_bookmark133" w:history="1">
        <w:r>
          <w:rPr>
            <w:rFonts w:hint="eastAsia"/>
          </w:rPr>
          <w:t>水环境风险受体敏感程度（</w:t>
        </w:r>
        <w:r>
          <w:rPr>
            <w:rFonts w:ascii="Times New Roman" w:eastAsia="Times New Roman"/>
          </w:rPr>
          <w:t>E</w:t>
        </w:r>
        <w:r>
          <w:rPr>
            <w:rFonts w:hint="eastAsia"/>
          </w:rPr>
          <w:t>）评估</w:t>
        </w:r>
        <w:r>
          <w:tab/>
        </w:r>
        <w:r>
          <w:rPr>
            <w:rFonts w:ascii="Times New Roman" w:eastAsia="Times New Roman"/>
          </w:rPr>
          <w:t>62</w:t>
        </w:r>
      </w:hyperlink>
    </w:p>
    <w:p w:rsidR="00B04AE3" w:rsidRDefault="00B04AE3">
      <w:pPr>
        <w:pStyle w:val="TOC3"/>
        <w:numPr>
          <w:ilvl w:val="2"/>
          <w:numId w:val="38"/>
        </w:numPr>
        <w:tabs>
          <w:tab w:val="left" w:pos="2180"/>
          <w:tab w:val="right" w:leader="dot" w:pos="9106"/>
        </w:tabs>
        <w:spacing w:before="160"/>
        <w:ind w:left="2180" w:hanging="540"/>
        <w:rPr>
          <w:rFonts w:ascii="Times New Roman" w:eastAsia="Times New Roman"/>
        </w:rPr>
      </w:pPr>
      <w:hyperlink w:anchor="_bookmark134" w:history="1">
        <w:r>
          <w:rPr>
            <w:rFonts w:hint="eastAsia"/>
          </w:rPr>
          <w:t>突发水环境事件风险等级确定</w:t>
        </w:r>
        <w:r>
          <w:tab/>
        </w:r>
        <w:r>
          <w:rPr>
            <w:rFonts w:ascii="Times New Roman" w:eastAsia="Times New Roman"/>
          </w:rPr>
          <w:t>63</w:t>
        </w:r>
      </w:hyperlink>
    </w:p>
    <w:p w:rsidR="00B04AE3" w:rsidRDefault="00B04AE3">
      <w:pPr>
        <w:pStyle w:val="TOC3"/>
        <w:numPr>
          <w:ilvl w:val="2"/>
          <w:numId w:val="38"/>
        </w:numPr>
        <w:tabs>
          <w:tab w:val="left" w:pos="2180"/>
          <w:tab w:val="right" w:leader="dot" w:pos="9106"/>
        </w:tabs>
        <w:ind w:left="2180" w:hanging="540"/>
        <w:rPr>
          <w:rFonts w:ascii="Times New Roman" w:eastAsia="Times New Roman"/>
        </w:rPr>
      </w:pPr>
      <w:hyperlink w:anchor="_bookmark135" w:history="1">
        <w:r>
          <w:rPr>
            <w:rFonts w:hint="eastAsia"/>
          </w:rPr>
          <w:t>突发水环境事件风险等级表征</w:t>
        </w:r>
        <w:r>
          <w:tab/>
        </w:r>
        <w:r>
          <w:rPr>
            <w:rFonts w:ascii="Times New Roman" w:eastAsia="Times New Roman"/>
          </w:rPr>
          <w:t>63</w:t>
        </w:r>
      </w:hyperlink>
    </w:p>
    <w:p w:rsidR="00B04AE3" w:rsidRDefault="00B04AE3">
      <w:pPr>
        <w:pStyle w:val="TOC2"/>
        <w:numPr>
          <w:ilvl w:val="1"/>
          <w:numId w:val="38"/>
        </w:numPr>
        <w:tabs>
          <w:tab w:val="left" w:pos="1640"/>
          <w:tab w:val="right" w:leader="dot" w:pos="9106"/>
        </w:tabs>
        <w:rPr>
          <w:rFonts w:ascii="Times New Roman" w:eastAsia="Times New Roman"/>
        </w:rPr>
      </w:pPr>
      <w:hyperlink w:anchor="_bookmark136" w:history="1">
        <w:r>
          <w:rPr>
            <w:rFonts w:hint="eastAsia"/>
          </w:rPr>
          <w:t>企业突发环境事件风险等级确定与调整</w:t>
        </w:r>
        <w:r>
          <w:tab/>
        </w:r>
        <w:r>
          <w:rPr>
            <w:rFonts w:ascii="Times New Roman" w:eastAsia="Times New Roman"/>
          </w:rPr>
          <w:t>63</w:t>
        </w:r>
      </w:hyperlink>
    </w:p>
    <w:p w:rsidR="00B04AE3" w:rsidRDefault="00B04AE3">
      <w:pPr>
        <w:pStyle w:val="TOC3"/>
        <w:numPr>
          <w:ilvl w:val="2"/>
          <w:numId w:val="38"/>
        </w:numPr>
        <w:tabs>
          <w:tab w:val="left" w:pos="2180"/>
          <w:tab w:val="right" w:leader="dot" w:pos="9106"/>
        </w:tabs>
        <w:ind w:left="2180" w:hanging="540"/>
        <w:rPr>
          <w:rFonts w:ascii="Times New Roman" w:eastAsia="Times New Roman"/>
        </w:rPr>
      </w:pPr>
      <w:hyperlink w:anchor="_bookmark137" w:history="1">
        <w:r>
          <w:rPr>
            <w:rFonts w:hint="eastAsia"/>
          </w:rPr>
          <w:t>风险等级确定</w:t>
        </w:r>
        <w:r>
          <w:tab/>
        </w:r>
        <w:r>
          <w:rPr>
            <w:rFonts w:ascii="Times New Roman" w:eastAsia="Times New Roman"/>
          </w:rPr>
          <w:t>63</w:t>
        </w:r>
      </w:hyperlink>
    </w:p>
    <w:p w:rsidR="00B04AE3" w:rsidRDefault="00B04AE3">
      <w:pPr>
        <w:pStyle w:val="TOC3"/>
        <w:numPr>
          <w:ilvl w:val="2"/>
          <w:numId w:val="38"/>
        </w:numPr>
        <w:tabs>
          <w:tab w:val="left" w:pos="2180"/>
          <w:tab w:val="right" w:leader="dot" w:pos="9106"/>
        </w:tabs>
        <w:spacing w:before="160"/>
        <w:ind w:left="2180" w:hanging="540"/>
        <w:rPr>
          <w:rFonts w:ascii="Times New Roman" w:eastAsia="Times New Roman"/>
        </w:rPr>
      </w:pPr>
      <w:hyperlink w:anchor="_bookmark138" w:history="1">
        <w:r>
          <w:rPr>
            <w:rFonts w:hint="eastAsia"/>
          </w:rPr>
          <w:t>风险等级调整</w:t>
        </w:r>
        <w:r>
          <w:tab/>
        </w:r>
        <w:r>
          <w:rPr>
            <w:rFonts w:ascii="Times New Roman" w:eastAsia="Times New Roman"/>
          </w:rPr>
          <w:t>63</w:t>
        </w:r>
      </w:hyperlink>
    </w:p>
    <w:p w:rsidR="00B04AE3" w:rsidRDefault="00B04AE3">
      <w:pPr>
        <w:pStyle w:val="TOC3"/>
        <w:numPr>
          <w:ilvl w:val="2"/>
          <w:numId w:val="38"/>
        </w:numPr>
        <w:tabs>
          <w:tab w:val="left" w:pos="2180"/>
          <w:tab w:val="right" w:leader="dot" w:pos="9106"/>
        </w:tabs>
        <w:ind w:left="2180" w:hanging="540"/>
        <w:rPr>
          <w:rFonts w:ascii="Times New Roman" w:eastAsia="Times New Roman"/>
        </w:rPr>
      </w:pPr>
      <w:hyperlink w:anchor="_bookmark139" w:history="1">
        <w:r>
          <w:rPr>
            <w:rFonts w:hint="eastAsia"/>
          </w:rPr>
          <w:t>风险等级表征</w:t>
        </w:r>
        <w:r>
          <w:tab/>
        </w:r>
        <w:r>
          <w:rPr>
            <w:rFonts w:ascii="Times New Roman" w:eastAsia="Times New Roman"/>
          </w:rPr>
          <w:t>64</w:t>
        </w:r>
      </w:hyperlink>
    </w:p>
    <w:p w:rsidR="00B04AE3" w:rsidRDefault="00B04AE3">
      <w:pPr>
        <w:rPr>
          <w:rFonts w:ascii="Times New Roman" w:eastAsia="Times New Roman"/>
        </w:rPr>
        <w:sectPr w:rsidR="00B04AE3">
          <w:type w:val="continuous"/>
          <w:pgSz w:w="11910" w:h="16840"/>
          <w:pgMar w:top="1379" w:right="1000" w:bottom="1730" w:left="1000" w:header="720" w:footer="720" w:gutter="0"/>
          <w:cols w:space="720"/>
        </w:sectPr>
      </w:pPr>
    </w:p>
    <w:p w:rsidR="00B04AE3" w:rsidRDefault="00B04AE3">
      <w:pPr>
        <w:pStyle w:val="Heading1"/>
        <w:tabs>
          <w:tab w:val="left" w:pos="4731"/>
        </w:tabs>
        <w:ind w:left="4292"/>
      </w:pPr>
      <w:bookmarkStart w:id="233" w:name="1_总则"/>
      <w:bookmarkStart w:id="234" w:name="_bookmark64"/>
      <w:bookmarkEnd w:id="233"/>
      <w:bookmarkEnd w:id="234"/>
      <w:r>
        <w:rPr>
          <w:rFonts w:ascii="Times New Roman" w:eastAsia="Times New Roman"/>
        </w:rPr>
        <w:t>1</w:t>
      </w:r>
      <w:r>
        <w:rPr>
          <w:rFonts w:ascii="Times New Roman" w:eastAsia="Times New Roman"/>
        </w:rPr>
        <w:tab/>
      </w:r>
      <w:r>
        <w:rPr>
          <w:rFonts w:hint="eastAsia"/>
        </w:rPr>
        <w:t>总则</w:t>
      </w:r>
    </w:p>
    <w:p w:rsidR="00B04AE3" w:rsidRDefault="00B04AE3">
      <w:pPr>
        <w:pStyle w:val="Heading2"/>
        <w:numPr>
          <w:ilvl w:val="1"/>
          <w:numId w:val="39"/>
        </w:numPr>
        <w:tabs>
          <w:tab w:val="left" w:pos="1360"/>
        </w:tabs>
        <w:ind w:hanging="559"/>
      </w:pPr>
      <w:bookmarkStart w:id="235" w:name="1.1_编制目的"/>
      <w:bookmarkStart w:id="236" w:name="_bookmark65"/>
      <w:bookmarkEnd w:id="235"/>
      <w:bookmarkEnd w:id="236"/>
      <w:r>
        <w:rPr>
          <w:rFonts w:hint="eastAsia"/>
        </w:rPr>
        <w:t>编制目的</w:t>
      </w:r>
    </w:p>
    <w:p w:rsidR="00B04AE3" w:rsidRDefault="00B04AE3">
      <w:pPr>
        <w:pStyle w:val="BodyText"/>
        <w:spacing w:before="20" w:line="360" w:lineRule="auto"/>
        <w:ind w:left="334" w:right="334" w:firstLine="482"/>
        <w:jc w:val="both"/>
        <w:rPr>
          <w:spacing w:val="-6"/>
          <w:szCs w:val="22"/>
        </w:rPr>
      </w:pPr>
      <w:r>
        <w:rPr>
          <w:rFonts w:hint="eastAsia"/>
          <w:spacing w:val="-6"/>
          <w:szCs w:val="22"/>
        </w:rPr>
        <w:t>⑴通过系统的分析和测算，识别企业环境风险物质，环境风险装置，确定企业环境风险源，计算对外环境敏感点影响后果，评估企业现有防控能力和水平，并提出切实可行的降低环境风险的措施和工作思路，提高企业风险防控和隐患排查治理水平。</w:t>
      </w:r>
    </w:p>
    <w:p w:rsidR="00B04AE3" w:rsidRDefault="00B04AE3">
      <w:pPr>
        <w:pStyle w:val="BodyText"/>
        <w:spacing w:before="20" w:line="360" w:lineRule="auto"/>
        <w:ind w:left="334" w:right="334" w:firstLine="482"/>
        <w:jc w:val="both"/>
        <w:rPr>
          <w:spacing w:val="-6"/>
          <w:szCs w:val="22"/>
        </w:rPr>
      </w:pPr>
      <w:r>
        <w:rPr>
          <w:rFonts w:hint="eastAsia"/>
          <w:spacing w:val="-6"/>
          <w:szCs w:val="22"/>
        </w:rPr>
        <w:t>⑵作为企业环境风险防范的基础文件，为环境应急预案编制、环境风险管理和工程上的改进提供依据，推动企业落实环境安全主体责任，提高企业突发环境事件应急预案编制水平。</w:t>
      </w:r>
    </w:p>
    <w:p w:rsidR="00B04AE3" w:rsidRDefault="00B04AE3">
      <w:pPr>
        <w:pStyle w:val="BodyText"/>
        <w:spacing w:before="20" w:line="360" w:lineRule="auto"/>
        <w:ind w:left="334" w:right="334" w:firstLine="482"/>
        <w:jc w:val="both"/>
        <w:rPr>
          <w:spacing w:val="-6"/>
          <w:szCs w:val="22"/>
        </w:rPr>
      </w:pPr>
      <w:r>
        <w:rPr>
          <w:rFonts w:hint="eastAsia"/>
          <w:spacing w:val="-6"/>
          <w:szCs w:val="22"/>
        </w:rPr>
        <w:t>⑶为企业安全生产管理、职业卫生健康、消防管理提供帮助，提升地方政府和环保部门环境应急管理水平。</w:t>
      </w:r>
    </w:p>
    <w:p w:rsidR="00B04AE3" w:rsidRDefault="00B04AE3">
      <w:pPr>
        <w:pStyle w:val="Heading2"/>
        <w:numPr>
          <w:ilvl w:val="1"/>
          <w:numId w:val="39"/>
        </w:numPr>
        <w:tabs>
          <w:tab w:val="left" w:pos="1360"/>
        </w:tabs>
        <w:spacing w:before="188"/>
        <w:ind w:hanging="559"/>
      </w:pPr>
      <w:bookmarkStart w:id="237" w:name="1.2_编制原则"/>
      <w:bookmarkStart w:id="238" w:name="_bookmark66"/>
      <w:bookmarkEnd w:id="237"/>
      <w:bookmarkEnd w:id="238"/>
      <w:r>
        <w:rPr>
          <w:rFonts w:hint="eastAsia"/>
        </w:rPr>
        <w:t>编制原则</w:t>
      </w:r>
    </w:p>
    <w:p w:rsidR="00B04AE3" w:rsidRDefault="00B04AE3">
      <w:pPr>
        <w:pStyle w:val="BodyText"/>
        <w:spacing w:before="20" w:line="360" w:lineRule="auto"/>
        <w:ind w:left="334" w:right="334" w:firstLine="482"/>
        <w:jc w:val="both"/>
        <w:rPr>
          <w:spacing w:val="-6"/>
          <w:szCs w:val="22"/>
        </w:rPr>
      </w:pPr>
      <w:r>
        <w:rPr>
          <w:rFonts w:hint="eastAsia"/>
          <w:spacing w:val="-6"/>
          <w:szCs w:val="22"/>
        </w:rPr>
        <w:t>本报告以南昌海立电器有限公司生产过程和事故状态下产生的污染物作为评估重点，以与环境风险有关的法律、制度、导则和治理技术为依据，编制全面、具体且具有代表性、针对性的环境风险评估报告。</w:t>
      </w:r>
    </w:p>
    <w:p w:rsidR="00B04AE3" w:rsidRDefault="00B04AE3">
      <w:pPr>
        <w:pStyle w:val="BodyText"/>
        <w:spacing w:before="20" w:line="360" w:lineRule="auto"/>
        <w:ind w:left="334" w:right="334" w:firstLine="482"/>
        <w:jc w:val="both"/>
        <w:rPr>
          <w:spacing w:val="-6"/>
          <w:szCs w:val="22"/>
        </w:rPr>
      </w:pPr>
      <w:r>
        <w:rPr>
          <w:rFonts w:hint="eastAsia"/>
          <w:spacing w:val="-6"/>
          <w:szCs w:val="22"/>
        </w:rPr>
        <w:t>本报告按照“以人为本”的宗旨，预防和减少突发环境事件的发生、提高突发环境事件控制水平，控制和消除突发环境事件引起的危害，规范突发环境事件应急处置、管理工作合理保障人民群众的身体健康、公众生命安全和环境安全，严格规范企业突发环境事件风险评估行为，提高突发环境事件防控能力，全面落实企业环境风险防控主体，并遵循以下原则开展环境风险评估工作：</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环境风险评估编制应体现科学性、规范性、客观性和真实性的原则。</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环境风险评估过程中应贯彻执行我国环保相关的法律法规、标准、政策，分析企业自身环境风险状况，明确环境风险防控措施。</w:t>
      </w:r>
    </w:p>
    <w:p w:rsidR="00B04AE3" w:rsidRDefault="00B04AE3">
      <w:pPr>
        <w:pStyle w:val="Heading2"/>
        <w:numPr>
          <w:ilvl w:val="1"/>
          <w:numId w:val="39"/>
        </w:numPr>
        <w:tabs>
          <w:tab w:val="left" w:pos="1360"/>
        </w:tabs>
        <w:spacing w:before="64"/>
        <w:ind w:hanging="559"/>
      </w:pPr>
      <w:bookmarkStart w:id="239" w:name="1.3_编制依据"/>
      <w:bookmarkStart w:id="240" w:name="_bookmark67"/>
      <w:bookmarkEnd w:id="239"/>
      <w:bookmarkEnd w:id="240"/>
      <w:r>
        <w:rPr>
          <w:rFonts w:hint="eastAsia"/>
        </w:rPr>
        <w:t>编制依据</w:t>
      </w:r>
    </w:p>
    <w:p w:rsidR="00B04AE3" w:rsidRDefault="00B04AE3">
      <w:pPr>
        <w:pStyle w:val="Heading3"/>
        <w:numPr>
          <w:ilvl w:val="2"/>
          <w:numId w:val="40"/>
        </w:numPr>
        <w:tabs>
          <w:tab w:val="left" w:pos="1400"/>
        </w:tabs>
      </w:pPr>
      <w:bookmarkStart w:id="241" w:name="1.3.1_法律法规、规章、指导性文件"/>
      <w:bookmarkStart w:id="242" w:name="_bookmark68"/>
      <w:bookmarkEnd w:id="241"/>
      <w:bookmarkEnd w:id="242"/>
      <w:r>
        <w:rPr>
          <w:rFonts w:hint="eastAsia"/>
        </w:rPr>
        <w:t>法律法规、规章、指导性文件</w:t>
      </w:r>
    </w:p>
    <w:p w:rsidR="00B04AE3" w:rsidRDefault="00B04AE3">
      <w:pPr>
        <w:pStyle w:val="BodyText"/>
        <w:spacing w:before="20" w:line="360" w:lineRule="auto"/>
        <w:ind w:left="334" w:right="334" w:firstLine="482"/>
        <w:jc w:val="both"/>
        <w:rPr>
          <w:spacing w:val="-6"/>
          <w:szCs w:val="22"/>
        </w:rPr>
      </w:pPr>
      <w:r>
        <w:rPr>
          <w:rFonts w:hint="eastAsia"/>
          <w:spacing w:val="-6"/>
          <w:szCs w:val="22"/>
        </w:rPr>
        <w:t>①《中华人民共和国环境保护法》（</w:t>
      </w:r>
      <w:r>
        <w:rPr>
          <w:spacing w:val="-6"/>
          <w:szCs w:val="22"/>
        </w:rPr>
        <w:t xml:space="preserve">2014.4.24 </w:t>
      </w:r>
      <w:r>
        <w:rPr>
          <w:rFonts w:hint="eastAsia"/>
          <w:spacing w:val="-6"/>
          <w:szCs w:val="22"/>
        </w:rPr>
        <w:t>修订，</w:t>
      </w:r>
      <w:r>
        <w:rPr>
          <w:spacing w:val="-6"/>
          <w:szCs w:val="22"/>
        </w:rPr>
        <w:t xml:space="preserve">2015 </w:t>
      </w:r>
      <w:r>
        <w:rPr>
          <w:rFonts w:hint="eastAsia"/>
          <w:spacing w:val="-6"/>
          <w:szCs w:val="22"/>
        </w:rPr>
        <w:t>年</w:t>
      </w:r>
      <w:r>
        <w:rPr>
          <w:spacing w:val="-6"/>
          <w:szCs w:val="22"/>
        </w:rPr>
        <w:t xml:space="preserve"> 1.1 </w:t>
      </w:r>
      <w:r>
        <w:rPr>
          <w:rFonts w:hint="eastAsia"/>
          <w:spacing w:val="-6"/>
          <w:szCs w:val="22"/>
        </w:rPr>
        <w:t>起施行）；</w:t>
      </w:r>
    </w:p>
    <w:p w:rsidR="00B04AE3" w:rsidRDefault="00B04AE3">
      <w:pPr>
        <w:pStyle w:val="BodyText"/>
        <w:spacing w:before="20" w:line="360" w:lineRule="auto"/>
        <w:ind w:left="334" w:right="334" w:firstLine="482"/>
        <w:jc w:val="both"/>
        <w:rPr>
          <w:spacing w:val="-6"/>
          <w:szCs w:val="22"/>
        </w:rPr>
      </w:pPr>
      <w:r>
        <w:rPr>
          <w:rFonts w:hint="eastAsia"/>
          <w:spacing w:val="-6"/>
          <w:szCs w:val="22"/>
        </w:rPr>
        <w:t>②《中华人民共和国大气污染防治法》（</w:t>
      </w:r>
      <w:r>
        <w:rPr>
          <w:spacing w:val="-6"/>
          <w:szCs w:val="22"/>
        </w:rPr>
        <w:t xml:space="preserve">2015.8.29 </w:t>
      </w:r>
      <w:r>
        <w:rPr>
          <w:rFonts w:hint="eastAsia"/>
          <w:spacing w:val="-6"/>
          <w:szCs w:val="22"/>
        </w:rPr>
        <w:t>修订，</w:t>
      </w:r>
      <w:r>
        <w:rPr>
          <w:spacing w:val="-6"/>
          <w:szCs w:val="22"/>
        </w:rPr>
        <w:t xml:space="preserve">2016 </w:t>
      </w:r>
      <w:r>
        <w:rPr>
          <w:rFonts w:hint="eastAsia"/>
          <w:spacing w:val="-6"/>
          <w:szCs w:val="22"/>
        </w:rPr>
        <w:t>年</w:t>
      </w:r>
      <w:r>
        <w:rPr>
          <w:spacing w:val="-6"/>
          <w:szCs w:val="22"/>
        </w:rPr>
        <w:t xml:space="preserve"> 1.1 </w:t>
      </w:r>
      <w:r>
        <w:rPr>
          <w:rFonts w:hint="eastAsia"/>
          <w:spacing w:val="-6"/>
          <w:szCs w:val="22"/>
        </w:rPr>
        <w:t>起施行）；</w:t>
      </w:r>
    </w:p>
    <w:p w:rsidR="00B04AE3" w:rsidRDefault="00B04AE3">
      <w:pPr>
        <w:pStyle w:val="BodyText"/>
        <w:spacing w:before="20" w:line="360" w:lineRule="auto"/>
        <w:ind w:left="334" w:right="334" w:firstLine="482"/>
        <w:jc w:val="both"/>
        <w:rPr>
          <w:spacing w:val="-6"/>
          <w:szCs w:val="22"/>
        </w:rPr>
      </w:pPr>
      <w:r>
        <w:rPr>
          <w:rFonts w:hint="eastAsia"/>
          <w:spacing w:val="-6"/>
          <w:szCs w:val="22"/>
        </w:rPr>
        <w:t>③《中华人民共和国环境影响评价法》（中华人民共和国主席令</w:t>
      </w:r>
      <w:r>
        <w:rPr>
          <w:spacing w:val="-6"/>
          <w:szCs w:val="22"/>
        </w:rPr>
        <w:t xml:space="preserve">[2016] </w:t>
      </w:r>
      <w:r>
        <w:rPr>
          <w:rFonts w:hint="eastAsia"/>
          <w:spacing w:val="-6"/>
          <w:szCs w:val="22"/>
        </w:rPr>
        <w:t>第</w:t>
      </w:r>
      <w:r>
        <w:rPr>
          <w:spacing w:val="-6"/>
          <w:szCs w:val="22"/>
        </w:rPr>
        <w:t xml:space="preserve"> 48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rPr>
        <w:t>④《中华人民共和国突发事件应对法》（中华人民共和国主席令</w:t>
      </w:r>
      <w:r>
        <w:rPr>
          <w:spacing w:val="-6"/>
          <w:szCs w:val="22"/>
        </w:rPr>
        <w:t xml:space="preserve">[2007] </w:t>
      </w:r>
      <w:r>
        <w:rPr>
          <w:rFonts w:hint="eastAsia"/>
          <w:spacing w:val="-6"/>
          <w:szCs w:val="22"/>
        </w:rPr>
        <w:t>第</w:t>
      </w:r>
      <w:r>
        <w:rPr>
          <w:spacing w:val="-6"/>
          <w:szCs w:val="22"/>
        </w:rPr>
        <w:t xml:space="preserve"> 69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rPr>
        <w:t>⑤《中华人民共和国水污染防治法》（中华人民共和国主席令</w:t>
      </w:r>
      <w:r>
        <w:rPr>
          <w:spacing w:val="-6"/>
          <w:szCs w:val="22"/>
        </w:rPr>
        <w:t>[2008]</w:t>
      </w:r>
      <w:r>
        <w:rPr>
          <w:rFonts w:hint="eastAsia"/>
          <w:spacing w:val="-6"/>
          <w:szCs w:val="22"/>
        </w:rPr>
        <w:t>第</w:t>
      </w:r>
      <w:r>
        <w:rPr>
          <w:spacing w:val="-6"/>
          <w:szCs w:val="22"/>
        </w:rPr>
        <w:t xml:space="preserve">87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rPr>
        <w:t>⑥《关于进一步加强环境影响评价管理防范环境风险的通知》（环发</w:t>
      </w:r>
      <w:r>
        <w:rPr>
          <w:spacing w:val="-6"/>
          <w:szCs w:val="22"/>
        </w:rPr>
        <w:t xml:space="preserve">[2012]77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rPr>
        <w:t>⑦《企业突发环境事件风险评估指南（试行）》，（</w:t>
      </w:r>
      <w:r>
        <w:rPr>
          <w:spacing w:val="-6"/>
          <w:szCs w:val="22"/>
        </w:rPr>
        <w:t>2014</w:t>
      </w:r>
      <w:r>
        <w:rPr>
          <w:rFonts w:hint="eastAsia"/>
          <w:spacing w:val="-6"/>
          <w:szCs w:val="22"/>
        </w:rPr>
        <w:t>，环境保护部）；</w:t>
      </w:r>
    </w:p>
    <w:p w:rsidR="00B04AE3" w:rsidRDefault="00B04AE3">
      <w:pPr>
        <w:pStyle w:val="BodyText"/>
        <w:spacing w:before="20" w:line="360" w:lineRule="auto"/>
        <w:ind w:left="334" w:right="334" w:firstLine="482"/>
        <w:jc w:val="both"/>
        <w:rPr>
          <w:spacing w:val="-6"/>
          <w:szCs w:val="22"/>
        </w:rPr>
      </w:pPr>
      <w:r>
        <w:rPr>
          <w:rFonts w:hint="eastAsia"/>
          <w:spacing w:val="-6"/>
          <w:szCs w:val="22"/>
        </w:rPr>
        <w:t>⑧《中华人民共和国安全生产法》（中华人民共和国主席令</w:t>
      </w:r>
      <w:r>
        <w:rPr>
          <w:spacing w:val="-6"/>
          <w:szCs w:val="22"/>
        </w:rPr>
        <w:t>[2014]</w:t>
      </w:r>
      <w:r>
        <w:rPr>
          <w:rFonts w:hint="eastAsia"/>
          <w:spacing w:val="-6"/>
          <w:szCs w:val="22"/>
        </w:rPr>
        <w:t>第</w:t>
      </w:r>
      <w:r>
        <w:rPr>
          <w:spacing w:val="-6"/>
          <w:szCs w:val="22"/>
        </w:rPr>
        <w:t xml:space="preserve"> 13</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rPr>
        <w:t>⑨《中华人民共和国消防法》（中华人民共和国主席令</w:t>
      </w:r>
      <w:r>
        <w:rPr>
          <w:spacing w:val="-6"/>
          <w:szCs w:val="22"/>
        </w:rPr>
        <w:t>[2008]</w:t>
      </w:r>
      <w:r>
        <w:rPr>
          <w:rFonts w:hint="eastAsia"/>
          <w:spacing w:val="-6"/>
          <w:szCs w:val="22"/>
        </w:rPr>
        <w:t>第</w:t>
      </w:r>
      <w:r>
        <w:rPr>
          <w:spacing w:val="-6"/>
          <w:szCs w:val="22"/>
        </w:rPr>
        <w:t xml:space="preserve"> 6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rPr>
        <w:t>⑩《危险化学品安全管理条例》（中华人民共和国国务院令</w:t>
      </w:r>
      <w:r>
        <w:rPr>
          <w:spacing w:val="-6"/>
          <w:szCs w:val="22"/>
        </w:rPr>
        <w:t>[2011]</w:t>
      </w:r>
      <w:r>
        <w:rPr>
          <w:rFonts w:hint="eastAsia"/>
          <w:spacing w:val="-6"/>
          <w:szCs w:val="22"/>
        </w:rPr>
        <w:t>第</w:t>
      </w:r>
      <w:r>
        <w:rPr>
          <w:spacing w:val="-6"/>
          <w:szCs w:val="22"/>
        </w:rPr>
        <w:t xml:space="preserve"> 591</w:t>
      </w:r>
    </w:p>
    <w:p w:rsidR="00B04AE3" w:rsidRDefault="00B04AE3">
      <w:pPr>
        <w:pStyle w:val="BodyText"/>
        <w:spacing w:before="20" w:line="360" w:lineRule="auto"/>
        <w:ind w:left="334" w:right="334" w:firstLine="482"/>
        <w:jc w:val="both"/>
        <w:rPr>
          <w:spacing w:val="-6"/>
          <w:szCs w:val="22"/>
        </w:rPr>
      </w:pPr>
      <w:r>
        <w:rPr>
          <w:rFonts w:hint="eastAsia"/>
          <w:spacing w:val="-6"/>
          <w:szCs w:val="22"/>
        </w:rPr>
        <w:t>号，</w:t>
      </w:r>
      <w:r>
        <w:rPr>
          <w:spacing w:val="-6"/>
          <w:szCs w:val="22"/>
        </w:rPr>
        <w:t xml:space="preserve">2013 </w:t>
      </w:r>
      <w:r>
        <w:rPr>
          <w:rFonts w:hint="eastAsia"/>
          <w:spacing w:val="-6"/>
          <w:szCs w:val="22"/>
        </w:rPr>
        <w:t>年</w:t>
      </w:r>
      <w:r>
        <w:rPr>
          <w:spacing w:val="-6"/>
          <w:szCs w:val="22"/>
        </w:rPr>
        <w:t xml:space="preserve"> 12 </w:t>
      </w:r>
      <w:r>
        <w:rPr>
          <w:rFonts w:hint="eastAsia"/>
          <w:spacing w:val="-6"/>
          <w:szCs w:val="22"/>
        </w:rPr>
        <w:t>月</w:t>
      </w:r>
      <w:r>
        <w:rPr>
          <w:spacing w:val="-6"/>
          <w:szCs w:val="22"/>
        </w:rPr>
        <w:t xml:space="preserve"> 4 </w:t>
      </w:r>
      <w:r>
        <w:rPr>
          <w:rFonts w:hint="eastAsia"/>
          <w:spacing w:val="-6"/>
          <w:szCs w:val="22"/>
        </w:rPr>
        <w:t>日国务院第</w:t>
      </w:r>
      <w:r>
        <w:rPr>
          <w:spacing w:val="-6"/>
          <w:szCs w:val="22"/>
        </w:rPr>
        <w:t xml:space="preserve"> 32 </w:t>
      </w:r>
      <w:r>
        <w:rPr>
          <w:rFonts w:hint="eastAsia"/>
          <w:spacing w:val="-6"/>
          <w:szCs w:val="22"/>
        </w:rPr>
        <w:t>次常务会议修订）；</w:t>
      </w:r>
    </w:p>
    <w:p w:rsidR="00B04AE3" w:rsidRDefault="00B04AE3">
      <w:pPr>
        <w:pStyle w:val="BodyText"/>
        <w:spacing w:before="20" w:line="360" w:lineRule="auto"/>
        <w:ind w:left="334" w:right="334" w:firstLine="482"/>
        <w:jc w:val="both"/>
        <w:rPr>
          <w:spacing w:val="-6"/>
          <w:szCs w:val="22"/>
        </w:rPr>
      </w:pPr>
      <w:r>
        <w:rPr>
          <w:rFonts w:ascii="Batang" w:eastAsia="Batang" w:hAnsi="Batang" w:cs="Batang" w:hint="eastAsia"/>
          <w:spacing w:val="-6"/>
          <w:szCs w:val="22"/>
        </w:rPr>
        <w:t>⑪</w:t>
      </w:r>
      <w:r>
        <w:rPr>
          <w:rFonts w:hint="eastAsia"/>
          <w:spacing w:val="-6"/>
          <w:szCs w:val="22"/>
        </w:rPr>
        <w:t>《国务院关于加强环境保护重点工作的意见》（国发</w:t>
      </w:r>
      <w:r>
        <w:rPr>
          <w:spacing w:val="-6"/>
          <w:szCs w:val="22"/>
        </w:rPr>
        <w:t xml:space="preserve">[2011]35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ascii="Batang" w:eastAsia="Batang" w:hAnsi="Batang" w:cs="Batang" w:hint="eastAsia"/>
          <w:spacing w:val="-6"/>
          <w:szCs w:val="22"/>
        </w:rPr>
        <w:t>⑫</w:t>
      </w:r>
      <w:r>
        <w:rPr>
          <w:rFonts w:hint="eastAsia"/>
          <w:spacing w:val="-6"/>
          <w:szCs w:val="22"/>
        </w:rPr>
        <w:t>《突发环境事件应急管理办法》（环保部令</w:t>
      </w:r>
      <w:r>
        <w:rPr>
          <w:spacing w:val="-6"/>
          <w:szCs w:val="22"/>
        </w:rPr>
        <w:t xml:space="preserve"> 34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ascii="Batang" w:eastAsia="Batang" w:hAnsi="Batang" w:cs="Batang" w:hint="eastAsia"/>
          <w:spacing w:val="-6"/>
          <w:szCs w:val="22"/>
        </w:rPr>
        <w:t>⑬</w:t>
      </w:r>
      <w:r>
        <w:rPr>
          <w:rFonts w:hint="eastAsia"/>
          <w:spacing w:val="-6"/>
          <w:szCs w:val="22"/>
        </w:rPr>
        <w:t>《突发环境事件信息报告办法》（环境保护部令第</w:t>
      </w:r>
      <w:r>
        <w:rPr>
          <w:spacing w:val="-6"/>
          <w:szCs w:val="22"/>
        </w:rPr>
        <w:t xml:space="preserve"> 17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ascii="Batang" w:eastAsia="Batang" w:hAnsi="Batang" w:cs="Batang" w:hint="eastAsia"/>
          <w:spacing w:val="-6"/>
          <w:szCs w:val="22"/>
        </w:rPr>
        <w:t>⑭</w:t>
      </w:r>
      <w:r>
        <w:rPr>
          <w:rFonts w:hint="eastAsia"/>
          <w:spacing w:val="-6"/>
          <w:szCs w:val="22"/>
        </w:rPr>
        <w:t>《企业事业单位突发环境事件应急预案备案管理办法（试行）》（</w:t>
      </w:r>
      <w:r>
        <w:rPr>
          <w:spacing w:val="-6"/>
          <w:szCs w:val="22"/>
        </w:rPr>
        <w:t xml:space="preserve"> </w:t>
      </w:r>
      <w:r>
        <w:rPr>
          <w:rFonts w:hint="eastAsia"/>
          <w:spacing w:val="-6"/>
          <w:szCs w:val="22"/>
        </w:rPr>
        <w:t>环发</w:t>
      </w:r>
      <w:r>
        <w:rPr>
          <w:spacing w:val="-6"/>
          <w:szCs w:val="22"/>
        </w:rPr>
        <w:t xml:space="preserve">[2015]4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ascii="Batang" w:eastAsia="Batang" w:hAnsi="Batang" w:cs="Batang" w:hint="eastAsia"/>
          <w:spacing w:val="-6"/>
          <w:szCs w:val="22"/>
        </w:rPr>
        <w:t>⑮</w:t>
      </w:r>
      <w:r>
        <w:rPr>
          <w:rFonts w:hint="eastAsia"/>
          <w:spacing w:val="-6"/>
          <w:szCs w:val="22"/>
        </w:rPr>
        <w:t>《关于切实加强风险防范严格环境影响评价管理的通知》（环发</w:t>
      </w:r>
      <w:r>
        <w:rPr>
          <w:spacing w:val="-6"/>
          <w:szCs w:val="22"/>
        </w:rPr>
        <w:t xml:space="preserve">[2012]98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ascii="MS Mincho" w:eastAsia="MS Mincho" w:hAnsi="MS Mincho" w:cs="MS Mincho" w:hint="eastAsia"/>
          <w:spacing w:val="-6"/>
          <w:szCs w:val="22"/>
        </w:rPr>
        <w:t>⑯</w:t>
      </w:r>
      <w:r>
        <w:rPr>
          <w:rFonts w:hint="eastAsia"/>
          <w:spacing w:val="-6"/>
          <w:szCs w:val="22"/>
        </w:rPr>
        <w:t>《国务院办公厅关于印发国家突发环境事件应急预案的通知》（</w:t>
      </w:r>
      <w:r>
        <w:rPr>
          <w:spacing w:val="-6"/>
          <w:szCs w:val="22"/>
        </w:rPr>
        <w:t xml:space="preserve">2014.12.29 </w:t>
      </w:r>
      <w:r>
        <w:rPr>
          <w:spacing w:val="-6"/>
          <w:szCs w:val="22"/>
          <w:lang w:val="en-US"/>
        </w:rPr>
        <w:t xml:space="preserve"> </w:t>
      </w:r>
      <w:r>
        <w:rPr>
          <w:rFonts w:hint="eastAsia"/>
          <w:spacing w:val="-6"/>
          <w:szCs w:val="22"/>
        </w:rPr>
        <w:t>国办函</w:t>
      </w:r>
      <w:r>
        <w:rPr>
          <w:spacing w:val="-6"/>
          <w:szCs w:val="22"/>
        </w:rPr>
        <w:t xml:space="preserve">[2014]119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ascii="MS Mincho" w:eastAsia="MS Mincho" w:hAnsi="MS Mincho" w:cs="MS Mincho" w:hint="eastAsia"/>
          <w:spacing w:val="-6"/>
          <w:szCs w:val="22"/>
        </w:rPr>
        <w:t>⑰</w:t>
      </w:r>
      <w:r>
        <w:rPr>
          <w:rFonts w:hint="eastAsia"/>
          <w:spacing w:val="-6"/>
          <w:szCs w:val="22"/>
        </w:rPr>
        <w:t>《企业事业单位突发环境事件应急预案备案管理办法》（试行）（环发</w:t>
      </w:r>
      <w:r>
        <w:rPr>
          <w:spacing w:val="-6"/>
          <w:szCs w:val="22"/>
        </w:rPr>
        <w:t>2015]4</w:t>
      </w:r>
      <w:r>
        <w:rPr>
          <w:rFonts w:hint="eastAsia"/>
          <w:spacing w:val="-6"/>
          <w:szCs w:val="22"/>
        </w:rPr>
        <w:t>号）</w:t>
      </w:r>
    </w:p>
    <w:p w:rsidR="00B04AE3" w:rsidRDefault="00B04AE3">
      <w:pPr>
        <w:pStyle w:val="Heading3"/>
        <w:numPr>
          <w:ilvl w:val="2"/>
          <w:numId w:val="40"/>
        </w:numPr>
        <w:tabs>
          <w:tab w:val="left" w:pos="1400"/>
        </w:tabs>
        <w:spacing w:before="1"/>
      </w:pPr>
      <w:bookmarkStart w:id="243" w:name="1.3.2_标准、技术规范"/>
      <w:bookmarkStart w:id="244" w:name="_bookmark69"/>
      <w:bookmarkEnd w:id="243"/>
      <w:bookmarkEnd w:id="244"/>
      <w:r>
        <w:rPr>
          <w:rFonts w:hint="eastAsia"/>
        </w:rPr>
        <w:t>标准、技术规范</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⑴《危险化学品重大危险源辨识》（</w:t>
      </w:r>
      <w:r>
        <w:rPr>
          <w:spacing w:val="-6"/>
          <w:szCs w:val="22"/>
        </w:rPr>
        <w:t>GB18218-2009</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⑵《危险货物品名表》（</w:t>
      </w:r>
      <w:r>
        <w:rPr>
          <w:spacing w:val="-6"/>
          <w:szCs w:val="22"/>
        </w:rPr>
        <w:t>GB12268-2012</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⑶《建筑设计防火规范》（</w:t>
      </w:r>
      <w:r>
        <w:rPr>
          <w:spacing w:val="-6"/>
          <w:szCs w:val="22"/>
        </w:rPr>
        <w:t>GB50016-2014</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⑷《储罐区防火堤设计规范》（</w:t>
      </w:r>
      <w:r>
        <w:rPr>
          <w:spacing w:val="-6"/>
          <w:szCs w:val="22"/>
        </w:rPr>
        <w:t>GB50351-2014</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⑸《国家危险废物名录》（</w:t>
      </w:r>
      <w:r>
        <w:rPr>
          <w:spacing w:val="-6"/>
          <w:szCs w:val="22"/>
        </w:rPr>
        <w:t>2016</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⑹《化学品分类、警示标签和警示性说明安全规程》（</w:t>
      </w:r>
      <w:r>
        <w:rPr>
          <w:spacing w:val="-6"/>
          <w:szCs w:val="22"/>
        </w:rPr>
        <w:t>GB20576-GB20602</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⑺《工业企业厂界环境噪声排放标准》（</w:t>
      </w:r>
      <w:r>
        <w:rPr>
          <w:spacing w:val="-6"/>
          <w:szCs w:val="22"/>
        </w:rPr>
        <w:t>GB12348-2008</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⑻《建设项目环境风险评价技术导则》（</w:t>
      </w:r>
      <w:r>
        <w:rPr>
          <w:spacing w:val="-6"/>
          <w:szCs w:val="22"/>
        </w:rPr>
        <w:t>HJ/T169-2004</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⑼《废水排放去向代码》（</w:t>
      </w:r>
      <w:r>
        <w:rPr>
          <w:spacing w:val="-6"/>
          <w:szCs w:val="22"/>
        </w:rPr>
        <w:t>HJ 523-2009</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⑽《固定式压力容器安全技术监察规程》（</w:t>
      </w:r>
      <w:r>
        <w:rPr>
          <w:spacing w:val="-6"/>
          <w:szCs w:val="22"/>
        </w:rPr>
        <w:t>TSG R0004-2009</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⑾《化学品毒性鉴定技术规范》（卫监督发</w:t>
      </w:r>
      <w:r>
        <w:rPr>
          <w:spacing w:val="-6"/>
          <w:szCs w:val="22"/>
        </w:rPr>
        <w:t xml:space="preserve">[2005]272 </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rPr>
        <w:t>⑿《事故状态下水体污染的预防与控制技术要求》（中国石油企业标准</w:t>
      </w:r>
    </w:p>
    <w:p w:rsidR="00B04AE3" w:rsidRDefault="00B04AE3">
      <w:pPr>
        <w:pStyle w:val="BodyText"/>
        <w:spacing w:before="20" w:line="360" w:lineRule="auto"/>
        <w:ind w:left="334" w:right="334" w:firstLine="482"/>
        <w:jc w:val="both"/>
        <w:rPr>
          <w:spacing w:val="-6"/>
          <w:szCs w:val="22"/>
        </w:rPr>
      </w:pPr>
      <w:r>
        <w:rPr>
          <w:spacing w:val="-6"/>
          <w:szCs w:val="22"/>
        </w:rPr>
        <w:t>Q/SY1190-2013</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⒀《水体污染事故风险预防与控制措施运行管理要求》（中国石油企业标准</w:t>
      </w:r>
      <w:r>
        <w:rPr>
          <w:spacing w:val="-6"/>
          <w:szCs w:val="22"/>
        </w:rPr>
        <w:t xml:space="preserve"> Q/SY1310-2010</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⒁《环境空气质量标准》（</w:t>
      </w:r>
      <w:r>
        <w:rPr>
          <w:spacing w:val="-6"/>
          <w:szCs w:val="22"/>
        </w:rPr>
        <w:t>GB3095-2012</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⒂《地表水环境质量标准》（</w:t>
      </w:r>
      <w:r>
        <w:rPr>
          <w:spacing w:val="-6"/>
          <w:szCs w:val="22"/>
        </w:rPr>
        <w:t>GB3838-2002</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⒃《地下水质量标准》</w:t>
      </w:r>
      <w:r>
        <w:rPr>
          <w:spacing w:val="-6"/>
          <w:szCs w:val="22"/>
        </w:rPr>
        <w:t>(GB/T14848-2017)</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⒄《声环境质量标准》（</w:t>
      </w:r>
      <w:r>
        <w:rPr>
          <w:spacing w:val="-6"/>
          <w:szCs w:val="22"/>
        </w:rPr>
        <w:t>GB3096-2008</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⒅《工业企业设计卫生标准》（</w:t>
      </w:r>
      <w:r>
        <w:rPr>
          <w:spacing w:val="-6"/>
          <w:szCs w:val="22"/>
        </w:rPr>
        <w:t>GBZ1-2010</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⒆《工作场所有害因素职业接触限值》（</w:t>
      </w:r>
      <w:r>
        <w:rPr>
          <w:spacing w:val="-6"/>
          <w:szCs w:val="22"/>
        </w:rPr>
        <w:t>GBZ2.2-2007</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⒇《大气污染物综合排放标准》</w:t>
      </w:r>
      <w:r>
        <w:rPr>
          <w:spacing w:val="-6"/>
          <w:szCs w:val="22"/>
        </w:rPr>
        <w:t>( GB16297-1996)</w:t>
      </w:r>
      <w:r>
        <w:rPr>
          <w:rFonts w:hint="eastAsia"/>
          <w:spacing w:val="-6"/>
          <w:szCs w:val="22"/>
        </w:rPr>
        <w:t>；</w:t>
      </w:r>
    </w:p>
    <w:p w:rsidR="00B04AE3" w:rsidRDefault="00B04AE3">
      <w:pPr>
        <w:pStyle w:val="Heading3"/>
        <w:numPr>
          <w:ilvl w:val="2"/>
          <w:numId w:val="40"/>
        </w:numPr>
        <w:tabs>
          <w:tab w:val="left" w:pos="1400"/>
        </w:tabs>
      </w:pPr>
      <w:bookmarkStart w:id="245" w:name="1.3.3_其他文件"/>
      <w:bookmarkStart w:id="246" w:name="_bookmark70"/>
      <w:bookmarkEnd w:id="245"/>
      <w:bookmarkEnd w:id="246"/>
      <w:r>
        <w:rPr>
          <w:rFonts w:hint="eastAsia"/>
        </w:rPr>
        <w:t>其他文件</w:t>
      </w:r>
    </w:p>
    <w:p w:rsidR="00B04AE3" w:rsidRDefault="00B04AE3">
      <w:pPr>
        <w:pStyle w:val="BodyText"/>
        <w:spacing w:before="20" w:line="360" w:lineRule="auto"/>
        <w:ind w:left="334" w:right="334" w:firstLine="482"/>
        <w:jc w:val="both"/>
        <w:rPr>
          <w:spacing w:val="-6"/>
          <w:szCs w:val="22"/>
        </w:rPr>
      </w:pPr>
      <w:bookmarkStart w:id="247" w:name="2_资料准备与环境风险识别"/>
      <w:bookmarkStart w:id="248" w:name="_bookmark71"/>
      <w:bookmarkEnd w:id="247"/>
      <w:bookmarkEnd w:id="248"/>
      <w:r>
        <w:rPr>
          <w:rFonts w:hint="eastAsia"/>
          <w:spacing w:val="-6"/>
          <w:szCs w:val="22"/>
        </w:rPr>
        <w:t>（</w:t>
      </w:r>
      <w:r>
        <w:rPr>
          <w:spacing w:val="-6"/>
          <w:szCs w:val="22"/>
          <w:lang w:val="en-US"/>
        </w:rPr>
        <w:t>1</w:t>
      </w:r>
      <w:r>
        <w:rPr>
          <w:rFonts w:hint="eastAsia"/>
          <w:spacing w:val="-6"/>
          <w:szCs w:val="22"/>
        </w:rPr>
        <w:t>）《南昌海立电器有限公司年产</w:t>
      </w:r>
      <w:r>
        <w:rPr>
          <w:spacing w:val="-6"/>
          <w:szCs w:val="22"/>
        </w:rPr>
        <w:t>600</w:t>
      </w:r>
      <w:r>
        <w:rPr>
          <w:rFonts w:hint="eastAsia"/>
          <w:spacing w:val="-6"/>
          <w:szCs w:val="22"/>
        </w:rPr>
        <w:t>万台空调压缩机生产线项目环境影响报告书》（南昌大学，南昌市环保局以洪环监督</w:t>
      </w:r>
      <w:r>
        <w:rPr>
          <w:spacing w:val="-6"/>
          <w:szCs w:val="22"/>
        </w:rPr>
        <w:t>[2008]094</w:t>
      </w:r>
      <w:r>
        <w:rPr>
          <w:rFonts w:hint="eastAsia"/>
          <w:spacing w:val="-6"/>
          <w:szCs w:val="22"/>
        </w:rPr>
        <w:t>号文对项目进行了批复；该项目于</w:t>
      </w:r>
      <w:r>
        <w:rPr>
          <w:spacing w:val="-6"/>
          <w:szCs w:val="22"/>
        </w:rPr>
        <w:t>201</w:t>
      </w:r>
      <w:r>
        <w:rPr>
          <w:spacing w:val="-6"/>
          <w:szCs w:val="22"/>
          <w:lang w:val="en-US"/>
        </w:rPr>
        <w:t>4</w:t>
      </w:r>
      <w:r>
        <w:rPr>
          <w:rFonts w:hint="eastAsia"/>
          <w:spacing w:val="-6"/>
          <w:szCs w:val="22"/>
        </w:rPr>
        <w:t>年</w:t>
      </w:r>
      <w:r>
        <w:rPr>
          <w:spacing w:val="-6"/>
          <w:szCs w:val="22"/>
          <w:lang w:val="en-US"/>
        </w:rPr>
        <w:t>10</w:t>
      </w:r>
      <w:r>
        <w:rPr>
          <w:rFonts w:hint="eastAsia"/>
          <w:spacing w:val="-6"/>
          <w:szCs w:val="22"/>
        </w:rPr>
        <w:t>月</w:t>
      </w:r>
      <w:r>
        <w:rPr>
          <w:spacing w:val="-6"/>
          <w:szCs w:val="22"/>
          <w:lang w:val="en-US"/>
        </w:rPr>
        <w:t>30</w:t>
      </w:r>
      <w:r>
        <w:rPr>
          <w:rFonts w:hint="eastAsia"/>
          <w:spacing w:val="-6"/>
          <w:szCs w:val="22"/>
        </w:rPr>
        <w:t>日通过南昌市环境保护局验收，验收文号为洪环评</w:t>
      </w:r>
      <w:r>
        <w:rPr>
          <w:spacing w:val="-6"/>
          <w:szCs w:val="22"/>
        </w:rPr>
        <w:t>[201</w:t>
      </w:r>
      <w:r>
        <w:rPr>
          <w:spacing w:val="-6"/>
          <w:szCs w:val="22"/>
          <w:lang w:val="en-US"/>
        </w:rPr>
        <w:t>4</w:t>
      </w:r>
      <w:r>
        <w:rPr>
          <w:spacing w:val="-6"/>
          <w:szCs w:val="22"/>
        </w:rPr>
        <w:t>]</w:t>
      </w:r>
      <w:r>
        <w:rPr>
          <w:spacing w:val="-6"/>
          <w:szCs w:val="22"/>
          <w:lang w:val="en-US"/>
        </w:rPr>
        <w:t>51</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lang w:val="en-US"/>
        </w:rPr>
        <w:t>（</w:t>
      </w:r>
      <w:r>
        <w:rPr>
          <w:spacing w:val="-6"/>
          <w:szCs w:val="22"/>
          <w:lang w:val="en-US"/>
        </w:rPr>
        <w:t>2</w:t>
      </w:r>
      <w:r>
        <w:rPr>
          <w:rFonts w:hint="eastAsia"/>
          <w:spacing w:val="-6"/>
          <w:szCs w:val="22"/>
          <w:lang w:val="en-US"/>
        </w:rPr>
        <w:t>）《</w:t>
      </w:r>
      <w:r>
        <w:rPr>
          <w:rFonts w:hint="eastAsia"/>
          <w:spacing w:val="-6"/>
          <w:szCs w:val="22"/>
        </w:rPr>
        <w:t>南昌海立电器有限公司年产</w:t>
      </w:r>
      <w:r>
        <w:rPr>
          <w:spacing w:val="-6"/>
          <w:szCs w:val="22"/>
        </w:rPr>
        <w:t>600</w:t>
      </w:r>
      <w:r>
        <w:rPr>
          <w:rFonts w:hint="eastAsia"/>
          <w:spacing w:val="-6"/>
          <w:szCs w:val="22"/>
        </w:rPr>
        <w:t>万台空调压缩机生产线项目设备及环保措施变更环境影响说明</w:t>
      </w:r>
      <w:r>
        <w:rPr>
          <w:rFonts w:hint="eastAsia"/>
          <w:spacing w:val="-6"/>
          <w:szCs w:val="22"/>
          <w:lang w:val="en-US"/>
        </w:rPr>
        <w:t>》（南昌大学）</w:t>
      </w:r>
    </w:p>
    <w:p w:rsidR="00B04AE3" w:rsidRDefault="00B04AE3">
      <w:pPr>
        <w:pStyle w:val="Heading1"/>
        <w:tabs>
          <w:tab w:val="left" w:pos="2746"/>
        </w:tabs>
        <w:ind w:left="2307"/>
        <w:rPr>
          <w:rFonts w:ascii="Times New Roman" w:eastAsia="Times New Roman"/>
        </w:rPr>
      </w:pPr>
    </w:p>
    <w:p w:rsidR="00B04AE3" w:rsidRDefault="00B04AE3">
      <w:pPr>
        <w:pStyle w:val="Heading1"/>
        <w:tabs>
          <w:tab w:val="left" w:pos="2746"/>
        </w:tabs>
        <w:ind w:left="2307"/>
        <w:rPr>
          <w:rFonts w:ascii="Times New Roman" w:eastAsia="Times New Roman"/>
        </w:rPr>
      </w:pPr>
    </w:p>
    <w:p w:rsidR="00B04AE3" w:rsidRDefault="00B04AE3">
      <w:pPr>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Default"/>
        <w:rPr>
          <w:rFonts w:ascii="Times New Roman" w:eastAsia="Times New Roman"/>
        </w:rPr>
      </w:pPr>
    </w:p>
    <w:p w:rsidR="00B04AE3" w:rsidRDefault="00B04AE3">
      <w:pPr>
        <w:pStyle w:val="Heading1"/>
        <w:tabs>
          <w:tab w:val="left" w:pos="2746"/>
        </w:tabs>
        <w:ind w:left="2307"/>
      </w:pPr>
      <w:r>
        <w:rPr>
          <w:rFonts w:ascii="Times New Roman" w:eastAsia="Times New Roman"/>
        </w:rPr>
        <w:t>2</w:t>
      </w:r>
      <w:r>
        <w:rPr>
          <w:rFonts w:ascii="Times New Roman" w:eastAsia="Times New Roman"/>
        </w:rPr>
        <w:tab/>
      </w:r>
      <w:r>
        <w:rPr>
          <w:rFonts w:hint="eastAsia"/>
        </w:rPr>
        <w:t>资料准备与环境风险识别</w:t>
      </w:r>
    </w:p>
    <w:p w:rsidR="00B04AE3" w:rsidRDefault="00B04AE3">
      <w:pPr>
        <w:pStyle w:val="Heading2"/>
        <w:numPr>
          <w:ilvl w:val="1"/>
          <w:numId w:val="41"/>
        </w:numPr>
        <w:tabs>
          <w:tab w:val="left" w:pos="1360"/>
        </w:tabs>
        <w:ind w:hanging="559"/>
      </w:pPr>
      <w:bookmarkStart w:id="249" w:name="2.1_企业基本信息"/>
      <w:bookmarkStart w:id="250" w:name="_bookmark72"/>
      <w:bookmarkEnd w:id="249"/>
      <w:bookmarkEnd w:id="250"/>
      <w:r>
        <w:rPr>
          <w:rFonts w:hint="eastAsia"/>
        </w:rPr>
        <w:t>企业基本信息</w:t>
      </w:r>
    </w:p>
    <w:p w:rsidR="00B04AE3" w:rsidRDefault="00B04AE3">
      <w:pPr>
        <w:pStyle w:val="Heading3"/>
        <w:numPr>
          <w:ilvl w:val="2"/>
          <w:numId w:val="41"/>
        </w:numPr>
        <w:tabs>
          <w:tab w:val="left" w:pos="1400"/>
        </w:tabs>
      </w:pPr>
      <w:bookmarkStart w:id="251" w:name="2.1.1_企业概况"/>
      <w:bookmarkStart w:id="252" w:name="_bookmark73"/>
      <w:bookmarkEnd w:id="251"/>
      <w:bookmarkEnd w:id="252"/>
      <w:r>
        <w:rPr>
          <w:rFonts w:hint="eastAsia"/>
        </w:rPr>
        <w:t>企业概况</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1</w:t>
      </w:r>
      <w:r>
        <w:rPr>
          <w:rFonts w:hint="eastAsia"/>
          <w:spacing w:val="-6"/>
          <w:szCs w:val="22"/>
        </w:rPr>
        <w:t>）单位名称：南昌海立电器有限公司；</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2</w:t>
      </w:r>
      <w:r>
        <w:rPr>
          <w:rFonts w:hint="eastAsia"/>
          <w:spacing w:val="-6"/>
          <w:szCs w:val="22"/>
        </w:rPr>
        <w:t>）组织机构代码：</w:t>
      </w:r>
      <w:r>
        <w:rPr>
          <w:spacing w:val="-6"/>
          <w:szCs w:val="22"/>
        </w:rPr>
        <w:t>913601086697506551</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lang w:val="en-US"/>
        </w:rPr>
        <w:t>3</w:t>
      </w:r>
      <w:r>
        <w:rPr>
          <w:rFonts w:hint="eastAsia"/>
          <w:spacing w:val="-6"/>
          <w:szCs w:val="22"/>
        </w:rPr>
        <w:t>）法定代表人：李海滨；</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lang w:val="en-US"/>
        </w:rPr>
        <w:t>4</w:t>
      </w:r>
      <w:r>
        <w:rPr>
          <w:rFonts w:hint="eastAsia"/>
          <w:spacing w:val="-6"/>
          <w:szCs w:val="22"/>
        </w:rPr>
        <w:t>）单位所在地：南昌市经济技术开发区白水湖工业园梅林大街</w:t>
      </w:r>
      <w:r>
        <w:rPr>
          <w:spacing w:val="-6"/>
          <w:szCs w:val="22"/>
        </w:rPr>
        <w:t>88</w:t>
      </w:r>
      <w:r>
        <w:rPr>
          <w:rFonts w:hint="eastAsia"/>
          <w:spacing w:val="-6"/>
          <w:szCs w:val="22"/>
        </w:rPr>
        <w:t>号</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5</w:t>
      </w:r>
      <w:r>
        <w:rPr>
          <w:rFonts w:hint="eastAsia"/>
          <w:spacing w:val="-6"/>
          <w:szCs w:val="22"/>
        </w:rPr>
        <w:t>）中心经纬度：</w:t>
      </w:r>
      <w:r>
        <w:rPr>
          <w:spacing w:val="-6"/>
          <w:szCs w:val="22"/>
        </w:rPr>
        <w:t>N28</w:t>
      </w:r>
      <w:r>
        <w:rPr>
          <w:rFonts w:hint="eastAsia"/>
          <w:spacing w:val="-6"/>
          <w:szCs w:val="22"/>
        </w:rPr>
        <w:t>°</w:t>
      </w:r>
      <w:r>
        <w:rPr>
          <w:spacing w:val="-6"/>
          <w:szCs w:val="22"/>
        </w:rPr>
        <w:t>45'36.04"</w:t>
      </w:r>
      <w:r>
        <w:rPr>
          <w:rFonts w:hint="eastAsia"/>
          <w:spacing w:val="-6"/>
          <w:szCs w:val="22"/>
        </w:rPr>
        <w:t>；</w:t>
      </w:r>
      <w:r>
        <w:rPr>
          <w:spacing w:val="-6"/>
          <w:szCs w:val="22"/>
        </w:rPr>
        <w:t>E115</w:t>
      </w:r>
      <w:r>
        <w:rPr>
          <w:rFonts w:hint="eastAsia"/>
          <w:spacing w:val="-6"/>
          <w:szCs w:val="22"/>
        </w:rPr>
        <w:t>°</w:t>
      </w:r>
      <w:r>
        <w:rPr>
          <w:spacing w:val="-6"/>
          <w:szCs w:val="22"/>
        </w:rPr>
        <w:t>52'26.64"</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6</w:t>
      </w:r>
      <w:r>
        <w:rPr>
          <w:rFonts w:hint="eastAsia"/>
          <w:spacing w:val="-6"/>
          <w:szCs w:val="22"/>
        </w:rPr>
        <w:t>）建厂时间：公司成立于</w:t>
      </w:r>
      <w:r>
        <w:rPr>
          <w:spacing w:val="-6"/>
          <w:szCs w:val="22"/>
        </w:rPr>
        <w:t xml:space="preserve"> </w:t>
      </w:r>
      <w:r>
        <w:rPr>
          <w:spacing w:val="-6"/>
          <w:szCs w:val="22"/>
          <w:lang w:val="en-US"/>
        </w:rPr>
        <w:t>2007</w:t>
      </w:r>
      <w:r>
        <w:rPr>
          <w:rFonts w:hint="eastAsia"/>
          <w:spacing w:val="-6"/>
          <w:szCs w:val="22"/>
        </w:rPr>
        <w:t>年；</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rPr>
        <w:t>7</w:t>
      </w:r>
      <w:r>
        <w:rPr>
          <w:rFonts w:hint="eastAsia"/>
          <w:spacing w:val="-6"/>
          <w:szCs w:val="22"/>
        </w:rPr>
        <w:t>）主要联系方式：联系人</w:t>
      </w:r>
      <w:r>
        <w:rPr>
          <w:spacing w:val="-6"/>
          <w:szCs w:val="22"/>
        </w:rPr>
        <w:t>—</w:t>
      </w:r>
      <w:r>
        <w:rPr>
          <w:rFonts w:hint="eastAsia"/>
          <w:spacing w:val="-6"/>
          <w:szCs w:val="22"/>
        </w:rPr>
        <w:t>陈小灵，联系电话</w:t>
      </w:r>
      <w:r>
        <w:rPr>
          <w:spacing w:val="-6"/>
          <w:szCs w:val="22"/>
        </w:rPr>
        <w:t>—</w:t>
      </w:r>
      <w:r>
        <w:rPr>
          <w:spacing w:val="-6"/>
          <w:szCs w:val="22"/>
          <w:lang w:val="en-US"/>
        </w:rPr>
        <w:t>15970439835</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lang w:val="en-US"/>
        </w:rPr>
        <w:t>8</w:t>
      </w:r>
      <w:r>
        <w:rPr>
          <w:rFonts w:hint="eastAsia"/>
          <w:spacing w:val="-6"/>
          <w:szCs w:val="22"/>
        </w:rPr>
        <w:t>）企业规模：</w:t>
      </w:r>
      <w:r>
        <w:rPr>
          <w:spacing w:val="-6"/>
          <w:szCs w:val="22"/>
          <w:lang w:val="en-US"/>
        </w:rPr>
        <w:t>600</w:t>
      </w:r>
      <w:r>
        <w:rPr>
          <w:rFonts w:hint="eastAsia"/>
          <w:spacing w:val="-6"/>
          <w:szCs w:val="22"/>
          <w:lang w:val="en-US"/>
        </w:rPr>
        <w:t>万台空调压缩机</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lang w:val="en-US"/>
        </w:rPr>
        <w:t>9</w:t>
      </w:r>
      <w:r>
        <w:rPr>
          <w:rFonts w:hint="eastAsia"/>
          <w:spacing w:val="-6"/>
          <w:szCs w:val="22"/>
        </w:rPr>
        <w:t>）厂区面积：项目总征地面积</w:t>
      </w:r>
      <w:r>
        <w:rPr>
          <w:spacing w:val="-6"/>
          <w:szCs w:val="22"/>
          <w:lang w:val="en-US"/>
        </w:rPr>
        <w:t>424800</w:t>
      </w:r>
      <w:r>
        <w:rPr>
          <w:spacing w:val="-6"/>
          <w:szCs w:val="22"/>
        </w:rPr>
        <w:t xml:space="preserve"> </w:t>
      </w:r>
      <w:r>
        <w:rPr>
          <w:rFonts w:hint="eastAsia"/>
          <w:spacing w:val="-6"/>
          <w:szCs w:val="22"/>
        </w:rPr>
        <w:t>平方米；</w:t>
      </w:r>
    </w:p>
    <w:p w:rsidR="00B04AE3" w:rsidRDefault="00B04AE3">
      <w:pPr>
        <w:pStyle w:val="BodyText"/>
        <w:spacing w:before="20" w:line="360" w:lineRule="auto"/>
        <w:ind w:left="334" w:right="334" w:firstLine="482"/>
        <w:jc w:val="both"/>
        <w:rPr>
          <w:spacing w:val="-6"/>
          <w:szCs w:val="22"/>
        </w:rPr>
      </w:pPr>
      <w:r>
        <w:rPr>
          <w:rFonts w:hint="eastAsia"/>
          <w:spacing w:val="-6"/>
          <w:szCs w:val="22"/>
        </w:rPr>
        <w:t>（</w:t>
      </w:r>
      <w:r>
        <w:rPr>
          <w:spacing w:val="-6"/>
          <w:szCs w:val="22"/>
          <w:lang w:val="en-US"/>
        </w:rPr>
        <w:t>10</w:t>
      </w:r>
      <w:r>
        <w:rPr>
          <w:rFonts w:hint="eastAsia"/>
          <w:spacing w:val="-6"/>
          <w:szCs w:val="22"/>
        </w:rPr>
        <w:t>）工作制：现有员工</w:t>
      </w:r>
      <w:r>
        <w:rPr>
          <w:spacing w:val="-6"/>
          <w:szCs w:val="22"/>
        </w:rPr>
        <w:t xml:space="preserve"> </w:t>
      </w:r>
      <w:r>
        <w:rPr>
          <w:spacing w:val="-6"/>
          <w:szCs w:val="22"/>
          <w:lang w:val="en-US"/>
        </w:rPr>
        <w:t>1920</w:t>
      </w:r>
      <w:r>
        <w:rPr>
          <w:spacing w:val="-6"/>
          <w:szCs w:val="22"/>
        </w:rPr>
        <w:t xml:space="preserve"> </w:t>
      </w:r>
      <w:r>
        <w:rPr>
          <w:rFonts w:hint="eastAsia"/>
          <w:spacing w:val="-6"/>
          <w:szCs w:val="22"/>
        </w:rPr>
        <w:t>人，年工作</w:t>
      </w:r>
      <w:r>
        <w:rPr>
          <w:spacing w:val="-6"/>
          <w:szCs w:val="22"/>
        </w:rPr>
        <w:t xml:space="preserve"> </w:t>
      </w:r>
      <w:r>
        <w:rPr>
          <w:spacing w:val="-6"/>
          <w:szCs w:val="22"/>
          <w:lang w:val="en-US"/>
        </w:rPr>
        <w:t>250</w:t>
      </w:r>
      <w:r>
        <w:rPr>
          <w:spacing w:val="-6"/>
          <w:szCs w:val="22"/>
        </w:rPr>
        <w:t xml:space="preserve"> </w:t>
      </w:r>
      <w:r>
        <w:rPr>
          <w:rFonts w:hint="eastAsia"/>
          <w:spacing w:val="-6"/>
          <w:szCs w:val="22"/>
        </w:rPr>
        <w:t>天，实行</w:t>
      </w:r>
      <w:r>
        <w:rPr>
          <w:spacing w:val="-6"/>
          <w:szCs w:val="22"/>
        </w:rPr>
        <w:t xml:space="preserve"> </w:t>
      </w:r>
      <w:r>
        <w:rPr>
          <w:rFonts w:hint="eastAsia"/>
          <w:spacing w:val="-6"/>
          <w:szCs w:val="22"/>
        </w:rPr>
        <w:t>三班二运作</w:t>
      </w:r>
      <w:r>
        <w:rPr>
          <w:spacing w:val="-6"/>
          <w:szCs w:val="22"/>
        </w:rPr>
        <w:t xml:space="preserve"> </w:t>
      </w:r>
      <w:r>
        <w:rPr>
          <w:rFonts w:hint="eastAsia"/>
          <w:spacing w:val="-6"/>
          <w:szCs w:val="22"/>
        </w:rPr>
        <w:t>班制，每班</w:t>
      </w:r>
      <w:r>
        <w:rPr>
          <w:spacing w:val="-6"/>
          <w:szCs w:val="22"/>
        </w:rPr>
        <w:t xml:space="preserve"> </w:t>
      </w:r>
      <w:r>
        <w:rPr>
          <w:spacing w:val="-6"/>
          <w:szCs w:val="22"/>
          <w:lang w:val="en-US"/>
        </w:rPr>
        <w:t>12</w:t>
      </w:r>
      <w:r>
        <w:rPr>
          <w:rFonts w:hint="eastAsia"/>
          <w:spacing w:val="-6"/>
          <w:szCs w:val="22"/>
        </w:rPr>
        <w:t>小时。</w:t>
      </w:r>
    </w:p>
    <w:p w:rsidR="00B04AE3" w:rsidRDefault="00B04AE3">
      <w:pPr>
        <w:pStyle w:val="BodyText"/>
        <w:spacing w:before="1"/>
        <w:ind w:left="1280"/>
      </w:pPr>
      <w:r>
        <w:rPr>
          <w:rFonts w:hint="eastAsia"/>
        </w:rPr>
        <w:t>该公司主要建构筑物组成见表</w:t>
      </w:r>
      <w:r>
        <w:t xml:space="preserve"> </w:t>
      </w:r>
      <w:r>
        <w:rPr>
          <w:rFonts w:ascii="Times New Roman" w:eastAsia="Times New Roman"/>
        </w:rPr>
        <w:t>2.1-1</w:t>
      </w:r>
      <w:r>
        <w:rPr>
          <w:rFonts w:hint="eastAsia"/>
        </w:rPr>
        <w:t>。</w:t>
      </w:r>
    </w:p>
    <w:p w:rsidR="00B04AE3" w:rsidRDefault="00B04AE3">
      <w:pPr>
        <w:tabs>
          <w:tab w:val="left" w:pos="4272"/>
        </w:tabs>
        <w:spacing w:before="83" w:after="3"/>
        <w:ind w:left="3233"/>
        <w:rPr>
          <w:b/>
          <w:sz w:val="24"/>
        </w:rPr>
      </w:pPr>
      <w:r>
        <w:rPr>
          <w:rFonts w:hint="eastAsia"/>
          <w:b/>
          <w:sz w:val="24"/>
        </w:rPr>
        <w:t>表</w:t>
      </w:r>
      <w:r>
        <w:rPr>
          <w:b/>
          <w:spacing w:val="-62"/>
          <w:sz w:val="24"/>
        </w:rPr>
        <w:t xml:space="preserve"> </w:t>
      </w:r>
      <w:r>
        <w:rPr>
          <w:rFonts w:ascii="Times New Roman" w:eastAsia="Times New Roman"/>
          <w:b/>
          <w:sz w:val="24"/>
        </w:rPr>
        <w:t>2.1-1</w:t>
      </w:r>
      <w:r>
        <w:rPr>
          <w:rFonts w:ascii="Times New Roman" w:eastAsia="Times New Roman"/>
          <w:b/>
          <w:sz w:val="24"/>
        </w:rPr>
        <w:tab/>
      </w:r>
      <w:r>
        <w:rPr>
          <w:rFonts w:hint="eastAsia"/>
          <w:b/>
          <w:sz w:val="24"/>
        </w:rPr>
        <w:t>主要建筑物组成一览表</w:t>
      </w:r>
    </w:p>
    <w:tbl>
      <w:tblPr>
        <w:tblW w:w="9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69"/>
        <w:gridCol w:w="3271"/>
        <w:gridCol w:w="1760"/>
        <w:gridCol w:w="1022"/>
        <w:gridCol w:w="1169"/>
      </w:tblGrid>
      <w:tr w:rsidR="00B04AE3">
        <w:trPr>
          <w:trHeight w:val="418"/>
          <w:tblHeader/>
          <w:jc w:val="center"/>
        </w:trPr>
        <w:tc>
          <w:tcPr>
            <w:tcW w:w="1969" w:type="dxa"/>
            <w:vAlign w:val="center"/>
          </w:tcPr>
          <w:p w:rsidR="00B04AE3" w:rsidRDefault="00B04AE3">
            <w:pPr>
              <w:tabs>
                <w:tab w:val="center" w:pos="4791"/>
                <w:tab w:val="left" w:pos="8265"/>
              </w:tabs>
              <w:spacing w:line="240" w:lineRule="exact"/>
              <w:jc w:val="center"/>
              <w:rPr>
                <w:bCs/>
                <w:szCs w:val="21"/>
              </w:rPr>
            </w:pPr>
            <w:r>
              <w:rPr>
                <w:rFonts w:hint="eastAsia"/>
                <w:bCs/>
                <w:szCs w:val="21"/>
              </w:rPr>
              <w:t>建筑物名称</w:t>
            </w:r>
          </w:p>
        </w:tc>
        <w:tc>
          <w:tcPr>
            <w:tcW w:w="3271" w:type="dxa"/>
            <w:vAlign w:val="center"/>
          </w:tcPr>
          <w:p w:rsidR="00B04AE3" w:rsidRDefault="00B04AE3">
            <w:pPr>
              <w:tabs>
                <w:tab w:val="center" w:pos="4791"/>
                <w:tab w:val="left" w:pos="8265"/>
              </w:tabs>
              <w:spacing w:line="240" w:lineRule="exact"/>
              <w:jc w:val="center"/>
              <w:rPr>
                <w:bCs/>
                <w:szCs w:val="21"/>
              </w:rPr>
            </w:pPr>
            <w:r>
              <w:rPr>
                <w:rFonts w:hint="eastAsia"/>
                <w:bCs/>
                <w:szCs w:val="21"/>
              </w:rPr>
              <w:t>规模及建设内容</w:t>
            </w:r>
          </w:p>
        </w:tc>
        <w:tc>
          <w:tcPr>
            <w:tcW w:w="1760" w:type="dxa"/>
            <w:vAlign w:val="center"/>
          </w:tcPr>
          <w:p w:rsidR="00B04AE3" w:rsidRDefault="00B04AE3">
            <w:pPr>
              <w:tabs>
                <w:tab w:val="center" w:pos="4791"/>
                <w:tab w:val="left" w:pos="8265"/>
              </w:tabs>
              <w:spacing w:line="240" w:lineRule="exact"/>
              <w:jc w:val="center"/>
              <w:rPr>
                <w:bCs/>
                <w:szCs w:val="21"/>
              </w:rPr>
            </w:pPr>
            <w:r>
              <w:rPr>
                <w:rFonts w:hint="eastAsia"/>
                <w:bCs/>
                <w:szCs w:val="21"/>
              </w:rPr>
              <w:t>功能布局</w:t>
            </w:r>
          </w:p>
        </w:tc>
        <w:tc>
          <w:tcPr>
            <w:tcW w:w="1022" w:type="dxa"/>
            <w:vAlign w:val="center"/>
          </w:tcPr>
          <w:p w:rsidR="00B04AE3" w:rsidRDefault="00B04AE3">
            <w:pPr>
              <w:tabs>
                <w:tab w:val="center" w:pos="4791"/>
                <w:tab w:val="left" w:pos="8265"/>
              </w:tabs>
              <w:spacing w:line="240" w:lineRule="exact"/>
              <w:jc w:val="center"/>
              <w:rPr>
                <w:bCs/>
                <w:szCs w:val="21"/>
              </w:rPr>
            </w:pPr>
            <w:r>
              <w:rPr>
                <w:rFonts w:hint="eastAsia"/>
                <w:bCs/>
                <w:szCs w:val="21"/>
              </w:rPr>
              <w:t>厂房内位置</w:t>
            </w:r>
          </w:p>
        </w:tc>
        <w:tc>
          <w:tcPr>
            <w:tcW w:w="1169" w:type="dxa"/>
            <w:vAlign w:val="center"/>
          </w:tcPr>
          <w:p w:rsidR="00B04AE3" w:rsidRDefault="00B04AE3">
            <w:pPr>
              <w:tabs>
                <w:tab w:val="center" w:pos="4791"/>
                <w:tab w:val="left" w:pos="8265"/>
              </w:tabs>
              <w:spacing w:line="240" w:lineRule="exact"/>
              <w:jc w:val="center"/>
            </w:pPr>
            <w:r>
              <w:rPr>
                <w:rFonts w:hint="eastAsia"/>
                <w:bCs/>
                <w:szCs w:val="21"/>
              </w:rPr>
              <w:t>备注</w:t>
            </w:r>
          </w:p>
        </w:tc>
      </w:tr>
      <w:tr w:rsidR="00B04AE3">
        <w:trPr>
          <w:trHeight w:val="349"/>
          <w:jc w:val="center"/>
        </w:trPr>
        <w:tc>
          <w:tcPr>
            <w:tcW w:w="9191" w:type="dxa"/>
            <w:gridSpan w:val="5"/>
            <w:vAlign w:val="center"/>
          </w:tcPr>
          <w:p w:rsidR="00B04AE3" w:rsidRDefault="00B04AE3">
            <w:pPr>
              <w:tabs>
                <w:tab w:val="center" w:pos="4791"/>
                <w:tab w:val="left" w:pos="8265"/>
              </w:tabs>
              <w:spacing w:line="240" w:lineRule="exact"/>
              <w:jc w:val="center"/>
              <w:rPr>
                <w:bCs/>
                <w:szCs w:val="21"/>
              </w:rPr>
            </w:pPr>
            <w:r>
              <w:rPr>
                <w:rFonts w:hint="eastAsia"/>
                <w:bCs/>
                <w:szCs w:val="21"/>
              </w:rPr>
              <w:t>主体工程</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铁芯工场</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114m</w:t>
            </w:r>
            <w:r>
              <w:rPr>
                <w:rFonts w:hint="eastAsia"/>
                <w:szCs w:val="21"/>
              </w:rPr>
              <w:t>×</w:t>
            </w:r>
            <w:r>
              <w:rPr>
                <w:szCs w:val="21"/>
              </w:rPr>
              <w:t>96</w:t>
            </w:r>
            <w:r>
              <w:rPr>
                <w:rFonts w:hint="eastAsia"/>
                <w:szCs w:val="21"/>
              </w:rPr>
              <w:t>×</w:t>
            </w:r>
            <w:r>
              <w:rPr>
                <w:szCs w:val="21"/>
              </w:rPr>
              <w:t>9m</w:t>
            </w:r>
            <w:r>
              <w:rPr>
                <w:rFonts w:hint="eastAsia"/>
                <w:szCs w:val="21"/>
              </w:rPr>
              <w:t>，一层，占地面积</w:t>
            </w:r>
            <w:r>
              <w:rPr>
                <w:szCs w:val="21"/>
              </w:rPr>
              <w:t>11058m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生产转子、定子铁芯</w:t>
            </w:r>
          </w:p>
        </w:tc>
        <w:tc>
          <w:tcPr>
            <w:tcW w:w="1022" w:type="dxa"/>
            <w:vAlign w:val="center"/>
          </w:tcPr>
          <w:p w:rsidR="00B04AE3" w:rsidRDefault="00B04AE3">
            <w:pPr>
              <w:pStyle w:val="a"/>
              <w:rPr>
                <w:kern w:val="0"/>
                <w:sz w:val="21"/>
              </w:rPr>
            </w:pPr>
            <w:r>
              <w:rPr>
                <w:rFonts w:hint="eastAsia"/>
                <w:kern w:val="0"/>
                <w:sz w:val="21"/>
              </w:rPr>
              <w:t>西侧</w:t>
            </w:r>
          </w:p>
        </w:tc>
        <w:tc>
          <w:tcPr>
            <w:tcW w:w="1169" w:type="dxa"/>
            <w:vAlign w:val="center"/>
          </w:tcPr>
          <w:p w:rsidR="00B04AE3" w:rsidRDefault="00B04AE3">
            <w:pPr>
              <w:pStyle w:val="a"/>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机加工工场</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106m</w:t>
            </w:r>
            <w:r>
              <w:rPr>
                <w:rFonts w:hint="eastAsia"/>
                <w:szCs w:val="21"/>
              </w:rPr>
              <w:t>×</w:t>
            </w:r>
            <w:r>
              <w:rPr>
                <w:szCs w:val="21"/>
              </w:rPr>
              <w:t>96</w:t>
            </w:r>
            <w:r>
              <w:rPr>
                <w:rFonts w:hint="eastAsia"/>
                <w:szCs w:val="21"/>
              </w:rPr>
              <w:t>×</w:t>
            </w:r>
            <w:r>
              <w:rPr>
                <w:szCs w:val="21"/>
              </w:rPr>
              <w:t>9m</w:t>
            </w:r>
            <w:r>
              <w:rPr>
                <w:rFonts w:hint="eastAsia"/>
                <w:szCs w:val="21"/>
              </w:rPr>
              <w:t>，一层，占地面积</w:t>
            </w:r>
            <w:r>
              <w:rPr>
                <w:szCs w:val="21"/>
              </w:rPr>
              <w:t>10282m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生产活塞、气缸、曲轴、缸盖</w:t>
            </w:r>
          </w:p>
        </w:tc>
        <w:tc>
          <w:tcPr>
            <w:tcW w:w="1022" w:type="dxa"/>
            <w:vAlign w:val="center"/>
          </w:tcPr>
          <w:p w:rsidR="00B04AE3" w:rsidRDefault="00B04AE3">
            <w:pPr>
              <w:pStyle w:val="a"/>
              <w:rPr>
                <w:kern w:val="0"/>
                <w:sz w:val="21"/>
              </w:rPr>
            </w:pPr>
            <w:r>
              <w:rPr>
                <w:rFonts w:hint="eastAsia"/>
                <w:kern w:val="0"/>
                <w:sz w:val="21"/>
              </w:rPr>
              <w:t>中部</w:t>
            </w:r>
          </w:p>
        </w:tc>
        <w:tc>
          <w:tcPr>
            <w:tcW w:w="1169" w:type="dxa"/>
            <w:vAlign w:val="center"/>
          </w:tcPr>
          <w:p w:rsidR="00B04AE3" w:rsidRDefault="00B04AE3">
            <w:pPr>
              <w:pStyle w:val="a"/>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选配工场</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96m</w:t>
            </w:r>
            <w:r>
              <w:rPr>
                <w:rFonts w:hint="eastAsia"/>
                <w:szCs w:val="21"/>
              </w:rPr>
              <w:t>×</w:t>
            </w:r>
            <w:r>
              <w:rPr>
                <w:szCs w:val="21"/>
              </w:rPr>
              <w:t>64</w:t>
            </w:r>
            <w:r>
              <w:rPr>
                <w:rFonts w:hint="eastAsia"/>
                <w:szCs w:val="21"/>
              </w:rPr>
              <w:t>×</w:t>
            </w:r>
            <w:r>
              <w:rPr>
                <w:szCs w:val="21"/>
              </w:rPr>
              <w:t>9m</w:t>
            </w:r>
            <w:r>
              <w:rPr>
                <w:rFonts w:hint="eastAsia"/>
                <w:szCs w:val="21"/>
              </w:rPr>
              <w:t>，一层，占地面积</w:t>
            </w:r>
            <w:r>
              <w:rPr>
                <w:szCs w:val="21"/>
              </w:rPr>
              <w:t>6208m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选配</w:t>
            </w:r>
          </w:p>
        </w:tc>
        <w:tc>
          <w:tcPr>
            <w:tcW w:w="1022" w:type="dxa"/>
            <w:vAlign w:val="center"/>
          </w:tcPr>
          <w:p w:rsidR="00B04AE3" w:rsidRDefault="00B04AE3">
            <w:pPr>
              <w:pStyle w:val="a"/>
              <w:rPr>
                <w:kern w:val="0"/>
                <w:sz w:val="21"/>
              </w:rPr>
            </w:pPr>
            <w:r>
              <w:rPr>
                <w:rFonts w:hint="eastAsia"/>
                <w:kern w:val="0"/>
                <w:sz w:val="21"/>
              </w:rPr>
              <w:t>中部</w:t>
            </w:r>
          </w:p>
        </w:tc>
        <w:tc>
          <w:tcPr>
            <w:tcW w:w="1169" w:type="dxa"/>
            <w:vAlign w:val="center"/>
          </w:tcPr>
          <w:p w:rsidR="00B04AE3" w:rsidRDefault="00B04AE3">
            <w:pPr>
              <w:pStyle w:val="a"/>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钣金工场</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96m</w:t>
            </w:r>
            <w:r>
              <w:rPr>
                <w:rFonts w:hint="eastAsia"/>
                <w:szCs w:val="21"/>
              </w:rPr>
              <w:t>×</w:t>
            </w:r>
            <w:r>
              <w:rPr>
                <w:szCs w:val="21"/>
              </w:rPr>
              <w:t>90</w:t>
            </w:r>
            <w:r>
              <w:rPr>
                <w:rFonts w:hint="eastAsia"/>
                <w:szCs w:val="21"/>
              </w:rPr>
              <w:t>×</w:t>
            </w:r>
            <w:r>
              <w:rPr>
                <w:szCs w:val="21"/>
              </w:rPr>
              <w:t>9m</w:t>
            </w:r>
            <w:r>
              <w:rPr>
                <w:rFonts w:hint="eastAsia"/>
                <w:szCs w:val="21"/>
              </w:rPr>
              <w:t>，一层，占地面积</w:t>
            </w:r>
            <w:r>
              <w:rPr>
                <w:szCs w:val="21"/>
              </w:rPr>
              <w:t>8730m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生产壳体壳盖</w:t>
            </w:r>
          </w:p>
        </w:tc>
        <w:tc>
          <w:tcPr>
            <w:tcW w:w="1022" w:type="dxa"/>
            <w:vAlign w:val="center"/>
          </w:tcPr>
          <w:p w:rsidR="00B04AE3" w:rsidRDefault="00B04AE3">
            <w:pPr>
              <w:pStyle w:val="a"/>
              <w:rPr>
                <w:kern w:val="0"/>
                <w:sz w:val="21"/>
              </w:rPr>
            </w:pPr>
            <w:r>
              <w:rPr>
                <w:rFonts w:hint="eastAsia"/>
                <w:kern w:val="0"/>
                <w:sz w:val="21"/>
              </w:rPr>
              <w:t>东侧</w:t>
            </w:r>
          </w:p>
        </w:tc>
        <w:tc>
          <w:tcPr>
            <w:tcW w:w="1169" w:type="dxa"/>
            <w:vAlign w:val="center"/>
          </w:tcPr>
          <w:p w:rsidR="00B04AE3" w:rsidRDefault="00B04AE3">
            <w:pPr>
              <w:pStyle w:val="a"/>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电机工场</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81m</w:t>
            </w:r>
            <w:r>
              <w:rPr>
                <w:rFonts w:hint="eastAsia"/>
                <w:szCs w:val="21"/>
              </w:rPr>
              <w:t>×</w:t>
            </w:r>
            <w:r>
              <w:rPr>
                <w:szCs w:val="21"/>
              </w:rPr>
              <w:t>70</w:t>
            </w:r>
            <w:r>
              <w:rPr>
                <w:rFonts w:hint="eastAsia"/>
                <w:szCs w:val="21"/>
              </w:rPr>
              <w:t>×</w:t>
            </w:r>
            <w:r>
              <w:rPr>
                <w:szCs w:val="21"/>
              </w:rPr>
              <w:t>9m</w:t>
            </w:r>
            <w:r>
              <w:rPr>
                <w:rFonts w:hint="eastAsia"/>
                <w:szCs w:val="21"/>
              </w:rPr>
              <w:t>，二层，占地面积</w:t>
            </w:r>
            <w:r>
              <w:rPr>
                <w:szCs w:val="21"/>
              </w:rPr>
              <w:t>5670m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生产电机</w:t>
            </w:r>
          </w:p>
        </w:tc>
        <w:tc>
          <w:tcPr>
            <w:tcW w:w="1022" w:type="dxa"/>
            <w:vAlign w:val="center"/>
          </w:tcPr>
          <w:p w:rsidR="00B04AE3" w:rsidRDefault="00B04AE3">
            <w:pPr>
              <w:pStyle w:val="a"/>
              <w:rPr>
                <w:kern w:val="0"/>
                <w:sz w:val="21"/>
              </w:rPr>
            </w:pPr>
            <w:r>
              <w:rPr>
                <w:rFonts w:hint="eastAsia"/>
                <w:kern w:val="0"/>
                <w:sz w:val="21"/>
              </w:rPr>
              <w:t>西侧</w:t>
            </w:r>
          </w:p>
        </w:tc>
        <w:tc>
          <w:tcPr>
            <w:tcW w:w="1169" w:type="dxa"/>
            <w:vAlign w:val="center"/>
          </w:tcPr>
          <w:p w:rsidR="00B04AE3" w:rsidRDefault="00B04AE3">
            <w:pPr>
              <w:pStyle w:val="a"/>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装配工场</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171m</w:t>
            </w:r>
            <w:r>
              <w:rPr>
                <w:rFonts w:hint="eastAsia"/>
                <w:szCs w:val="21"/>
              </w:rPr>
              <w:t>×</w:t>
            </w:r>
            <w:r>
              <w:rPr>
                <w:szCs w:val="21"/>
              </w:rPr>
              <w:t>70</w:t>
            </w:r>
            <w:r>
              <w:rPr>
                <w:rFonts w:hint="eastAsia"/>
                <w:szCs w:val="21"/>
              </w:rPr>
              <w:t>×</w:t>
            </w:r>
            <w:r>
              <w:rPr>
                <w:szCs w:val="21"/>
              </w:rPr>
              <w:t>9m</w:t>
            </w:r>
            <w:r>
              <w:rPr>
                <w:rFonts w:hint="eastAsia"/>
                <w:szCs w:val="21"/>
              </w:rPr>
              <w:t>，二层，占地面积</w:t>
            </w:r>
            <w:r>
              <w:rPr>
                <w:szCs w:val="21"/>
              </w:rPr>
              <w:t>11970m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生产泵体、及总装</w:t>
            </w:r>
          </w:p>
        </w:tc>
        <w:tc>
          <w:tcPr>
            <w:tcW w:w="1022" w:type="dxa"/>
            <w:vAlign w:val="center"/>
          </w:tcPr>
          <w:p w:rsidR="00B04AE3" w:rsidRDefault="00B04AE3">
            <w:pPr>
              <w:pStyle w:val="a"/>
              <w:rPr>
                <w:kern w:val="0"/>
                <w:sz w:val="21"/>
              </w:rPr>
            </w:pPr>
            <w:r>
              <w:rPr>
                <w:rFonts w:hint="eastAsia"/>
                <w:kern w:val="0"/>
                <w:sz w:val="21"/>
              </w:rPr>
              <w:t>东侧</w:t>
            </w:r>
          </w:p>
        </w:tc>
        <w:tc>
          <w:tcPr>
            <w:tcW w:w="1169" w:type="dxa"/>
            <w:vAlign w:val="center"/>
          </w:tcPr>
          <w:p w:rsidR="00B04AE3" w:rsidRDefault="00B04AE3">
            <w:pPr>
              <w:pStyle w:val="a"/>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成品工场</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252m</w:t>
            </w:r>
            <w:r>
              <w:rPr>
                <w:rFonts w:hint="eastAsia"/>
                <w:szCs w:val="21"/>
              </w:rPr>
              <w:t>×</w:t>
            </w:r>
            <w:r>
              <w:rPr>
                <w:szCs w:val="21"/>
              </w:rPr>
              <w:t>27</w:t>
            </w:r>
            <w:r>
              <w:rPr>
                <w:rFonts w:hint="eastAsia"/>
                <w:szCs w:val="21"/>
              </w:rPr>
              <w:t>×</w:t>
            </w:r>
            <w:r>
              <w:rPr>
                <w:szCs w:val="21"/>
              </w:rPr>
              <w:t>9m</w:t>
            </w:r>
            <w:r>
              <w:rPr>
                <w:rFonts w:hint="eastAsia"/>
                <w:szCs w:val="21"/>
              </w:rPr>
              <w:t>，二层，占地面积</w:t>
            </w:r>
            <w:r>
              <w:rPr>
                <w:szCs w:val="21"/>
              </w:rPr>
              <w:t>6804m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成品检测、涂装等</w:t>
            </w:r>
          </w:p>
        </w:tc>
        <w:tc>
          <w:tcPr>
            <w:tcW w:w="1022" w:type="dxa"/>
            <w:vAlign w:val="center"/>
          </w:tcPr>
          <w:p w:rsidR="00B04AE3" w:rsidRDefault="00B04AE3">
            <w:pPr>
              <w:pStyle w:val="a"/>
              <w:rPr>
                <w:kern w:val="0"/>
                <w:sz w:val="21"/>
              </w:rPr>
            </w:pPr>
            <w:r>
              <w:rPr>
                <w:rFonts w:hint="eastAsia"/>
                <w:kern w:val="0"/>
                <w:sz w:val="21"/>
              </w:rPr>
              <w:t>北侧</w:t>
            </w:r>
          </w:p>
        </w:tc>
        <w:tc>
          <w:tcPr>
            <w:tcW w:w="1169" w:type="dxa"/>
            <w:vAlign w:val="center"/>
          </w:tcPr>
          <w:p w:rsidR="00B04AE3" w:rsidRDefault="00B04AE3">
            <w:pPr>
              <w:pStyle w:val="a"/>
            </w:pPr>
            <w:r>
              <w:t>—</w:t>
            </w:r>
          </w:p>
        </w:tc>
      </w:tr>
      <w:tr w:rsidR="00B04AE3">
        <w:trPr>
          <w:trHeight w:val="418"/>
          <w:jc w:val="center"/>
        </w:trPr>
        <w:tc>
          <w:tcPr>
            <w:tcW w:w="7000" w:type="dxa"/>
            <w:gridSpan w:val="3"/>
            <w:vAlign w:val="center"/>
          </w:tcPr>
          <w:p w:rsidR="00B04AE3" w:rsidRDefault="00B04AE3">
            <w:pPr>
              <w:pStyle w:val="a"/>
              <w:rPr>
                <w:bCs/>
                <w:kern w:val="0"/>
                <w:sz w:val="21"/>
              </w:rPr>
            </w:pPr>
            <w:r>
              <w:rPr>
                <w:rFonts w:hint="eastAsia"/>
                <w:bCs/>
                <w:kern w:val="0"/>
                <w:sz w:val="21"/>
              </w:rPr>
              <w:t>辅助工程</w:t>
            </w:r>
          </w:p>
        </w:tc>
        <w:tc>
          <w:tcPr>
            <w:tcW w:w="1022" w:type="dxa"/>
            <w:vAlign w:val="center"/>
          </w:tcPr>
          <w:p w:rsidR="00B04AE3" w:rsidRDefault="00B04AE3">
            <w:pPr>
              <w:pStyle w:val="a"/>
              <w:rPr>
                <w:bCs/>
                <w:kern w:val="0"/>
                <w:sz w:val="21"/>
              </w:rPr>
            </w:pPr>
            <w:r>
              <w:rPr>
                <w:rFonts w:hint="eastAsia"/>
                <w:bCs/>
                <w:kern w:val="0"/>
                <w:sz w:val="21"/>
              </w:rPr>
              <w:t>厂区内位置</w:t>
            </w:r>
          </w:p>
        </w:tc>
        <w:tc>
          <w:tcPr>
            <w:tcW w:w="1169" w:type="dxa"/>
            <w:vAlign w:val="center"/>
          </w:tcPr>
          <w:p w:rsidR="00B04AE3" w:rsidRDefault="00B04AE3">
            <w:pPr>
              <w:pStyle w:val="a"/>
              <w:rPr>
                <w:bCs/>
                <w:kern w:val="0"/>
                <w:sz w:val="21"/>
              </w:rPr>
            </w:pP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公用车间</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96m</w:t>
            </w:r>
            <w:r>
              <w:rPr>
                <w:rFonts w:hint="eastAsia"/>
                <w:szCs w:val="21"/>
              </w:rPr>
              <w:t>×</w:t>
            </w:r>
            <w:r>
              <w:rPr>
                <w:szCs w:val="21"/>
              </w:rPr>
              <w:t>30</w:t>
            </w:r>
            <w:r>
              <w:rPr>
                <w:rFonts w:hint="eastAsia"/>
                <w:szCs w:val="21"/>
              </w:rPr>
              <w:t>×</w:t>
            </w:r>
            <w:r>
              <w:rPr>
                <w:szCs w:val="21"/>
              </w:rPr>
              <w:t>9m</w:t>
            </w:r>
            <w:r>
              <w:rPr>
                <w:rFonts w:hint="eastAsia"/>
                <w:szCs w:val="21"/>
              </w:rPr>
              <w:t>，单层，占地面积</w:t>
            </w:r>
            <w:r>
              <w:rPr>
                <w:szCs w:val="21"/>
              </w:rPr>
              <w:t>2880m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除盐水制备、锅炉、空压机房</w:t>
            </w:r>
          </w:p>
        </w:tc>
        <w:tc>
          <w:tcPr>
            <w:tcW w:w="1022" w:type="dxa"/>
            <w:vAlign w:val="center"/>
          </w:tcPr>
          <w:p w:rsidR="00B04AE3" w:rsidRDefault="00B04AE3">
            <w:pPr>
              <w:pStyle w:val="a"/>
              <w:rPr>
                <w:kern w:val="0"/>
                <w:sz w:val="21"/>
              </w:rPr>
            </w:pPr>
            <w:r>
              <w:rPr>
                <w:rFonts w:hint="eastAsia"/>
                <w:kern w:val="0"/>
                <w:sz w:val="21"/>
              </w:rPr>
              <w:t>中部</w:t>
            </w:r>
          </w:p>
        </w:tc>
        <w:tc>
          <w:tcPr>
            <w:tcW w:w="1169" w:type="dxa"/>
            <w:vAlign w:val="center"/>
          </w:tcPr>
          <w:p w:rsidR="00B04AE3" w:rsidRDefault="00B04AE3">
            <w:pPr>
              <w:pStyle w:val="a"/>
              <w:rPr>
                <w:kern w:val="0"/>
                <w:sz w:val="21"/>
              </w:rPr>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化学品库</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60m</w:t>
            </w:r>
            <w:r>
              <w:rPr>
                <w:rFonts w:hint="eastAsia"/>
                <w:szCs w:val="21"/>
              </w:rPr>
              <w:t>×</w:t>
            </w:r>
            <w:r>
              <w:rPr>
                <w:szCs w:val="21"/>
              </w:rPr>
              <w:t>23</w:t>
            </w:r>
            <w:r>
              <w:rPr>
                <w:rFonts w:hint="eastAsia"/>
                <w:szCs w:val="21"/>
              </w:rPr>
              <w:t>×</w:t>
            </w:r>
            <w:r>
              <w:rPr>
                <w:szCs w:val="21"/>
              </w:rPr>
              <w:t>9m</w:t>
            </w:r>
            <w:r>
              <w:rPr>
                <w:rFonts w:hint="eastAsia"/>
                <w:szCs w:val="21"/>
              </w:rPr>
              <w:t>，单层，占地面积</w:t>
            </w:r>
            <w:r>
              <w:rPr>
                <w:szCs w:val="21"/>
              </w:rPr>
              <w:t>1380m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存储化学品</w:t>
            </w:r>
          </w:p>
        </w:tc>
        <w:tc>
          <w:tcPr>
            <w:tcW w:w="1022" w:type="dxa"/>
            <w:vAlign w:val="center"/>
          </w:tcPr>
          <w:p w:rsidR="00B04AE3" w:rsidRDefault="00B04AE3">
            <w:pPr>
              <w:pStyle w:val="a"/>
              <w:rPr>
                <w:kern w:val="0"/>
                <w:sz w:val="21"/>
              </w:rPr>
            </w:pPr>
            <w:r>
              <w:rPr>
                <w:rFonts w:hint="eastAsia"/>
                <w:kern w:val="0"/>
                <w:sz w:val="21"/>
              </w:rPr>
              <w:t>中部</w:t>
            </w:r>
          </w:p>
        </w:tc>
        <w:tc>
          <w:tcPr>
            <w:tcW w:w="1169" w:type="dxa"/>
            <w:vAlign w:val="center"/>
          </w:tcPr>
          <w:p w:rsidR="00B04AE3" w:rsidRDefault="00B04AE3">
            <w:pPr>
              <w:pStyle w:val="a"/>
              <w:rPr>
                <w:kern w:val="0"/>
                <w:sz w:val="21"/>
              </w:rPr>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罐区</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22.5m</w:t>
            </w:r>
            <w:r>
              <w:rPr>
                <w:rFonts w:hint="eastAsia"/>
                <w:szCs w:val="21"/>
              </w:rPr>
              <w:t>×</w:t>
            </w:r>
            <w:r>
              <w:rPr>
                <w:szCs w:val="21"/>
              </w:rPr>
              <w:t>14m</w:t>
            </w:r>
            <w:r>
              <w:rPr>
                <w:rFonts w:hint="eastAsia"/>
                <w:szCs w:val="21"/>
              </w:rPr>
              <w:t>，占地面积</w:t>
            </w:r>
            <w:r>
              <w:rPr>
                <w:szCs w:val="21"/>
              </w:rPr>
              <w:t>315m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存储液氩、液氧、液氮、液二氧化碳</w:t>
            </w:r>
          </w:p>
        </w:tc>
        <w:tc>
          <w:tcPr>
            <w:tcW w:w="1022" w:type="dxa"/>
            <w:vAlign w:val="center"/>
          </w:tcPr>
          <w:p w:rsidR="00B04AE3" w:rsidRDefault="00B04AE3">
            <w:pPr>
              <w:pStyle w:val="a"/>
              <w:rPr>
                <w:kern w:val="0"/>
                <w:sz w:val="21"/>
              </w:rPr>
            </w:pPr>
            <w:r>
              <w:rPr>
                <w:rFonts w:hint="eastAsia"/>
                <w:kern w:val="0"/>
                <w:sz w:val="21"/>
              </w:rPr>
              <w:t>中部</w:t>
            </w:r>
          </w:p>
        </w:tc>
        <w:tc>
          <w:tcPr>
            <w:tcW w:w="1169" w:type="dxa"/>
            <w:vAlign w:val="center"/>
          </w:tcPr>
          <w:p w:rsidR="00B04AE3" w:rsidRDefault="00B04AE3">
            <w:pPr>
              <w:pStyle w:val="a"/>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总配电室站</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44m</w:t>
            </w:r>
            <w:r>
              <w:rPr>
                <w:rFonts w:hint="eastAsia"/>
                <w:szCs w:val="21"/>
              </w:rPr>
              <w:t>×</w:t>
            </w:r>
            <w:r>
              <w:rPr>
                <w:szCs w:val="21"/>
              </w:rPr>
              <w:t>20</w:t>
            </w:r>
            <w:r>
              <w:rPr>
                <w:rFonts w:hint="eastAsia"/>
                <w:szCs w:val="21"/>
              </w:rPr>
              <w:t>×</w:t>
            </w:r>
            <w:r>
              <w:rPr>
                <w:szCs w:val="21"/>
              </w:rPr>
              <w:t>9m</w:t>
            </w:r>
            <w:r>
              <w:rPr>
                <w:rFonts w:hint="eastAsia"/>
                <w:szCs w:val="21"/>
              </w:rPr>
              <w:t>，单层，占地面积</w:t>
            </w:r>
            <w:r>
              <w:rPr>
                <w:szCs w:val="21"/>
              </w:rPr>
              <w:t>880m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供电</w:t>
            </w:r>
          </w:p>
        </w:tc>
        <w:tc>
          <w:tcPr>
            <w:tcW w:w="1022" w:type="dxa"/>
            <w:vAlign w:val="center"/>
          </w:tcPr>
          <w:p w:rsidR="00B04AE3" w:rsidRDefault="00B04AE3">
            <w:pPr>
              <w:pStyle w:val="a"/>
              <w:rPr>
                <w:kern w:val="0"/>
                <w:sz w:val="21"/>
              </w:rPr>
            </w:pPr>
            <w:r>
              <w:rPr>
                <w:rFonts w:hint="eastAsia"/>
                <w:kern w:val="0"/>
                <w:sz w:val="21"/>
              </w:rPr>
              <w:t>中部</w:t>
            </w:r>
          </w:p>
        </w:tc>
        <w:tc>
          <w:tcPr>
            <w:tcW w:w="1169" w:type="dxa"/>
            <w:vAlign w:val="center"/>
          </w:tcPr>
          <w:p w:rsidR="00B04AE3" w:rsidRDefault="00B04AE3">
            <w:pPr>
              <w:pStyle w:val="a"/>
              <w:rPr>
                <w:kern w:val="0"/>
                <w:sz w:val="21"/>
              </w:rPr>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污水处理站</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25m</w:t>
            </w:r>
            <w:r>
              <w:rPr>
                <w:rFonts w:hint="eastAsia"/>
                <w:szCs w:val="21"/>
              </w:rPr>
              <w:t>×</w:t>
            </w:r>
            <w:r>
              <w:rPr>
                <w:szCs w:val="21"/>
              </w:rPr>
              <w:t>12m</w:t>
            </w:r>
            <w:r>
              <w:rPr>
                <w:rFonts w:hint="eastAsia"/>
                <w:szCs w:val="21"/>
              </w:rPr>
              <w:t>，占地面积</w:t>
            </w:r>
            <w:r>
              <w:rPr>
                <w:szCs w:val="21"/>
              </w:rPr>
              <w:t>300m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污水处理</w:t>
            </w:r>
          </w:p>
        </w:tc>
        <w:tc>
          <w:tcPr>
            <w:tcW w:w="1022" w:type="dxa"/>
            <w:vAlign w:val="center"/>
          </w:tcPr>
          <w:p w:rsidR="00B04AE3" w:rsidRDefault="00B04AE3">
            <w:pPr>
              <w:pStyle w:val="a"/>
              <w:rPr>
                <w:kern w:val="0"/>
                <w:sz w:val="21"/>
              </w:rPr>
            </w:pPr>
            <w:r>
              <w:rPr>
                <w:rFonts w:hint="eastAsia"/>
                <w:kern w:val="0"/>
                <w:sz w:val="21"/>
              </w:rPr>
              <w:t>中部</w:t>
            </w:r>
          </w:p>
        </w:tc>
        <w:tc>
          <w:tcPr>
            <w:tcW w:w="1169" w:type="dxa"/>
            <w:vAlign w:val="center"/>
          </w:tcPr>
          <w:p w:rsidR="00B04AE3" w:rsidRDefault="00B04AE3">
            <w:pPr>
              <w:pStyle w:val="a"/>
            </w:pP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住宿楼</w:t>
            </w:r>
          </w:p>
        </w:tc>
        <w:tc>
          <w:tcPr>
            <w:tcW w:w="3271" w:type="dxa"/>
            <w:vAlign w:val="center"/>
          </w:tcPr>
          <w:p w:rsidR="00B04AE3" w:rsidRDefault="00B04AE3">
            <w:pPr>
              <w:widowControl/>
              <w:adjustRightInd w:val="0"/>
              <w:snapToGrid w:val="0"/>
              <w:jc w:val="center"/>
              <w:rPr>
                <w:szCs w:val="21"/>
              </w:rPr>
            </w:pPr>
            <w:r>
              <w:rPr>
                <w:szCs w:val="21"/>
              </w:rPr>
              <w:t>5</w:t>
            </w:r>
            <w:r>
              <w:rPr>
                <w:rFonts w:hint="eastAsia"/>
                <w:szCs w:val="21"/>
              </w:rPr>
              <w:t>座，</w:t>
            </w:r>
            <w:r>
              <w:rPr>
                <w:szCs w:val="21"/>
              </w:rPr>
              <w:t>158m</w:t>
            </w:r>
            <w:r>
              <w:rPr>
                <w:rFonts w:hint="eastAsia"/>
                <w:szCs w:val="21"/>
              </w:rPr>
              <w:t>×</w:t>
            </w:r>
            <w:r>
              <w:rPr>
                <w:szCs w:val="21"/>
              </w:rPr>
              <w:t>100m</w:t>
            </w:r>
            <w:r>
              <w:rPr>
                <w:rFonts w:hint="eastAsia"/>
                <w:szCs w:val="21"/>
              </w:rPr>
              <w:t>，占地面积</w:t>
            </w:r>
            <w:r>
              <w:rPr>
                <w:szCs w:val="21"/>
              </w:rPr>
              <w:t>15800m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住宿</w:t>
            </w:r>
          </w:p>
        </w:tc>
        <w:tc>
          <w:tcPr>
            <w:tcW w:w="1022" w:type="dxa"/>
            <w:vAlign w:val="center"/>
          </w:tcPr>
          <w:p w:rsidR="00B04AE3" w:rsidRDefault="00B04AE3">
            <w:pPr>
              <w:pStyle w:val="a"/>
              <w:rPr>
                <w:kern w:val="0"/>
                <w:sz w:val="21"/>
              </w:rPr>
            </w:pPr>
            <w:r>
              <w:rPr>
                <w:rFonts w:hint="eastAsia"/>
                <w:kern w:val="0"/>
                <w:sz w:val="21"/>
              </w:rPr>
              <w:t>东南</w:t>
            </w:r>
          </w:p>
        </w:tc>
        <w:tc>
          <w:tcPr>
            <w:tcW w:w="1169" w:type="dxa"/>
            <w:vAlign w:val="center"/>
          </w:tcPr>
          <w:p w:rsidR="00B04AE3" w:rsidRDefault="00B04AE3">
            <w:pPr>
              <w:pStyle w:val="a"/>
              <w:rPr>
                <w:kern w:val="0"/>
                <w:sz w:val="21"/>
              </w:rPr>
            </w:pPr>
            <w:r>
              <w:t>—</w:t>
            </w:r>
          </w:p>
        </w:tc>
      </w:tr>
      <w:tr w:rsidR="00B04AE3">
        <w:trPr>
          <w:trHeight w:val="418"/>
          <w:jc w:val="center"/>
        </w:trPr>
        <w:tc>
          <w:tcPr>
            <w:tcW w:w="1969" w:type="dxa"/>
            <w:vAlign w:val="center"/>
          </w:tcPr>
          <w:p w:rsidR="00B04AE3" w:rsidRDefault="00B04AE3">
            <w:pPr>
              <w:widowControl/>
              <w:adjustRightInd w:val="0"/>
              <w:snapToGrid w:val="0"/>
              <w:jc w:val="center"/>
              <w:rPr>
                <w:szCs w:val="21"/>
              </w:rPr>
            </w:pPr>
            <w:r>
              <w:rPr>
                <w:rFonts w:hint="eastAsia"/>
                <w:szCs w:val="21"/>
              </w:rPr>
              <w:t>食堂</w:t>
            </w:r>
          </w:p>
        </w:tc>
        <w:tc>
          <w:tcPr>
            <w:tcW w:w="3271" w:type="dxa"/>
            <w:vAlign w:val="center"/>
          </w:tcPr>
          <w:p w:rsidR="00B04AE3" w:rsidRDefault="00B04AE3">
            <w:pPr>
              <w:widowControl/>
              <w:adjustRightInd w:val="0"/>
              <w:snapToGrid w:val="0"/>
              <w:jc w:val="center"/>
              <w:rPr>
                <w:szCs w:val="21"/>
              </w:rPr>
            </w:pPr>
            <w:r>
              <w:rPr>
                <w:szCs w:val="21"/>
              </w:rPr>
              <w:t>1</w:t>
            </w:r>
            <w:r>
              <w:rPr>
                <w:rFonts w:hint="eastAsia"/>
                <w:szCs w:val="21"/>
              </w:rPr>
              <w:t>座，</w:t>
            </w:r>
            <w:r>
              <w:rPr>
                <w:szCs w:val="21"/>
              </w:rPr>
              <w:t>100m</w:t>
            </w:r>
            <w:r>
              <w:rPr>
                <w:rFonts w:hint="eastAsia"/>
                <w:szCs w:val="21"/>
              </w:rPr>
              <w:t>×</w:t>
            </w:r>
            <w:r>
              <w:rPr>
                <w:szCs w:val="21"/>
              </w:rPr>
              <w:t>70m</w:t>
            </w:r>
            <w:r>
              <w:rPr>
                <w:rFonts w:hint="eastAsia"/>
                <w:szCs w:val="21"/>
              </w:rPr>
              <w:t>，占地面积</w:t>
            </w:r>
            <w:r>
              <w:rPr>
                <w:szCs w:val="21"/>
              </w:rPr>
              <w:t>7000m</w:t>
            </w:r>
            <w:r>
              <w:rPr>
                <w:szCs w:val="21"/>
                <w:vertAlign w:val="superscript"/>
              </w:rPr>
              <w:t>2</w:t>
            </w:r>
          </w:p>
        </w:tc>
        <w:tc>
          <w:tcPr>
            <w:tcW w:w="1760" w:type="dxa"/>
            <w:vAlign w:val="center"/>
          </w:tcPr>
          <w:p w:rsidR="00B04AE3" w:rsidRDefault="00B04AE3">
            <w:pPr>
              <w:pStyle w:val="a"/>
              <w:rPr>
                <w:kern w:val="0"/>
                <w:sz w:val="21"/>
              </w:rPr>
            </w:pPr>
            <w:r>
              <w:rPr>
                <w:rFonts w:hint="eastAsia"/>
                <w:kern w:val="0"/>
                <w:sz w:val="21"/>
              </w:rPr>
              <w:t>生活</w:t>
            </w:r>
          </w:p>
        </w:tc>
        <w:tc>
          <w:tcPr>
            <w:tcW w:w="1022" w:type="dxa"/>
            <w:vAlign w:val="center"/>
          </w:tcPr>
          <w:p w:rsidR="00B04AE3" w:rsidRDefault="00B04AE3">
            <w:pPr>
              <w:pStyle w:val="a"/>
              <w:rPr>
                <w:kern w:val="0"/>
                <w:sz w:val="21"/>
              </w:rPr>
            </w:pPr>
            <w:r>
              <w:rPr>
                <w:rFonts w:hint="eastAsia"/>
                <w:kern w:val="0"/>
                <w:sz w:val="21"/>
              </w:rPr>
              <w:t>东南</w:t>
            </w:r>
          </w:p>
        </w:tc>
        <w:tc>
          <w:tcPr>
            <w:tcW w:w="1169" w:type="dxa"/>
            <w:vAlign w:val="center"/>
          </w:tcPr>
          <w:p w:rsidR="00B04AE3" w:rsidRDefault="00B04AE3">
            <w:pPr>
              <w:pStyle w:val="a"/>
              <w:rPr>
                <w:kern w:val="0"/>
                <w:sz w:val="21"/>
              </w:rPr>
            </w:pPr>
            <w:r>
              <w:t>—</w:t>
            </w:r>
          </w:p>
        </w:tc>
      </w:tr>
    </w:tbl>
    <w:p w:rsidR="00B04AE3" w:rsidRDefault="00B04AE3">
      <w:pPr>
        <w:pStyle w:val="BodyText"/>
        <w:spacing w:before="11"/>
        <w:rPr>
          <w:b/>
          <w:sz w:val="4"/>
        </w:rPr>
      </w:pPr>
    </w:p>
    <w:p w:rsidR="00B04AE3" w:rsidRDefault="00B04AE3">
      <w:pPr>
        <w:pStyle w:val="Heading3"/>
        <w:numPr>
          <w:ilvl w:val="2"/>
          <w:numId w:val="41"/>
        </w:numPr>
        <w:tabs>
          <w:tab w:val="left" w:pos="1400"/>
        </w:tabs>
        <w:spacing w:before="101"/>
      </w:pPr>
      <w:bookmarkStart w:id="253" w:name="2.1.2_周边自然环境概况"/>
      <w:bookmarkStart w:id="254" w:name="_bookmark74"/>
      <w:bookmarkEnd w:id="253"/>
      <w:bookmarkEnd w:id="254"/>
      <w:r>
        <w:rPr>
          <w:rFonts w:hint="eastAsia"/>
        </w:rPr>
        <w:t>周边自然环境概况</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、地理位置</w:t>
      </w:r>
    </w:p>
    <w:p w:rsidR="00B04AE3" w:rsidRDefault="00B04AE3">
      <w:pPr>
        <w:pStyle w:val="BodyText"/>
        <w:spacing w:before="20" w:line="360" w:lineRule="auto"/>
        <w:ind w:left="334" w:right="334" w:firstLine="482"/>
        <w:jc w:val="both"/>
        <w:rPr>
          <w:spacing w:val="-6"/>
          <w:szCs w:val="22"/>
        </w:rPr>
      </w:pPr>
      <w:r>
        <w:rPr>
          <w:rFonts w:hint="eastAsia"/>
          <w:spacing w:val="-6"/>
          <w:szCs w:val="22"/>
        </w:rPr>
        <w:t>南昌地处江西中部偏北，赣江、抚河下游，三环，濒临我国第一大淡水湖鄱阳湖西南岸。位于东经</w:t>
      </w:r>
      <w:r>
        <w:rPr>
          <w:spacing w:val="-6"/>
          <w:szCs w:val="22"/>
        </w:rPr>
        <w:t>115</w:t>
      </w:r>
      <w:r>
        <w:rPr>
          <w:rFonts w:hint="eastAsia"/>
          <w:spacing w:val="-6"/>
          <w:szCs w:val="22"/>
        </w:rPr>
        <w:t>°</w:t>
      </w:r>
      <w:r>
        <w:rPr>
          <w:spacing w:val="-6"/>
          <w:szCs w:val="22"/>
        </w:rPr>
        <w:t>27</w:t>
      </w:r>
      <w:r>
        <w:rPr>
          <w:rFonts w:hint="eastAsia"/>
          <w:spacing w:val="-6"/>
          <w:szCs w:val="22"/>
        </w:rPr>
        <w:t>’至</w:t>
      </w:r>
      <w:r>
        <w:rPr>
          <w:spacing w:val="-6"/>
          <w:szCs w:val="22"/>
        </w:rPr>
        <w:t>116</w:t>
      </w:r>
      <w:r>
        <w:rPr>
          <w:rFonts w:hint="eastAsia"/>
          <w:spacing w:val="-6"/>
          <w:szCs w:val="22"/>
        </w:rPr>
        <w:t>°</w:t>
      </w:r>
      <w:r>
        <w:rPr>
          <w:spacing w:val="-6"/>
          <w:szCs w:val="22"/>
        </w:rPr>
        <w:t>35</w:t>
      </w:r>
      <w:r>
        <w:rPr>
          <w:rFonts w:hint="eastAsia"/>
          <w:spacing w:val="-6"/>
          <w:szCs w:val="22"/>
        </w:rPr>
        <w:t>’、北纬</w:t>
      </w:r>
      <w:r>
        <w:rPr>
          <w:spacing w:val="-6"/>
          <w:szCs w:val="22"/>
        </w:rPr>
        <w:t>28</w:t>
      </w:r>
      <w:r>
        <w:rPr>
          <w:rFonts w:hint="eastAsia"/>
          <w:spacing w:val="-6"/>
          <w:szCs w:val="22"/>
        </w:rPr>
        <w:t>°</w:t>
      </w:r>
      <w:r>
        <w:rPr>
          <w:spacing w:val="-6"/>
          <w:szCs w:val="22"/>
        </w:rPr>
        <w:t>10</w:t>
      </w:r>
      <w:r>
        <w:rPr>
          <w:rFonts w:hint="eastAsia"/>
          <w:spacing w:val="-6"/>
          <w:szCs w:val="22"/>
        </w:rPr>
        <w:t>’至</w:t>
      </w:r>
      <w:r>
        <w:rPr>
          <w:spacing w:val="-6"/>
          <w:szCs w:val="22"/>
        </w:rPr>
        <w:t>29</w:t>
      </w:r>
      <w:r>
        <w:rPr>
          <w:rFonts w:hint="eastAsia"/>
          <w:spacing w:val="-6"/>
          <w:szCs w:val="22"/>
        </w:rPr>
        <w:t>°</w:t>
      </w:r>
      <w:r>
        <w:rPr>
          <w:spacing w:val="-6"/>
          <w:szCs w:val="22"/>
        </w:rPr>
        <w:t>11</w:t>
      </w:r>
      <w:r>
        <w:rPr>
          <w:rFonts w:hint="eastAsia"/>
          <w:spacing w:val="-6"/>
          <w:szCs w:val="22"/>
        </w:rPr>
        <w:t>’之间。东连余干、东乡、南接临川、丰城、西靠高安、奉新、靖安，北与永修、都昌、鄱阳三县共鄱阳湖，南北最大纵距约</w:t>
      </w:r>
      <w:r>
        <w:rPr>
          <w:spacing w:val="-6"/>
          <w:szCs w:val="22"/>
        </w:rPr>
        <w:t>121</w:t>
      </w:r>
      <w:r>
        <w:rPr>
          <w:rFonts w:hint="eastAsia"/>
          <w:spacing w:val="-6"/>
          <w:szCs w:val="22"/>
        </w:rPr>
        <w:t>公里，东西最大横距约</w:t>
      </w:r>
      <w:r>
        <w:rPr>
          <w:spacing w:val="-6"/>
          <w:szCs w:val="22"/>
        </w:rPr>
        <w:t>108</w:t>
      </w:r>
      <w:r>
        <w:rPr>
          <w:rFonts w:hint="eastAsia"/>
          <w:spacing w:val="-6"/>
          <w:szCs w:val="22"/>
        </w:rPr>
        <w:t>公里，总面积约</w:t>
      </w:r>
      <w:r>
        <w:rPr>
          <w:spacing w:val="-6"/>
          <w:szCs w:val="22"/>
        </w:rPr>
        <w:t>7402</w:t>
      </w:r>
      <w:r>
        <w:rPr>
          <w:rFonts w:hint="eastAsia"/>
          <w:spacing w:val="-6"/>
          <w:szCs w:val="22"/>
        </w:rPr>
        <w:t>平方公里。</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、地形、地貌、地质</w:t>
      </w:r>
    </w:p>
    <w:p w:rsidR="00B04AE3" w:rsidRDefault="00B04AE3">
      <w:pPr>
        <w:pStyle w:val="BodyText"/>
        <w:spacing w:before="20" w:line="360" w:lineRule="auto"/>
        <w:ind w:left="334" w:right="334" w:firstLine="482"/>
        <w:jc w:val="both"/>
        <w:rPr>
          <w:spacing w:val="-6"/>
          <w:szCs w:val="22"/>
        </w:rPr>
      </w:pPr>
      <w:r>
        <w:rPr>
          <w:rFonts w:hint="eastAsia"/>
          <w:spacing w:val="-6"/>
          <w:szCs w:val="22"/>
        </w:rPr>
        <w:t>南昌市位于江南台隆构造单元的丰城</w:t>
      </w:r>
      <w:r>
        <w:rPr>
          <w:spacing w:val="-6"/>
          <w:szCs w:val="22"/>
        </w:rPr>
        <w:t>——</w:t>
      </w:r>
      <w:r>
        <w:rPr>
          <w:rFonts w:hint="eastAsia"/>
          <w:spacing w:val="-6"/>
          <w:szCs w:val="22"/>
        </w:rPr>
        <w:t>乐平凹陷之中，构造上主要受赣江大断裂的影响，区内河谷阶地属内迭或上送类型。根据钻孔分析，未揭露明显的断裂构造。</w:t>
      </w:r>
    </w:p>
    <w:p w:rsidR="00B04AE3" w:rsidRDefault="00B04AE3">
      <w:pPr>
        <w:pStyle w:val="BodyText"/>
        <w:spacing w:before="20" w:line="360" w:lineRule="auto"/>
        <w:ind w:left="334" w:right="334" w:firstLine="482"/>
        <w:jc w:val="both"/>
        <w:rPr>
          <w:spacing w:val="-6"/>
          <w:szCs w:val="22"/>
        </w:rPr>
      </w:pPr>
      <w:r>
        <w:rPr>
          <w:rFonts w:hint="eastAsia"/>
          <w:spacing w:val="-6"/>
          <w:szCs w:val="22"/>
        </w:rPr>
        <w:t>区内第四系地层分布最广，岩性以洪积红土、砾石层及粗沙、砥石层为主，多分布于赣、抚、锦河两侧和滨湖地带。前震旦系地层断续分布于石岗、西山至樵舍。西部的欧阳村至华源一带，则有雪峰期喜山期岩浆岩出露。在白虎岭、柏岗等小褶皱发育地区，老土层隆起第三系、白垩系、三叠系、二叠系、石炭系、泥盆系等地层均有另星分布出露，岩性以炭岩、砂岩为代表。以上土层给全市地貌以深刻影响，形成西部山地逶迤，中部丘岗起伏，东部赣江、抚河下游平原绵延。区内第四纪发育，下伏基岩为第三纪红岩系。第四纪厚度约</w:t>
      </w:r>
      <w:r>
        <w:rPr>
          <w:spacing w:val="-6"/>
          <w:szCs w:val="22"/>
        </w:rPr>
        <w:t>15-37m</w:t>
      </w:r>
      <w:r>
        <w:rPr>
          <w:rFonts w:hint="eastAsia"/>
          <w:spacing w:val="-6"/>
          <w:szCs w:val="22"/>
        </w:rPr>
        <w:t>，基岩顶面自赣江上游向下游倾斜，第四系岩性变化复杂，总的规律是颗粒分布上细下粗，分属于粘性土和砂类土两大类。</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、气候、气象</w:t>
      </w:r>
    </w:p>
    <w:p w:rsidR="00B04AE3" w:rsidRDefault="00B04AE3">
      <w:pPr>
        <w:pStyle w:val="BodyText"/>
        <w:spacing w:before="20" w:line="360" w:lineRule="auto"/>
        <w:ind w:left="334" w:right="334" w:firstLine="482"/>
        <w:jc w:val="both"/>
        <w:rPr>
          <w:spacing w:val="-6"/>
          <w:szCs w:val="22"/>
        </w:rPr>
      </w:pPr>
      <w:r>
        <w:rPr>
          <w:rFonts w:hint="eastAsia"/>
          <w:spacing w:val="-6"/>
          <w:szCs w:val="22"/>
        </w:rPr>
        <w:t>南昌市气侯湿润温和，属亚热带季风区，雨量充沛，四季分明，春秋短，夏季长。根据南昌市气象站近二十年气象统计结果显示，年平均气温</w:t>
      </w:r>
      <w:r>
        <w:rPr>
          <w:spacing w:val="-6"/>
          <w:szCs w:val="22"/>
        </w:rPr>
        <w:t>18.2</w:t>
      </w:r>
      <w:r>
        <w:rPr>
          <w:rFonts w:hint="eastAsia"/>
          <w:spacing w:val="-6"/>
          <w:szCs w:val="22"/>
        </w:rPr>
        <w:t>℃，极端最高气温</w:t>
      </w:r>
      <w:r>
        <w:rPr>
          <w:spacing w:val="-6"/>
          <w:szCs w:val="22"/>
        </w:rPr>
        <w:t>40.6</w:t>
      </w:r>
      <w:r>
        <w:rPr>
          <w:rFonts w:hint="eastAsia"/>
          <w:spacing w:val="-6"/>
          <w:szCs w:val="22"/>
        </w:rPr>
        <w:t>℃，极端最低气温</w:t>
      </w:r>
      <w:r>
        <w:rPr>
          <w:spacing w:val="-6"/>
          <w:szCs w:val="22"/>
        </w:rPr>
        <w:t>-9.7</w:t>
      </w:r>
      <w:r>
        <w:rPr>
          <w:rFonts w:hint="eastAsia"/>
          <w:spacing w:val="-6"/>
          <w:szCs w:val="22"/>
        </w:rPr>
        <w:t>℃。年平均降水量为</w:t>
      </w:r>
      <w:r>
        <w:rPr>
          <w:spacing w:val="-6"/>
          <w:szCs w:val="22"/>
        </w:rPr>
        <w:t>1613.9mm</w:t>
      </w:r>
      <w:r>
        <w:rPr>
          <w:rFonts w:hint="eastAsia"/>
          <w:spacing w:val="-6"/>
          <w:szCs w:val="22"/>
        </w:rPr>
        <w:t>，降水日为</w:t>
      </w:r>
      <w:r>
        <w:rPr>
          <w:spacing w:val="-6"/>
          <w:szCs w:val="22"/>
        </w:rPr>
        <w:t>144</w:t>
      </w:r>
      <w:r>
        <w:rPr>
          <w:rFonts w:hint="eastAsia"/>
          <w:spacing w:val="-6"/>
          <w:szCs w:val="22"/>
        </w:rPr>
        <w:t>天，年暴雨日</w:t>
      </w:r>
      <w:r>
        <w:rPr>
          <w:spacing w:val="-6"/>
          <w:szCs w:val="22"/>
        </w:rPr>
        <w:t>58</w:t>
      </w:r>
      <w:r>
        <w:rPr>
          <w:rFonts w:hint="eastAsia"/>
          <w:spacing w:val="-6"/>
          <w:szCs w:val="22"/>
        </w:rPr>
        <w:t>天，年平均相对湿度为</w:t>
      </w:r>
      <w:r>
        <w:rPr>
          <w:spacing w:val="-6"/>
          <w:szCs w:val="22"/>
        </w:rPr>
        <w:t>78%</w:t>
      </w:r>
      <w:r>
        <w:rPr>
          <w:rFonts w:hint="eastAsia"/>
          <w:spacing w:val="-6"/>
          <w:szCs w:val="22"/>
        </w:rPr>
        <w:t>。年日照时间</w:t>
      </w:r>
      <w:r>
        <w:rPr>
          <w:spacing w:val="-6"/>
          <w:szCs w:val="22"/>
        </w:rPr>
        <w:t>1850.5</w:t>
      </w:r>
      <w:r>
        <w:rPr>
          <w:rFonts w:hint="eastAsia"/>
          <w:spacing w:val="-6"/>
          <w:szCs w:val="22"/>
        </w:rPr>
        <w:t>小时，日照率为</w:t>
      </w:r>
      <w:r>
        <w:rPr>
          <w:spacing w:val="-6"/>
          <w:szCs w:val="22"/>
        </w:rPr>
        <w:t>42%</w:t>
      </w:r>
      <w:r>
        <w:rPr>
          <w:rFonts w:hint="eastAsia"/>
          <w:spacing w:val="-6"/>
          <w:szCs w:val="22"/>
        </w:rPr>
        <w:t>。年平均风速</w:t>
      </w:r>
      <w:r>
        <w:rPr>
          <w:spacing w:val="-6"/>
          <w:szCs w:val="22"/>
        </w:rPr>
        <w:t>2.0m/s</w:t>
      </w:r>
      <w:r>
        <w:rPr>
          <w:rFonts w:hint="eastAsia"/>
          <w:spacing w:val="-6"/>
          <w:szCs w:val="22"/>
        </w:rPr>
        <w:t>，年最大风向为东北</w:t>
      </w:r>
      <w:r>
        <w:rPr>
          <w:spacing w:val="-6"/>
          <w:szCs w:val="22"/>
          <w:lang w:val="en-US"/>
        </w:rPr>
        <w:t xml:space="preserve"> </w:t>
      </w:r>
      <w:r>
        <w:rPr>
          <w:rFonts w:hint="eastAsia"/>
          <w:spacing w:val="-6"/>
          <w:szCs w:val="22"/>
        </w:rPr>
        <w:t>偏北风，夏季盛行西南风，冬季主导风向是北风或东北风。年无霜期</w:t>
      </w:r>
      <w:r>
        <w:rPr>
          <w:spacing w:val="-6"/>
          <w:szCs w:val="22"/>
        </w:rPr>
        <w:t>291</w:t>
      </w:r>
      <w:r>
        <w:rPr>
          <w:rFonts w:hint="eastAsia"/>
          <w:spacing w:val="-6"/>
          <w:szCs w:val="22"/>
        </w:rPr>
        <w:t>天。</w:t>
      </w:r>
    </w:p>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、地表水</w:t>
      </w:r>
    </w:p>
    <w:p w:rsidR="00B04AE3" w:rsidRDefault="00B04AE3">
      <w:pPr>
        <w:pStyle w:val="BodyText"/>
        <w:spacing w:before="20" w:line="360" w:lineRule="auto"/>
        <w:ind w:left="334" w:right="334" w:firstLine="482"/>
        <w:jc w:val="both"/>
        <w:rPr>
          <w:spacing w:val="-6"/>
          <w:szCs w:val="22"/>
        </w:rPr>
      </w:pPr>
      <w:r>
        <w:rPr>
          <w:rFonts w:hint="eastAsia"/>
          <w:spacing w:val="-6"/>
          <w:szCs w:val="22"/>
        </w:rPr>
        <w:t>赣江是江西省境内第一大河流。它是由发源于赣闽交界的武夷山黄竹岭的贡江和发源于大余县聂都水，并由章江在赣州市汇合而成。它自南向北贯穿全省，干流全长</w:t>
      </w:r>
      <w:r>
        <w:rPr>
          <w:spacing w:val="-6"/>
          <w:szCs w:val="22"/>
        </w:rPr>
        <w:t>439km</w:t>
      </w:r>
      <w:r>
        <w:rPr>
          <w:rFonts w:hint="eastAsia"/>
          <w:spacing w:val="-6"/>
          <w:szCs w:val="22"/>
        </w:rPr>
        <w:t>。南昌位于赣江的下游。赣江在新八一桥以下进入尾闾地区，它首先被裘家洲、扬子洲分成东、西两河。东河在蛟溪头又分成南支和中支两汊，南支绕过南昌市区向东北流经</w:t>
      </w:r>
      <w:r>
        <w:rPr>
          <w:spacing w:val="-6"/>
          <w:szCs w:val="22"/>
        </w:rPr>
        <w:t>45</w:t>
      </w:r>
      <w:r>
        <w:rPr>
          <w:rFonts w:hint="eastAsia"/>
          <w:spacing w:val="-6"/>
          <w:szCs w:val="22"/>
        </w:rPr>
        <w:t>公里入鄱阳湖，中支流经</w:t>
      </w:r>
      <w:r>
        <w:rPr>
          <w:spacing w:val="-6"/>
          <w:szCs w:val="22"/>
        </w:rPr>
        <w:t>30km</w:t>
      </w:r>
      <w:r>
        <w:rPr>
          <w:rFonts w:hint="eastAsia"/>
          <w:spacing w:val="-6"/>
          <w:szCs w:val="22"/>
        </w:rPr>
        <w:t>在朱港入鄱阳湖。西河在芦洲头分为主支和北支两汊。北支经下堡闵家再分成官港河和沙叉河两汊，在朱港农场入鄱阳湖。主支流在吴城镇与修水汇合后出诸溪口入鄱阳湖。</w:t>
      </w:r>
    </w:p>
    <w:p w:rsidR="00B04AE3" w:rsidRDefault="00B04AE3">
      <w:pPr>
        <w:pStyle w:val="BodyText"/>
        <w:spacing w:before="20" w:line="360" w:lineRule="auto"/>
        <w:ind w:left="334" w:right="334" w:firstLine="482"/>
        <w:jc w:val="both"/>
        <w:rPr>
          <w:spacing w:val="-6"/>
          <w:szCs w:val="22"/>
        </w:rPr>
      </w:pPr>
      <w:r>
        <w:rPr>
          <w:rFonts w:hint="eastAsia"/>
          <w:spacing w:val="-6"/>
          <w:szCs w:val="22"/>
        </w:rPr>
        <w:t>赣江最大日均流量为</w:t>
      </w:r>
      <w:r>
        <w:rPr>
          <w:spacing w:val="-6"/>
          <w:szCs w:val="22"/>
        </w:rPr>
        <w:t>20900m3/s(1962</w:t>
      </w:r>
      <w:r>
        <w:rPr>
          <w:rFonts w:hint="eastAsia"/>
          <w:spacing w:val="-6"/>
          <w:szCs w:val="22"/>
        </w:rPr>
        <w:t>年</w:t>
      </w:r>
      <w:r>
        <w:rPr>
          <w:spacing w:val="-6"/>
          <w:szCs w:val="22"/>
        </w:rPr>
        <w:t>6</w:t>
      </w:r>
      <w:r>
        <w:rPr>
          <w:rFonts w:hint="eastAsia"/>
          <w:spacing w:val="-6"/>
          <w:szCs w:val="22"/>
        </w:rPr>
        <w:t>月</w:t>
      </w:r>
      <w:r>
        <w:rPr>
          <w:spacing w:val="-6"/>
          <w:szCs w:val="22"/>
        </w:rPr>
        <w:t>20</w:t>
      </w:r>
      <w:r>
        <w:rPr>
          <w:rFonts w:hint="eastAsia"/>
          <w:spacing w:val="-6"/>
          <w:szCs w:val="22"/>
        </w:rPr>
        <w:t>日</w:t>
      </w:r>
      <w:r>
        <w:rPr>
          <w:spacing w:val="-6"/>
          <w:szCs w:val="22"/>
        </w:rPr>
        <w:t>)</w:t>
      </w:r>
      <w:r>
        <w:rPr>
          <w:rFonts w:hint="eastAsia"/>
          <w:spacing w:val="-6"/>
          <w:szCs w:val="22"/>
        </w:rPr>
        <w:t>，最小日均流量</w:t>
      </w:r>
      <w:r>
        <w:rPr>
          <w:spacing w:val="-6"/>
          <w:szCs w:val="22"/>
        </w:rPr>
        <w:t>172m3/s(1963</w:t>
      </w:r>
      <w:r>
        <w:rPr>
          <w:rFonts w:hint="eastAsia"/>
          <w:spacing w:val="-6"/>
          <w:szCs w:val="22"/>
        </w:rPr>
        <w:t>年</w:t>
      </w:r>
      <w:r>
        <w:rPr>
          <w:spacing w:val="-6"/>
          <w:szCs w:val="22"/>
        </w:rPr>
        <w:t>11</w:t>
      </w:r>
      <w:r>
        <w:rPr>
          <w:rFonts w:hint="eastAsia"/>
          <w:spacing w:val="-6"/>
          <w:szCs w:val="22"/>
        </w:rPr>
        <w:t>月</w:t>
      </w:r>
      <w:r>
        <w:rPr>
          <w:spacing w:val="-6"/>
          <w:szCs w:val="22"/>
        </w:rPr>
        <w:t>30</w:t>
      </w:r>
      <w:r>
        <w:rPr>
          <w:rFonts w:hint="eastAsia"/>
          <w:spacing w:val="-6"/>
          <w:szCs w:val="22"/>
        </w:rPr>
        <w:t>日</w:t>
      </w:r>
      <w:r>
        <w:rPr>
          <w:spacing w:val="-6"/>
          <w:szCs w:val="22"/>
        </w:rPr>
        <w:t>)</w:t>
      </w:r>
      <w:r>
        <w:rPr>
          <w:rFonts w:hint="eastAsia"/>
          <w:spacing w:val="-6"/>
          <w:szCs w:val="22"/>
        </w:rPr>
        <w:t>，四十年平均流量为</w:t>
      </w:r>
      <w:r>
        <w:rPr>
          <w:spacing w:val="-6"/>
          <w:szCs w:val="22"/>
        </w:rPr>
        <w:t>2100m3/s</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项目废水经白水湖污水处理厂处理达标后排入赣江北支，白水湖污水处理厂采用“粗细格栅</w:t>
      </w:r>
      <w:r>
        <w:rPr>
          <w:spacing w:val="-6"/>
          <w:szCs w:val="22"/>
        </w:rPr>
        <w:t>+</w:t>
      </w:r>
      <w:r>
        <w:rPr>
          <w:rFonts w:hint="eastAsia"/>
          <w:spacing w:val="-6"/>
          <w:szCs w:val="22"/>
        </w:rPr>
        <w:t>曝气沉砂池</w:t>
      </w:r>
      <w:r>
        <w:rPr>
          <w:spacing w:val="-6"/>
          <w:szCs w:val="22"/>
        </w:rPr>
        <w:t>+</w:t>
      </w:r>
      <w:r>
        <w:rPr>
          <w:rFonts w:hint="eastAsia"/>
          <w:spacing w:val="-6"/>
          <w:szCs w:val="22"/>
        </w:rPr>
        <w:t>改良</w:t>
      </w:r>
      <w:r>
        <w:rPr>
          <w:spacing w:val="-6"/>
          <w:szCs w:val="22"/>
        </w:rPr>
        <w:t>SBR</w:t>
      </w:r>
      <w:r>
        <w:rPr>
          <w:rFonts w:hint="eastAsia"/>
          <w:spacing w:val="-6"/>
          <w:szCs w:val="22"/>
        </w:rPr>
        <w:t>反应池</w:t>
      </w:r>
      <w:r>
        <w:rPr>
          <w:spacing w:val="-6"/>
          <w:szCs w:val="22"/>
        </w:rPr>
        <w:t>+</w:t>
      </w:r>
      <w:r>
        <w:rPr>
          <w:rFonts w:hint="eastAsia"/>
          <w:spacing w:val="-6"/>
          <w:szCs w:val="22"/>
        </w:rPr>
        <w:t>高密度沉淀池</w:t>
      </w:r>
      <w:r>
        <w:rPr>
          <w:spacing w:val="-6"/>
          <w:szCs w:val="22"/>
        </w:rPr>
        <w:t>+</w:t>
      </w:r>
      <w:r>
        <w:rPr>
          <w:rFonts w:hint="eastAsia"/>
          <w:spacing w:val="-6"/>
          <w:szCs w:val="22"/>
        </w:rPr>
        <w:t>紫外线消毒”工艺，白水湖污水处理厂总规模为</w:t>
      </w:r>
      <w:r>
        <w:rPr>
          <w:spacing w:val="-6"/>
          <w:szCs w:val="22"/>
        </w:rPr>
        <w:t>20</w:t>
      </w:r>
      <w:r>
        <w:rPr>
          <w:rFonts w:hint="eastAsia"/>
          <w:spacing w:val="-6"/>
          <w:szCs w:val="22"/>
        </w:rPr>
        <w:t>万</w:t>
      </w:r>
      <w:r>
        <w:rPr>
          <w:spacing w:val="-6"/>
          <w:szCs w:val="22"/>
        </w:rPr>
        <w:t>m3/d</w:t>
      </w:r>
      <w:r>
        <w:rPr>
          <w:rFonts w:hint="eastAsia"/>
          <w:spacing w:val="-6"/>
          <w:szCs w:val="22"/>
        </w:rPr>
        <w:t>，目前一期</w:t>
      </w:r>
      <w:r>
        <w:rPr>
          <w:spacing w:val="-6"/>
          <w:szCs w:val="22"/>
        </w:rPr>
        <w:t>5</w:t>
      </w:r>
      <w:r>
        <w:rPr>
          <w:rFonts w:hint="eastAsia"/>
          <w:spacing w:val="-6"/>
          <w:szCs w:val="22"/>
        </w:rPr>
        <w:t>万</w:t>
      </w:r>
      <w:r>
        <w:rPr>
          <w:spacing w:val="-6"/>
          <w:szCs w:val="22"/>
        </w:rPr>
        <w:t>m3/d</w:t>
      </w:r>
      <w:r>
        <w:rPr>
          <w:rFonts w:hint="eastAsia"/>
          <w:spacing w:val="-6"/>
          <w:szCs w:val="22"/>
        </w:rPr>
        <w:t>已建成运行。</w:t>
      </w:r>
    </w:p>
    <w:p w:rsidR="00B04AE3" w:rsidRDefault="00B04AE3">
      <w:pPr>
        <w:pStyle w:val="BodyText"/>
        <w:spacing w:before="20" w:line="360" w:lineRule="auto"/>
        <w:ind w:left="334" w:right="334" w:firstLine="482"/>
        <w:jc w:val="both"/>
        <w:rPr>
          <w:spacing w:val="-6"/>
          <w:szCs w:val="22"/>
        </w:rPr>
      </w:pPr>
      <w:r>
        <w:rPr>
          <w:rFonts w:hint="eastAsia"/>
          <w:spacing w:val="-6"/>
          <w:szCs w:val="22"/>
        </w:rPr>
        <w:t>白水湖水系主流蛟桥水发源于梅岭山脉的法水岭，经枫景、大港、蛟桥，至栗家山后汇入白水湖。</w:t>
      </w:r>
      <w:r>
        <w:rPr>
          <w:spacing w:val="-6"/>
          <w:szCs w:val="22"/>
        </w:rPr>
        <w:t>1986</w:t>
      </w:r>
      <w:r>
        <w:rPr>
          <w:rFonts w:hint="eastAsia"/>
          <w:spacing w:val="-6"/>
          <w:szCs w:val="22"/>
        </w:rPr>
        <w:t>年当地沿白水湖南北两岸的山脚自西向东开挖导排渠，将蛟桥水等来水导排入赣江西河。沿白水湖南岸的为梅岭山系泄洪沟渠</w:t>
      </w:r>
      <w:r>
        <w:rPr>
          <w:spacing w:val="-6"/>
          <w:szCs w:val="22"/>
        </w:rPr>
        <w:t>——</w:t>
      </w:r>
      <w:r>
        <w:rPr>
          <w:rFonts w:hint="eastAsia"/>
          <w:spacing w:val="-6"/>
          <w:szCs w:val="22"/>
        </w:rPr>
        <w:t>幸福前港（又名前港河），在吴家山附近将蛟桥水拦断引入导排渠，在鸡笼山与双港之间注入赣江西河；吴家山以下幸福前港全长</w:t>
      </w:r>
      <w:r>
        <w:rPr>
          <w:spacing w:val="-6"/>
          <w:szCs w:val="22"/>
        </w:rPr>
        <w:t>3.5km</w:t>
      </w:r>
      <w:r>
        <w:rPr>
          <w:rFonts w:hint="eastAsia"/>
          <w:spacing w:val="-6"/>
          <w:szCs w:val="22"/>
        </w:rPr>
        <w:t>，集水面积</w:t>
      </w:r>
      <w:r>
        <w:rPr>
          <w:spacing w:val="-6"/>
          <w:szCs w:val="22"/>
        </w:rPr>
        <w:t>24.11km2</w:t>
      </w:r>
      <w:r>
        <w:rPr>
          <w:rFonts w:hint="eastAsia"/>
          <w:spacing w:val="-6"/>
          <w:szCs w:val="22"/>
        </w:rPr>
        <w:t>。沿白水湖北岸的为盘龙山泄洪沟渠</w:t>
      </w:r>
      <w:r>
        <w:rPr>
          <w:spacing w:val="-6"/>
          <w:szCs w:val="22"/>
        </w:rPr>
        <w:t>—</w:t>
      </w:r>
      <w:r>
        <w:rPr>
          <w:rFonts w:hint="eastAsia"/>
          <w:spacing w:val="-6"/>
          <w:szCs w:val="22"/>
        </w:rPr>
        <w:t>幸福后港（又名后港河），起于北山林场拦水坝，经刘家、邹家，在河下村附近注入赣江西河；北山林场以下幸福后港全长</w:t>
      </w:r>
      <w:r>
        <w:rPr>
          <w:spacing w:val="-6"/>
          <w:szCs w:val="22"/>
        </w:rPr>
        <w:t>3.2km</w:t>
      </w:r>
      <w:r>
        <w:rPr>
          <w:rFonts w:hint="eastAsia"/>
          <w:spacing w:val="-6"/>
          <w:szCs w:val="22"/>
        </w:rPr>
        <w:t>，集水面积</w:t>
      </w:r>
      <w:r>
        <w:rPr>
          <w:spacing w:val="-6"/>
          <w:szCs w:val="22"/>
        </w:rPr>
        <w:t>9.17km2</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spacing w:val="-6"/>
          <w:szCs w:val="22"/>
        </w:rPr>
        <w:t>5</w:t>
      </w:r>
      <w:r>
        <w:rPr>
          <w:rFonts w:hint="eastAsia"/>
          <w:spacing w:val="-6"/>
          <w:szCs w:val="22"/>
        </w:rPr>
        <w:t>、自然资源</w:t>
      </w:r>
    </w:p>
    <w:p w:rsidR="00B04AE3" w:rsidRDefault="00B04AE3">
      <w:pPr>
        <w:pStyle w:val="BodyText"/>
        <w:spacing w:before="20" w:line="360" w:lineRule="auto"/>
        <w:ind w:left="334" w:right="334" w:firstLine="482"/>
        <w:jc w:val="both"/>
        <w:rPr>
          <w:spacing w:val="-6"/>
          <w:szCs w:val="22"/>
        </w:rPr>
      </w:pPr>
      <w:r>
        <w:rPr>
          <w:rFonts w:hint="eastAsia"/>
          <w:spacing w:val="-6"/>
          <w:szCs w:val="22"/>
        </w:rPr>
        <w:t>南昌市主要树木有</w:t>
      </w:r>
      <w:r>
        <w:rPr>
          <w:spacing w:val="-6"/>
          <w:szCs w:val="22"/>
        </w:rPr>
        <w:t>413</w:t>
      </w:r>
      <w:r>
        <w:rPr>
          <w:rFonts w:hint="eastAsia"/>
          <w:spacing w:val="-6"/>
          <w:szCs w:val="22"/>
        </w:rPr>
        <w:t>种，常见树种为松、杉、樟等。被称为活化石的银杏、水杉和被誉为水果之王的猕猴桃也有零星分布。用材林、薪炭林居多，分别占有林地面积的</w:t>
      </w:r>
      <w:r>
        <w:rPr>
          <w:spacing w:val="-6"/>
          <w:szCs w:val="22"/>
        </w:rPr>
        <w:t>39%</w:t>
      </w:r>
      <w:r>
        <w:rPr>
          <w:rFonts w:hint="eastAsia"/>
          <w:spacing w:val="-6"/>
          <w:szCs w:val="22"/>
        </w:rPr>
        <w:t>和</w:t>
      </w:r>
      <w:r>
        <w:rPr>
          <w:spacing w:val="-6"/>
          <w:szCs w:val="22"/>
        </w:rPr>
        <w:t>31.8%</w:t>
      </w:r>
      <w:r>
        <w:rPr>
          <w:rFonts w:hint="eastAsia"/>
          <w:spacing w:val="-6"/>
          <w:szCs w:val="22"/>
        </w:rPr>
        <w:t>；防护林、特用林比重偏小，分别占有林地面积的</w:t>
      </w:r>
      <w:r>
        <w:rPr>
          <w:spacing w:val="-6"/>
          <w:szCs w:val="22"/>
        </w:rPr>
        <w:t>20.9%</w:t>
      </w:r>
      <w:r>
        <w:rPr>
          <w:rFonts w:hint="eastAsia"/>
          <w:spacing w:val="-6"/>
          <w:szCs w:val="22"/>
        </w:rPr>
        <w:t>和</w:t>
      </w:r>
      <w:r>
        <w:rPr>
          <w:spacing w:val="-6"/>
          <w:szCs w:val="22"/>
        </w:rPr>
        <w:t>4.5%</w:t>
      </w:r>
      <w:r>
        <w:rPr>
          <w:rFonts w:hint="eastAsia"/>
          <w:spacing w:val="-6"/>
          <w:szCs w:val="22"/>
        </w:rPr>
        <w:t>。野生动物有</w:t>
      </w:r>
      <w:r>
        <w:rPr>
          <w:spacing w:val="-6"/>
          <w:szCs w:val="22"/>
        </w:rPr>
        <w:t>480</w:t>
      </w:r>
      <w:r>
        <w:rPr>
          <w:rFonts w:hint="eastAsia"/>
          <w:spacing w:val="-6"/>
          <w:szCs w:val="22"/>
        </w:rPr>
        <w:t>多种，其中国家级保护鸟类</w:t>
      </w:r>
      <w:r>
        <w:rPr>
          <w:spacing w:val="-6"/>
          <w:szCs w:val="22"/>
        </w:rPr>
        <w:t>20</w:t>
      </w:r>
      <w:r>
        <w:rPr>
          <w:rFonts w:hint="eastAsia"/>
          <w:spacing w:val="-6"/>
          <w:szCs w:val="22"/>
        </w:rPr>
        <w:t>多种，珍稀鸟类</w:t>
      </w:r>
      <w:r>
        <w:rPr>
          <w:spacing w:val="-6"/>
          <w:szCs w:val="22"/>
        </w:rPr>
        <w:t>12</w:t>
      </w:r>
      <w:r>
        <w:rPr>
          <w:rFonts w:hint="eastAsia"/>
          <w:spacing w:val="-6"/>
          <w:szCs w:val="22"/>
        </w:rPr>
        <w:t>种。</w:t>
      </w:r>
    </w:p>
    <w:p w:rsidR="00B04AE3" w:rsidRDefault="00B04AE3">
      <w:pPr>
        <w:pStyle w:val="BodyText"/>
        <w:spacing w:before="20" w:line="360" w:lineRule="auto"/>
        <w:ind w:left="334" w:right="334" w:firstLine="482"/>
        <w:jc w:val="both"/>
        <w:rPr>
          <w:spacing w:val="-6"/>
          <w:szCs w:val="22"/>
        </w:rPr>
      </w:pPr>
      <w:r>
        <w:rPr>
          <w:rFonts w:hint="eastAsia"/>
          <w:spacing w:val="-6"/>
          <w:szCs w:val="22"/>
        </w:rPr>
        <w:t>耕地面积</w:t>
      </w:r>
      <w:r>
        <w:rPr>
          <w:spacing w:val="-6"/>
          <w:szCs w:val="22"/>
        </w:rPr>
        <w:t>21.04</w:t>
      </w:r>
      <w:r>
        <w:rPr>
          <w:rFonts w:hint="eastAsia"/>
          <w:spacing w:val="-6"/>
          <w:szCs w:val="22"/>
        </w:rPr>
        <w:t>万公顷。其中有效灌溉面积</w:t>
      </w:r>
      <w:r>
        <w:rPr>
          <w:spacing w:val="-6"/>
          <w:szCs w:val="22"/>
        </w:rPr>
        <w:t>18.98</w:t>
      </w:r>
      <w:r>
        <w:rPr>
          <w:rFonts w:hint="eastAsia"/>
          <w:spacing w:val="-6"/>
          <w:szCs w:val="22"/>
        </w:rPr>
        <w:t>万公顷，占</w:t>
      </w:r>
      <w:r>
        <w:rPr>
          <w:spacing w:val="-6"/>
          <w:szCs w:val="22"/>
        </w:rPr>
        <w:t>90.2%</w:t>
      </w:r>
      <w:r>
        <w:rPr>
          <w:rFonts w:hint="eastAsia"/>
          <w:spacing w:val="-6"/>
          <w:szCs w:val="22"/>
        </w:rPr>
        <w:t>。在有效灌溉面积中，旱涝保收面积</w:t>
      </w:r>
      <w:r>
        <w:rPr>
          <w:spacing w:val="-6"/>
          <w:szCs w:val="22"/>
        </w:rPr>
        <w:t>15.57</w:t>
      </w:r>
      <w:r>
        <w:rPr>
          <w:rFonts w:hint="eastAsia"/>
          <w:spacing w:val="-6"/>
          <w:szCs w:val="22"/>
        </w:rPr>
        <w:t>万公顷，占</w:t>
      </w:r>
      <w:r>
        <w:rPr>
          <w:spacing w:val="-6"/>
          <w:szCs w:val="22"/>
        </w:rPr>
        <w:t>82.0%</w:t>
      </w:r>
      <w:r>
        <w:rPr>
          <w:rFonts w:hint="eastAsia"/>
          <w:spacing w:val="-6"/>
          <w:szCs w:val="22"/>
        </w:rPr>
        <w:t>。林地面积</w:t>
      </w:r>
      <w:r>
        <w:rPr>
          <w:spacing w:val="-6"/>
          <w:szCs w:val="22"/>
        </w:rPr>
        <w:t>13.2</w:t>
      </w:r>
      <w:r>
        <w:rPr>
          <w:rFonts w:hint="eastAsia"/>
          <w:spacing w:val="-6"/>
          <w:szCs w:val="22"/>
        </w:rPr>
        <w:t>万公顷，森林覆盖率</w:t>
      </w:r>
      <w:r>
        <w:rPr>
          <w:spacing w:val="-6"/>
          <w:szCs w:val="22"/>
        </w:rPr>
        <w:t>17.1%</w:t>
      </w:r>
      <w:r>
        <w:rPr>
          <w:rFonts w:hint="eastAsia"/>
          <w:spacing w:val="-6"/>
          <w:szCs w:val="22"/>
        </w:rPr>
        <w:t>，活立木蓄积量</w:t>
      </w:r>
      <w:r>
        <w:rPr>
          <w:spacing w:val="-6"/>
          <w:szCs w:val="22"/>
        </w:rPr>
        <w:t>220</w:t>
      </w:r>
      <w:r>
        <w:rPr>
          <w:rFonts w:hint="eastAsia"/>
          <w:spacing w:val="-6"/>
          <w:szCs w:val="22"/>
        </w:rPr>
        <w:t>万立方米。野生动、植物资源品种繁多。</w:t>
      </w:r>
    </w:p>
    <w:p w:rsidR="00B04AE3" w:rsidRDefault="00B04AE3">
      <w:pPr>
        <w:pStyle w:val="BodyText"/>
        <w:spacing w:before="20" w:line="360" w:lineRule="auto"/>
        <w:ind w:left="334" w:right="334" w:firstLine="482"/>
        <w:jc w:val="both"/>
        <w:rPr>
          <w:spacing w:val="-6"/>
          <w:szCs w:val="22"/>
        </w:rPr>
      </w:pPr>
      <w:r>
        <w:rPr>
          <w:rFonts w:hint="eastAsia"/>
          <w:spacing w:val="-6"/>
          <w:szCs w:val="22"/>
        </w:rPr>
        <w:t>矿藏以非金属建材矿为主，兼有燃料、矿泉水等各类矿产</w:t>
      </w:r>
      <w:r>
        <w:rPr>
          <w:spacing w:val="-6"/>
          <w:szCs w:val="22"/>
        </w:rPr>
        <w:t>28</w:t>
      </w:r>
      <w:r>
        <w:rPr>
          <w:rFonts w:hint="eastAsia"/>
          <w:spacing w:val="-6"/>
          <w:szCs w:val="22"/>
        </w:rPr>
        <w:t>种。已发现矿点、矿化点</w:t>
      </w:r>
      <w:r>
        <w:rPr>
          <w:spacing w:val="-6"/>
          <w:szCs w:val="22"/>
        </w:rPr>
        <w:t>100</w:t>
      </w:r>
      <w:r>
        <w:rPr>
          <w:rFonts w:hint="eastAsia"/>
          <w:spacing w:val="-6"/>
          <w:szCs w:val="22"/>
        </w:rPr>
        <w:t>处，尤以建筑用砂、砖瓦粘土、饰面石材、石灰石和矿泉水等具有较好的开发前景。花岗岩、砂卵石储量巨大，开采历史悠久。</w:t>
      </w:r>
    </w:p>
    <w:p w:rsidR="00B04AE3" w:rsidRDefault="00B04AE3">
      <w:pPr>
        <w:pStyle w:val="Heading3"/>
        <w:numPr>
          <w:ilvl w:val="2"/>
          <w:numId w:val="41"/>
        </w:numPr>
        <w:tabs>
          <w:tab w:val="left" w:pos="1400"/>
        </w:tabs>
      </w:pPr>
      <w:bookmarkStart w:id="255" w:name="2.1.3_周边环境质量状况"/>
      <w:bookmarkStart w:id="256" w:name="_bookmark75"/>
      <w:bookmarkEnd w:id="255"/>
      <w:bookmarkEnd w:id="256"/>
      <w:r>
        <w:rPr>
          <w:rFonts w:hint="eastAsia"/>
        </w:rPr>
        <w:t>周边环境质量状况</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公司周边环境功能区划如下：</w:t>
      </w:r>
    </w:p>
    <w:p w:rsidR="00B04AE3" w:rsidRDefault="00B04AE3">
      <w:pPr>
        <w:pStyle w:val="BodyText"/>
        <w:spacing w:before="20" w:line="360" w:lineRule="auto"/>
        <w:ind w:left="334" w:right="334" w:firstLine="482"/>
        <w:jc w:val="both"/>
        <w:rPr>
          <w:spacing w:val="-6"/>
          <w:szCs w:val="22"/>
        </w:rPr>
      </w:pPr>
      <w:r>
        <w:rPr>
          <w:rFonts w:hint="eastAsia"/>
          <w:spacing w:val="-6"/>
          <w:szCs w:val="22"/>
        </w:rPr>
        <w:t>⑴环境空气</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根据《环境空气质量标准》（</w:t>
      </w:r>
      <w:r>
        <w:rPr>
          <w:spacing w:val="-6"/>
          <w:szCs w:val="22"/>
        </w:rPr>
        <w:t>GB3095-2012</w:t>
      </w:r>
      <w:r>
        <w:rPr>
          <w:rFonts w:hint="eastAsia"/>
          <w:spacing w:val="-6"/>
          <w:szCs w:val="22"/>
        </w:rPr>
        <w:t>）中的环境空气质量功能分类规定，公司所处区域为环境空气质量二类功能区，环境空气执行二级标准。</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⑵地表水</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根据《地表水环境质量标准》（</w:t>
      </w:r>
      <w:r>
        <w:rPr>
          <w:spacing w:val="-6"/>
          <w:szCs w:val="22"/>
        </w:rPr>
        <w:t>GB3838-2002</w:t>
      </w:r>
      <w:r>
        <w:rPr>
          <w:rFonts w:hint="eastAsia"/>
          <w:spacing w:val="-6"/>
          <w:szCs w:val="22"/>
        </w:rPr>
        <w:t>），公司所处区域应执行Ⅲ类标准。</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⑶地下水</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根据《地下水质量标准》（</w:t>
      </w:r>
      <w:r>
        <w:rPr>
          <w:spacing w:val="-6"/>
          <w:szCs w:val="22"/>
        </w:rPr>
        <w:t>GB/T14848</w:t>
      </w:r>
      <w:r>
        <w:rPr>
          <w:rFonts w:hint="eastAsia"/>
          <w:spacing w:val="-6"/>
          <w:szCs w:val="22"/>
        </w:rPr>
        <w:t>－</w:t>
      </w:r>
      <w:r>
        <w:rPr>
          <w:spacing w:val="-6"/>
          <w:szCs w:val="22"/>
        </w:rPr>
        <w:t>2017</w:t>
      </w:r>
      <w:r>
        <w:rPr>
          <w:rFonts w:hint="eastAsia"/>
          <w:spacing w:val="-6"/>
          <w:szCs w:val="22"/>
        </w:rPr>
        <w:t>）中地下水的分类要求，公司所处区域地下水应执行Ⅲ类标准。</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⑷声环境</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根据《声环境质量标准》（</w:t>
      </w:r>
      <w:r>
        <w:rPr>
          <w:spacing w:val="-6"/>
          <w:szCs w:val="22"/>
        </w:rPr>
        <w:t>GB3096-2008</w:t>
      </w:r>
      <w:r>
        <w:rPr>
          <w:rFonts w:hint="eastAsia"/>
          <w:spacing w:val="-6"/>
          <w:szCs w:val="22"/>
        </w:rPr>
        <w:t>）和《环境影响评价技术导则</w:t>
      </w:r>
      <w:r>
        <w:rPr>
          <w:spacing w:val="-6"/>
          <w:szCs w:val="22"/>
        </w:rPr>
        <w:tab/>
      </w:r>
      <w:r>
        <w:rPr>
          <w:rFonts w:hint="eastAsia"/>
          <w:spacing w:val="-6"/>
          <w:szCs w:val="22"/>
        </w:rPr>
        <w:t>声环境》（</w:t>
      </w:r>
      <w:r>
        <w:rPr>
          <w:spacing w:val="-6"/>
          <w:szCs w:val="22"/>
        </w:rPr>
        <w:t>HJ2.4-2009</w:t>
      </w:r>
      <w:r>
        <w:rPr>
          <w:rFonts w:hint="eastAsia"/>
          <w:spacing w:val="-6"/>
          <w:szCs w:val="22"/>
        </w:rPr>
        <w:t>）规定，公司所处区域应执行</w:t>
      </w:r>
      <w:r>
        <w:rPr>
          <w:spacing w:val="-6"/>
          <w:szCs w:val="22"/>
          <w:lang w:val="en-US"/>
        </w:rPr>
        <w:t>2</w:t>
      </w:r>
      <w:r>
        <w:rPr>
          <w:rFonts w:hint="eastAsia"/>
          <w:spacing w:val="-6"/>
          <w:szCs w:val="22"/>
        </w:rPr>
        <w:t>类声环境功能区标准。</w:t>
      </w:r>
    </w:p>
    <w:p w:rsidR="00B04AE3" w:rsidRDefault="00B04AE3">
      <w:pPr>
        <w:pStyle w:val="Heading2"/>
        <w:numPr>
          <w:ilvl w:val="1"/>
          <w:numId w:val="41"/>
        </w:numPr>
        <w:tabs>
          <w:tab w:val="left" w:pos="1360"/>
        </w:tabs>
        <w:spacing w:before="1"/>
        <w:ind w:hanging="559"/>
      </w:pPr>
      <w:bookmarkStart w:id="257" w:name="2.2_企业周边环境风险受体情况"/>
      <w:bookmarkStart w:id="258" w:name="_bookmark76"/>
      <w:bookmarkEnd w:id="257"/>
      <w:bookmarkEnd w:id="258"/>
      <w:r>
        <w:rPr>
          <w:rFonts w:hint="eastAsia"/>
        </w:rPr>
        <w:t>企业周边环境风险受体情况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环境风险受体分为大气环境风险受体、水环境风险受体和土壤环境风险受体。其中，大气环境风险受体包括居住、医疗卫生、文化教育、科研、行政办公、重要基础设施、企业等主要功能区域内的人群、保护单位、植被等，按人口数量进行指标量化；水环境风险受体主要包括饮用水水源保护区、自来水厂取水口、自然保护区、重要湿地、特殊生态系统、水产养殖区、鱼虾产卵场、天然渔场等区域，可按其脆弱性和敏感性进行级别划分；土壤环境风险受体主要为企业周边的基本农田保护区、居住商用地等区域。</w:t>
      </w:r>
    </w:p>
    <w:p w:rsidR="00B04AE3" w:rsidRDefault="00B04AE3">
      <w:pPr>
        <w:pStyle w:val="ListParagraph"/>
        <w:numPr>
          <w:ilvl w:val="0"/>
          <w:numId w:val="42"/>
        </w:numPr>
        <w:tabs>
          <w:tab w:val="left" w:pos="1881"/>
        </w:tabs>
        <w:spacing w:line="302" w:lineRule="exact"/>
        <w:rPr>
          <w:sz w:val="24"/>
        </w:rPr>
      </w:pPr>
      <w:r>
        <w:rPr>
          <w:rFonts w:hint="eastAsia"/>
          <w:sz w:val="24"/>
        </w:rPr>
        <w:t>大气环境风险受体</w:t>
      </w:r>
    </w:p>
    <w:p w:rsidR="00B04AE3" w:rsidRDefault="00B04AE3">
      <w:pPr>
        <w:spacing w:before="161" w:line="364" w:lineRule="auto"/>
        <w:ind w:left="2933" w:right="2477" w:hanging="1654"/>
        <w:rPr>
          <w:spacing w:val="-16"/>
          <w:sz w:val="24"/>
        </w:rPr>
      </w:pPr>
      <w:r>
        <w:rPr>
          <w:rFonts w:hint="eastAsia"/>
          <w:spacing w:val="-9"/>
          <w:sz w:val="24"/>
        </w:rPr>
        <w:t>公司厂址周围</w:t>
      </w:r>
      <w:r>
        <w:rPr>
          <w:spacing w:val="-9"/>
          <w:sz w:val="24"/>
          <w:lang w:val="en-US"/>
        </w:rPr>
        <w:t>2000m</w:t>
      </w:r>
      <w:r>
        <w:rPr>
          <w:rFonts w:hint="eastAsia"/>
          <w:spacing w:val="-5"/>
          <w:sz w:val="24"/>
        </w:rPr>
        <w:t>大气环境风险受体见表</w:t>
      </w:r>
      <w:r>
        <w:rPr>
          <w:spacing w:val="-5"/>
          <w:sz w:val="24"/>
        </w:rPr>
        <w:t xml:space="preserve"> </w:t>
      </w:r>
      <w:r>
        <w:rPr>
          <w:rFonts w:ascii="Times New Roman" w:eastAsia="Times New Roman"/>
          <w:sz w:val="24"/>
        </w:rPr>
        <w:t>2.2-1</w:t>
      </w:r>
      <w:r>
        <w:rPr>
          <w:rFonts w:hint="eastAsia"/>
          <w:spacing w:val="-16"/>
          <w:sz w:val="24"/>
        </w:rPr>
        <w:t>。</w:t>
      </w:r>
    </w:p>
    <w:p w:rsidR="00B04AE3" w:rsidRDefault="00B04AE3" w:rsidP="003446E2">
      <w:pPr>
        <w:spacing w:before="161" w:line="364" w:lineRule="auto"/>
        <w:ind w:leftChars="1124" w:left="31680" w:right="2477" w:hangingChars="150" w:firstLine="31680"/>
        <w:rPr>
          <w:b/>
          <w:sz w:val="24"/>
        </w:rPr>
      </w:pPr>
      <w:r>
        <w:rPr>
          <w:rFonts w:hint="eastAsia"/>
          <w:b/>
          <w:spacing w:val="-31"/>
          <w:sz w:val="24"/>
        </w:rPr>
        <w:t>表</w:t>
      </w:r>
      <w:r>
        <w:rPr>
          <w:b/>
          <w:spacing w:val="-31"/>
          <w:sz w:val="24"/>
        </w:rPr>
        <w:t xml:space="preserve"> </w:t>
      </w:r>
      <w:r>
        <w:rPr>
          <w:rFonts w:ascii="Times New Roman" w:eastAsia="Times New Roman"/>
          <w:b/>
          <w:sz w:val="24"/>
        </w:rPr>
        <w:t>2.2-1</w:t>
      </w:r>
      <w:r>
        <w:rPr>
          <w:rFonts w:ascii="Times New Roman" w:eastAsia="Times New Roman"/>
          <w:b/>
          <w:spacing w:val="59"/>
          <w:sz w:val="24"/>
        </w:rPr>
        <w:t xml:space="preserve"> </w:t>
      </w:r>
      <w:r>
        <w:rPr>
          <w:rFonts w:hint="eastAsia"/>
          <w:b/>
          <w:sz w:val="24"/>
        </w:rPr>
        <w:t>公司大气环境风险受体一览表</w:t>
      </w:r>
    </w:p>
    <w:tbl>
      <w:tblPr>
        <w:tblW w:w="8914" w:type="dxa"/>
        <w:jc w:val="center"/>
        <w:tblBorders>
          <w:top w:val="thinThickSmallGap" w:sz="24" w:space="0" w:color="auto"/>
          <w:left w:val="single" w:sz="4" w:space="0" w:color="auto"/>
          <w:bottom w:val="thinThickSmallGap" w:sz="24" w:space="0" w:color="auto"/>
          <w:right w:val="single" w:sz="4" w:space="0" w:color="auto"/>
          <w:insideH w:val="single" w:sz="4" w:space="0" w:color="auto"/>
          <w:insideV w:val="single" w:sz="4" w:space="0" w:color="auto"/>
        </w:tblBorders>
        <w:tblLayout w:type="fixed"/>
        <w:tblLook w:val="00A0"/>
      </w:tblPr>
      <w:tblGrid>
        <w:gridCol w:w="1186"/>
        <w:gridCol w:w="2453"/>
        <w:gridCol w:w="941"/>
        <w:gridCol w:w="1021"/>
        <w:gridCol w:w="1248"/>
        <w:gridCol w:w="2065"/>
      </w:tblGrid>
      <w:tr w:rsidR="00B04AE3">
        <w:trPr>
          <w:trHeight w:val="465"/>
          <w:jc w:val="center"/>
        </w:trPr>
        <w:tc>
          <w:tcPr>
            <w:tcW w:w="1186"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环境要素</w:t>
            </w: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保护目标</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方位</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距离</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规模</w:t>
            </w:r>
          </w:p>
        </w:tc>
        <w:tc>
          <w:tcPr>
            <w:tcW w:w="2065"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环境功能</w:t>
            </w:r>
          </w:p>
        </w:tc>
      </w:tr>
      <w:tr w:rsidR="00B04AE3">
        <w:trPr>
          <w:trHeight w:val="465"/>
          <w:jc w:val="center"/>
        </w:trPr>
        <w:tc>
          <w:tcPr>
            <w:tcW w:w="1186" w:type="dxa"/>
            <w:vMerge w:val="restart"/>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大气环境</w:t>
            </w:r>
          </w:p>
          <w:p w:rsidR="00B04AE3" w:rsidRDefault="00B04AE3">
            <w:pPr>
              <w:widowControl/>
              <w:jc w:val="center"/>
            </w:pPr>
            <w:r>
              <w:rPr>
                <w:rFonts w:hint="eastAsia"/>
              </w:rPr>
              <w:t>声环境</w:t>
            </w: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江西水利职业学院</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527m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5000</w:t>
            </w:r>
            <w:r>
              <w:rPr>
                <w:rFonts w:hint="eastAsia"/>
              </w:rPr>
              <w:t>人</w:t>
            </w:r>
          </w:p>
        </w:tc>
        <w:tc>
          <w:tcPr>
            <w:tcW w:w="2065" w:type="dxa"/>
            <w:vMerge w:val="restart"/>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rPr>
                <w:szCs w:val="21"/>
              </w:rPr>
            </w:pPr>
            <w:r>
              <w:rPr>
                <w:rFonts w:hint="eastAsia"/>
              </w:rPr>
              <w:t>（</w:t>
            </w:r>
            <w:r>
              <w:t>GB3</w:t>
            </w:r>
            <w:r>
              <w:rPr>
                <w:szCs w:val="21"/>
              </w:rPr>
              <w:t>095-2012</w:t>
            </w:r>
            <w:r>
              <w:rPr>
                <w:rFonts w:hint="eastAsia"/>
                <w:szCs w:val="21"/>
              </w:rPr>
              <w:t>）中二级标准</w:t>
            </w:r>
          </w:p>
          <w:p w:rsidR="00B04AE3" w:rsidRDefault="00B04AE3">
            <w:pPr>
              <w:pStyle w:val="Default"/>
              <w:jc w:val="center"/>
              <w:rPr>
                <w:rFonts w:ascii="Times New Roman"/>
                <w:color w:val="auto"/>
              </w:rPr>
            </w:pPr>
            <w:r>
              <w:rPr>
                <w:rFonts w:ascii="Times New Roman" w:hint="eastAsia"/>
                <w:color w:val="auto"/>
                <w:sz w:val="21"/>
                <w:szCs w:val="21"/>
              </w:rPr>
              <w:t>（</w:t>
            </w:r>
            <w:r>
              <w:rPr>
                <w:rFonts w:ascii="Times New Roman"/>
                <w:color w:val="auto"/>
                <w:sz w:val="21"/>
                <w:szCs w:val="21"/>
              </w:rPr>
              <w:t>GB3096-2008</w:t>
            </w:r>
            <w:r>
              <w:rPr>
                <w:rFonts w:ascii="Times New Roman" w:hint="eastAsia"/>
                <w:color w:val="auto"/>
                <w:sz w:val="21"/>
                <w:szCs w:val="21"/>
              </w:rPr>
              <w:t>）中</w:t>
            </w:r>
            <w:r>
              <w:rPr>
                <w:rFonts w:ascii="Times New Roman"/>
                <w:color w:val="auto"/>
                <w:sz w:val="21"/>
                <w:szCs w:val="21"/>
              </w:rPr>
              <w:t>3</w:t>
            </w:r>
            <w:r>
              <w:rPr>
                <w:rFonts w:ascii="Times New Roman" w:hint="eastAsia"/>
                <w:color w:val="auto"/>
                <w:sz w:val="21"/>
                <w:szCs w:val="21"/>
              </w:rPr>
              <w:t>类标准</w:t>
            </w: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华东交通大学北区</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840m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15000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汪家村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420m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1500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吉都居</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700m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2000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凯梦仙缘</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732m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4500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棚上</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1000m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300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双港新村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887m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400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双港</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1100m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300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三叉角</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1300m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吴家山</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1700m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250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邹家村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1600m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250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港口村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1072m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1500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排头裘家</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1156m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600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江西理工大学南昌校区</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1500m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8000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曹家村</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东北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2020m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550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r w:rsidR="00B04AE3">
        <w:trPr>
          <w:trHeight w:val="465"/>
          <w:jc w:val="center"/>
        </w:trPr>
        <w:tc>
          <w:tcPr>
            <w:tcW w:w="1186"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c>
          <w:tcPr>
            <w:tcW w:w="2453"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吴家山</w:t>
            </w:r>
          </w:p>
        </w:tc>
        <w:tc>
          <w:tcPr>
            <w:tcW w:w="94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西北</w:t>
            </w:r>
          </w:p>
        </w:tc>
        <w:tc>
          <w:tcPr>
            <w:tcW w:w="1021"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t>1600m</w:t>
            </w:r>
          </w:p>
        </w:tc>
        <w:tc>
          <w:tcPr>
            <w:tcW w:w="1248" w:type="dxa"/>
            <w:tcBorders>
              <w:top w:val="single" w:sz="8" w:space="0" w:color="auto"/>
              <w:left w:val="single" w:sz="8" w:space="0" w:color="auto"/>
              <w:bottom w:val="single" w:sz="8" w:space="0" w:color="auto"/>
              <w:right w:val="single" w:sz="8" w:space="0" w:color="auto"/>
            </w:tcBorders>
            <w:vAlign w:val="center"/>
          </w:tcPr>
          <w:p w:rsidR="00B04AE3" w:rsidRDefault="00B04AE3">
            <w:pPr>
              <w:widowControl/>
              <w:jc w:val="center"/>
            </w:pPr>
            <w:r>
              <w:rPr>
                <w:rFonts w:hint="eastAsia"/>
              </w:rPr>
              <w:t>约</w:t>
            </w:r>
            <w:r>
              <w:t>100</w:t>
            </w:r>
            <w:r>
              <w:rPr>
                <w:rFonts w:hint="eastAsia"/>
              </w:rPr>
              <w:t>人</w:t>
            </w:r>
          </w:p>
        </w:tc>
        <w:tc>
          <w:tcPr>
            <w:tcW w:w="2065" w:type="dxa"/>
            <w:vMerge/>
            <w:tcBorders>
              <w:top w:val="single" w:sz="8" w:space="0" w:color="auto"/>
              <w:left w:val="single" w:sz="8" w:space="0" w:color="auto"/>
              <w:bottom w:val="single" w:sz="8" w:space="0" w:color="auto"/>
              <w:right w:val="single" w:sz="8" w:space="0" w:color="auto"/>
            </w:tcBorders>
            <w:vAlign w:val="center"/>
          </w:tcPr>
          <w:p w:rsidR="00B04AE3" w:rsidRDefault="00B04AE3">
            <w:pPr>
              <w:widowControl/>
            </w:pPr>
          </w:p>
        </w:tc>
      </w:tr>
    </w:tbl>
    <w:p w:rsidR="00B04AE3" w:rsidRDefault="00B04AE3">
      <w:pPr>
        <w:pStyle w:val="BodyText"/>
        <w:spacing w:before="11"/>
        <w:rPr>
          <w:b/>
          <w:sz w:val="4"/>
        </w:rPr>
      </w:pPr>
    </w:p>
    <w:p w:rsidR="00B04AE3" w:rsidRDefault="00B04AE3">
      <w:pPr>
        <w:pStyle w:val="ListParagraph"/>
        <w:numPr>
          <w:ilvl w:val="0"/>
          <w:numId w:val="42"/>
        </w:numPr>
        <w:tabs>
          <w:tab w:val="left" w:pos="1881"/>
        </w:tabs>
        <w:spacing w:before="3"/>
        <w:rPr>
          <w:sz w:val="24"/>
        </w:rPr>
      </w:pPr>
      <w:r>
        <w:rPr>
          <w:rFonts w:hint="eastAsia"/>
          <w:sz w:val="24"/>
        </w:rPr>
        <w:t>水环境风险受体</w:t>
      </w:r>
    </w:p>
    <w:p w:rsidR="00B04AE3" w:rsidRDefault="00B04AE3">
      <w:pPr>
        <w:pStyle w:val="BodyText"/>
        <w:spacing w:before="20" w:line="360" w:lineRule="auto"/>
        <w:ind w:left="334" w:right="334" w:firstLine="482"/>
        <w:jc w:val="both"/>
        <w:rPr>
          <w:spacing w:val="-6"/>
          <w:szCs w:val="22"/>
        </w:rPr>
      </w:pPr>
      <w:r>
        <w:rPr>
          <w:rFonts w:hint="eastAsia"/>
          <w:spacing w:val="-6"/>
          <w:szCs w:val="22"/>
        </w:rPr>
        <w:t>厂区雨污分流，雨水经雨水管网收集后直接排入厂外雨水沟；项目生产废水循环回用，生活污水经厂内化粪池预处理后满足南昌市经济技术开发区白水湖污水处理厂接管标准要求后纳入污水处理厂，经处理达标后最终排入赣江。受纳水体基本情况见表</w:t>
      </w:r>
      <w:r>
        <w:rPr>
          <w:spacing w:val="-6"/>
          <w:szCs w:val="22"/>
        </w:rPr>
        <w:t xml:space="preserve"> 2.2-2</w:t>
      </w:r>
      <w:r>
        <w:rPr>
          <w:rFonts w:hint="eastAsia"/>
          <w:spacing w:val="-6"/>
          <w:szCs w:val="22"/>
        </w:rPr>
        <w:t>。</w:t>
      </w:r>
    </w:p>
    <w:p w:rsidR="00B04AE3" w:rsidRDefault="00B04AE3">
      <w:pPr>
        <w:tabs>
          <w:tab w:val="left" w:pos="3912"/>
        </w:tabs>
        <w:spacing w:before="1"/>
        <w:ind w:left="2873"/>
        <w:rPr>
          <w:b/>
          <w:sz w:val="24"/>
        </w:rPr>
      </w:pPr>
      <w:r>
        <w:rPr>
          <w:rFonts w:hint="eastAsia"/>
          <w:b/>
          <w:sz w:val="24"/>
        </w:rPr>
        <w:t>表</w:t>
      </w:r>
      <w:r>
        <w:rPr>
          <w:b/>
          <w:spacing w:val="-62"/>
          <w:sz w:val="24"/>
        </w:rPr>
        <w:t xml:space="preserve"> </w:t>
      </w:r>
      <w:r>
        <w:rPr>
          <w:rFonts w:ascii="Times New Roman" w:eastAsia="Times New Roman"/>
          <w:b/>
          <w:sz w:val="24"/>
        </w:rPr>
        <w:t>2.2-2</w:t>
      </w:r>
      <w:r>
        <w:rPr>
          <w:rFonts w:ascii="Times New Roman" w:eastAsia="Times New Roman"/>
          <w:b/>
          <w:sz w:val="24"/>
        </w:rPr>
        <w:tab/>
      </w:r>
      <w:r>
        <w:rPr>
          <w:rFonts w:hint="eastAsia"/>
          <w:b/>
          <w:sz w:val="24"/>
        </w:rPr>
        <w:t>企业排污受纳水体基本情况表</w:t>
      </w:r>
    </w:p>
    <w:tbl>
      <w:tblPr>
        <w:tblW w:w="8522" w:type="dxa"/>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448"/>
        <w:gridCol w:w="1765"/>
        <w:gridCol w:w="1573"/>
        <w:gridCol w:w="1155"/>
        <w:gridCol w:w="1364"/>
        <w:gridCol w:w="1217"/>
      </w:tblGrid>
      <w:tr w:rsidR="00B04AE3">
        <w:trPr>
          <w:trHeight w:val="340"/>
        </w:trPr>
        <w:tc>
          <w:tcPr>
            <w:tcW w:w="1448" w:type="dxa"/>
            <w:vMerge w:val="restart"/>
            <w:shd w:val="clear" w:color="auto" w:fill="DFDFDF"/>
          </w:tcPr>
          <w:p w:rsidR="00B04AE3" w:rsidRDefault="00B04AE3">
            <w:pPr>
              <w:pStyle w:val="TableParagraph"/>
              <w:jc w:val="left"/>
              <w:rPr>
                <w:b/>
                <w:sz w:val="16"/>
              </w:rPr>
            </w:pPr>
          </w:p>
          <w:p w:rsidR="00B04AE3" w:rsidRDefault="00B04AE3">
            <w:pPr>
              <w:pStyle w:val="TableParagraph"/>
              <w:ind w:left="281" w:right="273"/>
              <w:rPr>
                <w:b/>
                <w:sz w:val="21"/>
              </w:rPr>
            </w:pPr>
            <w:r>
              <w:rPr>
                <w:rFonts w:hint="eastAsia"/>
                <w:b/>
                <w:sz w:val="21"/>
              </w:rPr>
              <w:t>分类</w:t>
            </w:r>
          </w:p>
        </w:tc>
        <w:tc>
          <w:tcPr>
            <w:tcW w:w="1765" w:type="dxa"/>
            <w:vMerge w:val="restart"/>
            <w:shd w:val="clear" w:color="auto" w:fill="DFDFDF"/>
          </w:tcPr>
          <w:p w:rsidR="00B04AE3" w:rsidRDefault="00B04AE3">
            <w:pPr>
              <w:pStyle w:val="TableParagraph"/>
              <w:jc w:val="left"/>
              <w:rPr>
                <w:b/>
                <w:sz w:val="16"/>
              </w:rPr>
            </w:pPr>
          </w:p>
          <w:p w:rsidR="00B04AE3" w:rsidRDefault="00B04AE3">
            <w:pPr>
              <w:pStyle w:val="TableParagraph"/>
              <w:ind w:left="462"/>
              <w:jc w:val="left"/>
              <w:rPr>
                <w:b/>
                <w:sz w:val="21"/>
              </w:rPr>
            </w:pPr>
            <w:r>
              <w:rPr>
                <w:rFonts w:hint="eastAsia"/>
                <w:b/>
                <w:sz w:val="21"/>
              </w:rPr>
              <w:t>排放去向</w:t>
            </w:r>
          </w:p>
        </w:tc>
        <w:tc>
          <w:tcPr>
            <w:tcW w:w="5309" w:type="dxa"/>
            <w:gridSpan w:val="4"/>
            <w:shd w:val="clear" w:color="auto" w:fill="DFDFDF"/>
          </w:tcPr>
          <w:p w:rsidR="00B04AE3" w:rsidRDefault="00B04AE3">
            <w:pPr>
              <w:pStyle w:val="TableParagraph"/>
              <w:spacing w:before="30"/>
              <w:ind w:left="2001" w:right="1991"/>
              <w:rPr>
                <w:b/>
                <w:sz w:val="21"/>
              </w:rPr>
            </w:pPr>
            <w:r>
              <w:rPr>
                <w:rFonts w:hint="eastAsia"/>
                <w:b/>
                <w:sz w:val="21"/>
              </w:rPr>
              <w:t>受纳水体情况</w:t>
            </w:r>
          </w:p>
        </w:tc>
      </w:tr>
      <w:tr w:rsidR="00B04AE3">
        <w:trPr>
          <w:trHeight w:val="340"/>
        </w:trPr>
        <w:tc>
          <w:tcPr>
            <w:tcW w:w="1448" w:type="dxa"/>
            <w:vMerge/>
            <w:tcBorders>
              <w:top w:val="nil"/>
            </w:tcBorders>
            <w:shd w:val="clear" w:color="auto" w:fill="DFDFDF"/>
          </w:tcPr>
          <w:p w:rsidR="00B04AE3" w:rsidRDefault="00B04AE3">
            <w:pPr>
              <w:rPr>
                <w:sz w:val="2"/>
                <w:szCs w:val="2"/>
              </w:rPr>
            </w:pPr>
          </w:p>
        </w:tc>
        <w:tc>
          <w:tcPr>
            <w:tcW w:w="1765" w:type="dxa"/>
            <w:vMerge/>
            <w:tcBorders>
              <w:top w:val="nil"/>
            </w:tcBorders>
            <w:shd w:val="clear" w:color="auto" w:fill="DFDFDF"/>
          </w:tcPr>
          <w:p w:rsidR="00B04AE3" w:rsidRDefault="00B04AE3">
            <w:pPr>
              <w:rPr>
                <w:sz w:val="2"/>
                <w:szCs w:val="2"/>
              </w:rPr>
            </w:pPr>
          </w:p>
        </w:tc>
        <w:tc>
          <w:tcPr>
            <w:tcW w:w="1573" w:type="dxa"/>
            <w:tcBorders>
              <w:right w:val="single" w:sz="6" w:space="0" w:color="000000"/>
            </w:tcBorders>
            <w:shd w:val="clear" w:color="auto" w:fill="DFDFDF"/>
          </w:tcPr>
          <w:p w:rsidR="00B04AE3" w:rsidRDefault="00B04AE3">
            <w:pPr>
              <w:pStyle w:val="TableParagraph"/>
              <w:spacing w:before="30"/>
              <w:ind w:left="344" w:right="332"/>
              <w:rPr>
                <w:b/>
                <w:sz w:val="21"/>
              </w:rPr>
            </w:pPr>
            <w:r>
              <w:rPr>
                <w:rFonts w:hint="eastAsia"/>
                <w:b/>
                <w:sz w:val="21"/>
              </w:rPr>
              <w:t>汇入河流</w:t>
            </w:r>
          </w:p>
        </w:tc>
        <w:tc>
          <w:tcPr>
            <w:tcW w:w="1155" w:type="dxa"/>
            <w:tcBorders>
              <w:left w:val="single" w:sz="6" w:space="0" w:color="000000"/>
            </w:tcBorders>
            <w:shd w:val="clear" w:color="auto" w:fill="DFDFDF"/>
          </w:tcPr>
          <w:p w:rsidR="00B04AE3" w:rsidRDefault="00B04AE3">
            <w:pPr>
              <w:pStyle w:val="TableParagraph"/>
              <w:spacing w:before="30"/>
              <w:ind w:left="133" w:right="123"/>
              <w:rPr>
                <w:b/>
                <w:sz w:val="21"/>
              </w:rPr>
            </w:pPr>
            <w:r>
              <w:rPr>
                <w:rFonts w:hint="eastAsia"/>
                <w:b/>
                <w:sz w:val="21"/>
              </w:rPr>
              <w:t>闸坝信息</w:t>
            </w:r>
          </w:p>
        </w:tc>
        <w:tc>
          <w:tcPr>
            <w:tcW w:w="1364" w:type="dxa"/>
            <w:shd w:val="clear" w:color="auto" w:fill="DFDFDF"/>
          </w:tcPr>
          <w:p w:rsidR="00B04AE3" w:rsidRDefault="00B04AE3">
            <w:pPr>
              <w:pStyle w:val="TableParagraph"/>
              <w:spacing w:before="30"/>
              <w:ind w:left="420" w:right="411"/>
              <w:rPr>
                <w:b/>
                <w:sz w:val="21"/>
              </w:rPr>
            </w:pPr>
            <w:r>
              <w:rPr>
                <w:rFonts w:hint="eastAsia"/>
                <w:b/>
                <w:sz w:val="21"/>
              </w:rPr>
              <w:t>长度</w:t>
            </w:r>
          </w:p>
        </w:tc>
        <w:tc>
          <w:tcPr>
            <w:tcW w:w="1217" w:type="dxa"/>
            <w:shd w:val="clear" w:color="auto" w:fill="DFDFDF"/>
          </w:tcPr>
          <w:p w:rsidR="00B04AE3" w:rsidRDefault="00B04AE3">
            <w:pPr>
              <w:pStyle w:val="TableParagraph"/>
              <w:spacing w:before="30"/>
              <w:ind w:left="149" w:right="139"/>
              <w:rPr>
                <w:b/>
                <w:sz w:val="21"/>
              </w:rPr>
            </w:pPr>
            <w:r>
              <w:rPr>
                <w:rFonts w:hint="eastAsia"/>
                <w:b/>
                <w:sz w:val="21"/>
              </w:rPr>
              <w:t>流域面积</w:t>
            </w:r>
          </w:p>
        </w:tc>
      </w:tr>
      <w:tr w:rsidR="00B04AE3">
        <w:trPr>
          <w:trHeight w:val="340"/>
        </w:trPr>
        <w:tc>
          <w:tcPr>
            <w:tcW w:w="1448" w:type="dxa"/>
          </w:tcPr>
          <w:p w:rsidR="00B04AE3" w:rsidRDefault="00B04AE3">
            <w:pPr>
              <w:pStyle w:val="TableParagraph"/>
              <w:spacing w:before="31"/>
              <w:ind w:left="281" w:right="273"/>
              <w:rPr>
                <w:sz w:val="21"/>
              </w:rPr>
            </w:pPr>
            <w:r>
              <w:rPr>
                <w:rFonts w:hint="eastAsia"/>
                <w:sz w:val="21"/>
              </w:rPr>
              <w:t>生活污水</w:t>
            </w:r>
          </w:p>
        </w:tc>
        <w:tc>
          <w:tcPr>
            <w:tcW w:w="1765" w:type="dxa"/>
          </w:tcPr>
          <w:p w:rsidR="00B04AE3" w:rsidRDefault="00B04AE3">
            <w:pPr>
              <w:pStyle w:val="TableParagraph"/>
              <w:spacing w:before="31"/>
              <w:ind w:left="335" w:right="328"/>
              <w:rPr>
                <w:sz w:val="21"/>
              </w:rPr>
            </w:pPr>
            <w:r>
              <w:rPr>
                <w:rFonts w:hint="eastAsia"/>
                <w:sz w:val="21"/>
              </w:rPr>
              <w:t>污水处理厂</w:t>
            </w:r>
          </w:p>
        </w:tc>
        <w:tc>
          <w:tcPr>
            <w:tcW w:w="1573" w:type="dxa"/>
            <w:tcBorders>
              <w:right w:val="single" w:sz="6" w:space="0" w:color="000000"/>
            </w:tcBorders>
          </w:tcPr>
          <w:p w:rsidR="00B04AE3" w:rsidRDefault="00B04AE3">
            <w:pPr>
              <w:pStyle w:val="TableParagraph"/>
              <w:spacing w:before="33"/>
              <w:ind w:left="342" w:right="332"/>
              <w:rPr>
                <w:sz w:val="21"/>
              </w:rPr>
            </w:pPr>
            <w:r>
              <w:rPr>
                <w:rFonts w:hint="eastAsia"/>
                <w:sz w:val="21"/>
              </w:rPr>
              <w:t>赣江</w:t>
            </w:r>
          </w:p>
        </w:tc>
        <w:tc>
          <w:tcPr>
            <w:tcW w:w="1155" w:type="dxa"/>
            <w:tcBorders>
              <w:left w:val="single" w:sz="6" w:space="0" w:color="000000"/>
            </w:tcBorders>
          </w:tcPr>
          <w:p w:rsidR="00B04AE3" w:rsidRDefault="00B04AE3">
            <w:pPr>
              <w:pStyle w:val="TableParagraph"/>
              <w:spacing w:before="33"/>
              <w:ind w:left="5"/>
              <w:rPr>
                <w:sz w:val="21"/>
              </w:rPr>
            </w:pPr>
            <w:r>
              <w:rPr>
                <w:rFonts w:hint="eastAsia"/>
                <w:w w:val="99"/>
                <w:sz w:val="21"/>
              </w:rPr>
              <w:t>无</w:t>
            </w:r>
          </w:p>
        </w:tc>
        <w:tc>
          <w:tcPr>
            <w:tcW w:w="1364" w:type="dxa"/>
          </w:tcPr>
          <w:p w:rsidR="00B04AE3" w:rsidRDefault="00B04AE3">
            <w:pPr>
              <w:pStyle w:val="TableParagraph"/>
              <w:spacing w:before="47"/>
              <w:ind w:left="420" w:right="414"/>
              <w:rPr>
                <w:rFonts w:ascii="Times New Roman"/>
                <w:sz w:val="21"/>
              </w:rPr>
            </w:pPr>
            <w:r>
              <w:rPr>
                <w:rFonts w:ascii="Times New Roman"/>
                <w:sz w:val="21"/>
                <w:lang w:val="en-US"/>
              </w:rPr>
              <w:t>15</w:t>
            </w:r>
            <w:r>
              <w:rPr>
                <w:rFonts w:ascii="Times New Roman"/>
                <w:sz w:val="21"/>
              </w:rPr>
              <w:t>km</w:t>
            </w:r>
          </w:p>
        </w:tc>
        <w:tc>
          <w:tcPr>
            <w:tcW w:w="1217" w:type="dxa"/>
          </w:tcPr>
          <w:p w:rsidR="00B04AE3" w:rsidRDefault="00B04AE3">
            <w:pPr>
              <w:pStyle w:val="TableParagraph"/>
              <w:spacing w:before="47"/>
              <w:ind w:left="149" w:right="141"/>
              <w:rPr>
                <w:rFonts w:ascii="Times New Roman"/>
                <w:sz w:val="21"/>
              </w:rPr>
            </w:pPr>
            <w:r>
              <w:rPr>
                <w:rFonts w:ascii="Times New Roman"/>
                <w:sz w:val="21"/>
              </w:rPr>
              <w:t>--</w:t>
            </w:r>
          </w:p>
        </w:tc>
      </w:tr>
      <w:tr w:rsidR="00B04AE3">
        <w:trPr>
          <w:trHeight w:val="340"/>
        </w:trPr>
        <w:tc>
          <w:tcPr>
            <w:tcW w:w="1448" w:type="dxa"/>
          </w:tcPr>
          <w:p w:rsidR="00B04AE3" w:rsidRDefault="00B04AE3">
            <w:pPr>
              <w:pStyle w:val="TableParagraph"/>
              <w:spacing w:before="31"/>
              <w:ind w:left="281" w:right="275"/>
              <w:rPr>
                <w:sz w:val="21"/>
              </w:rPr>
            </w:pPr>
            <w:r>
              <w:rPr>
                <w:rFonts w:hint="eastAsia"/>
                <w:sz w:val="21"/>
              </w:rPr>
              <w:t>雨水</w:t>
            </w:r>
          </w:p>
        </w:tc>
        <w:tc>
          <w:tcPr>
            <w:tcW w:w="1765" w:type="dxa"/>
          </w:tcPr>
          <w:p w:rsidR="00B04AE3" w:rsidRDefault="00B04AE3">
            <w:pPr>
              <w:pStyle w:val="TableParagraph"/>
              <w:spacing w:before="31"/>
              <w:ind w:left="335" w:right="328"/>
              <w:rPr>
                <w:sz w:val="21"/>
              </w:rPr>
            </w:pPr>
            <w:r>
              <w:rPr>
                <w:rFonts w:hint="eastAsia"/>
                <w:sz w:val="21"/>
              </w:rPr>
              <w:t>雨水管网</w:t>
            </w:r>
          </w:p>
        </w:tc>
        <w:tc>
          <w:tcPr>
            <w:tcW w:w="1573" w:type="dxa"/>
            <w:tcBorders>
              <w:right w:val="single" w:sz="6" w:space="0" w:color="000000"/>
            </w:tcBorders>
          </w:tcPr>
          <w:p w:rsidR="00B04AE3" w:rsidRDefault="00B04AE3">
            <w:pPr>
              <w:pStyle w:val="TableParagraph"/>
              <w:spacing w:before="34"/>
              <w:ind w:left="342" w:right="332"/>
              <w:rPr>
                <w:sz w:val="21"/>
              </w:rPr>
            </w:pPr>
            <w:r>
              <w:rPr>
                <w:rFonts w:hint="eastAsia"/>
                <w:sz w:val="21"/>
              </w:rPr>
              <w:t>赣江</w:t>
            </w:r>
          </w:p>
        </w:tc>
        <w:tc>
          <w:tcPr>
            <w:tcW w:w="1155" w:type="dxa"/>
            <w:tcBorders>
              <w:left w:val="single" w:sz="6" w:space="0" w:color="000000"/>
            </w:tcBorders>
          </w:tcPr>
          <w:p w:rsidR="00B04AE3" w:rsidRDefault="00B04AE3">
            <w:pPr>
              <w:pStyle w:val="TableParagraph"/>
              <w:spacing w:before="34"/>
              <w:ind w:left="5"/>
              <w:rPr>
                <w:sz w:val="21"/>
              </w:rPr>
            </w:pPr>
            <w:r>
              <w:rPr>
                <w:rFonts w:hint="eastAsia"/>
                <w:w w:val="99"/>
                <w:sz w:val="21"/>
              </w:rPr>
              <w:t>无</w:t>
            </w:r>
          </w:p>
        </w:tc>
        <w:tc>
          <w:tcPr>
            <w:tcW w:w="1364" w:type="dxa"/>
          </w:tcPr>
          <w:p w:rsidR="00B04AE3" w:rsidRDefault="00B04AE3">
            <w:pPr>
              <w:pStyle w:val="TableParagraph"/>
              <w:spacing w:before="48"/>
              <w:ind w:left="420" w:right="414"/>
              <w:rPr>
                <w:rFonts w:ascii="Times New Roman"/>
                <w:sz w:val="21"/>
              </w:rPr>
            </w:pPr>
            <w:r>
              <w:rPr>
                <w:rFonts w:ascii="Times New Roman"/>
                <w:sz w:val="21"/>
              </w:rPr>
              <w:t>1</w:t>
            </w:r>
            <w:r>
              <w:rPr>
                <w:rFonts w:ascii="Times New Roman"/>
                <w:sz w:val="21"/>
                <w:lang w:val="en-US"/>
              </w:rPr>
              <w:t>5</w:t>
            </w:r>
            <w:r>
              <w:rPr>
                <w:rFonts w:ascii="Times New Roman"/>
                <w:sz w:val="21"/>
              </w:rPr>
              <w:t>km</w:t>
            </w:r>
          </w:p>
        </w:tc>
        <w:tc>
          <w:tcPr>
            <w:tcW w:w="1217" w:type="dxa"/>
          </w:tcPr>
          <w:p w:rsidR="00B04AE3" w:rsidRDefault="00B04AE3">
            <w:pPr>
              <w:pStyle w:val="TableParagraph"/>
              <w:spacing w:before="45"/>
              <w:ind w:left="149" w:right="141"/>
              <w:rPr>
                <w:rFonts w:ascii="Times New Roman"/>
                <w:sz w:val="21"/>
              </w:rPr>
            </w:pPr>
            <w:r>
              <w:rPr>
                <w:rFonts w:ascii="Times New Roman"/>
                <w:sz w:val="21"/>
              </w:rPr>
              <w:t>--</w:t>
            </w:r>
          </w:p>
        </w:tc>
      </w:tr>
    </w:tbl>
    <w:p w:rsidR="00B04AE3" w:rsidRDefault="00B04AE3">
      <w:pPr>
        <w:pStyle w:val="ListParagraph"/>
        <w:numPr>
          <w:ilvl w:val="0"/>
          <w:numId w:val="42"/>
        </w:numPr>
        <w:tabs>
          <w:tab w:val="left" w:pos="1881"/>
        </w:tabs>
        <w:spacing w:before="2"/>
        <w:rPr>
          <w:sz w:val="24"/>
        </w:rPr>
      </w:pPr>
      <w:r>
        <w:rPr>
          <w:rFonts w:hint="eastAsia"/>
          <w:sz w:val="24"/>
        </w:rPr>
        <w:t>地下水环境风险受体</w:t>
      </w:r>
    </w:p>
    <w:p w:rsidR="00B04AE3" w:rsidRDefault="00B04AE3">
      <w:pPr>
        <w:spacing w:before="160" w:after="2"/>
        <w:ind w:left="2573"/>
        <w:rPr>
          <w:b/>
          <w:sz w:val="24"/>
        </w:rPr>
      </w:pPr>
      <w:r>
        <w:rPr>
          <w:rFonts w:hint="eastAsia"/>
          <w:b/>
          <w:sz w:val="24"/>
        </w:rPr>
        <w:t>表</w:t>
      </w:r>
      <w:r>
        <w:rPr>
          <w:b/>
          <w:sz w:val="24"/>
        </w:rPr>
        <w:t xml:space="preserve"> </w:t>
      </w:r>
      <w:r>
        <w:rPr>
          <w:rFonts w:ascii="Times New Roman" w:eastAsia="Times New Roman"/>
          <w:b/>
          <w:sz w:val="24"/>
        </w:rPr>
        <w:t xml:space="preserve">2.2-3  </w:t>
      </w:r>
      <w:r>
        <w:rPr>
          <w:rFonts w:hint="eastAsia"/>
          <w:b/>
          <w:sz w:val="24"/>
        </w:rPr>
        <w:t>企业地下水环境风险受体基本情况表</w:t>
      </w:r>
    </w:p>
    <w:tbl>
      <w:tblPr>
        <w:tblW w:w="8322" w:type="dxa"/>
        <w:tblInd w:w="79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1163"/>
        <w:gridCol w:w="1785"/>
        <w:gridCol w:w="3718"/>
        <w:gridCol w:w="1656"/>
      </w:tblGrid>
      <w:tr w:rsidR="00B04AE3">
        <w:trPr>
          <w:trHeight w:val="720"/>
        </w:trPr>
        <w:tc>
          <w:tcPr>
            <w:tcW w:w="1163" w:type="dxa"/>
            <w:shd w:val="clear" w:color="auto" w:fill="D9D9D9"/>
          </w:tcPr>
          <w:p w:rsidR="00B04AE3" w:rsidRDefault="00B04AE3">
            <w:pPr>
              <w:pStyle w:val="TableParagraph"/>
              <w:spacing w:before="6"/>
              <w:jc w:val="left"/>
              <w:rPr>
                <w:b/>
                <w:sz w:val="17"/>
              </w:rPr>
            </w:pPr>
          </w:p>
          <w:p w:rsidR="00B04AE3" w:rsidRDefault="00B04AE3">
            <w:pPr>
              <w:pStyle w:val="TableParagraph"/>
              <w:ind w:left="140" w:right="123"/>
              <w:rPr>
                <w:b/>
                <w:sz w:val="21"/>
              </w:rPr>
            </w:pPr>
            <w:r>
              <w:rPr>
                <w:rFonts w:hint="eastAsia"/>
                <w:b/>
                <w:sz w:val="21"/>
              </w:rPr>
              <w:t>环境要素</w:t>
            </w:r>
          </w:p>
        </w:tc>
        <w:tc>
          <w:tcPr>
            <w:tcW w:w="1785" w:type="dxa"/>
            <w:shd w:val="clear" w:color="auto" w:fill="D9D9D9"/>
          </w:tcPr>
          <w:p w:rsidR="00B04AE3" w:rsidRDefault="00B04AE3">
            <w:pPr>
              <w:pStyle w:val="TableParagraph"/>
              <w:spacing w:before="6"/>
              <w:jc w:val="left"/>
              <w:rPr>
                <w:b/>
                <w:sz w:val="17"/>
              </w:rPr>
            </w:pPr>
          </w:p>
          <w:p w:rsidR="00B04AE3" w:rsidRDefault="00B04AE3">
            <w:pPr>
              <w:pStyle w:val="TableParagraph"/>
              <w:ind w:left="30" w:right="12"/>
              <w:rPr>
                <w:b/>
                <w:sz w:val="21"/>
              </w:rPr>
            </w:pPr>
            <w:r>
              <w:rPr>
                <w:rFonts w:hint="eastAsia"/>
                <w:b/>
                <w:sz w:val="21"/>
              </w:rPr>
              <w:t>环境保护对象名称</w:t>
            </w:r>
          </w:p>
        </w:tc>
        <w:tc>
          <w:tcPr>
            <w:tcW w:w="3718" w:type="dxa"/>
            <w:shd w:val="clear" w:color="auto" w:fill="D9D9D9"/>
          </w:tcPr>
          <w:p w:rsidR="00B04AE3" w:rsidRDefault="00B04AE3">
            <w:pPr>
              <w:pStyle w:val="TableParagraph"/>
              <w:spacing w:before="6"/>
              <w:jc w:val="left"/>
              <w:rPr>
                <w:b/>
                <w:sz w:val="17"/>
              </w:rPr>
            </w:pPr>
          </w:p>
          <w:p w:rsidR="00B04AE3" w:rsidRDefault="00B04AE3">
            <w:pPr>
              <w:pStyle w:val="TableParagraph"/>
              <w:ind w:right="381"/>
              <w:jc w:val="right"/>
              <w:rPr>
                <w:b/>
                <w:sz w:val="21"/>
              </w:rPr>
            </w:pPr>
            <w:r>
              <w:rPr>
                <w:rFonts w:hint="eastAsia"/>
                <w:b/>
                <w:w w:val="95"/>
                <w:sz w:val="21"/>
              </w:rPr>
              <w:t>距作业场所最近距离（</w:t>
            </w:r>
            <w:r>
              <w:rPr>
                <w:rFonts w:ascii="Times New Roman" w:eastAsia="Times New Roman"/>
                <w:b/>
                <w:w w:val="95"/>
                <w:sz w:val="21"/>
              </w:rPr>
              <w:t>m</w:t>
            </w:r>
            <w:r>
              <w:rPr>
                <w:rFonts w:hint="eastAsia"/>
                <w:b/>
                <w:w w:val="95"/>
                <w:sz w:val="21"/>
              </w:rPr>
              <w:t>）</w:t>
            </w:r>
          </w:p>
        </w:tc>
        <w:tc>
          <w:tcPr>
            <w:tcW w:w="1656" w:type="dxa"/>
            <w:shd w:val="clear" w:color="auto" w:fill="D9D9D9"/>
          </w:tcPr>
          <w:p w:rsidR="00B04AE3" w:rsidRDefault="00B04AE3">
            <w:pPr>
              <w:pStyle w:val="TableParagraph"/>
              <w:spacing w:before="6"/>
              <w:jc w:val="left"/>
              <w:rPr>
                <w:b/>
                <w:sz w:val="17"/>
              </w:rPr>
            </w:pPr>
          </w:p>
          <w:p w:rsidR="00B04AE3" w:rsidRDefault="00B04AE3">
            <w:pPr>
              <w:pStyle w:val="TableParagraph"/>
              <w:ind w:left="177" w:right="159"/>
              <w:rPr>
                <w:b/>
                <w:sz w:val="21"/>
              </w:rPr>
            </w:pPr>
            <w:r>
              <w:rPr>
                <w:rFonts w:hint="eastAsia"/>
                <w:b/>
                <w:sz w:val="21"/>
              </w:rPr>
              <w:t>环境功能区划</w:t>
            </w:r>
          </w:p>
        </w:tc>
      </w:tr>
      <w:tr w:rsidR="00B04AE3">
        <w:trPr>
          <w:trHeight w:val="359"/>
        </w:trPr>
        <w:tc>
          <w:tcPr>
            <w:tcW w:w="1163" w:type="dxa"/>
          </w:tcPr>
          <w:p w:rsidR="00B04AE3" w:rsidRDefault="00B04AE3">
            <w:pPr>
              <w:pStyle w:val="TableParagraph"/>
              <w:spacing w:before="44"/>
              <w:ind w:left="132" w:right="123"/>
              <w:rPr>
                <w:sz w:val="21"/>
              </w:rPr>
            </w:pPr>
            <w:r>
              <w:rPr>
                <w:rFonts w:hint="eastAsia"/>
                <w:sz w:val="21"/>
              </w:rPr>
              <w:t>地下水</w:t>
            </w:r>
          </w:p>
        </w:tc>
        <w:tc>
          <w:tcPr>
            <w:tcW w:w="1785" w:type="dxa"/>
          </w:tcPr>
          <w:p w:rsidR="00B04AE3" w:rsidRDefault="00B04AE3">
            <w:pPr>
              <w:pStyle w:val="TableParagraph"/>
              <w:spacing w:before="44"/>
              <w:ind w:left="25" w:right="12"/>
              <w:rPr>
                <w:sz w:val="21"/>
              </w:rPr>
            </w:pPr>
            <w:r>
              <w:rPr>
                <w:rFonts w:hint="eastAsia"/>
                <w:sz w:val="21"/>
              </w:rPr>
              <w:t>地下水</w:t>
            </w:r>
          </w:p>
        </w:tc>
        <w:tc>
          <w:tcPr>
            <w:tcW w:w="3718" w:type="dxa"/>
          </w:tcPr>
          <w:p w:rsidR="00B04AE3" w:rsidRDefault="00B04AE3">
            <w:pPr>
              <w:pStyle w:val="TableParagraph"/>
              <w:spacing w:before="44"/>
              <w:ind w:right="309"/>
              <w:jc w:val="right"/>
              <w:rPr>
                <w:sz w:val="21"/>
              </w:rPr>
            </w:pPr>
            <w:r>
              <w:rPr>
                <w:rFonts w:hint="eastAsia"/>
                <w:sz w:val="21"/>
              </w:rPr>
              <w:t>项目周围</w:t>
            </w:r>
            <w:r>
              <w:rPr>
                <w:sz w:val="21"/>
              </w:rPr>
              <w:t xml:space="preserve"> </w:t>
            </w:r>
            <w:r>
              <w:rPr>
                <w:rFonts w:ascii="Times New Roman" w:eastAsia="Times New Roman"/>
                <w:sz w:val="21"/>
              </w:rPr>
              <w:t>20km</w:t>
            </w:r>
            <w:r>
              <w:rPr>
                <w:rFonts w:ascii="Times New Roman" w:eastAsia="Times New Roman"/>
                <w:position w:val="7"/>
                <w:sz w:val="13"/>
              </w:rPr>
              <w:t xml:space="preserve">2 </w:t>
            </w:r>
            <w:r>
              <w:rPr>
                <w:rFonts w:hint="eastAsia"/>
                <w:sz w:val="21"/>
              </w:rPr>
              <w:t>范围内的地下水</w:t>
            </w:r>
          </w:p>
        </w:tc>
        <w:tc>
          <w:tcPr>
            <w:tcW w:w="1656" w:type="dxa"/>
          </w:tcPr>
          <w:p w:rsidR="00B04AE3" w:rsidRDefault="00B04AE3">
            <w:pPr>
              <w:pStyle w:val="TableParagraph"/>
              <w:spacing w:before="44"/>
              <w:ind w:left="172" w:right="159"/>
              <w:rPr>
                <w:sz w:val="21"/>
              </w:rPr>
            </w:pPr>
            <w:r>
              <w:rPr>
                <w:rFonts w:hint="eastAsia"/>
                <w:sz w:val="21"/>
              </w:rPr>
              <w:t>Ⅲ类</w:t>
            </w:r>
          </w:p>
        </w:tc>
      </w:tr>
    </w:tbl>
    <w:p w:rsidR="00B04AE3" w:rsidRDefault="00B04AE3">
      <w:pPr>
        <w:pStyle w:val="ListParagraph"/>
        <w:numPr>
          <w:ilvl w:val="0"/>
          <w:numId w:val="42"/>
        </w:numPr>
        <w:tabs>
          <w:tab w:val="left" w:pos="1881"/>
        </w:tabs>
        <w:spacing w:before="2" w:line="362" w:lineRule="auto"/>
        <w:ind w:left="1160" w:right="6345" w:firstLine="120"/>
        <w:rPr>
          <w:spacing w:val="-6"/>
          <w:sz w:val="24"/>
        </w:rPr>
      </w:pPr>
      <w:r>
        <w:rPr>
          <w:rFonts w:hint="eastAsia"/>
          <w:sz w:val="24"/>
        </w:rPr>
        <w:t>土壤环境受体</w:t>
      </w:r>
      <w:r>
        <w:rPr>
          <w:sz w:val="24"/>
        </w:rPr>
        <w:t xml:space="preserve"> </w:t>
      </w:r>
      <w:r>
        <w:rPr>
          <w:rFonts w:hint="eastAsia"/>
          <w:spacing w:val="-6"/>
          <w:sz w:val="24"/>
        </w:rPr>
        <w:t>厂区及周边土壤受体。</w:t>
      </w:r>
    </w:p>
    <w:p w:rsidR="00B04AE3" w:rsidRDefault="00B04AE3">
      <w:pPr>
        <w:pStyle w:val="Heading2"/>
        <w:numPr>
          <w:ilvl w:val="1"/>
          <w:numId w:val="41"/>
        </w:numPr>
        <w:tabs>
          <w:tab w:val="left" w:pos="1360"/>
        </w:tabs>
        <w:ind w:hanging="559"/>
      </w:pPr>
      <w:bookmarkStart w:id="259" w:name="2.3_涉及环境风险物质情况"/>
      <w:bookmarkStart w:id="260" w:name="_bookmark77"/>
      <w:bookmarkEnd w:id="259"/>
      <w:bookmarkEnd w:id="260"/>
      <w:r>
        <w:rPr>
          <w:rFonts w:hint="eastAsia"/>
        </w:rPr>
        <w:t>涉及环境风险物质情况</w:t>
      </w:r>
    </w:p>
    <w:p w:rsidR="00B04AE3" w:rsidRDefault="00B04AE3">
      <w:pPr>
        <w:pStyle w:val="BodyText"/>
        <w:spacing w:before="267"/>
        <w:ind w:left="1280"/>
      </w:pPr>
      <w:r>
        <w:rPr>
          <w:rFonts w:hint="eastAsia"/>
        </w:rPr>
        <w:t>厂内主要原材料消耗情况如表</w:t>
      </w:r>
      <w:r>
        <w:t xml:space="preserve"> </w:t>
      </w:r>
      <w:r>
        <w:rPr>
          <w:rFonts w:ascii="Times New Roman" w:eastAsia="Times New Roman"/>
        </w:rPr>
        <w:t xml:space="preserve">2.3-1 </w:t>
      </w:r>
      <w:r>
        <w:rPr>
          <w:rFonts w:hint="eastAsia"/>
        </w:rPr>
        <w:t>所示。</w:t>
      </w:r>
    </w:p>
    <w:p w:rsidR="00B04AE3" w:rsidRDefault="00B04AE3">
      <w:pPr>
        <w:spacing w:before="161"/>
        <w:ind w:left="12"/>
        <w:jc w:val="center"/>
        <w:rPr>
          <w:b/>
          <w:sz w:val="24"/>
        </w:rPr>
      </w:pPr>
      <w:r>
        <w:rPr>
          <w:rFonts w:hint="eastAsia"/>
          <w:b/>
          <w:sz w:val="24"/>
        </w:rPr>
        <w:t>表</w:t>
      </w:r>
      <w:r>
        <w:rPr>
          <w:b/>
          <w:sz w:val="24"/>
        </w:rPr>
        <w:t xml:space="preserve"> </w:t>
      </w:r>
      <w:r>
        <w:rPr>
          <w:rFonts w:ascii="Times New Roman" w:eastAsia="Times New Roman"/>
          <w:b/>
          <w:sz w:val="24"/>
        </w:rPr>
        <w:t xml:space="preserve">2.3-1  </w:t>
      </w:r>
      <w:r>
        <w:rPr>
          <w:rFonts w:hint="eastAsia"/>
          <w:b/>
          <w:sz w:val="24"/>
        </w:rPr>
        <w:t>厂内主要原辅材料消耗情况一览表</w:t>
      </w:r>
    </w:p>
    <w:tbl>
      <w:tblPr>
        <w:tblpPr w:leftFromText="180" w:rightFromText="180" w:vertAnchor="text" w:horzAnchor="page" w:tblpXSpec="center" w:tblpY="256"/>
        <w:tblOverlap w:val="never"/>
        <w:tblW w:w="8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47"/>
        <w:gridCol w:w="2156"/>
        <w:gridCol w:w="1216"/>
        <w:gridCol w:w="973"/>
        <w:gridCol w:w="1142"/>
        <w:gridCol w:w="1526"/>
      </w:tblGrid>
      <w:tr w:rsidR="00B04AE3">
        <w:trPr>
          <w:trHeight w:val="581"/>
          <w:jc w:val="center"/>
        </w:trPr>
        <w:tc>
          <w:tcPr>
            <w:tcW w:w="1947" w:type="dxa"/>
            <w:vAlign w:val="center"/>
          </w:tcPr>
          <w:p w:rsidR="00B04AE3" w:rsidRDefault="00B04AE3">
            <w:pPr>
              <w:widowControl/>
              <w:jc w:val="center"/>
              <w:rPr>
                <w:b/>
                <w:sz w:val="21"/>
                <w:szCs w:val="21"/>
              </w:rPr>
            </w:pPr>
            <w:r>
              <w:rPr>
                <w:rFonts w:hint="eastAsia"/>
                <w:b/>
                <w:sz w:val="21"/>
                <w:szCs w:val="21"/>
              </w:rPr>
              <w:t>原辅材料或产品名称</w:t>
            </w:r>
          </w:p>
        </w:tc>
        <w:tc>
          <w:tcPr>
            <w:tcW w:w="2156" w:type="dxa"/>
            <w:vAlign w:val="center"/>
          </w:tcPr>
          <w:p w:rsidR="00B04AE3" w:rsidRDefault="00B04AE3">
            <w:pPr>
              <w:widowControl/>
              <w:jc w:val="center"/>
              <w:rPr>
                <w:b/>
                <w:sz w:val="21"/>
                <w:szCs w:val="21"/>
              </w:rPr>
            </w:pPr>
            <w:r>
              <w:rPr>
                <w:rFonts w:hint="eastAsia"/>
                <w:b/>
                <w:sz w:val="21"/>
                <w:szCs w:val="21"/>
              </w:rPr>
              <w:t>主要成分</w:t>
            </w:r>
          </w:p>
        </w:tc>
        <w:tc>
          <w:tcPr>
            <w:tcW w:w="1216" w:type="dxa"/>
            <w:vAlign w:val="center"/>
          </w:tcPr>
          <w:p w:rsidR="00B04AE3" w:rsidRDefault="00B04AE3">
            <w:pPr>
              <w:widowControl/>
              <w:jc w:val="center"/>
              <w:rPr>
                <w:b/>
                <w:sz w:val="21"/>
                <w:szCs w:val="21"/>
              </w:rPr>
            </w:pPr>
            <w:r>
              <w:rPr>
                <w:rFonts w:hint="eastAsia"/>
                <w:b/>
                <w:sz w:val="21"/>
                <w:szCs w:val="21"/>
              </w:rPr>
              <w:t>最大存放量</w:t>
            </w:r>
          </w:p>
        </w:tc>
        <w:tc>
          <w:tcPr>
            <w:tcW w:w="973" w:type="dxa"/>
            <w:vAlign w:val="center"/>
          </w:tcPr>
          <w:p w:rsidR="00B04AE3" w:rsidRDefault="00B04AE3">
            <w:pPr>
              <w:widowControl/>
              <w:jc w:val="center"/>
              <w:rPr>
                <w:b/>
                <w:sz w:val="21"/>
                <w:szCs w:val="21"/>
              </w:rPr>
            </w:pPr>
            <w:r>
              <w:rPr>
                <w:rFonts w:hint="eastAsia"/>
                <w:b/>
                <w:sz w:val="21"/>
                <w:szCs w:val="21"/>
              </w:rPr>
              <w:t>运输方式</w:t>
            </w:r>
          </w:p>
        </w:tc>
        <w:tc>
          <w:tcPr>
            <w:tcW w:w="1142" w:type="dxa"/>
            <w:vAlign w:val="center"/>
          </w:tcPr>
          <w:p w:rsidR="00B04AE3" w:rsidRDefault="00B04AE3">
            <w:pPr>
              <w:widowControl/>
              <w:jc w:val="center"/>
              <w:rPr>
                <w:b/>
                <w:sz w:val="21"/>
                <w:szCs w:val="21"/>
              </w:rPr>
            </w:pPr>
            <w:r>
              <w:rPr>
                <w:rFonts w:hint="eastAsia"/>
                <w:b/>
                <w:sz w:val="21"/>
                <w:szCs w:val="21"/>
              </w:rPr>
              <w:t>包装方式</w:t>
            </w:r>
          </w:p>
        </w:tc>
        <w:tc>
          <w:tcPr>
            <w:tcW w:w="1526" w:type="dxa"/>
            <w:vAlign w:val="center"/>
          </w:tcPr>
          <w:p w:rsidR="00B04AE3" w:rsidRDefault="00B04AE3">
            <w:pPr>
              <w:widowControl/>
              <w:jc w:val="center"/>
              <w:rPr>
                <w:b/>
                <w:sz w:val="21"/>
                <w:szCs w:val="21"/>
              </w:rPr>
            </w:pPr>
            <w:r>
              <w:rPr>
                <w:rFonts w:hint="eastAsia"/>
                <w:b/>
                <w:sz w:val="21"/>
                <w:szCs w:val="21"/>
              </w:rPr>
              <w:t>仓库或堆场名称</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热轧钢板</w:t>
            </w:r>
          </w:p>
        </w:tc>
        <w:tc>
          <w:tcPr>
            <w:tcW w:w="2156" w:type="dxa"/>
            <w:vAlign w:val="center"/>
          </w:tcPr>
          <w:p w:rsidR="00B04AE3" w:rsidRDefault="00B04AE3">
            <w:pPr>
              <w:widowControl/>
              <w:jc w:val="center"/>
              <w:rPr>
                <w:sz w:val="21"/>
                <w:szCs w:val="21"/>
              </w:rPr>
            </w:pPr>
            <w:r>
              <w:rPr>
                <w:sz w:val="21"/>
                <w:szCs w:val="21"/>
              </w:rPr>
              <w:t>/</w:t>
            </w:r>
          </w:p>
        </w:tc>
        <w:tc>
          <w:tcPr>
            <w:tcW w:w="1216" w:type="dxa"/>
            <w:vAlign w:val="center"/>
          </w:tcPr>
          <w:p w:rsidR="00B04AE3" w:rsidRDefault="00B04AE3">
            <w:pPr>
              <w:widowControl/>
              <w:jc w:val="center"/>
              <w:rPr>
                <w:sz w:val="21"/>
                <w:szCs w:val="21"/>
              </w:rPr>
            </w:pPr>
            <w:r>
              <w:rPr>
                <w:sz w:val="21"/>
                <w:szCs w:val="21"/>
              </w:rPr>
              <w:t>70t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sz w:val="21"/>
                <w:szCs w:val="21"/>
              </w:rPr>
              <w:t>/</w:t>
            </w:r>
          </w:p>
        </w:tc>
        <w:tc>
          <w:tcPr>
            <w:tcW w:w="1526" w:type="dxa"/>
            <w:vAlign w:val="center"/>
          </w:tcPr>
          <w:p w:rsidR="00B04AE3" w:rsidRDefault="00B04AE3">
            <w:pPr>
              <w:widowControl/>
              <w:jc w:val="center"/>
              <w:rPr>
                <w:sz w:val="21"/>
                <w:szCs w:val="21"/>
              </w:rPr>
            </w:pPr>
            <w:r>
              <w:rPr>
                <w:rFonts w:hint="eastAsia"/>
                <w:sz w:val="21"/>
                <w:szCs w:val="21"/>
              </w:rPr>
              <w:t>钣金工场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冷轧钢板</w:t>
            </w:r>
          </w:p>
        </w:tc>
        <w:tc>
          <w:tcPr>
            <w:tcW w:w="2156" w:type="dxa"/>
            <w:vAlign w:val="center"/>
          </w:tcPr>
          <w:p w:rsidR="00B04AE3" w:rsidRDefault="00B04AE3">
            <w:pPr>
              <w:widowControl/>
              <w:jc w:val="center"/>
              <w:rPr>
                <w:sz w:val="21"/>
                <w:szCs w:val="21"/>
              </w:rPr>
            </w:pPr>
            <w:r>
              <w:rPr>
                <w:sz w:val="21"/>
                <w:szCs w:val="21"/>
              </w:rPr>
              <w:t>/</w:t>
            </w:r>
          </w:p>
        </w:tc>
        <w:tc>
          <w:tcPr>
            <w:tcW w:w="1216" w:type="dxa"/>
            <w:vAlign w:val="center"/>
          </w:tcPr>
          <w:p w:rsidR="00B04AE3" w:rsidRDefault="00B04AE3">
            <w:pPr>
              <w:widowControl/>
              <w:jc w:val="center"/>
              <w:rPr>
                <w:sz w:val="21"/>
                <w:szCs w:val="21"/>
              </w:rPr>
            </w:pPr>
            <w:r>
              <w:rPr>
                <w:sz w:val="21"/>
                <w:szCs w:val="21"/>
              </w:rPr>
              <w:t>1.8t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sz w:val="21"/>
                <w:szCs w:val="21"/>
              </w:rPr>
              <w:t>/</w:t>
            </w:r>
          </w:p>
        </w:tc>
        <w:tc>
          <w:tcPr>
            <w:tcW w:w="1526" w:type="dxa"/>
            <w:vAlign w:val="center"/>
          </w:tcPr>
          <w:p w:rsidR="00B04AE3" w:rsidRDefault="00B04AE3">
            <w:pPr>
              <w:widowControl/>
              <w:jc w:val="center"/>
              <w:rPr>
                <w:sz w:val="21"/>
                <w:szCs w:val="21"/>
              </w:rPr>
            </w:pPr>
            <w:r>
              <w:rPr>
                <w:rFonts w:hint="eastAsia"/>
                <w:sz w:val="21"/>
                <w:szCs w:val="21"/>
              </w:rPr>
              <w:t>钣金工场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硅钢板</w:t>
            </w:r>
          </w:p>
        </w:tc>
        <w:tc>
          <w:tcPr>
            <w:tcW w:w="2156" w:type="dxa"/>
            <w:vAlign w:val="center"/>
          </w:tcPr>
          <w:p w:rsidR="00B04AE3" w:rsidRDefault="00B04AE3">
            <w:pPr>
              <w:widowControl/>
              <w:jc w:val="center"/>
              <w:rPr>
                <w:sz w:val="21"/>
                <w:szCs w:val="21"/>
              </w:rPr>
            </w:pPr>
            <w:r>
              <w:rPr>
                <w:sz w:val="21"/>
                <w:szCs w:val="21"/>
              </w:rPr>
              <w:t>/</w:t>
            </w:r>
          </w:p>
        </w:tc>
        <w:tc>
          <w:tcPr>
            <w:tcW w:w="1216" w:type="dxa"/>
            <w:vAlign w:val="center"/>
          </w:tcPr>
          <w:p w:rsidR="00B04AE3" w:rsidRDefault="00B04AE3">
            <w:pPr>
              <w:widowControl/>
              <w:jc w:val="center"/>
              <w:rPr>
                <w:sz w:val="21"/>
                <w:szCs w:val="21"/>
              </w:rPr>
            </w:pPr>
            <w:r>
              <w:rPr>
                <w:sz w:val="21"/>
                <w:szCs w:val="21"/>
              </w:rPr>
              <w:t>170t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sz w:val="21"/>
                <w:szCs w:val="21"/>
              </w:rPr>
              <w:t>/</w:t>
            </w:r>
          </w:p>
        </w:tc>
        <w:tc>
          <w:tcPr>
            <w:tcW w:w="1526" w:type="dxa"/>
            <w:vAlign w:val="center"/>
          </w:tcPr>
          <w:p w:rsidR="00B04AE3" w:rsidRDefault="00B04AE3">
            <w:pPr>
              <w:widowControl/>
              <w:jc w:val="center"/>
              <w:rPr>
                <w:sz w:val="21"/>
                <w:szCs w:val="21"/>
              </w:rPr>
            </w:pPr>
            <w:r>
              <w:rPr>
                <w:rFonts w:hint="eastAsia"/>
                <w:sz w:val="21"/>
                <w:szCs w:val="21"/>
              </w:rPr>
              <w:t>铁芯工场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阀片钢</w:t>
            </w:r>
          </w:p>
        </w:tc>
        <w:tc>
          <w:tcPr>
            <w:tcW w:w="2156" w:type="dxa"/>
            <w:vAlign w:val="center"/>
          </w:tcPr>
          <w:p w:rsidR="00B04AE3" w:rsidRDefault="00B04AE3">
            <w:pPr>
              <w:widowControl/>
              <w:jc w:val="center"/>
              <w:rPr>
                <w:sz w:val="21"/>
                <w:szCs w:val="21"/>
              </w:rPr>
            </w:pPr>
            <w:r>
              <w:rPr>
                <w:sz w:val="21"/>
                <w:szCs w:val="21"/>
              </w:rPr>
              <w:t>/</w:t>
            </w:r>
          </w:p>
        </w:tc>
        <w:tc>
          <w:tcPr>
            <w:tcW w:w="1216" w:type="dxa"/>
            <w:vAlign w:val="center"/>
          </w:tcPr>
          <w:p w:rsidR="00B04AE3" w:rsidRDefault="00B04AE3">
            <w:pPr>
              <w:widowControl/>
              <w:jc w:val="center"/>
              <w:rPr>
                <w:sz w:val="21"/>
                <w:szCs w:val="21"/>
              </w:rPr>
            </w:pPr>
            <w:r>
              <w:rPr>
                <w:sz w:val="21"/>
                <w:szCs w:val="21"/>
              </w:rPr>
              <w:t>0.07t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sz w:val="21"/>
                <w:szCs w:val="21"/>
              </w:rPr>
              <w:t>/</w:t>
            </w:r>
          </w:p>
        </w:tc>
        <w:tc>
          <w:tcPr>
            <w:tcW w:w="1526" w:type="dxa"/>
            <w:vAlign w:val="center"/>
          </w:tcPr>
          <w:p w:rsidR="00B04AE3" w:rsidRDefault="00B04AE3">
            <w:pPr>
              <w:widowControl/>
              <w:jc w:val="center"/>
              <w:rPr>
                <w:sz w:val="21"/>
                <w:szCs w:val="21"/>
              </w:rPr>
            </w:pPr>
            <w:r>
              <w:rPr>
                <w:rFonts w:hint="eastAsia"/>
                <w:sz w:val="21"/>
                <w:szCs w:val="21"/>
              </w:rPr>
              <w:t>电机工场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汽车热轧钢</w:t>
            </w:r>
          </w:p>
        </w:tc>
        <w:tc>
          <w:tcPr>
            <w:tcW w:w="2156" w:type="dxa"/>
            <w:vAlign w:val="center"/>
          </w:tcPr>
          <w:p w:rsidR="00B04AE3" w:rsidRDefault="00B04AE3">
            <w:pPr>
              <w:widowControl/>
              <w:jc w:val="center"/>
              <w:rPr>
                <w:sz w:val="21"/>
                <w:szCs w:val="21"/>
              </w:rPr>
            </w:pPr>
            <w:r>
              <w:rPr>
                <w:sz w:val="21"/>
                <w:szCs w:val="21"/>
              </w:rPr>
              <w:t>/</w:t>
            </w:r>
          </w:p>
        </w:tc>
        <w:tc>
          <w:tcPr>
            <w:tcW w:w="1216" w:type="dxa"/>
            <w:vAlign w:val="center"/>
          </w:tcPr>
          <w:p w:rsidR="00B04AE3" w:rsidRDefault="00B04AE3">
            <w:pPr>
              <w:widowControl/>
              <w:jc w:val="center"/>
              <w:rPr>
                <w:sz w:val="21"/>
                <w:szCs w:val="21"/>
              </w:rPr>
            </w:pPr>
            <w:r>
              <w:rPr>
                <w:sz w:val="21"/>
                <w:szCs w:val="21"/>
              </w:rPr>
              <w:t>0.7t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sz w:val="21"/>
                <w:szCs w:val="21"/>
              </w:rPr>
              <w:t>/</w:t>
            </w:r>
          </w:p>
        </w:tc>
        <w:tc>
          <w:tcPr>
            <w:tcW w:w="1526" w:type="dxa"/>
            <w:vAlign w:val="center"/>
          </w:tcPr>
          <w:p w:rsidR="00B04AE3" w:rsidRDefault="00B04AE3">
            <w:pPr>
              <w:widowControl/>
              <w:jc w:val="center"/>
              <w:rPr>
                <w:sz w:val="21"/>
                <w:szCs w:val="21"/>
              </w:rPr>
            </w:pPr>
            <w:r>
              <w:rPr>
                <w:rFonts w:hint="eastAsia"/>
                <w:sz w:val="21"/>
                <w:szCs w:val="21"/>
              </w:rPr>
              <w:t>电机工场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漆包线</w:t>
            </w:r>
          </w:p>
        </w:tc>
        <w:tc>
          <w:tcPr>
            <w:tcW w:w="2156" w:type="dxa"/>
            <w:vAlign w:val="center"/>
          </w:tcPr>
          <w:p w:rsidR="00B04AE3" w:rsidRDefault="00B04AE3">
            <w:pPr>
              <w:widowControl/>
              <w:jc w:val="center"/>
              <w:rPr>
                <w:sz w:val="21"/>
                <w:szCs w:val="21"/>
              </w:rPr>
            </w:pPr>
            <w:r>
              <w:rPr>
                <w:sz w:val="21"/>
                <w:szCs w:val="21"/>
              </w:rPr>
              <w:t>/</w:t>
            </w:r>
          </w:p>
        </w:tc>
        <w:tc>
          <w:tcPr>
            <w:tcW w:w="1216" w:type="dxa"/>
            <w:vAlign w:val="center"/>
          </w:tcPr>
          <w:p w:rsidR="00B04AE3" w:rsidRDefault="00B04AE3">
            <w:pPr>
              <w:widowControl/>
              <w:jc w:val="center"/>
              <w:rPr>
                <w:sz w:val="21"/>
                <w:szCs w:val="21"/>
              </w:rPr>
            </w:pPr>
            <w:r>
              <w:rPr>
                <w:sz w:val="21"/>
                <w:szCs w:val="21"/>
              </w:rPr>
              <w:t>23.8t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sz w:val="21"/>
                <w:szCs w:val="21"/>
              </w:rPr>
              <w:t>/</w:t>
            </w:r>
          </w:p>
        </w:tc>
        <w:tc>
          <w:tcPr>
            <w:tcW w:w="1526" w:type="dxa"/>
            <w:vAlign w:val="center"/>
          </w:tcPr>
          <w:p w:rsidR="00B04AE3" w:rsidRDefault="00B04AE3">
            <w:pPr>
              <w:widowControl/>
              <w:jc w:val="center"/>
              <w:rPr>
                <w:sz w:val="21"/>
                <w:szCs w:val="21"/>
              </w:rPr>
            </w:pPr>
            <w:r>
              <w:rPr>
                <w:rFonts w:hint="eastAsia"/>
                <w:sz w:val="21"/>
                <w:szCs w:val="21"/>
              </w:rPr>
              <w:t>电机工场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铝</w:t>
            </w:r>
          </w:p>
        </w:tc>
        <w:tc>
          <w:tcPr>
            <w:tcW w:w="2156" w:type="dxa"/>
            <w:vAlign w:val="center"/>
          </w:tcPr>
          <w:p w:rsidR="00B04AE3" w:rsidRDefault="00B04AE3">
            <w:pPr>
              <w:widowControl/>
              <w:jc w:val="center"/>
              <w:rPr>
                <w:sz w:val="21"/>
                <w:szCs w:val="21"/>
              </w:rPr>
            </w:pPr>
            <w:r>
              <w:rPr>
                <w:sz w:val="21"/>
                <w:szCs w:val="21"/>
              </w:rPr>
              <w:t>Al</w:t>
            </w:r>
          </w:p>
        </w:tc>
        <w:tc>
          <w:tcPr>
            <w:tcW w:w="1216" w:type="dxa"/>
            <w:vAlign w:val="center"/>
          </w:tcPr>
          <w:p w:rsidR="00B04AE3" w:rsidRDefault="00B04AE3">
            <w:pPr>
              <w:widowControl/>
              <w:jc w:val="center"/>
              <w:rPr>
                <w:sz w:val="21"/>
                <w:szCs w:val="21"/>
              </w:rPr>
            </w:pPr>
            <w:r>
              <w:rPr>
                <w:sz w:val="21"/>
                <w:szCs w:val="21"/>
              </w:rPr>
              <w:t>5t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sz w:val="21"/>
                <w:szCs w:val="21"/>
              </w:rPr>
              <w:t>/</w:t>
            </w:r>
          </w:p>
        </w:tc>
        <w:tc>
          <w:tcPr>
            <w:tcW w:w="1526" w:type="dxa"/>
            <w:vAlign w:val="center"/>
          </w:tcPr>
          <w:p w:rsidR="00B04AE3" w:rsidRDefault="00B04AE3">
            <w:pPr>
              <w:widowControl/>
              <w:jc w:val="center"/>
              <w:rPr>
                <w:sz w:val="21"/>
                <w:szCs w:val="21"/>
              </w:rPr>
            </w:pPr>
            <w:r>
              <w:rPr>
                <w:rFonts w:hint="eastAsia"/>
                <w:sz w:val="21"/>
                <w:szCs w:val="21"/>
              </w:rPr>
              <w:t>铁芯工场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铸片毛坯</w:t>
            </w:r>
          </w:p>
        </w:tc>
        <w:tc>
          <w:tcPr>
            <w:tcW w:w="2156" w:type="dxa"/>
            <w:vAlign w:val="center"/>
          </w:tcPr>
          <w:p w:rsidR="00B04AE3" w:rsidRDefault="00B04AE3">
            <w:pPr>
              <w:widowControl/>
              <w:jc w:val="center"/>
              <w:rPr>
                <w:sz w:val="21"/>
                <w:szCs w:val="21"/>
              </w:rPr>
            </w:pPr>
            <w:r>
              <w:rPr>
                <w:sz w:val="21"/>
                <w:szCs w:val="21"/>
              </w:rPr>
              <w:t>/</w:t>
            </w:r>
          </w:p>
        </w:tc>
        <w:tc>
          <w:tcPr>
            <w:tcW w:w="1216" w:type="dxa"/>
            <w:vAlign w:val="center"/>
          </w:tcPr>
          <w:p w:rsidR="00B04AE3" w:rsidRDefault="00B04AE3">
            <w:pPr>
              <w:widowControl/>
              <w:jc w:val="center"/>
              <w:rPr>
                <w:sz w:val="21"/>
                <w:szCs w:val="21"/>
              </w:rPr>
            </w:pPr>
            <w:r>
              <w:rPr>
                <w:sz w:val="21"/>
                <w:szCs w:val="21"/>
              </w:rPr>
              <w:t>2</w:t>
            </w:r>
            <w:r>
              <w:rPr>
                <w:rFonts w:hint="eastAsia"/>
                <w:sz w:val="21"/>
                <w:szCs w:val="21"/>
              </w:rPr>
              <w:t>万套</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sz w:val="21"/>
                <w:szCs w:val="21"/>
              </w:rPr>
              <w:t>/</w:t>
            </w:r>
          </w:p>
        </w:tc>
        <w:tc>
          <w:tcPr>
            <w:tcW w:w="1526" w:type="dxa"/>
            <w:vAlign w:val="center"/>
          </w:tcPr>
          <w:p w:rsidR="00B04AE3" w:rsidRDefault="00B04AE3">
            <w:pPr>
              <w:widowControl/>
              <w:jc w:val="center"/>
              <w:rPr>
                <w:sz w:val="21"/>
                <w:szCs w:val="21"/>
              </w:rPr>
            </w:pPr>
            <w:r>
              <w:rPr>
                <w:rFonts w:hint="eastAsia"/>
                <w:sz w:val="21"/>
                <w:szCs w:val="21"/>
              </w:rPr>
              <w:t>机加工工场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粉末冶金件</w:t>
            </w:r>
          </w:p>
        </w:tc>
        <w:tc>
          <w:tcPr>
            <w:tcW w:w="2156" w:type="dxa"/>
            <w:vAlign w:val="center"/>
          </w:tcPr>
          <w:p w:rsidR="00B04AE3" w:rsidRDefault="00B04AE3">
            <w:pPr>
              <w:widowControl/>
              <w:jc w:val="center"/>
              <w:rPr>
                <w:sz w:val="21"/>
                <w:szCs w:val="21"/>
              </w:rPr>
            </w:pPr>
            <w:r>
              <w:rPr>
                <w:sz w:val="21"/>
                <w:szCs w:val="21"/>
              </w:rPr>
              <w:t>/</w:t>
            </w:r>
          </w:p>
        </w:tc>
        <w:tc>
          <w:tcPr>
            <w:tcW w:w="1216" w:type="dxa"/>
            <w:vAlign w:val="center"/>
          </w:tcPr>
          <w:p w:rsidR="00B04AE3" w:rsidRDefault="00B04AE3">
            <w:pPr>
              <w:widowControl/>
              <w:jc w:val="center"/>
              <w:rPr>
                <w:sz w:val="21"/>
                <w:szCs w:val="21"/>
              </w:rPr>
            </w:pPr>
            <w:r>
              <w:rPr>
                <w:sz w:val="21"/>
                <w:szCs w:val="21"/>
              </w:rPr>
              <w:t>2</w:t>
            </w:r>
            <w:r>
              <w:rPr>
                <w:rFonts w:hint="eastAsia"/>
                <w:sz w:val="21"/>
                <w:szCs w:val="21"/>
              </w:rPr>
              <w:t>万套</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sz w:val="21"/>
                <w:szCs w:val="21"/>
              </w:rPr>
              <w:t>/</w:t>
            </w:r>
          </w:p>
        </w:tc>
        <w:tc>
          <w:tcPr>
            <w:tcW w:w="1526" w:type="dxa"/>
            <w:vAlign w:val="center"/>
          </w:tcPr>
          <w:p w:rsidR="00B04AE3" w:rsidRDefault="00B04AE3">
            <w:pPr>
              <w:widowControl/>
              <w:jc w:val="center"/>
              <w:rPr>
                <w:sz w:val="21"/>
                <w:szCs w:val="21"/>
              </w:rPr>
            </w:pPr>
            <w:r>
              <w:rPr>
                <w:rFonts w:hint="eastAsia"/>
                <w:sz w:val="21"/>
                <w:szCs w:val="21"/>
              </w:rPr>
              <w:t>机加工工场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冷冻机油</w:t>
            </w:r>
          </w:p>
        </w:tc>
        <w:tc>
          <w:tcPr>
            <w:tcW w:w="2156" w:type="dxa"/>
            <w:vAlign w:val="center"/>
          </w:tcPr>
          <w:p w:rsidR="00B04AE3" w:rsidRDefault="00B04AE3">
            <w:pPr>
              <w:widowControl/>
              <w:jc w:val="center"/>
              <w:rPr>
                <w:sz w:val="21"/>
                <w:szCs w:val="21"/>
              </w:rPr>
            </w:pPr>
            <w:r>
              <w:rPr>
                <w:rFonts w:hint="eastAsia"/>
                <w:sz w:val="21"/>
                <w:szCs w:val="21"/>
              </w:rPr>
              <w:t>润滑油基油</w:t>
            </w:r>
          </w:p>
        </w:tc>
        <w:tc>
          <w:tcPr>
            <w:tcW w:w="1216" w:type="dxa"/>
            <w:vAlign w:val="center"/>
          </w:tcPr>
          <w:p w:rsidR="00B04AE3" w:rsidRDefault="00B04AE3">
            <w:pPr>
              <w:widowControl/>
              <w:jc w:val="center"/>
              <w:rPr>
                <w:sz w:val="21"/>
                <w:szCs w:val="21"/>
              </w:rPr>
            </w:pPr>
            <w:r>
              <w:rPr>
                <w:sz w:val="21"/>
                <w:szCs w:val="21"/>
              </w:rPr>
              <w:t>1.2t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w:t>
            </w:r>
          </w:p>
        </w:tc>
        <w:tc>
          <w:tcPr>
            <w:tcW w:w="1526" w:type="dxa"/>
            <w:vAlign w:val="center"/>
          </w:tcPr>
          <w:p w:rsidR="00B04AE3" w:rsidRDefault="00B04AE3">
            <w:pPr>
              <w:widowControl/>
              <w:jc w:val="center"/>
              <w:rPr>
                <w:sz w:val="21"/>
                <w:szCs w:val="21"/>
              </w:rPr>
            </w:pPr>
            <w:r>
              <w:rPr>
                <w:rFonts w:hint="eastAsia"/>
                <w:sz w:val="21"/>
                <w:szCs w:val="21"/>
              </w:rPr>
              <w:t>成品工场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气体保护焊丝</w:t>
            </w:r>
          </w:p>
        </w:tc>
        <w:tc>
          <w:tcPr>
            <w:tcW w:w="2156" w:type="dxa"/>
            <w:vAlign w:val="center"/>
          </w:tcPr>
          <w:p w:rsidR="00B04AE3" w:rsidRDefault="00B04AE3">
            <w:pPr>
              <w:widowControl/>
              <w:jc w:val="center"/>
              <w:rPr>
                <w:sz w:val="21"/>
                <w:szCs w:val="21"/>
              </w:rPr>
            </w:pPr>
            <w:r>
              <w:rPr>
                <w:sz w:val="21"/>
                <w:szCs w:val="21"/>
              </w:rPr>
              <w:t>Fe</w:t>
            </w:r>
            <w:r>
              <w:rPr>
                <w:rFonts w:hint="eastAsia"/>
                <w:sz w:val="21"/>
                <w:szCs w:val="21"/>
              </w:rPr>
              <w:t>，少量</w:t>
            </w:r>
            <w:r>
              <w:rPr>
                <w:sz w:val="21"/>
                <w:szCs w:val="21"/>
              </w:rPr>
              <w:t>C</w:t>
            </w:r>
            <w:r>
              <w:rPr>
                <w:rFonts w:hint="eastAsia"/>
                <w:sz w:val="21"/>
                <w:szCs w:val="21"/>
              </w:rPr>
              <w:t>、</w:t>
            </w:r>
            <w:r>
              <w:rPr>
                <w:sz w:val="21"/>
                <w:szCs w:val="21"/>
              </w:rPr>
              <w:t>Mn</w:t>
            </w:r>
            <w:r>
              <w:rPr>
                <w:rFonts w:hint="eastAsia"/>
                <w:sz w:val="21"/>
                <w:szCs w:val="21"/>
              </w:rPr>
              <w:t>、</w:t>
            </w:r>
            <w:r>
              <w:rPr>
                <w:sz w:val="21"/>
                <w:szCs w:val="21"/>
              </w:rPr>
              <w:t>Si</w:t>
            </w:r>
            <w:r>
              <w:rPr>
                <w:rFonts w:hint="eastAsia"/>
                <w:sz w:val="21"/>
                <w:szCs w:val="21"/>
              </w:rPr>
              <w:t>等</w:t>
            </w:r>
          </w:p>
        </w:tc>
        <w:tc>
          <w:tcPr>
            <w:tcW w:w="1216" w:type="dxa"/>
            <w:vAlign w:val="center"/>
          </w:tcPr>
          <w:p w:rsidR="00B04AE3" w:rsidRDefault="00B04AE3">
            <w:pPr>
              <w:tabs>
                <w:tab w:val="left" w:pos="513"/>
              </w:tabs>
              <w:jc w:val="center"/>
              <w:rPr>
                <w:sz w:val="21"/>
                <w:szCs w:val="21"/>
              </w:rPr>
            </w:pPr>
            <w:r>
              <w:rPr>
                <w:sz w:val="21"/>
                <w:szCs w:val="21"/>
              </w:rPr>
              <w:t>2.7t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w:t>
            </w:r>
          </w:p>
        </w:tc>
        <w:tc>
          <w:tcPr>
            <w:tcW w:w="1526" w:type="dxa"/>
            <w:vAlign w:val="center"/>
          </w:tcPr>
          <w:p w:rsidR="00B04AE3" w:rsidRDefault="00B04AE3">
            <w:pPr>
              <w:widowControl/>
              <w:jc w:val="center"/>
              <w:rPr>
                <w:sz w:val="21"/>
                <w:szCs w:val="21"/>
              </w:rPr>
            </w:pPr>
            <w:r>
              <w:rPr>
                <w:rFonts w:hint="eastAsia"/>
                <w:sz w:val="21"/>
                <w:szCs w:val="21"/>
              </w:rPr>
              <w:t>辅料仓库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无镀铜合金钢焊丝</w:t>
            </w:r>
          </w:p>
        </w:tc>
        <w:tc>
          <w:tcPr>
            <w:tcW w:w="2156" w:type="dxa"/>
            <w:vAlign w:val="center"/>
          </w:tcPr>
          <w:p w:rsidR="00B04AE3" w:rsidRDefault="00B04AE3">
            <w:pPr>
              <w:widowControl/>
              <w:jc w:val="center"/>
              <w:rPr>
                <w:sz w:val="21"/>
                <w:szCs w:val="21"/>
              </w:rPr>
            </w:pPr>
            <w:r>
              <w:rPr>
                <w:sz w:val="21"/>
                <w:szCs w:val="21"/>
              </w:rPr>
              <w:t>Fe</w:t>
            </w:r>
          </w:p>
        </w:tc>
        <w:tc>
          <w:tcPr>
            <w:tcW w:w="1216" w:type="dxa"/>
            <w:vAlign w:val="center"/>
          </w:tcPr>
          <w:p w:rsidR="00B04AE3" w:rsidRDefault="00B04AE3">
            <w:pPr>
              <w:jc w:val="center"/>
              <w:rPr>
                <w:sz w:val="21"/>
                <w:szCs w:val="21"/>
              </w:rPr>
            </w:pPr>
            <w:r>
              <w:rPr>
                <w:sz w:val="21"/>
                <w:szCs w:val="21"/>
              </w:rPr>
              <w:t>2.1t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w:t>
            </w:r>
            <w:r>
              <w:rPr>
                <w:sz w:val="21"/>
                <w:szCs w:val="21"/>
              </w:rPr>
              <w:t>/</w:t>
            </w:r>
            <w:r>
              <w:rPr>
                <w:rFonts w:hint="eastAsia"/>
                <w:sz w:val="21"/>
                <w:szCs w:val="21"/>
              </w:rPr>
              <w:t>卷</w:t>
            </w:r>
          </w:p>
        </w:tc>
        <w:tc>
          <w:tcPr>
            <w:tcW w:w="1526" w:type="dxa"/>
            <w:vAlign w:val="center"/>
          </w:tcPr>
          <w:p w:rsidR="00B04AE3" w:rsidRDefault="00B04AE3">
            <w:pPr>
              <w:widowControl/>
              <w:jc w:val="center"/>
              <w:rPr>
                <w:sz w:val="21"/>
                <w:szCs w:val="21"/>
              </w:rPr>
            </w:pPr>
            <w:r>
              <w:rPr>
                <w:rFonts w:hint="eastAsia"/>
                <w:sz w:val="21"/>
                <w:szCs w:val="21"/>
              </w:rPr>
              <w:t>辅料仓库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银基钎料</w:t>
            </w:r>
          </w:p>
        </w:tc>
        <w:tc>
          <w:tcPr>
            <w:tcW w:w="2156" w:type="dxa"/>
            <w:vAlign w:val="center"/>
          </w:tcPr>
          <w:p w:rsidR="00B04AE3" w:rsidRDefault="00B04AE3">
            <w:pPr>
              <w:widowControl/>
              <w:jc w:val="center"/>
              <w:rPr>
                <w:sz w:val="21"/>
                <w:szCs w:val="21"/>
              </w:rPr>
            </w:pPr>
            <w:r>
              <w:rPr>
                <w:sz w:val="21"/>
                <w:szCs w:val="21"/>
              </w:rPr>
              <w:t>Cu</w:t>
            </w:r>
            <w:r>
              <w:rPr>
                <w:rFonts w:hint="eastAsia"/>
                <w:sz w:val="21"/>
                <w:szCs w:val="21"/>
              </w:rPr>
              <w:t>、含极少量</w:t>
            </w:r>
            <w:r>
              <w:rPr>
                <w:sz w:val="21"/>
                <w:szCs w:val="21"/>
              </w:rPr>
              <w:t>Ag</w:t>
            </w:r>
            <w:r>
              <w:rPr>
                <w:rFonts w:hint="eastAsia"/>
                <w:sz w:val="21"/>
                <w:szCs w:val="21"/>
              </w:rPr>
              <w:t>、</w:t>
            </w:r>
            <w:r>
              <w:rPr>
                <w:sz w:val="21"/>
                <w:szCs w:val="21"/>
              </w:rPr>
              <w:t>Zn</w:t>
            </w:r>
            <w:r>
              <w:rPr>
                <w:rFonts w:hint="eastAsia"/>
                <w:sz w:val="21"/>
                <w:szCs w:val="21"/>
              </w:rPr>
              <w:t>等</w:t>
            </w:r>
          </w:p>
        </w:tc>
        <w:tc>
          <w:tcPr>
            <w:tcW w:w="1216" w:type="dxa"/>
            <w:vAlign w:val="center"/>
          </w:tcPr>
          <w:p w:rsidR="00B04AE3" w:rsidRDefault="00B04AE3">
            <w:pPr>
              <w:jc w:val="center"/>
              <w:rPr>
                <w:sz w:val="21"/>
                <w:szCs w:val="21"/>
              </w:rPr>
            </w:pPr>
            <w:r>
              <w:rPr>
                <w:sz w:val="21"/>
                <w:szCs w:val="21"/>
              </w:rPr>
              <w:t>1.8t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卷</w:t>
            </w:r>
          </w:p>
        </w:tc>
        <w:tc>
          <w:tcPr>
            <w:tcW w:w="1526" w:type="dxa"/>
            <w:vAlign w:val="center"/>
          </w:tcPr>
          <w:p w:rsidR="00B04AE3" w:rsidRDefault="00B04AE3">
            <w:pPr>
              <w:widowControl/>
              <w:jc w:val="center"/>
              <w:rPr>
                <w:sz w:val="21"/>
                <w:szCs w:val="21"/>
              </w:rPr>
            </w:pPr>
            <w:r>
              <w:rPr>
                <w:rFonts w:hint="eastAsia"/>
                <w:sz w:val="21"/>
                <w:szCs w:val="21"/>
              </w:rPr>
              <w:t>辅料仓库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无银焊条</w:t>
            </w:r>
          </w:p>
        </w:tc>
        <w:tc>
          <w:tcPr>
            <w:tcW w:w="2156" w:type="dxa"/>
            <w:vAlign w:val="center"/>
          </w:tcPr>
          <w:p w:rsidR="00B04AE3" w:rsidRDefault="00B04AE3">
            <w:pPr>
              <w:widowControl/>
              <w:jc w:val="center"/>
              <w:rPr>
                <w:sz w:val="21"/>
                <w:szCs w:val="21"/>
              </w:rPr>
            </w:pPr>
            <w:r>
              <w:rPr>
                <w:sz w:val="21"/>
                <w:szCs w:val="21"/>
              </w:rPr>
              <w:t>Cu</w:t>
            </w:r>
            <w:r>
              <w:rPr>
                <w:rFonts w:hint="eastAsia"/>
                <w:sz w:val="21"/>
                <w:szCs w:val="21"/>
              </w:rPr>
              <w:t>、含极少量</w:t>
            </w:r>
            <w:r>
              <w:rPr>
                <w:sz w:val="21"/>
                <w:szCs w:val="21"/>
              </w:rPr>
              <w:t>P</w:t>
            </w:r>
            <w:r>
              <w:rPr>
                <w:rFonts w:hint="eastAsia"/>
                <w:sz w:val="21"/>
                <w:szCs w:val="21"/>
              </w:rPr>
              <w:t>等</w:t>
            </w:r>
          </w:p>
        </w:tc>
        <w:tc>
          <w:tcPr>
            <w:tcW w:w="1216" w:type="dxa"/>
            <w:vAlign w:val="center"/>
          </w:tcPr>
          <w:p w:rsidR="00B04AE3" w:rsidRDefault="00B04AE3">
            <w:pPr>
              <w:jc w:val="center"/>
              <w:rPr>
                <w:sz w:val="21"/>
                <w:szCs w:val="21"/>
              </w:rPr>
            </w:pPr>
            <w:r>
              <w:rPr>
                <w:sz w:val="21"/>
                <w:szCs w:val="21"/>
              </w:rPr>
              <w:t>3.0t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包</w:t>
            </w:r>
          </w:p>
        </w:tc>
        <w:tc>
          <w:tcPr>
            <w:tcW w:w="1526" w:type="dxa"/>
            <w:vAlign w:val="center"/>
          </w:tcPr>
          <w:p w:rsidR="00B04AE3" w:rsidRDefault="00B04AE3">
            <w:pPr>
              <w:widowControl/>
              <w:jc w:val="center"/>
              <w:rPr>
                <w:sz w:val="21"/>
                <w:szCs w:val="21"/>
              </w:rPr>
            </w:pPr>
            <w:r>
              <w:rPr>
                <w:rFonts w:hint="eastAsia"/>
                <w:sz w:val="21"/>
                <w:szCs w:val="21"/>
              </w:rPr>
              <w:t>辅料仓库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磷铜钎料</w:t>
            </w:r>
          </w:p>
        </w:tc>
        <w:tc>
          <w:tcPr>
            <w:tcW w:w="2156" w:type="dxa"/>
            <w:vAlign w:val="center"/>
          </w:tcPr>
          <w:p w:rsidR="00B04AE3" w:rsidRDefault="00B04AE3">
            <w:pPr>
              <w:widowControl/>
              <w:jc w:val="center"/>
              <w:rPr>
                <w:sz w:val="21"/>
                <w:szCs w:val="21"/>
              </w:rPr>
            </w:pPr>
            <w:r>
              <w:rPr>
                <w:sz w:val="21"/>
                <w:szCs w:val="21"/>
              </w:rPr>
              <w:t>Cu</w:t>
            </w:r>
            <w:r>
              <w:rPr>
                <w:rFonts w:hint="eastAsia"/>
                <w:sz w:val="21"/>
                <w:szCs w:val="21"/>
              </w:rPr>
              <w:t>、含极少量</w:t>
            </w:r>
            <w:r>
              <w:rPr>
                <w:sz w:val="21"/>
                <w:szCs w:val="21"/>
              </w:rPr>
              <w:t>P</w:t>
            </w:r>
            <w:r>
              <w:rPr>
                <w:rFonts w:hint="eastAsia"/>
                <w:sz w:val="21"/>
                <w:szCs w:val="21"/>
              </w:rPr>
              <w:t>等</w:t>
            </w:r>
          </w:p>
        </w:tc>
        <w:tc>
          <w:tcPr>
            <w:tcW w:w="1216" w:type="dxa"/>
            <w:vAlign w:val="center"/>
          </w:tcPr>
          <w:p w:rsidR="00B04AE3" w:rsidRDefault="00B04AE3">
            <w:pPr>
              <w:jc w:val="center"/>
              <w:rPr>
                <w:sz w:val="21"/>
                <w:szCs w:val="21"/>
              </w:rPr>
            </w:pPr>
            <w:r>
              <w:rPr>
                <w:sz w:val="21"/>
                <w:szCs w:val="21"/>
              </w:rPr>
              <w:t>1.5t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包</w:t>
            </w:r>
          </w:p>
        </w:tc>
        <w:tc>
          <w:tcPr>
            <w:tcW w:w="1526" w:type="dxa"/>
            <w:vAlign w:val="center"/>
          </w:tcPr>
          <w:p w:rsidR="00B04AE3" w:rsidRDefault="00B04AE3">
            <w:pPr>
              <w:widowControl/>
              <w:jc w:val="center"/>
              <w:rPr>
                <w:sz w:val="21"/>
                <w:szCs w:val="21"/>
              </w:rPr>
            </w:pPr>
            <w:r>
              <w:rPr>
                <w:rFonts w:hint="eastAsia"/>
                <w:sz w:val="21"/>
                <w:szCs w:val="21"/>
              </w:rPr>
              <w:t>辅料仓库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天然气</w:t>
            </w:r>
          </w:p>
        </w:tc>
        <w:tc>
          <w:tcPr>
            <w:tcW w:w="2156" w:type="dxa"/>
            <w:vAlign w:val="center"/>
          </w:tcPr>
          <w:p w:rsidR="00B04AE3" w:rsidRDefault="00B04AE3">
            <w:pPr>
              <w:widowControl/>
              <w:jc w:val="center"/>
              <w:rPr>
                <w:sz w:val="21"/>
                <w:szCs w:val="21"/>
              </w:rPr>
            </w:pPr>
          </w:p>
        </w:tc>
        <w:tc>
          <w:tcPr>
            <w:tcW w:w="1216" w:type="dxa"/>
            <w:vAlign w:val="center"/>
          </w:tcPr>
          <w:p w:rsidR="00B04AE3" w:rsidRDefault="00B04AE3">
            <w:pPr>
              <w:widowControl/>
              <w:jc w:val="center"/>
              <w:rPr>
                <w:sz w:val="21"/>
                <w:szCs w:val="21"/>
              </w:rPr>
            </w:pPr>
          </w:p>
        </w:tc>
        <w:tc>
          <w:tcPr>
            <w:tcW w:w="973" w:type="dxa"/>
            <w:vAlign w:val="center"/>
          </w:tcPr>
          <w:p w:rsidR="00B04AE3" w:rsidRDefault="00B04AE3">
            <w:pPr>
              <w:widowControl/>
              <w:jc w:val="center"/>
              <w:rPr>
                <w:sz w:val="21"/>
                <w:szCs w:val="21"/>
              </w:rPr>
            </w:pPr>
            <w:r>
              <w:rPr>
                <w:rFonts w:hint="eastAsia"/>
                <w:sz w:val="21"/>
                <w:szCs w:val="21"/>
              </w:rPr>
              <w:t>管道</w:t>
            </w:r>
          </w:p>
        </w:tc>
        <w:tc>
          <w:tcPr>
            <w:tcW w:w="1142" w:type="dxa"/>
            <w:vAlign w:val="center"/>
          </w:tcPr>
          <w:p w:rsidR="00B04AE3" w:rsidRDefault="00B04AE3">
            <w:pPr>
              <w:widowControl/>
              <w:jc w:val="center"/>
              <w:rPr>
                <w:sz w:val="21"/>
                <w:szCs w:val="21"/>
              </w:rPr>
            </w:pPr>
            <w:r>
              <w:rPr>
                <w:rFonts w:hint="eastAsia"/>
                <w:sz w:val="21"/>
                <w:szCs w:val="21"/>
              </w:rPr>
              <w:t>管道</w:t>
            </w:r>
          </w:p>
        </w:tc>
        <w:tc>
          <w:tcPr>
            <w:tcW w:w="1526" w:type="dxa"/>
            <w:vAlign w:val="center"/>
          </w:tcPr>
          <w:p w:rsidR="00B04AE3" w:rsidRDefault="00B04AE3">
            <w:pPr>
              <w:widowControl/>
              <w:jc w:val="center"/>
              <w:rPr>
                <w:sz w:val="21"/>
                <w:szCs w:val="21"/>
              </w:rPr>
            </w:pP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液氩</w:t>
            </w:r>
          </w:p>
        </w:tc>
        <w:tc>
          <w:tcPr>
            <w:tcW w:w="2156" w:type="dxa"/>
            <w:vAlign w:val="center"/>
          </w:tcPr>
          <w:p w:rsidR="00B04AE3" w:rsidRDefault="00B04AE3">
            <w:pPr>
              <w:widowControl/>
              <w:jc w:val="center"/>
              <w:rPr>
                <w:sz w:val="21"/>
                <w:szCs w:val="21"/>
              </w:rPr>
            </w:pPr>
            <w:r>
              <w:rPr>
                <w:sz w:val="21"/>
                <w:szCs w:val="21"/>
              </w:rPr>
              <w:t>Ar</w:t>
            </w:r>
          </w:p>
        </w:tc>
        <w:tc>
          <w:tcPr>
            <w:tcW w:w="1216" w:type="dxa"/>
            <w:vAlign w:val="center"/>
          </w:tcPr>
          <w:p w:rsidR="00B04AE3" w:rsidRDefault="00B04AE3">
            <w:pPr>
              <w:widowControl/>
              <w:jc w:val="center"/>
              <w:rPr>
                <w:sz w:val="21"/>
                <w:szCs w:val="21"/>
              </w:rPr>
            </w:pPr>
            <w:r>
              <w:rPr>
                <w:sz w:val="21"/>
                <w:szCs w:val="21"/>
              </w:rPr>
              <w:t>80m</w:t>
            </w:r>
            <w:r>
              <w:rPr>
                <w:sz w:val="21"/>
                <w:szCs w:val="21"/>
                <w:vertAlign w:val="superscript"/>
              </w:rPr>
              <w:t>3</w:t>
            </w:r>
          </w:p>
        </w:tc>
        <w:tc>
          <w:tcPr>
            <w:tcW w:w="973" w:type="dxa"/>
            <w:vAlign w:val="center"/>
          </w:tcPr>
          <w:p w:rsidR="00B04AE3" w:rsidRDefault="00B04AE3">
            <w:pPr>
              <w:widowControl/>
              <w:jc w:val="center"/>
              <w:rPr>
                <w:sz w:val="21"/>
                <w:szCs w:val="21"/>
              </w:rPr>
            </w:pPr>
            <w:r>
              <w:rPr>
                <w:rFonts w:hint="eastAsia"/>
                <w:sz w:val="21"/>
                <w:szCs w:val="21"/>
              </w:rPr>
              <w:t>槽车运输</w:t>
            </w:r>
          </w:p>
        </w:tc>
        <w:tc>
          <w:tcPr>
            <w:tcW w:w="1142" w:type="dxa"/>
            <w:vAlign w:val="center"/>
          </w:tcPr>
          <w:p w:rsidR="00B04AE3" w:rsidRDefault="00B04AE3">
            <w:pPr>
              <w:widowControl/>
              <w:jc w:val="center"/>
              <w:rPr>
                <w:sz w:val="21"/>
                <w:szCs w:val="21"/>
              </w:rPr>
            </w:pPr>
            <w:r>
              <w:rPr>
                <w:rFonts w:hint="eastAsia"/>
                <w:sz w:val="21"/>
                <w:szCs w:val="21"/>
              </w:rPr>
              <w:t>罐装</w:t>
            </w:r>
          </w:p>
        </w:tc>
        <w:tc>
          <w:tcPr>
            <w:tcW w:w="1526" w:type="dxa"/>
            <w:vAlign w:val="center"/>
          </w:tcPr>
          <w:p w:rsidR="00B04AE3" w:rsidRDefault="00B04AE3">
            <w:pPr>
              <w:widowControl/>
              <w:jc w:val="center"/>
              <w:rPr>
                <w:sz w:val="21"/>
                <w:szCs w:val="21"/>
              </w:rPr>
            </w:pPr>
            <w:r>
              <w:rPr>
                <w:rFonts w:hint="eastAsia"/>
                <w:sz w:val="21"/>
                <w:szCs w:val="21"/>
              </w:rPr>
              <w:t>罐区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液氮</w:t>
            </w:r>
          </w:p>
        </w:tc>
        <w:tc>
          <w:tcPr>
            <w:tcW w:w="2156" w:type="dxa"/>
            <w:vAlign w:val="center"/>
          </w:tcPr>
          <w:p w:rsidR="00B04AE3" w:rsidRDefault="00B04AE3">
            <w:pPr>
              <w:widowControl/>
              <w:jc w:val="center"/>
              <w:rPr>
                <w:sz w:val="21"/>
                <w:szCs w:val="21"/>
              </w:rPr>
            </w:pPr>
            <w:r>
              <w:rPr>
                <w:sz w:val="21"/>
                <w:szCs w:val="21"/>
              </w:rPr>
              <w:t>N</w:t>
            </w:r>
            <w:r>
              <w:rPr>
                <w:sz w:val="21"/>
                <w:szCs w:val="21"/>
                <w:vertAlign w:val="subscript"/>
              </w:rPr>
              <w:t>2</w:t>
            </w:r>
          </w:p>
        </w:tc>
        <w:tc>
          <w:tcPr>
            <w:tcW w:w="1216" w:type="dxa"/>
            <w:vAlign w:val="center"/>
          </w:tcPr>
          <w:p w:rsidR="00B04AE3" w:rsidRDefault="00B04AE3">
            <w:pPr>
              <w:widowControl/>
              <w:jc w:val="center"/>
              <w:rPr>
                <w:sz w:val="21"/>
                <w:szCs w:val="21"/>
              </w:rPr>
            </w:pPr>
            <w:r>
              <w:rPr>
                <w:sz w:val="21"/>
                <w:szCs w:val="21"/>
              </w:rPr>
              <w:t>80m</w:t>
            </w:r>
            <w:r>
              <w:rPr>
                <w:rFonts w:hint="eastAsia"/>
                <w:sz w:val="21"/>
                <w:szCs w:val="21"/>
              </w:rPr>
              <w:t>³</w:t>
            </w:r>
          </w:p>
        </w:tc>
        <w:tc>
          <w:tcPr>
            <w:tcW w:w="973" w:type="dxa"/>
            <w:vAlign w:val="center"/>
          </w:tcPr>
          <w:p w:rsidR="00B04AE3" w:rsidRDefault="00B04AE3">
            <w:pPr>
              <w:widowControl/>
              <w:jc w:val="center"/>
              <w:rPr>
                <w:sz w:val="21"/>
                <w:szCs w:val="21"/>
              </w:rPr>
            </w:pPr>
            <w:r>
              <w:rPr>
                <w:rFonts w:hint="eastAsia"/>
                <w:sz w:val="21"/>
                <w:szCs w:val="21"/>
              </w:rPr>
              <w:t>槽车运输</w:t>
            </w:r>
          </w:p>
        </w:tc>
        <w:tc>
          <w:tcPr>
            <w:tcW w:w="1142" w:type="dxa"/>
            <w:vAlign w:val="center"/>
          </w:tcPr>
          <w:p w:rsidR="00B04AE3" w:rsidRDefault="00B04AE3">
            <w:pPr>
              <w:widowControl/>
              <w:jc w:val="center"/>
              <w:rPr>
                <w:sz w:val="21"/>
                <w:szCs w:val="21"/>
              </w:rPr>
            </w:pPr>
            <w:r>
              <w:rPr>
                <w:rFonts w:hint="eastAsia"/>
                <w:sz w:val="21"/>
                <w:szCs w:val="21"/>
              </w:rPr>
              <w:t>罐装</w:t>
            </w:r>
          </w:p>
        </w:tc>
        <w:tc>
          <w:tcPr>
            <w:tcW w:w="1526" w:type="dxa"/>
            <w:vAlign w:val="center"/>
          </w:tcPr>
          <w:p w:rsidR="00B04AE3" w:rsidRDefault="00B04AE3">
            <w:pPr>
              <w:widowControl/>
              <w:jc w:val="center"/>
              <w:rPr>
                <w:sz w:val="21"/>
                <w:szCs w:val="21"/>
              </w:rPr>
            </w:pPr>
            <w:r>
              <w:rPr>
                <w:rFonts w:hint="eastAsia"/>
                <w:sz w:val="21"/>
                <w:szCs w:val="21"/>
              </w:rPr>
              <w:t>罐区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液氧</w:t>
            </w:r>
          </w:p>
        </w:tc>
        <w:tc>
          <w:tcPr>
            <w:tcW w:w="2156" w:type="dxa"/>
            <w:vAlign w:val="center"/>
          </w:tcPr>
          <w:p w:rsidR="00B04AE3" w:rsidRDefault="00B04AE3">
            <w:pPr>
              <w:widowControl/>
              <w:jc w:val="center"/>
              <w:rPr>
                <w:sz w:val="21"/>
                <w:szCs w:val="21"/>
              </w:rPr>
            </w:pPr>
            <w:r>
              <w:rPr>
                <w:sz w:val="21"/>
                <w:szCs w:val="21"/>
              </w:rPr>
              <w:t>O</w:t>
            </w:r>
            <w:r>
              <w:rPr>
                <w:sz w:val="21"/>
                <w:szCs w:val="21"/>
                <w:vertAlign w:val="subscript"/>
              </w:rPr>
              <w:t>2</w:t>
            </w:r>
          </w:p>
        </w:tc>
        <w:tc>
          <w:tcPr>
            <w:tcW w:w="1216" w:type="dxa"/>
            <w:vAlign w:val="center"/>
          </w:tcPr>
          <w:p w:rsidR="00B04AE3" w:rsidRDefault="00B04AE3">
            <w:pPr>
              <w:widowControl/>
              <w:jc w:val="center"/>
              <w:rPr>
                <w:sz w:val="21"/>
                <w:szCs w:val="21"/>
              </w:rPr>
            </w:pPr>
            <w:r>
              <w:rPr>
                <w:sz w:val="21"/>
                <w:szCs w:val="21"/>
              </w:rPr>
              <w:t>10m</w:t>
            </w:r>
            <w:r>
              <w:rPr>
                <w:rFonts w:hint="eastAsia"/>
                <w:sz w:val="21"/>
                <w:szCs w:val="21"/>
              </w:rPr>
              <w:t>³</w:t>
            </w:r>
          </w:p>
        </w:tc>
        <w:tc>
          <w:tcPr>
            <w:tcW w:w="973" w:type="dxa"/>
            <w:vAlign w:val="center"/>
          </w:tcPr>
          <w:p w:rsidR="00B04AE3" w:rsidRDefault="00B04AE3">
            <w:pPr>
              <w:widowControl/>
              <w:jc w:val="center"/>
              <w:rPr>
                <w:sz w:val="21"/>
                <w:szCs w:val="21"/>
              </w:rPr>
            </w:pPr>
            <w:r>
              <w:rPr>
                <w:rFonts w:hint="eastAsia"/>
                <w:sz w:val="21"/>
                <w:szCs w:val="21"/>
              </w:rPr>
              <w:t>槽车运输</w:t>
            </w:r>
          </w:p>
        </w:tc>
        <w:tc>
          <w:tcPr>
            <w:tcW w:w="1142" w:type="dxa"/>
            <w:vAlign w:val="center"/>
          </w:tcPr>
          <w:p w:rsidR="00B04AE3" w:rsidRDefault="00B04AE3">
            <w:pPr>
              <w:widowControl/>
              <w:jc w:val="center"/>
              <w:rPr>
                <w:sz w:val="21"/>
                <w:szCs w:val="21"/>
              </w:rPr>
            </w:pPr>
            <w:r>
              <w:rPr>
                <w:rFonts w:hint="eastAsia"/>
                <w:sz w:val="21"/>
                <w:szCs w:val="21"/>
              </w:rPr>
              <w:t>罐装</w:t>
            </w:r>
          </w:p>
        </w:tc>
        <w:tc>
          <w:tcPr>
            <w:tcW w:w="1526" w:type="dxa"/>
            <w:vAlign w:val="center"/>
          </w:tcPr>
          <w:p w:rsidR="00B04AE3" w:rsidRDefault="00B04AE3">
            <w:pPr>
              <w:widowControl/>
              <w:jc w:val="center"/>
              <w:rPr>
                <w:sz w:val="21"/>
                <w:szCs w:val="21"/>
              </w:rPr>
            </w:pPr>
            <w:r>
              <w:rPr>
                <w:rFonts w:hint="eastAsia"/>
                <w:sz w:val="21"/>
                <w:szCs w:val="21"/>
              </w:rPr>
              <w:t>罐区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液二氧化碳</w:t>
            </w:r>
          </w:p>
        </w:tc>
        <w:tc>
          <w:tcPr>
            <w:tcW w:w="2156" w:type="dxa"/>
            <w:vAlign w:val="center"/>
          </w:tcPr>
          <w:p w:rsidR="00B04AE3" w:rsidRDefault="00B04AE3">
            <w:pPr>
              <w:widowControl/>
              <w:jc w:val="center"/>
              <w:rPr>
                <w:sz w:val="21"/>
                <w:szCs w:val="21"/>
              </w:rPr>
            </w:pPr>
            <w:r>
              <w:rPr>
                <w:sz w:val="21"/>
                <w:szCs w:val="21"/>
              </w:rPr>
              <w:t>CO</w:t>
            </w:r>
            <w:r>
              <w:rPr>
                <w:sz w:val="21"/>
                <w:szCs w:val="21"/>
                <w:vertAlign w:val="subscript"/>
              </w:rPr>
              <w:t>2</w:t>
            </w:r>
          </w:p>
        </w:tc>
        <w:tc>
          <w:tcPr>
            <w:tcW w:w="1216" w:type="dxa"/>
            <w:vAlign w:val="center"/>
          </w:tcPr>
          <w:p w:rsidR="00B04AE3" w:rsidRDefault="00B04AE3">
            <w:pPr>
              <w:widowControl/>
              <w:jc w:val="center"/>
              <w:rPr>
                <w:sz w:val="21"/>
                <w:szCs w:val="21"/>
              </w:rPr>
            </w:pPr>
            <w:r>
              <w:rPr>
                <w:sz w:val="21"/>
                <w:szCs w:val="21"/>
              </w:rPr>
              <w:t>10m</w:t>
            </w:r>
            <w:r>
              <w:rPr>
                <w:rFonts w:hint="eastAsia"/>
                <w:sz w:val="21"/>
                <w:szCs w:val="21"/>
              </w:rPr>
              <w:t>³</w:t>
            </w:r>
          </w:p>
        </w:tc>
        <w:tc>
          <w:tcPr>
            <w:tcW w:w="973" w:type="dxa"/>
            <w:vAlign w:val="center"/>
          </w:tcPr>
          <w:p w:rsidR="00B04AE3" w:rsidRDefault="00B04AE3">
            <w:pPr>
              <w:widowControl/>
              <w:jc w:val="center"/>
              <w:rPr>
                <w:sz w:val="21"/>
                <w:szCs w:val="21"/>
              </w:rPr>
            </w:pPr>
            <w:r>
              <w:rPr>
                <w:rFonts w:hint="eastAsia"/>
                <w:sz w:val="21"/>
                <w:szCs w:val="21"/>
              </w:rPr>
              <w:t>槽车运输</w:t>
            </w:r>
          </w:p>
        </w:tc>
        <w:tc>
          <w:tcPr>
            <w:tcW w:w="1142" w:type="dxa"/>
            <w:vAlign w:val="center"/>
          </w:tcPr>
          <w:p w:rsidR="00B04AE3" w:rsidRDefault="00B04AE3">
            <w:pPr>
              <w:widowControl/>
              <w:jc w:val="center"/>
              <w:rPr>
                <w:sz w:val="21"/>
                <w:szCs w:val="21"/>
              </w:rPr>
            </w:pPr>
            <w:r>
              <w:rPr>
                <w:rFonts w:hint="eastAsia"/>
                <w:sz w:val="21"/>
                <w:szCs w:val="21"/>
              </w:rPr>
              <w:t>罐装</w:t>
            </w:r>
          </w:p>
        </w:tc>
        <w:tc>
          <w:tcPr>
            <w:tcW w:w="1526" w:type="dxa"/>
            <w:vAlign w:val="center"/>
          </w:tcPr>
          <w:p w:rsidR="00B04AE3" w:rsidRDefault="00B04AE3">
            <w:pPr>
              <w:widowControl/>
              <w:jc w:val="center"/>
              <w:rPr>
                <w:sz w:val="21"/>
                <w:szCs w:val="21"/>
              </w:rPr>
            </w:pPr>
            <w:r>
              <w:rPr>
                <w:rFonts w:hint="eastAsia"/>
                <w:sz w:val="21"/>
                <w:szCs w:val="21"/>
              </w:rPr>
              <w:t>罐区</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硫酸</w:t>
            </w:r>
            <w:r>
              <w:rPr>
                <w:sz w:val="21"/>
                <w:szCs w:val="21"/>
              </w:rPr>
              <w:t>(30%)</w:t>
            </w:r>
          </w:p>
        </w:tc>
        <w:tc>
          <w:tcPr>
            <w:tcW w:w="2156" w:type="dxa"/>
            <w:vAlign w:val="center"/>
          </w:tcPr>
          <w:p w:rsidR="00B04AE3" w:rsidRDefault="00B04AE3">
            <w:pPr>
              <w:widowControl/>
              <w:jc w:val="center"/>
              <w:rPr>
                <w:sz w:val="21"/>
                <w:szCs w:val="21"/>
              </w:rPr>
            </w:pPr>
            <w:r>
              <w:rPr>
                <w:sz w:val="21"/>
                <w:szCs w:val="21"/>
              </w:rPr>
              <w:t>H</w:t>
            </w:r>
            <w:r>
              <w:rPr>
                <w:sz w:val="21"/>
                <w:szCs w:val="21"/>
                <w:vertAlign w:val="subscript"/>
              </w:rPr>
              <w:t>2</w:t>
            </w:r>
            <w:r>
              <w:rPr>
                <w:sz w:val="21"/>
                <w:szCs w:val="21"/>
              </w:rPr>
              <w:t>SO</w:t>
            </w:r>
            <w:r>
              <w:rPr>
                <w:sz w:val="21"/>
                <w:szCs w:val="21"/>
                <w:vertAlign w:val="subscript"/>
              </w:rPr>
              <w:t>4</w:t>
            </w:r>
          </w:p>
        </w:tc>
        <w:tc>
          <w:tcPr>
            <w:tcW w:w="1216" w:type="dxa"/>
            <w:vAlign w:val="center"/>
          </w:tcPr>
          <w:p w:rsidR="00B04AE3" w:rsidRDefault="00B04AE3">
            <w:pPr>
              <w:widowControl/>
              <w:jc w:val="center"/>
              <w:rPr>
                <w:sz w:val="21"/>
                <w:szCs w:val="21"/>
              </w:rPr>
            </w:pPr>
            <w:r>
              <w:rPr>
                <w:sz w:val="21"/>
                <w:szCs w:val="21"/>
              </w:rPr>
              <w:t>5t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污水处理站</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液碱</w:t>
            </w:r>
            <w:r>
              <w:rPr>
                <w:sz w:val="21"/>
                <w:szCs w:val="21"/>
              </w:rPr>
              <w:t>(30%)</w:t>
            </w:r>
          </w:p>
        </w:tc>
        <w:tc>
          <w:tcPr>
            <w:tcW w:w="2156" w:type="dxa"/>
            <w:vAlign w:val="center"/>
          </w:tcPr>
          <w:p w:rsidR="00B04AE3" w:rsidRDefault="00B04AE3">
            <w:pPr>
              <w:widowControl/>
              <w:jc w:val="center"/>
              <w:rPr>
                <w:sz w:val="21"/>
                <w:szCs w:val="21"/>
              </w:rPr>
            </w:pPr>
            <w:r>
              <w:rPr>
                <w:sz w:val="21"/>
                <w:szCs w:val="21"/>
              </w:rPr>
              <w:t>NaOH</w:t>
            </w:r>
          </w:p>
        </w:tc>
        <w:tc>
          <w:tcPr>
            <w:tcW w:w="1216" w:type="dxa"/>
            <w:vAlign w:val="center"/>
          </w:tcPr>
          <w:p w:rsidR="00B04AE3" w:rsidRDefault="00B04AE3">
            <w:pPr>
              <w:widowControl/>
              <w:jc w:val="center"/>
              <w:rPr>
                <w:sz w:val="21"/>
                <w:szCs w:val="21"/>
              </w:rPr>
            </w:pPr>
            <w:r>
              <w:rPr>
                <w:sz w:val="21"/>
                <w:szCs w:val="21"/>
              </w:rPr>
              <w:t>5t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污水处理站</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磨削液（辅料）</w:t>
            </w:r>
          </w:p>
        </w:tc>
        <w:tc>
          <w:tcPr>
            <w:tcW w:w="2156" w:type="dxa"/>
            <w:vAlign w:val="center"/>
          </w:tcPr>
          <w:p w:rsidR="00B04AE3" w:rsidRDefault="00B04AE3">
            <w:pPr>
              <w:widowControl/>
              <w:jc w:val="center"/>
              <w:rPr>
                <w:sz w:val="21"/>
                <w:szCs w:val="21"/>
              </w:rPr>
            </w:pPr>
            <w:r>
              <w:rPr>
                <w:rFonts w:hint="eastAsia"/>
                <w:sz w:val="21"/>
                <w:szCs w:val="21"/>
              </w:rPr>
              <w:t>精炼植物油、异壬酸</w:t>
            </w:r>
          </w:p>
        </w:tc>
        <w:tc>
          <w:tcPr>
            <w:tcW w:w="1216" w:type="dxa"/>
            <w:vAlign w:val="center"/>
          </w:tcPr>
          <w:p w:rsidR="00B04AE3" w:rsidRDefault="00B04AE3">
            <w:pPr>
              <w:widowControl/>
              <w:jc w:val="center"/>
              <w:rPr>
                <w:sz w:val="21"/>
                <w:szCs w:val="21"/>
              </w:rPr>
            </w:pPr>
            <w:r>
              <w:rPr>
                <w:sz w:val="21"/>
                <w:szCs w:val="21"/>
              </w:rPr>
              <w:t>150t</w:t>
            </w:r>
          </w:p>
        </w:tc>
        <w:tc>
          <w:tcPr>
            <w:tcW w:w="973" w:type="dxa"/>
            <w:vAlign w:val="center"/>
          </w:tcPr>
          <w:p w:rsidR="00B04AE3" w:rsidRDefault="00B04AE3">
            <w:pPr>
              <w:widowControl/>
              <w:jc w:val="center"/>
              <w:rPr>
                <w:sz w:val="21"/>
                <w:szCs w:val="21"/>
              </w:rPr>
            </w:pPr>
            <w:r>
              <w:rPr>
                <w:rFonts w:hint="eastAsia"/>
                <w:sz w:val="21"/>
                <w:szCs w:val="21"/>
              </w:rPr>
              <w:t>管道输送</w:t>
            </w:r>
          </w:p>
        </w:tc>
        <w:tc>
          <w:tcPr>
            <w:tcW w:w="1142" w:type="dxa"/>
            <w:vAlign w:val="center"/>
          </w:tcPr>
          <w:p w:rsidR="00B04AE3" w:rsidRDefault="00B04AE3">
            <w:pPr>
              <w:widowControl/>
              <w:jc w:val="center"/>
              <w:rPr>
                <w:sz w:val="21"/>
                <w:szCs w:val="21"/>
              </w:rPr>
            </w:pPr>
            <w:r>
              <w:rPr>
                <w:rFonts w:hint="eastAsia"/>
                <w:sz w:val="21"/>
                <w:szCs w:val="21"/>
              </w:rPr>
              <w:t>自产</w:t>
            </w:r>
          </w:p>
        </w:tc>
        <w:tc>
          <w:tcPr>
            <w:tcW w:w="1526" w:type="dxa"/>
            <w:vAlign w:val="center"/>
          </w:tcPr>
          <w:p w:rsidR="00B04AE3" w:rsidRDefault="00B04AE3">
            <w:pPr>
              <w:widowControl/>
              <w:jc w:val="center"/>
              <w:rPr>
                <w:sz w:val="21"/>
                <w:szCs w:val="21"/>
              </w:rPr>
            </w:pP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清洗剂（辅料）</w:t>
            </w:r>
          </w:p>
        </w:tc>
        <w:tc>
          <w:tcPr>
            <w:tcW w:w="2156" w:type="dxa"/>
            <w:vAlign w:val="center"/>
          </w:tcPr>
          <w:p w:rsidR="00B04AE3" w:rsidRDefault="00B04AE3">
            <w:pPr>
              <w:widowControl/>
              <w:jc w:val="center"/>
              <w:rPr>
                <w:sz w:val="21"/>
                <w:szCs w:val="21"/>
              </w:rPr>
            </w:pPr>
            <w:r>
              <w:rPr>
                <w:sz w:val="21"/>
                <w:szCs w:val="21"/>
              </w:rPr>
              <w:t>NaOH</w:t>
            </w:r>
            <w:r>
              <w:rPr>
                <w:rFonts w:hint="eastAsia"/>
                <w:sz w:val="21"/>
                <w:szCs w:val="21"/>
              </w:rPr>
              <w:t>、</w:t>
            </w:r>
            <w:r>
              <w:rPr>
                <w:sz w:val="21"/>
                <w:szCs w:val="21"/>
              </w:rPr>
              <w:t>HCl</w:t>
            </w:r>
          </w:p>
        </w:tc>
        <w:tc>
          <w:tcPr>
            <w:tcW w:w="1216" w:type="dxa"/>
            <w:vAlign w:val="center"/>
          </w:tcPr>
          <w:p w:rsidR="00B04AE3" w:rsidRDefault="00B04AE3">
            <w:pPr>
              <w:widowControl/>
              <w:jc w:val="center"/>
              <w:rPr>
                <w:sz w:val="21"/>
                <w:szCs w:val="21"/>
              </w:rPr>
            </w:pPr>
            <w:r>
              <w:rPr>
                <w:sz w:val="21"/>
                <w:szCs w:val="21"/>
              </w:rPr>
              <w:t>1500kg</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防锈剂（辅料）</w:t>
            </w:r>
          </w:p>
        </w:tc>
        <w:tc>
          <w:tcPr>
            <w:tcW w:w="2156" w:type="dxa"/>
            <w:vAlign w:val="center"/>
          </w:tcPr>
          <w:p w:rsidR="00B04AE3" w:rsidRDefault="00B04AE3">
            <w:pPr>
              <w:widowControl/>
              <w:jc w:val="center"/>
              <w:rPr>
                <w:sz w:val="21"/>
                <w:szCs w:val="21"/>
              </w:rPr>
            </w:pPr>
            <w:r>
              <w:rPr>
                <w:rFonts w:hint="eastAsia"/>
                <w:sz w:val="21"/>
                <w:szCs w:val="21"/>
              </w:rPr>
              <w:t>吗啉、有机碱、水</w:t>
            </w:r>
          </w:p>
        </w:tc>
        <w:tc>
          <w:tcPr>
            <w:tcW w:w="1216" w:type="dxa"/>
            <w:vAlign w:val="center"/>
          </w:tcPr>
          <w:p w:rsidR="00B04AE3" w:rsidRDefault="00B04AE3">
            <w:pPr>
              <w:widowControl/>
              <w:jc w:val="center"/>
              <w:rPr>
                <w:sz w:val="21"/>
                <w:szCs w:val="21"/>
              </w:rPr>
            </w:pPr>
            <w:r>
              <w:rPr>
                <w:sz w:val="21"/>
                <w:szCs w:val="21"/>
              </w:rPr>
              <w:t>1500kg</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表面调整剂（辅料）</w:t>
            </w:r>
          </w:p>
        </w:tc>
        <w:tc>
          <w:tcPr>
            <w:tcW w:w="2156" w:type="dxa"/>
            <w:vAlign w:val="center"/>
          </w:tcPr>
          <w:p w:rsidR="00B04AE3" w:rsidRDefault="00B04AE3">
            <w:pPr>
              <w:widowControl/>
              <w:jc w:val="center"/>
              <w:rPr>
                <w:sz w:val="21"/>
                <w:szCs w:val="21"/>
              </w:rPr>
            </w:pPr>
            <w:r>
              <w:rPr>
                <w:rFonts w:hint="eastAsia"/>
                <w:sz w:val="21"/>
                <w:szCs w:val="21"/>
              </w:rPr>
              <w:t>磷酸锰、焦磷酸钠</w:t>
            </w:r>
          </w:p>
        </w:tc>
        <w:tc>
          <w:tcPr>
            <w:tcW w:w="1216" w:type="dxa"/>
            <w:vAlign w:val="center"/>
          </w:tcPr>
          <w:p w:rsidR="00B04AE3" w:rsidRDefault="00B04AE3">
            <w:pPr>
              <w:widowControl/>
              <w:jc w:val="center"/>
              <w:rPr>
                <w:sz w:val="21"/>
                <w:szCs w:val="21"/>
              </w:rPr>
            </w:pPr>
            <w:r>
              <w:rPr>
                <w:sz w:val="21"/>
                <w:szCs w:val="21"/>
              </w:rPr>
              <w:t>200kg</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脱脂剂（辅料）</w:t>
            </w:r>
          </w:p>
        </w:tc>
        <w:tc>
          <w:tcPr>
            <w:tcW w:w="2156" w:type="dxa"/>
            <w:vAlign w:val="center"/>
          </w:tcPr>
          <w:p w:rsidR="00B04AE3" w:rsidRDefault="00B04AE3">
            <w:pPr>
              <w:widowControl/>
              <w:jc w:val="center"/>
              <w:rPr>
                <w:sz w:val="21"/>
                <w:szCs w:val="21"/>
              </w:rPr>
            </w:pPr>
            <w:r>
              <w:rPr>
                <w:rFonts w:hint="eastAsia"/>
                <w:sz w:val="21"/>
                <w:szCs w:val="21"/>
              </w:rPr>
              <w:t>磷酸三钠、氢氧化钠、葡萄糖酸钠</w:t>
            </w:r>
          </w:p>
        </w:tc>
        <w:tc>
          <w:tcPr>
            <w:tcW w:w="1216" w:type="dxa"/>
            <w:vAlign w:val="center"/>
          </w:tcPr>
          <w:p w:rsidR="00B04AE3" w:rsidRDefault="00B04AE3">
            <w:pPr>
              <w:widowControl/>
              <w:jc w:val="center"/>
              <w:rPr>
                <w:sz w:val="21"/>
                <w:szCs w:val="21"/>
              </w:rPr>
            </w:pPr>
            <w:r>
              <w:rPr>
                <w:sz w:val="21"/>
                <w:szCs w:val="21"/>
              </w:rPr>
              <w:t>2500kg</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袋装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735"/>
          <w:jc w:val="center"/>
        </w:trPr>
        <w:tc>
          <w:tcPr>
            <w:tcW w:w="1947" w:type="dxa"/>
            <w:vAlign w:val="center"/>
          </w:tcPr>
          <w:p w:rsidR="00B04AE3" w:rsidRDefault="00B04AE3">
            <w:pPr>
              <w:widowControl/>
              <w:jc w:val="center"/>
              <w:rPr>
                <w:sz w:val="21"/>
                <w:szCs w:val="21"/>
              </w:rPr>
            </w:pPr>
            <w:r>
              <w:rPr>
                <w:rFonts w:hint="eastAsia"/>
                <w:sz w:val="21"/>
                <w:szCs w:val="21"/>
              </w:rPr>
              <w:t>超声波清洗剂（辅料）</w:t>
            </w:r>
          </w:p>
        </w:tc>
        <w:tc>
          <w:tcPr>
            <w:tcW w:w="2156" w:type="dxa"/>
            <w:vAlign w:val="center"/>
          </w:tcPr>
          <w:p w:rsidR="00B04AE3" w:rsidRDefault="00B04AE3">
            <w:pPr>
              <w:widowControl/>
              <w:jc w:val="center"/>
              <w:rPr>
                <w:sz w:val="21"/>
                <w:szCs w:val="21"/>
              </w:rPr>
            </w:pPr>
            <w:r>
              <w:rPr>
                <w:rFonts w:hint="eastAsia"/>
                <w:sz w:val="21"/>
                <w:szCs w:val="21"/>
              </w:rPr>
              <w:t>二乙醇胺、葵二酸、聚氧化乙烯醚烷基硫酸盐</w:t>
            </w:r>
          </w:p>
        </w:tc>
        <w:tc>
          <w:tcPr>
            <w:tcW w:w="1216" w:type="dxa"/>
            <w:vAlign w:val="center"/>
          </w:tcPr>
          <w:p w:rsidR="00B04AE3" w:rsidRDefault="00B04AE3">
            <w:pPr>
              <w:widowControl/>
              <w:jc w:val="center"/>
              <w:rPr>
                <w:sz w:val="21"/>
                <w:szCs w:val="21"/>
              </w:rPr>
            </w:pPr>
            <w:r>
              <w:rPr>
                <w:sz w:val="21"/>
                <w:szCs w:val="21"/>
              </w:rPr>
              <w:t>1000kg</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氟利昂清洗剂（辅料）</w:t>
            </w:r>
          </w:p>
        </w:tc>
        <w:tc>
          <w:tcPr>
            <w:tcW w:w="2156" w:type="dxa"/>
            <w:vAlign w:val="center"/>
          </w:tcPr>
          <w:p w:rsidR="00B04AE3" w:rsidRDefault="00B04AE3">
            <w:pPr>
              <w:widowControl/>
              <w:jc w:val="center"/>
              <w:rPr>
                <w:sz w:val="21"/>
                <w:szCs w:val="21"/>
              </w:rPr>
            </w:pPr>
            <w:r>
              <w:rPr>
                <w:rFonts w:hint="eastAsia"/>
                <w:sz w:val="21"/>
                <w:szCs w:val="21"/>
              </w:rPr>
              <w:t>氟利昂</w:t>
            </w:r>
          </w:p>
        </w:tc>
        <w:tc>
          <w:tcPr>
            <w:tcW w:w="1216" w:type="dxa"/>
            <w:vAlign w:val="center"/>
          </w:tcPr>
          <w:p w:rsidR="00B04AE3" w:rsidRDefault="00B04AE3">
            <w:pPr>
              <w:widowControl/>
              <w:jc w:val="center"/>
              <w:rPr>
                <w:sz w:val="21"/>
                <w:szCs w:val="21"/>
              </w:rPr>
            </w:pPr>
            <w:r>
              <w:rPr>
                <w:sz w:val="21"/>
                <w:szCs w:val="21"/>
              </w:rPr>
              <w:t>900kg</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磷化中和剂（辅料）</w:t>
            </w:r>
          </w:p>
        </w:tc>
        <w:tc>
          <w:tcPr>
            <w:tcW w:w="2156" w:type="dxa"/>
            <w:vAlign w:val="center"/>
          </w:tcPr>
          <w:p w:rsidR="00B04AE3" w:rsidRDefault="00B04AE3">
            <w:pPr>
              <w:widowControl/>
              <w:jc w:val="center"/>
              <w:rPr>
                <w:sz w:val="21"/>
                <w:szCs w:val="21"/>
              </w:rPr>
            </w:pPr>
            <w:r>
              <w:rPr>
                <w:rFonts w:hint="eastAsia"/>
                <w:sz w:val="21"/>
                <w:szCs w:val="21"/>
              </w:rPr>
              <w:t>磷酸</w:t>
            </w:r>
          </w:p>
        </w:tc>
        <w:tc>
          <w:tcPr>
            <w:tcW w:w="1216" w:type="dxa"/>
            <w:vAlign w:val="center"/>
          </w:tcPr>
          <w:p w:rsidR="00B04AE3" w:rsidRDefault="00B04AE3">
            <w:pPr>
              <w:widowControl/>
              <w:jc w:val="center"/>
              <w:rPr>
                <w:sz w:val="21"/>
                <w:szCs w:val="21"/>
              </w:rPr>
            </w:pPr>
            <w:r>
              <w:rPr>
                <w:sz w:val="21"/>
                <w:szCs w:val="21"/>
              </w:rPr>
              <w:t>500kg</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袋装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sz w:val="21"/>
                <w:szCs w:val="21"/>
              </w:rPr>
              <w:t>"</w:t>
            </w:r>
            <w:r>
              <w:rPr>
                <w:rFonts w:hint="eastAsia"/>
                <w:sz w:val="21"/>
                <w:szCs w:val="21"/>
              </w:rPr>
              <w:t>喷得丽</w:t>
            </w:r>
            <w:r>
              <w:rPr>
                <w:sz w:val="21"/>
                <w:szCs w:val="21"/>
              </w:rPr>
              <w:t>"</w:t>
            </w:r>
            <w:r>
              <w:rPr>
                <w:rFonts w:hint="eastAsia"/>
                <w:sz w:val="21"/>
                <w:szCs w:val="21"/>
              </w:rPr>
              <w:t>高级快干自动喷漆（辅料）</w:t>
            </w:r>
          </w:p>
        </w:tc>
        <w:tc>
          <w:tcPr>
            <w:tcW w:w="2156" w:type="dxa"/>
            <w:vAlign w:val="center"/>
          </w:tcPr>
          <w:p w:rsidR="00B04AE3" w:rsidRDefault="00B04AE3">
            <w:pPr>
              <w:widowControl/>
              <w:jc w:val="center"/>
              <w:rPr>
                <w:sz w:val="21"/>
                <w:szCs w:val="21"/>
              </w:rPr>
            </w:pPr>
            <w:r>
              <w:rPr>
                <w:rFonts w:hint="eastAsia"/>
                <w:sz w:val="21"/>
                <w:szCs w:val="21"/>
              </w:rPr>
              <w:t>苯、甲苯、二甲苯</w:t>
            </w:r>
          </w:p>
        </w:tc>
        <w:tc>
          <w:tcPr>
            <w:tcW w:w="1216" w:type="dxa"/>
            <w:vAlign w:val="center"/>
          </w:tcPr>
          <w:p w:rsidR="00B04AE3" w:rsidRDefault="00B04AE3">
            <w:pPr>
              <w:widowControl/>
              <w:jc w:val="center"/>
              <w:rPr>
                <w:sz w:val="21"/>
                <w:szCs w:val="21"/>
              </w:rPr>
            </w:pPr>
            <w:r>
              <w:rPr>
                <w:sz w:val="21"/>
                <w:szCs w:val="21"/>
              </w:rPr>
              <w:t>190kg</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助焊剂（辅料）</w:t>
            </w:r>
          </w:p>
        </w:tc>
        <w:tc>
          <w:tcPr>
            <w:tcW w:w="2156" w:type="dxa"/>
            <w:vAlign w:val="center"/>
          </w:tcPr>
          <w:p w:rsidR="00B04AE3" w:rsidRDefault="00B04AE3">
            <w:pPr>
              <w:widowControl/>
              <w:jc w:val="center"/>
              <w:rPr>
                <w:sz w:val="21"/>
                <w:szCs w:val="21"/>
              </w:rPr>
            </w:pPr>
            <w:r>
              <w:rPr>
                <w:rFonts w:hint="eastAsia"/>
                <w:sz w:val="21"/>
                <w:szCs w:val="21"/>
              </w:rPr>
              <w:t>硼酸三甲酯</w:t>
            </w:r>
            <w:r>
              <w:rPr>
                <w:sz w:val="21"/>
                <w:szCs w:val="21"/>
              </w:rPr>
              <w:t>72%</w:t>
            </w:r>
            <w:r>
              <w:rPr>
                <w:rFonts w:hint="eastAsia"/>
                <w:sz w:val="21"/>
                <w:szCs w:val="21"/>
              </w:rPr>
              <w:t>、甲醇</w:t>
            </w:r>
            <w:r>
              <w:rPr>
                <w:sz w:val="21"/>
                <w:szCs w:val="21"/>
              </w:rPr>
              <w:t>20%</w:t>
            </w:r>
            <w:r>
              <w:rPr>
                <w:rFonts w:hint="eastAsia"/>
                <w:sz w:val="21"/>
                <w:szCs w:val="21"/>
              </w:rPr>
              <w:t>其他</w:t>
            </w:r>
            <w:r>
              <w:rPr>
                <w:sz w:val="21"/>
                <w:szCs w:val="21"/>
              </w:rPr>
              <w:t>8%</w:t>
            </w:r>
          </w:p>
        </w:tc>
        <w:tc>
          <w:tcPr>
            <w:tcW w:w="1216" w:type="dxa"/>
            <w:vAlign w:val="center"/>
          </w:tcPr>
          <w:p w:rsidR="00B04AE3" w:rsidRDefault="00B04AE3">
            <w:pPr>
              <w:widowControl/>
              <w:jc w:val="center"/>
              <w:rPr>
                <w:sz w:val="21"/>
                <w:szCs w:val="21"/>
              </w:rPr>
            </w:pPr>
            <w:r>
              <w:rPr>
                <w:sz w:val="21"/>
                <w:szCs w:val="21"/>
              </w:rPr>
              <w:t>500kg</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拉削油（辅料）</w:t>
            </w:r>
          </w:p>
        </w:tc>
        <w:tc>
          <w:tcPr>
            <w:tcW w:w="2156" w:type="dxa"/>
            <w:vAlign w:val="center"/>
          </w:tcPr>
          <w:p w:rsidR="00B04AE3" w:rsidRDefault="00B04AE3">
            <w:pPr>
              <w:widowControl/>
              <w:jc w:val="center"/>
              <w:rPr>
                <w:sz w:val="21"/>
                <w:szCs w:val="21"/>
              </w:rPr>
            </w:pPr>
            <w:r>
              <w:rPr>
                <w:rFonts w:hint="eastAsia"/>
                <w:sz w:val="21"/>
                <w:szCs w:val="21"/>
              </w:rPr>
              <w:t>矿物油</w:t>
            </w:r>
          </w:p>
        </w:tc>
        <w:tc>
          <w:tcPr>
            <w:tcW w:w="1216" w:type="dxa"/>
            <w:vAlign w:val="center"/>
          </w:tcPr>
          <w:p w:rsidR="00B04AE3" w:rsidRDefault="00B04AE3">
            <w:pPr>
              <w:widowControl/>
              <w:jc w:val="center"/>
              <w:rPr>
                <w:sz w:val="21"/>
                <w:szCs w:val="21"/>
              </w:rPr>
            </w:pPr>
            <w:r>
              <w:rPr>
                <w:sz w:val="21"/>
                <w:szCs w:val="21"/>
              </w:rPr>
              <w:t>1.6t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切削液（辅料）</w:t>
            </w:r>
          </w:p>
        </w:tc>
        <w:tc>
          <w:tcPr>
            <w:tcW w:w="2156" w:type="dxa"/>
            <w:vAlign w:val="center"/>
          </w:tcPr>
          <w:p w:rsidR="00B04AE3" w:rsidRDefault="00B04AE3">
            <w:pPr>
              <w:widowControl/>
              <w:jc w:val="center"/>
              <w:rPr>
                <w:sz w:val="21"/>
                <w:szCs w:val="21"/>
              </w:rPr>
            </w:pPr>
            <w:r>
              <w:rPr>
                <w:rFonts w:hint="eastAsia"/>
                <w:sz w:val="21"/>
                <w:szCs w:val="21"/>
              </w:rPr>
              <w:t>矿物油、脂肪酸</w:t>
            </w:r>
          </w:p>
        </w:tc>
        <w:tc>
          <w:tcPr>
            <w:tcW w:w="1216" w:type="dxa"/>
            <w:vAlign w:val="center"/>
          </w:tcPr>
          <w:p w:rsidR="00B04AE3" w:rsidRDefault="00B04AE3">
            <w:pPr>
              <w:widowControl/>
              <w:jc w:val="center"/>
              <w:rPr>
                <w:sz w:val="21"/>
                <w:szCs w:val="21"/>
              </w:rPr>
            </w:pPr>
            <w:r>
              <w:rPr>
                <w:sz w:val="21"/>
                <w:szCs w:val="21"/>
              </w:rPr>
              <w:t>6t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切削油（辅料）</w:t>
            </w:r>
          </w:p>
        </w:tc>
        <w:tc>
          <w:tcPr>
            <w:tcW w:w="2156" w:type="dxa"/>
            <w:vAlign w:val="center"/>
          </w:tcPr>
          <w:p w:rsidR="00B04AE3" w:rsidRDefault="00B04AE3">
            <w:pPr>
              <w:widowControl/>
              <w:jc w:val="center"/>
              <w:rPr>
                <w:sz w:val="21"/>
                <w:szCs w:val="21"/>
              </w:rPr>
            </w:pPr>
            <w:r>
              <w:rPr>
                <w:rFonts w:hint="eastAsia"/>
                <w:sz w:val="21"/>
                <w:szCs w:val="21"/>
              </w:rPr>
              <w:t>矿物油</w:t>
            </w:r>
          </w:p>
        </w:tc>
        <w:tc>
          <w:tcPr>
            <w:tcW w:w="1216" w:type="dxa"/>
            <w:vAlign w:val="center"/>
          </w:tcPr>
          <w:p w:rsidR="00B04AE3" w:rsidRDefault="00B04AE3">
            <w:pPr>
              <w:widowControl/>
              <w:jc w:val="center"/>
              <w:rPr>
                <w:sz w:val="21"/>
                <w:szCs w:val="21"/>
              </w:rPr>
            </w:pPr>
            <w:r>
              <w:rPr>
                <w:sz w:val="21"/>
                <w:szCs w:val="21"/>
              </w:rPr>
              <w:t>2t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735"/>
          <w:jc w:val="center"/>
        </w:trPr>
        <w:tc>
          <w:tcPr>
            <w:tcW w:w="1947" w:type="dxa"/>
            <w:vAlign w:val="center"/>
          </w:tcPr>
          <w:p w:rsidR="00B04AE3" w:rsidRDefault="00B04AE3">
            <w:pPr>
              <w:widowControl/>
              <w:jc w:val="center"/>
              <w:rPr>
                <w:sz w:val="21"/>
                <w:szCs w:val="21"/>
              </w:rPr>
            </w:pPr>
            <w:r>
              <w:rPr>
                <w:rFonts w:hint="eastAsia"/>
                <w:sz w:val="21"/>
                <w:szCs w:val="21"/>
              </w:rPr>
              <w:t>喷淋清洗剂（辅料）</w:t>
            </w:r>
          </w:p>
        </w:tc>
        <w:tc>
          <w:tcPr>
            <w:tcW w:w="2156" w:type="dxa"/>
            <w:vAlign w:val="center"/>
          </w:tcPr>
          <w:p w:rsidR="00B04AE3" w:rsidRDefault="00B04AE3">
            <w:pPr>
              <w:widowControl/>
              <w:jc w:val="center"/>
              <w:rPr>
                <w:sz w:val="21"/>
                <w:szCs w:val="21"/>
              </w:rPr>
            </w:pPr>
            <w:r>
              <w:rPr>
                <w:rFonts w:hint="eastAsia"/>
                <w:sz w:val="21"/>
                <w:szCs w:val="21"/>
              </w:rPr>
              <w:t>二乙醇胺、葵二酸、聚氧化乙烯醚烷基硫酸盐</w:t>
            </w:r>
          </w:p>
        </w:tc>
        <w:tc>
          <w:tcPr>
            <w:tcW w:w="1216" w:type="dxa"/>
            <w:vAlign w:val="center"/>
          </w:tcPr>
          <w:p w:rsidR="00B04AE3" w:rsidRDefault="00B04AE3">
            <w:pPr>
              <w:widowControl/>
              <w:jc w:val="center"/>
              <w:rPr>
                <w:sz w:val="21"/>
                <w:szCs w:val="21"/>
              </w:rPr>
            </w:pPr>
            <w:r>
              <w:rPr>
                <w:sz w:val="21"/>
                <w:szCs w:val="21"/>
              </w:rPr>
              <w:t>0.3t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81"/>
          <w:jc w:val="center"/>
        </w:trPr>
        <w:tc>
          <w:tcPr>
            <w:tcW w:w="1947" w:type="dxa"/>
            <w:vAlign w:val="center"/>
          </w:tcPr>
          <w:p w:rsidR="00B04AE3" w:rsidRDefault="00B04AE3">
            <w:pPr>
              <w:widowControl/>
              <w:jc w:val="center"/>
              <w:rPr>
                <w:sz w:val="21"/>
                <w:szCs w:val="21"/>
              </w:rPr>
            </w:pPr>
            <w:r>
              <w:rPr>
                <w:rFonts w:hint="eastAsia"/>
                <w:sz w:val="21"/>
                <w:szCs w:val="21"/>
              </w:rPr>
              <w:t>润滑油（辅料）</w:t>
            </w:r>
          </w:p>
        </w:tc>
        <w:tc>
          <w:tcPr>
            <w:tcW w:w="2156" w:type="dxa"/>
            <w:vAlign w:val="center"/>
          </w:tcPr>
          <w:p w:rsidR="00B04AE3" w:rsidRDefault="00B04AE3">
            <w:pPr>
              <w:widowControl/>
              <w:jc w:val="center"/>
              <w:rPr>
                <w:sz w:val="21"/>
                <w:szCs w:val="21"/>
              </w:rPr>
            </w:pPr>
            <w:r>
              <w:rPr>
                <w:rFonts w:hint="eastAsia"/>
                <w:sz w:val="21"/>
                <w:szCs w:val="21"/>
              </w:rPr>
              <w:t>矿物油，烃类</w:t>
            </w:r>
          </w:p>
        </w:tc>
        <w:tc>
          <w:tcPr>
            <w:tcW w:w="1216" w:type="dxa"/>
            <w:vAlign w:val="center"/>
          </w:tcPr>
          <w:p w:rsidR="00B04AE3" w:rsidRDefault="00B04AE3">
            <w:pPr>
              <w:widowControl/>
              <w:jc w:val="center"/>
              <w:rPr>
                <w:sz w:val="21"/>
                <w:szCs w:val="21"/>
              </w:rPr>
            </w:pPr>
            <w:r>
              <w:rPr>
                <w:sz w:val="21"/>
                <w:szCs w:val="21"/>
              </w:rPr>
              <w:t>0.8t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r w:rsidR="00B04AE3">
        <w:trPr>
          <w:trHeight w:val="597"/>
          <w:jc w:val="center"/>
        </w:trPr>
        <w:tc>
          <w:tcPr>
            <w:tcW w:w="1947" w:type="dxa"/>
            <w:vAlign w:val="center"/>
          </w:tcPr>
          <w:p w:rsidR="00B04AE3" w:rsidRDefault="00B04AE3">
            <w:pPr>
              <w:widowControl/>
              <w:jc w:val="center"/>
              <w:rPr>
                <w:sz w:val="21"/>
                <w:szCs w:val="21"/>
              </w:rPr>
            </w:pPr>
            <w:r>
              <w:rPr>
                <w:rFonts w:hint="eastAsia"/>
                <w:sz w:val="21"/>
                <w:szCs w:val="21"/>
              </w:rPr>
              <w:t>冲削油（辅料）</w:t>
            </w:r>
          </w:p>
        </w:tc>
        <w:tc>
          <w:tcPr>
            <w:tcW w:w="2156" w:type="dxa"/>
            <w:vAlign w:val="center"/>
          </w:tcPr>
          <w:p w:rsidR="00B04AE3" w:rsidRDefault="00B04AE3">
            <w:pPr>
              <w:widowControl/>
              <w:jc w:val="center"/>
              <w:rPr>
                <w:sz w:val="21"/>
                <w:szCs w:val="21"/>
              </w:rPr>
            </w:pPr>
            <w:r>
              <w:rPr>
                <w:rFonts w:hint="eastAsia"/>
                <w:sz w:val="21"/>
                <w:szCs w:val="21"/>
              </w:rPr>
              <w:t>石油</w:t>
            </w:r>
            <w:r>
              <w:rPr>
                <w:sz w:val="21"/>
                <w:szCs w:val="21"/>
              </w:rPr>
              <w:t>72%</w:t>
            </w:r>
            <w:r>
              <w:rPr>
                <w:rFonts w:hint="eastAsia"/>
                <w:sz w:val="21"/>
                <w:szCs w:val="21"/>
              </w:rPr>
              <w:t>烃</w:t>
            </w:r>
            <w:r>
              <w:rPr>
                <w:sz w:val="21"/>
                <w:szCs w:val="21"/>
              </w:rPr>
              <w:t>25%</w:t>
            </w:r>
          </w:p>
        </w:tc>
        <w:tc>
          <w:tcPr>
            <w:tcW w:w="1216" w:type="dxa"/>
            <w:vAlign w:val="center"/>
          </w:tcPr>
          <w:p w:rsidR="00B04AE3" w:rsidRDefault="00B04AE3">
            <w:pPr>
              <w:widowControl/>
              <w:jc w:val="center"/>
              <w:rPr>
                <w:sz w:val="21"/>
                <w:szCs w:val="21"/>
              </w:rPr>
            </w:pPr>
            <w:r>
              <w:rPr>
                <w:sz w:val="21"/>
                <w:szCs w:val="21"/>
              </w:rPr>
              <w:t>3.2t</w:t>
            </w:r>
          </w:p>
        </w:tc>
        <w:tc>
          <w:tcPr>
            <w:tcW w:w="973" w:type="dxa"/>
            <w:vAlign w:val="center"/>
          </w:tcPr>
          <w:p w:rsidR="00B04AE3" w:rsidRDefault="00B04AE3">
            <w:pPr>
              <w:widowControl/>
              <w:jc w:val="center"/>
              <w:rPr>
                <w:sz w:val="21"/>
                <w:szCs w:val="21"/>
              </w:rPr>
            </w:pPr>
            <w:r>
              <w:rPr>
                <w:rFonts w:hint="eastAsia"/>
                <w:sz w:val="21"/>
                <w:szCs w:val="21"/>
              </w:rPr>
              <w:t>汽运</w:t>
            </w:r>
          </w:p>
        </w:tc>
        <w:tc>
          <w:tcPr>
            <w:tcW w:w="1142" w:type="dxa"/>
            <w:vAlign w:val="center"/>
          </w:tcPr>
          <w:p w:rsidR="00B04AE3" w:rsidRDefault="00B04AE3">
            <w:pPr>
              <w:widowControl/>
              <w:jc w:val="center"/>
              <w:rPr>
                <w:sz w:val="21"/>
                <w:szCs w:val="21"/>
              </w:rPr>
            </w:pPr>
            <w:r>
              <w:rPr>
                <w:rFonts w:hint="eastAsia"/>
                <w:sz w:val="21"/>
                <w:szCs w:val="21"/>
              </w:rPr>
              <w:t>桶装</w:t>
            </w:r>
          </w:p>
        </w:tc>
        <w:tc>
          <w:tcPr>
            <w:tcW w:w="1526" w:type="dxa"/>
            <w:vAlign w:val="center"/>
          </w:tcPr>
          <w:p w:rsidR="00B04AE3" w:rsidRDefault="00B04AE3">
            <w:pPr>
              <w:widowControl/>
              <w:jc w:val="center"/>
              <w:rPr>
                <w:sz w:val="21"/>
                <w:szCs w:val="21"/>
              </w:rPr>
            </w:pPr>
            <w:r>
              <w:rPr>
                <w:rFonts w:hint="eastAsia"/>
                <w:sz w:val="21"/>
                <w:szCs w:val="21"/>
              </w:rPr>
              <w:t>危化品仓库</w:t>
            </w:r>
          </w:p>
        </w:tc>
      </w:tr>
    </w:tbl>
    <w:p w:rsidR="00B04AE3" w:rsidRDefault="00B04AE3">
      <w:pPr>
        <w:pStyle w:val="Heading3"/>
        <w:numPr>
          <w:ilvl w:val="2"/>
          <w:numId w:val="41"/>
        </w:numPr>
        <w:tabs>
          <w:tab w:val="left" w:pos="1400"/>
        </w:tabs>
        <w:spacing w:before="143"/>
      </w:pPr>
      <w:bookmarkStart w:id="261" w:name="2.3.1_大气环境风险物质基本情况"/>
      <w:bookmarkStart w:id="262" w:name="_bookmark78"/>
      <w:bookmarkEnd w:id="261"/>
      <w:bookmarkEnd w:id="262"/>
      <w:r>
        <w:rPr>
          <w:rFonts w:hint="eastAsia"/>
        </w:rPr>
        <w:t>大气环境风险物质基本情况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从企业生产全过程识别环境风险物质，包括原辅材料、能源、中间体、产品等，对企业的环境风险物质进行识别。</w:t>
      </w:r>
    </w:p>
    <w:p w:rsidR="00B04AE3" w:rsidRDefault="00B04AE3">
      <w:pPr>
        <w:tabs>
          <w:tab w:val="left" w:pos="3912"/>
        </w:tabs>
        <w:spacing w:before="1"/>
        <w:ind w:left="2873"/>
        <w:rPr>
          <w:b/>
          <w:sz w:val="24"/>
        </w:rPr>
      </w:pPr>
      <w:r>
        <w:rPr>
          <w:rFonts w:hint="eastAsia"/>
          <w:b/>
          <w:sz w:val="24"/>
        </w:rPr>
        <w:t>表</w:t>
      </w:r>
      <w:r>
        <w:rPr>
          <w:b/>
          <w:spacing w:val="-62"/>
          <w:sz w:val="24"/>
        </w:rPr>
        <w:t xml:space="preserve"> </w:t>
      </w:r>
      <w:r>
        <w:rPr>
          <w:rFonts w:ascii="Times New Roman" w:eastAsia="Times New Roman"/>
          <w:b/>
          <w:sz w:val="24"/>
        </w:rPr>
        <w:t>2.3-2</w:t>
      </w:r>
      <w:r>
        <w:rPr>
          <w:rFonts w:ascii="Times New Roman" w:eastAsia="Times New Roman"/>
          <w:b/>
          <w:sz w:val="24"/>
        </w:rPr>
        <w:tab/>
      </w:r>
      <w:r>
        <w:rPr>
          <w:rFonts w:hint="eastAsia"/>
          <w:b/>
          <w:sz w:val="24"/>
        </w:rPr>
        <w:t>环境风险物质存储情况一览表</w:t>
      </w:r>
    </w:p>
    <w:tbl>
      <w:tblPr>
        <w:tblW w:w="8600" w:type="dxa"/>
        <w:jc w:val="center"/>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16"/>
        <w:gridCol w:w="1326"/>
        <w:gridCol w:w="1296"/>
        <w:gridCol w:w="750"/>
        <w:gridCol w:w="1788"/>
        <w:gridCol w:w="1023"/>
        <w:gridCol w:w="1068"/>
        <w:gridCol w:w="733"/>
      </w:tblGrid>
      <w:tr w:rsidR="00B04AE3">
        <w:trPr>
          <w:trHeight w:val="554"/>
          <w:jc w:val="center"/>
        </w:trPr>
        <w:tc>
          <w:tcPr>
            <w:tcW w:w="616" w:type="dxa"/>
            <w:shd w:val="clear" w:color="auto" w:fill="DFDFDF"/>
          </w:tcPr>
          <w:p w:rsidR="00B04AE3" w:rsidRDefault="00B04AE3">
            <w:pPr>
              <w:pStyle w:val="TableParagraph"/>
              <w:spacing w:before="140"/>
              <w:ind w:left="77" w:right="66"/>
              <w:rPr>
                <w:b/>
                <w:sz w:val="21"/>
              </w:rPr>
            </w:pPr>
            <w:r>
              <w:rPr>
                <w:rFonts w:hint="eastAsia"/>
                <w:b/>
                <w:sz w:val="21"/>
              </w:rPr>
              <w:t>序号</w:t>
            </w:r>
          </w:p>
        </w:tc>
        <w:tc>
          <w:tcPr>
            <w:tcW w:w="1326" w:type="dxa"/>
            <w:shd w:val="clear" w:color="auto" w:fill="DFDFDF"/>
          </w:tcPr>
          <w:p w:rsidR="00B04AE3" w:rsidRDefault="00B04AE3">
            <w:pPr>
              <w:pStyle w:val="TableParagraph"/>
              <w:spacing w:before="140"/>
              <w:ind w:left="326" w:right="318"/>
              <w:rPr>
                <w:b/>
                <w:sz w:val="21"/>
              </w:rPr>
            </w:pPr>
            <w:r>
              <w:rPr>
                <w:rFonts w:hint="eastAsia"/>
                <w:b/>
                <w:sz w:val="21"/>
              </w:rPr>
              <w:t>名称</w:t>
            </w:r>
          </w:p>
        </w:tc>
        <w:tc>
          <w:tcPr>
            <w:tcW w:w="1296" w:type="dxa"/>
            <w:shd w:val="clear" w:color="auto" w:fill="DFDFDF"/>
          </w:tcPr>
          <w:p w:rsidR="00B04AE3" w:rsidRDefault="00B04AE3">
            <w:pPr>
              <w:pStyle w:val="TableParagraph"/>
              <w:spacing w:before="140"/>
              <w:ind w:left="188" w:right="181"/>
              <w:rPr>
                <w:b/>
                <w:sz w:val="21"/>
              </w:rPr>
            </w:pPr>
            <w:r>
              <w:rPr>
                <w:rFonts w:ascii="Times New Roman" w:eastAsia="Times New Roman"/>
                <w:b/>
                <w:sz w:val="21"/>
              </w:rPr>
              <w:t xml:space="preserve">CAS </w:t>
            </w:r>
            <w:r>
              <w:rPr>
                <w:rFonts w:hint="eastAsia"/>
                <w:b/>
                <w:sz w:val="21"/>
              </w:rPr>
              <w:t>号</w:t>
            </w:r>
          </w:p>
        </w:tc>
        <w:tc>
          <w:tcPr>
            <w:tcW w:w="750" w:type="dxa"/>
            <w:shd w:val="clear" w:color="auto" w:fill="DFDFDF"/>
          </w:tcPr>
          <w:p w:rsidR="00B04AE3" w:rsidRDefault="00B04AE3">
            <w:pPr>
              <w:pStyle w:val="TableParagraph"/>
              <w:spacing w:before="3"/>
              <w:ind w:left="165"/>
              <w:jc w:val="left"/>
              <w:rPr>
                <w:b/>
                <w:sz w:val="21"/>
              </w:rPr>
            </w:pPr>
            <w:r>
              <w:rPr>
                <w:rFonts w:hint="eastAsia"/>
                <w:b/>
                <w:w w:val="95"/>
                <w:sz w:val="21"/>
              </w:rPr>
              <w:t>理化</w:t>
            </w:r>
          </w:p>
          <w:p w:rsidR="00B04AE3" w:rsidRDefault="00B04AE3">
            <w:pPr>
              <w:pStyle w:val="TableParagraph"/>
              <w:spacing w:before="5" w:line="257" w:lineRule="exact"/>
              <w:ind w:left="165"/>
              <w:jc w:val="left"/>
              <w:rPr>
                <w:b/>
                <w:sz w:val="21"/>
              </w:rPr>
            </w:pPr>
            <w:r>
              <w:rPr>
                <w:rFonts w:hint="eastAsia"/>
                <w:b/>
                <w:w w:val="95"/>
                <w:sz w:val="21"/>
              </w:rPr>
              <w:t>性质</w:t>
            </w:r>
          </w:p>
        </w:tc>
        <w:tc>
          <w:tcPr>
            <w:tcW w:w="1788" w:type="dxa"/>
            <w:shd w:val="clear" w:color="auto" w:fill="DFDFDF"/>
          </w:tcPr>
          <w:p w:rsidR="00B04AE3" w:rsidRDefault="00B04AE3">
            <w:pPr>
              <w:pStyle w:val="TableParagraph"/>
              <w:spacing w:before="3"/>
              <w:ind w:left="346" w:right="336"/>
              <w:rPr>
                <w:b/>
                <w:sz w:val="21"/>
              </w:rPr>
            </w:pPr>
            <w:r>
              <w:rPr>
                <w:rFonts w:hint="eastAsia"/>
                <w:b/>
                <w:sz w:val="21"/>
              </w:rPr>
              <w:t>最大贮存量</w:t>
            </w:r>
          </w:p>
          <w:p w:rsidR="00B04AE3" w:rsidRDefault="00B04AE3">
            <w:pPr>
              <w:pStyle w:val="TableParagraph"/>
              <w:spacing w:before="5" w:line="257" w:lineRule="exact"/>
              <w:ind w:left="346" w:right="336"/>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023" w:type="dxa"/>
            <w:shd w:val="clear" w:color="auto" w:fill="DFDFDF"/>
          </w:tcPr>
          <w:p w:rsidR="00B04AE3" w:rsidRDefault="00B04AE3">
            <w:pPr>
              <w:pStyle w:val="TableParagraph"/>
              <w:spacing w:before="3"/>
              <w:ind w:left="195"/>
              <w:jc w:val="left"/>
              <w:rPr>
                <w:b/>
                <w:sz w:val="21"/>
              </w:rPr>
            </w:pPr>
            <w:r>
              <w:rPr>
                <w:rFonts w:hint="eastAsia"/>
                <w:b/>
                <w:w w:val="95"/>
                <w:sz w:val="21"/>
              </w:rPr>
              <w:t>临界量</w:t>
            </w:r>
          </w:p>
          <w:p w:rsidR="00B04AE3" w:rsidRDefault="00B04AE3">
            <w:pPr>
              <w:pStyle w:val="TableParagraph"/>
              <w:spacing w:before="5" w:line="257" w:lineRule="exact"/>
              <w:ind w:left="207"/>
              <w:jc w:val="left"/>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068" w:type="dxa"/>
            <w:shd w:val="clear" w:color="auto" w:fill="DFDFDF"/>
          </w:tcPr>
          <w:p w:rsidR="00B04AE3" w:rsidRDefault="00B04AE3">
            <w:pPr>
              <w:pStyle w:val="TableParagraph"/>
              <w:spacing w:before="154"/>
              <w:ind w:left="118" w:right="110"/>
              <w:rPr>
                <w:rFonts w:ascii="Times New Roman"/>
                <w:b/>
                <w:sz w:val="21"/>
              </w:rPr>
            </w:pPr>
            <w:r>
              <w:rPr>
                <w:rFonts w:ascii="Times New Roman"/>
                <w:b/>
                <w:sz w:val="21"/>
              </w:rPr>
              <w:t>q/Q</w:t>
            </w:r>
          </w:p>
        </w:tc>
        <w:tc>
          <w:tcPr>
            <w:tcW w:w="733" w:type="dxa"/>
            <w:shd w:val="clear" w:color="auto" w:fill="DFDFDF"/>
          </w:tcPr>
          <w:p w:rsidR="00B04AE3" w:rsidRDefault="00B04AE3">
            <w:pPr>
              <w:pStyle w:val="TableParagraph"/>
              <w:spacing w:before="3"/>
              <w:ind w:left="156"/>
              <w:jc w:val="left"/>
              <w:rPr>
                <w:b/>
                <w:sz w:val="21"/>
              </w:rPr>
            </w:pPr>
            <w:r>
              <w:rPr>
                <w:rFonts w:hint="eastAsia"/>
                <w:b/>
                <w:w w:val="95"/>
                <w:sz w:val="21"/>
              </w:rPr>
              <w:t>储存</w:t>
            </w:r>
          </w:p>
          <w:p w:rsidR="00B04AE3" w:rsidRDefault="00B04AE3">
            <w:pPr>
              <w:pStyle w:val="TableParagraph"/>
              <w:spacing w:before="5" w:line="257" w:lineRule="exact"/>
              <w:ind w:left="156"/>
              <w:jc w:val="left"/>
              <w:rPr>
                <w:b/>
                <w:sz w:val="21"/>
              </w:rPr>
            </w:pPr>
            <w:r>
              <w:rPr>
                <w:rFonts w:hint="eastAsia"/>
                <w:b/>
                <w:w w:val="95"/>
                <w:sz w:val="21"/>
              </w:rPr>
              <w:t>方式</w:t>
            </w:r>
          </w:p>
        </w:tc>
      </w:tr>
      <w:tr w:rsidR="00B04AE3">
        <w:trPr>
          <w:trHeight w:val="817"/>
          <w:jc w:val="center"/>
        </w:trPr>
        <w:tc>
          <w:tcPr>
            <w:tcW w:w="616" w:type="dxa"/>
          </w:tcPr>
          <w:p w:rsidR="00B04AE3" w:rsidRDefault="00B04AE3">
            <w:pPr>
              <w:pStyle w:val="TableParagraph"/>
              <w:spacing w:before="4"/>
              <w:jc w:val="left"/>
              <w:rPr>
                <w:b/>
              </w:rPr>
            </w:pPr>
          </w:p>
          <w:p w:rsidR="00B04AE3" w:rsidRDefault="00B04AE3">
            <w:pPr>
              <w:pStyle w:val="TableParagraph"/>
              <w:ind w:left="8"/>
              <w:rPr>
                <w:rFonts w:ascii="Times New Roman"/>
                <w:sz w:val="21"/>
              </w:rPr>
            </w:pPr>
            <w:r>
              <w:rPr>
                <w:rFonts w:ascii="Times New Roman"/>
                <w:w w:val="99"/>
                <w:sz w:val="21"/>
              </w:rPr>
              <w:t>1</w:t>
            </w:r>
          </w:p>
        </w:tc>
        <w:tc>
          <w:tcPr>
            <w:tcW w:w="1326" w:type="dxa"/>
          </w:tcPr>
          <w:p w:rsidR="00B04AE3" w:rsidRDefault="00B04AE3">
            <w:pPr>
              <w:pStyle w:val="TableParagraph"/>
              <w:spacing w:before="3"/>
              <w:jc w:val="left"/>
              <w:rPr>
                <w:b/>
                <w:sz w:val="21"/>
              </w:rPr>
            </w:pPr>
          </w:p>
          <w:p w:rsidR="00B04AE3" w:rsidRDefault="00B04AE3">
            <w:pPr>
              <w:pStyle w:val="TableParagraph"/>
              <w:ind w:left="326" w:right="320"/>
              <w:rPr>
                <w:sz w:val="21"/>
              </w:rPr>
            </w:pPr>
            <w:r>
              <w:rPr>
                <w:rFonts w:hint="eastAsia"/>
                <w:sz w:val="21"/>
              </w:rPr>
              <w:t>液氮</w:t>
            </w:r>
          </w:p>
        </w:tc>
        <w:tc>
          <w:tcPr>
            <w:tcW w:w="1296" w:type="dxa"/>
          </w:tcPr>
          <w:p w:rsidR="00B04AE3" w:rsidRDefault="00B04AE3">
            <w:pPr>
              <w:pStyle w:val="TableParagraph"/>
              <w:spacing w:before="4"/>
              <w:jc w:val="left"/>
              <w:rPr>
                <w:b/>
              </w:rPr>
            </w:pPr>
          </w:p>
          <w:p w:rsidR="00B04AE3" w:rsidRDefault="00B04AE3">
            <w:pPr>
              <w:pStyle w:val="TableParagraph"/>
              <w:ind w:left="189" w:right="181"/>
              <w:rPr>
                <w:rFonts w:ascii="Times New Roman"/>
                <w:sz w:val="21"/>
              </w:rPr>
            </w:pPr>
            <w:r>
              <w:rPr>
                <w:rFonts w:ascii="Arial" w:hAnsi="Arial" w:cs="Arial"/>
                <w:color w:val="000000"/>
                <w:sz w:val="18"/>
                <w:szCs w:val="18"/>
                <w:shd w:val="clear" w:color="auto" w:fill="FFFFFF"/>
              </w:rPr>
              <w:t>7727-37-9</w:t>
            </w:r>
          </w:p>
        </w:tc>
        <w:tc>
          <w:tcPr>
            <w:tcW w:w="750" w:type="dxa"/>
          </w:tcPr>
          <w:p w:rsidR="00B04AE3" w:rsidRDefault="00B04AE3">
            <w:pPr>
              <w:pStyle w:val="TableParagraph"/>
              <w:spacing w:before="1" w:line="242" w:lineRule="auto"/>
              <w:ind w:left="107" w:right="97"/>
              <w:rPr>
                <w:sz w:val="21"/>
              </w:rPr>
            </w:pPr>
            <w:r>
              <w:rPr>
                <w:rFonts w:hint="eastAsia"/>
                <w:spacing w:val="-37"/>
                <w:sz w:val="21"/>
              </w:rPr>
              <w:t>有</w:t>
            </w:r>
          </w:p>
          <w:p w:rsidR="00B04AE3" w:rsidRDefault="00B04AE3">
            <w:pPr>
              <w:pStyle w:val="TableParagraph"/>
              <w:spacing w:line="252" w:lineRule="exact"/>
              <w:ind w:left="6"/>
              <w:rPr>
                <w:sz w:val="21"/>
              </w:rPr>
            </w:pPr>
            <w:r>
              <w:rPr>
                <w:rFonts w:hint="eastAsia"/>
                <w:w w:val="99"/>
                <w:sz w:val="21"/>
              </w:rPr>
              <w:t>毒</w:t>
            </w:r>
          </w:p>
        </w:tc>
        <w:tc>
          <w:tcPr>
            <w:tcW w:w="1788" w:type="dxa"/>
          </w:tcPr>
          <w:p w:rsidR="00B04AE3" w:rsidRDefault="00B04AE3">
            <w:pPr>
              <w:pStyle w:val="TableParagraph"/>
              <w:spacing w:before="4"/>
              <w:jc w:val="left"/>
              <w:rPr>
                <w:b/>
              </w:rPr>
            </w:pPr>
          </w:p>
          <w:p w:rsidR="00B04AE3" w:rsidRDefault="00B04AE3">
            <w:pPr>
              <w:pStyle w:val="TableParagraph"/>
              <w:ind w:left="344" w:right="336"/>
              <w:rPr>
                <w:rFonts w:ascii="Times New Roman"/>
                <w:sz w:val="21"/>
                <w:lang w:val="en-US"/>
              </w:rPr>
            </w:pPr>
            <w:r>
              <w:rPr>
                <w:rFonts w:ascii="Times New Roman"/>
                <w:sz w:val="21"/>
                <w:lang w:val="en-US"/>
              </w:rPr>
              <w:t>65</w:t>
            </w:r>
          </w:p>
        </w:tc>
        <w:tc>
          <w:tcPr>
            <w:tcW w:w="1023" w:type="dxa"/>
          </w:tcPr>
          <w:p w:rsidR="00B04AE3" w:rsidRDefault="00B04AE3">
            <w:pPr>
              <w:pStyle w:val="TableParagraph"/>
              <w:spacing w:before="2"/>
              <w:jc w:val="left"/>
              <w:rPr>
                <w:b/>
              </w:rPr>
            </w:pPr>
          </w:p>
          <w:p w:rsidR="00B04AE3" w:rsidRDefault="00B04AE3">
            <w:pPr>
              <w:pStyle w:val="TableParagraph"/>
              <w:ind w:left="10"/>
              <w:rPr>
                <w:rFonts w:ascii="Times New Roman"/>
                <w:sz w:val="21"/>
                <w:lang w:val="en-US"/>
              </w:rPr>
            </w:pPr>
            <w:r>
              <w:rPr>
                <w:rFonts w:ascii="Times New Roman"/>
                <w:sz w:val="21"/>
                <w:lang w:val="en-US"/>
              </w:rPr>
              <w:t>200</w:t>
            </w:r>
          </w:p>
        </w:tc>
        <w:tc>
          <w:tcPr>
            <w:tcW w:w="1068" w:type="dxa"/>
          </w:tcPr>
          <w:p w:rsidR="00B04AE3" w:rsidRDefault="00B04AE3">
            <w:pPr>
              <w:pStyle w:val="TableParagraph"/>
              <w:spacing w:before="4"/>
              <w:jc w:val="left"/>
              <w:rPr>
                <w:b/>
              </w:rPr>
            </w:pPr>
          </w:p>
          <w:p w:rsidR="00B04AE3" w:rsidRDefault="00B04AE3">
            <w:pPr>
              <w:pStyle w:val="TableParagraph"/>
              <w:ind w:left="117" w:right="110"/>
              <w:rPr>
                <w:rFonts w:ascii="Times New Roman"/>
                <w:sz w:val="21"/>
                <w:lang w:val="en-US"/>
              </w:rPr>
            </w:pPr>
            <w:r>
              <w:rPr>
                <w:rFonts w:ascii="Times New Roman"/>
                <w:sz w:val="21"/>
              </w:rPr>
              <w:t>0.</w:t>
            </w:r>
            <w:r>
              <w:rPr>
                <w:rFonts w:ascii="Times New Roman"/>
                <w:sz w:val="21"/>
                <w:lang w:val="en-US"/>
              </w:rPr>
              <w:t>32</w:t>
            </w:r>
          </w:p>
        </w:tc>
        <w:tc>
          <w:tcPr>
            <w:tcW w:w="733" w:type="dxa"/>
          </w:tcPr>
          <w:p w:rsidR="00B04AE3" w:rsidRDefault="00B04AE3">
            <w:pPr>
              <w:pStyle w:val="TableParagraph"/>
              <w:spacing w:before="135" w:line="244" w:lineRule="auto"/>
              <w:ind w:left="259" w:right="146" w:hanging="104"/>
              <w:jc w:val="left"/>
              <w:rPr>
                <w:sz w:val="21"/>
              </w:rPr>
            </w:pPr>
            <w:r>
              <w:rPr>
                <w:rFonts w:hint="eastAsia"/>
                <w:sz w:val="21"/>
              </w:rPr>
              <w:t>储罐装</w:t>
            </w:r>
          </w:p>
        </w:tc>
      </w:tr>
      <w:tr w:rsidR="00B04AE3">
        <w:trPr>
          <w:trHeight w:val="553"/>
          <w:jc w:val="center"/>
        </w:trPr>
        <w:tc>
          <w:tcPr>
            <w:tcW w:w="616" w:type="dxa"/>
          </w:tcPr>
          <w:p w:rsidR="00B04AE3" w:rsidRDefault="00B04AE3">
            <w:pPr>
              <w:pStyle w:val="TableParagraph"/>
              <w:spacing w:before="155"/>
              <w:ind w:left="8"/>
              <w:rPr>
                <w:rFonts w:ascii="Times New Roman"/>
                <w:sz w:val="21"/>
              </w:rPr>
            </w:pPr>
            <w:r>
              <w:rPr>
                <w:rFonts w:ascii="Times New Roman"/>
                <w:w w:val="99"/>
                <w:sz w:val="21"/>
              </w:rPr>
              <w:t>2</w:t>
            </w:r>
          </w:p>
        </w:tc>
        <w:tc>
          <w:tcPr>
            <w:tcW w:w="1326" w:type="dxa"/>
          </w:tcPr>
          <w:p w:rsidR="00B04AE3" w:rsidRDefault="00B04AE3">
            <w:pPr>
              <w:pStyle w:val="TableParagraph"/>
              <w:spacing w:before="139"/>
              <w:ind w:left="326" w:right="320"/>
              <w:rPr>
                <w:sz w:val="21"/>
              </w:rPr>
            </w:pPr>
            <w:r>
              <w:rPr>
                <w:rFonts w:hint="eastAsia"/>
                <w:sz w:val="21"/>
              </w:rPr>
              <w:t>硫酸</w:t>
            </w:r>
          </w:p>
        </w:tc>
        <w:tc>
          <w:tcPr>
            <w:tcW w:w="1296" w:type="dxa"/>
          </w:tcPr>
          <w:p w:rsidR="00B04AE3" w:rsidRDefault="00B04AE3">
            <w:pPr>
              <w:pStyle w:val="TableParagraph"/>
              <w:spacing w:before="155"/>
              <w:ind w:left="189" w:right="181"/>
              <w:rPr>
                <w:rFonts w:ascii="Times New Roman"/>
                <w:sz w:val="21"/>
              </w:rPr>
            </w:pPr>
            <w:r>
              <w:rPr>
                <w:rFonts w:ascii="Times New Roman"/>
                <w:sz w:val="21"/>
              </w:rPr>
              <w:t>7664-93-9</w:t>
            </w:r>
          </w:p>
        </w:tc>
        <w:tc>
          <w:tcPr>
            <w:tcW w:w="750" w:type="dxa"/>
          </w:tcPr>
          <w:p w:rsidR="00B04AE3" w:rsidRDefault="00B04AE3">
            <w:pPr>
              <w:pStyle w:val="TableParagraph"/>
              <w:spacing w:before="3" w:line="270" w:lineRule="atLeast"/>
              <w:ind w:left="268" w:right="154" w:hanging="104"/>
              <w:jc w:val="left"/>
              <w:rPr>
                <w:sz w:val="21"/>
              </w:rPr>
            </w:pPr>
            <w:r>
              <w:rPr>
                <w:rFonts w:hint="eastAsia"/>
                <w:sz w:val="21"/>
              </w:rPr>
              <w:t>腐蚀性</w:t>
            </w:r>
          </w:p>
        </w:tc>
        <w:tc>
          <w:tcPr>
            <w:tcW w:w="1788" w:type="dxa"/>
          </w:tcPr>
          <w:p w:rsidR="00B04AE3" w:rsidRDefault="00B04AE3">
            <w:pPr>
              <w:pStyle w:val="TableParagraph"/>
              <w:spacing w:before="155"/>
              <w:ind w:left="8"/>
              <w:rPr>
                <w:rFonts w:ascii="Times New Roman"/>
                <w:sz w:val="21"/>
              </w:rPr>
            </w:pPr>
            <w:r>
              <w:rPr>
                <w:rFonts w:ascii="Times New Roman"/>
                <w:w w:val="99"/>
                <w:sz w:val="21"/>
                <w:lang w:val="en-US"/>
              </w:rPr>
              <w:t>5</w:t>
            </w:r>
          </w:p>
        </w:tc>
        <w:tc>
          <w:tcPr>
            <w:tcW w:w="1023" w:type="dxa"/>
          </w:tcPr>
          <w:p w:rsidR="00B04AE3" w:rsidRDefault="00B04AE3">
            <w:pPr>
              <w:pStyle w:val="TableParagraph"/>
              <w:spacing w:before="153"/>
              <w:ind w:left="386" w:right="376"/>
              <w:rPr>
                <w:rFonts w:ascii="Times New Roman"/>
                <w:sz w:val="21"/>
                <w:lang w:val="en-US"/>
              </w:rPr>
            </w:pPr>
            <w:r>
              <w:rPr>
                <w:rFonts w:ascii="Times New Roman"/>
                <w:sz w:val="21"/>
                <w:lang w:val="en-US"/>
              </w:rPr>
              <w:t>50</w:t>
            </w:r>
          </w:p>
        </w:tc>
        <w:tc>
          <w:tcPr>
            <w:tcW w:w="1068" w:type="dxa"/>
          </w:tcPr>
          <w:p w:rsidR="00B04AE3" w:rsidRDefault="00B04AE3">
            <w:pPr>
              <w:pStyle w:val="TableParagraph"/>
              <w:spacing w:before="155"/>
              <w:ind w:left="120" w:right="108"/>
              <w:rPr>
                <w:rFonts w:ascii="Times New Roman"/>
                <w:sz w:val="21"/>
              </w:rPr>
            </w:pPr>
            <w:r>
              <w:rPr>
                <w:rFonts w:ascii="Times New Roman"/>
                <w:sz w:val="21"/>
              </w:rPr>
              <w:t>0.</w:t>
            </w:r>
            <w:r>
              <w:rPr>
                <w:rFonts w:ascii="Times New Roman"/>
                <w:sz w:val="21"/>
                <w:lang w:val="en-US"/>
              </w:rPr>
              <w:t>1</w:t>
            </w:r>
          </w:p>
        </w:tc>
        <w:tc>
          <w:tcPr>
            <w:tcW w:w="733" w:type="dxa"/>
          </w:tcPr>
          <w:p w:rsidR="00B04AE3" w:rsidRDefault="00B04AE3">
            <w:pPr>
              <w:pStyle w:val="TableParagraph"/>
              <w:spacing w:before="3" w:line="270" w:lineRule="atLeast"/>
              <w:ind w:left="156" w:right="146"/>
              <w:jc w:val="left"/>
              <w:rPr>
                <w:sz w:val="21"/>
              </w:rPr>
            </w:pPr>
            <w:r>
              <w:rPr>
                <w:rFonts w:hint="eastAsia"/>
                <w:sz w:val="21"/>
              </w:rPr>
              <w:t>钢瓶包装</w:t>
            </w:r>
          </w:p>
        </w:tc>
      </w:tr>
      <w:tr w:rsidR="00B04AE3">
        <w:trPr>
          <w:trHeight w:val="553"/>
          <w:jc w:val="center"/>
        </w:trPr>
        <w:tc>
          <w:tcPr>
            <w:tcW w:w="616" w:type="dxa"/>
          </w:tcPr>
          <w:p w:rsidR="00B04AE3" w:rsidRDefault="00B04AE3">
            <w:pPr>
              <w:pStyle w:val="TableParagraph"/>
              <w:spacing w:before="155"/>
              <w:ind w:left="8"/>
              <w:rPr>
                <w:rFonts w:ascii="Times New Roman"/>
                <w:w w:val="99"/>
                <w:sz w:val="21"/>
                <w:lang w:val="en-US"/>
              </w:rPr>
            </w:pPr>
            <w:r>
              <w:rPr>
                <w:rFonts w:ascii="Times New Roman"/>
                <w:w w:val="99"/>
                <w:sz w:val="21"/>
                <w:lang w:val="en-US"/>
              </w:rPr>
              <w:t>4</w:t>
            </w:r>
          </w:p>
        </w:tc>
        <w:tc>
          <w:tcPr>
            <w:tcW w:w="1326" w:type="dxa"/>
          </w:tcPr>
          <w:p w:rsidR="00B04AE3" w:rsidRDefault="00B04AE3">
            <w:pPr>
              <w:pStyle w:val="TableParagraph"/>
              <w:spacing w:before="139"/>
              <w:ind w:right="320"/>
              <w:jc w:val="both"/>
              <w:rPr>
                <w:sz w:val="21"/>
              </w:rPr>
            </w:pPr>
            <w:r>
              <w:rPr>
                <w:rFonts w:hint="eastAsia"/>
                <w:sz w:val="21"/>
              </w:rPr>
              <w:t>氢氧化钠</w:t>
            </w:r>
          </w:p>
        </w:tc>
        <w:tc>
          <w:tcPr>
            <w:tcW w:w="1296" w:type="dxa"/>
          </w:tcPr>
          <w:p w:rsidR="00B04AE3" w:rsidRDefault="00B04AE3">
            <w:pPr>
              <w:pStyle w:val="TableParagraph"/>
              <w:spacing w:before="155"/>
              <w:ind w:right="181"/>
              <w:jc w:val="both"/>
              <w:rPr>
                <w:rFonts w:ascii="Times New Roman"/>
                <w:sz w:val="21"/>
              </w:rPr>
            </w:pPr>
            <w:r>
              <w:rPr>
                <w:color w:val="000000"/>
                <w:sz w:val="21"/>
                <w:szCs w:val="21"/>
              </w:rPr>
              <w:t>1310-73-2</w:t>
            </w:r>
          </w:p>
        </w:tc>
        <w:tc>
          <w:tcPr>
            <w:tcW w:w="750" w:type="dxa"/>
          </w:tcPr>
          <w:p w:rsidR="00B04AE3" w:rsidRDefault="00B04AE3">
            <w:pPr>
              <w:pStyle w:val="TableParagraph"/>
              <w:spacing w:before="3" w:line="270" w:lineRule="atLeast"/>
              <w:ind w:left="268" w:right="154" w:hanging="104"/>
              <w:jc w:val="left"/>
              <w:rPr>
                <w:sz w:val="21"/>
              </w:rPr>
            </w:pPr>
            <w:r>
              <w:rPr>
                <w:rFonts w:hint="eastAsia"/>
                <w:sz w:val="21"/>
              </w:rPr>
              <w:t>腐蚀性</w:t>
            </w:r>
          </w:p>
        </w:tc>
        <w:tc>
          <w:tcPr>
            <w:tcW w:w="1788" w:type="dxa"/>
          </w:tcPr>
          <w:p w:rsidR="00B04AE3" w:rsidRDefault="00B04AE3">
            <w:pPr>
              <w:pStyle w:val="TableParagraph"/>
              <w:spacing w:before="155"/>
              <w:ind w:left="8"/>
              <w:rPr>
                <w:rFonts w:ascii="Times New Roman"/>
                <w:w w:val="99"/>
                <w:sz w:val="21"/>
                <w:lang w:val="en-US"/>
              </w:rPr>
            </w:pPr>
            <w:r>
              <w:rPr>
                <w:rFonts w:ascii="Times New Roman"/>
                <w:w w:val="99"/>
                <w:sz w:val="21"/>
                <w:lang w:val="en-US"/>
              </w:rPr>
              <w:t>5</w:t>
            </w:r>
          </w:p>
        </w:tc>
        <w:tc>
          <w:tcPr>
            <w:tcW w:w="1023" w:type="dxa"/>
          </w:tcPr>
          <w:p w:rsidR="00B04AE3" w:rsidRDefault="00B04AE3">
            <w:pPr>
              <w:pStyle w:val="TableParagraph"/>
              <w:spacing w:before="153"/>
              <w:ind w:left="386" w:right="376"/>
              <w:rPr>
                <w:rFonts w:ascii="Times New Roman"/>
                <w:sz w:val="21"/>
                <w:lang w:val="en-US"/>
              </w:rPr>
            </w:pPr>
            <w:r>
              <w:rPr>
                <w:rFonts w:ascii="Times New Roman"/>
                <w:sz w:val="21"/>
                <w:lang w:val="en-US"/>
              </w:rPr>
              <w:t>50</w:t>
            </w:r>
          </w:p>
        </w:tc>
        <w:tc>
          <w:tcPr>
            <w:tcW w:w="1068" w:type="dxa"/>
          </w:tcPr>
          <w:p w:rsidR="00B04AE3" w:rsidRDefault="00B04AE3">
            <w:pPr>
              <w:pStyle w:val="TableParagraph"/>
              <w:spacing w:before="155"/>
              <w:ind w:left="120" w:right="108"/>
              <w:rPr>
                <w:rFonts w:ascii="Times New Roman"/>
                <w:sz w:val="21"/>
                <w:lang w:val="en-US"/>
              </w:rPr>
            </w:pPr>
            <w:r>
              <w:rPr>
                <w:rFonts w:ascii="Times New Roman"/>
                <w:sz w:val="21"/>
                <w:lang w:val="en-US"/>
              </w:rPr>
              <w:t>0.1</w:t>
            </w:r>
          </w:p>
        </w:tc>
        <w:tc>
          <w:tcPr>
            <w:tcW w:w="733" w:type="dxa"/>
          </w:tcPr>
          <w:p w:rsidR="00B04AE3" w:rsidRDefault="00B04AE3">
            <w:pPr>
              <w:pStyle w:val="TableParagraph"/>
              <w:spacing w:before="3" w:line="270" w:lineRule="atLeast"/>
              <w:ind w:left="156" w:right="146"/>
              <w:jc w:val="left"/>
              <w:rPr>
                <w:sz w:val="21"/>
              </w:rPr>
            </w:pPr>
            <w:r>
              <w:rPr>
                <w:rFonts w:hint="eastAsia"/>
                <w:sz w:val="21"/>
              </w:rPr>
              <w:t>钢瓶包装</w:t>
            </w:r>
          </w:p>
        </w:tc>
      </w:tr>
      <w:tr w:rsidR="00B04AE3">
        <w:trPr>
          <w:trHeight w:val="432"/>
          <w:jc w:val="center"/>
        </w:trPr>
        <w:tc>
          <w:tcPr>
            <w:tcW w:w="616" w:type="dxa"/>
          </w:tcPr>
          <w:p w:rsidR="00B04AE3" w:rsidRDefault="00B04AE3">
            <w:pPr>
              <w:pStyle w:val="TableParagraph"/>
              <w:spacing w:before="93"/>
              <w:ind w:left="8"/>
              <w:rPr>
                <w:rFonts w:ascii="Times New Roman"/>
                <w:sz w:val="21"/>
              </w:rPr>
            </w:pPr>
            <w:r>
              <w:rPr>
                <w:rFonts w:ascii="Times New Roman"/>
                <w:w w:val="99"/>
                <w:sz w:val="21"/>
              </w:rPr>
              <w:t>3</w:t>
            </w:r>
          </w:p>
        </w:tc>
        <w:tc>
          <w:tcPr>
            <w:tcW w:w="1326" w:type="dxa"/>
          </w:tcPr>
          <w:p w:rsidR="00B04AE3" w:rsidRDefault="00B04AE3">
            <w:pPr>
              <w:pStyle w:val="TableParagraph"/>
              <w:spacing w:before="79"/>
              <w:ind w:left="326" w:right="320"/>
              <w:rPr>
                <w:sz w:val="21"/>
              </w:rPr>
            </w:pPr>
            <w:r>
              <w:rPr>
                <w:rFonts w:hint="eastAsia"/>
                <w:sz w:val="21"/>
              </w:rPr>
              <w:t>天然气</w:t>
            </w:r>
          </w:p>
        </w:tc>
        <w:tc>
          <w:tcPr>
            <w:tcW w:w="1296" w:type="dxa"/>
          </w:tcPr>
          <w:p w:rsidR="00B04AE3" w:rsidRDefault="00B04AE3">
            <w:pPr>
              <w:pStyle w:val="TableParagraph"/>
              <w:spacing w:before="93"/>
              <w:ind w:left="189" w:right="181"/>
              <w:rPr>
                <w:rFonts w:ascii="Times New Roman"/>
                <w:sz w:val="21"/>
              </w:rPr>
            </w:pPr>
            <w:r>
              <w:rPr>
                <w:rFonts w:ascii="Times New Roman"/>
                <w:sz w:val="21"/>
              </w:rPr>
              <w:t>74-82-8</w:t>
            </w:r>
          </w:p>
        </w:tc>
        <w:tc>
          <w:tcPr>
            <w:tcW w:w="750" w:type="dxa"/>
          </w:tcPr>
          <w:p w:rsidR="00B04AE3" w:rsidRDefault="00B04AE3">
            <w:pPr>
              <w:pStyle w:val="TableParagraph"/>
              <w:spacing w:before="79"/>
              <w:ind w:left="165"/>
              <w:jc w:val="left"/>
              <w:rPr>
                <w:sz w:val="21"/>
              </w:rPr>
            </w:pPr>
            <w:r>
              <w:rPr>
                <w:rFonts w:hint="eastAsia"/>
                <w:sz w:val="21"/>
              </w:rPr>
              <w:t>易燃</w:t>
            </w:r>
          </w:p>
        </w:tc>
        <w:tc>
          <w:tcPr>
            <w:tcW w:w="1788" w:type="dxa"/>
          </w:tcPr>
          <w:p w:rsidR="00B04AE3" w:rsidRDefault="00B04AE3">
            <w:pPr>
              <w:pStyle w:val="TableParagraph"/>
              <w:spacing w:before="93"/>
              <w:ind w:left="342" w:right="336"/>
              <w:rPr>
                <w:rFonts w:ascii="Times New Roman"/>
                <w:sz w:val="21"/>
              </w:rPr>
            </w:pPr>
            <w:r>
              <w:rPr>
                <w:rFonts w:ascii="Times New Roman"/>
                <w:sz w:val="21"/>
              </w:rPr>
              <w:t>0.0109</w:t>
            </w:r>
          </w:p>
        </w:tc>
        <w:tc>
          <w:tcPr>
            <w:tcW w:w="1023" w:type="dxa"/>
          </w:tcPr>
          <w:p w:rsidR="00B04AE3" w:rsidRDefault="00B04AE3">
            <w:pPr>
              <w:pStyle w:val="TableParagraph"/>
              <w:spacing w:before="90"/>
              <w:ind w:left="386" w:right="376"/>
              <w:rPr>
                <w:rFonts w:ascii="Times New Roman"/>
                <w:sz w:val="21"/>
              </w:rPr>
            </w:pPr>
            <w:r>
              <w:rPr>
                <w:rFonts w:ascii="Times New Roman"/>
                <w:sz w:val="21"/>
              </w:rPr>
              <w:t>50</w:t>
            </w:r>
          </w:p>
        </w:tc>
        <w:tc>
          <w:tcPr>
            <w:tcW w:w="1068" w:type="dxa"/>
          </w:tcPr>
          <w:p w:rsidR="00B04AE3" w:rsidRDefault="00B04AE3">
            <w:pPr>
              <w:pStyle w:val="TableParagraph"/>
              <w:spacing w:before="93"/>
              <w:ind w:left="120" w:right="110"/>
              <w:rPr>
                <w:rFonts w:ascii="Times New Roman"/>
                <w:sz w:val="21"/>
              </w:rPr>
            </w:pPr>
            <w:r>
              <w:rPr>
                <w:rFonts w:ascii="Times New Roman"/>
                <w:sz w:val="21"/>
              </w:rPr>
              <w:t>0.000218</w:t>
            </w:r>
          </w:p>
        </w:tc>
        <w:tc>
          <w:tcPr>
            <w:tcW w:w="733" w:type="dxa"/>
          </w:tcPr>
          <w:p w:rsidR="00B04AE3" w:rsidRDefault="00B04AE3">
            <w:pPr>
              <w:pStyle w:val="TableParagraph"/>
              <w:spacing w:before="79"/>
              <w:ind w:left="135" w:right="128"/>
              <w:rPr>
                <w:sz w:val="21"/>
              </w:rPr>
            </w:pPr>
            <w:r>
              <w:rPr>
                <w:rFonts w:hint="eastAsia"/>
                <w:sz w:val="21"/>
              </w:rPr>
              <w:t>管道</w:t>
            </w:r>
          </w:p>
        </w:tc>
      </w:tr>
      <w:tr w:rsidR="00B04AE3">
        <w:trPr>
          <w:trHeight w:val="452"/>
          <w:jc w:val="center"/>
        </w:trPr>
        <w:tc>
          <w:tcPr>
            <w:tcW w:w="1942" w:type="dxa"/>
            <w:gridSpan w:val="2"/>
          </w:tcPr>
          <w:p w:rsidR="00B04AE3" w:rsidRDefault="00B04AE3">
            <w:pPr>
              <w:pStyle w:val="TableParagraph"/>
              <w:spacing w:before="88"/>
              <w:ind w:left="740" w:right="732"/>
              <w:rPr>
                <w:sz w:val="21"/>
              </w:rPr>
            </w:pPr>
            <w:r>
              <w:rPr>
                <w:rFonts w:hint="eastAsia"/>
                <w:sz w:val="21"/>
              </w:rPr>
              <w:t>合计</w:t>
            </w:r>
          </w:p>
        </w:tc>
        <w:tc>
          <w:tcPr>
            <w:tcW w:w="1296" w:type="dxa"/>
          </w:tcPr>
          <w:p w:rsidR="00B04AE3" w:rsidRDefault="00B04AE3">
            <w:pPr>
              <w:pStyle w:val="TableParagraph"/>
              <w:spacing w:before="104"/>
              <w:ind w:left="189" w:right="180"/>
              <w:rPr>
                <w:rFonts w:ascii="Times New Roman"/>
                <w:sz w:val="21"/>
              </w:rPr>
            </w:pPr>
            <w:r>
              <w:rPr>
                <w:rFonts w:ascii="Times New Roman"/>
                <w:sz w:val="21"/>
              </w:rPr>
              <w:t>--</w:t>
            </w:r>
          </w:p>
        </w:tc>
        <w:tc>
          <w:tcPr>
            <w:tcW w:w="750" w:type="dxa"/>
          </w:tcPr>
          <w:p w:rsidR="00B04AE3" w:rsidRDefault="00B04AE3">
            <w:pPr>
              <w:pStyle w:val="TableParagraph"/>
              <w:jc w:val="left"/>
              <w:rPr>
                <w:rFonts w:ascii="Times New Roman"/>
                <w:sz w:val="20"/>
              </w:rPr>
            </w:pPr>
          </w:p>
        </w:tc>
        <w:tc>
          <w:tcPr>
            <w:tcW w:w="1788" w:type="dxa"/>
          </w:tcPr>
          <w:p w:rsidR="00B04AE3" w:rsidRDefault="00B04AE3">
            <w:pPr>
              <w:pStyle w:val="TableParagraph"/>
              <w:spacing w:before="104"/>
              <w:ind w:left="345" w:right="336"/>
              <w:rPr>
                <w:rFonts w:ascii="Times New Roman"/>
                <w:sz w:val="21"/>
              </w:rPr>
            </w:pPr>
            <w:r>
              <w:rPr>
                <w:rFonts w:ascii="Times New Roman"/>
                <w:sz w:val="21"/>
              </w:rPr>
              <w:t>--</w:t>
            </w:r>
          </w:p>
        </w:tc>
        <w:tc>
          <w:tcPr>
            <w:tcW w:w="1023" w:type="dxa"/>
          </w:tcPr>
          <w:p w:rsidR="00B04AE3" w:rsidRDefault="00B04AE3">
            <w:pPr>
              <w:pStyle w:val="TableParagraph"/>
              <w:spacing w:before="104"/>
              <w:ind w:left="385" w:right="376"/>
              <w:rPr>
                <w:rFonts w:ascii="Times New Roman"/>
                <w:sz w:val="21"/>
              </w:rPr>
            </w:pPr>
            <w:r>
              <w:rPr>
                <w:rFonts w:ascii="Times New Roman"/>
                <w:sz w:val="21"/>
              </w:rPr>
              <w:t>--</w:t>
            </w:r>
          </w:p>
        </w:tc>
        <w:tc>
          <w:tcPr>
            <w:tcW w:w="1068" w:type="dxa"/>
          </w:tcPr>
          <w:p w:rsidR="00B04AE3" w:rsidRDefault="00B04AE3">
            <w:pPr>
              <w:pStyle w:val="TableParagraph"/>
              <w:spacing w:before="104"/>
              <w:ind w:left="120" w:right="110"/>
              <w:rPr>
                <w:rFonts w:ascii="Times New Roman"/>
                <w:sz w:val="21"/>
              </w:rPr>
            </w:pPr>
            <w:r>
              <w:rPr>
                <w:rFonts w:ascii="Times New Roman"/>
                <w:sz w:val="21"/>
              </w:rPr>
              <w:t>0.860218</w:t>
            </w:r>
          </w:p>
        </w:tc>
        <w:tc>
          <w:tcPr>
            <w:tcW w:w="733" w:type="dxa"/>
          </w:tcPr>
          <w:p w:rsidR="00B04AE3" w:rsidRDefault="00B04AE3">
            <w:pPr>
              <w:pStyle w:val="TableParagraph"/>
              <w:spacing w:before="104"/>
              <w:ind w:left="135" w:right="128"/>
              <w:rPr>
                <w:rFonts w:ascii="Times New Roman"/>
                <w:sz w:val="21"/>
              </w:rPr>
            </w:pPr>
            <w:r>
              <w:rPr>
                <w:rFonts w:ascii="Times New Roman"/>
                <w:sz w:val="21"/>
              </w:rPr>
              <w:t>--</w:t>
            </w:r>
          </w:p>
        </w:tc>
      </w:tr>
    </w:tbl>
    <w:p w:rsidR="00B04AE3" w:rsidRDefault="00B04AE3">
      <w:pPr>
        <w:pStyle w:val="Heading3"/>
        <w:numPr>
          <w:ilvl w:val="2"/>
          <w:numId w:val="41"/>
        </w:numPr>
        <w:tabs>
          <w:tab w:val="left" w:pos="1400"/>
        </w:tabs>
      </w:pPr>
      <w:bookmarkStart w:id="263" w:name="2.3.2_涉水环境风险物质基本情况"/>
      <w:bookmarkStart w:id="264" w:name="_bookmark79"/>
      <w:bookmarkEnd w:id="263"/>
      <w:bookmarkEnd w:id="264"/>
      <w:r>
        <w:rPr>
          <w:rFonts w:hint="eastAsia"/>
        </w:rPr>
        <w:t>涉水环境风险物质基本情况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涉水风险物质包括附录</w:t>
      </w:r>
      <w:r>
        <w:rPr>
          <w:spacing w:val="-6"/>
          <w:szCs w:val="22"/>
        </w:rPr>
        <w:t xml:space="preserve"> A </w:t>
      </w:r>
      <w:r>
        <w:rPr>
          <w:rFonts w:hint="eastAsia"/>
          <w:spacing w:val="-6"/>
          <w:szCs w:val="22"/>
        </w:rPr>
        <w:t>中的第三、第四、第五、第六、第七和第八部分全部风险物质，以及第一、第二部分中溶于水和遇水发生反应的风险物质，具体包括：溶于水的硒化氢、甲醛、乙二腈、二氧化氯、氯化氢、氨、环氧乙烷、甲胺、丁烷、二甲胺、一氧化二氯，砷化氢、二氧化氮、三甲胺、二氧化硫、三氟化硼、硅烷、溴化氢、氯化氰、乙胺、二甲醚，以及遇水发生反应的乙烯酮、氟、四氟化硫、三氟溴乙烯。</w:t>
      </w:r>
    </w:p>
    <w:p w:rsidR="00B04AE3" w:rsidRDefault="00B04AE3">
      <w:pPr>
        <w:pStyle w:val="BodyText"/>
        <w:spacing w:before="20" w:line="360" w:lineRule="auto"/>
        <w:ind w:left="334" w:right="334" w:firstLine="482"/>
        <w:jc w:val="both"/>
        <w:rPr>
          <w:spacing w:val="-6"/>
          <w:szCs w:val="22"/>
        </w:rPr>
      </w:pPr>
      <w:r>
        <w:rPr>
          <w:rFonts w:hint="eastAsia"/>
          <w:spacing w:val="-6"/>
          <w:szCs w:val="22"/>
        </w:rPr>
        <w:t>对照《企业突发环境事件风险分级方法》（</w:t>
      </w:r>
      <w:r>
        <w:rPr>
          <w:spacing w:val="-6"/>
          <w:szCs w:val="22"/>
        </w:rPr>
        <w:t>HJ 941-2018</w:t>
      </w:r>
      <w:r>
        <w:rPr>
          <w:rFonts w:hint="eastAsia"/>
          <w:spacing w:val="-6"/>
          <w:szCs w:val="22"/>
        </w:rPr>
        <w:t>）中附录</w:t>
      </w:r>
      <w:r>
        <w:rPr>
          <w:spacing w:val="-6"/>
          <w:szCs w:val="22"/>
        </w:rPr>
        <w:t xml:space="preserve"> A </w:t>
      </w:r>
      <w:r>
        <w:rPr>
          <w:rFonts w:hint="eastAsia"/>
          <w:spacing w:val="-6"/>
          <w:szCs w:val="22"/>
        </w:rPr>
        <w:t>中的涉水环境风险物质，来筛选企业涉水环境风险物质，具体公司涉水环境风险物质见表</w:t>
      </w:r>
      <w:r>
        <w:rPr>
          <w:spacing w:val="-6"/>
          <w:szCs w:val="22"/>
        </w:rPr>
        <w:t xml:space="preserve"> 2.3-4</w:t>
      </w:r>
      <w:r>
        <w:rPr>
          <w:rFonts w:hint="eastAsia"/>
          <w:spacing w:val="-6"/>
          <w:szCs w:val="22"/>
        </w:rPr>
        <w:t>。</w:t>
      </w:r>
    </w:p>
    <w:p w:rsidR="00B04AE3" w:rsidRDefault="00B04AE3">
      <w:pPr>
        <w:tabs>
          <w:tab w:val="left" w:pos="3912"/>
        </w:tabs>
        <w:spacing w:before="160" w:after="3"/>
        <w:ind w:left="2873"/>
        <w:rPr>
          <w:b/>
          <w:sz w:val="24"/>
        </w:rPr>
      </w:pPr>
      <w:r>
        <w:rPr>
          <w:rFonts w:hint="eastAsia"/>
          <w:b/>
          <w:sz w:val="24"/>
        </w:rPr>
        <w:t>表</w:t>
      </w:r>
      <w:r>
        <w:rPr>
          <w:b/>
          <w:spacing w:val="-62"/>
          <w:sz w:val="24"/>
        </w:rPr>
        <w:t xml:space="preserve"> </w:t>
      </w:r>
      <w:r>
        <w:rPr>
          <w:rFonts w:ascii="Times New Roman" w:eastAsia="Times New Roman"/>
          <w:b/>
          <w:sz w:val="24"/>
        </w:rPr>
        <w:t>2.3-4</w:t>
      </w:r>
      <w:r>
        <w:rPr>
          <w:rFonts w:ascii="Times New Roman" w:eastAsia="Times New Roman"/>
          <w:b/>
          <w:sz w:val="24"/>
        </w:rPr>
        <w:tab/>
      </w:r>
      <w:r>
        <w:rPr>
          <w:rFonts w:hint="eastAsia"/>
          <w:b/>
          <w:sz w:val="24"/>
        </w:rPr>
        <w:t>涉水环境风险物质筛选结果表</w:t>
      </w:r>
    </w:p>
    <w:tbl>
      <w:tblPr>
        <w:tblW w:w="8220" w:type="dxa"/>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774"/>
        <w:gridCol w:w="1261"/>
        <w:gridCol w:w="1498"/>
        <w:gridCol w:w="1700"/>
        <w:gridCol w:w="1015"/>
        <w:gridCol w:w="1198"/>
        <w:gridCol w:w="774"/>
      </w:tblGrid>
      <w:tr w:rsidR="00B04AE3">
        <w:trPr>
          <w:trHeight w:val="658"/>
        </w:trPr>
        <w:tc>
          <w:tcPr>
            <w:tcW w:w="774" w:type="dxa"/>
            <w:shd w:val="clear" w:color="auto" w:fill="DFDFDF"/>
          </w:tcPr>
          <w:p w:rsidR="00B04AE3" w:rsidRDefault="00B04AE3">
            <w:pPr>
              <w:pStyle w:val="TableParagraph"/>
              <w:spacing w:before="176"/>
              <w:ind w:left="81" w:right="74"/>
              <w:rPr>
                <w:b/>
                <w:sz w:val="21"/>
              </w:rPr>
            </w:pPr>
            <w:r>
              <w:rPr>
                <w:rFonts w:hint="eastAsia"/>
                <w:b/>
                <w:sz w:val="21"/>
              </w:rPr>
              <w:t>序号</w:t>
            </w:r>
          </w:p>
        </w:tc>
        <w:tc>
          <w:tcPr>
            <w:tcW w:w="1261" w:type="dxa"/>
            <w:shd w:val="clear" w:color="auto" w:fill="DFDFDF"/>
          </w:tcPr>
          <w:p w:rsidR="00B04AE3" w:rsidRDefault="00B04AE3">
            <w:pPr>
              <w:pStyle w:val="TableParagraph"/>
              <w:spacing w:before="176"/>
              <w:ind w:left="175" w:right="165"/>
              <w:rPr>
                <w:b/>
                <w:sz w:val="21"/>
              </w:rPr>
            </w:pPr>
            <w:r>
              <w:rPr>
                <w:rFonts w:hint="eastAsia"/>
                <w:b/>
                <w:sz w:val="21"/>
              </w:rPr>
              <w:t>名称</w:t>
            </w:r>
          </w:p>
        </w:tc>
        <w:tc>
          <w:tcPr>
            <w:tcW w:w="1498" w:type="dxa"/>
            <w:shd w:val="clear" w:color="auto" w:fill="DFDFDF"/>
          </w:tcPr>
          <w:p w:rsidR="00B04AE3" w:rsidRDefault="00B04AE3">
            <w:pPr>
              <w:pStyle w:val="TableParagraph"/>
              <w:spacing w:before="176"/>
              <w:ind w:left="149" w:right="141"/>
              <w:rPr>
                <w:b/>
                <w:sz w:val="21"/>
              </w:rPr>
            </w:pPr>
            <w:r>
              <w:rPr>
                <w:rFonts w:ascii="Times New Roman" w:eastAsia="Times New Roman"/>
                <w:b/>
                <w:sz w:val="21"/>
              </w:rPr>
              <w:t xml:space="preserve">CAS </w:t>
            </w:r>
            <w:r>
              <w:rPr>
                <w:rFonts w:hint="eastAsia"/>
                <w:b/>
                <w:sz w:val="21"/>
              </w:rPr>
              <w:t>号</w:t>
            </w:r>
          </w:p>
        </w:tc>
        <w:tc>
          <w:tcPr>
            <w:tcW w:w="1700" w:type="dxa"/>
            <w:shd w:val="clear" w:color="auto" w:fill="DFDFDF"/>
          </w:tcPr>
          <w:p w:rsidR="00B04AE3" w:rsidRDefault="00B04AE3">
            <w:pPr>
              <w:pStyle w:val="TableParagraph"/>
              <w:spacing w:before="20"/>
              <w:ind w:left="142" w:right="132"/>
              <w:rPr>
                <w:b/>
                <w:sz w:val="21"/>
              </w:rPr>
            </w:pPr>
            <w:r>
              <w:rPr>
                <w:rFonts w:hint="eastAsia"/>
                <w:b/>
                <w:sz w:val="21"/>
              </w:rPr>
              <w:t>最大贮存量</w:t>
            </w:r>
          </w:p>
          <w:p w:rsidR="00B04AE3" w:rsidRDefault="00B04AE3">
            <w:pPr>
              <w:pStyle w:val="TableParagraph"/>
              <w:spacing w:before="42"/>
              <w:ind w:left="142" w:right="132"/>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015" w:type="dxa"/>
            <w:shd w:val="clear" w:color="auto" w:fill="DFDFDF"/>
          </w:tcPr>
          <w:p w:rsidR="00B04AE3" w:rsidRDefault="00B04AE3">
            <w:pPr>
              <w:pStyle w:val="TableParagraph"/>
              <w:spacing w:before="20"/>
              <w:ind w:left="96"/>
              <w:jc w:val="left"/>
              <w:rPr>
                <w:b/>
                <w:sz w:val="21"/>
              </w:rPr>
            </w:pPr>
            <w:r>
              <w:rPr>
                <w:rFonts w:hint="eastAsia"/>
                <w:b/>
                <w:w w:val="95"/>
                <w:sz w:val="21"/>
              </w:rPr>
              <w:t>临界量</w:t>
            </w:r>
          </w:p>
          <w:p w:rsidR="00B04AE3" w:rsidRDefault="00B04AE3">
            <w:pPr>
              <w:pStyle w:val="TableParagraph"/>
              <w:spacing w:before="42"/>
              <w:ind w:left="84"/>
              <w:jc w:val="left"/>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198" w:type="dxa"/>
            <w:shd w:val="clear" w:color="auto" w:fill="DFDFDF"/>
          </w:tcPr>
          <w:p w:rsidR="00B04AE3" w:rsidRDefault="00B04AE3">
            <w:pPr>
              <w:pStyle w:val="TableParagraph"/>
              <w:spacing w:before="189"/>
              <w:ind w:left="70" w:right="62"/>
              <w:rPr>
                <w:rFonts w:ascii="Times New Roman"/>
                <w:b/>
                <w:sz w:val="21"/>
              </w:rPr>
            </w:pPr>
            <w:r>
              <w:rPr>
                <w:rFonts w:ascii="Times New Roman"/>
                <w:b/>
                <w:sz w:val="21"/>
              </w:rPr>
              <w:t>q/Q</w:t>
            </w:r>
          </w:p>
        </w:tc>
        <w:tc>
          <w:tcPr>
            <w:tcW w:w="774" w:type="dxa"/>
            <w:shd w:val="clear" w:color="auto" w:fill="DFDFDF"/>
          </w:tcPr>
          <w:p w:rsidR="00B04AE3" w:rsidRDefault="00B04AE3">
            <w:pPr>
              <w:pStyle w:val="TableParagraph"/>
              <w:spacing w:before="20"/>
              <w:ind w:left="103"/>
              <w:jc w:val="left"/>
              <w:rPr>
                <w:b/>
                <w:sz w:val="21"/>
              </w:rPr>
            </w:pPr>
            <w:r>
              <w:rPr>
                <w:rFonts w:hint="eastAsia"/>
                <w:b/>
                <w:w w:val="95"/>
                <w:sz w:val="21"/>
              </w:rPr>
              <w:t>储存</w:t>
            </w:r>
          </w:p>
          <w:p w:rsidR="00B04AE3" w:rsidRDefault="00B04AE3">
            <w:pPr>
              <w:pStyle w:val="TableParagraph"/>
              <w:spacing w:before="42"/>
              <w:ind w:left="103"/>
              <w:jc w:val="left"/>
              <w:rPr>
                <w:b/>
                <w:sz w:val="21"/>
              </w:rPr>
            </w:pPr>
            <w:r>
              <w:rPr>
                <w:rFonts w:hint="eastAsia"/>
                <w:b/>
                <w:w w:val="95"/>
                <w:sz w:val="21"/>
              </w:rPr>
              <w:t>方式</w:t>
            </w:r>
          </w:p>
        </w:tc>
      </w:tr>
      <w:tr w:rsidR="00B04AE3">
        <w:trPr>
          <w:trHeight w:val="576"/>
        </w:trPr>
        <w:tc>
          <w:tcPr>
            <w:tcW w:w="774" w:type="dxa"/>
          </w:tcPr>
          <w:p w:rsidR="00B04AE3" w:rsidRDefault="00B04AE3">
            <w:pPr>
              <w:pStyle w:val="TableParagraph"/>
              <w:spacing w:before="151"/>
              <w:ind w:left="8"/>
              <w:rPr>
                <w:rFonts w:ascii="Times New Roman"/>
                <w:sz w:val="21"/>
              </w:rPr>
            </w:pPr>
            <w:r>
              <w:rPr>
                <w:rFonts w:ascii="Times New Roman"/>
                <w:w w:val="99"/>
                <w:sz w:val="21"/>
              </w:rPr>
              <w:t>1</w:t>
            </w:r>
          </w:p>
        </w:tc>
        <w:tc>
          <w:tcPr>
            <w:tcW w:w="1261" w:type="dxa"/>
          </w:tcPr>
          <w:p w:rsidR="00B04AE3" w:rsidRDefault="00B04AE3">
            <w:pPr>
              <w:pStyle w:val="TableParagraph"/>
              <w:spacing w:before="137"/>
              <w:ind w:left="175" w:right="168"/>
              <w:rPr>
                <w:sz w:val="21"/>
              </w:rPr>
            </w:pPr>
            <w:r>
              <w:rPr>
                <w:rFonts w:hint="eastAsia"/>
                <w:sz w:val="21"/>
              </w:rPr>
              <w:t>硫酸</w:t>
            </w:r>
          </w:p>
        </w:tc>
        <w:tc>
          <w:tcPr>
            <w:tcW w:w="1498" w:type="dxa"/>
          </w:tcPr>
          <w:p w:rsidR="00B04AE3" w:rsidRDefault="00B04AE3">
            <w:pPr>
              <w:pStyle w:val="TableParagraph"/>
              <w:spacing w:before="151"/>
              <w:ind w:left="149" w:right="142"/>
              <w:rPr>
                <w:rFonts w:ascii="Times New Roman"/>
                <w:sz w:val="21"/>
              </w:rPr>
            </w:pPr>
            <w:r>
              <w:rPr>
                <w:rFonts w:ascii="Times New Roman"/>
                <w:sz w:val="21"/>
              </w:rPr>
              <w:t>7664-93-9</w:t>
            </w:r>
          </w:p>
        </w:tc>
        <w:tc>
          <w:tcPr>
            <w:tcW w:w="1700" w:type="dxa"/>
          </w:tcPr>
          <w:p w:rsidR="00B04AE3" w:rsidRDefault="00B04AE3">
            <w:pPr>
              <w:pStyle w:val="TableParagraph"/>
              <w:spacing w:before="151"/>
              <w:ind w:left="9"/>
              <w:rPr>
                <w:rFonts w:ascii="Times New Roman"/>
                <w:sz w:val="21"/>
                <w:lang w:val="en-US"/>
              </w:rPr>
            </w:pPr>
            <w:r>
              <w:rPr>
                <w:rFonts w:ascii="Times New Roman"/>
                <w:w w:val="99"/>
                <w:sz w:val="21"/>
                <w:lang w:val="en-US"/>
              </w:rPr>
              <w:t>5</w:t>
            </w:r>
          </w:p>
        </w:tc>
        <w:tc>
          <w:tcPr>
            <w:tcW w:w="1015" w:type="dxa"/>
          </w:tcPr>
          <w:p w:rsidR="00B04AE3" w:rsidRDefault="00B04AE3">
            <w:pPr>
              <w:pStyle w:val="TableParagraph"/>
              <w:spacing w:before="146"/>
              <w:ind w:left="305"/>
              <w:jc w:val="left"/>
              <w:rPr>
                <w:rFonts w:ascii="Times New Roman"/>
                <w:sz w:val="21"/>
                <w:lang w:val="en-US"/>
              </w:rPr>
            </w:pPr>
            <w:r>
              <w:rPr>
                <w:rFonts w:ascii="Times New Roman"/>
                <w:sz w:val="21"/>
                <w:lang w:val="en-US"/>
              </w:rPr>
              <w:t>50</w:t>
            </w:r>
          </w:p>
        </w:tc>
        <w:tc>
          <w:tcPr>
            <w:tcW w:w="1198" w:type="dxa"/>
          </w:tcPr>
          <w:p w:rsidR="00B04AE3" w:rsidRDefault="00B04AE3">
            <w:pPr>
              <w:pStyle w:val="TableParagraph"/>
              <w:spacing w:before="151"/>
              <w:ind w:left="70" w:right="62"/>
              <w:rPr>
                <w:rFonts w:ascii="Times New Roman"/>
                <w:sz w:val="21"/>
              </w:rPr>
            </w:pPr>
            <w:r>
              <w:rPr>
                <w:rFonts w:ascii="Times New Roman"/>
                <w:sz w:val="21"/>
              </w:rPr>
              <w:t>0.</w:t>
            </w:r>
            <w:r>
              <w:rPr>
                <w:rFonts w:ascii="Times New Roman"/>
                <w:sz w:val="21"/>
                <w:lang w:val="en-US"/>
              </w:rPr>
              <w:t>1</w:t>
            </w:r>
          </w:p>
        </w:tc>
        <w:tc>
          <w:tcPr>
            <w:tcW w:w="774" w:type="dxa"/>
          </w:tcPr>
          <w:p w:rsidR="00B04AE3" w:rsidRDefault="00B04AE3">
            <w:pPr>
              <w:pStyle w:val="TableParagraph"/>
              <w:spacing w:before="2" w:line="254" w:lineRule="exact"/>
              <w:ind w:left="8"/>
              <w:rPr>
                <w:sz w:val="21"/>
              </w:rPr>
            </w:pPr>
            <w:r>
              <w:rPr>
                <w:rFonts w:hint="eastAsia"/>
                <w:sz w:val="21"/>
              </w:rPr>
              <w:t>钢瓶包装</w:t>
            </w:r>
          </w:p>
        </w:tc>
      </w:tr>
      <w:tr w:rsidR="00B04AE3">
        <w:trPr>
          <w:trHeight w:val="719"/>
        </w:trPr>
        <w:tc>
          <w:tcPr>
            <w:tcW w:w="774" w:type="dxa"/>
          </w:tcPr>
          <w:p w:rsidR="00B04AE3" w:rsidRDefault="00B04AE3">
            <w:pPr>
              <w:pStyle w:val="TableParagraph"/>
              <w:spacing w:before="150"/>
              <w:ind w:left="8"/>
              <w:rPr>
                <w:rFonts w:ascii="Times New Roman"/>
                <w:sz w:val="21"/>
              </w:rPr>
            </w:pPr>
            <w:r>
              <w:rPr>
                <w:rFonts w:ascii="Times New Roman"/>
                <w:w w:val="99"/>
                <w:sz w:val="21"/>
              </w:rPr>
              <w:t>2</w:t>
            </w:r>
          </w:p>
        </w:tc>
        <w:tc>
          <w:tcPr>
            <w:tcW w:w="1261" w:type="dxa"/>
          </w:tcPr>
          <w:p w:rsidR="00B04AE3" w:rsidRDefault="00B04AE3">
            <w:pPr>
              <w:pStyle w:val="TableParagraph"/>
              <w:spacing w:before="139"/>
              <w:ind w:right="320"/>
              <w:jc w:val="both"/>
              <w:rPr>
                <w:sz w:val="21"/>
              </w:rPr>
            </w:pPr>
            <w:r>
              <w:rPr>
                <w:rFonts w:hint="eastAsia"/>
                <w:sz w:val="21"/>
              </w:rPr>
              <w:t>氢氧化钠</w:t>
            </w:r>
          </w:p>
        </w:tc>
        <w:tc>
          <w:tcPr>
            <w:tcW w:w="1498" w:type="dxa"/>
          </w:tcPr>
          <w:p w:rsidR="00B04AE3" w:rsidRDefault="00B04AE3">
            <w:pPr>
              <w:pStyle w:val="TableParagraph"/>
              <w:spacing w:before="155"/>
              <w:ind w:right="181"/>
              <w:jc w:val="both"/>
              <w:rPr>
                <w:rFonts w:ascii="Times New Roman"/>
                <w:sz w:val="21"/>
              </w:rPr>
            </w:pPr>
            <w:r>
              <w:rPr>
                <w:color w:val="000000"/>
                <w:sz w:val="21"/>
                <w:szCs w:val="21"/>
              </w:rPr>
              <w:t>1310-73-2</w:t>
            </w:r>
          </w:p>
        </w:tc>
        <w:tc>
          <w:tcPr>
            <w:tcW w:w="1700" w:type="dxa"/>
          </w:tcPr>
          <w:p w:rsidR="00B04AE3" w:rsidRDefault="00B04AE3">
            <w:pPr>
              <w:pStyle w:val="TableParagraph"/>
              <w:spacing w:before="150"/>
              <w:ind w:left="141" w:right="132"/>
              <w:rPr>
                <w:rFonts w:ascii="Times New Roman"/>
                <w:sz w:val="21"/>
                <w:lang w:val="en-US"/>
              </w:rPr>
            </w:pPr>
            <w:r>
              <w:rPr>
                <w:rFonts w:ascii="Times New Roman"/>
                <w:sz w:val="21"/>
                <w:lang w:val="en-US"/>
              </w:rPr>
              <w:t>5</w:t>
            </w:r>
          </w:p>
        </w:tc>
        <w:tc>
          <w:tcPr>
            <w:tcW w:w="1015" w:type="dxa"/>
          </w:tcPr>
          <w:p w:rsidR="00B04AE3" w:rsidRDefault="00B04AE3">
            <w:pPr>
              <w:pStyle w:val="TableParagraph"/>
              <w:spacing w:before="150"/>
              <w:ind w:left="360"/>
              <w:jc w:val="left"/>
              <w:rPr>
                <w:rFonts w:ascii="Times New Roman"/>
                <w:sz w:val="21"/>
                <w:lang w:val="en-US"/>
              </w:rPr>
            </w:pPr>
            <w:r>
              <w:rPr>
                <w:rFonts w:ascii="Times New Roman"/>
                <w:w w:val="99"/>
                <w:sz w:val="21"/>
              </w:rPr>
              <w:t>5</w:t>
            </w:r>
            <w:r>
              <w:rPr>
                <w:rFonts w:ascii="Times New Roman"/>
                <w:w w:val="99"/>
                <w:sz w:val="21"/>
                <w:lang w:val="en-US"/>
              </w:rPr>
              <w:t>0</w:t>
            </w:r>
          </w:p>
        </w:tc>
        <w:tc>
          <w:tcPr>
            <w:tcW w:w="1198" w:type="dxa"/>
          </w:tcPr>
          <w:p w:rsidR="00B04AE3" w:rsidRDefault="00B04AE3">
            <w:pPr>
              <w:pStyle w:val="TableParagraph"/>
              <w:spacing w:before="150"/>
              <w:ind w:left="72" w:right="62"/>
              <w:rPr>
                <w:rFonts w:ascii="Times New Roman"/>
                <w:sz w:val="21"/>
              </w:rPr>
            </w:pPr>
            <w:r>
              <w:rPr>
                <w:rFonts w:ascii="Times New Roman"/>
                <w:sz w:val="21"/>
              </w:rPr>
              <w:t>0.</w:t>
            </w:r>
            <w:r>
              <w:rPr>
                <w:rFonts w:ascii="Times New Roman"/>
                <w:sz w:val="21"/>
                <w:lang w:val="en-US"/>
              </w:rPr>
              <w:t>1</w:t>
            </w:r>
          </w:p>
        </w:tc>
        <w:tc>
          <w:tcPr>
            <w:tcW w:w="774" w:type="dxa"/>
          </w:tcPr>
          <w:p w:rsidR="00B04AE3" w:rsidRDefault="00B04AE3">
            <w:pPr>
              <w:pStyle w:val="TableParagraph"/>
              <w:spacing w:line="269" w:lineRule="exact"/>
              <w:ind w:left="103"/>
              <w:jc w:val="left"/>
              <w:rPr>
                <w:sz w:val="21"/>
              </w:rPr>
            </w:pPr>
            <w:r>
              <w:rPr>
                <w:rFonts w:hint="eastAsia"/>
                <w:spacing w:val="-1"/>
                <w:w w:val="95"/>
                <w:sz w:val="21"/>
              </w:rPr>
              <w:t>钢瓶</w:t>
            </w:r>
          </w:p>
          <w:p w:rsidR="00B04AE3" w:rsidRDefault="00B04AE3">
            <w:pPr>
              <w:pStyle w:val="TableParagraph"/>
              <w:spacing w:before="4" w:line="251" w:lineRule="exact"/>
              <w:ind w:left="103"/>
              <w:jc w:val="left"/>
              <w:rPr>
                <w:sz w:val="21"/>
              </w:rPr>
            </w:pPr>
            <w:r>
              <w:rPr>
                <w:rFonts w:hint="eastAsia"/>
                <w:spacing w:val="-1"/>
                <w:w w:val="95"/>
                <w:sz w:val="21"/>
              </w:rPr>
              <w:t>包装</w:t>
            </w:r>
          </w:p>
        </w:tc>
      </w:tr>
      <w:tr w:rsidR="00B04AE3">
        <w:trPr>
          <w:trHeight w:val="457"/>
        </w:trPr>
        <w:tc>
          <w:tcPr>
            <w:tcW w:w="2035" w:type="dxa"/>
            <w:gridSpan w:val="2"/>
          </w:tcPr>
          <w:p w:rsidR="00B04AE3" w:rsidRDefault="00B04AE3">
            <w:pPr>
              <w:pStyle w:val="TableParagraph"/>
              <w:spacing w:before="74"/>
              <w:ind w:left="593" w:right="586"/>
              <w:rPr>
                <w:sz w:val="21"/>
              </w:rPr>
            </w:pPr>
            <w:r>
              <w:rPr>
                <w:rFonts w:hint="eastAsia"/>
                <w:sz w:val="21"/>
              </w:rPr>
              <w:t>合计</w:t>
            </w:r>
          </w:p>
        </w:tc>
        <w:tc>
          <w:tcPr>
            <w:tcW w:w="1498" w:type="dxa"/>
          </w:tcPr>
          <w:p w:rsidR="00B04AE3" w:rsidRDefault="00B04AE3">
            <w:pPr>
              <w:pStyle w:val="TableParagraph"/>
              <w:spacing w:before="88"/>
              <w:ind w:left="149" w:right="141"/>
              <w:rPr>
                <w:rFonts w:ascii="Times New Roman"/>
                <w:sz w:val="21"/>
              </w:rPr>
            </w:pPr>
            <w:r>
              <w:rPr>
                <w:rFonts w:ascii="Times New Roman"/>
                <w:sz w:val="21"/>
              </w:rPr>
              <w:t>--</w:t>
            </w:r>
          </w:p>
        </w:tc>
        <w:tc>
          <w:tcPr>
            <w:tcW w:w="1700" w:type="dxa"/>
          </w:tcPr>
          <w:p w:rsidR="00B04AE3" w:rsidRDefault="00B04AE3">
            <w:pPr>
              <w:pStyle w:val="TableParagraph"/>
              <w:spacing w:before="88"/>
              <w:ind w:left="142" w:right="132"/>
              <w:rPr>
                <w:rFonts w:ascii="Times New Roman"/>
                <w:sz w:val="21"/>
              </w:rPr>
            </w:pPr>
            <w:r>
              <w:rPr>
                <w:rFonts w:ascii="Times New Roman"/>
                <w:sz w:val="21"/>
              </w:rPr>
              <w:t>--</w:t>
            </w:r>
          </w:p>
        </w:tc>
        <w:tc>
          <w:tcPr>
            <w:tcW w:w="1015" w:type="dxa"/>
          </w:tcPr>
          <w:p w:rsidR="00B04AE3" w:rsidRDefault="00B04AE3">
            <w:pPr>
              <w:pStyle w:val="TableParagraph"/>
              <w:spacing w:before="88"/>
              <w:ind w:left="341"/>
              <w:jc w:val="left"/>
              <w:rPr>
                <w:rFonts w:ascii="Times New Roman"/>
                <w:sz w:val="21"/>
              </w:rPr>
            </w:pPr>
            <w:r>
              <w:rPr>
                <w:rFonts w:ascii="Times New Roman"/>
                <w:sz w:val="21"/>
              </w:rPr>
              <w:t>--</w:t>
            </w:r>
          </w:p>
        </w:tc>
        <w:tc>
          <w:tcPr>
            <w:tcW w:w="1198" w:type="dxa"/>
          </w:tcPr>
          <w:p w:rsidR="00B04AE3" w:rsidRDefault="00B04AE3">
            <w:pPr>
              <w:pStyle w:val="TableParagraph"/>
              <w:spacing w:before="88"/>
              <w:ind w:left="72" w:right="62"/>
              <w:rPr>
                <w:rFonts w:ascii="Times New Roman"/>
                <w:sz w:val="21"/>
              </w:rPr>
            </w:pPr>
            <w:r>
              <w:rPr>
                <w:rFonts w:ascii="Times New Roman"/>
                <w:sz w:val="21"/>
              </w:rPr>
              <w:t>0.</w:t>
            </w:r>
            <w:r>
              <w:rPr>
                <w:rFonts w:ascii="Times New Roman"/>
                <w:sz w:val="21"/>
                <w:lang w:val="en-US"/>
              </w:rPr>
              <w:t>2</w:t>
            </w:r>
          </w:p>
        </w:tc>
        <w:tc>
          <w:tcPr>
            <w:tcW w:w="774" w:type="dxa"/>
          </w:tcPr>
          <w:p w:rsidR="00B04AE3" w:rsidRDefault="00B04AE3">
            <w:pPr>
              <w:pStyle w:val="TableParagraph"/>
              <w:spacing w:before="88"/>
              <w:ind w:left="82" w:right="74"/>
              <w:rPr>
                <w:rFonts w:ascii="Times New Roman"/>
                <w:sz w:val="21"/>
              </w:rPr>
            </w:pPr>
            <w:r>
              <w:rPr>
                <w:rFonts w:ascii="Times New Roman"/>
                <w:sz w:val="21"/>
              </w:rPr>
              <w:t>--</w:t>
            </w:r>
          </w:p>
        </w:tc>
      </w:tr>
    </w:tbl>
    <w:p w:rsidR="00B04AE3" w:rsidRDefault="00B04AE3">
      <w:pPr>
        <w:pStyle w:val="Heading3"/>
        <w:numPr>
          <w:ilvl w:val="2"/>
          <w:numId w:val="41"/>
        </w:numPr>
        <w:tabs>
          <w:tab w:val="left" w:pos="1400"/>
        </w:tabs>
        <w:spacing w:before="76"/>
      </w:pPr>
      <w:bookmarkStart w:id="265" w:name="2.3.3_危险废物基本情况"/>
      <w:bookmarkStart w:id="266" w:name="_bookmark80"/>
      <w:bookmarkEnd w:id="265"/>
      <w:bookmarkEnd w:id="266"/>
      <w:r>
        <w:rPr>
          <w:rFonts w:hint="eastAsia"/>
        </w:rPr>
        <w:t>危险废物基本情况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危险废物名录，公司在生产过程中产生的危险废物为：废乳化液等。厂区已设置危废暂存库并做了地面防渗，完全封闭做到“三防”（防风防雨防晒），危废库外面墙上已做标识。并按照国家有关规定制定危险废物管理计划，并向当地环保主管部门申报危险废物种类、产生量、流向、暂存及处置措施等相关资料。同时在危废转移过程中严格执行转移联单制度，危险废物委托有资质的单位进行处置。</w:t>
      </w:r>
    </w:p>
    <w:p w:rsidR="00B04AE3" w:rsidRDefault="00B04AE3">
      <w:pPr>
        <w:pStyle w:val="Heading2"/>
        <w:numPr>
          <w:ilvl w:val="1"/>
          <w:numId w:val="41"/>
        </w:numPr>
        <w:tabs>
          <w:tab w:val="left" w:pos="1360"/>
        </w:tabs>
        <w:spacing w:before="32"/>
        <w:ind w:hanging="559"/>
      </w:pPr>
      <w:bookmarkStart w:id="267" w:name="2.4_环境风险源识别"/>
      <w:bookmarkStart w:id="268" w:name="_bookmark81"/>
      <w:bookmarkEnd w:id="267"/>
      <w:bookmarkEnd w:id="268"/>
      <w:r>
        <w:rPr>
          <w:rFonts w:hint="eastAsia"/>
        </w:rPr>
        <w:t>环境风险源识别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风险源识别的目的是确定风险类型。风险源识别包括物质风险源识别和生产设施风险源识别。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依据《建设项目环境风险评价技术导则》（</w:t>
      </w:r>
      <w:r>
        <w:rPr>
          <w:spacing w:val="-6"/>
          <w:szCs w:val="22"/>
        </w:rPr>
        <w:t>HJ/T169-2004</w:t>
      </w:r>
      <w:r>
        <w:rPr>
          <w:rFonts w:hint="eastAsia"/>
          <w:spacing w:val="-6"/>
          <w:szCs w:val="22"/>
        </w:rPr>
        <w:t>），物质风险源识别：对公司涉及的原材料、辅料以及“三废”污染物，按其危险性和毒性，进行危险性识别。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生产设施风险识别范围：主要生产装置、贮运系统、公用工程系统、工程环保设施及辅助生产设施等。</w:t>
      </w:r>
    </w:p>
    <w:p w:rsidR="00B04AE3" w:rsidRDefault="00B04AE3">
      <w:pPr>
        <w:pStyle w:val="BodyText"/>
        <w:spacing w:before="20" w:line="360" w:lineRule="auto"/>
        <w:ind w:left="334" w:right="334" w:firstLine="482"/>
        <w:jc w:val="both"/>
        <w:rPr>
          <w:spacing w:val="-6"/>
          <w:szCs w:val="22"/>
        </w:rPr>
      </w:pPr>
      <w:r>
        <w:rPr>
          <w:rFonts w:hint="eastAsia"/>
          <w:spacing w:val="-6"/>
          <w:szCs w:val="22"/>
        </w:rPr>
        <w:t>风险类型：根据有毒有害物质放散起因，分为火灾、爆炸和泄漏、化学灼伤四种类型。</w:t>
      </w:r>
    </w:p>
    <w:p w:rsidR="00B04AE3" w:rsidRDefault="00B04AE3">
      <w:pPr>
        <w:pStyle w:val="Heading3"/>
        <w:numPr>
          <w:ilvl w:val="2"/>
          <w:numId w:val="41"/>
        </w:numPr>
        <w:tabs>
          <w:tab w:val="left" w:pos="1340"/>
        </w:tabs>
        <w:spacing w:before="156"/>
        <w:ind w:left="1340" w:hanging="540"/>
      </w:pPr>
      <w:bookmarkStart w:id="269" w:name="2.4.1物质风险源识别"/>
      <w:bookmarkStart w:id="270" w:name="_bookmark82"/>
      <w:bookmarkEnd w:id="269"/>
      <w:bookmarkEnd w:id="270"/>
      <w:r>
        <w:rPr>
          <w:rFonts w:hint="eastAsia"/>
        </w:rPr>
        <w:t>物质风险源识别</w:t>
      </w:r>
    </w:p>
    <w:p w:rsidR="00B04AE3" w:rsidRDefault="00B04AE3">
      <w:pPr>
        <w:spacing w:before="161"/>
        <w:ind w:left="1280"/>
        <w:rPr>
          <w:b/>
          <w:sz w:val="24"/>
        </w:rPr>
      </w:pPr>
      <w:r>
        <w:rPr>
          <w:rFonts w:ascii="Times New Roman" w:eastAsia="Times New Roman"/>
          <w:b/>
          <w:sz w:val="24"/>
        </w:rPr>
        <w:t>1</w:t>
      </w:r>
      <w:r>
        <w:rPr>
          <w:rFonts w:hint="eastAsia"/>
          <w:b/>
          <w:sz w:val="24"/>
        </w:rPr>
        <w:t>、项目风险物质</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企业涉及的环境风险物质为液氮、硫酸、氢氧化钠、天然气。企业涉及的风险物质理化性质见表</w:t>
      </w:r>
      <w:r>
        <w:rPr>
          <w:spacing w:val="-6"/>
          <w:szCs w:val="22"/>
        </w:rPr>
        <w:t xml:space="preserve"> 2.4-1~2.4-</w:t>
      </w:r>
      <w:r>
        <w:rPr>
          <w:spacing w:val="-6"/>
          <w:szCs w:val="22"/>
          <w:lang w:val="en-US"/>
        </w:rPr>
        <w:t>4</w:t>
      </w:r>
      <w:r>
        <w:rPr>
          <w:rFonts w:hint="eastAsia"/>
          <w:spacing w:val="-6"/>
          <w:szCs w:val="22"/>
        </w:rPr>
        <w:t>。</w:t>
      </w:r>
    </w:p>
    <w:p w:rsidR="00B04AE3" w:rsidRDefault="00B04AE3">
      <w:pPr>
        <w:spacing w:before="5" w:after="4"/>
        <w:ind w:left="2760"/>
        <w:rPr>
          <w:b/>
          <w:sz w:val="24"/>
        </w:rPr>
      </w:pPr>
      <w:r>
        <w:rPr>
          <w:rFonts w:hint="eastAsia"/>
          <w:b/>
          <w:sz w:val="24"/>
        </w:rPr>
        <w:t>表</w:t>
      </w:r>
      <w:r>
        <w:rPr>
          <w:b/>
          <w:sz w:val="24"/>
        </w:rPr>
        <w:t xml:space="preserve"> </w:t>
      </w:r>
      <w:r>
        <w:rPr>
          <w:rFonts w:ascii="Times New Roman" w:eastAsia="Times New Roman"/>
          <w:b/>
          <w:sz w:val="24"/>
        </w:rPr>
        <w:t xml:space="preserve">2.4-1 </w:t>
      </w:r>
      <w:r>
        <w:rPr>
          <w:rFonts w:hint="eastAsia"/>
          <w:b/>
          <w:sz w:val="24"/>
        </w:rPr>
        <w:t>液氮主要成分理化性质及危险特性</w:t>
      </w:r>
    </w:p>
    <w:tbl>
      <w:tblPr>
        <w:tblW w:w="872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tblPr>
      <w:tblGrid>
        <w:gridCol w:w="436"/>
        <w:gridCol w:w="2268"/>
        <w:gridCol w:w="6016"/>
      </w:tblGrid>
      <w:tr w:rsidR="00B04AE3">
        <w:trPr>
          <w:trHeight w:val="387"/>
          <w:jc w:val="center"/>
        </w:trPr>
        <w:tc>
          <w:tcPr>
            <w:tcW w:w="436"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标</w:t>
            </w:r>
          </w:p>
          <w:p w:rsidR="00B04AE3" w:rsidRDefault="00B04AE3">
            <w:pPr>
              <w:widowControl/>
              <w:spacing w:before="100" w:beforeAutospacing="1" w:after="100" w:afterAutospacing="1" w:line="320" w:lineRule="exact"/>
              <w:rPr>
                <w:color w:val="000000"/>
                <w:sz w:val="21"/>
                <w:szCs w:val="21"/>
              </w:rPr>
            </w:pPr>
            <w:r>
              <w:rPr>
                <w:color w:val="000000"/>
                <w:sz w:val="21"/>
                <w:szCs w:val="21"/>
              </w:rPr>
              <w:t> </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识</w:t>
            </w: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中文名：</w:t>
            </w:r>
          </w:p>
        </w:tc>
        <w:tc>
          <w:tcPr>
            <w:tcW w:w="6016" w:type="dxa"/>
            <w:vAlign w:val="center"/>
          </w:tcPr>
          <w:p w:rsidR="00B04AE3" w:rsidRDefault="00B04AE3">
            <w:pPr>
              <w:widowControl/>
              <w:spacing w:line="320" w:lineRule="exact"/>
              <w:rPr>
                <w:color w:val="000000"/>
                <w:sz w:val="21"/>
                <w:szCs w:val="21"/>
              </w:rPr>
            </w:pPr>
            <w:r>
              <w:rPr>
                <w:rFonts w:hint="eastAsia"/>
                <w:color w:val="000000"/>
                <w:sz w:val="21"/>
                <w:szCs w:val="21"/>
              </w:rPr>
              <w:t>液氮</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英文名：</w:t>
            </w:r>
          </w:p>
        </w:tc>
        <w:tc>
          <w:tcPr>
            <w:tcW w:w="601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Liquid nitrogen</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分子式：</w:t>
            </w:r>
          </w:p>
        </w:tc>
        <w:tc>
          <w:tcPr>
            <w:tcW w:w="6016" w:type="dxa"/>
            <w:vAlign w:val="center"/>
          </w:tcPr>
          <w:p w:rsidR="00B04AE3" w:rsidRDefault="00B04AE3">
            <w:pPr>
              <w:widowControl/>
              <w:spacing w:line="320" w:lineRule="exact"/>
              <w:rPr>
                <w:color w:val="000000"/>
                <w:sz w:val="21"/>
                <w:szCs w:val="21"/>
                <w:lang w:val="en-US"/>
              </w:rPr>
            </w:pPr>
            <w:r>
              <w:rPr>
                <w:color w:val="000000"/>
                <w:sz w:val="21"/>
                <w:szCs w:val="21"/>
              </w:rPr>
              <w:t>N</w:t>
            </w:r>
            <w:r>
              <w:rPr>
                <w:color w:val="000000"/>
                <w:sz w:val="21"/>
                <w:szCs w:val="21"/>
                <w:lang w:val="en-US"/>
              </w:rPr>
              <w:t>2</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分子量：</w:t>
            </w:r>
          </w:p>
        </w:tc>
        <w:tc>
          <w:tcPr>
            <w:tcW w:w="6016" w:type="dxa"/>
            <w:vAlign w:val="center"/>
          </w:tcPr>
          <w:p w:rsidR="00B04AE3" w:rsidRDefault="00B04AE3">
            <w:pPr>
              <w:widowControl/>
              <w:spacing w:line="320" w:lineRule="exact"/>
              <w:rPr>
                <w:color w:val="000000"/>
                <w:sz w:val="21"/>
                <w:szCs w:val="21"/>
              </w:rPr>
            </w:pPr>
            <w:r>
              <w:rPr>
                <w:color w:val="000000"/>
                <w:sz w:val="21"/>
                <w:szCs w:val="21"/>
                <w:lang w:val="en-US"/>
              </w:rPr>
              <w:t>28</w:t>
            </w:r>
            <w:r>
              <w:rPr>
                <w:color w:val="000000"/>
                <w:sz w:val="21"/>
                <w:szCs w:val="21"/>
              </w:rPr>
              <w:t>.01</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color w:val="000000"/>
                <w:sz w:val="21"/>
                <w:szCs w:val="21"/>
              </w:rPr>
              <w:t>CAS</w:t>
            </w:r>
            <w:r>
              <w:rPr>
                <w:rFonts w:hint="eastAsia"/>
                <w:color w:val="000000"/>
                <w:sz w:val="21"/>
                <w:szCs w:val="21"/>
              </w:rPr>
              <w:t>号：</w:t>
            </w:r>
          </w:p>
        </w:tc>
        <w:tc>
          <w:tcPr>
            <w:tcW w:w="601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7727-37-9</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危险货物编号：</w:t>
            </w:r>
          </w:p>
        </w:tc>
        <w:tc>
          <w:tcPr>
            <w:tcW w:w="601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22006</w:t>
            </w:r>
          </w:p>
        </w:tc>
      </w:tr>
      <w:tr w:rsidR="00B04AE3">
        <w:trPr>
          <w:trHeight w:val="372"/>
          <w:jc w:val="center"/>
        </w:trPr>
        <w:tc>
          <w:tcPr>
            <w:tcW w:w="436"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理</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化</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性</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质</w:t>
            </w: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外观与性状：</w:t>
            </w:r>
          </w:p>
        </w:tc>
        <w:tc>
          <w:tcPr>
            <w:tcW w:w="6016" w:type="dxa"/>
            <w:vAlign w:val="center"/>
          </w:tcPr>
          <w:p w:rsidR="00B04AE3" w:rsidRDefault="00B04AE3">
            <w:pPr>
              <w:widowControl/>
              <w:spacing w:line="320" w:lineRule="exact"/>
              <w:rPr>
                <w:rFonts w:ascii="Arial" w:hAnsi="Arial" w:cs="Arial"/>
                <w:color w:val="333333"/>
                <w:sz w:val="21"/>
                <w:szCs w:val="21"/>
                <w:shd w:val="clear" w:color="auto" w:fill="FFFFFF"/>
              </w:rPr>
            </w:pPr>
            <w:r>
              <w:rPr>
                <w:rFonts w:ascii="Arial" w:hAnsi="Arial" w:cs="Arial" w:hint="eastAsia"/>
                <w:color w:val="333333"/>
                <w:sz w:val="21"/>
                <w:szCs w:val="21"/>
                <w:shd w:val="clear" w:color="auto" w:fill="FFFFFF"/>
              </w:rPr>
              <w:t>无色透明液体</w:t>
            </w:r>
            <w:r>
              <w:rPr>
                <w:rFonts w:ascii="Arial" w:hAnsi="Arial" w:cs="Arial"/>
                <w:color w:val="333333"/>
                <w:sz w:val="21"/>
                <w:szCs w:val="21"/>
                <w:shd w:val="clear" w:color="auto" w:fill="FFFFFF"/>
              </w:rPr>
              <w:t xml:space="preserve"> </w:t>
            </w:r>
          </w:p>
        </w:tc>
      </w:tr>
      <w:tr w:rsidR="00B04AE3">
        <w:trPr>
          <w:trHeight w:val="689"/>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主要用途：</w:t>
            </w:r>
          </w:p>
        </w:tc>
        <w:tc>
          <w:tcPr>
            <w:tcW w:w="6016" w:type="dxa"/>
            <w:vAlign w:val="center"/>
          </w:tcPr>
          <w:p w:rsidR="00B04AE3" w:rsidRDefault="00B04AE3">
            <w:pPr>
              <w:widowControl/>
              <w:spacing w:line="320" w:lineRule="exact"/>
              <w:rPr>
                <w:rFonts w:ascii="Arial" w:hAnsi="Arial" w:cs="Arial"/>
                <w:color w:val="333333"/>
                <w:sz w:val="21"/>
                <w:szCs w:val="21"/>
                <w:shd w:val="clear" w:color="auto" w:fill="FFFFFF"/>
              </w:rPr>
            </w:pPr>
            <w:r>
              <w:rPr>
                <w:rFonts w:ascii="Arial" w:hAnsi="Arial" w:cs="Arial" w:hint="eastAsia"/>
                <w:color w:val="333333"/>
                <w:sz w:val="21"/>
                <w:szCs w:val="21"/>
                <w:shd w:val="clear" w:color="auto" w:fill="FFFFFF"/>
              </w:rPr>
              <w:t>快速冷冻、冷冻麻醉</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熔点：</w:t>
            </w:r>
          </w:p>
        </w:tc>
        <w:tc>
          <w:tcPr>
            <w:tcW w:w="601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-209.8</w:t>
            </w:r>
            <w:r>
              <w:rPr>
                <w:rFonts w:hint="eastAsia"/>
                <w:color w:val="000000"/>
                <w:sz w:val="18"/>
                <w:szCs w:val="18"/>
                <w:shd w:val="clear" w:color="auto" w:fill="FFFFFF"/>
              </w:rPr>
              <w:t>℃</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沸点：</w:t>
            </w:r>
          </w:p>
        </w:tc>
        <w:tc>
          <w:tcPr>
            <w:tcW w:w="6016" w:type="dxa"/>
            <w:vAlign w:val="center"/>
          </w:tcPr>
          <w:p w:rsidR="00B04AE3" w:rsidRDefault="00B04AE3">
            <w:pPr>
              <w:widowControl/>
              <w:spacing w:line="320" w:lineRule="exact"/>
              <w:rPr>
                <w:color w:val="000000"/>
                <w:sz w:val="21"/>
                <w:szCs w:val="21"/>
              </w:rPr>
            </w:pPr>
            <w:r>
              <w:rPr>
                <w:rFonts w:ascii="Arial" w:hAnsi="Arial" w:cs="Arial"/>
                <w:color w:val="000000"/>
                <w:sz w:val="18"/>
                <w:szCs w:val="18"/>
                <w:shd w:val="clear" w:color="auto" w:fill="FFFFFF"/>
              </w:rPr>
              <w:t>-196.56</w:t>
            </w:r>
            <w:r>
              <w:rPr>
                <w:rFonts w:hint="eastAsia"/>
                <w:color w:val="000000"/>
                <w:sz w:val="18"/>
                <w:szCs w:val="18"/>
                <w:shd w:val="clear" w:color="auto" w:fill="FFFFFF"/>
              </w:rPr>
              <w:t>℃</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相对密度</w:t>
            </w:r>
            <w:r>
              <w:rPr>
                <w:color w:val="000000"/>
                <w:sz w:val="21"/>
                <w:szCs w:val="21"/>
              </w:rPr>
              <w:t>(</w:t>
            </w:r>
            <w:r>
              <w:rPr>
                <w:rFonts w:hint="eastAsia"/>
                <w:color w:val="000000"/>
                <w:sz w:val="21"/>
                <w:szCs w:val="21"/>
              </w:rPr>
              <w:t>水</w:t>
            </w:r>
            <w:r>
              <w:rPr>
                <w:color w:val="000000"/>
                <w:sz w:val="21"/>
                <w:szCs w:val="21"/>
              </w:rPr>
              <w:t>=1)</w:t>
            </w:r>
            <w:r>
              <w:rPr>
                <w:rFonts w:hint="eastAsia"/>
                <w:color w:val="000000"/>
                <w:sz w:val="21"/>
                <w:szCs w:val="21"/>
              </w:rPr>
              <w:t>：</w:t>
            </w:r>
          </w:p>
        </w:tc>
        <w:tc>
          <w:tcPr>
            <w:tcW w:w="601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0.808(-196</w:t>
            </w:r>
            <w:r>
              <w:rPr>
                <w:rFonts w:hint="eastAsia"/>
                <w:color w:val="333333"/>
                <w:sz w:val="21"/>
                <w:szCs w:val="21"/>
                <w:shd w:val="clear" w:color="auto" w:fill="FFFFFF"/>
              </w:rPr>
              <w:t>℃</w:t>
            </w:r>
            <w:r>
              <w:rPr>
                <w:rFonts w:ascii="Arial" w:hAnsi="Arial" w:cs="Arial"/>
                <w:color w:val="333333"/>
                <w:sz w:val="21"/>
                <w:szCs w:val="21"/>
                <w:shd w:val="clear" w:color="auto" w:fill="FFFFFF"/>
              </w:rPr>
              <w:t>)</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相对密度</w:t>
            </w:r>
            <w:r>
              <w:rPr>
                <w:color w:val="000000"/>
                <w:sz w:val="21"/>
                <w:szCs w:val="21"/>
              </w:rPr>
              <w:t>(</w:t>
            </w:r>
            <w:r>
              <w:rPr>
                <w:rFonts w:hint="eastAsia"/>
                <w:color w:val="000000"/>
                <w:sz w:val="21"/>
                <w:szCs w:val="21"/>
              </w:rPr>
              <w:t>空气</w:t>
            </w:r>
            <w:r>
              <w:rPr>
                <w:color w:val="000000"/>
                <w:sz w:val="21"/>
                <w:szCs w:val="21"/>
              </w:rPr>
              <w:t>=1):</w:t>
            </w:r>
          </w:p>
        </w:tc>
        <w:tc>
          <w:tcPr>
            <w:tcW w:w="601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0.97</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饱和蒸汽压</w:t>
            </w:r>
            <w:r>
              <w:rPr>
                <w:color w:val="000000"/>
                <w:sz w:val="21"/>
                <w:szCs w:val="21"/>
              </w:rPr>
              <w:t>(kPa)</w:t>
            </w:r>
            <w:r>
              <w:rPr>
                <w:rFonts w:hint="eastAsia"/>
                <w:color w:val="000000"/>
                <w:sz w:val="21"/>
                <w:szCs w:val="21"/>
              </w:rPr>
              <w:t>：</w:t>
            </w:r>
          </w:p>
        </w:tc>
        <w:tc>
          <w:tcPr>
            <w:tcW w:w="601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 1026.42(-173</w:t>
            </w:r>
            <w:r>
              <w:rPr>
                <w:rFonts w:hint="eastAsia"/>
                <w:color w:val="333333"/>
                <w:sz w:val="21"/>
                <w:szCs w:val="21"/>
                <w:shd w:val="clear" w:color="auto" w:fill="FFFFFF"/>
              </w:rPr>
              <w:t>℃</w:t>
            </w:r>
            <w:r>
              <w:rPr>
                <w:rFonts w:ascii="Arial" w:hAnsi="Arial" w:cs="Arial"/>
                <w:color w:val="333333"/>
                <w:sz w:val="21"/>
                <w:szCs w:val="21"/>
                <w:shd w:val="clear" w:color="auto" w:fill="FFFFFF"/>
              </w:rPr>
              <w:t>)</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溶解性：</w:t>
            </w:r>
          </w:p>
        </w:tc>
        <w:tc>
          <w:tcPr>
            <w:tcW w:w="6016" w:type="dxa"/>
            <w:vAlign w:val="center"/>
          </w:tcPr>
          <w:p w:rsidR="00B04AE3" w:rsidRDefault="00B04AE3">
            <w:pPr>
              <w:widowControl/>
              <w:spacing w:line="320" w:lineRule="exact"/>
              <w:rPr>
                <w:color w:val="000000"/>
                <w:sz w:val="21"/>
                <w:szCs w:val="21"/>
              </w:rPr>
            </w:pPr>
            <w:r>
              <w:rPr>
                <w:rFonts w:ascii="Arial" w:hAnsi="Arial" w:cs="Arial" w:hint="eastAsia"/>
                <w:color w:val="333333"/>
                <w:sz w:val="21"/>
                <w:szCs w:val="21"/>
                <w:shd w:val="clear" w:color="auto" w:fill="FFFFFF"/>
              </w:rPr>
              <w:t>微溶于水、乙醇。</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临界温度</w:t>
            </w:r>
            <w:r>
              <w:rPr>
                <w:color w:val="000000"/>
                <w:sz w:val="21"/>
                <w:szCs w:val="21"/>
              </w:rPr>
              <w:t>(</w:t>
            </w:r>
            <w:r>
              <w:rPr>
                <w:rFonts w:hint="eastAsia"/>
                <w:color w:val="000000"/>
                <w:sz w:val="21"/>
                <w:szCs w:val="21"/>
              </w:rPr>
              <w:t>℃</w:t>
            </w:r>
            <w:r>
              <w:rPr>
                <w:color w:val="000000"/>
                <w:sz w:val="21"/>
                <w:szCs w:val="21"/>
              </w:rPr>
              <w:t>)</w:t>
            </w:r>
            <w:r>
              <w:rPr>
                <w:rFonts w:hint="eastAsia"/>
                <w:color w:val="000000"/>
                <w:sz w:val="21"/>
                <w:szCs w:val="21"/>
              </w:rPr>
              <w:t>：</w:t>
            </w:r>
          </w:p>
        </w:tc>
        <w:tc>
          <w:tcPr>
            <w:tcW w:w="601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-147</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临界压力</w:t>
            </w:r>
            <w:r>
              <w:rPr>
                <w:color w:val="000000"/>
                <w:sz w:val="21"/>
                <w:szCs w:val="21"/>
              </w:rPr>
              <w:t>(MPa)</w:t>
            </w:r>
            <w:r>
              <w:rPr>
                <w:rFonts w:hint="eastAsia"/>
                <w:color w:val="000000"/>
                <w:sz w:val="21"/>
                <w:szCs w:val="21"/>
              </w:rPr>
              <w:t>：</w:t>
            </w:r>
          </w:p>
        </w:tc>
        <w:tc>
          <w:tcPr>
            <w:tcW w:w="601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3.40</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燃烧热</w:t>
            </w:r>
            <w:r>
              <w:rPr>
                <w:color w:val="000000"/>
                <w:sz w:val="21"/>
                <w:szCs w:val="21"/>
              </w:rPr>
              <w:t>(kj/mol)</w:t>
            </w:r>
            <w:r>
              <w:rPr>
                <w:rFonts w:hint="eastAsia"/>
                <w:color w:val="000000"/>
                <w:sz w:val="21"/>
                <w:szCs w:val="21"/>
              </w:rPr>
              <w:t>：</w:t>
            </w:r>
          </w:p>
        </w:tc>
        <w:tc>
          <w:tcPr>
            <w:tcW w:w="6016"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72"/>
          <w:jc w:val="center"/>
        </w:trPr>
        <w:tc>
          <w:tcPr>
            <w:tcW w:w="436" w:type="dxa"/>
            <w:vMerge w:val="restart"/>
            <w:vAlign w:val="center"/>
          </w:tcPr>
          <w:p w:rsidR="00B04AE3" w:rsidRDefault="00B04AE3">
            <w:pPr>
              <w:widowControl/>
              <w:spacing w:line="320" w:lineRule="exact"/>
              <w:rPr>
                <w:color w:val="000000"/>
                <w:sz w:val="21"/>
                <w:szCs w:val="21"/>
              </w:rPr>
            </w:pPr>
            <w:r>
              <w:rPr>
                <w:rFonts w:hint="eastAsia"/>
                <w:b/>
                <w:bCs/>
                <w:color w:val="000000"/>
                <w:sz w:val="21"/>
                <w:szCs w:val="21"/>
              </w:rPr>
              <w:t>包装与储运</w:t>
            </w: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危险性类别：</w:t>
            </w:r>
          </w:p>
        </w:tc>
        <w:tc>
          <w:tcPr>
            <w:tcW w:w="6016" w:type="dxa"/>
            <w:vAlign w:val="center"/>
          </w:tcPr>
          <w:p w:rsidR="00B04AE3" w:rsidRDefault="00B04AE3">
            <w:pPr>
              <w:widowControl/>
              <w:spacing w:line="320" w:lineRule="exact"/>
              <w:rPr>
                <w:color w:val="000000"/>
                <w:sz w:val="21"/>
                <w:szCs w:val="21"/>
                <w:lang w:val="en-US"/>
              </w:rPr>
            </w:pPr>
            <w:r>
              <w:rPr>
                <w:color w:val="000000"/>
                <w:sz w:val="21"/>
                <w:szCs w:val="21"/>
                <w:lang w:val="en-US"/>
              </w:rPr>
              <w:t>22006</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危险货物包装标志：</w:t>
            </w:r>
          </w:p>
        </w:tc>
        <w:tc>
          <w:tcPr>
            <w:tcW w:w="6016" w:type="dxa"/>
            <w:vAlign w:val="center"/>
          </w:tcPr>
          <w:p w:rsidR="00B04AE3" w:rsidRDefault="00B04AE3">
            <w:pPr>
              <w:widowControl/>
              <w:spacing w:line="320" w:lineRule="exact"/>
              <w:rPr>
                <w:color w:val="000000"/>
                <w:sz w:val="21"/>
                <w:szCs w:val="21"/>
                <w:lang w:val="en-US"/>
              </w:rPr>
            </w:pPr>
            <w:r>
              <w:rPr>
                <w:color w:val="000000"/>
                <w:sz w:val="21"/>
                <w:szCs w:val="21"/>
                <w:lang w:val="en-US"/>
              </w:rPr>
              <w:t>1977</w:t>
            </w:r>
          </w:p>
        </w:tc>
      </w:tr>
      <w:tr w:rsidR="00B04AE3">
        <w:trPr>
          <w:trHeight w:val="372"/>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包装类别：</w:t>
            </w:r>
          </w:p>
        </w:tc>
        <w:tc>
          <w:tcPr>
            <w:tcW w:w="6016" w:type="dxa"/>
            <w:vAlign w:val="center"/>
          </w:tcPr>
          <w:p w:rsidR="00B04AE3" w:rsidRDefault="00B04AE3">
            <w:pPr>
              <w:widowControl/>
              <w:spacing w:line="320" w:lineRule="exact"/>
              <w:rPr>
                <w:color w:val="000000"/>
                <w:sz w:val="21"/>
                <w:szCs w:val="21"/>
              </w:rPr>
            </w:pPr>
            <w:r>
              <w:rPr>
                <w:rFonts w:ascii="Arial" w:hAnsi="Arial" w:cs="Arial"/>
                <w:color w:val="333333"/>
                <w:sz w:val="21"/>
                <w:szCs w:val="21"/>
                <w:shd w:val="clear" w:color="auto" w:fill="FFFFFF"/>
              </w:rPr>
              <w:t>Z01</w:t>
            </w:r>
          </w:p>
        </w:tc>
      </w:tr>
      <w:tr w:rsidR="00B04AE3">
        <w:trPr>
          <w:trHeight w:val="1358"/>
          <w:jc w:val="center"/>
        </w:trPr>
        <w:tc>
          <w:tcPr>
            <w:tcW w:w="436" w:type="dxa"/>
            <w:vMerge/>
            <w:vAlign w:val="center"/>
          </w:tcPr>
          <w:p w:rsidR="00B04AE3" w:rsidRDefault="00B04AE3">
            <w:pPr>
              <w:widowControl/>
              <w:spacing w:line="320" w:lineRule="exact"/>
              <w:rPr>
                <w:color w:val="000000"/>
                <w:sz w:val="21"/>
                <w:szCs w:val="21"/>
              </w:rPr>
            </w:pPr>
          </w:p>
        </w:tc>
        <w:tc>
          <w:tcPr>
            <w:tcW w:w="2268" w:type="dxa"/>
            <w:vAlign w:val="center"/>
          </w:tcPr>
          <w:p w:rsidR="00B04AE3" w:rsidRDefault="00B04AE3">
            <w:pPr>
              <w:widowControl/>
              <w:spacing w:line="320" w:lineRule="exact"/>
              <w:rPr>
                <w:color w:val="000000"/>
                <w:sz w:val="21"/>
                <w:szCs w:val="21"/>
              </w:rPr>
            </w:pPr>
            <w:r>
              <w:rPr>
                <w:rFonts w:hint="eastAsia"/>
                <w:color w:val="000000"/>
                <w:sz w:val="21"/>
                <w:szCs w:val="21"/>
              </w:rPr>
              <w:t>储运注意事项：</w:t>
            </w:r>
          </w:p>
        </w:tc>
        <w:tc>
          <w:tcPr>
            <w:tcW w:w="6016" w:type="dxa"/>
            <w:vAlign w:val="center"/>
          </w:tcPr>
          <w:p w:rsidR="00B04AE3" w:rsidRDefault="00B04AE3">
            <w:pPr>
              <w:widowControl/>
              <w:spacing w:line="320" w:lineRule="exact"/>
              <w:rPr>
                <w:color w:val="000000"/>
                <w:sz w:val="21"/>
                <w:szCs w:val="21"/>
              </w:rPr>
            </w:pPr>
            <w:r>
              <w:rPr>
                <w:rFonts w:ascii="Arial" w:hAnsi="Arial" w:cs="Arial" w:hint="eastAsia"/>
                <w:color w:val="333333"/>
                <w:sz w:val="21"/>
                <w:szCs w:val="21"/>
                <w:shd w:val="clear" w:color="auto" w:fill="FFFFFF"/>
              </w:rPr>
              <w:t>储槽必须定时巡检增压盘等，保持无故障状态，运输工具内不可人货同车，且保持封闭空间内的通风情况，装卸时严禁倾倒、滚动储槽，装车后应加装防倒翻措施。</w:t>
            </w:r>
          </w:p>
        </w:tc>
      </w:tr>
      <w:tr w:rsidR="00B04AE3">
        <w:trPr>
          <w:trHeight w:val="1839"/>
          <w:jc w:val="center"/>
        </w:trPr>
        <w:tc>
          <w:tcPr>
            <w:tcW w:w="436" w:type="dxa"/>
            <w:vMerge w:val="restart"/>
            <w:vAlign w:val="center"/>
          </w:tcPr>
          <w:p w:rsidR="00B04AE3" w:rsidRDefault="00B04AE3">
            <w:pPr>
              <w:widowControl/>
              <w:spacing w:line="320" w:lineRule="exact"/>
              <w:rPr>
                <w:color w:val="000000"/>
                <w:sz w:val="21"/>
                <w:szCs w:val="21"/>
              </w:rPr>
            </w:pPr>
            <w:r>
              <w:rPr>
                <w:rFonts w:hint="eastAsia"/>
                <w:b/>
                <w:bCs/>
                <w:color w:val="000000"/>
                <w:sz w:val="21"/>
                <w:szCs w:val="21"/>
              </w:rPr>
              <w:t>急救与外泻处理</w:t>
            </w:r>
          </w:p>
        </w:tc>
        <w:tc>
          <w:tcPr>
            <w:tcW w:w="8284" w:type="dxa"/>
            <w:gridSpan w:val="2"/>
            <w:vAlign w:val="center"/>
          </w:tcPr>
          <w:p w:rsidR="00B04AE3" w:rsidRDefault="00B04AE3">
            <w:pPr>
              <w:pStyle w:val="Heading3"/>
              <w:widowControl/>
              <w:pBdr>
                <w:bottom w:val="single" w:sz="6" w:space="9" w:color="ECECEC"/>
              </w:pBdr>
              <w:shd w:val="clear" w:color="auto" w:fill="FFFFFF"/>
              <w:spacing w:before="300" w:after="180"/>
              <w:ind w:left="0"/>
              <w:rPr>
                <w:color w:val="000000"/>
                <w:sz w:val="21"/>
                <w:szCs w:val="21"/>
              </w:rPr>
            </w:pPr>
            <w:hyperlink r:id="rId64" w:history="1">
              <w:r>
                <w:rPr>
                  <w:rStyle w:val="Hyperlink"/>
                  <w:rFonts w:ascii="微软雅黑" w:eastAsia="微软雅黑" w:hAnsi="微软雅黑" w:cs="微软雅黑" w:hint="eastAsia"/>
                  <w:sz w:val="2"/>
                  <w:u w:val="none"/>
                  <w:shd w:val="clear" w:color="auto" w:fill="FFFFFF"/>
                </w:rPr>
                <w:t>折叠</w:t>
              </w:r>
            </w:hyperlink>
            <w:r>
              <w:rPr>
                <w:rFonts w:ascii="Arial" w:hAnsi="Arial" w:cs="Arial" w:hint="eastAsia"/>
                <w:b w:val="0"/>
                <w:color w:val="333333"/>
                <w:sz w:val="21"/>
                <w:szCs w:val="21"/>
                <w:shd w:val="clear" w:color="auto" w:fill="FFFFFF"/>
              </w:rPr>
              <w:t>皮肤接触</w:t>
            </w:r>
            <w:r>
              <w:rPr>
                <w:rFonts w:ascii="Arial" w:hAnsi="Arial" w:cs="Arial"/>
                <w:b w:val="0"/>
                <w:color w:val="333333"/>
                <w:sz w:val="21"/>
                <w:szCs w:val="21"/>
                <w:shd w:val="clear" w:color="auto" w:fill="FFFFFF"/>
              </w:rPr>
              <w:t xml:space="preserve">: </w:t>
            </w:r>
            <w:r>
              <w:rPr>
                <w:rFonts w:ascii="Arial" w:hAnsi="Arial" w:cs="Arial" w:hint="eastAsia"/>
                <w:b w:val="0"/>
                <w:color w:val="333333"/>
                <w:sz w:val="21"/>
                <w:szCs w:val="21"/>
                <w:shd w:val="clear" w:color="auto" w:fill="FFFFFF"/>
              </w:rPr>
              <w:t>若有冻伤，就医治疗。吸入</w:t>
            </w:r>
            <w:r>
              <w:rPr>
                <w:rFonts w:ascii="Arial" w:hAnsi="Arial" w:cs="Arial"/>
                <w:b w:val="0"/>
                <w:color w:val="333333"/>
                <w:sz w:val="21"/>
                <w:szCs w:val="21"/>
                <w:shd w:val="clear" w:color="auto" w:fill="FFFFFF"/>
              </w:rPr>
              <w:t xml:space="preserve">: </w:t>
            </w:r>
            <w:r>
              <w:rPr>
                <w:rFonts w:ascii="Arial" w:hAnsi="Arial" w:cs="Arial" w:hint="eastAsia"/>
                <w:b w:val="0"/>
                <w:color w:val="333333"/>
                <w:sz w:val="21"/>
                <w:szCs w:val="21"/>
                <w:shd w:val="clear" w:color="auto" w:fill="FFFFFF"/>
              </w:rPr>
              <w:t>迅速脱离现场至空气新鲜处。保持呼吸道通畅。如呼吸困难，给输氧。如呼吸停止，立即进行人工呼吸。就医。</w:t>
            </w:r>
          </w:p>
        </w:tc>
      </w:tr>
      <w:tr w:rsidR="00B04AE3">
        <w:trPr>
          <w:trHeight w:val="3819"/>
          <w:jc w:val="center"/>
        </w:trPr>
        <w:tc>
          <w:tcPr>
            <w:tcW w:w="436" w:type="dxa"/>
            <w:vMerge/>
            <w:vAlign w:val="center"/>
          </w:tcPr>
          <w:p w:rsidR="00B04AE3" w:rsidRDefault="00B04AE3">
            <w:pPr>
              <w:widowControl/>
              <w:spacing w:line="320" w:lineRule="exact"/>
              <w:rPr>
                <w:color w:val="000000"/>
                <w:sz w:val="21"/>
                <w:szCs w:val="21"/>
              </w:rPr>
            </w:pPr>
          </w:p>
        </w:tc>
        <w:tc>
          <w:tcPr>
            <w:tcW w:w="8284" w:type="dxa"/>
            <w:gridSpan w:val="2"/>
            <w:vAlign w:val="center"/>
          </w:tcPr>
          <w:p w:rsidR="00B04AE3" w:rsidRDefault="00B04AE3">
            <w:pPr>
              <w:pStyle w:val="NormalWeb"/>
              <w:widowControl/>
              <w:shd w:val="clear" w:color="auto" w:fill="FFFFFF"/>
              <w:spacing w:beforeAutospacing="0" w:after="225" w:afterAutospacing="0"/>
              <w:ind w:firstLine="420"/>
              <w:rPr>
                <w:rFonts w:ascii="Arial" w:hAnsi="Arial" w:cs="Arial"/>
                <w:b/>
                <w:bCs/>
                <w:color w:val="333333"/>
                <w:sz w:val="21"/>
                <w:szCs w:val="21"/>
              </w:rPr>
            </w:pPr>
            <w:r>
              <w:rPr>
                <w:rFonts w:ascii="Arial" w:hAnsi="Arial" w:cs="Arial" w:hint="eastAsia"/>
                <w:b/>
                <w:bCs/>
                <w:color w:val="333333"/>
                <w:sz w:val="21"/>
                <w:szCs w:val="21"/>
                <w:shd w:val="clear" w:color="auto" w:fill="FFFFFF"/>
              </w:rPr>
              <w:t>液氮外泻处理方法</w:t>
            </w:r>
          </w:p>
          <w:p w:rsidR="00B04AE3" w:rsidRDefault="00B04AE3">
            <w:pPr>
              <w:pStyle w:val="NormalWeb"/>
              <w:widowControl/>
              <w:shd w:val="clear" w:color="auto" w:fill="FFFFFF"/>
              <w:spacing w:beforeAutospacing="0" w:after="225" w:afterAutospacing="0"/>
              <w:ind w:firstLine="420"/>
              <w:rPr>
                <w:rFonts w:ascii="Arial" w:hAnsi="Arial" w:cs="Arial"/>
                <w:color w:val="333333"/>
                <w:sz w:val="21"/>
                <w:szCs w:val="21"/>
              </w:rPr>
            </w:pPr>
            <w:r>
              <w:rPr>
                <w:rFonts w:ascii="Arial" w:hAnsi="Arial" w:cs="Arial" w:hint="eastAsia"/>
                <w:color w:val="333333"/>
                <w:sz w:val="21"/>
                <w:szCs w:val="21"/>
                <w:shd w:val="clear" w:color="auto" w:fill="FFFFFF"/>
              </w:rPr>
              <w:t>吸入氮气浓度不太高时，患者最初感胸闷、气短、疲软无力</w:t>
            </w:r>
            <w:r>
              <w:rPr>
                <w:rFonts w:ascii="Arial" w:hAnsi="Arial" w:cs="Arial"/>
                <w:color w:val="333333"/>
                <w:sz w:val="21"/>
                <w:szCs w:val="21"/>
                <w:shd w:val="clear" w:color="auto" w:fill="FFFFFF"/>
              </w:rPr>
              <w:t>;</w:t>
            </w:r>
            <w:r>
              <w:rPr>
                <w:rFonts w:ascii="Arial" w:hAnsi="Arial" w:cs="Arial" w:hint="eastAsia"/>
                <w:color w:val="333333"/>
                <w:sz w:val="21"/>
                <w:szCs w:val="21"/>
                <w:shd w:val="clear" w:color="auto" w:fill="FFFFFF"/>
              </w:rPr>
              <w:t>继而有烦躁不安、极度兴奋、乱跑、叫喊、神情恍惚、步态不稳，称之为</w:t>
            </w:r>
            <w:r>
              <w:rPr>
                <w:rFonts w:ascii="Arial" w:hAnsi="Arial" w:cs="Arial"/>
                <w:color w:val="333333"/>
                <w:sz w:val="21"/>
                <w:szCs w:val="21"/>
                <w:shd w:val="clear" w:color="auto" w:fill="FFFFFF"/>
              </w:rPr>
              <w:t>"</w:t>
            </w:r>
            <w:r>
              <w:rPr>
                <w:rFonts w:ascii="Arial" w:hAnsi="Arial" w:cs="Arial" w:hint="eastAsia"/>
                <w:color w:val="333333"/>
                <w:sz w:val="21"/>
                <w:szCs w:val="21"/>
                <w:shd w:val="clear" w:color="auto" w:fill="FFFFFF"/>
              </w:rPr>
              <w:t>氮酩酊</w:t>
            </w:r>
            <w:r>
              <w:rPr>
                <w:rFonts w:ascii="Arial" w:hAnsi="Arial" w:cs="Arial"/>
                <w:color w:val="333333"/>
                <w:sz w:val="21"/>
                <w:szCs w:val="21"/>
                <w:shd w:val="clear" w:color="auto" w:fill="FFFFFF"/>
              </w:rPr>
              <w:t>"</w:t>
            </w:r>
            <w:r>
              <w:rPr>
                <w:rFonts w:ascii="Arial" w:hAnsi="Arial" w:cs="Arial" w:hint="eastAsia"/>
                <w:color w:val="333333"/>
                <w:sz w:val="21"/>
                <w:szCs w:val="21"/>
                <w:shd w:val="clear" w:color="auto" w:fill="FFFFFF"/>
              </w:rPr>
              <w:t>，可进入昏睡或昏迷状态。吸入高浓度，患者可迅速昏迷、因呼吸和心跳停止而死亡。</w:t>
            </w:r>
          </w:p>
          <w:p w:rsidR="00B04AE3" w:rsidRDefault="00B04AE3">
            <w:pPr>
              <w:pStyle w:val="NormalWeb"/>
              <w:widowControl/>
              <w:shd w:val="clear" w:color="auto" w:fill="FFFFFF"/>
              <w:spacing w:beforeAutospacing="0" w:after="225" w:afterAutospacing="0"/>
              <w:ind w:firstLine="420"/>
              <w:rPr>
                <w:rFonts w:ascii="Arial" w:hAnsi="Arial" w:cs="Arial"/>
                <w:color w:val="333333"/>
                <w:sz w:val="21"/>
                <w:szCs w:val="21"/>
              </w:rPr>
            </w:pPr>
            <w:r>
              <w:rPr>
                <w:rFonts w:ascii="Arial" w:hAnsi="Arial" w:cs="Arial"/>
                <w:color w:val="333333"/>
                <w:sz w:val="21"/>
                <w:szCs w:val="21"/>
                <w:shd w:val="clear" w:color="auto" w:fill="FFFFFF"/>
              </w:rPr>
              <w:t xml:space="preserve">1. </w:t>
            </w:r>
            <w:r>
              <w:rPr>
                <w:rFonts w:ascii="Arial" w:hAnsi="Arial" w:cs="Arial" w:hint="eastAsia"/>
                <w:color w:val="333333"/>
                <w:sz w:val="21"/>
                <w:szCs w:val="21"/>
                <w:shd w:val="clear" w:color="auto" w:fill="FFFFFF"/>
              </w:rPr>
              <w:t>迅速撤离泄漏污染区人员至上风处，并设置隔离区域，严格限制出入。</w:t>
            </w:r>
          </w:p>
          <w:p w:rsidR="00B04AE3" w:rsidRDefault="00B04AE3">
            <w:pPr>
              <w:pStyle w:val="NormalWeb"/>
              <w:widowControl/>
              <w:shd w:val="clear" w:color="auto" w:fill="FFFFFF"/>
              <w:spacing w:beforeAutospacing="0" w:after="225" w:afterAutospacing="0"/>
              <w:ind w:firstLine="420"/>
              <w:rPr>
                <w:rFonts w:ascii="Arial" w:hAnsi="Arial" w:cs="Arial"/>
                <w:color w:val="333333"/>
                <w:sz w:val="21"/>
                <w:szCs w:val="21"/>
              </w:rPr>
            </w:pPr>
            <w:r>
              <w:rPr>
                <w:rFonts w:ascii="Arial" w:hAnsi="Arial" w:cs="Arial"/>
                <w:color w:val="333333"/>
                <w:sz w:val="21"/>
                <w:szCs w:val="21"/>
                <w:shd w:val="clear" w:color="auto" w:fill="FFFFFF"/>
              </w:rPr>
              <w:t xml:space="preserve">2. </w:t>
            </w:r>
            <w:r>
              <w:rPr>
                <w:rFonts w:ascii="Arial" w:hAnsi="Arial" w:cs="Arial" w:hint="eastAsia"/>
                <w:color w:val="333333"/>
                <w:sz w:val="21"/>
                <w:szCs w:val="21"/>
                <w:shd w:val="clear" w:color="auto" w:fill="FFFFFF"/>
              </w:rPr>
              <w:t>通知消防及相关单位。</w:t>
            </w:r>
          </w:p>
          <w:p w:rsidR="00B04AE3" w:rsidRDefault="00B04AE3">
            <w:pPr>
              <w:pStyle w:val="NormalWeb"/>
              <w:widowControl/>
              <w:shd w:val="clear" w:color="auto" w:fill="FFFFFF"/>
              <w:spacing w:beforeAutospacing="0" w:after="225" w:afterAutospacing="0"/>
              <w:ind w:firstLine="420"/>
              <w:rPr>
                <w:rFonts w:ascii="Arial" w:hAnsi="Arial" w:cs="Arial"/>
                <w:color w:val="333333"/>
                <w:sz w:val="21"/>
                <w:szCs w:val="21"/>
              </w:rPr>
            </w:pPr>
            <w:r>
              <w:rPr>
                <w:rFonts w:ascii="Arial" w:hAnsi="Arial" w:cs="Arial"/>
                <w:color w:val="333333"/>
                <w:sz w:val="21"/>
                <w:szCs w:val="21"/>
                <w:shd w:val="clear" w:color="auto" w:fill="FFFFFF"/>
              </w:rPr>
              <w:t xml:space="preserve">3. </w:t>
            </w:r>
            <w:r>
              <w:rPr>
                <w:rFonts w:ascii="Arial" w:hAnsi="Arial" w:cs="Arial" w:hint="eastAsia"/>
                <w:color w:val="333333"/>
                <w:sz w:val="21"/>
                <w:szCs w:val="21"/>
                <w:shd w:val="clear" w:color="auto" w:fill="FFFFFF"/>
              </w:rPr>
              <w:t>应急处理人员戴自给正压式呼吸器，穿防寒服，戴防寒手套。</w:t>
            </w:r>
          </w:p>
          <w:p w:rsidR="00B04AE3" w:rsidRDefault="00B04AE3">
            <w:pPr>
              <w:pStyle w:val="NormalWeb"/>
              <w:widowControl/>
              <w:shd w:val="clear" w:color="auto" w:fill="FFFFFF"/>
              <w:spacing w:beforeAutospacing="0" w:after="225" w:afterAutospacing="0"/>
              <w:ind w:firstLine="420"/>
              <w:rPr>
                <w:rFonts w:ascii="Arial" w:hAnsi="Arial" w:cs="Arial"/>
                <w:color w:val="333333"/>
                <w:sz w:val="21"/>
                <w:szCs w:val="21"/>
              </w:rPr>
            </w:pPr>
            <w:r>
              <w:rPr>
                <w:rFonts w:ascii="Arial" w:hAnsi="Arial" w:cs="Arial"/>
                <w:color w:val="333333"/>
                <w:sz w:val="21"/>
                <w:szCs w:val="21"/>
                <w:shd w:val="clear" w:color="auto" w:fill="FFFFFF"/>
              </w:rPr>
              <w:t xml:space="preserve">4. </w:t>
            </w:r>
            <w:r>
              <w:rPr>
                <w:rFonts w:ascii="Arial" w:hAnsi="Arial" w:cs="Arial" w:hint="eastAsia"/>
                <w:color w:val="333333"/>
                <w:sz w:val="21"/>
                <w:szCs w:val="21"/>
                <w:shd w:val="clear" w:color="auto" w:fill="FFFFFF"/>
              </w:rPr>
              <w:t>避免泄漏液体流入地下室或其他密闭有人工作空间，如无法避免应立即通知相关部门。</w:t>
            </w:r>
          </w:p>
          <w:p w:rsidR="00B04AE3" w:rsidRDefault="00B04AE3">
            <w:pPr>
              <w:pStyle w:val="NormalWeb"/>
              <w:widowControl/>
              <w:shd w:val="clear" w:color="auto" w:fill="FFFFFF"/>
              <w:spacing w:beforeAutospacing="0" w:after="225" w:afterAutospacing="0"/>
              <w:ind w:firstLine="420"/>
              <w:rPr>
                <w:rFonts w:ascii="Arial" w:hAnsi="Arial" w:cs="Arial"/>
                <w:color w:val="333333"/>
                <w:sz w:val="21"/>
                <w:szCs w:val="21"/>
              </w:rPr>
            </w:pPr>
            <w:r>
              <w:rPr>
                <w:rFonts w:ascii="Arial" w:hAnsi="Arial" w:cs="Arial"/>
                <w:color w:val="333333"/>
                <w:sz w:val="21"/>
                <w:szCs w:val="21"/>
                <w:shd w:val="clear" w:color="auto" w:fill="FFFFFF"/>
              </w:rPr>
              <w:t xml:space="preserve">5. </w:t>
            </w:r>
            <w:r>
              <w:rPr>
                <w:rFonts w:ascii="Arial" w:hAnsi="Arial" w:cs="Arial" w:hint="eastAsia"/>
                <w:color w:val="333333"/>
                <w:sz w:val="21"/>
                <w:szCs w:val="21"/>
                <w:shd w:val="clear" w:color="auto" w:fill="FFFFFF"/>
              </w:rPr>
              <w:t>不要直接接触泄漏物。</w:t>
            </w:r>
          </w:p>
          <w:p w:rsidR="00B04AE3" w:rsidRDefault="00B04AE3">
            <w:pPr>
              <w:pStyle w:val="NormalWeb"/>
              <w:widowControl/>
              <w:shd w:val="clear" w:color="auto" w:fill="FFFFFF"/>
              <w:spacing w:beforeAutospacing="0" w:after="225" w:afterAutospacing="0"/>
              <w:ind w:firstLine="420"/>
              <w:rPr>
                <w:rFonts w:ascii="Arial" w:hAnsi="Arial" w:cs="Arial"/>
                <w:color w:val="333333"/>
                <w:sz w:val="21"/>
                <w:szCs w:val="21"/>
              </w:rPr>
            </w:pPr>
            <w:r>
              <w:rPr>
                <w:rFonts w:ascii="Arial" w:hAnsi="Arial" w:cs="Arial"/>
                <w:color w:val="333333"/>
                <w:sz w:val="21"/>
                <w:szCs w:val="21"/>
                <w:shd w:val="clear" w:color="auto" w:fill="FFFFFF"/>
              </w:rPr>
              <w:t xml:space="preserve">6. </w:t>
            </w:r>
            <w:r>
              <w:rPr>
                <w:rFonts w:ascii="Arial" w:hAnsi="Arial" w:cs="Arial" w:hint="eastAsia"/>
                <w:color w:val="333333"/>
                <w:sz w:val="21"/>
                <w:szCs w:val="21"/>
                <w:shd w:val="clear" w:color="auto" w:fill="FFFFFF"/>
              </w:rPr>
              <w:t>尽可能切断泄漏源。</w:t>
            </w:r>
          </w:p>
          <w:p w:rsidR="00B04AE3" w:rsidRDefault="00B04AE3">
            <w:pPr>
              <w:pStyle w:val="NormalWeb"/>
              <w:widowControl/>
              <w:shd w:val="clear" w:color="auto" w:fill="FFFFFF"/>
              <w:spacing w:beforeAutospacing="0" w:after="225" w:afterAutospacing="0"/>
              <w:ind w:firstLine="420"/>
              <w:rPr>
                <w:rFonts w:ascii="Arial" w:hAnsi="Arial" w:cs="Arial"/>
                <w:color w:val="333333"/>
                <w:sz w:val="21"/>
                <w:szCs w:val="21"/>
              </w:rPr>
            </w:pPr>
            <w:r>
              <w:rPr>
                <w:rFonts w:ascii="Arial" w:hAnsi="Arial" w:cs="Arial"/>
                <w:color w:val="333333"/>
                <w:sz w:val="21"/>
                <w:szCs w:val="21"/>
                <w:shd w:val="clear" w:color="auto" w:fill="FFFFFF"/>
              </w:rPr>
              <w:t xml:space="preserve">7. </w:t>
            </w:r>
            <w:r>
              <w:rPr>
                <w:rFonts w:ascii="Arial" w:hAnsi="Arial" w:cs="Arial" w:hint="eastAsia"/>
                <w:color w:val="333333"/>
                <w:sz w:val="21"/>
                <w:szCs w:val="21"/>
                <w:shd w:val="clear" w:color="auto" w:fill="FFFFFF"/>
              </w:rPr>
              <w:t>可用雾状水喷淋加速液体蒸发，但不可使水枪射至液体。</w:t>
            </w:r>
          </w:p>
          <w:p w:rsidR="00B04AE3" w:rsidRDefault="00B04AE3">
            <w:pPr>
              <w:pStyle w:val="NormalWeb"/>
              <w:widowControl/>
              <w:shd w:val="clear" w:color="auto" w:fill="FFFFFF"/>
              <w:spacing w:beforeAutospacing="0" w:after="225" w:afterAutospacing="0"/>
              <w:ind w:firstLine="420"/>
              <w:rPr>
                <w:rFonts w:ascii="Arial" w:hAnsi="Arial" w:cs="Arial"/>
                <w:color w:val="333333"/>
                <w:sz w:val="21"/>
                <w:szCs w:val="21"/>
              </w:rPr>
            </w:pPr>
            <w:r>
              <w:rPr>
                <w:rFonts w:ascii="Arial" w:hAnsi="Arial" w:cs="Arial"/>
                <w:color w:val="333333"/>
                <w:sz w:val="21"/>
                <w:szCs w:val="21"/>
                <w:shd w:val="clear" w:color="auto" w:fill="FFFFFF"/>
              </w:rPr>
              <w:t xml:space="preserve">8. </w:t>
            </w:r>
            <w:r>
              <w:rPr>
                <w:rFonts w:ascii="Arial" w:hAnsi="Arial" w:cs="Arial" w:hint="eastAsia"/>
                <w:color w:val="333333"/>
                <w:sz w:val="21"/>
                <w:szCs w:val="21"/>
                <w:shd w:val="clear" w:color="auto" w:fill="FFFFFF"/>
              </w:rPr>
              <w:t>防止气体在低凹处积聚，用排风机将漏出气送至空旷处。</w:t>
            </w:r>
          </w:p>
          <w:p w:rsidR="00B04AE3" w:rsidRDefault="00B04AE3">
            <w:pPr>
              <w:pStyle w:val="NormalWeb"/>
              <w:widowControl/>
              <w:shd w:val="clear" w:color="auto" w:fill="FFFFFF"/>
              <w:spacing w:beforeAutospacing="0" w:after="225" w:afterAutospacing="0"/>
              <w:ind w:firstLine="420"/>
              <w:rPr>
                <w:color w:val="000000"/>
                <w:sz w:val="21"/>
                <w:szCs w:val="21"/>
              </w:rPr>
            </w:pPr>
            <w:r>
              <w:rPr>
                <w:rFonts w:ascii="Arial" w:hAnsi="Arial" w:cs="Arial"/>
                <w:color w:val="333333"/>
                <w:sz w:val="21"/>
                <w:szCs w:val="21"/>
                <w:shd w:val="clear" w:color="auto" w:fill="FFFFFF"/>
              </w:rPr>
              <w:t xml:space="preserve">9. </w:t>
            </w:r>
            <w:r>
              <w:rPr>
                <w:rFonts w:ascii="Arial" w:hAnsi="Arial" w:cs="Arial" w:hint="eastAsia"/>
                <w:color w:val="333333"/>
                <w:sz w:val="21"/>
                <w:szCs w:val="21"/>
                <w:shd w:val="clear" w:color="auto" w:fill="FFFFFF"/>
              </w:rPr>
              <w:t>禁止人员在低洼或下风区停留。</w:t>
            </w:r>
          </w:p>
        </w:tc>
      </w:tr>
    </w:tbl>
    <w:p w:rsidR="00B04AE3" w:rsidRDefault="00B04AE3">
      <w:pPr>
        <w:pStyle w:val="BodyText"/>
        <w:spacing w:before="11"/>
        <w:rPr>
          <w:b/>
          <w:sz w:val="4"/>
        </w:rPr>
      </w:pPr>
    </w:p>
    <w:p w:rsidR="00B04AE3" w:rsidRDefault="00B04AE3">
      <w:pPr>
        <w:spacing w:before="4"/>
        <w:ind w:left="3233"/>
        <w:rPr>
          <w:b/>
          <w:sz w:val="24"/>
        </w:rPr>
      </w:pPr>
      <w:r>
        <w:rPr>
          <w:rFonts w:hint="eastAsia"/>
          <w:b/>
          <w:sz w:val="24"/>
        </w:rPr>
        <w:t>表</w:t>
      </w:r>
      <w:r>
        <w:rPr>
          <w:b/>
          <w:sz w:val="24"/>
        </w:rPr>
        <w:t xml:space="preserve"> </w:t>
      </w:r>
      <w:r>
        <w:rPr>
          <w:rFonts w:ascii="Times New Roman" w:eastAsia="Times New Roman"/>
          <w:b/>
          <w:sz w:val="24"/>
        </w:rPr>
        <w:t xml:space="preserve">2.4-2 </w:t>
      </w:r>
      <w:r>
        <w:rPr>
          <w:rFonts w:hint="eastAsia"/>
          <w:b/>
          <w:sz w:val="24"/>
        </w:rPr>
        <w:t>硫酸理化性质及危险特性</w:t>
      </w:r>
    </w:p>
    <w:tbl>
      <w:tblPr>
        <w:tblW w:w="8528" w:type="dxa"/>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996"/>
        <w:gridCol w:w="1782"/>
        <w:gridCol w:w="1317"/>
        <w:gridCol w:w="1317"/>
        <w:gridCol w:w="1608"/>
        <w:gridCol w:w="1508"/>
      </w:tblGrid>
      <w:tr w:rsidR="00B04AE3">
        <w:trPr>
          <w:trHeight w:val="622"/>
        </w:trPr>
        <w:tc>
          <w:tcPr>
            <w:tcW w:w="996" w:type="dxa"/>
            <w:shd w:val="clear" w:color="auto" w:fill="D9D9D9"/>
          </w:tcPr>
          <w:p w:rsidR="00B04AE3" w:rsidRDefault="00B04AE3">
            <w:pPr>
              <w:pStyle w:val="TableParagraph"/>
              <w:spacing w:before="20"/>
              <w:ind w:left="9"/>
              <w:rPr>
                <w:b/>
                <w:sz w:val="21"/>
              </w:rPr>
            </w:pPr>
            <w:r>
              <w:rPr>
                <w:rFonts w:hint="eastAsia"/>
                <w:b/>
                <w:w w:val="99"/>
                <w:sz w:val="21"/>
              </w:rPr>
              <w:t>品</w:t>
            </w:r>
          </w:p>
          <w:p w:rsidR="00B04AE3" w:rsidRDefault="00B04AE3">
            <w:pPr>
              <w:pStyle w:val="TableParagraph"/>
              <w:spacing w:before="43"/>
              <w:ind w:left="9"/>
              <w:rPr>
                <w:b/>
                <w:sz w:val="21"/>
              </w:rPr>
            </w:pPr>
            <w:r>
              <w:rPr>
                <w:rFonts w:hint="eastAsia"/>
                <w:b/>
                <w:w w:val="99"/>
                <w:sz w:val="21"/>
              </w:rPr>
              <w:t>名</w:t>
            </w:r>
          </w:p>
        </w:tc>
        <w:tc>
          <w:tcPr>
            <w:tcW w:w="1782" w:type="dxa"/>
          </w:tcPr>
          <w:p w:rsidR="00B04AE3" w:rsidRDefault="00B04AE3">
            <w:pPr>
              <w:pStyle w:val="TableParagraph"/>
              <w:spacing w:before="176"/>
              <w:ind w:left="328" w:right="320"/>
              <w:rPr>
                <w:sz w:val="21"/>
              </w:rPr>
            </w:pPr>
            <w:r>
              <w:rPr>
                <w:rFonts w:hint="eastAsia"/>
                <w:sz w:val="21"/>
              </w:rPr>
              <w:t>硫酸</w:t>
            </w:r>
          </w:p>
        </w:tc>
        <w:tc>
          <w:tcPr>
            <w:tcW w:w="1317" w:type="dxa"/>
          </w:tcPr>
          <w:p w:rsidR="00B04AE3" w:rsidRDefault="00B04AE3">
            <w:pPr>
              <w:pStyle w:val="TableParagraph"/>
              <w:tabs>
                <w:tab w:val="left" w:pos="972"/>
              </w:tabs>
              <w:spacing w:before="176"/>
              <w:ind w:left="132"/>
              <w:jc w:val="left"/>
              <w:rPr>
                <w:b/>
                <w:sz w:val="21"/>
              </w:rPr>
            </w:pPr>
            <w:r>
              <w:rPr>
                <w:rFonts w:hint="eastAsia"/>
                <w:b/>
                <w:sz w:val="21"/>
              </w:rPr>
              <w:t>别</w:t>
            </w:r>
            <w:r>
              <w:rPr>
                <w:b/>
                <w:sz w:val="21"/>
              </w:rPr>
              <w:tab/>
            </w:r>
            <w:r>
              <w:rPr>
                <w:rFonts w:hint="eastAsia"/>
                <w:b/>
                <w:sz w:val="21"/>
              </w:rPr>
              <w:t>名</w:t>
            </w:r>
          </w:p>
        </w:tc>
        <w:tc>
          <w:tcPr>
            <w:tcW w:w="1317" w:type="dxa"/>
          </w:tcPr>
          <w:p w:rsidR="00B04AE3" w:rsidRDefault="00B04AE3">
            <w:pPr>
              <w:pStyle w:val="TableParagraph"/>
              <w:jc w:val="left"/>
              <w:rPr>
                <w:rFonts w:ascii="Times New Roman"/>
                <w:sz w:val="20"/>
              </w:rPr>
            </w:pPr>
          </w:p>
        </w:tc>
        <w:tc>
          <w:tcPr>
            <w:tcW w:w="1608" w:type="dxa"/>
          </w:tcPr>
          <w:p w:rsidR="00B04AE3" w:rsidRDefault="00B04AE3">
            <w:pPr>
              <w:pStyle w:val="TableParagraph"/>
              <w:spacing w:before="176"/>
              <w:ind w:left="107"/>
              <w:jc w:val="left"/>
              <w:rPr>
                <w:sz w:val="21"/>
              </w:rPr>
            </w:pPr>
            <w:r>
              <w:rPr>
                <w:rFonts w:hint="eastAsia"/>
                <w:sz w:val="21"/>
              </w:rPr>
              <w:t>危险化学品序号</w:t>
            </w:r>
          </w:p>
        </w:tc>
        <w:tc>
          <w:tcPr>
            <w:tcW w:w="1508" w:type="dxa"/>
          </w:tcPr>
          <w:p w:rsidR="00B04AE3" w:rsidRDefault="00B04AE3">
            <w:pPr>
              <w:pStyle w:val="TableParagraph"/>
              <w:spacing w:before="190"/>
              <w:ind w:left="509" w:right="528"/>
              <w:rPr>
                <w:rFonts w:ascii="Times New Roman"/>
                <w:sz w:val="21"/>
              </w:rPr>
            </w:pPr>
            <w:r>
              <w:rPr>
                <w:rFonts w:ascii="Times New Roman"/>
                <w:sz w:val="21"/>
              </w:rPr>
              <w:t>1302</w:t>
            </w:r>
          </w:p>
        </w:tc>
      </w:tr>
      <w:tr w:rsidR="00B04AE3">
        <w:trPr>
          <w:trHeight w:val="623"/>
        </w:trPr>
        <w:tc>
          <w:tcPr>
            <w:tcW w:w="996" w:type="dxa"/>
            <w:shd w:val="clear" w:color="auto" w:fill="D9D9D9"/>
          </w:tcPr>
          <w:p w:rsidR="00B04AE3" w:rsidRDefault="00B04AE3">
            <w:pPr>
              <w:pStyle w:val="TableParagraph"/>
              <w:spacing w:before="21"/>
              <w:ind w:left="287"/>
              <w:jc w:val="left"/>
              <w:rPr>
                <w:b/>
                <w:sz w:val="21"/>
              </w:rPr>
            </w:pPr>
            <w:r>
              <w:rPr>
                <w:rFonts w:hint="eastAsia"/>
                <w:b/>
                <w:w w:val="95"/>
                <w:sz w:val="21"/>
              </w:rPr>
              <w:t>英文</w:t>
            </w:r>
          </w:p>
          <w:p w:rsidR="00B04AE3" w:rsidRDefault="00B04AE3">
            <w:pPr>
              <w:pStyle w:val="TableParagraph"/>
              <w:spacing w:before="43"/>
              <w:ind w:left="287"/>
              <w:jc w:val="left"/>
              <w:rPr>
                <w:b/>
                <w:sz w:val="21"/>
              </w:rPr>
            </w:pPr>
            <w:r>
              <w:rPr>
                <w:rFonts w:hint="eastAsia"/>
                <w:b/>
                <w:w w:val="95"/>
                <w:sz w:val="21"/>
              </w:rPr>
              <w:t>名称</w:t>
            </w:r>
          </w:p>
        </w:tc>
        <w:tc>
          <w:tcPr>
            <w:tcW w:w="1782" w:type="dxa"/>
          </w:tcPr>
          <w:p w:rsidR="00B04AE3" w:rsidRDefault="00B04AE3">
            <w:pPr>
              <w:pStyle w:val="TableParagraph"/>
              <w:spacing w:before="191"/>
              <w:ind w:left="352"/>
              <w:jc w:val="left"/>
              <w:rPr>
                <w:rFonts w:ascii="Times New Roman"/>
                <w:sz w:val="21"/>
              </w:rPr>
            </w:pPr>
            <w:r>
              <w:rPr>
                <w:rFonts w:ascii="Times New Roman"/>
                <w:sz w:val="21"/>
              </w:rPr>
              <w:t>Sulfuric acid</w:t>
            </w:r>
          </w:p>
        </w:tc>
        <w:tc>
          <w:tcPr>
            <w:tcW w:w="1317" w:type="dxa"/>
          </w:tcPr>
          <w:p w:rsidR="00B04AE3" w:rsidRDefault="00B04AE3">
            <w:pPr>
              <w:pStyle w:val="TableParagraph"/>
              <w:tabs>
                <w:tab w:val="left" w:pos="552"/>
                <w:tab w:val="left" w:pos="972"/>
              </w:tabs>
              <w:spacing w:before="177"/>
              <w:ind w:left="132"/>
              <w:jc w:val="left"/>
              <w:rPr>
                <w:b/>
                <w:sz w:val="21"/>
              </w:rPr>
            </w:pPr>
            <w:r>
              <w:rPr>
                <w:rFonts w:hint="eastAsia"/>
                <w:b/>
                <w:sz w:val="21"/>
              </w:rPr>
              <w:t>分</w:t>
            </w:r>
            <w:r>
              <w:rPr>
                <w:b/>
                <w:sz w:val="21"/>
              </w:rPr>
              <w:tab/>
            </w:r>
            <w:r>
              <w:rPr>
                <w:rFonts w:hint="eastAsia"/>
                <w:b/>
                <w:sz w:val="21"/>
              </w:rPr>
              <w:t>子</w:t>
            </w:r>
            <w:r>
              <w:rPr>
                <w:b/>
                <w:sz w:val="21"/>
              </w:rPr>
              <w:tab/>
            </w:r>
            <w:r>
              <w:rPr>
                <w:rFonts w:hint="eastAsia"/>
                <w:b/>
                <w:sz w:val="21"/>
              </w:rPr>
              <w:t>式</w:t>
            </w:r>
          </w:p>
        </w:tc>
        <w:tc>
          <w:tcPr>
            <w:tcW w:w="1317" w:type="dxa"/>
          </w:tcPr>
          <w:p w:rsidR="00B04AE3" w:rsidRDefault="00B04AE3">
            <w:pPr>
              <w:pStyle w:val="TableParagraph"/>
              <w:spacing w:before="188"/>
              <w:ind w:left="380"/>
              <w:jc w:val="left"/>
              <w:rPr>
                <w:rFonts w:ascii="Times New Roman"/>
                <w:sz w:val="21"/>
              </w:rPr>
            </w:pPr>
            <w:r>
              <w:rPr>
                <w:rFonts w:ascii="Times New Roman"/>
                <w:position w:val="2"/>
                <w:sz w:val="21"/>
              </w:rPr>
              <w:t>H</w:t>
            </w:r>
            <w:r>
              <w:rPr>
                <w:rFonts w:ascii="Times New Roman"/>
                <w:position w:val="2"/>
                <w:sz w:val="21"/>
                <w:vertAlign w:val="subscript"/>
              </w:rPr>
              <w:t>2</w:t>
            </w:r>
            <w:r>
              <w:rPr>
                <w:rFonts w:ascii="Times New Roman"/>
                <w:position w:val="2"/>
                <w:sz w:val="21"/>
              </w:rPr>
              <w:t>SO</w:t>
            </w:r>
            <w:r>
              <w:rPr>
                <w:rFonts w:ascii="Times New Roman"/>
                <w:position w:val="2"/>
                <w:sz w:val="21"/>
                <w:vertAlign w:val="subscript"/>
              </w:rPr>
              <w:t>4</w:t>
            </w:r>
          </w:p>
        </w:tc>
        <w:tc>
          <w:tcPr>
            <w:tcW w:w="1608" w:type="dxa"/>
          </w:tcPr>
          <w:p w:rsidR="00B04AE3" w:rsidRDefault="00B04AE3">
            <w:pPr>
              <w:pStyle w:val="TableParagraph"/>
              <w:tabs>
                <w:tab w:val="left" w:pos="633"/>
                <w:tab w:val="left" w:pos="1158"/>
              </w:tabs>
              <w:spacing w:before="177"/>
              <w:ind w:left="107"/>
              <w:jc w:val="left"/>
              <w:rPr>
                <w:b/>
                <w:sz w:val="21"/>
              </w:rPr>
            </w:pPr>
            <w:r>
              <w:rPr>
                <w:rFonts w:hint="eastAsia"/>
                <w:b/>
                <w:sz w:val="21"/>
              </w:rPr>
              <w:t>分</w:t>
            </w:r>
            <w:r>
              <w:rPr>
                <w:b/>
                <w:sz w:val="21"/>
              </w:rPr>
              <w:tab/>
            </w:r>
            <w:r>
              <w:rPr>
                <w:rFonts w:hint="eastAsia"/>
                <w:b/>
                <w:sz w:val="21"/>
              </w:rPr>
              <w:t>子</w:t>
            </w:r>
            <w:r>
              <w:rPr>
                <w:b/>
                <w:sz w:val="21"/>
              </w:rPr>
              <w:tab/>
            </w:r>
            <w:r>
              <w:rPr>
                <w:rFonts w:hint="eastAsia"/>
                <w:b/>
                <w:sz w:val="21"/>
              </w:rPr>
              <w:t>量</w:t>
            </w:r>
          </w:p>
        </w:tc>
        <w:tc>
          <w:tcPr>
            <w:tcW w:w="1508" w:type="dxa"/>
          </w:tcPr>
          <w:p w:rsidR="00B04AE3" w:rsidRDefault="00B04AE3">
            <w:pPr>
              <w:pStyle w:val="TableParagraph"/>
              <w:spacing w:before="191"/>
              <w:ind w:left="341" w:right="528"/>
              <w:rPr>
                <w:rFonts w:ascii="Times New Roman"/>
                <w:sz w:val="21"/>
              </w:rPr>
            </w:pPr>
            <w:r>
              <w:rPr>
                <w:rFonts w:ascii="Times New Roman"/>
                <w:sz w:val="21"/>
              </w:rPr>
              <w:t>98</w:t>
            </w:r>
          </w:p>
        </w:tc>
      </w:tr>
      <w:tr w:rsidR="00B04AE3">
        <w:trPr>
          <w:trHeight w:val="1248"/>
        </w:trPr>
        <w:tc>
          <w:tcPr>
            <w:tcW w:w="996" w:type="dxa"/>
            <w:shd w:val="clear" w:color="auto" w:fill="D9D9D9"/>
          </w:tcPr>
          <w:p w:rsidR="00B04AE3" w:rsidRDefault="00B04AE3">
            <w:pPr>
              <w:pStyle w:val="TableParagraph"/>
              <w:spacing w:before="21" w:line="278" w:lineRule="auto"/>
              <w:ind w:left="393" w:right="381"/>
              <w:jc w:val="both"/>
              <w:rPr>
                <w:b/>
                <w:sz w:val="21"/>
              </w:rPr>
            </w:pPr>
            <w:r>
              <w:rPr>
                <w:rFonts w:hint="eastAsia"/>
                <w:b/>
                <w:sz w:val="21"/>
              </w:rPr>
              <w:t>理化性</w:t>
            </w:r>
          </w:p>
          <w:p w:rsidR="00B04AE3" w:rsidRDefault="00B04AE3">
            <w:pPr>
              <w:pStyle w:val="TableParagraph"/>
              <w:spacing w:line="269" w:lineRule="exact"/>
              <w:ind w:left="9"/>
              <w:rPr>
                <w:b/>
                <w:sz w:val="21"/>
              </w:rPr>
            </w:pPr>
            <w:r>
              <w:rPr>
                <w:rFonts w:hint="eastAsia"/>
                <w:b/>
                <w:w w:val="99"/>
                <w:sz w:val="21"/>
              </w:rPr>
              <w:t>质</w:t>
            </w:r>
          </w:p>
        </w:tc>
        <w:tc>
          <w:tcPr>
            <w:tcW w:w="7532" w:type="dxa"/>
            <w:gridSpan w:val="5"/>
          </w:tcPr>
          <w:p w:rsidR="00B04AE3" w:rsidRDefault="00B04AE3">
            <w:pPr>
              <w:pStyle w:val="TableParagraph"/>
              <w:spacing w:before="176"/>
              <w:ind w:left="328" w:right="320"/>
              <w:jc w:val="left"/>
              <w:rPr>
                <w:sz w:val="21"/>
              </w:rPr>
            </w:pPr>
            <w:r>
              <w:rPr>
                <w:rFonts w:hint="eastAsia"/>
                <w:sz w:val="21"/>
              </w:rPr>
              <w:t>外观与性状：无色透明油状液体，无臭。</w:t>
            </w:r>
          </w:p>
          <w:p w:rsidR="00B04AE3" w:rsidRDefault="00B04AE3">
            <w:pPr>
              <w:pStyle w:val="TableParagraph"/>
              <w:spacing w:before="176"/>
              <w:ind w:left="328" w:right="320"/>
              <w:jc w:val="left"/>
              <w:rPr>
                <w:sz w:val="21"/>
              </w:rPr>
            </w:pPr>
            <w:r>
              <w:rPr>
                <w:rFonts w:hint="eastAsia"/>
                <w:sz w:val="21"/>
              </w:rPr>
              <w:t>熔点：</w:t>
            </w:r>
            <w:r>
              <w:rPr>
                <w:sz w:val="21"/>
              </w:rPr>
              <w:t>10.5</w:t>
            </w:r>
            <w:r>
              <w:rPr>
                <w:rFonts w:hint="eastAsia"/>
                <w:sz w:val="21"/>
              </w:rPr>
              <w:t>℃（纯）沸点：</w:t>
            </w:r>
            <w:r>
              <w:rPr>
                <w:sz w:val="21"/>
              </w:rPr>
              <w:t>330.0</w:t>
            </w:r>
            <w:r>
              <w:rPr>
                <w:rFonts w:hint="eastAsia"/>
                <w:sz w:val="21"/>
              </w:rPr>
              <w:t>℃</w:t>
            </w:r>
            <w:r>
              <w:rPr>
                <w:sz w:val="21"/>
              </w:rPr>
              <w:t xml:space="preserve"> </w:t>
            </w:r>
            <w:r>
              <w:rPr>
                <w:rFonts w:hint="eastAsia"/>
                <w:sz w:val="21"/>
              </w:rPr>
              <w:t>相对密度：</w:t>
            </w:r>
            <w:r>
              <w:rPr>
                <w:sz w:val="21"/>
              </w:rPr>
              <w:t>(</w:t>
            </w:r>
            <w:r>
              <w:rPr>
                <w:rFonts w:hint="eastAsia"/>
                <w:sz w:val="21"/>
              </w:rPr>
              <w:t>水</w:t>
            </w:r>
            <w:r>
              <w:rPr>
                <w:sz w:val="21"/>
              </w:rPr>
              <w:t>=1)</w:t>
            </w:r>
            <w:r>
              <w:rPr>
                <w:rFonts w:hint="eastAsia"/>
                <w:sz w:val="21"/>
              </w:rPr>
              <w:t>：</w:t>
            </w:r>
            <w:r>
              <w:rPr>
                <w:sz w:val="21"/>
              </w:rPr>
              <w:t>1.83(</w:t>
            </w:r>
            <w:r>
              <w:rPr>
                <w:rFonts w:hint="eastAsia"/>
                <w:sz w:val="21"/>
              </w:rPr>
              <w:t>空气</w:t>
            </w:r>
            <w:r>
              <w:rPr>
                <w:sz w:val="21"/>
              </w:rPr>
              <w:t>=1)</w:t>
            </w:r>
            <w:r>
              <w:rPr>
                <w:rFonts w:hint="eastAsia"/>
                <w:sz w:val="21"/>
              </w:rPr>
              <w:t>：</w:t>
            </w:r>
          </w:p>
          <w:p w:rsidR="00B04AE3" w:rsidRDefault="00B04AE3">
            <w:pPr>
              <w:pStyle w:val="TableParagraph"/>
              <w:spacing w:before="176"/>
              <w:ind w:left="328" w:right="320"/>
              <w:jc w:val="left"/>
              <w:rPr>
                <w:sz w:val="21"/>
              </w:rPr>
            </w:pPr>
            <w:r>
              <w:rPr>
                <w:sz w:val="21"/>
              </w:rPr>
              <w:t xml:space="preserve">3.4 </w:t>
            </w:r>
            <w:r>
              <w:rPr>
                <w:rFonts w:hint="eastAsia"/>
                <w:sz w:val="21"/>
              </w:rPr>
              <w:t>饱和蒸气压</w:t>
            </w:r>
            <w:r>
              <w:rPr>
                <w:sz w:val="21"/>
              </w:rPr>
              <w:t>(kPa)</w:t>
            </w:r>
            <w:r>
              <w:rPr>
                <w:rFonts w:hint="eastAsia"/>
                <w:sz w:val="21"/>
              </w:rPr>
              <w:t>：</w:t>
            </w:r>
            <w:r>
              <w:rPr>
                <w:sz w:val="21"/>
              </w:rPr>
              <w:t>0.13/145.8</w:t>
            </w:r>
            <w:r>
              <w:rPr>
                <w:rFonts w:hint="eastAsia"/>
                <w:sz w:val="21"/>
              </w:rPr>
              <w:t>℃</w:t>
            </w:r>
            <w:r>
              <w:rPr>
                <w:sz w:val="21"/>
              </w:rPr>
              <w:t xml:space="preserve"> </w:t>
            </w:r>
            <w:r>
              <w:rPr>
                <w:rFonts w:hint="eastAsia"/>
                <w:sz w:val="21"/>
              </w:rPr>
              <w:t>溶解性：与水混溶。</w:t>
            </w:r>
          </w:p>
        </w:tc>
      </w:tr>
      <w:tr w:rsidR="00B04AE3">
        <w:trPr>
          <w:trHeight w:val="2495"/>
        </w:trPr>
        <w:tc>
          <w:tcPr>
            <w:tcW w:w="996" w:type="dxa"/>
            <w:shd w:val="clear" w:color="auto" w:fill="D9D9D9"/>
          </w:tcPr>
          <w:p w:rsidR="00B04AE3" w:rsidRDefault="00B04AE3">
            <w:pPr>
              <w:pStyle w:val="TableParagraph"/>
              <w:spacing w:before="176" w:line="278" w:lineRule="auto"/>
              <w:ind w:left="393" w:right="381"/>
              <w:jc w:val="both"/>
              <w:rPr>
                <w:b/>
                <w:sz w:val="21"/>
              </w:rPr>
            </w:pPr>
            <w:r>
              <w:rPr>
                <w:rFonts w:hint="eastAsia"/>
                <w:b/>
                <w:sz w:val="21"/>
              </w:rPr>
              <w:t>燃烧爆炸危险性</w:t>
            </w:r>
          </w:p>
        </w:tc>
        <w:tc>
          <w:tcPr>
            <w:tcW w:w="7532" w:type="dxa"/>
            <w:gridSpan w:val="5"/>
          </w:tcPr>
          <w:p w:rsidR="00B04AE3" w:rsidRDefault="00B04AE3">
            <w:pPr>
              <w:pStyle w:val="TableParagraph"/>
              <w:spacing w:before="176"/>
              <w:ind w:left="328" w:right="320"/>
              <w:jc w:val="left"/>
              <w:rPr>
                <w:sz w:val="21"/>
              </w:rPr>
            </w:pPr>
            <w:r>
              <w:rPr>
                <w:rFonts w:hint="eastAsia"/>
                <w:sz w:val="21"/>
              </w:rPr>
              <w:t>燃烧性：不燃</w:t>
            </w:r>
            <w:r>
              <w:rPr>
                <w:sz w:val="21"/>
              </w:rPr>
              <w:tab/>
            </w:r>
            <w:r>
              <w:rPr>
                <w:rFonts w:hint="eastAsia"/>
                <w:sz w:val="21"/>
              </w:rPr>
              <w:t>建规火险等级：</w:t>
            </w:r>
          </w:p>
          <w:p w:rsidR="00B04AE3" w:rsidRDefault="00B04AE3">
            <w:pPr>
              <w:pStyle w:val="TableParagraph"/>
              <w:spacing w:before="176"/>
              <w:ind w:left="328" w:right="320"/>
              <w:jc w:val="left"/>
              <w:rPr>
                <w:sz w:val="21"/>
              </w:rPr>
            </w:pPr>
            <w:r>
              <w:rPr>
                <w:rFonts w:hint="eastAsia"/>
                <w:sz w:val="21"/>
              </w:rPr>
              <w:t>闪点：无意义</w:t>
            </w:r>
            <w:r>
              <w:rPr>
                <w:sz w:val="21"/>
              </w:rPr>
              <w:tab/>
            </w:r>
            <w:r>
              <w:rPr>
                <w:rFonts w:hint="eastAsia"/>
                <w:sz w:val="21"/>
              </w:rPr>
              <w:t>爆炸性（</w:t>
            </w:r>
            <w:r>
              <w:rPr>
                <w:sz w:val="21"/>
              </w:rPr>
              <w:t>V%</w:t>
            </w:r>
            <w:r>
              <w:rPr>
                <w:rFonts w:hint="eastAsia"/>
                <w:sz w:val="21"/>
              </w:rPr>
              <w:t>）：无资料</w:t>
            </w:r>
            <w:r>
              <w:rPr>
                <w:sz w:val="21"/>
              </w:rPr>
              <w:tab/>
            </w:r>
            <w:r>
              <w:rPr>
                <w:rFonts w:hint="eastAsia"/>
                <w:sz w:val="21"/>
              </w:rPr>
              <w:t>自燃温度：无意义</w:t>
            </w:r>
          </w:p>
          <w:p w:rsidR="00B04AE3" w:rsidRDefault="00B04AE3">
            <w:pPr>
              <w:pStyle w:val="TableParagraph"/>
              <w:spacing w:before="176"/>
              <w:ind w:left="328" w:right="320"/>
              <w:jc w:val="left"/>
              <w:rPr>
                <w:sz w:val="21"/>
              </w:rPr>
            </w:pPr>
            <w:r>
              <w:rPr>
                <w:rFonts w:hint="eastAsia"/>
                <w:sz w:val="21"/>
              </w:rPr>
              <w:t>危险特性：能与一些活性金属粉末发生反应，放出氢气。遇氰化物能产生剧毒的</w:t>
            </w:r>
            <w:r>
              <w:rPr>
                <w:sz w:val="21"/>
              </w:rPr>
              <w:t xml:space="preserve">  </w:t>
            </w:r>
            <w:r>
              <w:rPr>
                <w:rFonts w:hint="eastAsia"/>
                <w:sz w:val="21"/>
              </w:rPr>
              <w:t>氰化氢气体。与碱发生中和反应，并放出大量的热。具有较强的腐蚀性。</w:t>
            </w:r>
          </w:p>
          <w:p w:rsidR="00B04AE3" w:rsidRDefault="00B04AE3">
            <w:pPr>
              <w:pStyle w:val="TableParagraph"/>
              <w:spacing w:before="176"/>
              <w:ind w:left="328" w:right="320"/>
              <w:jc w:val="left"/>
              <w:rPr>
                <w:sz w:val="21"/>
              </w:rPr>
            </w:pPr>
            <w:r>
              <w:rPr>
                <w:rFonts w:hint="eastAsia"/>
                <w:sz w:val="21"/>
              </w:rPr>
              <w:t>燃烧（分解）产物：氯化氢。</w:t>
            </w:r>
          </w:p>
          <w:p w:rsidR="00B04AE3" w:rsidRDefault="00B04AE3">
            <w:pPr>
              <w:pStyle w:val="TableParagraph"/>
              <w:spacing w:before="176"/>
              <w:ind w:left="328" w:right="320"/>
              <w:jc w:val="left"/>
              <w:rPr>
                <w:sz w:val="21"/>
              </w:rPr>
            </w:pPr>
            <w:r>
              <w:rPr>
                <w:rFonts w:hint="eastAsia"/>
                <w:sz w:val="21"/>
              </w:rPr>
              <w:t>稳定性：稳定</w:t>
            </w:r>
            <w:r>
              <w:rPr>
                <w:sz w:val="21"/>
              </w:rPr>
              <w:tab/>
            </w:r>
            <w:r>
              <w:rPr>
                <w:rFonts w:hint="eastAsia"/>
                <w:sz w:val="21"/>
              </w:rPr>
              <w:t>避免接触的条件：</w:t>
            </w:r>
          </w:p>
          <w:p w:rsidR="00B04AE3" w:rsidRDefault="00B04AE3">
            <w:pPr>
              <w:pStyle w:val="TableParagraph"/>
              <w:spacing w:before="176"/>
              <w:ind w:left="328" w:right="320"/>
              <w:jc w:val="left"/>
              <w:rPr>
                <w:sz w:val="21"/>
              </w:rPr>
            </w:pPr>
            <w:r>
              <w:rPr>
                <w:rFonts w:hint="eastAsia"/>
                <w:sz w:val="21"/>
              </w:rPr>
              <w:t>聚合危害：不能出现</w:t>
            </w:r>
            <w:r>
              <w:rPr>
                <w:sz w:val="21"/>
              </w:rPr>
              <w:t xml:space="preserve"> </w:t>
            </w:r>
            <w:r>
              <w:rPr>
                <w:rFonts w:hint="eastAsia"/>
                <w:sz w:val="21"/>
              </w:rPr>
              <w:t>禁忌物：碱类、胺类、碱金属、易燃或可燃物。灭火方法：雾状水、砂。</w:t>
            </w:r>
          </w:p>
        </w:tc>
      </w:tr>
      <w:tr w:rsidR="00B04AE3">
        <w:trPr>
          <w:trHeight w:val="310"/>
        </w:trPr>
        <w:tc>
          <w:tcPr>
            <w:tcW w:w="996" w:type="dxa"/>
            <w:shd w:val="clear" w:color="auto" w:fill="D9D9D9"/>
          </w:tcPr>
          <w:p w:rsidR="00B04AE3" w:rsidRDefault="00B04AE3">
            <w:pPr>
              <w:pStyle w:val="TableParagraph"/>
              <w:spacing w:before="20" w:line="278" w:lineRule="auto"/>
              <w:ind w:left="393" w:right="381"/>
              <w:jc w:val="both"/>
              <w:rPr>
                <w:b/>
                <w:sz w:val="21"/>
              </w:rPr>
            </w:pPr>
            <w:r>
              <w:rPr>
                <w:rFonts w:hint="eastAsia"/>
                <w:b/>
                <w:sz w:val="21"/>
              </w:rPr>
              <w:t>包装与储</w:t>
            </w:r>
          </w:p>
          <w:p w:rsidR="00B04AE3" w:rsidRDefault="00B04AE3">
            <w:pPr>
              <w:pStyle w:val="TableParagraph"/>
              <w:spacing w:line="269" w:lineRule="exact"/>
              <w:ind w:left="9"/>
              <w:rPr>
                <w:b/>
                <w:sz w:val="21"/>
              </w:rPr>
            </w:pPr>
            <w:r>
              <w:rPr>
                <w:rFonts w:hint="eastAsia"/>
                <w:b/>
                <w:w w:val="99"/>
                <w:sz w:val="21"/>
              </w:rPr>
              <w:t>运</w:t>
            </w:r>
          </w:p>
        </w:tc>
        <w:tc>
          <w:tcPr>
            <w:tcW w:w="7532" w:type="dxa"/>
            <w:gridSpan w:val="5"/>
          </w:tcPr>
          <w:p w:rsidR="00B04AE3" w:rsidRDefault="00B04AE3">
            <w:pPr>
              <w:pStyle w:val="TableParagraph"/>
              <w:spacing w:before="176"/>
              <w:ind w:left="328" w:right="320"/>
              <w:jc w:val="left"/>
              <w:rPr>
                <w:sz w:val="21"/>
              </w:rPr>
            </w:pPr>
            <w:r>
              <w:rPr>
                <w:rFonts w:hint="eastAsia"/>
                <w:sz w:val="21"/>
              </w:rPr>
              <w:t>危险性类别：第</w:t>
            </w:r>
            <w:r>
              <w:rPr>
                <w:sz w:val="21"/>
              </w:rPr>
              <w:t xml:space="preserve"> 8.1 </w:t>
            </w:r>
            <w:r>
              <w:rPr>
                <w:rFonts w:hint="eastAsia"/>
                <w:sz w:val="21"/>
              </w:rPr>
              <w:t>类</w:t>
            </w:r>
            <w:r>
              <w:rPr>
                <w:sz w:val="21"/>
              </w:rPr>
              <w:tab/>
            </w:r>
            <w:r>
              <w:rPr>
                <w:rFonts w:hint="eastAsia"/>
                <w:sz w:val="21"/>
              </w:rPr>
              <w:t>酸性腐蚀品危险货物包装标志：</w:t>
            </w:r>
            <w:r>
              <w:rPr>
                <w:sz w:val="21"/>
              </w:rPr>
              <w:t xml:space="preserve"> 20</w:t>
            </w:r>
            <w:r>
              <w:rPr>
                <w:sz w:val="21"/>
              </w:rPr>
              <w:tab/>
            </w:r>
            <w:r>
              <w:rPr>
                <w:rFonts w:hint="eastAsia"/>
                <w:sz w:val="21"/>
              </w:rPr>
              <w:t>包装类别：Ⅱ</w:t>
            </w:r>
          </w:p>
          <w:p w:rsidR="00B04AE3" w:rsidRDefault="00B04AE3">
            <w:pPr>
              <w:pStyle w:val="TableParagraph"/>
              <w:spacing w:before="176"/>
              <w:ind w:left="328" w:right="320"/>
              <w:jc w:val="left"/>
              <w:rPr>
                <w:sz w:val="21"/>
              </w:rPr>
            </w:pPr>
            <w:r>
              <w:rPr>
                <w:rFonts w:hint="eastAsia"/>
                <w:sz w:val="21"/>
              </w:rPr>
              <w:t>储运注意事项：储存于阴凉、干燥、通风外。应与碱类、金属粉末、卤素（氟、</w:t>
            </w:r>
            <w:r>
              <w:rPr>
                <w:sz w:val="21"/>
              </w:rPr>
              <w:t xml:space="preserve">  </w:t>
            </w:r>
            <w:r>
              <w:rPr>
                <w:rFonts w:hint="eastAsia"/>
                <w:sz w:val="21"/>
              </w:rPr>
              <w:t>氯、溴）、易燃、可燃物等分开存放。不可混储混运。搬运时轻装轻卸，防止包装及容器损坏。分装和搬运作业要注意个人防护。运输按规定路线行驶。</w:t>
            </w:r>
          </w:p>
        </w:tc>
      </w:tr>
      <w:tr w:rsidR="00B04AE3">
        <w:trPr>
          <w:trHeight w:val="2184"/>
        </w:trPr>
        <w:tc>
          <w:tcPr>
            <w:tcW w:w="996" w:type="dxa"/>
            <w:shd w:val="clear" w:color="auto" w:fill="D9D9D9"/>
          </w:tcPr>
          <w:p w:rsidR="00B04AE3" w:rsidRDefault="00B04AE3">
            <w:pPr>
              <w:pStyle w:val="TableParagraph"/>
              <w:jc w:val="left"/>
              <w:rPr>
                <w:rFonts w:ascii="Times New Roman"/>
                <w:sz w:val="20"/>
              </w:rPr>
            </w:pPr>
          </w:p>
          <w:p w:rsidR="00B04AE3" w:rsidRDefault="00B04AE3">
            <w:pPr>
              <w:pStyle w:val="TableParagraph"/>
              <w:spacing w:before="7"/>
              <w:jc w:val="left"/>
              <w:rPr>
                <w:rFonts w:ascii="Times New Roman"/>
              </w:rPr>
            </w:pPr>
          </w:p>
          <w:p w:rsidR="00B04AE3" w:rsidRDefault="00B04AE3">
            <w:pPr>
              <w:pStyle w:val="TableParagraph"/>
              <w:spacing w:line="278" w:lineRule="auto"/>
              <w:ind w:left="287" w:right="276"/>
              <w:jc w:val="both"/>
              <w:rPr>
                <w:b/>
                <w:sz w:val="21"/>
              </w:rPr>
            </w:pPr>
            <w:r>
              <w:rPr>
                <w:rFonts w:hint="eastAsia"/>
                <w:b/>
                <w:sz w:val="21"/>
              </w:rPr>
              <w:t>毒性及健康危害性</w:t>
            </w:r>
          </w:p>
        </w:tc>
        <w:tc>
          <w:tcPr>
            <w:tcW w:w="7532" w:type="dxa"/>
            <w:gridSpan w:val="5"/>
          </w:tcPr>
          <w:p w:rsidR="00B04AE3" w:rsidRDefault="00B04AE3">
            <w:pPr>
              <w:pStyle w:val="TableParagraph"/>
              <w:spacing w:before="176"/>
              <w:ind w:left="328" w:right="320"/>
              <w:jc w:val="left"/>
              <w:rPr>
                <w:sz w:val="21"/>
              </w:rPr>
            </w:pPr>
            <w:r>
              <w:rPr>
                <w:rFonts w:hint="eastAsia"/>
                <w:sz w:val="21"/>
              </w:rPr>
              <w:t>接触限值：中国</w:t>
            </w:r>
            <w:r>
              <w:rPr>
                <w:sz w:val="21"/>
              </w:rPr>
              <w:t xml:space="preserve"> MAC</w:t>
            </w:r>
            <w:r>
              <w:rPr>
                <w:rFonts w:hint="eastAsia"/>
                <w:sz w:val="21"/>
              </w:rPr>
              <w:t>：</w:t>
            </w:r>
            <w:r>
              <w:rPr>
                <w:sz w:val="21"/>
              </w:rPr>
              <w:t>2mg/m3</w:t>
            </w:r>
            <w:r>
              <w:rPr>
                <w:sz w:val="21"/>
              </w:rPr>
              <w:tab/>
            </w:r>
            <w:r>
              <w:rPr>
                <w:rFonts w:hint="eastAsia"/>
                <w:sz w:val="21"/>
              </w:rPr>
              <w:t>侵入途径：吸入、食入</w:t>
            </w:r>
          </w:p>
          <w:p w:rsidR="00B04AE3" w:rsidRDefault="00B04AE3">
            <w:pPr>
              <w:pStyle w:val="TableParagraph"/>
              <w:spacing w:before="176"/>
              <w:ind w:left="328" w:right="320"/>
              <w:jc w:val="left"/>
              <w:rPr>
                <w:sz w:val="21"/>
              </w:rPr>
            </w:pPr>
            <w:r>
              <w:rPr>
                <w:rFonts w:hint="eastAsia"/>
                <w:sz w:val="21"/>
              </w:rPr>
              <w:t>健康危害：属中等毒类。对皮肤、粘膜等组织有强烈的刺激和腐蚀作用。对眼睛</w:t>
            </w:r>
            <w:r>
              <w:rPr>
                <w:sz w:val="21"/>
              </w:rPr>
              <w:t xml:space="preserve">  </w:t>
            </w:r>
            <w:r>
              <w:rPr>
                <w:rFonts w:hint="eastAsia"/>
                <w:sz w:val="21"/>
              </w:rPr>
              <w:t>可引起结膜炎、水肿、角膜混浊，以致失明；引起呼吸道刺激症状，重者发生呼</w:t>
            </w:r>
            <w:r>
              <w:rPr>
                <w:sz w:val="21"/>
              </w:rPr>
              <w:t xml:space="preserve">  </w:t>
            </w:r>
            <w:r>
              <w:rPr>
                <w:rFonts w:hint="eastAsia"/>
                <w:sz w:val="21"/>
              </w:rPr>
              <w:t>吸困难和肺水肿；高浓度引起喉痉挛或声门水肿而死亡。口服后引起消化道烧伤</w:t>
            </w:r>
            <w:r>
              <w:rPr>
                <w:sz w:val="21"/>
              </w:rPr>
              <w:t xml:space="preserve">  </w:t>
            </w:r>
            <w:r>
              <w:rPr>
                <w:rFonts w:hint="eastAsia"/>
                <w:sz w:val="21"/>
              </w:rPr>
              <w:t>以至溃疡形成。严重者可能有胃穿孔、腹膜炎、喉痉挛和声门水肿、肾损害、休</w:t>
            </w:r>
            <w:r>
              <w:rPr>
                <w:sz w:val="21"/>
              </w:rPr>
              <w:t xml:space="preserve">  </w:t>
            </w:r>
            <w:r>
              <w:rPr>
                <w:rFonts w:hint="eastAsia"/>
                <w:sz w:val="21"/>
              </w:rPr>
              <w:t>克等。</w:t>
            </w:r>
          </w:p>
          <w:p w:rsidR="00B04AE3" w:rsidRDefault="00B04AE3">
            <w:pPr>
              <w:pStyle w:val="TableParagraph"/>
              <w:spacing w:before="176"/>
              <w:ind w:left="328" w:right="320"/>
              <w:jc w:val="left"/>
              <w:rPr>
                <w:sz w:val="21"/>
              </w:rPr>
            </w:pPr>
            <w:r>
              <w:rPr>
                <w:rFonts w:hint="eastAsia"/>
                <w:sz w:val="21"/>
              </w:rPr>
              <w:t>慢性影响：有牙齿酸蚀症、慢性支气管炎、肺水肿和肝硬化。</w:t>
            </w:r>
          </w:p>
        </w:tc>
      </w:tr>
      <w:tr w:rsidR="00B04AE3">
        <w:trPr>
          <w:trHeight w:val="1872"/>
        </w:trPr>
        <w:tc>
          <w:tcPr>
            <w:tcW w:w="996" w:type="dxa"/>
            <w:shd w:val="clear" w:color="auto" w:fill="D9D9D9"/>
          </w:tcPr>
          <w:p w:rsidR="00B04AE3" w:rsidRDefault="00B04AE3">
            <w:pPr>
              <w:pStyle w:val="TableParagraph"/>
              <w:jc w:val="left"/>
              <w:rPr>
                <w:rFonts w:ascii="Times New Roman"/>
                <w:sz w:val="20"/>
              </w:rPr>
            </w:pPr>
          </w:p>
          <w:p w:rsidR="00B04AE3" w:rsidRDefault="00B04AE3">
            <w:pPr>
              <w:pStyle w:val="TableParagraph"/>
              <w:spacing w:before="6"/>
              <w:jc w:val="left"/>
              <w:rPr>
                <w:rFonts w:ascii="Times New Roman"/>
              </w:rPr>
            </w:pPr>
          </w:p>
          <w:p w:rsidR="00B04AE3" w:rsidRDefault="00B04AE3">
            <w:pPr>
              <w:pStyle w:val="TableParagraph"/>
              <w:spacing w:line="556" w:lineRule="auto"/>
              <w:ind w:left="393" w:right="381"/>
              <w:rPr>
                <w:b/>
                <w:sz w:val="21"/>
              </w:rPr>
            </w:pPr>
            <w:r>
              <w:rPr>
                <w:rFonts w:hint="eastAsia"/>
                <w:b/>
                <w:w w:val="95"/>
                <w:sz w:val="21"/>
              </w:rPr>
              <w:t>急救</w:t>
            </w:r>
          </w:p>
        </w:tc>
        <w:tc>
          <w:tcPr>
            <w:tcW w:w="7532" w:type="dxa"/>
            <w:gridSpan w:val="5"/>
          </w:tcPr>
          <w:p w:rsidR="00B04AE3" w:rsidRDefault="00B04AE3">
            <w:pPr>
              <w:pStyle w:val="TableParagraph"/>
              <w:spacing w:before="176"/>
              <w:ind w:left="328" w:right="320"/>
              <w:jc w:val="left"/>
              <w:rPr>
                <w:sz w:val="21"/>
              </w:rPr>
            </w:pPr>
            <w:r>
              <w:rPr>
                <w:rFonts w:hint="eastAsia"/>
                <w:sz w:val="21"/>
              </w:rPr>
              <w:t>皮肤接触：立即用水冲洗至少</w:t>
            </w:r>
            <w:r>
              <w:rPr>
                <w:sz w:val="21"/>
              </w:rPr>
              <w:t xml:space="preserve"> 15 </w:t>
            </w:r>
            <w:r>
              <w:rPr>
                <w:rFonts w:hint="eastAsia"/>
                <w:sz w:val="21"/>
              </w:rPr>
              <w:t>分钟。或用</w:t>
            </w:r>
            <w:r>
              <w:rPr>
                <w:sz w:val="21"/>
              </w:rPr>
              <w:t xml:space="preserve"> 2%</w:t>
            </w:r>
            <w:r>
              <w:rPr>
                <w:rFonts w:hint="eastAsia"/>
                <w:sz w:val="21"/>
              </w:rPr>
              <w:t>碳酸氢钠溶液冲洗。若有灼伤，</w:t>
            </w:r>
            <w:r>
              <w:rPr>
                <w:sz w:val="21"/>
              </w:rPr>
              <w:t xml:space="preserve"> </w:t>
            </w:r>
            <w:r>
              <w:rPr>
                <w:rFonts w:hint="eastAsia"/>
                <w:sz w:val="21"/>
              </w:rPr>
              <w:t>就医。</w:t>
            </w:r>
          </w:p>
          <w:p w:rsidR="00B04AE3" w:rsidRDefault="00B04AE3">
            <w:pPr>
              <w:pStyle w:val="TableParagraph"/>
              <w:spacing w:before="176"/>
              <w:ind w:left="328" w:right="320"/>
              <w:jc w:val="left"/>
              <w:rPr>
                <w:sz w:val="21"/>
              </w:rPr>
            </w:pPr>
            <w:r>
              <w:rPr>
                <w:rFonts w:hint="eastAsia"/>
                <w:sz w:val="21"/>
              </w:rPr>
              <w:t>眼睛接触：立即提起眼睑，用流动清水冲洗</w:t>
            </w:r>
            <w:r>
              <w:rPr>
                <w:sz w:val="21"/>
              </w:rPr>
              <w:t xml:space="preserve"> 10 </w:t>
            </w:r>
            <w:r>
              <w:rPr>
                <w:rFonts w:hint="eastAsia"/>
                <w:sz w:val="21"/>
              </w:rPr>
              <w:t>分钟或用</w:t>
            </w:r>
            <w:r>
              <w:rPr>
                <w:sz w:val="21"/>
              </w:rPr>
              <w:t xml:space="preserve"> 2%</w:t>
            </w:r>
            <w:r>
              <w:rPr>
                <w:rFonts w:hint="eastAsia"/>
                <w:sz w:val="21"/>
              </w:rPr>
              <w:t>碳酸氢钠溶液冲洗。吸入：迅速脱离现场至空气新鲜处。保持呼吸通畅。呼吸困难时给输氧。给予</w:t>
            </w:r>
            <w:r>
              <w:rPr>
                <w:sz w:val="21"/>
              </w:rPr>
              <w:t xml:space="preserve"> 2~4% </w:t>
            </w:r>
            <w:r>
              <w:rPr>
                <w:rFonts w:hint="eastAsia"/>
                <w:sz w:val="21"/>
              </w:rPr>
              <w:t>碳酸氢钠溶液雾化吸入。应医。</w:t>
            </w:r>
          </w:p>
          <w:p w:rsidR="00B04AE3" w:rsidRDefault="00B04AE3">
            <w:pPr>
              <w:pStyle w:val="TableParagraph"/>
              <w:spacing w:before="176"/>
              <w:ind w:left="328" w:right="320"/>
              <w:jc w:val="left"/>
              <w:rPr>
                <w:sz w:val="21"/>
              </w:rPr>
            </w:pPr>
            <w:r>
              <w:rPr>
                <w:rFonts w:hint="eastAsia"/>
                <w:sz w:val="21"/>
              </w:rPr>
              <w:t>食入：误服者立即漱口，饮牛奶或蛋清、植物油等口服，不可催吐，立即就医。</w:t>
            </w:r>
          </w:p>
        </w:tc>
      </w:tr>
      <w:tr w:rsidR="00B04AE3">
        <w:trPr>
          <w:trHeight w:val="2183"/>
        </w:trPr>
        <w:tc>
          <w:tcPr>
            <w:tcW w:w="996" w:type="dxa"/>
            <w:shd w:val="clear" w:color="auto" w:fill="D9D9D9"/>
          </w:tcPr>
          <w:p w:rsidR="00B04AE3" w:rsidRDefault="00B04AE3">
            <w:pPr>
              <w:pStyle w:val="TableParagraph"/>
              <w:jc w:val="left"/>
              <w:rPr>
                <w:rFonts w:ascii="Times New Roman"/>
                <w:sz w:val="20"/>
              </w:rPr>
            </w:pPr>
          </w:p>
          <w:p w:rsidR="00B04AE3" w:rsidRDefault="00B04AE3">
            <w:pPr>
              <w:pStyle w:val="TableParagraph"/>
              <w:spacing w:before="6"/>
              <w:jc w:val="left"/>
              <w:rPr>
                <w:rFonts w:ascii="Times New Roman"/>
              </w:rPr>
            </w:pPr>
          </w:p>
          <w:p w:rsidR="00B04AE3" w:rsidRDefault="00B04AE3">
            <w:pPr>
              <w:pStyle w:val="TableParagraph"/>
              <w:spacing w:line="278" w:lineRule="auto"/>
              <w:ind w:left="393" w:right="381"/>
              <w:jc w:val="both"/>
              <w:rPr>
                <w:b/>
                <w:sz w:val="21"/>
              </w:rPr>
            </w:pPr>
            <w:r>
              <w:rPr>
                <w:rFonts w:hint="eastAsia"/>
                <w:b/>
                <w:sz w:val="21"/>
              </w:rPr>
              <w:t>防护措施</w:t>
            </w:r>
          </w:p>
        </w:tc>
        <w:tc>
          <w:tcPr>
            <w:tcW w:w="7532" w:type="dxa"/>
            <w:gridSpan w:val="5"/>
          </w:tcPr>
          <w:p w:rsidR="00B04AE3" w:rsidRDefault="00B04AE3">
            <w:pPr>
              <w:pStyle w:val="TableParagraph"/>
              <w:spacing w:before="176"/>
              <w:ind w:left="328" w:right="320"/>
              <w:jc w:val="left"/>
              <w:rPr>
                <w:sz w:val="21"/>
              </w:rPr>
            </w:pPr>
            <w:r>
              <w:rPr>
                <w:rFonts w:hint="eastAsia"/>
                <w:sz w:val="21"/>
              </w:rPr>
              <w:t>工程控制：密闭操作，注意通风。尽可能机械化、自动化。</w:t>
            </w:r>
          </w:p>
          <w:p w:rsidR="00B04AE3" w:rsidRDefault="00B04AE3">
            <w:pPr>
              <w:pStyle w:val="TableParagraph"/>
              <w:spacing w:before="176"/>
              <w:ind w:left="328" w:right="320"/>
              <w:jc w:val="left"/>
              <w:rPr>
                <w:sz w:val="21"/>
              </w:rPr>
            </w:pPr>
            <w:r>
              <w:rPr>
                <w:rFonts w:hint="eastAsia"/>
                <w:sz w:val="21"/>
              </w:rPr>
              <w:t>呼吸系统防护：可能接触其蒸气时，应该佩带防毒面具或供气式头盔。紧急事态</w:t>
            </w:r>
            <w:r>
              <w:rPr>
                <w:sz w:val="21"/>
              </w:rPr>
              <w:t xml:space="preserve">  </w:t>
            </w:r>
            <w:r>
              <w:rPr>
                <w:rFonts w:hint="eastAsia"/>
                <w:sz w:val="21"/>
              </w:rPr>
              <w:t>抢救或逃生时，建议佩带自给式呼吸器。</w:t>
            </w:r>
            <w:r>
              <w:rPr>
                <w:sz w:val="21"/>
              </w:rPr>
              <w:tab/>
            </w:r>
            <w:r>
              <w:rPr>
                <w:rFonts w:hint="eastAsia"/>
                <w:sz w:val="21"/>
              </w:rPr>
              <w:t>眼睛防护：戴化学安全防护眼镜。</w:t>
            </w:r>
          </w:p>
          <w:p w:rsidR="00B04AE3" w:rsidRDefault="00B04AE3">
            <w:pPr>
              <w:pStyle w:val="TableParagraph"/>
              <w:spacing w:before="176"/>
              <w:ind w:left="328" w:right="320"/>
              <w:jc w:val="left"/>
              <w:rPr>
                <w:sz w:val="21"/>
              </w:rPr>
            </w:pPr>
            <w:r>
              <w:rPr>
                <w:rFonts w:hint="eastAsia"/>
                <w:sz w:val="21"/>
              </w:rPr>
              <w:t>防护服：穿工作服（防腐材料制作）。</w:t>
            </w:r>
            <w:r>
              <w:rPr>
                <w:sz w:val="21"/>
              </w:rPr>
              <w:tab/>
            </w:r>
            <w:r>
              <w:rPr>
                <w:rFonts w:hint="eastAsia"/>
                <w:sz w:val="21"/>
              </w:rPr>
              <w:t>手防护：戴橡皮手套。</w:t>
            </w:r>
          </w:p>
          <w:p w:rsidR="00B04AE3" w:rsidRDefault="00B04AE3">
            <w:pPr>
              <w:pStyle w:val="TableParagraph"/>
              <w:spacing w:before="176"/>
              <w:ind w:left="328" w:right="320"/>
              <w:jc w:val="left"/>
              <w:rPr>
                <w:sz w:val="21"/>
              </w:rPr>
            </w:pPr>
            <w:r>
              <w:rPr>
                <w:rFonts w:hint="eastAsia"/>
                <w:sz w:val="21"/>
              </w:rPr>
              <w:t>其它：工作后，沐浴更衣。单独存放被毒物污染的衣服，洗后再用。注意良好的</w:t>
            </w:r>
            <w:r>
              <w:rPr>
                <w:sz w:val="21"/>
              </w:rPr>
              <w:t xml:space="preserve">  </w:t>
            </w:r>
            <w:r>
              <w:rPr>
                <w:rFonts w:hint="eastAsia"/>
                <w:sz w:val="21"/>
              </w:rPr>
              <w:t>卫生习惯。</w:t>
            </w:r>
          </w:p>
        </w:tc>
      </w:tr>
      <w:tr w:rsidR="00B04AE3">
        <w:trPr>
          <w:trHeight w:val="1560"/>
        </w:trPr>
        <w:tc>
          <w:tcPr>
            <w:tcW w:w="996" w:type="dxa"/>
            <w:shd w:val="clear" w:color="auto" w:fill="D9D9D9"/>
          </w:tcPr>
          <w:p w:rsidR="00B04AE3" w:rsidRDefault="00B04AE3">
            <w:pPr>
              <w:pStyle w:val="TableParagraph"/>
              <w:spacing w:before="177" w:line="278" w:lineRule="auto"/>
              <w:ind w:left="393" w:right="381"/>
              <w:jc w:val="both"/>
              <w:rPr>
                <w:b/>
                <w:sz w:val="21"/>
              </w:rPr>
            </w:pPr>
            <w:r>
              <w:rPr>
                <w:rFonts w:hint="eastAsia"/>
                <w:b/>
                <w:sz w:val="21"/>
              </w:rPr>
              <w:t>泄漏处置</w:t>
            </w:r>
          </w:p>
        </w:tc>
        <w:tc>
          <w:tcPr>
            <w:tcW w:w="7532" w:type="dxa"/>
            <w:gridSpan w:val="5"/>
          </w:tcPr>
          <w:p w:rsidR="00B04AE3" w:rsidRDefault="00B04AE3">
            <w:pPr>
              <w:pStyle w:val="TableParagraph"/>
              <w:spacing w:before="176"/>
              <w:ind w:left="328" w:right="320"/>
              <w:jc w:val="left"/>
              <w:rPr>
                <w:sz w:val="21"/>
              </w:rPr>
            </w:pPr>
            <w:r>
              <w:rPr>
                <w:rFonts w:hint="eastAsia"/>
                <w:sz w:val="21"/>
              </w:rPr>
              <w:t>疏散泄漏污染区人员至安全区，禁止无关人员进入污染区。建议应急处理人员戴好防毒面具，穿化学防防护服。不要直接接触泄漏物，禁止向泄漏物直接喷水，</w:t>
            </w:r>
            <w:r>
              <w:rPr>
                <w:sz w:val="21"/>
              </w:rPr>
              <w:t xml:space="preserve">  </w:t>
            </w:r>
            <w:r>
              <w:rPr>
                <w:rFonts w:hint="eastAsia"/>
                <w:sz w:val="21"/>
              </w:rPr>
              <w:t>更不要让水进入包装容器内。用沙土、干燥石灰或苏打灰混合，，然后收集运至废物处理场所处置。也可以用大量水冲洗，经稀释的洗水放入废水系统。如大量泄漏，利用围堤收容，然后收集、转移、回收或无害处理后废弃。</w:t>
            </w:r>
          </w:p>
        </w:tc>
      </w:tr>
    </w:tbl>
    <w:p w:rsidR="00B04AE3" w:rsidRDefault="00B04AE3">
      <w:pPr>
        <w:spacing w:before="66"/>
        <w:ind w:left="3204"/>
        <w:rPr>
          <w:b/>
          <w:sz w:val="24"/>
        </w:rPr>
      </w:pPr>
      <w:r>
        <w:rPr>
          <w:rFonts w:hint="eastAsia"/>
          <w:b/>
          <w:spacing w:val="-34"/>
          <w:sz w:val="24"/>
        </w:rPr>
        <w:t>表</w:t>
      </w:r>
      <w:r>
        <w:rPr>
          <w:b/>
          <w:spacing w:val="-34"/>
          <w:sz w:val="24"/>
        </w:rPr>
        <w:t xml:space="preserve"> </w:t>
      </w:r>
      <w:r>
        <w:rPr>
          <w:rFonts w:ascii="Times New Roman" w:eastAsia="Times New Roman"/>
          <w:b/>
          <w:sz w:val="24"/>
        </w:rPr>
        <w:t>2.4-3</w:t>
      </w:r>
      <w:r>
        <w:rPr>
          <w:rFonts w:ascii="Times New Roman" w:eastAsia="Times New Roman"/>
          <w:b/>
          <w:spacing w:val="51"/>
          <w:sz w:val="24"/>
        </w:rPr>
        <w:t xml:space="preserve"> </w:t>
      </w:r>
      <w:r>
        <w:rPr>
          <w:rFonts w:hint="eastAsia"/>
          <w:b/>
          <w:spacing w:val="-5"/>
          <w:sz w:val="24"/>
        </w:rPr>
        <w:t>天然气化性质及危险特性</w:t>
      </w:r>
    </w:p>
    <w:tbl>
      <w:tblPr>
        <w:tblW w:w="8528" w:type="dxa"/>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007"/>
        <w:gridCol w:w="1573"/>
        <w:gridCol w:w="1322"/>
        <w:gridCol w:w="1631"/>
        <w:gridCol w:w="1644"/>
        <w:gridCol w:w="1351"/>
      </w:tblGrid>
      <w:tr w:rsidR="00B04AE3">
        <w:trPr>
          <w:trHeight w:val="320"/>
        </w:trPr>
        <w:tc>
          <w:tcPr>
            <w:tcW w:w="1007" w:type="dxa"/>
            <w:shd w:val="clear" w:color="auto" w:fill="D9D9D9"/>
          </w:tcPr>
          <w:p w:rsidR="00B04AE3" w:rsidRDefault="00B04AE3">
            <w:pPr>
              <w:pStyle w:val="TableParagraph"/>
              <w:spacing w:before="45" w:line="255" w:lineRule="exact"/>
              <w:ind w:left="292"/>
              <w:jc w:val="left"/>
              <w:rPr>
                <w:b/>
                <w:sz w:val="21"/>
              </w:rPr>
            </w:pPr>
            <w:r>
              <w:rPr>
                <w:rFonts w:hint="eastAsia"/>
                <w:b/>
                <w:sz w:val="21"/>
              </w:rPr>
              <w:t>品名</w:t>
            </w:r>
          </w:p>
        </w:tc>
        <w:tc>
          <w:tcPr>
            <w:tcW w:w="1573" w:type="dxa"/>
          </w:tcPr>
          <w:p w:rsidR="00B04AE3" w:rsidRDefault="00B04AE3">
            <w:pPr>
              <w:pStyle w:val="TableParagraph"/>
              <w:spacing w:before="45" w:line="255" w:lineRule="exact"/>
              <w:ind w:left="450" w:right="442"/>
              <w:rPr>
                <w:sz w:val="21"/>
              </w:rPr>
            </w:pPr>
            <w:r>
              <w:rPr>
                <w:rFonts w:hint="eastAsia"/>
                <w:sz w:val="21"/>
              </w:rPr>
              <w:t>天然气</w:t>
            </w:r>
          </w:p>
        </w:tc>
        <w:tc>
          <w:tcPr>
            <w:tcW w:w="1322" w:type="dxa"/>
          </w:tcPr>
          <w:p w:rsidR="00B04AE3" w:rsidRDefault="00B04AE3">
            <w:pPr>
              <w:pStyle w:val="TableParagraph"/>
              <w:tabs>
                <w:tab w:val="left" w:pos="850"/>
              </w:tabs>
              <w:spacing w:before="45" w:line="255" w:lineRule="exact"/>
              <w:ind w:left="10"/>
              <w:rPr>
                <w:sz w:val="21"/>
              </w:rPr>
            </w:pPr>
            <w:r>
              <w:rPr>
                <w:rFonts w:hint="eastAsia"/>
                <w:sz w:val="21"/>
              </w:rPr>
              <w:t>别</w:t>
            </w:r>
            <w:r>
              <w:rPr>
                <w:sz w:val="21"/>
              </w:rPr>
              <w:tab/>
            </w:r>
            <w:r>
              <w:rPr>
                <w:rFonts w:hint="eastAsia"/>
                <w:sz w:val="21"/>
              </w:rPr>
              <w:t>名</w:t>
            </w:r>
          </w:p>
        </w:tc>
        <w:tc>
          <w:tcPr>
            <w:tcW w:w="1631" w:type="dxa"/>
          </w:tcPr>
          <w:p w:rsidR="00B04AE3" w:rsidRDefault="00B04AE3">
            <w:pPr>
              <w:pStyle w:val="TableParagraph"/>
              <w:spacing w:before="59" w:line="241" w:lineRule="exact"/>
              <w:ind w:left="108"/>
              <w:jc w:val="left"/>
              <w:rPr>
                <w:rFonts w:ascii="Times New Roman"/>
                <w:sz w:val="21"/>
              </w:rPr>
            </w:pPr>
            <w:r>
              <w:rPr>
                <w:rFonts w:ascii="Times New Roman"/>
                <w:sz w:val="21"/>
              </w:rPr>
              <w:t>--</w:t>
            </w:r>
          </w:p>
        </w:tc>
        <w:tc>
          <w:tcPr>
            <w:tcW w:w="1644" w:type="dxa"/>
          </w:tcPr>
          <w:p w:rsidR="00B04AE3" w:rsidRDefault="00B04AE3">
            <w:pPr>
              <w:pStyle w:val="TableParagraph"/>
              <w:spacing w:before="26"/>
              <w:ind w:left="106"/>
              <w:jc w:val="left"/>
              <w:rPr>
                <w:sz w:val="21"/>
              </w:rPr>
            </w:pPr>
            <w:r>
              <w:rPr>
                <w:rFonts w:hint="eastAsia"/>
                <w:sz w:val="21"/>
              </w:rPr>
              <w:t>危险化学品序号</w:t>
            </w:r>
          </w:p>
        </w:tc>
        <w:tc>
          <w:tcPr>
            <w:tcW w:w="1351" w:type="dxa"/>
          </w:tcPr>
          <w:p w:rsidR="00B04AE3" w:rsidRDefault="00B04AE3">
            <w:pPr>
              <w:pStyle w:val="TableParagraph"/>
              <w:spacing w:before="40"/>
              <w:ind w:right="453"/>
              <w:jc w:val="right"/>
              <w:rPr>
                <w:rFonts w:ascii="Times New Roman"/>
                <w:sz w:val="21"/>
              </w:rPr>
            </w:pPr>
            <w:r>
              <w:rPr>
                <w:rFonts w:ascii="Times New Roman"/>
                <w:sz w:val="21"/>
              </w:rPr>
              <w:t>2123</w:t>
            </w:r>
          </w:p>
        </w:tc>
      </w:tr>
      <w:tr w:rsidR="00B04AE3">
        <w:trPr>
          <w:trHeight w:val="640"/>
        </w:trPr>
        <w:tc>
          <w:tcPr>
            <w:tcW w:w="1007" w:type="dxa"/>
            <w:shd w:val="clear" w:color="auto" w:fill="D9D9D9"/>
          </w:tcPr>
          <w:p w:rsidR="00B04AE3" w:rsidRDefault="00B04AE3">
            <w:pPr>
              <w:pStyle w:val="TableParagraph"/>
              <w:spacing w:line="320" w:lineRule="exact"/>
              <w:ind w:left="292" w:right="282"/>
              <w:jc w:val="left"/>
              <w:rPr>
                <w:b/>
                <w:sz w:val="21"/>
              </w:rPr>
            </w:pPr>
            <w:r>
              <w:rPr>
                <w:rFonts w:hint="eastAsia"/>
                <w:b/>
                <w:sz w:val="21"/>
              </w:rPr>
              <w:t>英文名称</w:t>
            </w:r>
          </w:p>
        </w:tc>
        <w:tc>
          <w:tcPr>
            <w:tcW w:w="1573" w:type="dxa"/>
          </w:tcPr>
          <w:p w:rsidR="00B04AE3" w:rsidRDefault="00B04AE3">
            <w:pPr>
              <w:pStyle w:val="TableParagraph"/>
              <w:spacing w:before="3"/>
              <w:jc w:val="left"/>
              <w:rPr>
                <w:b/>
                <w:sz w:val="17"/>
              </w:rPr>
            </w:pPr>
          </w:p>
          <w:p w:rsidR="00B04AE3" w:rsidRDefault="00B04AE3">
            <w:pPr>
              <w:pStyle w:val="TableParagraph"/>
              <w:ind w:left="450" w:right="442"/>
              <w:rPr>
                <w:rFonts w:ascii="Times New Roman"/>
                <w:sz w:val="21"/>
              </w:rPr>
            </w:pPr>
            <w:r>
              <w:rPr>
                <w:rFonts w:ascii="Times New Roman"/>
                <w:sz w:val="21"/>
              </w:rPr>
              <w:t>--</w:t>
            </w:r>
          </w:p>
        </w:tc>
        <w:tc>
          <w:tcPr>
            <w:tcW w:w="1322" w:type="dxa"/>
          </w:tcPr>
          <w:p w:rsidR="00B04AE3" w:rsidRDefault="00B04AE3">
            <w:pPr>
              <w:pStyle w:val="TableParagraph"/>
              <w:spacing w:before="2"/>
              <w:jc w:val="left"/>
              <w:rPr>
                <w:b/>
                <w:sz w:val="16"/>
              </w:rPr>
            </w:pPr>
          </w:p>
          <w:p w:rsidR="00B04AE3" w:rsidRDefault="00B04AE3">
            <w:pPr>
              <w:pStyle w:val="TableParagraph"/>
              <w:tabs>
                <w:tab w:val="left" w:pos="430"/>
                <w:tab w:val="left" w:pos="850"/>
              </w:tabs>
              <w:ind w:left="10"/>
              <w:rPr>
                <w:sz w:val="21"/>
              </w:rPr>
            </w:pPr>
            <w:r>
              <w:rPr>
                <w:rFonts w:hint="eastAsia"/>
                <w:sz w:val="21"/>
              </w:rPr>
              <w:t>分</w:t>
            </w:r>
            <w:r>
              <w:rPr>
                <w:sz w:val="21"/>
              </w:rPr>
              <w:tab/>
            </w:r>
            <w:r>
              <w:rPr>
                <w:rFonts w:hint="eastAsia"/>
                <w:sz w:val="21"/>
              </w:rPr>
              <w:t>子</w:t>
            </w:r>
            <w:r>
              <w:rPr>
                <w:sz w:val="21"/>
              </w:rPr>
              <w:tab/>
            </w:r>
            <w:r>
              <w:rPr>
                <w:rFonts w:hint="eastAsia"/>
                <w:sz w:val="21"/>
              </w:rPr>
              <w:t>式</w:t>
            </w:r>
          </w:p>
        </w:tc>
        <w:tc>
          <w:tcPr>
            <w:tcW w:w="1631" w:type="dxa"/>
          </w:tcPr>
          <w:p w:rsidR="00B04AE3" w:rsidRDefault="00B04AE3">
            <w:pPr>
              <w:pStyle w:val="TableParagraph"/>
              <w:spacing w:line="320" w:lineRule="exact"/>
              <w:ind w:left="604" w:right="279" w:hanging="315"/>
              <w:jc w:val="left"/>
              <w:rPr>
                <w:sz w:val="21"/>
              </w:rPr>
            </w:pPr>
            <w:r>
              <w:rPr>
                <w:rFonts w:hint="eastAsia"/>
                <w:sz w:val="21"/>
              </w:rPr>
              <w:t>主要成份为甲烷</w:t>
            </w:r>
          </w:p>
        </w:tc>
        <w:tc>
          <w:tcPr>
            <w:tcW w:w="1644" w:type="dxa"/>
          </w:tcPr>
          <w:p w:rsidR="00B04AE3" w:rsidRDefault="00B04AE3">
            <w:pPr>
              <w:pStyle w:val="TableParagraph"/>
              <w:spacing w:before="2"/>
              <w:jc w:val="left"/>
              <w:rPr>
                <w:b/>
                <w:sz w:val="16"/>
              </w:rPr>
            </w:pPr>
          </w:p>
          <w:p w:rsidR="00B04AE3" w:rsidRDefault="00B04AE3">
            <w:pPr>
              <w:pStyle w:val="TableParagraph"/>
              <w:tabs>
                <w:tab w:val="left" w:pos="632"/>
                <w:tab w:val="left" w:pos="1157"/>
              </w:tabs>
              <w:ind w:left="106"/>
              <w:jc w:val="left"/>
              <w:rPr>
                <w:sz w:val="21"/>
              </w:rPr>
            </w:pPr>
            <w:r>
              <w:rPr>
                <w:rFonts w:hint="eastAsia"/>
                <w:sz w:val="21"/>
              </w:rPr>
              <w:t>分</w:t>
            </w:r>
            <w:r>
              <w:rPr>
                <w:sz w:val="21"/>
              </w:rPr>
              <w:tab/>
            </w:r>
            <w:r>
              <w:rPr>
                <w:rFonts w:hint="eastAsia"/>
                <w:sz w:val="21"/>
              </w:rPr>
              <w:t>子</w:t>
            </w:r>
            <w:r>
              <w:rPr>
                <w:sz w:val="21"/>
              </w:rPr>
              <w:tab/>
            </w:r>
            <w:r>
              <w:rPr>
                <w:rFonts w:hint="eastAsia"/>
                <w:sz w:val="21"/>
              </w:rPr>
              <w:t>量</w:t>
            </w:r>
          </w:p>
        </w:tc>
        <w:tc>
          <w:tcPr>
            <w:tcW w:w="1351" w:type="dxa"/>
          </w:tcPr>
          <w:p w:rsidR="00B04AE3" w:rsidRDefault="00B04AE3">
            <w:pPr>
              <w:pStyle w:val="TableParagraph"/>
              <w:spacing w:before="3"/>
              <w:jc w:val="left"/>
              <w:rPr>
                <w:b/>
                <w:sz w:val="17"/>
              </w:rPr>
            </w:pPr>
          </w:p>
          <w:p w:rsidR="00B04AE3" w:rsidRDefault="00B04AE3">
            <w:pPr>
              <w:pStyle w:val="TableParagraph"/>
              <w:ind w:right="525"/>
              <w:jc w:val="right"/>
              <w:rPr>
                <w:rFonts w:ascii="Times New Roman"/>
                <w:sz w:val="21"/>
              </w:rPr>
            </w:pPr>
            <w:r>
              <w:rPr>
                <w:rFonts w:ascii="Times New Roman"/>
                <w:sz w:val="21"/>
              </w:rPr>
              <w:t>16.04</w:t>
            </w:r>
          </w:p>
        </w:tc>
      </w:tr>
      <w:tr w:rsidR="00B04AE3">
        <w:trPr>
          <w:trHeight w:val="1326"/>
        </w:trPr>
        <w:tc>
          <w:tcPr>
            <w:tcW w:w="1007" w:type="dxa"/>
            <w:shd w:val="clear" w:color="auto" w:fill="D9D9D9"/>
          </w:tcPr>
          <w:p w:rsidR="00B04AE3" w:rsidRDefault="00B04AE3">
            <w:pPr>
              <w:pStyle w:val="TableParagraph"/>
              <w:spacing w:before="68" w:line="285" w:lineRule="auto"/>
              <w:ind w:left="398" w:right="387"/>
              <w:jc w:val="both"/>
              <w:rPr>
                <w:b/>
                <w:sz w:val="21"/>
              </w:rPr>
            </w:pPr>
            <w:r>
              <w:rPr>
                <w:rFonts w:hint="eastAsia"/>
                <w:b/>
                <w:sz w:val="21"/>
              </w:rPr>
              <w:t>理化性</w:t>
            </w:r>
          </w:p>
          <w:p w:rsidR="00B04AE3" w:rsidRDefault="00B04AE3">
            <w:pPr>
              <w:pStyle w:val="TableParagraph"/>
              <w:spacing w:line="269" w:lineRule="exact"/>
              <w:ind w:left="8"/>
              <w:rPr>
                <w:b/>
                <w:sz w:val="21"/>
              </w:rPr>
            </w:pPr>
            <w:r>
              <w:rPr>
                <w:rFonts w:hint="eastAsia"/>
                <w:b/>
                <w:w w:val="99"/>
                <w:sz w:val="21"/>
              </w:rPr>
              <w:t>质</w:t>
            </w:r>
          </w:p>
        </w:tc>
        <w:tc>
          <w:tcPr>
            <w:tcW w:w="7521" w:type="dxa"/>
            <w:gridSpan w:val="5"/>
          </w:tcPr>
          <w:p w:rsidR="00B04AE3" w:rsidRDefault="00B04AE3">
            <w:pPr>
              <w:pStyle w:val="TableParagraph"/>
              <w:spacing w:before="176"/>
              <w:ind w:left="328" w:right="320"/>
              <w:jc w:val="left"/>
              <w:rPr>
                <w:sz w:val="21"/>
              </w:rPr>
            </w:pPr>
            <w:r>
              <w:rPr>
                <w:rFonts w:hint="eastAsia"/>
                <w:sz w:val="21"/>
              </w:rPr>
              <w:t>外观与性状：无色无臭气体。沸点：</w:t>
            </w:r>
            <w:r>
              <w:rPr>
                <w:sz w:val="21"/>
              </w:rPr>
              <w:t>-160</w:t>
            </w:r>
            <w:r>
              <w:rPr>
                <w:rFonts w:hint="eastAsia"/>
                <w:sz w:val="21"/>
              </w:rPr>
              <w:t>℃</w:t>
            </w:r>
          </w:p>
          <w:p w:rsidR="00B04AE3" w:rsidRDefault="00B04AE3">
            <w:pPr>
              <w:pStyle w:val="TableParagraph"/>
              <w:spacing w:before="176"/>
              <w:ind w:left="328" w:right="320"/>
              <w:jc w:val="left"/>
              <w:rPr>
                <w:sz w:val="21"/>
              </w:rPr>
            </w:pPr>
            <w:r>
              <w:rPr>
                <w:rFonts w:hint="eastAsia"/>
                <w:sz w:val="21"/>
              </w:rPr>
              <w:t>相对密度（水</w:t>
            </w:r>
            <w:r>
              <w:rPr>
                <w:sz w:val="21"/>
              </w:rPr>
              <w:t>=1</w:t>
            </w:r>
            <w:r>
              <w:rPr>
                <w:rFonts w:hint="eastAsia"/>
                <w:sz w:val="21"/>
              </w:rPr>
              <w:t>）：</w:t>
            </w:r>
            <w:r>
              <w:rPr>
                <w:sz w:val="21"/>
              </w:rPr>
              <w:t>0.45</w:t>
            </w:r>
            <w:r>
              <w:rPr>
                <w:rFonts w:hint="eastAsia"/>
                <w:sz w:val="21"/>
              </w:rPr>
              <w:t>（液化）</w:t>
            </w:r>
            <w:r>
              <w:rPr>
                <w:sz w:val="21"/>
              </w:rPr>
              <w:tab/>
            </w:r>
            <w:r>
              <w:rPr>
                <w:rFonts w:hint="eastAsia"/>
                <w:sz w:val="21"/>
              </w:rPr>
              <w:t>相对密度（空气</w:t>
            </w:r>
            <w:r>
              <w:rPr>
                <w:sz w:val="21"/>
              </w:rPr>
              <w:t>=1</w:t>
            </w:r>
            <w:r>
              <w:rPr>
                <w:rFonts w:hint="eastAsia"/>
                <w:sz w:val="21"/>
              </w:rPr>
              <w:t>）：无资料</w:t>
            </w:r>
          </w:p>
          <w:p w:rsidR="00B04AE3" w:rsidRDefault="00B04AE3">
            <w:pPr>
              <w:pStyle w:val="TableParagraph"/>
              <w:spacing w:before="176"/>
              <w:ind w:left="328" w:right="320"/>
              <w:jc w:val="left"/>
              <w:rPr>
                <w:sz w:val="21"/>
              </w:rPr>
            </w:pPr>
            <w:r>
              <w:rPr>
                <w:rFonts w:hint="eastAsia"/>
                <w:sz w:val="21"/>
              </w:rPr>
              <w:t>溶解性：微溶于水。</w:t>
            </w:r>
          </w:p>
        </w:tc>
      </w:tr>
      <w:tr w:rsidR="00B04AE3">
        <w:trPr>
          <w:trHeight w:val="2880"/>
        </w:trPr>
        <w:tc>
          <w:tcPr>
            <w:tcW w:w="1007" w:type="dxa"/>
            <w:shd w:val="clear" w:color="auto" w:fill="D9D9D9"/>
          </w:tcPr>
          <w:p w:rsidR="00B04AE3" w:rsidRDefault="00B04AE3">
            <w:pPr>
              <w:pStyle w:val="TableParagraph"/>
              <w:spacing w:before="7"/>
              <w:jc w:val="left"/>
              <w:rPr>
                <w:b/>
                <w:sz w:val="28"/>
              </w:rPr>
            </w:pPr>
          </w:p>
          <w:p w:rsidR="00B04AE3" w:rsidRDefault="00B04AE3">
            <w:pPr>
              <w:pStyle w:val="TableParagraph"/>
              <w:spacing w:line="285" w:lineRule="auto"/>
              <w:ind w:left="398" w:right="387"/>
              <w:jc w:val="both"/>
              <w:rPr>
                <w:b/>
                <w:sz w:val="21"/>
              </w:rPr>
            </w:pPr>
            <w:r>
              <w:rPr>
                <w:rFonts w:hint="eastAsia"/>
                <w:b/>
                <w:sz w:val="21"/>
              </w:rPr>
              <w:t>燃烧爆炸危险性</w:t>
            </w:r>
          </w:p>
        </w:tc>
        <w:tc>
          <w:tcPr>
            <w:tcW w:w="7521" w:type="dxa"/>
            <w:gridSpan w:val="5"/>
          </w:tcPr>
          <w:p w:rsidR="00B04AE3" w:rsidRDefault="00B04AE3">
            <w:pPr>
              <w:pStyle w:val="TableParagraph"/>
              <w:spacing w:before="176"/>
              <w:ind w:left="328" w:right="320"/>
              <w:jc w:val="left"/>
              <w:rPr>
                <w:sz w:val="21"/>
              </w:rPr>
            </w:pPr>
            <w:r>
              <w:rPr>
                <w:rFonts w:hint="eastAsia"/>
                <w:sz w:val="21"/>
              </w:rPr>
              <w:t>燃烧性：易燃</w:t>
            </w:r>
            <w:r>
              <w:rPr>
                <w:sz w:val="21"/>
              </w:rPr>
              <w:tab/>
            </w:r>
            <w:r>
              <w:rPr>
                <w:rFonts w:hint="eastAsia"/>
                <w:sz w:val="21"/>
              </w:rPr>
              <w:t>建规火险等级：甲</w:t>
            </w:r>
          </w:p>
          <w:p w:rsidR="00B04AE3" w:rsidRDefault="00B04AE3">
            <w:pPr>
              <w:pStyle w:val="TableParagraph"/>
              <w:spacing w:before="176"/>
              <w:ind w:left="328" w:right="320"/>
              <w:jc w:val="left"/>
              <w:rPr>
                <w:sz w:val="21"/>
              </w:rPr>
            </w:pPr>
            <w:r>
              <w:rPr>
                <w:rFonts w:hint="eastAsia"/>
                <w:sz w:val="21"/>
              </w:rPr>
              <w:t>闪点：</w:t>
            </w:r>
            <w:r>
              <w:rPr>
                <w:sz w:val="21"/>
              </w:rPr>
              <w:t xml:space="preserve"> &lt;-50</w:t>
            </w:r>
            <w:r>
              <w:rPr>
                <w:rFonts w:hint="eastAsia"/>
                <w:sz w:val="21"/>
              </w:rPr>
              <w:t>℃；爆炸性（</w:t>
            </w:r>
            <w:r>
              <w:rPr>
                <w:sz w:val="21"/>
              </w:rPr>
              <w:t>V%</w:t>
            </w:r>
            <w:r>
              <w:rPr>
                <w:rFonts w:hint="eastAsia"/>
                <w:sz w:val="21"/>
              </w:rPr>
              <w:t>）：</w:t>
            </w:r>
            <w:r>
              <w:rPr>
                <w:sz w:val="21"/>
              </w:rPr>
              <w:t>5.0</w:t>
            </w:r>
            <w:r>
              <w:rPr>
                <w:rFonts w:hint="eastAsia"/>
                <w:sz w:val="21"/>
              </w:rPr>
              <w:t>－</w:t>
            </w:r>
            <w:r>
              <w:rPr>
                <w:sz w:val="21"/>
              </w:rPr>
              <w:t>14.0</w:t>
            </w:r>
            <w:r>
              <w:rPr>
                <w:sz w:val="21"/>
              </w:rPr>
              <w:tab/>
            </w:r>
            <w:r>
              <w:rPr>
                <w:rFonts w:hint="eastAsia"/>
                <w:sz w:val="21"/>
              </w:rPr>
              <w:t>自燃温度：</w:t>
            </w:r>
            <w:r>
              <w:rPr>
                <w:sz w:val="21"/>
              </w:rPr>
              <w:t>482</w:t>
            </w:r>
            <w:r>
              <w:rPr>
                <w:rFonts w:hint="eastAsia"/>
                <w:sz w:val="21"/>
              </w:rPr>
              <w:t>～</w:t>
            </w:r>
            <w:r>
              <w:rPr>
                <w:sz w:val="21"/>
              </w:rPr>
              <w:t>632</w:t>
            </w:r>
            <w:r>
              <w:rPr>
                <w:rFonts w:hint="eastAsia"/>
                <w:sz w:val="21"/>
              </w:rPr>
              <w:t>℃</w:t>
            </w:r>
          </w:p>
          <w:p w:rsidR="00B04AE3" w:rsidRDefault="00B04AE3">
            <w:pPr>
              <w:pStyle w:val="TableParagraph"/>
              <w:spacing w:before="176"/>
              <w:ind w:left="328" w:right="320"/>
              <w:jc w:val="left"/>
              <w:rPr>
                <w:sz w:val="21"/>
              </w:rPr>
            </w:pPr>
            <w:r>
              <w:rPr>
                <w:rFonts w:hint="eastAsia"/>
                <w:sz w:val="21"/>
              </w:rPr>
              <w:t>危险特性：与空气混合能形成爆炸性混合物。遇热源和明火有燃烧爆炸的危险。</w:t>
            </w:r>
            <w:r>
              <w:rPr>
                <w:sz w:val="21"/>
              </w:rPr>
              <w:t xml:space="preserve">  </w:t>
            </w:r>
            <w:r>
              <w:rPr>
                <w:rFonts w:hint="eastAsia"/>
                <w:sz w:val="21"/>
              </w:rPr>
              <w:t>与氟、氯等接触会发生剧烈的化学反应。若遇高热，容器内压增大，有开裂和爆炸危险。</w:t>
            </w:r>
          </w:p>
          <w:p w:rsidR="00B04AE3" w:rsidRDefault="00B04AE3">
            <w:pPr>
              <w:pStyle w:val="TableParagraph"/>
              <w:spacing w:before="176"/>
              <w:ind w:left="328" w:right="320"/>
              <w:jc w:val="left"/>
              <w:rPr>
                <w:sz w:val="21"/>
              </w:rPr>
            </w:pPr>
            <w:r>
              <w:rPr>
                <w:rFonts w:hint="eastAsia"/>
                <w:sz w:val="21"/>
              </w:rPr>
              <w:t>燃烧（分解）产物：水、二氧化碳。</w:t>
            </w:r>
            <w:r>
              <w:rPr>
                <w:sz w:val="21"/>
              </w:rPr>
              <w:tab/>
            </w:r>
            <w:r>
              <w:rPr>
                <w:rFonts w:hint="eastAsia"/>
                <w:sz w:val="21"/>
              </w:rPr>
              <w:t>稳定性：稳定</w:t>
            </w:r>
            <w:r>
              <w:rPr>
                <w:sz w:val="21"/>
              </w:rPr>
              <w:tab/>
            </w:r>
            <w:r>
              <w:rPr>
                <w:rFonts w:hint="eastAsia"/>
                <w:sz w:val="21"/>
              </w:rPr>
              <w:t>避免接触的条件：</w:t>
            </w:r>
            <w:r>
              <w:rPr>
                <w:sz w:val="21"/>
              </w:rPr>
              <w:t xml:space="preserve"> </w:t>
            </w:r>
            <w:r>
              <w:rPr>
                <w:rFonts w:hint="eastAsia"/>
                <w:sz w:val="21"/>
              </w:rPr>
              <w:t>聚合危害：不能出现</w:t>
            </w:r>
            <w:r>
              <w:rPr>
                <w:sz w:val="21"/>
              </w:rPr>
              <w:tab/>
            </w:r>
            <w:r>
              <w:rPr>
                <w:rFonts w:hint="eastAsia"/>
                <w:sz w:val="21"/>
              </w:rPr>
              <w:t>禁忌物：强氧化剂、卤素。</w:t>
            </w:r>
          </w:p>
          <w:p w:rsidR="00B04AE3" w:rsidRDefault="00B04AE3">
            <w:pPr>
              <w:pStyle w:val="TableParagraph"/>
              <w:spacing w:before="176"/>
              <w:ind w:left="328" w:right="320"/>
              <w:jc w:val="left"/>
              <w:rPr>
                <w:sz w:val="21"/>
              </w:rPr>
            </w:pPr>
            <w:r>
              <w:rPr>
                <w:rFonts w:hint="eastAsia"/>
                <w:sz w:val="21"/>
              </w:rPr>
              <w:t>灭火方法：切断气源。若不能立即切断气源，则不允许熄灭正在燃烧的气体。喷水冷却容器，可能的话将容器从火场移至空旷处。雾状水、二氧化碳。</w:t>
            </w:r>
          </w:p>
        </w:tc>
      </w:tr>
      <w:tr w:rsidR="00B04AE3">
        <w:trPr>
          <w:trHeight w:val="2240"/>
        </w:trPr>
        <w:tc>
          <w:tcPr>
            <w:tcW w:w="1007" w:type="dxa"/>
            <w:shd w:val="clear" w:color="auto" w:fill="D9D9D9"/>
          </w:tcPr>
          <w:p w:rsidR="00B04AE3" w:rsidRDefault="00B04AE3">
            <w:pPr>
              <w:pStyle w:val="TableParagraph"/>
              <w:spacing w:before="6"/>
              <w:jc w:val="left"/>
              <w:rPr>
                <w:b/>
                <w:sz w:val="28"/>
              </w:rPr>
            </w:pPr>
          </w:p>
          <w:p w:rsidR="00B04AE3" w:rsidRDefault="00B04AE3">
            <w:pPr>
              <w:pStyle w:val="TableParagraph"/>
              <w:spacing w:line="285" w:lineRule="auto"/>
              <w:ind w:left="398" w:right="387"/>
              <w:jc w:val="both"/>
              <w:rPr>
                <w:b/>
                <w:sz w:val="21"/>
              </w:rPr>
            </w:pPr>
            <w:r>
              <w:rPr>
                <w:rFonts w:hint="eastAsia"/>
                <w:b/>
                <w:sz w:val="21"/>
              </w:rPr>
              <w:t>包装与储运</w:t>
            </w:r>
          </w:p>
        </w:tc>
        <w:tc>
          <w:tcPr>
            <w:tcW w:w="7521" w:type="dxa"/>
            <w:gridSpan w:val="5"/>
          </w:tcPr>
          <w:p w:rsidR="00B04AE3" w:rsidRDefault="00B04AE3">
            <w:pPr>
              <w:pStyle w:val="TableParagraph"/>
              <w:spacing w:before="176"/>
              <w:ind w:right="320"/>
              <w:jc w:val="left"/>
              <w:rPr>
                <w:sz w:val="21"/>
              </w:rPr>
            </w:pPr>
            <w:r>
              <w:rPr>
                <w:rFonts w:hint="eastAsia"/>
                <w:sz w:val="21"/>
              </w:rPr>
              <w:t>危险性类别：第</w:t>
            </w:r>
            <w:r>
              <w:rPr>
                <w:sz w:val="21"/>
              </w:rPr>
              <w:t xml:space="preserve"> 2.1 </w:t>
            </w:r>
            <w:r>
              <w:rPr>
                <w:rFonts w:hint="eastAsia"/>
                <w:sz w:val="21"/>
              </w:rPr>
              <w:t>类</w:t>
            </w:r>
            <w:r>
              <w:rPr>
                <w:sz w:val="21"/>
              </w:rPr>
              <w:tab/>
            </w:r>
            <w:r>
              <w:rPr>
                <w:sz w:val="21"/>
              </w:rPr>
              <w:tab/>
            </w:r>
            <w:r>
              <w:rPr>
                <w:rFonts w:hint="eastAsia"/>
                <w:sz w:val="21"/>
              </w:rPr>
              <w:t>易燃气体危险货物包装标志：</w:t>
            </w:r>
            <w:r>
              <w:rPr>
                <w:sz w:val="21"/>
              </w:rPr>
              <w:t>4</w:t>
            </w:r>
            <w:r>
              <w:rPr>
                <w:sz w:val="21"/>
              </w:rPr>
              <w:tab/>
            </w:r>
            <w:r>
              <w:rPr>
                <w:rFonts w:hint="eastAsia"/>
                <w:sz w:val="21"/>
              </w:rPr>
              <w:t>包装类别：</w:t>
            </w:r>
          </w:p>
          <w:p w:rsidR="00B04AE3" w:rsidRDefault="00B04AE3">
            <w:pPr>
              <w:pStyle w:val="TableParagraph"/>
              <w:spacing w:before="176"/>
              <w:ind w:right="320"/>
              <w:jc w:val="left"/>
              <w:rPr>
                <w:sz w:val="21"/>
              </w:rPr>
            </w:pPr>
            <w:r>
              <w:rPr>
                <w:rFonts w:hint="eastAsia"/>
                <w:sz w:val="21"/>
              </w:rPr>
              <w:t>储存于阴凉、干燥、通风良好的不燃仓间。仓内温度不宜超过</w:t>
            </w:r>
            <w:r>
              <w:rPr>
                <w:sz w:val="21"/>
              </w:rPr>
              <w:t xml:space="preserve"> 30</w:t>
            </w:r>
            <w:r>
              <w:rPr>
                <w:rFonts w:hint="eastAsia"/>
                <w:sz w:val="21"/>
              </w:rPr>
              <w:t>℃。远离火种、热源，防止阳光直射。应与氧气、压缩空气、卤素（氟、氯、溴）、氧化剂等分开存放。储存间内的照明、通风等设施应采用防爆型，开关设在仓外。罐储时要有防火防爆技术措施。禁止使用易产生火花的机械设备和工具。不可超压超量运输。搬运时轻装轻卸，防止钢瓶及附件破损。</w:t>
            </w:r>
          </w:p>
        </w:tc>
      </w:tr>
      <w:tr w:rsidR="00B04AE3">
        <w:trPr>
          <w:trHeight w:val="1280"/>
        </w:trPr>
        <w:tc>
          <w:tcPr>
            <w:tcW w:w="1007" w:type="dxa"/>
            <w:shd w:val="clear" w:color="auto" w:fill="D9D9D9"/>
          </w:tcPr>
          <w:p w:rsidR="00B04AE3" w:rsidRDefault="00B04AE3">
            <w:pPr>
              <w:pStyle w:val="TableParagraph"/>
              <w:spacing w:before="45" w:line="285" w:lineRule="auto"/>
              <w:ind w:left="292" w:right="282"/>
              <w:rPr>
                <w:b/>
                <w:sz w:val="21"/>
              </w:rPr>
            </w:pPr>
            <w:r>
              <w:rPr>
                <w:rFonts w:hint="eastAsia"/>
                <w:b/>
                <w:spacing w:val="-9"/>
                <w:sz w:val="21"/>
              </w:rPr>
              <w:t>毒性</w:t>
            </w:r>
            <w:r>
              <w:rPr>
                <w:rFonts w:hint="eastAsia"/>
                <w:b/>
                <w:sz w:val="21"/>
              </w:rPr>
              <w:t>及</w:t>
            </w:r>
            <w:r>
              <w:rPr>
                <w:b/>
                <w:sz w:val="21"/>
              </w:rPr>
              <w:t xml:space="preserve"> </w:t>
            </w:r>
            <w:r>
              <w:rPr>
                <w:rFonts w:hint="eastAsia"/>
                <w:b/>
                <w:spacing w:val="-9"/>
                <w:sz w:val="21"/>
              </w:rPr>
              <w:t>健康</w:t>
            </w:r>
          </w:p>
          <w:p w:rsidR="00B04AE3" w:rsidRDefault="00B04AE3">
            <w:pPr>
              <w:pStyle w:val="TableParagraph"/>
              <w:spacing w:line="254" w:lineRule="exact"/>
              <w:ind w:left="165" w:right="157"/>
              <w:rPr>
                <w:b/>
                <w:sz w:val="21"/>
              </w:rPr>
            </w:pPr>
            <w:r>
              <w:rPr>
                <w:rFonts w:hint="eastAsia"/>
                <w:b/>
                <w:sz w:val="21"/>
              </w:rPr>
              <w:t>危害性</w:t>
            </w:r>
          </w:p>
        </w:tc>
        <w:tc>
          <w:tcPr>
            <w:tcW w:w="7521" w:type="dxa"/>
            <w:gridSpan w:val="5"/>
          </w:tcPr>
          <w:p w:rsidR="00B04AE3" w:rsidRDefault="00B04AE3">
            <w:pPr>
              <w:pStyle w:val="TableParagraph"/>
              <w:spacing w:before="176"/>
              <w:ind w:left="328" w:right="320"/>
              <w:jc w:val="left"/>
              <w:rPr>
                <w:sz w:val="21"/>
              </w:rPr>
            </w:pPr>
            <w:r>
              <w:rPr>
                <w:rFonts w:hint="eastAsia"/>
                <w:sz w:val="21"/>
              </w:rPr>
              <w:t>接触限值：中国</w:t>
            </w:r>
            <w:r>
              <w:rPr>
                <w:sz w:val="21"/>
              </w:rPr>
              <w:t xml:space="preserve"> MAC</w:t>
            </w:r>
            <w:r>
              <w:rPr>
                <w:rFonts w:hint="eastAsia"/>
                <w:sz w:val="21"/>
              </w:rPr>
              <w:t>：未制定标准。侵入途径：吸入</w:t>
            </w:r>
          </w:p>
          <w:p w:rsidR="00B04AE3" w:rsidRDefault="00B04AE3">
            <w:pPr>
              <w:pStyle w:val="TableParagraph"/>
              <w:spacing w:before="176"/>
              <w:ind w:left="328" w:right="320"/>
              <w:jc w:val="left"/>
              <w:rPr>
                <w:sz w:val="21"/>
              </w:rPr>
            </w:pPr>
            <w:r>
              <w:rPr>
                <w:rFonts w:hint="eastAsia"/>
                <w:sz w:val="21"/>
              </w:rPr>
              <w:t>健康危害：在很高的浓度时，由于正常氧分压的降低造成窒息；在很高的分压下，可出现麻醉作用。</w:t>
            </w:r>
          </w:p>
        </w:tc>
      </w:tr>
      <w:tr w:rsidR="00B04AE3">
        <w:trPr>
          <w:trHeight w:val="640"/>
        </w:trPr>
        <w:tc>
          <w:tcPr>
            <w:tcW w:w="1007" w:type="dxa"/>
            <w:shd w:val="clear" w:color="auto" w:fill="D9D9D9"/>
          </w:tcPr>
          <w:p w:rsidR="00B04AE3" w:rsidRDefault="00B04AE3">
            <w:pPr>
              <w:pStyle w:val="TableParagraph"/>
              <w:spacing w:line="320" w:lineRule="exact"/>
              <w:ind w:left="398" w:right="387"/>
              <w:rPr>
                <w:b/>
                <w:sz w:val="21"/>
              </w:rPr>
            </w:pPr>
            <w:r>
              <w:rPr>
                <w:rFonts w:hint="eastAsia"/>
                <w:b/>
                <w:w w:val="95"/>
                <w:sz w:val="21"/>
              </w:rPr>
              <w:t>急救</w:t>
            </w:r>
          </w:p>
        </w:tc>
        <w:tc>
          <w:tcPr>
            <w:tcW w:w="7521" w:type="dxa"/>
            <w:gridSpan w:val="5"/>
          </w:tcPr>
          <w:p w:rsidR="00B04AE3" w:rsidRDefault="00B04AE3">
            <w:pPr>
              <w:pStyle w:val="TableParagraph"/>
              <w:spacing w:before="176"/>
              <w:ind w:left="328" w:right="320"/>
              <w:jc w:val="left"/>
              <w:rPr>
                <w:sz w:val="21"/>
              </w:rPr>
            </w:pPr>
            <w:r>
              <w:rPr>
                <w:rFonts w:hint="eastAsia"/>
                <w:sz w:val="21"/>
              </w:rPr>
              <w:t>吸入：迅速脱离现场至空气新鲜处。保持呼吸通畅。呼吸困难时给输氧。呼吸停</w:t>
            </w:r>
            <w:r>
              <w:rPr>
                <w:sz w:val="21"/>
              </w:rPr>
              <w:t xml:space="preserve">  </w:t>
            </w:r>
            <w:r>
              <w:rPr>
                <w:rFonts w:hint="eastAsia"/>
                <w:sz w:val="21"/>
              </w:rPr>
              <w:t>止时，立即进行人工呼吸。就医。</w:t>
            </w:r>
          </w:p>
        </w:tc>
      </w:tr>
      <w:tr w:rsidR="00B04AE3">
        <w:trPr>
          <w:trHeight w:val="1920"/>
        </w:trPr>
        <w:tc>
          <w:tcPr>
            <w:tcW w:w="1007" w:type="dxa"/>
            <w:shd w:val="clear" w:color="auto" w:fill="D9D9D9"/>
          </w:tcPr>
          <w:p w:rsidR="00B04AE3" w:rsidRDefault="00B04AE3">
            <w:pPr>
              <w:pStyle w:val="TableParagraph"/>
              <w:spacing w:before="7"/>
              <w:jc w:val="left"/>
              <w:rPr>
                <w:b/>
                <w:sz w:val="28"/>
              </w:rPr>
            </w:pPr>
          </w:p>
          <w:p w:rsidR="00B04AE3" w:rsidRDefault="00B04AE3">
            <w:pPr>
              <w:pStyle w:val="TableParagraph"/>
              <w:spacing w:line="285" w:lineRule="auto"/>
              <w:ind w:left="398" w:right="387"/>
              <w:jc w:val="both"/>
              <w:rPr>
                <w:b/>
                <w:sz w:val="21"/>
              </w:rPr>
            </w:pPr>
            <w:r>
              <w:rPr>
                <w:rFonts w:hint="eastAsia"/>
                <w:b/>
                <w:sz w:val="21"/>
              </w:rPr>
              <w:t>防护措施</w:t>
            </w:r>
          </w:p>
        </w:tc>
        <w:tc>
          <w:tcPr>
            <w:tcW w:w="7521" w:type="dxa"/>
            <w:gridSpan w:val="5"/>
          </w:tcPr>
          <w:p w:rsidR="00B04AE3" w:rsidRDefault="00B04AE3">
            <w:pPr>
              <w:pStyle w:val="TableParagraph"/>
              <w:spacing w:before="176"/>
              <w:ind w:right="320"/>
              <w:jc w:val="left"/>
              <w:rPr>
                <w:sz w:val="21"/>
              </w:rPr>
            </w:pPr>
            <w:r>
              <w:rPr>
                <w:rFonts w:hint="eastAsia"/>
                <w:sz w:val="21"/>
              </w:rPr>
              <w:t>工程控制：密闭操作，提供良好的自然通风条件。</w:t>
            </w:r>
          </w:p>
          <w:p w:rsidR="00B04AE3" w:rsidRDefault="00B04AE3">
            <w:pPr>
              <w:pStyle w:val="TableParagraph"/>
              <w:spacing w:before="176"/>
              <w:ind w:right="320"/>
              <w:jc w:val="left"/>
              <w:rPr>
                <w:sz w:val="21"/>
              </w:rPr>
            </w:pPr>
            <w:r>
              <w:rPr>
                <w:rFonts w:hint="eastAsia"/>
                <w:sz w:val="21"/>
              </w:rPr>
              <w:t>呼吸系统防护：高浓度环境中，佩带供气式呼吸器或自给式呼吸器。</w:t>
            </w:r>
            <w:r>
              <w:rPr>
                <w:sz w:val="21"/>
              </w:rPr>
              <w:t xml:space="preserve">  </w:t>
            </w:r>
            <w:r>
              <w:rPr>
                <w:rFonts w:hint="eastAsia"/>
                <w:sz w:val="21"/>
              </w:rPr>
              <w:t>眼睛防护：一般不需特殊防护。</w:t>
            </w:r>
          </w:p>
          <w:p w:rsidR="00B04AE3" w:rsidRDefault="00B04AE3">
            <w:pPr>
              <w:pStyle w:val="TableParagraph"/>
              <w:spacing w:before="176"/>
              <w:ind w:right="320"/>
              <w:jc w:val="left"/>
              <w:rPr>
                <w:sz w:val="21"/>
              </w:rPr>
            </w:pPr>
            <w:r>
              <w:rPr>
                <w:rFonts w:hint="eastAsia"/>
                <w:sz w:val="21"/>
              </w:rPr>
              <w:t>防护服：穿工作服。</w:t>
            </w:r>
            <w:r>
              <w:rPr>
                <w:sz w:val="21"/>
              </w:rPr>
              <w:tab/>
            </w:r>
            <w:r>
              <w:rPr>
                <w:rFonts w:hint="eastAsia"/>
                <w:sz w:val="21"/>
              </w:rPr>
              <w:t>手防护：一般不需特殊防护。</w:t>
            </w:r>
          </w:p>
          <w:p w:rsidR="00B04AE3" w:rsidRDefault="00B04AE3">
            <w:pPr>
              <w:pStyle w:val="TableParagraph"/>
              <w:spacing w:before="176"/>
              <w:ind w:right="320"/>
              <w:jc w:val="left"/>
              <w:rPr>
                <w:sz w:val="21"/>
              </w:rPr>
            </w:pPr>
            <w:r>
              <w:rPr>
                <w:rFonts w:hint="eastAsia"/>
                <w:sz w:val="21"/>
              </w:rPr>
              <w:t>其它：工作现场禁止吸烟。避免高浓度吸入。进入罐或其它高浓度区作业，须有</w:t>
            </w:r>
            <w:r>
              <w:rPr>
                <w:sz w:val="21"/>
              </w:rPr>
              <w:t xml:space="preserve">  </w:t>
            </w:r>
            <w:r>
              <w:rPr>
                <w:rFonts w:hint="eastAsia"/>
                <w:sz w:val="21"/>
              </w:rPr>
              <w:t>人监护。</w:t>
            </w:r>
          </w:p>
        </w:tc>
      </w:tr>
      <w:tr w:rsidR="00B04AE3">
        <w:trPr>
          <w:trHeight w:val="1280"/>
        </w:trPr>
        <w:tc>
          <w:tcPr>
            <w:tcW w:w="1007" w:type="dxa"/>
            <w:shd w:val="clear" w:color="auto" w:fill="D9D9D9"/>
          </w:tcPr>
          <w:p w:rsidR="00B04AE3" w:rsidRDefault="00B04AE3">
            <w:pPr>
              <w:pStyle w:val="TableParagraph"/>
              <w:spacing w:before="46" w:line="285" w:lineRule="auto"/>
              <w:ind w:left="398" w:right="387"/>
              <w:jc w:val="both"/>
              <w:rPr>
                <w:b/>
                <w:sz w:val="21"/>
              </w:rPr>
            </w:pPr>
            <w:r>
              <w:rPr>
                <w:rFonts w:hint="eastAsia"/>
                <w:b/>
                <w:sz w:val="21"/>
              </w:rPr>
              <w:t>泄漏处</w:t>
            </w:r>
          </w:p>
          <w:p w:rsidR="00B04AE3" w:rsidRDefault="00B04AE3">
            <w:pPr>
              <w:pStyle w:val="TableParagraph"/>
              <w:spacing w:line="253" w:lineRule="exact"/>
              <w:ind w:left="8"/>
              <w:rPr>
                <w:b/>
                <w:sz w:val="21"/>
              </w:rPr>
            </w:pPr>
            <w:r>
              <w:rPr>
                <w:rFonts w:hint="eastAsia"/>
                <w:b/>
                <w:w w:val="99"/>
                <w:sz w:val="21"/>
              </w:rPr>
              <w:t>置</w:t>
            </w:r>
          </w:p>
        </w:tc>
        <w:tc>
          <w:tcPr>
            <w:tcW w:w="7521" w:type="dxa"/>
            <w:gridSpan w:val="5"/>
          </w:tcPr>
          <w:p w:rsidR="00B04AE3" w:rsidRDefault="00B04AE3">
            <w:pPr>
              <w:pStyle w:val="TableParagraph"/>
              <w:spacing w:before="176"/>
              <w:ind w:right="320"/>
              <w:jc w:val="left"/>
              <w:rPr>
                <w:sz w:val="21"/>
              </w:rPr>
            </w:pPr>
            <w:r>
              <w:rPr>
                <w:rFonts w:hint="eastAsia"/>
                <w:sz w:val="21"/>
              </w:rPr>
              <w:t>迅速撤离泄漏污染区人员至上风外，并隔离直至气体散尽，切断火源。建议应急处理人员戴自给式呼吸器，穿一般消防防护服。切断气源。抽排（室内）或强力通风（室外）。如有可能，将漏出气用排风机送至空旷地方或装设适当喷头烧掉。漏气容器不能再用，且要经过技术处理以清除可能剩下的气体。</w:t>
            </w:r>
          </w:p>
        </w:tc>
      </w:tr>
    </w:tbl>
    <w:p w:rsidR="00B04AE3" w:rsidRDefault="00B04AE3">
      <w:pPr>
        <w:spacing w:before="123" w:after="2"/>
        <w:ind w:left="2744"/>
        <w:rPr>
          <w:b/>
          <w:sz w:val="24"/>
        </w:rPr>
      </w:pPr>
      <w:r>
        <w:rPr>
          <w:rFonts w:hint="eastAsia"/>
          <w:b/>
          <w:spacing w:val="-34"/>
          <w:sz w:val="24"/>
        </w:rPr>
        <w:t>表</w:t>
      </w:r>
      <w:r>
        <w:rPr>
          <w:b/>
          <w:spacing w:val="-34"/>
          <w:sz w:val="24"/>
        </w:rPr>
        <w:t xml:space="preserve"> </w:t>
      </w:r>
      <w:r>
        <w:rPr>
          <w:rFonts w:ascii="Times New Roman"/>
          <w:b/>
          <w:sz w:val="24"/>
          <w:lang w:val="en-US"/>
        </w:rPr>
        <w:t>2.4</w:t>
      </w:r>
      <w:r>
        <w:rPr>
          <w:rFonts w:ascii="Times New Roman" w:eastAsia="Times New Roman"/>
          <w:b/>
          <w:sz w:val="24"/>
        </w:rPr>
        <w:t>-</w:t>
      </w:r>
      <w:r>
        <w:rPr>
          <w:rFonts w:ascii="Times New Roman"/>
          <w:b/>
          <w:sz w:val="24"/>
          <w:lang w:val="en-US"/>
        </w:rPr>
        <w:t>4</w:t>
      </w:r>
      <w:r>
        <w:rPr>
          <w:rFonts w:ascii="Times New Roman" w:eastAsia="Times New Roman"/>
          <w:b/>
          <w:spacing w:val="51"/>
          <w:sz w:val="24"/>
        </w:rPr>
        <w:t xml:space="preserve"> </w:t>
      </w:r>
      <w:r>
        <w:rPr>
          <w:rFonts w:hint="eastAsia"/>
          <w:b/>
          <w:spacing w:val="-5"/>
          <w:sz w:val="24"/>
        </w:rPr>
        <w:t>氢氧化钠化性质及危险特性</w:t>
      </w:r>
    </w:p>
    <w:tbl>
      <w:tblPr>
        <w:tblW w:w="862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A0"/>
      </w:tblPr>
      <w:tblGrid>
        <w:gridCol w:w="447"/>
        <w:gridCol w:w="2325"/>
        <w:gridCol w:w="5853"/>
      </w:tblGrid>
      <w:tr w:rsidR="00B04AE3">
        <w:trPr>
          <w:trHeight w:val="369"/>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标</w:t>
            </w:r>
          </w:p>
          <w:p w:rsidR="00B04AE3" w:rsidRDefault="00B04AE3">
            <w:pPr>
              <w:widowControl/>
              <w:spacing w:before="100" w:beforeAutospacing="1" w:after="100" w:afterAutospacing="1" w:line="320" w:lineRule="exact"/>
              <w:rPr>
                <w:color w:val="000000"/>
                <w:sz w:val="21"/>
                <w:szCs w:val="21"/>
              </w:rPr>
            </w:pPr>
            <w:r>
              <w:rPr>
                <w:color w:val="000000"/>
                <w:sz w:val="21"/>
                <w:szCs w:val="21"/>
              </w:rPr>
              <w:t> </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识</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中文名：</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氢氧化钠；烧碱；火碱；苛性钠</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英文名：</w:t>
            </w:r>
          </w:p>
        </w:tc>
        <w:tc>
          <w:tcPr>
            <w:tcW w:w="5853" w:type="dxa"/>
            <w:vAlign w:val="center"/>
          </w:tcPr>
          <w:p w:rsidR="00B04AE3" w:rsidRDefault="00B04AE3">
            <w:pPr>
              <w:widowControl/>
              <w:spacing w:line="320" w:lineRule="exact"/>
              <w:rPr>
                <w:color w:val="000000"/>
                <w:sz w:val="21"/>
                <w:szCs w:val="21"/>
              </w:rPr>
            </w:pPr>
            <w:r>
              <w:rPr>
                <w:color w:val="000000"/>
                <w:sz w:val="21"/>
                <w:szCs w:val="21"/>
              </w:rPr>
              <w:t>Sodiun hydroxide</w:t>
            </w:r>
            <w:r>
              <w:rPr>
                <w:rFonts w:hint="eastAsia"/>
                <w:color w:val="000000"/>
                <w:sz w:val="21"/>
                <w:szCs w:val="21"/>
              </w:rPr>
              <w:t>；</w:t>
            </w:r>
            <w:r>
              <w:rPr>
                <w:color w:val="000000"/>
                <w:sz w:val="21"/>
                <w:szCs w:val="21"/>
              </w:rPr>
              <w:t xml:space="preserve">Caustic soda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分子式：</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NaOH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分子量：</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40.01  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color w:val="000000"/>
                <w:sz w:val="21"/>
                <w:szCs w:val="21"/>
              </w:rPr>
              <w:t>CAS</w:t>
            </w:r>
            <w:r>
              <w:rPr>
                <w:rFonts w:hint="eastAsia"/>
                <w:color w:val="000000"/>
                <w:sz w:val="21"/>
                <w:szCs w:val="21"/>
              </w:rPr>
              <w:t>号：</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1310-73-2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color w:val="000000"/>
                <w:sz w:val="21"/>
                <w:szCs w:val="21"/>
              </w:rPr>
              <w:t>RTECS</w:t>
            </w:r>
            <w:r>
              <w:rPr>
                <w:rFonts w:hint="eastAsia"/>
                <w:color w:val="000000"/>
                <w:sz w:val="21"/>
                <w:szCs w:val="21"/>
              </w:rPr>
              <w:t>号：</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WB4900000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color w:val="000000"/>
                <w:sz w:val="21"/>
                <w:szCs w:val="21"/>
              </w:rPr>
              <w:t>UN</w:t>
            </w:r>
            <w:r>
              <w:rPr>
                <w:rFonts w:hint="eastAsia"/>
                <w:color w:val="000000"/>
                <w:sz w:val="21"/>
                <w:szCs w:val="21"/>
              </w:rPr>
              <w:t>编号：</w:t>
            </w:r>
          </w:p>
        </w:tc>
        <w:tc>
          <w:tcPr>
            <w:tcW w:w="5853" w:type="dxa"/>
            <w:vAlign w:val="center"/>
          </w:tcPr>
          <w:p w:rsidR="00B04AE3" w:rsidRDefault="00B04AE3">
            <w:pPr>
              <w:widowControl/>
              <w:spacing w:line="320" w:lineRule="exact"/>
              <w:rPr>
                <w:color w:val="000000"/>
                <w:sz w:val="21"/>
                <w:szCs w:val="21"/>
              </w:rPr>
            </w:pPr>
            <w:r>
              <w:rPr>
                <w:color w:val="000000"/>
                <w:sz w:val="21"/>
                <w:szCs w:val="21"/>
              </w:rPr>
              <w:t>1823</w:t>
            </w:r>
            <w:r>
              <w:rPr>
                <w:rFonts w:hint="eastAsia"/>
                <w:color w:val="000000"/>
                <w:sz w:val="21"/>
                <w:szCs w:val="21"/>
              </w:rPr>
              <w:t>固体；</w:t>
            </w:r>
            <w:r>
              <w:rPr>
                <w:color w:val="000000"/>
                <w:sz w:val="21"/>
                <w:szCs w:val="21"/>
              </w:rPr>
              <w:t>1824</w:t>
            </w:r>
            <w:r>
              <w:rPr>
                <w:rFonts w:hint="eastAsia"/>
                <w:color w:val="000000"/>
                <w:sz w:val="21"/>
                <w:szCs w:val="21"/>
              </w:rPr>
              <w:t>溶液</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危险货物编号：</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82001  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color w:val="000000"/>
                <w:sz w:val="21"/>
                <w:szCs w:val="21"/>
              </w:rPr>
              <w:t>IMDG</w:t>
            </w:r>
            <w:r>
              <w:rPr>
                <w:rFonts w:hint="eastAsia"/>
                <w:color w:val="000000"/>
                <w:sz w:val="21"/>
                <w:szCs w:val="21"/>
              </w:rPr>
              <w:t>规则页码：</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8225   </w:t>
            </w:r>
          </w:p>
        </w:tc>
      </w:tr>
      <w:tr w:rsidR="00B04AE3">
        <w:trPr>
          <w:trHeight w:val="354"/>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理</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化</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性</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质</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外观与性状：</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白色不透明固体，易潮解。</w:t>
            </w:r>
            <w:r>
              <w:rPr>
                <w:color w:val="000000"/>
                <w:sz w:val="21"/>
                <w:szCs w:val="21"/>
              </w:rPr>
              <w:t xml:space="preserve">   </w:t>
            </w:r>
          </w:p>
        </w:tc>
      </w:tr>
      <w:tr w:rsidR="00B04AE3">
        <w:trPr>
          <w:trHeight w:val="673"/>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主要用途：</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用于肥皂工业、石油精炼、造纸、人造丝、染色、制革、医药、有机合成等。</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熔点：</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318.4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沸点：</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1390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相对密度</w:t>
            </w:r>
            <w:r>
              <w:rPr>
                <w:color w:val="000000"/>
                <w:sz w:val="21"/>
                <w:szCs w:val="21"/>
              </w:rPr>
              <w:t>(</w:t>
            </w:r>
            <w:r>
              <w:rPr>
                <w:rFonts w:hint="eastAsia"/>
                <w:color w:val="000000"/>
                <w:sz w:val="21"/>
                <w:szCs w:val="21"/>
              </w:rPr>
              <w:t>水</w:t>
            </w:r>
            <w:r>
              <w:rPr>
                <w:color w:val="000000"/>
                <w:sz w:val="21"/>
                <w:szCs w:val="21"/>
              </w:rPr>
              <w:t>=1)</w:t>
            </w:r>
            <w:r>
              <w:rPr>
                <w:rFonts w:hint="eastAsia"/>
                <w:color w:val="000000"/>
                <w:sz w:val="21"/>
                <w:szCs w:val="21"/>
              </w:rPr>
              <w:t>：</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2.12  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相对密度</w:t>
            </w:r>
            <w:r>
              <w:rPr>
                <w:color w:val="000000"/>
                <w:sz w:val="21"/>
                <w:szCs w:val="21"/>
              </w:rPr>
              <w:t>(</w:t>
            </w:r>
            <w:r>
              <w:rPr>
                <w:rFonts w:hint="eastAsia"/>
                <w:color w:val="000000"/>
                <w:sz w:val="21"/>
                <w:szCs w:val="21"/>
              </w:rPr>
              <w:t>空气</w:t>
            </w:r>
            <w:r>
              <w:rPr>
                <w:color w:val="000000"/>
                <w:sz w:val="21"/>
                <w:szCs w:val="21"/>
              </w:rPr>
              <w:t>=1):</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无资料</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饱和蒸汽压</w:t>
            </w:r>
            <w:r>
              <w:rPr>
                <w:color w:val="000000"/>
                <w:sz w:val="21"/>
                <w:szCs w:val="21"/>
              </w:rPr>
              <w:t>(kPa)</w:t>
            </w:r>
            <w:r>
              <w:rPr>
                <w:rFonts w:hint="eastAsia"/>
                <w:color w:val="000000"/>
                <w:sz w:val="21"/>
                <w:szCs w:val="21"/>
              </w:rPr>
              <w:t>：</w:t>
            </w:r>
          </w:p>
        </w:tc>
        <w:tc>
          <w:tcPr>
            <w:tcW w:w="5853" w:type="dxa"/>
            <w:vAlign w:val="center"/>
          </w:tcPr>
          <w:p w:rsidR="00B04AE3" w:rsidRDefault="00B04AE3">
            <w:pPr>
              <w:widowControl/>
              <w:spacing w:line="320" w:lineRule="exact"/>
              <w:rPr>
                <w:color w:val="000000"/>
                <w:sz w:val="21"/>
                <w:szCs w:val="21"/>
              </w:rPr>
            </w:pPr>
            <w:r>
              <w:rPr>
                <w:color w:val="000000"/>
                <w:sz w:val="21"/>
                <w:szCs w:val="21"/>
              </w:rPr>
              <w:t>0.13/739</w:t>
            </w:r>
            <w:r>
              <w:rPr>
                <w:rFonts w:hint="eastAsia"/>
                <w:color w:val="000000"/>
                <w:sz w:val="21"/>
                <w:szCs w:val="21"/>
              </w:rPr>
              <w:t>℃</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溶解性：</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易溶于水、乙醇、甘油，不溶于丙酮。</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临界温度</w:t>
            </w:r>
            <w:r>
              <w:rPr>
                <w:color w:val="000000"/>
                <w:sz w:val="21"/>
                <w:szCs w:val="21"/>
              </w:rPr>
              <w:t>(</w:t>
            </w:r>
            <w:r>
              <w:rPr>
                <w:rFonts w:hint="eastAsia"/>
                <w:color w:val="000000"/>
                <w:sz w:val="21"/>
                <w:szCs w:val="21"/>
              </w:rPr>
              <w:t>℃</w:t>
            </w:r>
            <w:r>
              <w:rPr>
                <w:color w:val="000000"/>
                <w:sz w:val="21"/>
                <w:szCs w:val="21"/>
              </w:rPr>
              <w:t>)</w:t>
            </w:r>
            <w:r>
              <w:rPr>
                <w:rFonts w:hint="eastAsia"/>
                <w:color w:val="000000"/>
                <w:sz w:val="21"/>
                <w:szCs w:val="21"/>
              </w:rPr>
              <w:t>：</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临界压力</w:t>
            </w:r>
            <w:r>
              <w:rPr>
                <w:color w:val="000000"/>
                <w:sz w:val="21"/>
                <w:szCs w:val="21"/>
              </w:rPr>
              <w:t>(MPa)</w:t>
            </w:r>
            <w:r>
              <w:rPr>
                <w:rFonts w:hint="eastAsia"/>
                <w:color w:val="000000"/>
                <w:sz w:val="21"/>
                <w:szCs w:val="21"/>
              </w:rPr>
              <w:t>：</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燃烧热</w:t>
            </w:r>
            <w:r>
              <w:rPr>
                <w:color w:val="000000"/>
                <w:sz w:val="21"/>
                <w:szCs w:val="21"/>
              </w:rPr>
              <w:t>(kj/mol)</w:t>
            </w:r>
            <w:r>
              <w:rPr>
                <w:rFonts w:hint="eastAsia"/>
                <w:color w:val="000000"/>
                <w:sz w:val="21"/>
                <w:szCs w:val="21"/>
              </w:rPr>
              <w:t>：</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54"/>
          <w:jc w:val="center"/>
        </w:trPr>
        <w:tc>
          <w:tcPr>
            <w:tcW w:w="447" w:type="dxa"/>
            <w:vMerge w:val="restart"/>
            <w:vAlign w:val="center"/>
          </w:tcPr>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color w:val="000000"/>
                <w:sz w:val="21"/>
                <w:szCs w:val="21"/>
              </w:rPr>
            </w:pPr>
            <w:r>
              <w:rPr>
                <w:rFonts w:hint="eastAsia"/>
                <w:b/>
                <w:bCs/>
                <w:color w:val="000000"/>
                <w:sz w:val="21"/>
                <w:szCs w:val="21"/>
              </w:rPr>
              <w:t>燃</w:t>
            </w:r>
            <w:r>
              <w:rPr>
                <w:b/>
                <w:bCs/>
                <w:color w:val="000000"/>
                <w:sz w:val="21"/>
                <w:szCs w:val="21"/>
              </w:rPr>
              <w:br/>
            </w:r>
            <w:r>
              <w:rPr>
                <w:b/>
                <w:bCs/>
                <w:color w:val="000000"/>
                <w:sz w:val="21"/>
                <w:szCs w:val="21"/>
              </w:rPr>
              <w:br/>
            </w:r>
            <w:r>
              <w:rPr>
                <w:rFonts w:hint="eastAsia"/>
                <w:b/>
                <w:bCs/>
                <w:color w:val="000000"/>
                <w:sz w:val="21"/>
                <w:szCs w:val="21"/>
              </w:rPr>
              <w:t>烧</w:t>
            </w:r>
            <w:r>
              <w:rPr>
                <w:b/>
                <w:bCs/>
                <w:color w:val="000000"/>
                <w:sz w:val="21"/>
                <w:szCs w:val="21"/>
              </w:rPr>
              <w:br/>
            </w:r>
            <w:r>
              <w:rPr>
                <w:b/>
                <w:bCs/>
                <w:color w:val="000000"/>
                <w:sz w:val="21"/>
                <w:szCs w:val="21"/>
              </w:rPr>
              <w:br/>
            </w:r>
            <w:r>
              <w:rPr>
                <w:rFonts w:hint="eastAsia"/>
                <w:b/>
                <w:bCs/>
                <w:color w:val="000000"/>
                <w:sz w:val="21"/>
                <w:szCs w:val="21"/>
              </w:rPr>
              <w:t>爆</w:t>
            </w:r>
            <w:r>
              <w:rPr>
                <w:b/>
                <w:bCs/>
                <w:color w:val="000000"/>
                <w:sz w:val="21"/>
                <w:szCs w:val="21"/>
              </w:rPr>
              <w:br/>
            </w:r>
            <w:r>
              <w:rPr>
                <w:b/>
                <w:bCs/>
                <w:color w:val="000000"/>
                <w:sz w:val="21"/>
                <w:szCs w:val="21"/>
              </w:rPr>
              <w:br/>
            </w:r>
            <w:r>
              <w:rPr>
                <w:rFonts w:hint="eastAsia"/>
                <w:b/>
                <w:bCs/>
                <w:color w:val="000000"/>
                <w:sz w:val="21"/>
                <w:szCs w:val="21"/>
              </w:rPr>
              <w:t>炸</w:t>
            </w:r>
            <w:r>
              <w:rPr>
                <w:b/>
                <w:bCs/>
                <w:color w:val="000000"/>
                <w:sz w:val="21"/>
                <w:szCs w:val="21"/>
              </w:rPr>
              <w:br/>
            </w:r>
            <w:r>
              <w:rPr>
                <w:b/>
                <w:bCs/>
                <w:color w:val="000000"/>
                <w:sz w:val="21"/>
                <w:szCs w:val="21"/>
              </w:rPr>
              <w:br/>
            </w:r>
            <w:r>
              <w:rPr>
                <w:rFonts w:hint="eastAsia"/>
                <w:b/>
                <w:bCs/>
                <w:color w:val="000000"/>
                <w:sz w:val="21"/>
                <w:szCs w:val="21"/>
              </w:rPr>
              <w:t>危</w:t>
            </w:r>
            <w:r>
              <w:rPr>
                <w:b/>
                <w:bCs/>
                <w:color w:val="000000"/>
                <w:sz w:val="21"/>
                <w:szCs w:val="21"/>
              </w:rPr>
              <w:br/>
            </w:r>
            <w:r>
              <w:rPr>
                <w:b/>
                <w:bCs/>
                <w:color w:val="000000"/>
                <w:sz w:val="21"/>
                <w:szCs w:val="21"/>
              </w:rPr>
              <w:br/>
            </w:r>
            <w:r>
              <w:rPr>
                <w:rFonts w:hint="eastAsia"/>
                <w:b/>
                <w:bCs/>
                <w:color w:val="000000"/>
                <w:sz w:val="21"/>
                <w:szCs w:val="21"/>
              </w:rPr>
              <w:t>险</w:t>
            </w:r>
            <w:r>
              <w:rPr>
                <w:b/>
                <w:bCs/>
                <w:color w:val="000000"/>
                <w:sz w:val="21"/>
                <w:szCs w:val="21"/>
              </w:rPr>
              <w:br/>
            </w:r>
            <w:r>
              <w:rPr>
                <w:b/>
                <w:bCs/>
                <w:color w:val="000000"/>
                <w:sz w:val="21"/>
                <w:szCs w:val="21"/>
              </w:rPr>
              <w:br/>
            </w:r>
            <w:r>
              <w:rPr>
                <w:rFonts w:hint="eastAsia"/>
                <w:b/>
                <w:bCs/>
                <w:color w:val="000000"/>
                <w:sz w:val="21"/>
                <w:szCs w:val="21"/>
              </w:rPr>
              <w:t>性</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避免接触的条件：</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接触潮湿空气。</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燃烧性：</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不燃</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建规火险分级：</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丁</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闪点</w:t>
            </w:r>
            <w:r>
              <w:rPr>
                <w:color w:val="000000"/>
                <w:sz w:val="21"/>
                <w:szCs w:val="21"/>
              </w:rPr>
              <w:t>(</w:t>
            </w:r>
            <w:r>
              <w:rPr>
                <w:rFonts w:hint="eastAsia"/>
                <w:color w:val="000000"/>
                <w:sz w:val="21"/>
                <w:szCs w:val="21"/>
              </w:rPr>
              <w:t>℃</w:t>
            </w:r>
            <w:r>
              <w:rPr>
                <w:color w:val="000000"/>
                <w:sz w:val="21"/>
                <w:szCs w:val="21"/>
              </w:rPr>
              <w:t>)</w:t>
            </w:r>
            <w:r>
              <w:rPr>
                <w:rFonts w:hint="eastAsia"/>
                <w:color w:val="000000"/>
                <w:sz w:val="21"/>
                <w:szCs w:val="21"/>
              </w:rPr>
              <w:t>：</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自燃温度</w:t>
            </w:r>
            <w:r>
              <w:rPr>
                <w:color w:val="000000"/>
                <w:sz w:val="21"/>
                <w:szCs w:val="21"/>
              </w:rPr>
              <w:t>(</w:t>
            </w:r>
            <w:r>
              <w:rPr>
                <w:rFonts w:hint="eastAsia"/>
                <w:color w:val="000000"/>
                <w:sz w:val="21"/>
                <w:szCs w:val="21"/>
              </w:rPr>
              <w:t>℃</w:t>
            </w:r>
            <w:r>
              <w:rPr>
                <w:color w:val="000000"/>
                <w:sz w:val="21"/>
                <w:szCs w:val="21"/>
              </w:rPr>
              <w:t>)</w:t>
            </w:r>
            <w:r>
              <w:rPr>
                <w:rFonts w:hint="eastAsia"/>
                <w:color w:val="000000"/>
                <w:sz w:val="21"/>
                <w:szCs w:val="21"/>
              </w:rPr>
              <w:t>：</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爆炸下限</w:t>
            </w:r>
            <w:r>
              <w:rPr>
                <w:color w:val="000000"/>
                <w:sz w:val="21"/>
                <w:szCs w:val="21"/>
              </w:rPr>
              <w:t>(V%)</w:t>
            </w:r>
            <w:r>
              <w:rPr>
                <w:rFonts w:hint="eastAsia"/>
                <w:color w:val="000000"/>
                <w:sz w:val="21"/>
                <w:szCs w:val="21"/>
              </w:rPr>
              <w:t>：</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爆炸上限</w:t>
            </w:r>
            <w:r>
              <w:rPr>
                <w:color w:val="000000"/>
                <w:sz w:val="21"/>
                <w:szCs w:val="21"/>
              </w:rPr>
              <w:t>(V%)</w:t>
            </w:r>
            <w:r>
              <w:rPr>
                <w:rFonts w:hint="eastAsia"/>
                <w:color w:val="000000"/>
                <w:sz w:val="21"/>
                <w:szCs w:val="21"/>
              </w:rPr>
              <w:t>：</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无意义</w:t>
            </w:r>
            <w:r>
              <w:rPr>
                <w:color w:val="000000"/>
                <w:sz w:val="21"/>
                <w:szCs w:val="21"/>
              </w:rPr>
              <w:t xml:space="preserve">   </w:t>
            </w:r>
          </w:p>
        </w:tc>
      </w:tr>
      <w:tr w:rsidR="00B04AE3">
        <w:trPr>
          <w:trHeight w:val="673"/>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危险特性：</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本品不会燃烧，遇水和水蒸气大量放热，形成腐蚀性溶液。与酸发生中和反应并放热。具有强腐蚀性。</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燃烧</w:t>
            </w:r>
            <w:r>
              <w:rPr>
                <w:color w:val="000000"/>
                <w:sz w:val="21"/>
                <w:szCs w:val="21"/>
              </w:rPr>
              <w:t>(</w:t>
            </w:r>
            <w:r>
              <w:rPr>
                <w:rFonts w:hint="eastAsia"/>
                <w:color w:val="000000"/>
                <w:sz w:val="21"/>
                <w:szCs w:val="21"/>
              </w:rPr>
              <w:t>分解</w:t>
            </w:r>
            <w:r>
              <w:rPr>
                <w:color w:val="000000"/>
                <w:sz w:val="21"/>
                <w:szCs w:val="21"/>
              </w:rPr>
              <w:t>)</w:t>
            </w:r>
            <w:r>
              <w:rPr>
                <w:rFonts w:hint="eastAsia"/>
                <w:color w:val="000000"/>
                <w:sz w:val="21"/>
                <w:szCs w:val="21"/>
              </w:rPr>
              <w:t>产物：</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可能产生有害的毒性烟雾。</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稳定性：</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稳定</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聚合危害：</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不能出现</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禁忌物：</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强酸、易燃或可燃物、二氧化碳、过氧化物、水。</w:t>
            </w:r>
            <w:r>
              <w:rPr>
                <w:color w:val="000000"/>
                <w:sz w:val="21"/>
                <w:szCs w:val="21"/>
              </w:rPr>
              <w:t xml:space="preserve">   </w:t>
            </w:r>
          </w:p>
        </w:tc>
      </w:tr>
      <w:tr w:rsidR="00B04AE3">
        <w:trPr>
          <w:trHeight w:val="1629"/>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灭火方法：</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雾状水、砂土。消防器具</w:t>
            </w:r>
            <w:r>
              <w:rPr>
                <w:color w:val="000000"/>
                <w:sz w:val="21"/>
                <w:szCs w:val="21"/>
              </w:rPr>
              <w:t>(</w:t>
            </w:r>
            <w:r>
              <w:rPr>
                <w:rFonts w:hint="eastAsia"/>
                <w:color w:val="000000"/>
                <w:sz w:val="21"/>
                <w:szCs w:val="21"/>
              </w:rPr>
              <w:t>包括</w:t>
            </w:r>
            <w:r>
              <w:rPr>
                <w:color w:val="000000"/>
                <w:sz w:val="21"/>
                <w:szCs w:val="21"/>
              </w:rPr>
              <w:t>SCBA)</w:t>
            </w:r>
            <w:r>
              <w:rPr>
                <w:rFonts w:hint="eastAsia"/>
                <w:color w:val="000000"/>
                <w:sz w:val="21"/>
                <w:szCs w:val="21"/>
              </w:rPr>
              <w:t>不能提供足够有效的防护。若不小心接触，立即撤离现场，隔离器具，对人员彻底清污。如果该物质或被污染的流体进入水路，通知有潜在水体污染的下游用户，通知地方卫生、消防官员和污染控制部门。在安全防爆距离以外，使用雾状水冷却暴露的容器。</w:t>
            </w:r>
            <w:r>
              <w:rPr>
                <w:color w:val="000000"/>
                <w:sz w:val="21"/>
                <w:szCs w:val="21"/>
              </w:rPr>
              <w:t xml:space="preserve">   </w:t>
            </w:r>
          </w:p>
        </w:tc>
      </w:tr>
      <w:tr w:rsidR="00B04AE3">
        <w:trPr>
          <w:trHeight w:val="354"/>
          <w:jc w:val="center"/>
        </w:trPr>
        <w:tc>
          <w:tcPr>
            <w:tcW w:w="447" w:type="dxa"/>
            <w:vMerge w:val="restart"/>
            <w:vAlign w:val="center"/>
          </w:tcPr>
          <w:p w:rsidR="00B04AE3" w:rsidRDefault="00B04AE3">
            <w:pPr>
              <w:widowControl/>
              <w:spacing w:line="320" w:lineRule="exact"/>
              <w:rPr>
                <w:color w:val="000000"/>
                <w:sz w:val="21"/>
                <w:szCs w:val="21"/>
              </w:rPr>
            </w:pPr>
            <w:r>
              <w:rPr>
                <w:rFonts w:hint="eastAsia"/>
                <w:b/>
                <w:bCs/>
                <w:color w:val="000000"/>
                <w:sz w:val="21"/>
                <w:szCs w:val="21"/>
              </w:rPr>
              <w:t>包装与储运</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危险性类别：</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第</w:t>
            </w:r>
            <w:r>
              <w:rPr>
                <w:color w:val="000000"/>
                <w:sz w:val="21"/>
                <w:szCs w:val="21"/>
              </w:rPr>
              <w:t>8.2</w:t>
            </w:r>
            <w:r>
              <w:rPr>
                <w:rFonts w:hint="eastAsia"/>
                <w:color w:val="000000"/>
                <w:sz w:val="21"/>
                <w:szCs w:val="21"/>
              </w:rPr>
              <w:t>类</w:t>
            </w:r>
            <w:r>
              <w:rPr>
                <w:color w:val="000000"/>
                <w:sz w:val="21"/>
                <w:szCs w:val="21"/>
              </w:rPr>
              <w:t>  </w:t>
            </w:r>
            <w:r>
              <w:rPr>
                <w:rFonts w:hint="eastAsia"/>
                <w:color w:val="000000"/>
                <w:sz w:val="21"/>
                <w:szCs w:val="21"/>
              </w:rPr>
              <w:t>碱性腐蚀品</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危险货物包装标志：</w:t>
            </w:r>
          </w:p>
        </w:tc>
        <w:tc>
          <w:tcPr>
            <w:tcW w:w="5853" w:type="dxa"/>
            <w:vAlign w:val="center"/>
          </w:tcPr>
          <w:p w:rsidR="00B04AE3" w:rsidRDefault="00B04AE3">
            <w:pPr>
              <w:widowControl/>
              <w:spacing w:line="320" w:lineRule="exact"/>
              <w:rPr>
                <w:color w:val="000000"/>
                <w:sz w:val="21"/>
                <w:szCs w:val="21"/>
              </w:rPr>
            </w:pPr>
            <w:r>
              <w:rPr>
                <w:color w:val="000000"/>
                <w:sz w:val="21"/>
                <w:szCs w:val="21"/>
              </w:rPr>
              <w:t xml:space="preserve">20  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包装类别：</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Ⅱ</w:t>
            </w:r>
            <w:r>
              <w:rPr>
                <w:color w:val="000000"/>
                <w:sz w:val="21"/>
                <w:szCs w:val="21"/>
              </w:rPr>
              <w:t xml:space="preserve">   </w:t>
            </w:r>
          </w:p>
        </w:tc>
      </w:tr>
      <w:tr w:rsidR="00B04AE3">
        <w:trPr>
          <w:trHeight w:val="2266"/>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储运注意事项：</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储存于高燥清洁的仓间内。注意防潮和雨水浸入。应与易燃、可燃物及酸类分开存放。分装和搬运作业要注意个人防护。搬运时要轻装轻卸，防止包装及容器损坏。雨天不宜运输。</w:t>
            </w:r>
            <w:r>
              <w:rPr>
                <w:color w:val="000000"/>
                <w:sz w:val="21"/>
                <w:szCs w:val="21"/>
              </w:rPr>
              <w:br/>
            </w:r>
            <w:r>
              <w:rPr>
                <w:rFonts w:hint="eastAsia"/>
                <w:color w:val="000000"/>
                <w:sz w:val="21"/>
                <w:szCs w:val="21"/>
              </w:rPr>
              <w:t>废弃：处置前参阅国家和地方有关法规。中和、稀释后，排入下水道。高浓度对水生生物有害。</w:t>
            </w:r>
            <w:r>
              <w:rPr>
                <w:color w:val="000000"/>
                <w:sz w:val="21"/>
                <w:szCs w:val="21"/>
              </w:rPr>
              <w:br/>
            </w:r>
            <w:r>
              <w:rPr>
                <w:rFonts w:hint="eastAsia"/>
                <w:color w:val="000000"/>
                <w:sz w:val="21"/>
                <w:szCs w:val="21"/>
              </w:rPr>
              <w:t>包装方法：小开口塑料桶；塑料袋、多层牛皮纸外木板箱。</w:t>
            </w:r>
            <w:r>
              <w:rPr>
                <w:color w:val="000000"/>
                <w:sz w:val="21"/>
                <w:szCs w:val="21"/>
              </w:rPr>
              <w:t xml:space="preserve"> </w:t>
            </w:r>
          </w:p>
        </w:tc>
      </w:tr>
      <w:tr w:rsidR="00B04AE3">
        <w:trPr>
          <w:trHeight w:val="1310"/>
          <w:jc w:val="center"/>
        </w:trPr>
        <w:tc>
          <w:tcPr>
            <w:tcW w:w="447" w:type="dxa"/>
            <w:vMerge w:val="restart"/>
            <w:vAlign w:val="center"/>
          </w:tcPr>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b/>
                <w:bCs/>
                <w:color w:val="000000"/>
                <w:sz w:val="21"/>
                <w:szCs w:val="21"/>
              </w:rPr>
            </w:pPr>
          </w:p>
          <w:p w:rsidR="00B04AE3" w:rsidRDefault="00B04AE3">
            <w:pPr>
              <w:widowControl/>
              <w:spacing w:line="320" w:lineRule="exact"/>
              <w:rPr>
                <w:color w:val="000000"/>
                <w:sz w:val="21"/>
                <w:szCs w:val="21"/>
              </w:rPr>
            </w:pPr>
            <w:r>
              <w:rPr>
                <w:rFonts w:hint="eastAsia"/>
                <w:b/>
                <w:bCs/>
                <w:color w:val="000000"/>
                <w:sz w:val="21"/>
                <w:szCs w:val="21"/>
              </w:rPr>
              <w:t>毒性危害</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接触限值：</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中国</w:t>
            </w:r>
            <w:r>
              <w:rPr>
                <w:color w:val="000000"/>
                <w:sz w:val="21"/>
                <w:szCs w:val="21"/>
              </w:rPr>
              <w:t>MAC</w:t>
            </w:r>
            <w:r>
              <w:rPr>
                <w:rFonts w:hint="eastAsia"/>
                <w:color w:val="000000"/>
                <w:sz w:val="21"/>
                <w:szCs w:val="21"/>
              </w:rPr>
              <w:t>：</w:t>
            </w:r>
            <w:r>
              <w:rPr>
                <w:color w:val="000000"/>
                <w:sz w:val="21"/>
                <w:szCs w:val="21"/>
              </w:rPr>
              <w:t>0.5mg/m</w:t>
            </w:r>
            <w:r>
              <w:rPr>
                <w:color w:val="000000"/>
                <w:sz w:val="21"/>
                <w:szCs w:val="21"/>
                <w:vertAlign w:val="superscript"/>
              </w:rPr>
              <w:t>3</w:t>
            </w:r>
            <w:r>
              <w:rPr>
                <w:color w:val="000000"/>
                <w:sz w:val="21"/>
                <w:szCs w:val="21"/>
              </w:rPr>
              <w:br/>
            </w:r>
            <w:r>
              <w:rPr>
                <w:rFonts w:hint="eastAsia"/>
                <w:color w:val="000000"/>
                <w:sz w:val="21"/>
                <w:szCs w:val="21"/>
              </w:rPr>
              <w:t>苏联</w:t>
            </w:r>
            <w:r>
              <w:rPr>
                <w:color w:val="000000"/>
                <w:sz w:val="21"/>
                <w:szCs w:val="21"/>
              </w:rPr>
              <w:t>MAC</w:t>
            </w:r>
            <w:r>
              <w:rPr>
                <w:rFonts w:hint="eastAsia"/>
                <w:color w:val="000000"/>
                <w:sz w:val="21"/>
                <w:szCs w:val="21"/>
              </w:rPr>
              <w:t>：未制定标准</w:t>
            </w:r>
            <w:r>
              <w:rPr>
                <w:color w:val="000000"/>
                <w:sz w:val="21"/>
                <w:szCs w:val="21"/>
              </w:rPr>
              <w:br/>
            </w:r>
            <w:r>
              <w:rPr>
                <w:rFonts w:hint="eastAsia"/>
                <w:color w:val="000000"/>
                <w:sz w:val="21"/>
                <w:szCs w:val="21"/>
              </w:rPr>
              <w:t>美国</w:t>
            </w:r>
            <w:r>
              <w:rPr>
                <w:color w:val="000000"/>
                <w:sz w:val="21"/>
                <w:szCs w:val="21"/>
              </w:rPr>
              <w:t>TWA</w:t>
            </w:r>
            <w:r>
              <w:rPr>
                <w:rFonts w:hint="eastAsia"/>
                <w:color w:val="000000"/>
                <w:sz w:val="21"/>
                <w:szCs w:val="21"/>
              </w:rPr>
              <w:t>：</w:t>
            </w:r>
            <w:r>
              <w:rPr>
                <w:color w:val="000000"/>
                <w:sz w:val="21"/>
                <w:szCs w:val="21"/>
              </w:rPr>
              <w:t>OSHA 2mg/m</w:t>
            </w:r>
            <w:r>
              <w:rPr>
                <w:color w:val="000000"/>
                <w:sz w:val="21"/>
                <w:szCs w:val="21"/>
                <w:vertAlign w:val="superscript"/>
              </w:rPr>
              <w:t>3</w:t>
            </w:r>
            <w:r>
              <w:rPr>
                <w:rFonts w:hint="eastAsia"/>
                <w:color w:val="000000"/>
                <w:sz w:val="21"/>
                <w:szCs w:val="21"/>
              </w:rPr>
              <w:t>；</w:t>
            </w:r>
            <w:r>
              <w:rPr>
                <w:color w:val="000000"/>
                <w:sz w:val="21"/>
                <w:szCs w:val="21"/>
              </w:rPr>
              <w:t>ACGIH 2mg/m3[</w:t>
            </w:r>
            <w:r>
              <w:rPr>
                <w:rFonts w:hint="eastAsia"/>
                <w:color w:val="000000"/>
                <w:sz w:val="21"/>
                <w:szCs w:val="21"/>
              </w:rPr>
              <w:t>上限值</w:t>
            </w:r>
            <w:r>
              <w:rPr>
                <w:color w:val="000000"/>
                <w:sz w:val="21"/>
                <w:szCs w:val="21"/>
              </w:rPr>
              <w:t>]</w:t>
            </w:r>
            <w:r>
              <w:rPr>
                <w:color w:val="000000"/>
                <w:sz w:val="21"/>
                <w:szCs w:val="21"/>
              </w:rPr>
              <w:br/>
            </w:r>
            <w:r>
              <w:rPr>
                <w:rFonts w:hint="eastAsia"/>
                <w:color w:val="000000"/>
                <w:sz w:val="21"/>
                <w:szCs w:val="21"/>
              </w:rPr>
              <w:t>美国</w:t>
            </w:r>
            <w:r>
              <w:rPr>
                <w:color w:val="000000"/>
                <w:sz w:val="21"/>
                <w:szCs w:val="21"/>
              </w:rPr>
              <w:t>STEL</w:t>
            </w:r>
            <w:r>
              <w:rPr>
                <w:rFonts w:hint="eastAsia"/>
                <w:color w:val="000000"/>
                <w:sz w:val="21"/>
                <w:szCs w:val="21"/>
              </w:rPr>
              <w:t>：未制定标准</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侵入途径：</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吸入</w:t>
            </w:r>
            <w:r>
              <w:rPr>
                <w:color w:val="000000"/>
                <w:sz w:val="21"/>
                <w:szCs w:val="21"/>
              </w:rPr>
              <w:t>  </w:t>
            </w:r>
            <w:r>
              <w:rPr>
                <w:rFonts w:hint="eastAsia"/>
                <w:color w:val="000000"/>
                <w:sz w:val="21"/>
                <w:szCs w:val="21"/>
              </w:rPr>
              <w:t>食入</w:t>
            </w:r>
            <w:r>
              <w:rPr>
                <w:color w:val="000000"/>
                <w:sz w:val="21"/>
                <w:szCs w:val="21"/>
              </w:rPr>
              <w:t xml:space="preserve">   </w:t>
            </w:r>
          </w:p>
        </w:tc>
      </w:tr>
      <w:tr w:rsidR="00B04AE3">
        <w:trPr>
          <w:trHeight w:val="1310"/>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毒性：</w:t>
            </w:r>
          </w:p>
        </w:tc>
        <w:tc>
          <w:tcPr>
            <w:tcW w:w="5853" w:type="dxa"/>
            <w:vAlign w:val="center"/>
          </w:tcPr>
          <w:p w:rsidR="00B04AE3" w:rsidRDefault="00B04AE3">
            <w:pPr>
              <w:widowControl/>
              <w:spacing w:line="320" w:lineRule="exact"/>
              <w:rPr>
                <w:color w:val="000000"/>
                <w:sz w:val="21"/>
                <w:szCs w:val="21"/>
              </w:rPr>
            </w:pPr>
            <w:r>
              <w:rPr>
                <w:color w:val="000000"/>
                <w:sz w:val="21"/>
                <w:szCs w:val="21"/>
              </w:rPr>
              <w:t>IDLH</w:t>
            </w:r>
            <w:r>
              <w:rPr>
                <w:rFonts w:hint="eastAsia"/>
                <w:color w:val="000000"/>
                <w:sz w:val="21"/>
                <w:szCs w:val="21"/>
              </w:rPr>
              <w:t>：</w:t>
            </w:r>
            <w:r>
              <w:rPr>
                <w:color w:val="000000"/>
                <w:sz w:val="21"/>
                <w:szCs w:val="21"/>
              </w:rPr>
              <w:t>10mg/m</w:t>
            </w:r>
            <w:r>
              <w:rPr>
                <w:color w:val="000000"/>
                <w:sz w:val="21"/>
                <w:szCs w:val="21"/>
                <w:vertAlign w:val="superscript"/>
              </w:rPr>
              <w:t>3</w:t>
            </w:r>
            <w:r>
              <w:rPr>
                <w:color w:val="000000"/>
                <w:sz w:val="21"/>
                <w:szCs w:val="21"/>
              </w:rPr>
              <w:br/>
            </w:r>
            <w:r>
              <w:rPr>
                <w:rFonts w:hint="eastAsia"/>
                <w:color w:val="000000"/>
                <w:sz w:val="21"/>
                <w:szCs w:val="21"/>
              </w:rPr>
              <w:t>嗅阈：未被列出；在</w:t>
            </w:r>
            <w:r>
              <w:rPr>
                <w:color w:val="000000"/>
                <w:sz w:val="21"/>
                <w:szCs w:val="21"/>
              </w:rPr>
              <w:t>2mg/m</w:t>
            </w:r>
            <w:r>
              <w:rPr>
                <w:color w:val="000000"/>
                <w:sz w:val="21"/>
                <w:szCs w:val="21"/>
                <w:vertAlign w:val="superscript"/>
              </w:rPr>
              <w:t>3</w:t>
            </w:r>
            <w:r>
              <w:rPr>
                <w:rFonts w:hint="eastAsia"/>
                <w:color w:val="000000"/>
                <w:sz w:val="21"/>
                <w:szCs w:val="21"/>
              </w:rPr>
              <w:t>时有黏膜刺激</w:t>
            </w:r>
            <w:r>
              <w:rPr>
                <w:color w:val="000000"/>
                <w:sz w:val="21"/>
                <w:szCs w:val="21"/>
              </w:rPr>
              <w:br/>
              <w:t>OSHA</w:t>
            </w:r>
            <w:r>
              <w:rPr>
                <w:rFonts w:hint="eastAsia"/>
                <w:color w:val="000000"/>
                <w:sz w:val="21"/>
                <w:szCs w:val="21"/>
              </w:rPr>
              <w:t>：表</w:t>
            </w:r>
            <w:r>
              <w:rPr>
                <w:color w:val="000000"/>
                <w:sz w:val="21"/>
                <w:szCs w:val="21"/>
              </w:rPr>
              <w:t>Z—1</w:t>
            </w:r>
            <w:r>
              <w:rPr>
                <w:rFonts w:hint="eastAsia"/>
                <w:color w:val="000000"/>
                <w:sz w:val="21"/>
                <w:szCs w:val="21"/>
              </w:rPr>
              <w:t>空气污染物</w:t>
            </w:r>
            <w:r>
              <w:rPr>
                <w:color w:val="000000"/>
                <w:sz w:val="21"/>
                <w:szCs w:val="21"/>
              </w:rPr>
              <w:br/>
              <w:t>NIOSH</w:t>
            </w:r>
            <w:r>
              <w:rPr>
                <w:rFonts w:hint="eastAsia"/>
                <w:color w:val="000000"/>
                <w:sz w:val="21"/>
                <w:szCs w:val="21"/>
              </w:rPr>
              <w:t>标准文件：</w:t>
            </w:r>
            <w:r>
              <w:rPr>
                <w:color w:val="000000"/>
                <w:sz w:val="21"/>
                <w:szCs w:val="21"/>
              </w:rPr>
              <w:t xml:space="preserve">NIOSH 76—105   </w:t>
            </w:r>
          </w:p>
        </w:tc>
      </w:tr>
      <w:tr w:rsidR="00B04AE3">
        <w:trPr>
          <w:trHeight w:val="992"/>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健康危害：</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本品有强烈刺激和腐蚀性。粉尘或烟雾刺激眼和呼吸道，腐蚀鼻中隔；皮肤和眼直接接触可引起灼伤；误服可造成消化道灼伤，粘膜糜烂、出血和休克。</w:t>
            </w:r>
            <w:r>
              <w:rPr>
                <w:color w:val="000000"/>
                <w:sz w:val="21"/>
                <w:szCs w:val="21"/>
              </w:rPr>
              <w:t xml:space="preserve"> </w:t>
            </w:r>
          </w:p>
        </w:tc>
      </w:tr>
      <w:tr w:rsidR="00B04AE3">
        <w:trPr>
          <w:trHeight w:val="1629"/>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急</w:t>
            </w: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救</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皮肤接触：</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立即用水冲洗至少</w:t>
            </w:r>
            <w:r>
              <w:rPr>
                <w:color w:val="000000"/>
                <w:sz w:val="21"/>
                <w:szCs w:val="21"/>
              </w:rPr>
              <w:t>15</w:t>
            </w:r>
            <w:r>
              <w:rPr>
                <w:rFonts w:hint="eastAsia"/>
                <w:color w:val="000000"/>
                <w:sz w:val="21"/>
                <w:szCs w:val="21"/>
              </w:rPr>
              <w:t>分钟。若有灼伤，就医治疗。脱去并隔离被污染的衣服和鞋。对少量皮肤接触，避免将物质播散面积扩大。注意患者保暖并且保持安静。吸入、食入或皮肤接触该物质可引起迟发反应。确保医务人员了解该物质相关的个体防护知识，注意自身防护。</w:t>
            </w:r>
            <w:r>
              <w:rPr>
                <w:color w:val="000000"/>
                <w:sz w:val="21"/>
                <w:szCs w:val="21"/>
              </w:rPr>
              <w:t xml:space="preserve">   </w:t>
            </w:r>
          </w:p>
        </w:tc>
      </w:tr>
      <w:tr w:rsidR="00B04AE3">
        <w:trPr>
          <w:trHeight w:val="673"/>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眼睛接触：</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立即提起眼脸，用流动清水或生理盐水冲洗至少</w:t>
            </w:r>
            <w:r>
              <w:rPr>
                <w:color w:val="000000"/>
                <w:sz w:val="21"/>
                <w:szCs w:val="21"/>
              </w:rPr>
              <w:t>15</w:t>
            </w:r>
            <w:r>
              <w:rPr>
                <w:rFonts w:hint="eastAsia"/>
                <w:color w:val="000000"/>
                <w:sz w:val="21"/>
                <w:szCs w:val="21"/>
              </w:rPr>
              <w:t>分钟。或用</w:t>
            </w:r>
            <w:r>
              <w:rPr>
                <w:color w:val="000000"/>
                <w:sz w:val="21"/>
                <w:szCs w:val="21"/>
              </w:rPr>
              <w:t>3%</w:t>
            </w:r>
            <w:r>
              <w:rPr>
                <w:rFonts w:hint="eastAsia"/>
                <w:color w:val="000000"/>
                <w:sz w:val="21"/>
                <w:szCs w:val="21"/>
              </w:rPr>
              <w:t>硼酸溶液冲洗。就医。</w:t>
            </w:r>
            <w:r>
              <w:rPr>
                <w:color w:val="000000"/>
                <w:sz w:val="21"/>
                <w:szCs w:val="21"/>
              </w:rPr>
              <w:t xml:space="preserve">   </w:t>
            </w:r>
          </w:p>
        </w:tc>
      </w:tr>
      <w:tr w:rsidR="00B04AE3">
        <w:trPr>
          <w:trHeight w:val="1310"/>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吸入：</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脱离现场至空气新鲜处。必要时进行人工呼吸。就医。如果呼吸困难，给予吸氧。如果患者食入或吸入该物质不要用口对口进行人工呼吸，可用单向阀小型呼吸器或其他适当的医疗呼吸器。</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食入：</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患者清醒时立即漱口，口服稀释的醋或柠檬汁，就医。</w:t>
            </w:r>
            <w:r>
              <w:rPr>
                <w:color w:val="000000"/>
                <w:sz w:val="21"/>
                <w:szCs w:val="21"/>
              </w:rPr>
              <w:t xml:space="preserve">   </w:t>
            </w:r>
          </w:p>
        </w:tc>
      </w:tr>
      <w:tr w:rsidR="00B04AE3">
        <w:trPr>
          <w:trHeight w:val="354"/>
          <w:jc w:val="center"/>
        </w:trPr>
        <w:tc>
          <w:tcPr>
            <w:tcW w:w="447" w:type="dxa"/>
            <w:vMerge w:val="restart"/>
            <w:vAlign w:val="center"/>
          </w:tcPr>
          <w:p w:rsidR="00B04AE3" w:rsidRDefault="00B04AE3">
            <w:pPr>
              <w:widowControl/>
              <w:spacing w:before="100" w:beforeAutospacing="1" w:after="100" w:afterAutospacing="1" w:line="320" w:lineRule="exact"/>
              <w:rPr>
                <w:b/>
                <w:bCs/>
                <w:color w:val="000000"/>
                <w:sz w:val="21"/>
                <w:szCs w:val="21"/>
              </w:rPr>
            </w:pPr>
          </w:p>
          <w:p w:rsidR="00B04AE3" w:rsidRDefault="00B04AE3">
            <w:pPr>
              <w:widowControl/>
              <w:spacing w:before="100" w:beforeAutospacing="1" w:after="100" w:afterAutospacing="1" w:line="320" w:lineRule="exact"/>
              <w:rPr>
                <w:color w:val="000000"/>
                <w:sz w:val="21"/>
                <w:szCs w:val="21"/>
              </w:rPr>
            </w:pPr>
            <w:r>
              <w:rPr>
                <w:rFonts w:hint="eastAsia"/>
                <w:b/>
                <w:bCs/>
                <w:color w:val="000000"/>
                <w:sz w:val="21"/>
                <w:szCs w:val="21"/>
              </w:rPr>
              <w:t>防</w:t>
            </w:r>
            <w:r>
              <w:rPr>
                <w:b/>
                <w:bCs/>
                <w:color w:val="000000"/>
                <w:sz w:val="21"/>
                <w:szCs w:val="21"/>
              </w:rPr>
              <w:br/>
            </w:r>
            <w:r>
              <w:rPr>
                <w:b/>
                <w:bCs/>
                <w:color w:val="000000"/>
                <w:sz w:val="21"/>
                <w:szCs w:val="21"/>
              </w:rPr>
              <w:br/>
            </w:r>
            <w:r>
              <w:rPr>
                <w:rFonts w:hint="eastAsia"/>
                <w:b/>
                <w:bCs/>
                <w:color w:val="000000"/>
                <w:sz w:val="21"/>
                <w:szCs w:val="21"/>
              </w:rPr>
              <w:t>护</w:t>
            </w:r>
            <w:r>
              <w:rPr>
                <w:b/>
                <w:bCs/>
                <w:color w:val="000000"/>
                <w:sz w:val="21"/>
                <w:szCs w:val="21"/>
              </w:rPr>
              <w:br/>
            </w:r>
            <w:r>
              <w:rPr>
                <w:b/>
                <w:bCs/>
                <w:color w:val="000000"/>
                <w:sz w:val="21"/>
                <w:szCs w:val="21"/>
              </w:rPr>
              <w:br/>
            </w:r>
            <w:r>
              <w:rPr>
                <w:rFonts w:hint="eastAsia"/>
                <w:b/>
                <w:bCs/>
                <w:color w:val="000000"/>
                <w:sz w:val="21"/>
                <w:szCs w:val="21"/>
              </w:rPr>
              <w:t>措</w:t>
            </w:r>
            <w:r>
              <w:rPr>
                <w:b/>
                <w:bCs/>
                <w:color w:val="000000"/>
                <w:sz w:val="21"/>
                <w:szCs w:val="21"/>
              </w:rPr>
              <w:br/>
            </w:r>
            <w:r>
              <w:rPr>
                <w:b/>
                <w:bCs/>
                <w:color w:val="000000"/>
                <w:sz w:val="21"/>
                <w:szCs w:val="21"/>
              </w:rPr>
              <w:br/>
            </w:r>
            <w:r>
              <w:rPr>
                <w:rFonts w:hint="eastAsia"/>
                <w:b/>
                <w:bCs/>
                <w:color w:val="000000"/>
                <w:sz w:val="21"/>
                <w:szCs w:val="21"/>
              </w:rPr>
              <w:t>施</w:t>
            </w: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工程控制：</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密闭操作。</w:t>
            </w:r>
            <w:r>
              <w:rPr>
                <w:color w:val="000000"/>
                <w:sz w:val="21"/>
                <w:szCs w:val="21"/>
              </w:rPr>
              <w:t xml:space="preserve">   </w:t>
            </w:r>
          </w:p>
        </w:tc>
      </w:tr>
      <w:tr w:rsidR="00B04AE3">
        <w:trPr>
          <w:trHeight w:val="258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呼吸系统防护：</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必要时佩带防毒口罩。</w:t>
            </w:r>
            <w:r>
              <w:rPr>
                <w:color w:val="000000"/>
                <w:sz w:val="21"/>
                <w:szCs w:val="21"/>
              </w:rPr>
              <w:t>NIOSH/OSHA  10mg/m</w:t>
            </w:r>
            <w:r>
              <w:rPr>
                <w:color w:val="000000"/>
                <w:sz w:val="21"/>
                <w:szCs w:val="21"/>
                <w:vertAlign w:val="superscript"/>
              </w:rPr>
              <w:t>3</w:t>
            </w:r>
            <w:r>
              <w:rPr>
                <w:rFonts w:hint="eastAsia"/>
                <w:color w:val="000000"/>
                <w:sz w:val="21"/>
                <w:szCs w:val="21"/>
              </w:rPr>
              <w:t>：连续供气式呼吸器、高效滤层防微粒全面罩呼吸器、动力驱动带烟尘过滤层的空气净化呼吸器、自携式呼吸器、全面罩呼吸器。</w:t>
            </w:r>
            <w:r>
              <w:rPr>
                <w:color w:val="000000"/>
                <w:sz w:val="21"/>
                <w:szCs w:val="21"/>
              </w:rPr>
              <w:t>    </w:t>
            </w:r>
            <w:r>
              <w:rPr>
                <w:rFonts w:hint="eastAsia"/>
                <w:color w:val="000000"/>
                <w:sz w:val="21"/>
                <w:szCs w:val="21"/>
              </w:rPr>
              <w:t>应急或有计划进入浓度未知区域，或处于立即危及生命或健康的状况：自携式正压全面罩呼吸器、供气式正压全面罩呼吸器辅之以辅助自携式正压呼吸器。</w:t>
            </w:r>
            <w:r>
              <w:rPr>
                <w:color w:val="000000"/>
                <w:sz w:val="21"/>
                <w:szCs w:val="21"/>
              </w:rPr>
              <w:t> </w:t>
            </w:r>
          </w:p>
          <w:p w:rsidR="00B04AE3" w:rsidRDefault="00B04AE3">
            <w:pPr>
              <w:widowControl/>
              <w:spacing w:line="320" w:lineRule="exact"/>
              <w:rPr>
                <w:color w:val="000000"/>
                <w:sz w:val="21"/>
                <w:szCs w:val="21"/>
              </w:rPr>
            </w:pPr>
            <w:r>
              <w:rPr>
                <w:rFonts w:hint="eastAsia"/>
                <w:color w:val="000000"/>
                <w:sz w:val="21"/>
                <w:szCs w:val="21"/>
              </w:rPr>
              <w:t>逃生：高效滤层防微粒全面罩呼吸器、自携式逃生呼吸器。</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眼睛防护：</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戴化学安全防护眼镜。</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防护服：</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穿工作服</w:t>
            </w:r>
            <w:r>
              <w:rPr>
                <w:color w:val="000000"/>
                <w:sz w:val="21"/>
                <w:szCs w:val="21"/>
              </w:rPr>
              <w:t>(</w:t>
            </w:r>
            <w:r>
              <w:rPr>
                <w:rFonts w:hint="eastAsia"/>
                <w:color w:val="000000"/>
                <w:sz w:val="21"/>
                <w:szCs w:val="21"/>
              </w:rPr>
              <w:t>防腐材料制作</w:t>
            </w:r>
            <w:r>
              <w:rPr>
                <w:color w:val="000000"/>
                <w:sz w:val="21"/>
                <w:szCs w:val="21"/>
              </w:rPr>
              <w:t>)</w:t>
            </w:r>
            <w:r>
              <w:rPr>
                <w:rFonts w:hint="eastAsia"/>
                <w:color w:val="000000"/>
                <w:sz w:val="21"/>
                <w:szCs w:val="21"/>
              </w:rPr>
              <w:t>。</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手防护：</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戴橡皮手套。</w:t>
            </w:r>
            <w:r>
              <w:rPr>
                <w:color w:val="000000"/>
                <w:sz w:val="21"/>
                <w:szCs w:val="21"/>
              </w:rPr>
              <w:t xml:space="preserve">   </w:t>
            </w:r>
          </w:p>
        </w:tc>
      </w:tr>
      <w:tr w:rsidR="00B04AE3">
        <w:trPr>
          <w:trHeight w:val="354"/>
          <w:jc w:val="center"/>
        </w:trPr>
        <w:tc>
          <w:tcPr>
            <w:tcW w:w="447" w:type="dxa"/>
            <w:vMerge/>
            <w:vAlign w:val="center"/>
          </w:tcPr>
          <w:p w:rsidR="00B04AE3" w:rsidRDefault="00B04AE3">
            <w:pPr>
              <w:widowControl/>
              <w:spacing w:line="320" w:lineRule="exact"/>
              <w:rPr>
                <w:color w:val="000000"/>
                <w:sz w:val="21"/>
                <w:szCs w:val="21"/>
              </w:rPr>
            </w:pPr>
          </w:p>
        </w:tc>
        <w:tc>
          <w:tcPr>
            <w:tcW w:w="2325" w:type="dxa"/>
            <w:vAlign w:val="center"/>
          </w:tcPr>
          <w:p w:rsidR="00B04AE3" w:rsidRDefault="00B04AE3">
            <w:pPr>
              <w:widowControl/>
              <w:spacing w:line="320" w:lineRule="exact"/>
              <w:rPr>
                <w:color w:val="000000"/>
                <w:sz w:val="21"/>
                <w:szCs w:val="21"/>
              </w:rPr>
            </w:pPr>
            <w:r>
              <w:rPr>
                <w:rFonts w:hint="eastAsia"/>
                <w:color w:val="000000"/>
                <w:sz w:val="21"/>
                <w:szCs w:val="21"/>
              </w:rPr>
              <w:t>其他：</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工作后，淋浴更衣。注意个人清洁卫生。</w:t>
            </w:r>
            <w:r>
              <w:rPr>
                <w:color w:val="000000"/>
                <w:sz w:val="21"/>
                <w:szCs w:val="21"/>
              </w:rPr>
              <w:t xml:space="preserve">   </w:t>
            </w:r>
          </w:p>
        </w:tc>
      </w:tr>
      <w:tr w:rsidR="00B04AE3">
        <w:trPr>
          <w:trHeight w:val="1997"/>
          <w:jc w:val="center"/>
        </w:trPr>
        <w:tc>
          <w:tcPr>
            <w:tcW w:w="2772" w:type="dxa"/>
            <w:gridSpan w:val="2"/>
            <w:vAlign w:val="center"/>
          </w:tcPr>
          <w:p w:rsidR="00B04AE3" w:rsidRDefault="00B04AE3">
            <w:pPr>
              <w:widowControl/>
              <w:spacing w:line="320" w:lineRule="exact"/>
              <w:rPr>
                <w:b/>
                <w:color w:val="000000"/>
                <w:sz w:val="21"/>
                <w:szCs w:val="21"/>
              </w:rPr>
            </w:pPr>
            <w:r>
              <w:rPr>
                <w:rFonts w:hint="eastAsia"/>
                <w:b/>
                <w:color w:val="000000"/>
                <w:sz w:val="21"/>
                <w:szCs w:val="21"/>
              </w:rPr>
              <w:t>泄漏处置：</w:t>
            </w:r>
          </w:p>
        </w:tc>
        <w:tc>
          <w:tcPr>
            <w:tcW w:w="5853" w:type="dxa"/>
            <w:vAlign w:val="center"/>
          </w:tcPr>
          <w:p w:rsidR="00B04AE3" w:rsidRDefault="00B04AE3">
            <w:pPr>
              <w:widowControl/>
              <w:spacing w:line="320" w:lineRule="exact"/>
              <w:rPr>
                <w:color w:val="000000"/>
                <w:sz w:val="21"/>
                <w:szCs w:val="21"/>
              </w:rPr>
            </w:pPr>
            <w:r>
              <w:rPr>
                <w:rFonts w:hint="eastAsia"/>
                <w:color w:val="000000"/>
                <w:sz w:val="21"/>
                <w:szCs w:val="21"/>
              </w:rPr>
              <w:t>隔离泄漏污染区，周围设警告标志，建议应急处理人员戴好防毒面具，穿化学防护服。不要直接接触泄漏物，用洁清的铲子收集于干燥净洁有盖的容器中，以少量加入大量水中，调节至中性，再放入废水系统。也可以用大量水冲洗，经稀释的洗水放入废水系统。如大量泄漏，收集回收或无害处理后废弃。</w:t>
            </w:r>
          </w:p>
        </w:tc>
      </w:tr>
    </w:tbl>
    <w:p w:rsidR="00B04AE3" w:rsidRDefault="00B04AE3">
      <w:pPr>
        <w:spacing w:before="82"/>
        <w:ind w:left="1280"/>
        <w:rPr>
          <w:b/>
          <w:sz w:val="24"/>
        </w:rPr>
      </w:pPr>
      <w:r>
        <w:rPr>
          <w:rFonts w:ascii="Times New Roman" w:eastAsia="Times New Roman"/>
          <w:b/>
          <w:sz w:val="24"/>
        </w:rPr>
        <w:t>2</w:t>
      </w:r>
      <w:r>
        <w:rPr>
          <w:rFonts w:hint="eastAsia"/>
          <w:b/>
          <w:sz w:val="24"/>
        </w:rPr>
        <w:t>、危险废物</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根据《国家危险废物名录》，生产过程中主要存在废乳化液。</w:t>
      </w:r>
    </w:p>
    <w:p w:rsidR="00B04AE3" w:rsidRDefault="00B04AE3">
      <w:pPr>
        <w:pStyle w:val="BodyText"/>
        <w:spacing w:before="20" w:line="360" w:lineRule="auto"/>
        <w:ind w:left="334" w:right="334" w:firstLine="482"/>
        <w:jc w:val="both"/>
        <w:rPr>
          <w:spacing w:val="-6"/>
          <w:szCs w:val="22"/>
        </w:rPr>
      </w:pPr>
      <w:r>
        <w:rPr>
          <w:rFonts w:hint="eastAsia"/>
          <w:spacing w:val="-6"/>
          <w:szCs w:val="22"/>
        </w:rPr>
        <w:t>废乳化液</w:t>
      </w:r>
    </w:p>
    <w:p w:rsidR="00B04AE3" w:rsidRDefault="00B04AE3">
      <w:pPr>
        <w:pStyle w:val="BodyText"/>
        <w:spacing w:before="20" w:line="360" w:lineRule="auto"/>
        <w:ind w:left="334" w:right="334" w:firstLine="482"/>
        <w:jc w:val="both"/>
        <w:rPr>
          <w:spacing w:val="-6"/>
          <w:szCs w:val="22"/>
        </w:rPr>
      </w:pPr>
      <w:r>
        <w:rPr>
          <w:rFonts w:hint="eastAsia"/>
          <w:spacing w:val="-6"/>
          <w:szCs w:val="22"/>
        </w:rPr>
        <w:t>①名称：废乳化液</w:t>
      </w:r>
    </w:p>
    <w:p w:rsidR="00B04AE3" w:rsidRDefault="00B04AE3">
      <w:pPr>
        <w:pStyle w:val="BodyText"/>
        <w:spacing w:before="20" w:line="360" w:lineRule="auto"/>
        <w:ind w:left="334" w:right="334" w:firstLine="482"/>
        <w:jc w:val="both"/>
        <w:rPr>
          <w:spacing w:val="-6"/>
          <w:szCs w:val="22"/>
        </w:rPr>
      </w:pPr>
      <w:r>
        <w:rPr>
          <w:rFonts w:hint="eastAsia"/>
          <w:spacing w:val="-6"/>
          <w:szCs w:val="22"/>
        </w:rPr>
        <w:t>②废物类别：</w:t>
      </w:r>
      <w:r>
        <w:rPr>
          <w:spacing w:val="-6"/>
          <w:szCs w:val="22"/>
        </w:rPr>
        <w:t>HW09</w:t>
      </w:r>
    </w:p>
    <w:p w:rsidR="00B04AE3" w:rsidRDefault="00B04AE3">
      <w:pPr>
        <w:pStyle w:val="BodyText"/>
        <w:spacing w:before="20" w:line="360" w:lineRule="auto"/>
        <w:ind w:left="334" w:right="334" w:firstLine="482"/>
        <w:jc w:val="both"/>
        <w:rPr>
          <w:spacing w:val="-6"/>
          <w:szCs w:val="22"/>
        </w:rPr>
      </w:pPr>
      <w:r>
        <w:rPr>
          <w:rFonts w:hint="eastAsia"/>
          <w:spacing w:val="-6"/>
          <w:szCs w:val="22"/>
        </w:rPr>
        <w:t>③废物代码：</w:t>
      </w:r>
      <w:r>
        <w:rPr>
          <w:spacing w:val="-6"/>
          <w:szCs w:val="22"/>
        </w:rPr>
        <w:t>900-007-09</w:t>
      </w:r>
    </w:p>
    <w:p w:rsidR="00B04AE3" w:rsidRDefault="00B04AE3">
      <w:pPr>
        <w:pStyle w:val="BodyText"/>
        <w:spacing w:before="20" w:line="360" w:lineRule="auto"/>
        <w:ind w:left="334" w:right="334" w:firstLine="482"/>
        <w:jc w:val="both"/>
        <w:rPr>
          <w:spacing w:val="-6"/>
          <w:szCs w:val="22"/>
        </w:rPr>
      </w:pPr>
      <w:r>
        <w:rPr>
          <w:rFonts w:hint="eastAsia"/>
          <w:spacing w:val="-6"/>
          <w:szCs w:val="22"/>
        </w:rPr>
        <w:t>④危险特性：毒性</w:t>
      </w:r>
      <w:r>
        <w:rPr>
          <w:spacing w:val="-6"/>
          <w:szCs w:val="22"/>
        </w:rPr>
        <w:t>( Toxicity, T)</w:t>
      </w:r>
    </w:p>
    <w:p w:rsidR="00B04AE3" w:rsidRDefault="00B04AE3">
      <w:pPr>
        <w:pStyle w:val="BodyText"/>
        <w:spacing w:before="20" w:line="360" w:lineRule="auto"/>
        <w:ind w:left="334" w:right="334" w:firstLine="482"/>
        <w:jc w:val="both"/>
        <w:rPr>
          <w:spacing w:val="-6"/>
          <w:szCs w:val="22"/>
        </w:rPr>
      </w:pPr>
      <w:r>
        <w:rPr>
          <w:rFonts w:hint="eastAsia"/>
          <w:spacing w:val="-6"/>
          <w:szCs w:val="22"/>
        </w:rPr>
        <w:t>⑤风险性：不受季节影响，泄漏后会对水源、土壤造成污染，误饮用被污染的水源会造成中毒。</w:t>
      </w:r>
    </w:p>
    <w:p w:rsidR="00B04AE3" w:rsidRDefault="00B04AE3">
      <w:pPr>
        <w:pStyle w:val="BodyText"/>
        <w:spacing w:before="20" w:line="360" w:lineRule="auto"/>
        <w:ind w:left="334" w:right="334" w:firstLine="482"/>
        <w:jc w:val="both"/>
        <w:rPr>
          <w:spacing w:val="-6"/>
          <w:szCs w:val="22"/>
        </w:rPr>
      </w:pPr>
      <w:r>
        <w:rPr>
          <w:rFonts w:hint="eastAsia"/>
          <w:spacing w:val="-6"/>
          <w:szCs w:val="22"/>
        </w:rPr>
        <w:t>⑥急救措施：如有人员中毒需及时送医救治。</w:t>
      </w:r>
    </w:p>
    <w:p w:rsidR="00B04AE3" w:rsidRDefault="00B04AE3">
      <w:pPr>
        <w:pStyle w:val="BodyText"/>
        <w:spacing w:before="20" w:line="360" w:lineRule="auto"/>
        <w:ind w:left="334" w:right="334" w:firstLine="482"/>
        <w:jc w:val="both"/>
        <w:rPr>
          <w:spacing w:val="-6"/>
          <w:szCs w:val="22"/>
        </w:rPr>
      </w:pPr>
      <w:r>
        <w:rPr>
          <w:rFonts w:hint="eastAsia"/>
          <w:spacing w:val="-6"/>
          <w:szCs w:val="22"/>
        </w:rPr>
        <w:t>⑦泄漏处理：未燃烧的可使用木屑进行吸附收集；如遇明火燃烧，少量初起阶段可使用消防沙、灭火器进行灭火，若火势过大需立即报警处理。</w:t>
      </w:r>
    </w:p>
    <w:p w:rsidR="00B04AE3" w:rsidRDefault="00B04AE3">
      <w:pPr>
        <w:pStyle w:val="Heading3"/>
        <w:numPr>
          <w:ilvl w:val="2"/>
          <w:numId w:val="41"/>
        </w:numPr>
        <w:tabs>
          <w:tab w:val="left" w:pos="1340"/>
        </w:tabs>
        <w:spacing w:before="160"/>
        <w:ind w:left="1340" w:hanging="540"/>
      </w:pPr>
      <w:bookmarkStart w:id="271" w:name="2.4.2生产设施风险源识别"/>
      <w:bookmarkStart w:id="272" w:name="_bookmark83"/>
      <w:bookmarkEnd w:id="271"/>
      <w:bookmarkEnd w:id="272"/>
      <w:r>
        <w:rPr>
          <w:rFonts w:hint="eastAsia"/>
        </w:rPr>
        <w:t>生产设施风险源识别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生产设施风险识别范围：主要生产装置、贮运系统、公用工程系统、工程环保设施及辅助生产设施等。</w:t>
      </w:r>
    </w:p>
    <w:p w:rsidR="00B04AE3" w:rsidRDefault="00B04AE3">
      <w:pPr>
        <w:spacing w:before="160"/>
        <w:ind w:left="1280"/>
        <w:rPr>
          <w:b/>
          <w:sz w:val="24"/>
        </w:rPr>
      </w:pPr>
      <w:r>
        <w:rPr>
          <w:rFonts w:ascii="Times New Roman" w:eastAsia="Times New Roman"/>
          <w:b/>
          <w:sz w:val="24"/>
        </w:rPr>
        <w:t>1</w:t>
      </w:r>
      <w:r>
        <w:rPr>
          <w:rFonts w:hint="eastAsia"/>
          <w:b/>
          <w:sz w:val="24"/>
        </w:rPr>
        <w:t>、生产过程中的危险因素</w:t>
      </w:r>
    </w:p>
    <w:p w:rsidR="00B04AE3" w:rsidRDefault="00B04AE3">
      <w:pPr>
        <w:pStyle w:val="BodyText"/>
        <w:spacing w:before="20" w:line="360" w:lineRule="auto"/>
        <w:ind w:left="334" w:right="334" w:firstLine="482"/>
        <w:jc w:val="both"/>
        <w:rPr>
          <w:spacing w:val="-6"/>
          <w:szCs w:val="22"/>
        </w:rPr>
      </w:pPr>
      <w:r>
        <w:rPr>
          <w:rFonts w:hint="eastAsia"/>
          <w:spacing w:val="-6"/>
          <w:szCs w:val="22"/>
        </w:rPr>
        <w:t>生产过程中存在的设施风险因素有火灾、爆炸、中毒、废气超标排放等。国内外生产经验表明，设备故障、操作失误都可能发生物料泄漏，燃烧爆炸，危害人身安全，污染环境。</w:t>
      </w:r>
    </w:p>
    <w:p w:rsidR="00B04AE3" w:rsidRDefault="00B04AE3">
      <w:pPr>
        <w:pStyle w:val="BodyText"/>
        <w:spacing w:before="2"/>
        <w:ind w:left="1280"/>
      </w:pPr>
      <w:r>
        <w:rPr>
          <w:rFonts w:hint="eastAsia"/>
        </w:rPr>
        <w:t>有关生产过程中潜在的危险因素分析见表</w:t>
      </w:r>
      <w:r>
        <w:t xml:space="preserve"> </w:t>
      </w:r>
      <w:r>
        <w:rPr>
          <w:rFonts w:ascii="Times New Roman" w:eastAsia="Times New Roman"/>
        </w:rPr>
        <w:t>2.4-4</w:t>
      </w:r>
      <w:r>
        <w:rPr>
          <w:rFonts w:hint="eastAsia"/>
        </w:rPr>
        <w:t>。</w:t>
      </w:r>
    </w:p>
    <w:p w:rsidR="00B04AE3" w:rsidRDefault="00B04AE3">
      <w:pPr>
        <w:tabs>
          <w:tab w:val="left" w:pos="3190"/>
        </w:tabs>
        <w:spacing w:before="83"/>
        <w:ind w:left="2156"/>
        <w:rPr>
          <w:b/>
          <w:sz w:val="24"/>
        </w:rPr>
      </w:pPr>
      <w:r>
        <w:rPr>
          <w:rFonts w:hint="eastAsia"/>
          <w:b/>
          <w:sz w:val="24"/>
        </w:rPr>
        <w:t>表</w:t>
      </w:r>
      <w:r>
        <w:rPr>
          <w:b/>
          <w:spacing w:val="-64"/>
          <w:sz w:val="24"/>
        </w:rPr>
        <w:t xml:space="preserve"> </w:t>
      </w:r>
      <w:r>
        <w:rPr>
          <w:rFonts w:ascii="Times New Roman" w:eastAsia="Times New Roman"/>
          <w:b/>
          <w:sz w:val="24"/>
        </w:rPr>
        <w:t>2.4-4</w:t>
      </w:r>
      <w:r>
        <w:rPr>
          <w:rFonts w:ascii="Times New Roman" w:eastAsia="Times New Roman"/>
          <w:b/>
          <w:sz w:val="24"/>
        </w:rPr>
        <w:tab/>
      </w:r>
      <w:r>
        <w:rPr>
          <w:rFonts w:hint="eastAsia"/>
          <w:b/>
          <w:sz w:val="24"/>
        </w:rPr>
        <w:t>生产过程中潜在的环境风险事故类型一览表</w:t>
      </w:r>
    </w:p>
    <w:tbl>
      <w:tblPr>
        <w:tblW w:w="8522" w:type="dxa"/>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115"/>
        <w:gridCol w:w="1735"/>
        <w:gridCol w:w="2550"/>
        <w:gridCol w:w="3122"/>
      </w:tblGrid>
      <w:tr w:rsidR="00B04AE3">
        <w:trPr>
          <w:trHeight w:val="397"/>
        </w:trPr>
        <w:tc>
          <w:tcPr>
            <w:tcW w:w="1115" w:type="dxa"/>
            <w:shd w:val="clear" w:color="auto" w:fill="D9D9D9"/>
          </w:tcPr>
          <w:p w:rsidR="00B04AE3" w:rsidRDefault="00B04AE3">
            <w:pPr>
              <w:pStyle w:val="TableParagraph"/>
              <w:spacing w:before="21"/>
              <w:ind w:left="326" w:right="316"/>
              <w:rPr>
                <w:b/>
                <w:sz w:val="21"/>
              </w:rPr>
            </w:pPr>
            <w:r>
              <w:rPr>
                <w:rFonts w:hint="eastAsia"/>
                <w:b/>
                <w:sz w:val="21"/>
              </w:rPr>
              <w:t>序号</w:t>
            </w:r>
          </w:p>
        </w:tc>
        <w:tc>
          <w:tcPr>
            <w:tcW w:w="1735" w:type="dxa"/>
            <w:shd w:val="clear" w:color="auto" w:fill="D9D9D9"/>
          </w:tcPr>
          <w:p w:rsidR="00B04AE3" w:rsidRDefault="00B04AE3">
            <w:pPr>
              <w:pStyle w:val="TableParagraph"/>
              <w:spacing w:before="21"/>
              <w:ind w:left="110" w:right="103"/>
              <w:rPr>
                <w:b/>
                <w:sz w:val="21"/>
              </w:rPr>
            </w:pPr>
            <w:r>
              <w:rPr>
                <w:rFonts w:hint="eastAsia"/>
                <w:b/>
                <w:sz w:val="21"/>
              </w:rPr>
              <w:t>名称</w:t>
            </w:r>
          </w:p>
        </w:tc>
        <w:tc>
          <w:tcPr>
            <w:tcW w:w="2550" w:type="dxa"/>
            <w:shd w:val="clear" w:color="auto" w:fill="D9D9D9"/>
          </w:tcPr>
          <w:p w:rsidR="00B04AE3" w:rsidRDefault="00B04AE3">
            <w:pPr>
              <w:pStyle w:val="TableParagraph"/>
              <w:spacing w:before="21"/>
              <w:ind w:left="727" w:right="717"/>
              <w:rPr>
                <w:b/>
                <w:sz w:val="21"/>
              </w:rPr>
            </w:pPr>
            <w:r>
              <w:rPr>
                <w:rFonts w:hint="eastAsia"/>
                <w:b/>
                <w:sz w:val="21"/>
              </w:rPr>
              <w:t>生产装置区</w:t>
            </w:r>
          </w:p>
        </w:tc>
        <w:tc>
          <w:tcPr>
            <w:tcW w:w="3122" w:type="dxa"/>
            <w:shd w:val="clear" w:color="auto" w:fill="D9D9D9"/>
          </w:tcPr>
          <w:p w:rsidR="00B04AE3" w:rsidRDefault="00B04AE3">
            <w:pPr>
              <w:pStyle w:val="TableParagraph"/>
              <w:spacing w:before="21"/>
              <w:ind w:left="1224" w:right="1214"/>
              <w:rPr>
                <w:b/>
                <w:sz w:val="21"/>
              </w:rPr>
            </w:pPr>
            <w:r>
              <w:rPr>
                <w:rFonts w:hint="eastAsia"/>
                <w:b/>
                <w:sz w:val="21"/>
              </w:rPr>
              <w:t>储罐区</w:t>
            </w:r>
          </w:p>
        </w:tc>
      </w:tr>
      <w:tr w:rsidR="00B04AE3">
        <w:trPr>
          <w:trHeight w:val="396"/>
        </w:trPr>
        <w:tc>
          <w:tcPr>
            <w:tcW w:w="1115" w:type="dxa"/>
          </w:tcPr>
          <w:p w:rsidR="00B04AE3" w:rsidRDefault="00B04AE3">
            <w:pPr>
              <w:pStyle w:val="TableParagraph"/>
              <w:spacing w:before="36"/>
              <w:ind w:left="7"/>
              <w:rPr>
                <w:rFonts w:ascii="Times New Roman"/>
                <w:sz w:val="21"/>
              </w:rPr>
            </w:pPr>
            <w:r>
              <w:rPr>
                <w:rFonts w:ascii="Times New Roman"/>
                <w:w w:val="99"/>
                <w:sz w:val="21"/>
              </w:rPr>
              <w:t>1</w:t>
            </w:r>
          </w:p>
        </w:tc>
        <w:tc>
          <w:tcPr>
            <w:tcW w:w="1735" w:type="dxa"/>
          </w:tcPr>
          <w:p w:rsidR="00B04AE3" w:rsidRDefault="00B04AE3">
            <w:pPr>
              <w:pStyle w:val="TableParagraph"/>
              <w:spacing w:before="22"/>
              <w:ind w:left="112" w:right="103"/>
              <w:rPr>
                <w:sz w:val="21"/>
              </w:rPr>
            </w:pPr>
            <w:r>
              <w:rPr>
                <w:rFonts w:hint="eastAsia"/>
                <w:sz w:val="21"/>
              </w:rPr>
              <w:t>火灾、爆炸危险</w:t>
            </w:r>
          </w:p>
        </w:tc>
        <w:tc>
          <w:tcPr>
            <w:tcW w:w="2550" w:type="dxa"/>
          </w:tcPr>
          <w:p w:rsidR="00B04AE3" w:rsidRDefault="00B04AE3">
            <w:pPr>
              <w:pStyle w:val="TableParagraph"/>
              <w:spacing w:before="17"/>
              <w:ind w:left="8"/>
              <w:rPr>
                <w:rFonts w:ascii="Times New Roman" w:hAnsi="Times New Roman"/>
                <w:sz w:val="24"/>
              </w:rPr>
            </w:pPr>
            <w:r>
              <w:rPr>
                <w:rFonts w:ascii="Times New Roman" w:hAnsi="Times New Roman"/>
                <w:sz w:val="24"/>
              </w:rPr>
              <w:t>√</w:t>
            </w:r>
          </w:p>
        </w:tc>
        <w:tc>
          <w:tcPr>
            <w:tcW w:w="3122" w:type="dxa"/>
          </w:tcPr>
          <w:p w:rsidR="00B04AE3" w:rsidRDefault="00B04AE3">
            <w:pPr>
              <w:pStyle w:val="TableParagraph"/>
              <w:spacing w:before="17"/>
              <w:ind w:left="9"/>
              <w:rPr>
                <w:rFonts w:ascii="Times New Roman" w:hAnsi="Times New Roman"/>
                <w:sz w:val="24"/>
              </w:rPr>
            </w:pPr>
            <w:r>
              <w:rPr>
                <w:rFonts w:ascii="Times New Roman" w:hAnsi="Times New Roman"/>
                <w:sz w:val="24"/>
              </w:rPr>
              <w:t>√</w:t>
            </w:r>
          </w:p>
        </w:tc>
      </w:tr>
      <w:tr w:rsidR="00B04AE3">
        <w:trPr>
          <w:trHeight w:val="397"/>
        </w:trPr>
        <w:tc>
          <w:tcPr>
            <w:tcW w:w="1115" w:type="dxa"/>
          </w:tcPr>
          <w:p w:rsidR="00B04AE3" w:rsidRDefault="00B04AE3">
            <w:pPr>
              <w:pStyle w:val="TableParagraph"/>
              <w:spacing w:before="34"/>
              <w:ind w:left="7"/>
              <w:rPr>
                <w:rFonts w:ascii="Times New Roman"/>
                <w:sz w:val="21"/>
              </w:rPr>
            </w:pPr>
            <w:r>
              <w:rPr>
                <w:rFonts w:ascii="Times New Roman"/>
                <w:w w:val="99"/>
                <w:sz w:val="21"/>
              </w:rPr>
              <w:t>2</w:t>
            </w:r>
          </w:p>
        </w:tc>
        <w:tc>
          <w:tcPr>
            <w:tcW w:w="1735" w:type="dxa"/>
          </w:tcPr>
          <w:p w:rsidR="00B04AE3" w:rsidRDefault="00B04AE3">
            <w:pPr>
              <w:pStyle w:val="TableParagraph"/>
              <w:spacing w:before="21"/>
              <w:ind w:left="110" w:right="103"/>
              <w:rPr>
                <w:sz w:val="21"/>
              </w:rPr>
            </w:pPr>
            <w:r>
              <w:rPr>
                <w:rFonts w:hint="eastAsia"/>
                <w:sz w:val="21"/>
              </w:rPr>
              <w:t>化学品泄漏</w:t>
            </w:r>
          </w:p>
        </w:tc>
        <w:tc>
          <w:tcPr>
            <w:tcW w:w="2550" w:type="dxa"/>
          </w:tcPr>
          <w:p w:rsidR="00B04AE3" w:rsidRDefault="00B04AE3">
            <w:pPr>
              <w:pStyle w:val="TableParagraph"/>
              <w:spacing w:before="18"/>
              <w:ind w:left="8"/>
              <w:rPr>
                <w:rFonts w:ascii="Times New Roman" w:hAnsi="Times New Roman"/>
                <w:sz w:val="24"/>
              </w:rPr>
            </w:pPr>
            <w:r>
              <w:rPr>
                <w:rFonts w:ascii="Times New Roman" w:hAnsi="Times New Roman"/>
                <w:sz w:val="24"/>
              </w:rPr>
              <w:t>√</w:t>
            </w:r>
          </w:p>
        </w:tc>
        <w:tc>
          <w:tcPr>
            <w:tcW w:w="3122" w:type="dxa"/>
          </w:tcPr>
          <w:p w:rsidR="00B04AE3" w:rsidRDefault="00B04AE3">
            <w:pPr>
              <w:pStyle w:val="TableParagraph"/>
              <w:spacing w:before="18"/>
              <w:ind w:left="9"/>
              <w:rPr>
                <w:rFonts w:ascii="Times New Roman" w:hAnsi="Times New Roman"/>
                <w:sz w:val="24"/>
              </w:rPr>
            </w:pPr>
            <w:r>
              <w:rPr>
                <w:rFonts w:ascii="Times New Roman" w:hAnsi="Times New Roman"/>
                <w:sz w:val="24"/>
              </w:rPr>
              <w:t>√</w:t>
            </w:r>
          </w:p>
        </w:tc>
      </w:tr>
      <w:tr w:rsidR="00B04AE3">
        <w:trPr>
          <w:trHeight w:val="396"/>
        </w:trPr>
        <w:tc>
          <w:tcPr>
            <w:tcW w:w="1115" w:type="dxa"/>
          </w:tcPr>
          <w:p w:rsidR="00B04AE3" w:rsidRDefault="00B04AE3">
            <w:pPr>
              <w:pStyle w:val="TableParagraph"/>
              <w:spacing w:before="35"/>
              <w:ind w:left="7"/>
              <w:rPr>
                <w:rFonts w:ascii="Times New Roman"/>
                <w:sz w:val="21"/>
              </w:rPr>
            </w:pPr>
            <w:r>
              <w:rPr>
                <w:rFonts w:ascii="Times New Roman"/>
                <w:w w:val="99"/>
                <w:sz w:val="21"/>
              </w:rPr>
              <w:t>3</w:t>
            </w:r>
          </w:p>
        </w:tc>
        <w:tc>
          <w:tcPr>
            <w:tcW w:w="1735" w:type="dxa"/>
          </w:tcPr>
          <w:p w:rsidR="00B04AE3" w:rsidRDefault="00B04AE3">
            <w:pPr>
              <w:pStyle w:val="TableParagraph"/>
              <w:spacing w:before="21"/>
              <w:ind w:left="110" w:right="103"/>
              <w:rPr>
                <w:sz w:val="21"/>
              </w:rPr>
            </w:pPr>
            <w:r>
              <w:rPr>
                <w:rFonts w:hint="eastAsia"/>
                <w:sz w:val="21"/>
              </w:rPr>
              <w:t>中毒和窒息</w:t>
            </w:r>
          </w:p>
        </w:tc>
        <w:tc>
          <w:tcPr>
            <w:tcW w:w="2550" w:type="dxa"/>
          </w:tcPr>
          <w:p w:rsidR="00B04AE3" w:rsidRDefault="00B04AE3">
            <w:pPr>
              <w:pStyle w:val="TableParagraph"/>
              <w:spacing w:before="17"/>
              <w:ind w:left="8"/>
              <w:rPr>
                <w:rFonts w:ascii="Times New Roman" w:hAnsi="Times New Roman"/>
                <w:sz w:val="24"/>
              </w:rPr>
            </w:pPr>
            <w:r>
              <w:rPr>
                <w:rFonts w:ascii="Times New Roman" w:hAnsi="Times New Roman"/>
                <w:sz w:val="24"/>
              </w:rPr>
              <w:t>√</w:t>
            </w:r>
          </w:p>
        </w:tc>
        <w:tc>
          <w:tcPr>
            <w:tcW w:w="3122" w:type="dxa"/>
          </w:tcPr>
          <w:p w:rsidR="00B04AE3" w:rsidRDefault="00B04AE3">
            <w:pPr>
              <w:pStyle w:val="TableParagraph"/>
              <w:spacing w:before="17"/>
              <w:ind w:left="9"/>
              <w:rPr>
                <w:rFonts w:ascii="Times New Roman" w:hAnsi="Times New Roman"/>
                <w:sz w:val="24"/>
              </w:rPr>
            </w:pPr>
            <w:r>
              <w:rPr>
                <w:rFonts w:ascii="Times New Roman" w:hAnsi="Times New Roman"/>
                <w:sz w:val="24"/>
              </w:rPr>
              <w:t>√</w:t>
            </w:r>
          </w:p>
        </w:tc>
      </w:tr>
    </w:tbl>
    <w:p w:rsidR="00B04AE3" w:rsidRDefault="00B04AE3">
      <w:pPr>
        <w:pStyle w:val="BodyText"/>
        <w:spacing w:before="7"/>
        <w:rPr>
          <w:b/>
          <w:sz w:val="18"/>
        </w:rPr>
      </w:pPr>
    </w:p>
    <w:p w:rsidR="00B04AE3" w:rsidRDefault="00B04AE3">
      <w:pPr>
        <w:pStyle w:val="BodyText"/>
        <w:ind w:left="1280"/>
      </w:pPr>
      <w:r>
        <w:rPr>
          <w:rFonts w:hint="eastAsia"/>
        </w:rPr>
        <w:t>生产设施风险识别具体如下：</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⑴公司主要生产装置属于甲类防火等级，设计不当，设备选材不妥，安装差错，投料生产操作失误都极易发生着火爆炸事故。反应放热，也易造成爆炸。</w:t>
      </w:r>
    </w:p>
    <w:p w:rsidR="00B04AE3" w:rsidRDefault="00B04AE3">
      <w:pPr>
        <w:pStyle w:val="BodyText"/>
        <w:spacing w:before="20" w:line="360" w:lineRule="auto"/>
        <w:ind w:left="334" w:right="334" w:firstLine="482"/>
        <w:jc w:val="both"/>
        <w:rPr>
          <w:spacing w:val="-6"/>
          <w:szCs w:val="22"/>
        </w:rPr>
      </w:pPr>
      <w:r>
        <w:rPr>
          <w:rFonts w:hint="eastAsia"/>
          <w:spacing w:val="-6"/>
          <w:szCs w:val="22"/>
        </w:rPr>
        <w:t>⑵生产过程在一定压力、温度下进行，如安全附件不全或不可靠，工艺控制失误，配套的冷却、保护等安全设施中断或不足，引起着火、爆炸事故。</w:t>
      </w:r>
    </w:p>
    <w:p w:rsidR="00B04AE3" w:rsidRDefault="00B04AE3">
      <w:pPr>
        <w:pStyle w:val="BodyText"/>
        <w:spacing w:before="20" w:line="360" w:lineRule="auto"/>
        <w:ind w:left="334" w:right="334" w:firstLine="482"/>
        <w:jc w:val="both"/>
        <w:rPr>
          <w:spacing w:val="-6"/>
          <w:szCs w:val="22"/>
        </w:rPr>
      </w:pPr>
      <w:r>
        <w:rPr>
          <w:rFonts w:hint="eastAsia"/>
          <w:spacing w:val="-6"/>
          <w:szCs w:val="22"/>
        </w:rPr>
        <w:t>⑶设备或管道因腐蚀、安装质量差、以及设备开停频繁、温度升降骤变等原因，极易引起设备、管道及其连接点、阀门、法兰等部位泄漏，造成着火爆炸。</w:t>
      </w:r>
    </w:p>
    <w:p w:rsidR="00B04AE3" w:rsidRDefault="00B04AE3">
      <w:pPr>
        <w:pStyle w:val="BodyText"/>
        <w:spacing w:before="20" w:line="360" w:lineRule="auto"/>
        <w:ind w:left="334" w:right="334" w:firstLine="482"/>
        <w:jc w:val="both"/>
        <w:rPr>
          <w:spacing w:val="-6"/>
          <w:szCs w:val="22"/>
        </w:rPr>
      </w:pPr>
      <w:r>
        <w:rPr>
          <w:rFonts w:hint="eastAsia"/>
          <w:spacing w:val="-6"/>
          <w:szCs w:val="22"/>
        </w:rPr>
        <w:t>⑷当生产系统处于正常状态下，由于联系不当、操作失误、安全联锁装置失灵及检查不周、人为解除，以及设备、管道缺陷等原因，使设备形成负压，</w:t>
      </w:r>
      <w:r>
        <w:rPr>
          <w:spacing w:val="-6"/>
          <w:szCs w:val="22"/>
        </w:rPr>
        <w:t xml:space="preserve"> </w:t>
      </w:r>
      <w:r>
        <w:rPr>
          <w:rFonts w:hint="eastAsia"/>
          <w:spacing w:val="-6"/>
          <w:szCs w:val="22"/>
        </w:rPr>
        <w:t>空气进入设备或管道中，此时设备或管道中的可燃气体与空气混合，可形成爆炸性混合气体，在高温、摩擦、静电等能源的作用下，即可引起爆炸。</w:t>
      </w:r>
    </w:p>
    <w:p w:rsidR="00B04AE3" w:rsidRDefault="00B04AE3">
      <w:pPr>
        <w:pStyle w:val="BodyText"/>
        <w:spacing w:before="20" w:line="360" w:lineRule="auto"/>
        <w:ind w:left="334" w:right="334" w:firstLine="482"/>
        <w:jc w:val="both"/>
        <w:rPr>
          <w:spacing w:val="-6"/>
          <w:szCs w:val="22"/>
        </w:rPr>
      </w:pPr>
      <w:r>
        <w:rPr>
          <w:rFonts w:hint="eastAsia"/>
          <w:spacing w:val="-6"/>
          <w:szCs w:val="22"/>
        </w:rPr>
        <w:t>⑸操作人员对出现的设备或工艺故障未及时发现或采取的措施不当等。液体排液、放空或取样时，若阀门开度过大，容易产生静电或引起着火事故。</w:t>
      </w:r>
    </w:p>
    <w:p w:rsidR="00B04AE3" w:rsidRDefault="00B04AE3">
      <w:pPr>
        <w:spacing w:before="1"/>
        <w:ind w:left="1280"/>
        <w:rPr>
          <w:b/>
          <w:sz w:val="24"/>
        </w:rPr>
      </w:pPr>
      <w:r>
        <w:rPr>
          <w:rFonts w:ascii="Times New Roman" w:eastAsia="Times New Roman"/>
          <w:b/>
          <w:sz w:val="24"/>
        </w:rPr>
        <w:t>2</w:t>
      </w:r>
      <w:r>
        <w:rPr>
          <w:rFonts w:hint="eastAsia"/>
          <w:b/>
          <w:sz w:val="24"/>
        </w:rPr>
        <w:t>、设备危险性分析</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公司生产线涉及危险物料，如果生产、管理不善或操作失误，易发生泄漏、火灾、爆炸等事故，危及人身安全，污染环境。</w:t>
      </w:r>
    </w:p>
    <w:p w:rsidR="00B04AE3" w:rsidRDefault="00B04AE3">
      <w:pPr>
        <w:pStyle w:val="BodyText"/>
        <w:spacing w:before="20" w:line="360" w:lineRule="auto"/>
        <w:ind w:left="334" w:right="334" w:firstLine="482"/>
        <w:jc w:val="both"/>
      </w:pPr>
      <w:r>
        <w:rPr>
          <w:rFonts w:hint="eastAsia"/>
          <w:spacing w:val="-6"/>
          <w:szCs w:val="22"/>
        </w:rPr>
        <w:t>电气设备和输电线路存在触电危险。由于电器设备本身缺陷或绝缘损坏、线头外露等未能及时发现和整改等原因，可能造成触电事故的发生</w:t>
      </w:r>
      <w:r>
        <w:rPr>
          <w:rFonts w:hint="eastAsia"/>
        </w:rPr>
        <w:t>。</w:t>
      </w:r>
    </w:p>
    <w:p w:rsidR="00B04AE3" w:rsidRDefault="00B04AE3">
      <w:pPr>
        <w:pStyle w:val="BodyText"/>
        <w:spacing w:before="1" w:line="364" w:lineRule="auto"/>
        <w:ind w:left="800" w:right="797" w:firstLine="480"/>
        <w:rPr>
          <w:b/>
        </w:rPr>
      </w:pPr>
      <w:r>
        <w:rPr>
          <w:rFonts w:ascii="Times New Roman" w:eastAsia="Times New Roman"/>
          <w:b/>
        </w:rPr>
        <w:t>3</w:t>
      </w:r>
      <w:r>
        <w:rPr>
          <w:rFonts w:hint="eastAsia"/>
          <w:b/>
        </w:rPr>
        <w:t>、储存过程中的危险因素分析</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硫酸存于罐区储罐中，液氮储存于钢瓶中，若罐体（瓶体）自身设计强度不够，或安装存在缺陷，或由于腐蚀等原因导致罐体破裂、泵泄漏及泵体裂纹、密封件损坏、阀门和法兰损坏使化学品大量泄漏，易发生中毒、大气环境或地表水污染事故。</w:t>
      </w:r>
    </w:p>
    <w:p w:rsidR="00B04AE3" w:rsidRDefault="00B04AE3">
      <w:pPr>
        <w:pStyle w:val="BodyText"/>
        <w:spacing w:before="20" w:line="360" w:lineRule="auto"/>
        <w:ind w:left="334" w:right="334" w:firstLine="482"/>
        <w:jc w:val="both"/>
        <w:rPr>
          <w:spacing w:val="-6"/>
          <w:szCs w:val="22"/>
        </w:rPr>
      </w:pPr>
      <w:r>
        <w:rPr>
          <w:rFonts w:hint="eastAsia"/>
          <w:spacing w:val="-6"/>
          <w:szCs w:val="22"/>
        </w:rPr>
        <w:t>废乳化液等危险废物存放在危废库，一旦泄露可能会造成大气、土壤和地下水污染。废油属于易燃物质，遇火、高温可能会发生火灾危险，产生大量热辐射以及次生、衍生污染物，对人体和周围环境均会产生严重影响。</w:t>
      </w:r>
    </w:p>
    <w:p w:rsidR="00B04AE3" w:rsidRDefault="00B04AE3">
      <w:pPr>
        <w:spacing w:before="2"/>
        <w:ind w:left="1280"/>
        <w:rPr>
          <w:b/>
          <w:sz w:val="24"/>
        </w:rPr>
      </w:pPr>
      <w:r>
        <w:rPr>
          <w:rFonts w:ascii="Times New Roman" w:eastAsia="Times New Roman"/>
          <w:b/>
          <w:sz w:val="24"/>
        </w:rPr>
        <w:t>4</w:t>
      </w:r>
      <w:r>
        <w:rPr>
          <w:rFonts w:hint="eastAsia"/>
          <w:b/>
          <w:sz w:val="24"/>
        </w:rPr>
        <w:t>、管道输送系统风险识别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生产过程中，硫酸、液氮通过管道输送，若管道压力过高，被车辆碰撞或阀门失效等原因造成危险物料泄漏，易引起火灾、中毒、地表水环境污染事故。</w:t>
      </w:r>
    </w:p>
    <w:p w:rsidR="00B04AE3" w:rsidRDefault="00B04AE3">
      <w:pPr>
        <w:spacing w:before="1"/>
        <w:ind w:left="1270"/>
        <w:rPr>
          <w:b/>
          <w:sz w:val="24"/>
        </w:rPr>
      </w:pPr>
      <w:r>
        <w:rPr>
          <w:rFonts w:ascii="Times New Roman" w:eastAsia="Times New Roman"/>
          <w:b/>
          <w:sz w:val="24"/>
        </w:rPr>
        <w:t>5</w:t>
      </w:r>
      <w:r>
        <w:rPr>
          <w:rFonts w:hint="eastAsia"/>
          <w:b/>
          <w:sz w:val="24"/>
        </w:rPr>
        <w:t>、运输装卸过程中的危险因素识别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⑴装车设施、设备、管道在设计施工中应由具有相应资质的单位设计、制造、施工和安装。否则，存在管道达不到设计要求，存在安全隐患，易发生设备、管道破裂损坏，进而引发装卸的物料泄漏，对周围环境造成污染。</w:t>
      </w:r>
    </w:p>
    <w:p w:rsidR="00B04AE3" w:rsidRDefault="00B04AE3">
      <w:pPr>
        <w:pStyle w:val="BodyText"/>
        <w:spacing w:before="20" w:line="360" w:lineRule="auto"/>
        <w:ind w:left="334" w:right="334" w:firstLine="482"/>
        <w:jc w:val="both"/>
        <w:rPr>
          <w:spacing w:val="-6"/>
          <w:szCs w:val="22"/>
        </w:rPr>
      </w:pPr>
      <w:r>
        <w:rPr>
          <w:rFonts w:hint="eastAsia"/>
          <w:spacing w:val="-6"/>
          <w:szCs w:val="22"/>
        </w:rPr>
        <w:t>⑵装车设备、管道若未静电接地，或设置的静电接地失效，在输送、装卸危险品的过程中，会发生静电集聚放电，存在火灾爆炸的危险。</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公司外购的原辅料均为公路运输。各类原辅料在装卸、运输中可能由于碰撞、震动、挤压等，或由于操作不当、重装重卸、容器多次回收利用，强度下降，垫圈失落没有拧紧等造成物品泄漏、固体散落，甚至引起中毒、火灾或污染环境等事故。同时在运输途中，由于各种意外原因，造成危险品抛至水体、大气，造成较大事故，因此危险品在运输过程中存在一定环境风险。</w:t>
      </w:r>
    </w:p>
    <w:p w:rsidR="00B04AE3" w:rsidRDefault="00B04AE3">
      <w:pPr>
        <w:spacing w:before="3"/>
        <w:ind w:left="1280"/>
        <w:rPr>
          <w:b/>
          <w:sz w:val="24"/>
        </w:rPr>
      </w:pPr>
      <w:r>
        <w:rPr>
          <w:rFonts w:ascii="Times New Roman" w:eastAsia="Times New Roman"/>
          <w:b/>
          <w:sz w:val="24"/>
        </w:rPr>
        <w:t>6</w:t>
      </w:r>
      <w:r>
        <w:rPr>
          <w:rFonts w:hint="eastAsia"/>
          <w:b/>
          <w:sz w:val="24"/>
        </w:rPr>
        <w:t>、污染治理设施风险识别</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⑴废气</w:t>
      </w:r>
    </w:p>
    <w:p w:rsidR="00B04AE3" w:rsidRDefault="00B04AE3">
      <w:pPr>
        <w:pStyle w:val="BodyText"/>
        <w:spacing w:before="20" w:line="360" w:lineRule="auto"/>
        <w:ind w:left="334" w:right="334" w:firstLine="482"/>
        <w:jc w:val="both"/>
        <w:rPr>
          <w:spacing w:val="-6"/>
          <w:szCs w:val="22"/>
        </w:rPr>
      </w:pPr>
      <w:r>
        <w:rPr>
          <w:rFonts w:hint="eastAsia"/>
          <w:spacing w:val="-6"/>
          <w:szCs w:val="22"/>
        </w:rPr>
        <w:t>各废气处理装置存在因故障不能正常工作，污染物不能达标排放，引发大气环境污染风险。</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⑵废水</w:t>
      </w:r>
    </w:p>
    <w:p w:rsidR="00B04AE3" w:rsidRDefault="00B04AE3">
      <w:pPr>
        <w:pStyle w:val="BodyText"/>
        <w:spacing w:before="20" w:line="360" w:lineRule="auto"/>
        <w:ind w:left="334" w:right="334" w:firstLine="482"/>
        <w:jc w:val="both"/>
        <w:rPr>
          <w:spacing w:val="-6"/>
          <w:szCs w:val="22"/>
        </w:rPr>
      </w:pPr>
      <w:r>
        <w:rPr>
          <w:rFonts w:hint="eastAsia"/>
          <w:spacing w:val="-6"/>
          <w:szCs w:val="22"/>
        </w:rPr>
        <w:t>污水处理装置因存在故障不能正常工作，造成废水超标排放，对下游造成冲击。</w:t>
      </w:r>
    </w:p>
    <w:p w:rsidR="00B04AE3" w:rsidRDefault="00B04AE3">
      <w:pPr>
        <w:pStyle w:val="Heading2"/>
        <w:numPr>
          <w:ilvl w:val="1"/>
          <w:numId w:val="41"/>
        </w:numPr>
        <w:tabs>
          <w:tab w:val="left" w:pos="1360"/>
        </w:tabs>
        <w:spacing w:before="193"/>
        <w:ind w:hanging="559"/>
      </w:pPr>
      <w:bookmarkStart w:id="273" w:name="2.5_环境风险评价"/>
      <w:bookmarkStart w:id="274" w:name="_bookmark84"/>
      <w:bookmarkEnd w:id="273"/>
      <w:bookmarkEnd w:id="274"/>
      <w:r>
        <w:rPr>
          <w:rFonts w:hint="eastAsia"/>
        </w:rPr>
        <w:t>环境风险评价</w:t>
      </w:r>
    </w:p>
    <w:p w:rsidR="00B04AE3" w:rsidRDefault="00B04AE3">
      <w:pPr>
        <w:pStyle w:val="Heading3"/>
        <w:numPr>
          <w:ilvl w:val="2"/>
          <w:numId w:val="41"/>
        </w:numPr>
        <w:tabs>
          <w:tab w:val="left" w:pos="1400"/>
        </w:tabs>
        <w:spacing w:before="267"/>
      </w:pPr>
      <w:bookmarkStart w:id="275" w:name="2.5.1_潜在危险性评估"/>
      <w:bookmarkStart w:id="276" w:name="_bookmark85"/>
      <w:bookmarkEnd w:id="275"/>
      <w:bookmarkEnd w:id="276"/>
      <w:r>
        <w:rPr>
          <w:rFonts w:hint="eastAsia"/>
        </w:rPr>
        <w:t>潜在危险性评估</w:t>
      </w:r>
    </w:p>
    <w:p w:rsidR="00B04AE3" w:rsidRDefault="00B04AE3">
      <w:pPr>
        <w:pStyle w:val="BodyText"/>
        <w:spacing w:before="20" w:line="360" w:lineRule="auto"/>
        <w:ind w:left="334" w:right="334" w:firstLine="482"/>
        <w:jc w:val="both"/>
        <w:rPr>
          <w:spacing w:val="-6"/>
          <w:szCs w:val="22"/>
        </w:rPr>
      </w:pPr>
      <w:r>
        <w:rPr>
          <w:rFonts w:hint="eastAsia"/>
          <w:spacing w:val="-6"/>
          <w:szCs w:val="22"/>
        </w:rPr>
        <w:t>潜在风险是指正常情况下，表现为正常状态，但存在一定的危险因素，在特定条件下，可诱发事故发生，它的危险性是不易发现，一旦发生可能危害性极大，</w:t>
      </w:r>
      <w:r>
        <w:rPr>
          <w:spacing w:val="-6"/>
          <w:szCs w:val="22"/>
        </w:rPr>
        <w:t xml:space="preserve"> </w:t>
      </w:r>
      <w:r>
        <w:rPr>
          <w:rFonts w:hint="eastAsia"/>
          <w:spacing w:val="-6"/>
          <w:szCs w:val="22"/>
        </w:rPr>
        <w:t>所以潜在性风险的评估尤为重要。</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企业生产工艺流程复杂、装置多、储罐较多，因此生产过程中存在的主要设施风险风险较大。</w:t>
      </w:r>
    </w:p>
    <w:p w:rsidR="00B04AE3" w:rsidRDefault="00B04AE3">
      <w:pPr>
        <w:pStyle w:val="BodyText"/>
        <w:spacing w:before="1"/>
        <w:ind w:left="1272"/>
      </w:pPr>
      <w:r>
        <w:rPr>
          <w:rFonts w:hint="eastAsia"/>
        </w:rPr>
        <w:t>企业主要的潜在事故源情况详见下表</w:t>
      </w:r>
      <w:r>
        <w:t xml:space="preserve"> </w:t>
      </w:r>
      <w:r>
        <w:rPr>
          <w:rFonts w:ascii="Times New Roman" w:eastAsia="Times New Roman"/>
        </w:rPr>
        <w:t>2.5-1</w:t>
      </w:r>
      <w:r>
        <w:rPr>
          <w:rFonts w:hint="eastAsia"/>
        </w:rPr>
        <w:t>。</w:t>
      </w:r>
    </w:p>
    <w:p w:rsidR="00B04AE3" w:rsidRDefault="00B04AE3">
      <w:pPr>
        <w:tabs>
          <w:tab w:val="left" w:pos="3912"/>
        </w:tabs>
        <w:spacing w:before="82" w:after="3"/>
        <w:ind w:left="2873"/>
        <w:rPr>
          <w:b/>
          <w:sz w:val="24"/>
        </w:rPr>
      </w:pPr>
      <w:r>
        <w:rPr>
          <w:rFonts w:hint="eastAsia"/>
          <w:b/>
          <w:sz w:val="24"/>
        </w:rPr>
        <w:t>表</w:t>
      </w:r>
      <w:r>
        <w:rPr>
          <w:b/>
          <w:spacing w:val="-62"/>
          <w:sz w:val="24"/>
        </w:rPr>
        <w:t xml:space="preserve"> </w:t>
      </w:r>
      <w:r>
        <w:rPr>
          <w:rFonts w:ascii="Times New Roman" w:eastAsia="Times New Roman"/>
          <w:b/>
          <w:sz w:val="24"/>
        </w:rPr>
        <w:t>2.5-1</w:t>
      </w:r>
      <w:r>
        <w:rPr>
          <w:rFonts w:ascii="Times New Roman" w:eastAsia="Times New Roman"/>
          <w:b/>
          <w:sz w:val="24"/>
        </w:rPr>
        <w:tab/>
      </w:r>
      <w:r>
        <w:rPr>
          <w:rFonts w:hint="eastAsia"/>
          <w:b/>
          <w:sz w:val="24"/>
        </w:rPr>
        <w:t>公司主要的潜在事故源情况一览表</w:t>
      </w:r>
    </w:p>
    <w:tbl>
      <w:tblPr>
        <w:tblW w:w="8522" w:type="dxa"/>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517"/>
        <w:gridCol w:w="1134"/>
        <w:gridCol w:w="1575"/>
        <w:gridCol w:w="1257"/>
        <w:gridCol w:w="1739"/>
        <w:gridCol w:w="2300"/>
      </w:tblGrid>
      <w:tr w:rsidR="00B04AE3">
        <w:trPr>
          <w:trHeight w:val="623"/>
        </w:trPr>
        <w:tc>
          <w:tcPr>
            <w:tcW w:w="517" w:type="dxa"/>
            <w:shd w:val="clear" w:color="auto" w:fill="DFDFDF"/>
          </w:tcPr>
          <w:p w:rsidR="00B04AE3" w:rsidRDefault="00B04AE3">
            <w:pPr>
              <w:pStyle w:val="TableParagraph"/>
              <w:spacing w:before="21"/>
              <w:ind w:left="153"/>
              <w:jc w:val="left"/>
              <w:rPr>
                <w:b/>
                <w:sz w:val="21"/>
                <w:szCs w:val="21"/>
              </w:rPr>
            </w:pPr>
            <w:r>
              <w:rPr>
                <w:rFonts w:hint="eastAsia"/>
                <w:b/>
                <w:w w:val="99"/>
                <w:sz w:val="21"/>
                <w:szCs w:val="21"/>
              </w:rPr>
              <w:t>序</w:t>
            </w:r>
          </w:p>
          <w:p w:rsidR="00B04AE3" w:rsidRDefault="00B04AE3">
            <w:pPr>
              <w:pStyle w:val="TableParagraph"/>
              <w:spacing w:before="43"/>
              <w:ind w:left="153"/>
              <w:jc w:val="left"/>
              <w:rPr>
                <w:b/>
                <w:sz w:val="21"/>
                <w:szCs w:val="21"/>
              </w:rPr>
            </w:pPr>
            <w:r>
              <w:rPr>
                <w:rFonts w:hint="eastAsia"/>
                <w:b/>
                <w:w w:val="99"/>
                <w:sz w:val="21"/>
                <w:szCs w:val="21"/>
              </w:rPr>
              <w:t>号</w:t>
            </w:r>
          </w:p>
        </w:tc>
        <w:tc>
          <w:tcPr>
            <w:tcW w:w="1134" w:type="dxa"/>
            <w:shd w:val="clear" w:color="auto" w:fill="DFDFDF"/>
          </w:tcPr>
          <w:p w:rsidR="00B04AE3" w:rsidRDefault="00B04AE3">
            <w:pPr>
              <w:pStyle w:val="TableParagraph"/>
              <w:spacing w:before="177"/>
              <w:ind w:left="356"/>
              <w:jc w:val="left"/>
              <w:rPr>
                <w:b/>
                <w:sz w:val="21"/>
                <w:szCs w:val="21"/>
              </w:rPr>
            </w:pPr>
            <w:r>
              <w:rPr>
                <w:rFonts w:hint="eastAsia"/>
                <w:b/>
                <w:sz w:val="21"/>
                <w:szCs w:val="21"/>
              </w:rPr>
              <w:t>位置</w:t>
            </w:r>
          </w:p>
        </w:tc>
        <w:tc>
          <w:tcPr>
            <w:tcW w:w="1575" w:type="dxa"/>
            <w:shd w:val="clear" w:color="auto" w:fill="DFDFDF"/>
          </w:tcPr>
          <w:p w:rsidR="00B04AE3" w:rsidRDefault="00B04AE3">
            <w:pPr>
              <w:pStyle w:val="TableParagraph"/>
              <w:spacing w:before="177"/>
              <w:ind w:left="134" w:right="123"/>
              <w:rPr>
                <w:b/>
                <w:sz w:val="21"/>
                <w:szCs w:val="21"/>
              </w:rPr>
            </w:pPr>
            <w:r>
              <w:rPr>
                <w:rFonts w:hint="eastAsia"/>
                <w:b/>
                <w:sz w:val="21"/>
                <w:szCs w:val="21"/>
              </w:rPr>
              <w:t>风险因素</w:t>
            </w:r>
          </w:p>
        </w:tc>
        <w:tc>
          <w:tcPr>
            <w:tcW w:w="1257" w:type="dxa"/>
            <w:shd w:val="clear" w:color="auto" w:fill="DFDFDF"/>
          </w:tcPr>
          <w:p w:rsidR="00B04AE3" w:rsidRDefault="00B04AE3">
            <w:pPr>
              <w:pStyle w:val="TableParagraph"/>
              <w:spacing w:before="21"/>
              <w:ind w:left="157"/>
              <w:jc w:val="left"/>
              <w:rPr>
                <w:b/>
                <w:sz w:val="21"/>
                <w:szCs w:val="21"/>
              </w:rPr>
            </w:pPr>
            <w:r>
              <w:rPr>
                <w:rFonts w:hint="eastAsia"/>
                <w:b/>
                <w:w w:val="95"/>
                <w:sz w:val="21"/>
                <w:szCs w:val="21"/>
              </w:rPr>
              <w:t>风险物</w:t>
            </w:r>
          </w:p>
          <w:p w:rsidR="00B04AE3" w:rsidRDefault="00B04AE3">
            <w:pPr>
              <w:pStyle w:val="TableParagraph"/>
              <w:spacing w:before="43"/>
              <w:ind w:left="157"/>
              <w:jc w:val="left"/>
              <w:rPr>
                <w:b/>
                <w:sz w:val="21"/>
                <w:szCs w:val="21"/>
              </w:rPr>
            </w:pPr>
            <w:r>
              <w:rPr>
                <w:rFonts w:hint="eastAsia"/>
                <w:b/>
                <w:w w:val="95"/>
                <w:sz w:val="21"/>
                <w:szCs w:val="21"/>
              </w:rPr>
              <w:t>质名称</w:t>
            </w:r>
          </w:p>
        </w:tc>
        <w:tc>
          <w:tcPr>
            <w:tcW w:w="1739" w:type="dxa"/>
            <w:shd w:val="clear" w:color="auto" w:fill="DFDFDF"/>
          </w:tcPr>
          <w:p w:rsidR="00B04AE3" w:rsidRDefault="00B04AE3">
            <w:pPr>
              <w:pStyle w:val="TableParagraph"/>
              <w:spacing w:before="177"/>
              <w:ind w:left="163" w:right="152"/>
              <w:rPr>
                <w:b/>
                <w:sz w:val="21"/>
                <w:szCs w:val="21"/>
              </w:rPr>
            </w:pPr>
            <w:r>
              <w:rPr>
                <w:rFonts w:hint="eastAsia"/>
                <w:b/>
                <w:sz w:val="21"/>
                <w:szCs w:val="21"/>
              </w:rPr>
              <w:t>事故类型</w:t>
            </w:r>
          </w:p>
        </w:tc>
        <w:tc>
          <w:tcPr>
            <w:tcW w:w="2300" w:type="dxa"/>
            <w:shd w:val="clear" w:color="auto" w:fill="DFDFDF"/>
          </w:tcPr>
          <w:p w:rsidR="00B04AE3" w:rsidRDefault="00B04AE3">
            <w:pPr>
              <w:pStyle w:val="TableParagraph"/>
              <w:spacing w:before="177"/>
              <w:ind w:left="519"/>
              <w:jc w:val="left"/>
              <w:rPr>
                <w:b/>
                <w:sz w:val="21"/>
                <w:szCs w:val="21"/>
              </w:rPr>
            </w:pPr>
            <w:r>
              <w:rPr>
                <w:rFonts w:hint="eastAsia"/>
                <w:b/>
                <w:sz w:val="21"/>
                <w:szCs w:val="21"/>
              </w:rPr>
              <w:t>环境事故类型</w:t>
            </w:r>
          </w:p>
        </w:tc>
      </w:tr>
      <w:tr w:rsidR="00B04AE3">
        <w:trPr>
          <w:trHeight w:val="936"/>
        </w:trPr>
        <w:tc>
          <w:tcPr>
            <w:tcW w:w="517" w:type="dxa"/>
          </w:tcPr>
          <w:p w:rsidR="00B04AE3" w:rsidRDefault="00B04AE3">
            <w:pPr>
              <w:pStyle w:val="TableParagraph"/>
              <w:jc w:val="left"/>
              <w:rPr>
                <w:b/>
                <w:sz w:val="21"/>
                <w:szCs w:val="21"/>
              </w:rPr>
            </w:pPr>
          </w:p>
          <w:p w:rsidR="00B04AE3" w:rsidRDefault="00B04AE3">
            <w:pPr>
              <w:pStyle w:val="TableParagraph"/>
              <w:spacing w:before="1"/>
              <w:ind w:left="9"/>
              <w:rPr>
                <w:sz w:val="21"/>
                <w:szCs w:val="21"/>
              </w:rPr>
            </w:pPr>
            <w:r>
              <w:rPr>
                <w:w w:val="99"/>
                <w:sz w:val="21"/>
                <w:szCs w:val="21"/>
              </w:rPr>
              <w:t>1</w:t>
            </w:r>
          </w:p>
        </w:tc>
        <w:tc>
          <w:tcPr>
            <w:tcW w:w="1134" w:type="dxa"/>
          </w:tcPr>
          <w:p w:rsidR="00B04AE3" w:rsidRDefault="00B04AE3">
            <w:pPr>
              <w:pStyle w:val="TableParagraph"/>
              <w:spacing w:before="176" w:line="278" w:lineRule="auto"/>
              <w:ind w:left="461" w:right="136" w:hanging="315"/>
              <w:jc w:val="left"/>
              <w:rPr>
                <w:sz w:val="21"/>
                <w:szCs w:val="21"/>
              </w:rPr>
            </w:pPr>
            <w:r>
              <w:rPr>
                <w:rFonts w:hint="eastAsia"/>
                <w:sz w:val="21"/>
                <w:szCs w:val="21"/>
              </w:rPr>
              <w:t>生产装置区</w:t>
            </w:r>
          </w:p>
        </w:tc>
        <w:tc>
          <w:tcPr>
            <w:tcW w:w="1575" w:type="dxa"/>
          </w:tcPr>
          <w:p w:rsidR="00B04AE3" w:rsidRDefault="00B04AE3">
            <w:pPr>
              <w:pStyle w:val="TableParagraph"/>
              <w:spacing w:before="12"/>
              <w:jc w:val="left"/>
              <w:rPr>
                <w:b/>
                <w:sz w:val="21"/>
                <w:szCs w:val="21"/>
              </w:rPr>
            </w:pPr>
          </w:p>
          <w:p w:rsidR="00B04AE3" w:rsidRDefault="00B04AE3">
            <w:pPr>
              <w:pStyle w:val="TableParagraph"/>
              <w:ind w:left="134" w:right="130"/>
              <w:rPr>
                <w:sz w:val="21"/>
                <w:szCs w:val="21"/>
              </w:rPr>
            </w:pPr>
            <w:r>
              <w:rPr>
                <w:rFonts w:hint="eastAsia"/>
                <w:sz w:val="21"/>
                <w:szCs w:val="21"/>
              </w:rPr>
              <w:t>全厂</w:t>
            </w:r>
          </w:p>
        </w:tc>
        <w:tc>
          <w:tcPr>
            <w:tcW w:w="1257" w:type="dxa"/>
          </w:tcPr>
          <w:p w:rsidR="00B04AE3" w:rsidRDefault="00B04AE3">
            <w:pPr>
              <w:pStyle w:val="TableParagraph"/>
              <w:jc w:val="left"/>
              <w:rPr>
                <w:b/>
                <w:sz w:val="21"/>
                <w:szCs w:val="21"/>
              </w:rPr>
            </w:pPr>
          </w:p>
          <w:p w:rsidR="00B04AE3" w:rsidRDefault="00B04AE3">
            <w:pPr>
              <w:pStyle w:val="TableParagraph"/>
              <w:spacing w:before="1"/>
              <w:ind w:right="431"/>
              <w:jc w:val="right"/>
              <w:rPr>
                <w:sz w:val="21"/>
                <w:szCs w:val="21"/>
              </w:rPr>
            </w:pPr>
            <w:r>
              <w:rPr>
                <w:w w:val="99"/>
                <w:sz w:val="21"/>
                <w:szCs w:val="21"/>
              </w:rPr>
              <w:t>/</w:t>
            </w:r>
          </w:p>
        </w:tc>
        <w:tc>
          <w:tcPr>
            <w:tcW w:w="1739" w:type="dxa"/>
          </w:tcPr>
          <w:p w:rsidR="00B04AE3" w:rsidRDefault="00B04AE3">
            <w:pPr>
              <w:pStyle w:val="TableParagraph"/>
              <w:spacing w:before="59" w:line="242" w:lineRule="auto"/>
              <w:ind w:left="107" w:right="97" w:hanging="3"/>
              <w:rPr>
                <w:sz w:val="21"/>
                <w:szCs w:val="21"/>
              </w:rPr>
            </w:pPr>
            <w:r>
              <w:rPr>
                <w:rFonts w:hint="eastAsia"/>
                <w:sz w:val="21"/>
                <w:szCs w:val="21"/>
              </w:rPr>
              <w:t>各生产装置区出现</w:t>
            </w:r>
            <w:r>
              <w:rPr>
                <w:rFonts w:hint="eastAsia"/>
                <w:spacing w:val="-9"/>
                <w:sz w:val="21"/>
                <w:szCs w:val="21"/>
              </w:rPr>
              <w:t>物料泄漏、火灾、爆</w:t>
            </w:r>
            <w:r>
              <w:rPr>
                <w:rFonts w:hint="eastAsia"/>
                <w:sz w:val="21"/>
                <w:szCs w:val="21"/>
              </w:rPr>
              <w:t>炸事故</w:t>
            </w:r>
          </w:p>
        </w:tc>
        <w:tc>
          <w:tcPr>
            <w:tcW w:w="2300" w:type="dxa"/>
          </w:tcPr>
          <w:p w:rsidR="00B04AE3" w:rsidRDefault="00B04AE3">
            <w:pPr>
              <w:pStyle w:val="TableParagraph"/>
              <w:spacing w:before="21" w:line="278" w:lineRule="auto"/>
              <w:ind w:left="82" w:right="74"/>
              <w:rPr>
                <w:sz w:val="21"/>
                <w:szCs w:val="21"/>
              </w:rPr>
            </w:pPr>
            <w:r>
              <w:rPr>
                <w:rFonts w:hint="eastAsia"/>
                <w:sz w:val="21"/>
                <w:szCs w:val="21"/>
              </w:rPr>
              <w:t>造成装置超压，物料泄露，对环境空气质量造</w:t>
            </w:r>
          </w:p>
          <w:p w:rsidR="00B04AE3" w:rsidRDefault="00B04AE3">
            <w:pPr>
              <w:pStyle w:val="TableParagraph"/>
              <w:spacing w:line="269" w:lineRule="exact"/>
              <w:ind w:left="82" w:right="74"/>
              <w:rPr>
                <w:sz w:val="21"/>
                <w:szCs w:val="21"/>
              </w:rPr>
            </w:pPr>
            <w:r>
              <w:rPr>
                <w:rFonts w:hint="eastAsia"/>
                <w:sz w:val="21"/>
                <w:szCs w:val="21"/>
              </w:rPr>
              <w:t>成严重污染</w:t>
            </w:r>
          </w:p>
        </w:tc>
      </w:tr>
      <w:tr w:rsidR="00B04AE3">
        <w:trPr>
          <w:trHeight w:val="1560"/>
        </w:trPr>
        <w:tc>
          <w:tcPr>
            <w:tcW w:w="517" w:type="dxa"/>
          </w:tcPr>
          <w:p w:rsidR="00B04AE3" w:rsidRDefault="00B04AE3">
            <w:pPr>
              <w:pStyle w:val="TableParagraph"/>
              <w:jc w:val="left"/>
              <w:rPr>
                <w:b/>
                <w:sz w:val="21"/>
                <w:szCs w:val="21"/>
              </w:rPr>
            </w:pPr>
          </w:p>
          <w:p w:rsidR="00B04AE3" w:rsidRDefault="00B04AE3">
            <w:pPr>
              <w:pStyle w:val="TableParagraph"/>
              <w:spacing w:before="4"/>
              <w:jc w:val="left"/>
              <w:rPr>
                <w:b/>
                <w:sz w:val="21"/>
                <w:szCs w:val="21"/>
              </w:rPr>
            </w:pPr>
          </w:p>
          <w:p w:rsidR="00B04AE3" w:rsidRDefault="00B04AE3">
            <w:pPr>
              <w:pStyle w:val="TableParagraph"/>
              <w:spacing w:before="1"/>
              <w:ind w:left="9"/>
              <w:rPr>
                <w:sz w:val="21"/>
                <w:szCs w:val="21"/>
              </w:rPr>
            </w:pPr>
            <w:r>
              <w:rPr>
                <w:w w:val="99"/>
                <w:sz w:val="21"/>
                <w:szCs w:val="21"/>
              </w:rPr>
              <w:t>2</w:t>
            </w:r>
          </w:p>
        </w:tc>
        <w:tc>
          <w:tcPr>
            <w:tcW w:w="1134" w:type="dxa"/>
          </w:tcPr>
          <w:p w:rsidR="00B04AE3" w:rsidRDefault="00B04AE3">
            <w:pPr>
              <w:pStyle w:val="TableParagraph"/>
              <w:spacing w:line="269" w:lineRule="exact"/>
              <w:ind w:left="142" w:right="136"/>
              <w:rPr>
                <w:sz w:val="21"/>
                <w:szCs w:val="21"/>
              </w:rPr>
            </w:pPr>
            <w:r>
              <w:rPr>
                <w:rFonts w:hint="eastAsia"/>
                <w:spacing w:val="-4"/>
                <w:sz w:val="21"/>
                <w:szCs w:val="21"/>
              </w:rPr>
              <w:t>锅炉</w:t>
            </w:r>
          </w:p>
        </w:tc>
        <w:tc>
          <w:tcPr>
            <w:tcW w:w="1575" w:type="dxa"/>
          </w:tcPr>
          <w:p w:rsidR="00B04AE3" w:rsidRDefault="00B04AE3">
            <w:pPr>
              <w:pStyle w:val="TableParagraph"/>
              <w:jc w:val="left"/>
              <w:rPr>
                <w:b/>
                <w:sz w:val="21"/>
                <w:szCs w:val="21"/>
              </w:rPr>
            </w:pPr>
          </w:p>
          <w:p w:rsidR="00B04AE3" w:rsidRDefault="00B04AE3">
            <w:pPr>
              <w:pStyle w:val="TableParagraph"/>
              <w:spacing w:before="1"/>
              <w:jc w:val="left"/>
              <w:rPr>
                <w:b/>
                <w:sz w:val="21"/>
                <w:szCs w:val="21"/>
              </w:rPr>
            </w:pPr>
          </w:p>
          <w:p w:rsidR="00B04AE3" w:rsidRDefault="00B04AE3">
            <w:pPr>
              <w:pStyle w:val="TableParagraph"/>
              <w:spacing w:line="278" w:lineRule="auto"/>
              <w:ind w:left="155" w:right="146"/>
              <w:jc w:val="left"/>
              <w:rPr>
                <w:sz w:val="21"/>
                <w:szCs w:val="21"/>
              </w:rPr>
            </w:pPr>
            <w:r>
              <w:rPr>
                <w:rFonts w:hint="eastAsia"/>
                <w:sz w:val="21"/>
                <w:szCs w:val="21"/>
              </w:rPr>
              <w:t>锅炉</w:t>
            </w:r>
          </w:p>
        </w:tc>
        <w:tc>
          <w:tcPr>
            <w:tcW w:w="1257" w:type="dxa"/>
          </w:tcPr>
          <w:p w:rsidR="00B04AE3" w:rsidRDefault="00B04AE3">
            <w:pPr>
              <w:pStyle w:val="TableParagraph"/>
              <w:jc w:val="left"/>
              <w:rPr>
                <w:b/>
                <w:sz w:val="21"/>
                <w:szCs w:val="21"/>
              </w:rPr>
            </w:pPr>
          </w:p>
          <w:p w:rsidR="00B04AE3" w:rsidRDefault="00B04AE3">
            <w:pPr>
              <w:pStyle w:val="TableParagraph"/>
              <w:spacing w:before="4"/>
              <w:jc w:val="left"/>
              <w:rPr>
                <w:b/>
                <w:sz w:val="21"/>
                <w:szCs w:val="21"/>
              </w:rPr>
            </w:pPr>
          </w:p>
          <w:p w:rsidR="00B04AE3" w:rsidRDefault="00B04AE3">
            <w:pPr>
              <w:pStyle w:val="TableParagraph"/>
              <w:spacing w:before="1"/>
              <w:ind w:right="431"/>
              <w:jc w:val="right"/>
              <w:rPr>
                <w:sz w:val="21"/>
                <w:szCs w:val="21"/>
              </w:rPr>
            </w:pPr>
            <w:r>
              <w:rPr>
                <w:w w:val="99"/>
                <w:sz w:val="21"/>
                <w:szCs w:val="21"/>
              </w:rPr>
              <w:t>/</w:t>
            </w:r>
          </w:p>
        </w:tc>
        <w:tc>
          <w:tcPr>
            <w:tcW w:w="1739" w:type="dxa"/>
          </w:tcPr>
          <w:p w:rsidR="00B04AE3" w:rsidRDefault="00B04AE3">
            <w:pPr>
              <w:pStyle w:val="TableParagraph"/>
              <w:spacing w:before="12"/>
              <w:jc w:val="left"/>
              <w:rPr>
                <w:b/>
                <w:sz w:val="21"/>
                <w:szCs w:val="21"/>
              </w:rPr>
            </w:pPr>
          </w:p>
          <w:p w:rsidR="00B04AE3" w:rsidRDefault="00B04AE3">
            <w:pPr>
              <w:pStyle w:val="TableParagraph"/>
              <w:spacing w:line="278" w:lineRule="auto"/>
              <w:ind w:left="107" w:right="42" w:firstLine="76"/>
              <w:jc w:val="left"/>
              <w:rPr>
                <w:sz w:val="21"/>
                <w:szCs w:val="21"/>
              </w:rPr>
            </w:pPr>
            <w:r>
              <w:rPr>
                <w:rFonts w:hint="eastAsia"/>
                <w:sz w:val="21"/>
                <w:szCs w:val="21"/>
              </w:rPr>
              <w:t>废气污染治理设施故障、非正常操作、停电，输送管道破裂</w:t>
            </w:r>
          </w:p>
        </w:tc>
        <w:tc>
          <w:tcPr>
            <w:tcW w:w="2300" w:type="dxa"/>
          </w:tcPr>
          <w:p w:rsidR="00B04AE3" w:rsidRDefault="00B04AE3">
            <w:pPr>
              <w:pStyle w:val="TableParagraph"/>
              <w:spacing w:before="12"/>
              <w:jc w:val="left"/>
              <w:rPr>
                <w:b/>
                <w:sz w:val="21"/>
                <w:szCs w:val="21"/>
              </w:rPr>
            </w:pPr>
          </w:p>
          <w:p w:rsidR="00B04AE3" w:rsidRDefault="00B04AE3">
            <w:pPr>
              <w:pStyle w:val="TableParagraph"/>
              <w:spacing w:line="278" w:lineRule="auto"/>
              <w:ind w:left="99" w:right="91"/>
              <w:rPr>
                <w:sz w:val="21"/>
                <w:szCs w:val="21"/>
              </w:rPr>
            </w:pPr>
            <w:r>
              <w:rPr>
                <w:rFonts w:hint="eastAsia"/>
                <w:sz w:val="21"/>
                <w:szCs w:val="21"/>
              </w:rPr>
              <w:t>废气直接外排，对环境空气质量造成严重污染</w:t>
            </w:r>
          </w:p>
        </w:tc>
      </w:tr>
      <w:tr w:rsidR="00B04AE3">
        <w:trPr>
          <w:trHeight w:val="936"/>
        </w:trPr>
        <w:tc>
          <w:tcPr>
            <w:tcW w:w="517" w:type="dxa"/>
          </w:tcPr>
          <w:p w:rsidR="00B04AE3" w:rsidRDefault="00B04AE3">
            <w:pPr>
              <w:pStyle w:val="TableParagraph"/>
              <w:jc w:val="left"/>
              <w:rPr>
                <w:b/>
                <w:sz w:val="21"/>
                <w:szCs w:val="21"/>
              </w:rPr>
            </w:pPr>
          </w:p>
          <w:p w:rsidR="00B04AE3" w:rsidRDefault="00B04AE3">
            <w:pPr>
              <w:pStyle w:val="TableParagraph"/>
              <w:ind w:left="9"/>
              <w:rPr>
                <w:sz w:val="21"/>
                <w:szCs w:val="21"/>
              </w:rPr>
            </w:pPr>
            <w:r>
              <w:rPr>
                <w:w w:val="99"/>
                <w:sz w:val="21"/>
                <w:szCs w:val="21"/>
              </w:rPr>
              <w:t>3</w:t>
            </w:r>
          </w:p>
        </w:tc>
        <w:tc>
          <w:tcPr>
            <w:tcW w:w="1134" w:type="dxa"/>
          </w:tcPr>
          <w:p w:rsidR="00B04AE3" w:rsidRDefault="00B04AE3">
            <w:pPr>
              <w:pStyle w:val="TableParagraph"/>
              <w:spacing w:before="176" w:line="278" w:lineRule="auto"/>
              <w:ind w:left="461" w:right="347" w:hanging="106"/>
              <w:jc w:val="left"/>
              <w:rPr>
                <w:sz w:val="21"/>
                <w:szCs w:val="21"/>
              </w:rPr>
            </w:pPr>
            <w:r>
              <w:rPr>
                <w:rFonts w:hint="eastAsia"/>
                <w:sz w:val="21"/>
                <w:szCs w:val="21"/>
              </w:rPr>
              <w:t>储罐区</w:t>
            </w:r>
          </w:p>
        </w:tc>
        <w:tc>
          <w:tcPr>
            <w:tcW w:w="1575" w:type="dxa"/>
          </w:tcPr>
          <w:p w:rsidR="00B04AE3" w:rsidRDefault="00B04AE3">
            <w:pPr>
              <w:pStyle w:val="TableParagraph"/>
              <w:spacing w:before="176" w:line="278" w:lineRule="auto"/>
              <w:ind w:left="472" w:right="149" w:hanging="317"/>
              <w:jc w:val="left"/>
              <w:rPr>
                <w:sz w:val="21"/>
                <w:szCs w:val="21"/>
              </w:rPr>
            </w:pPr>
            <w:r>
              <w:rPr>
                <w:rFonts w:hint="eastAsia"/>
                <w:sz w:val="21"/>
                <w:szCs w:val="21"/>
              </w:rPr>
              <w:t>液氮钢瓶、硫酸、氢氧化钠储罐</w:t>
            </w:r>
          </w:p>
        </w:tc>
        <w:tc>
          <w:tcPr>
            <w:tcW w:w="1257" w:type="dxa"/>
          </w:tcPr>
          <w:p w:rsidR="00B04AE3" w:rsidRDefault="00B04AE3">
            <w:pPr>
              <w:pStyle w:val="TableParagraph"/>
              <w:spacing w:before="176" w:line="278" w:lineRule="auto"/>
              <w:ind w:left="260" w:right="146" w:hanging="104"/>
              <w:jc w:val="left"/>
              <w:rPr>
                <w:sz w:val="21"/>
                <w:szCs w:val="21"/>
              </w:rPr>
            </w:pPr>
            <w:r>
              <w:rPr>
                <w:rFonts w:hint="eastAsia"/>
                <w:sz w:val="21"/>
                <w:szCs w:val="21"/>
              </w:rPr>
              <w:t>液氮、硫酸、氢氧化钠</w:t>
            </w:r>
          </w:p>
        </w:tc>
        <w:tc>
          <w:tcPr>
            <w:tcW w:w="1739" w:type="dxa"/>
          </w:tcPr>
          <w:p w:rsidR="00B04AE3" w:rsidRDefault="00B04AE3">
            <w:pPr>
              <w:pStyle w:val="TableParagraph"/>
              <w:spacing w:before="11"/>
              <w:jc w:val="left"/>
              <w:rPr>
                <w:b/>
                <w:sz w:val="21"/>
                <w:szCs w:val="21"/>
              </w:rPr>
            </w:pPr>
          </w:p>
          <w:p w:rsidR="00B04AE3" w:rsidRDefault="00B04AE3">
            <w:pPr>
              <w:pStyle w:val="TableParagraph"/>
              <w:ind w:left="163" w:right="95"/>
              <w:rPr>
                <w:sz w:val="21"/>
                <w:szCs w:val="21"/>
              </w:rPr>
            </w:pPr>
            <w:r>
              <w:rPr>
                <w:rFonts w:hint="eastAsia"/>
                <w:sz w:val="21"/>
                <w:szCs w:val="21"/>
              </w:rPr>
              <w:t>泄漏、中毒</w:t>
            </w:r>
          </w:p>
        </w:tc>
        <w:tc>
          <w:tcPr>
            <w:tcW w:w="2300" w:type="dxa"/>
          </w:tcPr>
          <w:p w:rsidR="00B04AE3" w:rsidRDefault="00B04AE3">
            <w:pPr>
              <w:pStyle w:val="TableParagraph"/>
              <w:spacing w:before="20" w:line="278" w:lineRule="auto"/>
              <w:ind w:left="106" w:right="98" w:hanging="1"/>
              <w:rPr>
                <w:sz w:val="21"/>
                <w:szCs w:val="21"/>
              </w:rPr>
            </w:pPr>
            <w:r>
              <w:rPr>
                <w:rFonts w:hint="eastAsia"/>
                <w:spacing w:val="-4"/>
                <w:sz w:val="21"/>
                <w:szCs w:val="21"/>
              </w:rPr>
              <w:t>污染物扩散，突然影响</w:t>
            </w:r>
            <w:r>
              <w:rPr>
                <w:rFonts w:hint="eastAsia"/>
                <w:spacing w:val="-4"/>
                <w:w w:val="95"/>
                <w:sz w:val="21"/>
                <w:szCs w:val="21"/>
              </w:rPr>
              <w:t>周围大气、地表水、地</w:t>
            </w:r>
          </w:p>
          <w:p w:rsidR="00B04AE3" w:rsidRDefault="00B04AE3">
            <w:pPr>
              <w:pStyle w:val="TableParagraph"/>
              <w:spacing w:line="269" w:lineRule="exact"/>
              <w:ind w:left="80" w:right="74"/>
              <w:rPr>
                <w:sz w:val="21"/>
                <w:szCs w:val="21"/>
              </w:rPr>
            </w:pPr>
            <w:r>
              <w:rPr>
                <w:rFonts w:hint="eastAsia"/>
                <w:sz w:val="21"/>
                <w:szCs w:val="21"/>
              </w:rPr>
              <w:t>下水等</w:t>
            </w:r>
          </w:p>
        </w:tc>
      </w:tr>
      <w:tr w:rsidR="00B04AE3">
        <w:trPr>
          <w:trHeight w:val="1247"/>
        </w:trPr>
        <w:tc>
          <w:tcPr>
            <w:tcW w:w="517" w:type="dxa"/>
          </w:tcPr>
          <w:p w:rsidR="00B04AE3" w:rsidRDefault="00B04AE3">
            <w:pPr>
              <w:pStyle w:val="TableParagraph"/>
              <w:jc w:val="left"/>
              <w:rPr>
                <w:b/>
                <w:sz w:val="21"/>
                <w:szCs w:val="21"/>
              </w:rPr>
            </w:pPr>
          </w:p>
          <w:p w:rsidR="00B04AE3" w:rsidRDefault="00B04AE3">
            <w:pPr>
              <w:pStyle w:val="TableParagraph"/>
              <w:spacing w:before="1"/>
              <w:jc w:val="left"/>
              <w:rPr>
                <w:b/>
                <w:sz w:val="21"/>
                <w:szCs w:val="21"/>
              </w:rPr>
            </w:pPr>
          </w:p>
          <w:p w:rsidR="00B04AE3" w:rsidRDefault="00B04AE3">
            <w:pPr>
              <w:pStyle w:val="TableParagraph"/>
              <w:spacing w:before="1"/>
              <w:ind w:left="9"/>
              <w:rPr>
                <w:sz w:val="21"/>
                <w:szCs w:val="21"/>
              </w:rPr>
            </w:pPr>
            <w:r>
              <w:rPr>
                <w:w w:val="99"/>
                <w:sz w:val="21"/>
                <w:szCs w:val="21"/>
              </w:rPr>
              <w:t>4</w:t>
            </w:r>
          </w:p>
        </w:tc>
        <w:tc>
          <w:tcPr>
            <w:tcW w:w="1134" w:type="dxa"/>
          </w:tcPr>
          <w:p w:rsidR="00B04AE3" w:rsidRDefault="00B04AE3">
            <w:pPr>
              <w:pStyle w:val="TableParagraph"/>
              <w:spacing w:before="11"/>
              <w:jc w:val="left"/>
              <w:rPr>
                <w:b/>
                <w:sz w:val="21"/>
                <w:szCs w:val="21"/>
              </w:rPr>
            </w:pPr>
          </w:p>
          <w:p w:rsidR="00B04AE3" w:rsidRDefault="00B04AE3">
            <w:pPr>
              <w:pStyle w:val="TableParagraph"/>
              <w:spacing w:line="278" w:lineRule="auto"/>
              <w:ind w:left="356" w:right="347"/>
              <w:jc w:val="left"/>
              <w:rPr>
                <w:sz w:val="21"/>
                <w:szCs w:val="21"/>
              </w:rPr>
            </w:pPr>
            <w:r>
              <w:rPr>
                <w:rFonts w:hint="eastAsia"/>
                <w:sz w:val="21"/>
                <w:szCs w:val="21"/>
              </w:rPr>
              <w:t>运输过程</w:t>
            </w:r>
          </w:p>
        </w:tc>
        <w:tc>
          <w:tcPr>
            <w:tcW w:w="1575" w:type="dxa"/>
          </w:tcPr>
          <w:p w:rsidR="00B04AE3" w:rsidRDefault="00B04AE3">
            <w:pPr>
              <w:pStyle w:val="TableParagraph"/>
              <w:spacing w:before="19" w:line="278" w:lineRule="auto"/>
              <w:ind w:left="155" w:right="149"/>
              <w:jc w:val="both"/>
              <w:rPr>
                <w:sz w:val="21"/>
                <w:szCs w:val="21"/>
              </w:rPr>
            </w:pPr>
            <w:r>
              <w:rPr>
                <w:rFonts w:hint="eastAsia"/>
                <w:spacing w:val="-3"/>
                <w:sz w:val="21"/>
                <w:szCs w:val="21"/>
              </w:rPr>
              <w:t>物料输送管道腐蚀、泵及阀</w:t>
            </w:r>
            <w:r>
              <w:rPr>
                <w:rFonts w:hint="eastAsia"/>
                <w:spacing w:val="-3"/>
                <w:w w:val="95"/>
                <w:sz w:val="21"/>
                <w:szCs w:val="21"/>
              </w:rPr>
              <w:t>门损坏、装卸</w:t>
            </w:r>
          </w:p>
          <w:p w:rsidR="00B04AE3" w:rsidRDefault="00B04AE3">
            <w:pPr>
              <w:pStyle w:val="TableParagraph"/>
              <w:spacing w:line="269" w:lineRule="exact"/>
              <w:ind w:left="155"/>
              <w:jc w:val="both"/>
              <w:rPr>
                <w:sz w:val="21"/>
                <w:szCs w:val="21"/>
              </w:rPr>
            </w:pPr>
            <w:r>
              <w:rPr>
                <w:rFonts w:hint="eastAsia"/>
                <w:w w:val="95"/>
                <w:sz w:val="21"/>
                <w:szCs w:val="21"/>
              </w:rPr>
              <w:t>过程引发泄露</w:t>
            </w:r>
          </w:p>
        </w:tc>
        <w:tc>
          <w:tcPr>
            <w:tcW w:w="1257" w:type="dxa"/>
          </w:tcPr>
          <w:p w:rsidR="00B04AE3" w:rsidRDefault="00B04AE3">
            <w:pPr>
              <w:pStyle w:val="TableParagraph"/>
              <w:jc w:val="left"/>
              <w:rPr>
                <w:b/>
                <w:sz w:val="21"/>
                <w:szCs w:val="21"/>
              </w:rPr>
            </w:pPr>
          </w:p>
          <w:p w:rsidR="00B04AE3" w:rsidRDefault="00B04AE3">
            <w:pPr>
              <w:pStyle w:val="TableParagraph"/>
              <w:spacing w:before="1"/>
              <w:jc w:val="left"/>
              <w:rPr>
                <w:b/>
                <w:sz w:val="21"/>
                <w:szCs w:val="21"/>
              </w:rPr>
            </w:pPr>
          </w:p>
          <w:p w:rsidR="00B04AE3" w:rsidRDefault="00B04AE3">
            <w:pPr>
              <w:pStyle w:val="TableParagraph"/>
              <w:spacing w:before="1"/>
              <w:ind w:right="431"/>
              <w:jc w:val="right"/>
              <w:rPr>
                <w:sz w:val="21"/>
                <w:szCs w:val="21"/>
              </w:rPr>
            </w:pPr>
            <w:r>
              <w:rPr>
                <w:w w:val="99"/>
                <w:sz w:val="21"/>
                <w:szCs w:val="21"/>
              </w:rPr>
              <w:t>/</w:t>
            </w:r>
          </w:p>
        </w:tc>
        <w:tc>
          <w:tcPr>
            <w:tcW w:w="1739" w:type="dxa"/>
          </w:tcPr>
          <w:p w:rsidR="00B04AE3" w:rsidRDefault="00B04AE3">
            <w:pPr>
              <w:pStyle w:val="TableParagraph"/>
              <w:jc w:val="left"/>
              <w:rPr>
                <w:b/>
                <w:sz w:val="21"/>
                <w:szCs w:val="21"/>
              </w:rPr>
            </w:pPr>
          </w:p>
          <w:p w:rsidR="00B04AE3" w:rsidRDefault="00B04AE3">
            <w:pPr>
              <w:pStyle w:val="TableParagraph"/>
              <w:jc w:val="left"/>
              <w:rPr>
                <w:b/>
                <w:sz w:val="21"/>
                <w:szCs w:val="21"/>
              </w:rPr>
            </w:pPr>
          </w:p>
          <w:p w:rsidR="00B04AE3" w:rsidRDefault="00B04AE3">
            <w:pPr>
              <w:pStyle w:val="TableParagraph"/>
              <w:ind w:left="160" w:right="157"/>
              <w:rPr>
                <w:sz w:val="21"/>
                <w:szCs w:val="21"/>
              </w:rPr>
            </w:pPr>
            <w:r>
              <w:rPr>
                <w:rFonts w:hint="eastAsia"/>
                <w:sz w:val="21"/>
                <w:szCs w:val="21"/>
              </w:rPr>
              <w:t>泄露</w:t>
            </w:r>
          </w:p>
        </w:tc>
        <w:tc>
          <w:tcPr>
            <w:tcW w:w="2300" w:type="dxa"/>
          </w:tcPr>
          <w:p w:rsidR="00B04AE3" w:rsidRDefault="00B04AE3">
            <w:pPr>
              <w:pStyle w:val="TableParagraph"/>
              <w:spacing w:before="11"/>
              <w:jc w:val="left"/>
              <w:rPr>
                <w:b/>
                <w:sz w:val="21"/>
                <w:szCs w:val="21"/>
              </w:rPr>
            </w:pPr>
          </w:p>
          <w:p w:rsidR="00B04AE3" w:rsidRDefault="00B04AE3">
            <w:pPr>
              <w:pStyle w:val="TableParagraph"/>
              <w:spacing w:line="278" w:lineRule="auto"/>
              <w:ind w:left="106" w:right="51"/>
              <w:jc w:val="left"/>
              <w:rPr>
                <w:sz w:val="21"/>
                <w:szCs w:val="21"/>
              </w:rPr>
            </w:pPr>
            <w:r>
              <w:rPr>
                <w:rFonts w:hint="eastAsia"/>
                <w:sz w:val="21"/>
                <w:szCs w:val="21"/>
              </w:rPr>
              <w:t>突然影响周围大气、地表水、地下水、土壤等</w:t>
            </w:r>
          </w:p>
        </w:tc>
      </w:tr>
      <w:tr w:rsidR="00B04AE3">
        <w:trPr>
          <w:trHeight w:val="623"/>
        </w:trPr>
        <w:tc>
          <w:tcPr>
            <w:tcW w:w="517" w:type="dxa"/>
          </w:tcPr>
          <w:p w:rsidR="00B04AE3" w:rsidRDefault="00B04AE3">
            <w:pPr>
              <w:pStyle w:val="TableParagraph"/>
              <w:spacing w:before="189"/>
              <w:ind w:left="9"/>
              <w:rPr>
                <w:sz w:val="21"/>
                <w:szCs w:val="21"/>
              </w:rPr>
            </w:pPr>
            <w:r>
              <w:rPr>
                <w:w w:val="99"/>
                <w:sz w:val="21"/>
                <w:szCs w:val="21"/>
              </w:rPr>
              <w:t>5</w:t>
            </w:r>
          </w:p>
        </w:tc>
        <w:tc>
          <w:tcPr>
            <w:tcW w:w="1134" w:type="dxa"/>
          </w:tcPr>
          <w:p w:rsidR="00B04AE3" w:rsidRDefault="00B04AE3">
            <w:pPr>
              <w:pStyle w:val="TableParagraph"/>
              <w:spacing w:before="19"/>
              <w:ind w:left="126" w:right="118"/>
              <w:rPr>
                <w:sz w:val="21"/>
                <w:szCs w:val="21"/>
              </w:rPr>
            </w:pPr>
            <w:r>
              <w:rPr>
                <w:rFonts w:hint="eastAsia"/>
                <w:sz w:val="21"/>
                <w:szCs w:val="21"/>
              </w:rPr>
              <w:t>危废存放</w:t>
            </w:r>
          </w:p>
          <w:p w:rsidR="00B04AE3" w:rsidRDefault="00B04AE3">
            <w:pPr>
              <w:pStyle w:val="TableParagraph"/>
              <w:spacing w:before="43"/>
              <w:ind w:left="8"/>
              <w:rPr>
                <w:sz w:val="21"/>
                <w:szCs w:val="21"/>
              </w:rPr>
            </w:pPr>
            <w:r>
              <w:rPr>
                <w:rFonts w:hint="eastAsia"/>
                <w:w w:val="99"/>
                <w:sz w:val="21"/>
                <w:szCs w:val="21"/>
              </w:rPr>
              <w:t>库</w:t>
            </w:r>
          </w:p>
        </w:tc>
        <w:tc>
          <w:tcPr>
            <w:tcW w:w="1575" w:type="dxa"/>
          </w:tcPr>
          <w:p w:rsidR="00B04AE3" w:rsidRDefault="00B04AE3">
            <w:pPr>
              <w:pStyle w:val="TableParagraph"/>
              <w:spacing w:before="19"/>
              <w:ind w:left="134" w:right="130"/>
              <w:rPr>
                <w:sz w:val="21"/>
                <w:szCs w:val="21"/>
              </w:rPr>
            </w:pPr>
            <w:r>
              <w:rPr>
                <w:rFonts w:hint="eastAsia"/>
                <w:sz w:val="21"/>
                <w:szCs w:val="21"/>
              </w:rPr>
              <w:t>危废泄漏、着</w:t>
            </w:r>
          </w:p>
          <w:p w:rsidR="00B04AE3" w:rsidRDefault="00B04AE3">
            <w:pPr>
              <w:pStyle w:val="TableParagraph"/>
              <w:spacing w:before="43"/>
              <w:ind w:left="7"/>
              <w:rPr>
                <w:sz w:val="21"/>
                <w:szCs w:val="21"/>
              </w:rPr>
            </w:pPr>
            <w:r>
              <w:rPr>
                <w:rFonts w:hint="eastAsia"/>
                <w:w w:val="99"/>
                <w:sz w:val="21"/>
                <w:szCs w:val="21"/>
              </w:rPr>
              <w:t>火</w:t>
            </w:r>
          </w:p>
        </w:tc>
        <w:tc>
          <w:tcPr>
            <w:tcW w:w="1257" w:type="dxa"/>
          </w:tcPr>
          <w:p w:rsidR="00B04AE3" w:rsidRDefault="00B04AE3">
            <w:pPr>
              <w:pStyle w:val="TableParagraph"/>
              <w:spacing w:before="19"/>
              <w:ind w:left="137" w:right="128"/>
              <w:rPr>
                <w:sz w:val="21"/>
                <w:szCs w:val="21"/>
              </w:rPr>
            </w:pPr>
            <w:r>
              <w:rPr>
                <w:rFonts w:hint="eastAsia"/>
                <w:sz w:val="21"/>
                <w:szCs w:val="21"/>
              </w:rPr>
              <w:t>危险废</w:t>
            </w:r>
          </w:p>
          <w:p w:rsidR="00B04AE3" w:rsidRDefault="00B04AE3">
            <w:pPr>
              <w:pStyle w:val="TableParagraph"/>
              <w:spacing w:before="43"/>
              <w:ind w:left="7"/>
              <w:rPr>
                <w:sz w:val="21"/>
                <w:szCs w:val="21"/>
              </w:rPr>
            </w:pPr>
            <w:r>
              <w:rPr>
                <w:rFonts w:hint="eastAsia"/>
                <w:w w:val="99"/>
                <w:sz w:val="21"/>
                <w:szCs w:val="21"/>
              </w:rPr>
              <w:t>物</w:t>
            </w:r>
          </w:p>
        </w:tc>
        <w:tc>
          <w:tcPr>
            <w:tcW w:w="1739" w:type="dxa"/>
          </w:tcPr>
          <w:p w:rsidR="00B04AE3" w:rsidRDefault="00B04AE3">
            <w:pPr>
              <w:pStyle w:val="TableParagraph"/>
              <w:spacing w:before="175"/>
              <w:ind w:left="163" w:right="157"/>
              <w:rPr>
                <w:sz w:val="21"/>
                <w:szCs w:val="21"/>
              </w:rPr>
            </w:pPr>
            <w:r>
              <w:rPr>
                <w:rFonts w:hint="eastAsia"/>
                <w:sz w:val="21"/>
                <w:szCs w:val="21"/>
              </w:rPr>
              <w:t>泄漏、中毒及火灾</w:t>
            </w:r>
          </w:p>
        </w:tc>
        <w:tc>
          <w:tcPr>
            <w:tcW w:w="2300" w:type="dxa"/>
          </w:tcPr>
          <w:p w:rsidR="00B04AE3" w:rsidRDefault="00B04AE3">
            <w:pPr>
              <w:pStyle w:val="TableParagraph"/>
              <w:spacing w:before="19"/>
              <w:ind w:left="106"/>
              <w:jc w:val="left"/>
              <w:rPr>
                <w:sz w:val="21"/>
                <w:szCs w:val="21"/>
              </w:rPr>
            </w:pPr>
            <w:r>
              <w:rPr>
                <w:rFonts w:hint="eastAsia"/>
                <w:spacing w:val="-2"/>
                <w:w w:val="95"/>
                <w:sz w:val="21"/>
                <w:szCs w:val="21"/>
              </w:rPr>
              <w:t>突然影响周围大气、地</w:t>
            </w:r>
          </w:p>
          <w:p w:rsidR="00B04AE3" w:rsidRDefault="00B04AE3">
            <w:pPr>
              <w:pStyle w:val="TableParagraph"/>
              <w:spacing w:before="43"/>
              <w:ind w:left="106"/>
              <w:jc w:val="left"/>
              <w:rPr>
                <w:sz w:val="21"/>
                <w:szCs w:val="21"/>
              </w:rPr>
            </w:pPr>
            <w:r>
              <w:rPr>
                <w:rFonts w:hint="eastAsia"/>
                <w:spacing w:val="-3"/>
                <w:w w:val="95"/>
                <w:sz w:val="21"/>
                <w:szCs w:val="21"/>
              </w:rPr>
              <w:t>表水、地下水、土壤等</w:t>
            </w:r>
          </w:p>
        </w:tc>
      </w:tr>
      <w:tr w:rsidR="00B04AE3">
        <w:trPr>
          <w:trHeight w:val="624"/>
        </w:trPr>
        <w:tc>
          <w:tcPr>
            <w:tcW w:w="517" w:type="dxa"/>
          </w:tcPr>
          <w:p w:rsidR="00B04AE3" w:rsidRDefault="00B04AE3">
            <w:pPr>
              <w:pStyle w:val="TableParagraph"/>
              <w:spacing w:before="191"/>
              <w:ind w:left="9"/>
              <w:rPr>
                <w:sz w:val="21"/>
                <w:szCs w:val="21"/>
              </w:rPr>
            </w:pPr>
            <w:r>
              <w:rPr>
                <w:w w:val="99"/>
                <w:sz w:val="21"/>
                <w:szCs w:val="21"/>
              </w:rPr>
              <w:t>6</w:t>
            </w:r>
          </w:p>
        </w:tc>
        <w:tc>
          <w:tcPr>
            <w:tcW w:w="1134" w:type="dxa"/>
          </w:tcPr>
          <w:p w:rsidR="00B04AE3" w:rsidRDefault="00B04AE3">
            <w:pPr>
              <w:pStyle w:val="TableParagraph"/>
              <w:spacing w:before="177"/>
              <w:ind w:left="356"/>
              <w:jc w:val="left"/>
              <w:rPr>
                <w:sz w:val="21"/>
                <w:szCs w:val="21"/>
              </w:rPr>
            </w:pPr>
            <w:r>
              <w:rPr>
                <w:rFonts w:hint="eastAsia"/>
                <w:sz w:val="21"/>
                <w:szCs w:val="21"/>
              </w:rPr>
              <w:t>全厂</w:t>
            </w:r>
          </w:p>
        </w:tc>
        <w:tc>
          <w:tcPr>
            <w:tcW w:w="1575" w:type="dxa"/>
          </w:tcPr>
          <w:p w:rsidR="00B04AE3" w:rsidRDefault="00B04AE3">
            <w:pPr>
              <w:pStyle w:val="TableParagraph"/>
              <w:spacing w:before="177"/>
              <w:ind w:left="134" w:right="130"/>
              <w:rPr>
                <w:sz w:val="21"/>
                <w:szCs w:val="21"/>
              </w:rPr>
            </w:pPr>
            <w:r>
              <w:rPr>
                <w:rFonts w:hint="eastAsia"/>
                <w:sz w:val="21"/>
                <w:szCs w:val="21"/>
              </w:rPr>
              <w:t>停电、断水等</w:t>
            </w:r>
          </w:p>
        </w:tc>
        <w:tc>
          <w:tcPr>
            <w:tcW w:w="1257" w:type="dxa"/>
          </w:tcPr>
          <w:p w:rsidR="00B04AE3" w:rsidRDefault="00B04AE3">
            <w:pPr>
              <w:pStyle w:val="TableParagraph"/>
              <w:spacing w:before="191"/>
              <w:ind w:right="431"/>
              <w:jc w:val="right"/>
              <w:rPr>
                <w:sz w:val="21"/>
                <w:szCs w:val="21"/>
              </w:rPr>
            </w:pPr>
            <w:r>
              <w:rPr>
                <w:w w:val="99"/>
                <w:sz w:val="21"/>
                <w:szCs w:val="21"/>
              </w:rPr>
              <w:t>/</w:t>
            </w:r>
          </w:p>
        </w:tc>
        <w:tc>
          <w:tcPr>
            <w:tcW w:w="1739" w:type="dxa"/>
          </w:tcPr>
          <w:p w:rsidR="00B04AE3" w:rsidRDefault="00B04AE3">
            <w:pPr>
              <w:pStyle w:val="TableParagraph"/>
              <w:spacing w:before="191"/>
              <w:ind w:left="9"/>
              <w:rPr>
                <w:sz w:val="21"/>
                <w:szCs w:val="21"/>
              </w:rPr>
            </w:pPr>
            <w:r>
              <w:rPr>
                <w:w w:val="99"/>
                <w:sz w:val="21"/>
                <w:szCs w:val="21"/>
              </w:rPr>
              <w:t>/</w:t>
            </w:r>
          </w:p>
        </w:tc>
        <w:tc>
          <w:tcPr>
            <w:tcW w:w="2300" w:type="dxa"/>
          </w:tcPr>
          <w:p w:rsidR="00B04AE3" w:rsidRDefault="00B04AE3">
            <w:pPr>
              <w:pStyle w:val="TableParagraph"/>
              <w:spacing w:before="21"/>
              <w:ind w:left="82" w:right="74"/>
              <w:rPr>
                <w:sz w:val="21"/>
                <w:szCs w:val="21"/>
              </w:rPr>
            </w:pPr>
            <w:r>
              <w:rPr>
                <w:rFonts w:hint="eastAsia"/>
                <w:sz w:val="21"/>
                <w:szCs w:val="21"/>
              </w:rPr>
              <w:t>可能导致其他突发环</w:t>
            </w:r>
          </w:p>
          <w:p w:rsidR="00B04AE3" w:rsidRDefault="00B04AE3">
            <w:pPr>
              <w:pStyle w:val="TableParagraph"/>
              <w:spacing w:before="43"/>
              <w:ind w:left="80" w:right="74"/>
              <w:rPr>
                <w:sz w:val="21"/>
                <w:szCs w:val="21"/>
              </w:rPr>
            </w:pPr>
            <w:r>
              <w:rPr>
                <w:rFonts w:hint="eastAsia"/>
                <w:sz w:val="21"/>
                <w:szCs w:val="21"/>
              </w:rPr>
              <w:t>境事故</w:t>
            </w:r>
          </w:p>
        </w:tc>
      </w:tr>
      <w:tr w:rsidR="00B04AE3">
        <w:trPr>
          <w:trHeight w:val="624"/>
        </w:trPr>
        <w:tc>
          <w:tcPr>
            <w:tcW w:w="517" w:type="dxa"/>
          </w:tcPr>
          <w:p w:rsidR="00B04AE3" w:rsidRDefault="00B04AE3">
            <w:pPr>
              <w:pStyle w:val="TableParagraph"/>
              <w:spacing w:before="190"/>
              <w:ind w:left="9"/>
              <w:rPr>
                <w:sz w:val="21"/>
                <w:szCs w:val="21"/>
              </w:rPr>
            </w:pPr>
            <w:r>
              <w:rPr>
                <w:w w:val="99"/>
                <w:sz w:val="21"/>
                <w:szCs w:val="21"/>
              </w:rPr>
              <w:t>7</w:t>
            </w:r>
          </w:p>
        </w:tc>
        <w:tc>
          <w:tcPr>
            <w:tcW w:w="1134" w:type="dxa"/>
          </w:tcPr>
          <w:p w:rsidR="00B04AE3" w:rsidRDefault="00B04AE3">
            <w:pPr>
              <w:pStyle w:val="TableParagraph"/>
              <w:spacing w:before="176"/>
              <w:ind w:left="356"/>
              <w:jc w:val="left"/>
              <w:rPr>
                <w:sz w:val="21"/>
                <w:szCs w:val="21"/>
              </w:rPr>
            </w:pPr>
            <w:r>
              <w:rPr>
                <w:rFonts w:hint="eastAsia"/>
                <w:sz w:val="21"/>
                <w:szCs w:val="21"/>
              </w:rPr>
              <w:t>全厂</w:t>
            </w:r>
          </w:p>
        </w:tc>
        <w:tc>
          <w:tcPr>
            <w:tcW w:w="1575" w:type="dxa"/>
          </w:tcPr>
          <w:p w:rsidR="00B04AE3" w:rsidRDefault="00B04AE3">
            <w:pPr>
              <w:pStyle w:val="TableParagraph"/>
              <w:spacing w:before="21"/>
              <w:ind w:left="134" w:right="130"/>
              <w:rPr>
                <w:sz w:val="21"/>
                <w:szCs w:val="21"/>
              </w:rPr>
            </w:pPr>
            <w:r>
              <w:rPr>
                <w:rFonts w:hint="eastAsia"/>
                <w:sz w:val="21"/>
                <w:szCs w:val="21"/>
              </w:rPr>
              <w:t>通讯或运输系</w:t>
            </w:r>
          </w:p>
          <w:p w:rsidR="00B04AE3" w:rsidRDefault="00B04AE3">
            <w:pPr>
              <w:pStyle w:val="TableParagraph"/>
              <w:spacing w:before="42"/>
              <w:ind w:left="134" w:right="125"/>
              <w:rPr>
                <w:sz w:val="21"/>
                <w:szCs w:val="21"/>
              </w:rPr>
            </w:pPr>
            <w:r>
              <w:rPr>
                <w:rFonts w:hint="eastAsia"/>
                <w:sz w:val="21"/>
                <w:szCs w:val="21"/>
              </w:rPr>
              <w:t>统故障</w:t>
            </w:r>
          </w:p>
        </w:tc>
        <w:tc>
          <w:tcPr>
            <w:tcW w:w="1257" w:type="dxa"/>
          </w:tcPr>
          <w:p w:rsidR="00B04AE3" w:rsidRDefault="00B04AE3">
            <w:pPr>
              <w:pStyle w:val="TableParagraph"/>
              <w:spacing w:before="190"/>
              <w:ind w:right="431"/>
              <w:jc w:val="right"/>
              <w:rPr>
                <w:sz w:val="21"/>
                <w:szCs w:val="21"/>
              </w:rPr>
            </w:pPr>
            <w:r>
              <w:rPr>
                <w:w w:val="99"/>
                <w:sz w:val="21"/>
                <w:szCs w:val="21"/>
              </w:rPr>
              <w:t>/</w:t>
            </w:r>
          </w:p>
        </w:tc>
        <w:tc>
          <w:tcPr>
            <w:tcW w:w="1739" w:type="dxa"/>
          </w:tcPr>
          <w:p w:rsidR="00B04AE3" w:rsidRDefault="00B04AE3">
            <w:pPr>
              <w:pStyle w:val="TableParagraph"/>
              <w:spacing w:before="190"/>
              <w:ind w:left="9"/>
              <w:rPr>
                <w:sz w:val="21"/>
                <w:szCs w:val="21"/>
              </w:rPr>
            </w:pPr>
            <w:r>
              <w:rPr>
                <w:w w:val="99"/>
                <w:sz w:val="21"/>
                <w:szCs w:val="21"/>
              </w:rPr>
              <w:t>/</w:t>
            </w:r>
          </w:p>
        </w:tc>
        <w:tc>
          <w:tcPr>
            <w:tcW w:w="2300" w:type="dxa"/>
          </w:tcPr>
          <w:p w:rsidR="00B04AE3" w:rsidRDefault="00B04AE3">
            <w:pPr>
              <w:pStyle w:val="TableParagraph"/>
              <w:spacing w:before="176"/>
              <w:ind w:left="519"/>
              <w:jc w:val="left"/>
              <w:rPr>
                <w:sz w:val="21"/>
                <w:szCs w:val="21"/>
              </w:rPr>
            </w:pPr>
            <w:r>
              <w:rPr>
                <w:rFonts w:hint="eastAsia"/>
                <w:sz w:val="21"/>
                <w:szCs w:val="21"/>
              </w:rPr>
              <w:t>停电、断水等</w:t>
            </w:r>
          </w:p>
        </w:tc>
      </w:tr>
      <w:tr w:rsidR="00B04AE3">
        <w:trPr>
          <w:trHeight w:val="1247"/>
        </w:trPr>
        <w:tc>
          <w:tcPr>
            <w:tcW w:w="517" w:type="dxa"/>
          </w:tcPr>
          <w:p w:rsidR="00B04AE3" w:rsidRDefault="00B04AE3">
            <w:pPr>
              <w:pStyle w:val="TableParagraph"/>
              <w:jc w:val="left"/>
              <w:rPr>
                <w:b/>
                <w:sz w:val="21"/>
                <w:szCs w:val="21"/>
              </w:rPr>
            </w:pPr>
          </w:p>
          <w:p w:rsidR="00B04AE3" w:rsidRDefault="00B04AE3">
            <w:pPr>
              <w:pStyle w:val="TableParagraph"/>
              <w:spacing w:before="2"/>
              <w:jc w:val="left"/>
              <w:rPr>
                <w:b/>
                <w:sz w:val="21"/>
                <w:szCs w:val="21"/>
              </w:rPr>
            </w:pPr>
          </w:p>
          <w:p w:rsidR="00B04AE3" w:rsidRDefault="00B04AE3">
            <w:pPr>
              <w:pStyle w:val="TableParagraph"/>
              <w:ind w:left="9"/>
              <w:rPr>
                <w:sz w:val="21"/>
                <w:szCs w:val="21"/>
              </w:rPr>
            </w:pPr>
            <w:r>
              <w:rPr>
                <w:w w:val="99"/>
                <w:sz w:val="21"/>
                <w:szCs w:val="21"/>
              </w:rPr>
              <w:t>8</w:t>
            </w:r>
          </w:p>
        </w:tc>
        <w:tc>
          <w:tcPr>
            <w:tcW w:w="1134" w:type="dxa"/>
          </w:tcPr>
          <w:p w:rsidR="00B04AE3" w:rsidRDefault="00B04AE3">
            <w:pPr>
              <w:pStyle w:val="TableParagraph"/>
              <w:jc w:val="left"/>
              <w:rPr>
                <w:b/>
                <w:sz w:val="21"/>
                <w:szCs w:val="21"/>
              </w:rPr>
            </w:pPr>
          </w:p>
          <w:p w:rsidR="00B04AE3" w:rsidRDefault="00B04AE3">
            <w:pPr>
              <w:pStyle w:val="TableParagraph"/>
              <w:spacing w:before="1"/>
              <w:jc w:val="left"/>
              <w:rPr>
                <w:b/>
                <w:sz w:val="21"/>
                <w:szCs w:val="21"/>
              </w:rPr>
            </w:pPr>
          </w:p>
          <w:p w:rsidR="00B04AE3" w:rsidRDefault="00B04AE3">
            <w:pPr>
              <w:pStyle w:val="TableParagraph"/>
              <w:ind w:left="356"/>
              <w:jc w:val="left"/>
              <w:rPr>
                <w:sz w:val="21"/>
                <w:szCs w:val="21"/>
              </w:rPr>
            </w:pPr>
            <w:r>
              <w:rPr>
                <w:rFonts w:hint="eastAsia"/>
                <w:sz w:val="21"/>
                <w:szCs w:val="21"/>
              </w:rPr>
              <w:t>全厂</w:t>
            </w:r>
          </w:p>
        </w:tc>
        <w:tc>
          <w:tcPr>
            <w:tcW w:w="1575" w:type="dxa"/>
          </w:tcPr>
          <w:p w:rsidR="00B04AE3" w:rsidRDefault="00B04AE3">
            <w:pPr>
              <w:pStyle w:val="TableParagraph"/>
              <w:spacing w:before="20" w:line="278" w:lineRule="auto"/>
              <w:ind w:left="155" w:right="149" w:firstLine="2"/>
              <w:rPr>
                <w:sz w:val="21"/>
                <w:szCs w:val="21"/>
              </w:rPr>
            </w:pPr>
            <w:r>
              <w:rPr>
                <w:rFonts w:hint="eastAsia"/>
                <w:sz w:val="21"/>
                <w:szCs w:val="21"/>
              </w:rPr>
              <w:t>各种自然灾</w:t>
            </w:r>
            <w:r>
              <w:rPr>
                <w:sz w:val="21"/>
                <w:szCs w:val="21"/>
              </w:rPr>
              <w:t xml:space="preserve"> </w:t>
            </w:r>
            <w:r>
              <w:rPr>
                <w:rFonts w:hint="eastAsia"/>
                <w:spacing w:val="-3"/>
                <w:sz w:val="21"/>
                <w:szCs w:val="21"/>
              </w:rPr>
              <w:t>害、极端天气或不利气象条</w:t>
            </w:r>
          </w:p>
          <w:p w:rsidR="00B04AE3" w:rsidRDefault="00B04AE3">
            <w:pPr>
              <w:pStyle w:val="TableParagraph"/>
              <w:spacing w:line="269" w:lineRule="exact"/>
              <w:ind w:left="7"/>
              <w:rPr>
                <w:sz w:val="21"/>
                <w:szCs w:val="21"/>
              </w:rPr>
            </w:pPr>
            <w:r>
              <w:rPr>
                <w:rFonts w:hint="eastAsia"/>
                <w:w w:val="99"/>
                <w:sz w:val="21"/>
                <w:szCs w:val="21"/>
              </w:rPr>
              <w:t>件</w:t>
            </w:r>
          </w:p>
        </w:tc>
        <w:tc>
          <w:tcPr>
            <w:tcW w:w="1257" w:type="dxa"/>
          </w:tcPr>
          <w:p w:rsidR="00B04AE3" w:rsidRDefault="00B04AE3">
            <w:pPr>
              <w:pStyle w:val="TableParagraph"/>
              <w:jc w:val="left"/>
              <w:rPr>
                <w:b/>
                <w:sz w:val="21"/>
                <w:szCs w:val="21"/>
              </w:rPr>
            </w:pPr>
          </w:p>
          <w:p w:rsidR="00B04AE3" w:rsidRDefault="00B04AE3">
            <w:pPr>
              <w:pStyle w:val="TableParagraph"/>
              <w:spacing w:before="2"/>
              <w:jc w:val="left"/>
              <w:rPr>
                <w:b/>
                <w:sz w:val="21"/>
                <w:szCs w:val="21"/>
              </w:rPr>
            </w:pPr>
          </w:p>
          <w:p w:rsidR="00B04AE3" w:rsidRDefault="00B04AE3">
            <w:pPr>
              <w:pStyle w:val="TableParagraph"/>
              <w:ind w:right="431"/>
              <w:jc w:val="right"/>
              <w:rPr>
                <w:sz w:val="21"/>
                <w:szCs w:val="21"/>
              </w:rPr>
            </w:pPr>
            <w:r>
              <w:rPr>
                <w:w w:val="99"/>
                <w:sz w:val="21"/>
                <w:szCs w:val="21"/>
              </w:rPr>
              <w:t>/</w:t>
            </w:r>
          </w:p>
        </w:tc>
        <w:tc>
          <w:tcPr>
            <w:tcW w:w="1739" w:type="dxa"/>
          </w:tcPr>
          <w:p w:rsidR="00B04AE3" w:rsidRDefault="00B04AE3">
            <w:pPr>
              <w:pStyle w:val="TableParagraph"/>
              <w:jc w:val="left"/>
              <w:rPr>
                <w:b/>
                <w:sz w:val="21"/>
                <w:szCs w:val="21"/>
              </w:rPr>
            </w:pPr>
          </w:p>
          <w:p w:rsidR="00B04AE3" w:rsidRDefault="00B04AE3">
            <w:pPr>
              <w:pStyle w:val="TableParagraph"/>
              <w:spacing w:before="2"/>
              <w:jc w:val="left"/>
              <w:rPr>
                <w:b/>
                <w:sz w:val="21"/>
                <w:szCs w:val="21"/>
              </w:rPr>
            </w:pPr>
          </w:p>
          <w:p w:rsidR="00B04AE3" w:rsidRDefault="00B04AE3">
            <w:pPr>
              <w:pStyle w:val="TableParagraph"/>
              <w:ind w:left="9"/>
              <w:rPr>
                <w:sz w:val="21"/>
                <w:szCs w:val="21"/>
              </w:rPr>
            </w:pPr>
            <w:r>
              <w:rPr>
                <w:w w:val="99"/>
                <w:sz w:val="21"/>
                <w:szCs w:val="21"/>
              </w:rPr>
              <w:t>/</w:t>
            </w:r>
          </w:p>
        </w:tc>
        <w:tc>
          <w:tcPr>
            <w:tcW w:w="2300" w:type="dxa"/>
          </w:tcPr>
          <w:p w:rsidR="00B04AE3" w:rsidRDefault="00B04AE3">
            <w:pPr>
              <w:pStyle w:val="TableParagraph"/>
              <w:spacing w:before="12"/>
              <w:jc w:val="left"/>
              <w:rPr>
                <w:b/>
                <w:sz w:val="21"/>
                <w:szCs w:val="21"/>
              </w:rPr>
            </w:pPr>
          </w:p>
          <w:p w:rsidR="00B04AE3" w:rsidRDefault="00B04AE3">
            <w:pPr>
              <w:pStyle w:val="TableParagraph"/>
              <w:spacing w:line="278" w:lineRule="auto"/>
              <w:ind w:left="519" w:right="51" w:hanging="413"/>
              <w:jc w:val="left"/>
              <w:rPr>
                <w:sz w:val="21"/>
                <w:szCs w:val="21"/>
              </w:rPr>
            </w:pPr>
            <w:r>
              <w:rPr>
                <w:rFonts w:hint="eastAsia"/>
                <w:sz w:val="21"/>
                <w:szCs w:val="21"/>
              </w:rPr>
              <w:t>自然灾害、极端天气等不利气象条件</w:t>
            </w:r>
          </w:p>
        </w:tc>
      </w:tr>
    </w:tbl>
    <w:p w:rsidR="00B04AE3" w:rsidRDefault="00B04AE3">
      <w:pPr>
        <w:pStyle w:val="Heading3"/>
        <w:numPr>
          <w:ilvl w:val="2"/>
          <w:numId w:val="41"/>
        </w:numPr>
        <w:tabs>
          <w:tab w:val="left" w:pos="1400"/>
        </w:tabs>
        <w:spacing w:before="64"/>
      </w:pPr>
      <w:bookmarkStart w:id="277" w:name="2.5.2_风险评价等级"/>
      <w:bookmarkStart w:id="278" w:name="_bookmark86"/>
      <w:bookmarkEnd w:id="277"/>
      <w:bookmarkEnd w:id="278"/>
      <w:r>
        <w:rPr>
          <w:rFonts w:hint="eastAsia"/>
        </w:rPr>
        <w:t>风险评价等级</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根据评价项目的物质危险性和功能单元重大污染源判定结果以及环境敏感程度等因素，环境风险评价划分为一级和二级。评价工作等级的划分依据具体见表</w:t>
      </w:r>
      <w:r>
        <w:rPr>
          <w:spacing w:val="-6"/>
          <w:szCs w:val="22"/>
        </w:rPr>
        <w:t xml:space="preserve"> 2.5-2</w:t>
      </w:r>
      <w:r>
        <w:rPr>
          <w:rFonts w:hint="eastAsia"/>
          <w:spacing w:val="-6"/>
          <w:szCs w:val="22"/>
        </w:rPr>
        <w:t>。</w:t>
      </w:r>
    </w:p>
    <w:p w:rsidR="00B04AE3" w:rsidRDefault="00B04AE3">
      <w:pPr>
        <w:tabs>
          <w:tab w:val="left" w:pos="3912"/>
        </w:tabs>
        <w:spacing w:line="354" w:lineRule="exact"/>
        <w:ind w:left="2873"/>
        <w:rPr>
          <w:rFonts w:ascii="微软雅黑" w:eastAsia="微软雅黑"/>
          <w:b/>
          <w:sz w:val="24"/>
        </w:rPr>
      </w:pPr>
      <w:r>
        <w:rPr>
          <w:rFonts w:ascii="微软雅黑" w:eastAsia="微软雅黑" w:hint="eastAsia"/>
          <w:b/>
          <w:sz w:val="24"/>
        </w:rPr>
        <w:t>表</w:t>
      </w:r>
      <w:r>
        <w:rPr>
          <w:rFonts w:ascii="微软雅黑" w:eastAsia="微软雅黑"/>
          <w:b/>
          <w:spacing w:val="-13"/>
          <w:sz w:val="24"/>
        </w:rPr>
        <w:t xml:space="preserve"> </w:t>
      </w:r>
      <w:r>
        <w:rPr>
          <w:rFonts w:ascii="Times New Roman" w:eastAsia="Times New Roman"/>
          <w:b/>
          <w:sz w:val="24"/>
        </w:rPr>
        <w:t>2.5-2</w:t>
      </w:r>
      <w:r>
        <w:rPr>
          <w:rFonts w:ascii="Times New Roman" w:eastAsia="Times New Roman"/>
          <w:b/>
          <w:sz w:val="24"/>
        </w:rPr>
        <w:tab/>
      </w:r>
      <w:r>
        <w:rPr>
          <w:rFonts w:ascii="微软雅黑" w:eastAsia="微软雅黑" w:hint="eastAsia"/>
          <w:b/>
          <w:sz w:val="24"/>
        </w:rPr>
        <w:t>环境风险评价等级划分依据一览表</w:t>
      </w:r>
    </w:p>
    <w:tbl>
      <w:tblPr>
        <w:tblW w:w="8528" w:type="dxa"/>
        <w:tblInd w:w="6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1549"/>
        <w:gridCol w:w="1475"/>
        <w:gridCol w:w="1799"/>
        <w:gridCol w:w="840"/>
        <w:gridCol w:w="421"/>
        <w:gridCol w:w="839"/>
        <w:gridCol w:w="1605"/>
      </w:tblGrid>
      <w:tr w:rsidR="00B04AE3">
        <w:trPr>
          <w:trHeight w:val="624"/>
        </w:trPr>
        <w:tc>
          <w:tcPr>
            <w:tcW w:w="1549" w:type="dxa"/>
            <w:tcBorders>
              <w:bottom w:val="single" w:sz="6" w:space="0" w:color="000000"/>
              <w:right w:val="single" w:sz="6" w:space="0" w:color="000000"/>
            </w:tcBorders>
            <w:shd w:val="clear" w:color="auto" w:fill="DFDFDF"/>
          </w:tcPr>
          <w:p w:rsidR="00B04AE3" w:rsidRDefault="00B04AE3">
            <w:pPr>
              <w:pStyle w:val="TableParagraph"/>
              <w:spacing w:before="163"/>
              <w:ind w:left="122" w:right="105"/>
              <w:rPr>
                <w:b/>
                <w:sz w:val="21"/>
              </w:rPr>
            </w:pPr>
            <w:r>
              <w:rPr>
                <w:rFonts w:hint="eastAsia"/>
                <w:b/>
                <w:sz w:val="21"/>
              </w:rPr>
              <w:t>项目</w:t>
            </w:r>
          </w:p>
        </w:tc>
        <w:tc>
          <w:tcPr>
            <w:tcW w:w="1475" w:type="dxa"/>
            <w:tcBorders>
              <w:left w:val="single" w:sz="6" w:space="0" w:color="000000"/>
              <w:bottom w:val="single" w:sz="6" w:space="0" w:color="000000"/>
              <w:right w:val="single" w:sz="6" w:space="0" w:color="000000"/>
            </w:tcBorders>
            <w:shd w:val="clear" w:color="auto" w:fill="DFDFDF"/>
          </w:tcPr>
          <w:p w:rsidR="00B04AE3" w:rsidRDefault="00B04AE3">
            <w:pPr>
              <w:pStyle w:val="TableParagraph"/>
              <w:spacing w:before="26" w:line="244" w:lineRule="auto"/>
              <w:ind w:left="529" w:right="193" w:hanging="317"/>
              <w:jc w:val="left"/>
              <w:rPr>
                <w:b/>
                <w:sz w:val="21"/>
              </w:rPr>
            </w:pPr>
            <w:r>
              <w:rPr>
                <w:rFonts w:hint="eastAsia"/>
                <w:b/>
                <w:sz w:val="21"/>
              </w:rPr>
              <w:t>剧毒危险性物质</w:t>
            </w:r>
          </w:p>
        </w:tc>
        <w:tc>
          <w:tcPr>
            <w:tcW w:w="1799" w:type="dxa"/>
            <w:tcBorders>
              <w:left w:val="single" w:sz="6" w:space="0" w:color="000000"/>
              <w:bottom w:val="single" w:sz="6" w:space="0" w:color="000000"/>
              <w:right w:val="single" w:sz="6" w:space="0" w:color="000000"/>
            </w:tcBorders>
            <w:shd w:val="clear" w:color="auto" w:fill="DFDFDF"/>
          </w:tcPr>
          <w:p w:rsidR="00B04AE3" w:rsidRDefault="00B04AE3">
            <w:pPr>
              <w:pStyle w:val="TableParagraph"/>
              <w:spacing w:before="26" w:line="244" w:lineRule="auto"/>
              <w:ind w:left="691" w:right="247" w:hanging="420"/>
              <w:jc w:val="left"/>
              <w:rPr>
                <w:b/>
                <w:sz w:val="21"/>
              </w:rPr>
            </w:pPr>
            <w:r>
              <w:rPr>
                <w:rFonts w:hint="eastAsia"/>
                <w:b/>
                <w:sz w:val="21"/>
              </w:rPr>
              <w:t>一般毒性危险物质</w:t>
            </w:r>
          </w:p>
        </w:tc>
        <w:tc>
          <w:tcPr>
            <w:tcW w:w="2100" w:type="dxa"/>
            <w:gridSpan w:val="3"/>
            <w:tcBorders>
              <w:left w:val="single" w:sz="6" w:space="0" w:color="000000"/>
              <w:bottom w:val="single" w:sz="6" w:space="0" w:color="000000"/>
              <w:right w:val="single" w:sz="6" w:space="0" w:color="000000"/>
            </w:tcBorders>
            <w:shd w:val="clear" w:color="auto" w:fill="DFDFDF"/>
          </w:tcPr>
          <w:p w:rsidR="00B04AE3" w:rsidRDefault="00B04AE3">
            <w:pPr>
              <w:pStyle w:val="TableParagraph"/>
              <w:spacing w:before="7"/>
              <w:ind w:left="191" w:right="167"/>
              <w:rPr>
                <w:b/>
                <w:sz w:val="21"/>
              </w:rPr>
            </w:pPr>
            <w:r>
              <w:rPr>
                <w:rFonts w:hint="eastAsia"/>
                <w:b/>
                <w:sz w:val="21"/>
              </w:rPr>
              <w:t>可燃、易燃危险性</w:t>
            </w:r>
          </w:p>
          <w:p w:rsidR="00B04AE3" w:rsidRDefault="00B04AE3">
            <w:pPr>
              <w:pStyle w:val="TableParagraph"/>
              <w:spacing w:before="43"/>
              <w:ind w:left="184" w:right="167"/>
              <w:rPr>
                <w:b/>
                <w:sz w:val="21"/>
              </w:rPr>
            </w:pPr>
            <w:r>
              <w:rPr>
                <w:rFonts w:hint="eastAsia"/>
                <w:b/>
                <w:sz w:val="21"/>
              </w:rPr>
              <w:t>物质</w:t>
            </w:r>
          </w:p>
        </w:tc>
        <w:tc>
          <w:tcPr>
            <w:tcW w:w="1605" w:type="dxa"/>
            <w:tcBorders>
              <w:left w:val="single" w:sz="6" w:space="0" w:color="000000"/>
              <w:bottom w:val="single" w:sz="6" w:space="0" w:color="000000"/>
            </w:tcBorders>
            <w:shd w:val="clear" w:color="auto" w:fill="DFDFDF"/>
          </w:tcPr>
          <w:p w:rsidR="00B04AE3" w:rsidRDefault="00B04AE3">
            <w:pPr>
              <w:pStyle w:val="TableParagraph"/>
              <w:spacing w:before="26" w:line="244" w:lineRule="auto"/>
              <w:ind w:left="594" w:right="254" w:hanging="315"/>
              <w:jc w:val="left"/>
              <w:rPr>
                <w:b/>
                <w:sz w:val="21"/>
              </w:rPr>
            </w:pPr>
            <w:r>
              <w:rPr>
                <w:rFonts w:hint="eastAsia"/>
                <w:b/>
                <w:sz w:val="21"/>
              </w:rPr>
              <w:t>爆炸危险性物质</w:t>
            </w:r>
          </w:p>
        </w:tc>
      </w:tr>
      <w:tr w:rsidR="00B04AE3">
        <w:trPr>
          <w:trHeight w:val="340"/>
        </w:trPr>
        <w:tc>
          <w:tcPr>
            <w:tcW w:w="1549" w:type="dxa"/>
            <w:tcBorders>
              <w:top w:val="single" w:sz="6" w:space="0" w:color="000000"/>
              <w:bottom w:val="single" w:sz="6" w:space="0" w:color="000000"/>
              <w:right w:val="single" w:sz="6" w:space="0" w:color="000000"/>
            </w:tcBorders>
          </w:tcPr>
          <w:p w:rsidR="00B04AE3" w:rsidRDefault="00B04AE3">
            <w:pPr>
              <w:pStyle w:val="TableParagraph"/>
              <w:spacing w:before="21"/>
              <w:ind w:left="120" w:right="108"/>
              <w:rPr>
                <w:sz w:val="21"/>
              </w:rPr>
            </w:pPr>
            <w:r>
              <w:rPr>
                <w:rFonts w:hint="eastAsia"/>
                <w:sz w:val="21"/>
              </w:rPr>
              <w:t>重大危险源</w:t>
            </w:r>
          </w:p>
        </w:tc>
        <w:tc>
          <w:tcPr>
            <w:tcW w:w="1475" w:type="dxa"/>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21"/>
              <w:ind w:left="191" w:right="174"/>
              <w:rPr>
                <w:sz w:val="21"/>
              </w:rPr>
            </w:pPr>
            <w:r>
              <w:rPr>
                <w:rFonts w:hint="eastAsia"/>
                <w:sz w:val="21"/>
              </w:rPr>
              <w:t>一级</w:t>
            </w:r>
          </w:p>
        </w:tc>
        <w:tc>
          <w:tcPr>
            <w:tcW w:w="1799" w:type="dxa"/>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21"/>
              <w:ind w:right="672"/>
              <w:jc w:val="right"/>
              <w:rPr>
                <w:sz w:val="21"/>
              </w:rPr>
            </w:pPr>
            <w:r>
              <w:rPr>
                <w:rFonts w:hint="eastAsia"/>
                <w:w w:val="95"/>
                <w:sz w:val="21"/>
              </w:rPr>
              <w:t>二级</w:t>
            </w:r>
          </w:p>
        </w:tc>
        <w:tc>
          <w:tcPr>
            <w:tcW w:w="2100" w:type="dxa"/>
            <w:gridSpan w:val="3"/>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21"/>
              <w:ind w:left="182" w:right="167"/>
              <w:rPr>
                <w:sz w:val="21"/>
              </w:rPr>
            </w:pPr>
            <w:r>
              <w:rPr>
                <w:rFonts w:hint="eastAsia"/>
                <w:sz w:val="21"/>
              </w:rPr>
              <w:t>一级</w:t>
            </w:r>
          </w:p>
        </w:tc>
        <w:tc>
          <w:tcPr>
            <w:tcW w:w="1605" w:type="dxa"/>
            <w:tcBorders>
              <w:top w:val="single" w:sz="6" w:space="0" w:color="000000"/>
              <w:left w:val="single" w:sz="6" w:space="0" w:color="000000"/>
              <w:bottom w:val="single" w:sz="6" w:space="0" w:color="000000"/>
            </w:tcBorders>
          </w:tcPr>
          <w:p w:rsidR="00B04AE3" w:rsidRDefault="00B04AE3">
            <w:pPr>
              <w:pStyle w:val="TableParagraph"/>
              <w:spacing w:before="21"/>
              <w:ind w:left="594"/>
              <w:jc w:val="left"/>
              <w:rPr>
                <w:sz w:val="21"/>
              </w:rPr>
            </w:pPr>
            <w:r>
              <w:rPr>
                <w:rFonts w:hint="eastAsia"/>
                <w:sz w:val="21"/>
              </w:rPr>
              <w:t>一级</w:t>
            </w:r>
          </w:p>
        </w:tc>
      </w:tr>
      <w:tr w:rsidR="00B04AE3">
        <w:trPr>
          <w:trHeight w:val="340"/>
        </w:trPr>
        <w:tc>
          <w:tcPr>
            <w:tcW w:w="1549" w:type="dxa"/>
            <w:tcBorders>
              <w:top w:val="single" w:sz="6" w:space="0" w:color="000000"/>
              <w:bottom w:val="single" w:sz="6" w:space="0" w:color="000000"/>
              <w:right w:val="single" w:sz="6" w:space="0" w:color="000000"/>
            </w:tcBorders>
          </w:tcPr>
          <w:p w:rsidR="00B04AE3" w:rsidRDefault="00B04AE3">
            <w:pPr>
              <w:pStyle w:val="TableParagraph"/>
              <w:spacing w:before="21"/>
              <w:ind w:left="122" w:right="108"/>
              <w:rPr>
                <w:sz w:val="21"/>
              </w:rPr>
            </w:pPr>
            <w:r>
              <w:rPr>
                <w:rFonts w:hint="eastAsia"/>
                <w:sz w:val="21"/>
              </w:rPr>
              <w:t>非重大危险源</w:t>
            </w:r>
          </w:p>
        </w:tc>
        <w:tc>
          <w:tcPr>
            <w:tcW w:w="1475" w:type="dxa"/>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21"/>
              <w:ind w:left="191" w:right="174"/>
              <w:rPr>
                <w:sz w:val="21"/>
              </w:rPr>
            </w:pPr>
            <w:r>
              <w:rPr>
                <w:rFonts w:hint="eastAsia"/>
                <w:sz w:val="21"/>
              </w:rPr>
              <w:t>二级</w:t>
            </w:r>
          </w:p>
        </w:tc>
        <w:tc>
          <w:tcPr>
            <w:tcW w:w="1799" w:type="dxa"/>
            <w:tcBorders>
              <w:top w:val="single" w:sz="6" w:space="0" w:color="000000"/>
              <w:left w:val="single" w:sz="6" w:space="0" w:color="000000"/>
              <w:bottom w:val="single" w:sz="6" w:space="0" w:color="000000"/>
              <w:right w:val="single" w:sz="6" w:space="0" w:color="000000"/>
            </w:tcBorders>
          </w:tcPr>
          <w:p w:rsidR="00B04AE3" w:rsidRDefault="00B04AE3">
            <w:pPr>
              <w:pStyle w:val="TableParagraph"/>
              <w:spacing w:before="21"/>
              <w:ind w:right="672"/>
              <w:jc w:val="right"/>
              <w:rPr>
                <w:sz w:val="21"/>
              </w:rPr>
            </w:pPr>
            <w:r>
              <w:rPr>
                <w:rFonts w:hint="eastAsia"/>
                <w:w w:val="95"/>
                <w:sz w:val="21"/>
              </w:rPr>
              <w:t>二级</w:t>
            </w:r>
          </w:p>
        </w:tc>
        <w:tc>
          <w:tcPr>
            <w:tcW w:w="840" w:type="dxa"/>
            <w:tcBorders>
              <w:top w:val="single" w:sz="6" w:space="0" w:color="000000"/>
              <w:left w:val="single" w:sz="6" w:space="0" w:color="000000"/>
              <w:bottom w:val="single" w:sz="6" w:space="0" w:color="000000"/>
              <w:right w:val="nil"/>
            </w:tcBorders>
            <w:shd w:val="clear" w:color="auto" w:fill="C7EDCC"/>
          </w:tcPr>
          <w:p w:rsidR="00B04AE3" w:rsidRDefault="00B04AE3">
            <w:pPr>
              <w:pStyle w:val="TableParagraph"/>
              <w:jc w:val="left"/>
              <w:rPr>
                <w:rFonts w:ascii="Times New Roman"/>
              </w:rPr>
            </w:pPr>
          </w:p>
        </w:tc>
        <w:tc>
          <w:tcPr>
            <w:tcW w:w="421" w:type="dxa"/>
            <w:tcBorders>
              <w:top w:val="single" w:sz="6" w:space="0" w:color="000000"/>
              <w:left w:val="nil"/>
              <w:bottom w:val="single" w:sz="6" w:space="0" w:color="000000"/>
              <w:right w:val="nil"/>
            </w:tcBorders>
            <w:shd w:val="clear" w:color="auto" w:fill="C7EDCC"/>
          </w:tcPr>
          <w:p w:rsidR="00B04AE3" w:rsidRDefault="00B04AE3">
            <w:pPr>
              <w:pStyle w:val="TableParagraph"/>
              <w:spacing w:before="21"/>
              <w:ind w:left="8" w:right="-15"/>
              <w:jc w:val="left"/>
              <w:rPr>
                <w:b/>
                <w:sz w:val="21"/>
              </w:rPr>
            </w:pPr>
            <w:r>
              <w:rPr>
                <w:rFonts w:hint="eastAsia"/>
                <w:bCs/>
                <w:spacing w:val="-6"/>
                <w:sz w:val="21"/>
              </w:rPr>
              <w:t>二级</w:t>
            </w:r>
          </w:p>
        </w:tc>
        <w:tc>
          <w:tcPr>
            <w:tcW w:w="839" w:type="dxa"/>
            <w:tcBorders>
              <w:top w:val="single" w:sz="6" w:space="0" w:color="000000"/>
              <w:left w:val="nil"/>
              <w:bottom w:val="single" w:sz="6" w:space="0" w:color="000000"/>
              <w:right w:val="single" w:sz="6" w:space="0" w:color="000000"/>
            </w:tcBorders>
            <w:shd w:val="clear" w:color="auto" w:fill="C7EDCC"/>
          </w:tcPr>
          <w:p w:rsidR="00B04AE3" w:rsidRDefault="00B04AE3">
            <w:pPr>
              <w:pStyle w:val="TableParagraph"/>
              <w:jc w:val="left"/>
              <w:rPr>
                <w:rFonts w:ascii="Times New Roman"/>
              </w:rPr>
            </w:pPr>
          </w:p>
        </w:tc>
        <w:tc>
          <w:tcPr>
            <w:tcW w:w="1605" w:type="dxa"/>
            <w:tcBorders>
              <w:top w:val="single" w:sz="6" w:space="0" w:color="000000"/>
              <w:left w:val="single" w:sz="6" w:space="0" w:color="000000"/>
              <w:bottom w:val="single" w:sz="6" w:space="0" w:color="000000"/>
            </w:tcBorders>
          </w:tcPr>
          <w:p w:rsidR="00B04AE3" w:rsidRDefault="00B04AE3">
            <w:pPr>
              <w:pStyle w:val="TableParagraph"/>
              <w:spacing w:before="21"/>
              <w:ind w:left="594"/>
              <w:jc w:val="left"/>
              <w:rPr>
                <w:sz w:val="21"/>
              </w:rPr>
            </w:pPr>
            <w:r>
              <w:rPr>
                <w:rFonts w:hint="eastAsia"/>
                <w:b/>
                <w:bCs/>
                <w:sz w:val="21"/>
              </w:rPr>
              <w:t>二级</w:t>
            </w:r>
          </w:p>
        </w:tc>
      </w:tr>
      <w:tr w:rsidR="00B04AE3">
        <w:trPr>
          <w:trHeight w:val="339"/>
        </w:trPr>
        <w:tc>
          <w:tcPr>
            <w:tcW w:w="1549" w:type="dxa"/>
            <w:tcBorders>
              <w:top w:val="single" w:sz="6" w:space="0" w:color="000000"/>
              <w:right w:val="single" w:sz="6" w:space="0" w:color="000000"/>
            </w:tcBorders>
          </w:tcPr>
          <w:p w:rsidR="00B04AE3" w:rsidRDefault="00B04AE3">
            <w:pPr>
              <w:pStyle w:val="TableParagraph"/>
              <w:spacing w:before="21"/>
              <w:ind w:left="122" w:right="108"/>
              <w:rPr>
                <w:sz w:val="21"/>
              </w:rPr>
            </w:pPr>
            <w:r>
              <w:rPr>
                <w:rFonts w:hint="eastAsia"/>
                <w:sz w:val="21"/>
              </w:rPr>
              <w:t>环境敏感地区</w:t>
            </w:r>
          </w:p>
        </w:tc>
        <w:tc>
          <w:tcPr>
            <w:tcW w:w="1475" w:type="dxa"/>
            <w:tcBorders>
              <w:top w:val="single" w:sz="6" w:space="0" w:color="000000"/>
              <w:left w:val="single" w:sz="6" w:space="0" w:color="000000"/>
              <w:right w:val="single" w:sz="6" w:space="0" w:color="000000"/>
            </w:tcBorders>
          </w:tcPr>
          <w:p w:rsidR="00B04AE3" w:rsidRDefault="00B04AE3">
            <w:pPr>
              <w:pStyle w:val="TableParagraph"/>
              <w:spacing w:before="21"/>
              <w:ind w:left="191" w:right="174"/>
              <w:rPr>
                <w:sz w:val="21"/>
              </w:rPr>
            </w:pPr>
            <w:r>
              <w:rPr>
                <w:rFonts w:hint="eastAsia"/>
                <w:sz w:val="21"/>
              </w:rPr>
              <w:t>一级</w:t>
            </w:r>
          </w:p>
        </w:tc>
        <w:tc>
          <w:tcPr>
            <w:tcW w:w="1799" w:type="dxa"/>
            <w:tcBorders>
              <w:top w:val="single" w:sz="6" w:space="0" w:color="000000"/>
              <w:left w:val="single" w:sz="6" w:space="0" w:color="000000"/>
              <w:right w:val="single" w:sz="6" w:space="0" w:color="000000"/>
            </w:tcBorders>
          </w:tcPr>
          <w:p w:rsidR="00B04AE3" w:rsidRDefault="00B04AE3">
            <w:pPr>
              <w:pStyle w:val="TableParagraph"/>
              <w:spacing w:before="21"/>
              <w:ind w:right="672"/>
              <w:jc w:val="right"/>
              <w:rPr>
                <w:sz w:val="21"/>
              </w:rPr>
            </w:pPr>
            <w:r>
              <w:rPr>
                <w:rFonts w:hint="eastAsia"/>
                <w:w w:val="95"/>
                <w:sz w:val="21"/>
              </w:rPr>
              <w:t>一级</w:t>
            </w:r>
          </w:p>
        </w:tc>
        <w:tc>
          <w:tcPr>
            <w:tcW w:w="2100" w:type="dxa"/>
            <w:gridSpan w:val="3"/>
            <w:tcBorders>
              <w:top w:val="single" w:sz="6" w:space="0" w:color="000000"/>
              <w:left w:val="single" w:sz="6" w:space="0" w:color="000000"/>
              <w:right w:val="single" w:sz="6" w:space="0" w:color="000000"/>
            </w:tcBorders>
          </w:tcPr>
          <w:p w:rsidR="00B04AE3" w:rsidRDefault="00B04AE3">
            <w:pPr>
              <w:pStyle w:val="TableParagraph"/>
              <w:spacing w:before="21"/>
              <w:ind w:left="182" w:right="167"/>
              <w:rPr>
                <w:sz w:val="21"/>
              </w:rPr>
            </w:pPr>
            <w:r>
              <w:rPr>
                <w:rFonts w:hint="eastAsia"/>
                <w:sz w:val="21"/>
              </w:rPr>
              <w:t>一级</w:t>
            </w:r>
          </w:p>
        </w:tc>
        <w:tc>
          <w:tcPr>
            <w:tcW w:w="1605" w:type="dxa"/>
            <w:tcBorders>
              <w:top w:val="single" w:sz="6" w:space="0" w:color="000000"/>
              <w:left w:val="single" w:sz="6" w:space="0" w:color="000000"/>
            </w:tcBorders>
          </w:tcPr>
          <w:p w:rsidR="00B04AE3" w:rsidRDefault="00B04AE3">
            <w:pPr>
              <w:pStyle w:val="TableParagraph"/>
              <w:spacing w:before="21"/>
              <w:ind w:left="594"/>
              <w:jc w:val="left"/>
              <w:rPr>
                <w:sz w:val="21"/>
              </w:rPr>
            </w:pPr>
            <w:r>
              <w:rPr>
                <w:rFonts w:hint="eastAsia"/>
                <w:sz w:val="21"/>
              </w:rPr>
              <w:t>一级</w:t>
            </w:r>
          </w:p>
        </w:tc>
      </w:tr>
    </w:tbl>
    <w:p w:rsidR="00B04AE3" w:rsidRDefault="00B04AE3">
      <w:pPr>
        <w:pStyle w:val="BodyText"/>
        <w:spacing w:before="20" w:line="360" w:lineRule="auto"/>
        <w:ind w:left="334" w:right="334" w:firstLine="482"/>
        <w:jc w:val="both"/>
        <w:rPr>
          <w:spacing w:val="-6"/>
          <w:szCs w:val="22"/>
        </w:rPr>
      </w:pPr>
      <w:r>
        <w:rPr>
          <w:rFonts w:hint="eastAsia"/>
          <w:spacing w:val="-6"/>
          <w:szCs w:val="22"/>
        </w:rPr>
        <w:t>经以上分析可见，企业不存在重大危险源，选址不属于环境敏感区，按《建设项目环境风险技术导则》规定，确定本次环境风险评价为二级评价。</w:t>
      </w:r>
    </w:p>
    <w:p w:rsidR="00B04AE3" w:rsidRDefault="00B04AE3">
      <w:pPr>
        <w:pStyle w:val="Heading3"/>
        <w:numPr>
          <w:ilvl w:val="2"/>
          <w:numId w:val="41"/>
        </w:numPr>
        <w:tabs>
          <w:tab w:val="left" w:pos="1400"/>
        </w:tabs>
        <w:spacing w:before="184"/>
      </w:pPr>
      <w:bookmarkStart w:id="279" w:name="2.5.3_源项分析"/>
      <w:bookmarkStart w:id="280" w:name="_bookmark87"/>
      <w:bookmarkEnd w:id="279"/>
      <w:bookmarkEnd w:id="280"/>
      <w:r>
        <w:rPr>
          <w:rFonts w:hint="eastAsia"/>
        </w:rPr>
        <w:t>源项分析</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企业风险事故主要是泄露、火灾、爆炸及相应的次生、衍生污染物对环境的影响。项目顶端事故与基本事件关联见图</w:t>
      </w:r>
      <w:r>
        <w:rPr>
          <w:spacing w:val="-6"/>
          <w:szCs w:val="22"/>
        </w:rPr>
        <w:t xml:space="preserve"> 2.5-1</w:t>
      </w:r>
      <w:r>
        <w:rPr>
          <w:rFonts w:hint="eastAsia"/>
          <w:spacing w:val="-6"/>
          <w:szCs w:val="22"/>
        </w:rPr>
        <w:t>。</w:t>
      </w:r>
    </w:p>
    <w:p w:rsidR="00B04AE3" w:rsidRDefault="00B04AE3">
      <w:pPr>
        <w:pStyle w:val="BodyText"/>
        <w:spacing w:before="20" w:line="360" w:lineRule="auto"/>
        <w:ind w:left="334" w:right="334" w:firstLine="482"/>
        <w:jc w:val="both"/>
        <w:rPr>
          <w:spacing w:val="-6"/>
          <w:szCs w:val="22"/>
        </w:rPr>
      </w:pPr>
      <w:r>
        <w:rPr>
          <w:rFonts w:hint="eastAsia"/>
          <w:spacing w:val="-6"/>
          <w:szCs w:val="22"/>
        </w:rPr>
        <w:t>由从图</w:t>
      </w:r>
      <w:r>
        <w:rPr>
          <w:spacing w:val="-6"/>
          <w:szCs w:val="22"/>
        </w:rPr>
        <w:t xml:space="preserve"> 2.5-1 </w:t>
      </w:r>
      <w:r>
        <w:rPr>
          <w:rFonts w:hint="eastAsia"/>
          <w:spacing w:val="-6"/>
          <w:szCs w:val="22"/>
        </w:rPr>
        <w:t>中可知，燃烧爆炸是由两个“中间事件”</w:t>
      </w:r>
      <w:r>
        <w:rPr>
          <w:spacing w:val="-6"/>
          <w:szCs w:val="22"/>
        </w:rPr>
        <w:t xml:space="preserve"> </w:t>
      </w:r>
      <w:r>
        <w:rPr>
          <w:rFonts w:hint="eastAsia"/>
          <w:spacing w:val="-6"/>
          <w:szCs w:val="22"/>
        </w:rPr>
        <w:t>（设备泄漏、火源）同时发生所造成的。防止设备物料泄漏是防止发生燃爆事故的关键。另外，加强管道的安全管理，采取水封、防爆孔等措施，严禁吸烟和动用明火，防止铁器撞击，</w:t>
      </w:r>
      <w:r>
        <w:rPr>
          <w:spacing w:val="-6"/>
          <w:szCs w:val="22"/>
        </w:rPr>
        <w:t xml:space="preserve"> </w:t>
      </w:r>
      <w:r>
        <w:rPr>
          <w:rFonts w:hint="eastAsia"/>
          <w:spacing w:val="-6"/>
          <w:szCs w:val="22"/>
        </w:rPr>
        <w:t>也是防止燃爆事故发生的必要条件。</w:t>
      </w:r>
    </w:p>
    <w:p w:rsidR="00B04AE3" w:rsidRDefault="00B04AE3">
      <w:pPr>
        <w:pStyle w:val="BodyText"/>
        <w:spacing w:before="20" w:line="360" w:lineRule="auto"/>
        <w:ind w:left="334" w:right="334" w:firstLine="482"/>
        <w:jc w:val="both"/>
        <w:rPr>
          <w:spacing w:val="-6"/>
          <w:szCs w:val="22"/>
        </w:rPr>
      </w:pPr>
      <w:r>
        <w:rPr>
          <w:rFonts w:hint="eastAsia"/>
          <w:spacing w:val="-6"/>
          <w:szCs w:val="22"/>
        </w:rPr>
        <w:t>由图</w:t>
      </w:r>
      <w:r>
        <w:rPr>
          <w:spacing w:val="-6"/>
          <w:szCs w:val="22"/>
        </w:rPr>
        <w:t xml:space="preserve"> 2.5-2 </w:t>
      </w:r>
      <w:r>
        <w:rPr>
          <w:rFonts w:hint="eastAsia"/>
          <w:spacing w:val="-6"/>
          <w:szCs w:val="22"/>
        </w:rPr>
        <w:t>可见，储罐、管道发生物料泄漏，可能引起燃爆事故或扩散污染事故。风险事故对环境的影响与泄露时间及各种应急处理措施的有效性密切相关。</w:t>
      </w:r>
    </w:p>
    <w:p w:rsidR="00B04AE3" w:rsidRDefault="00B04AE3">
      <w:pPr>
        <w:spacing w:line="364" w:lineRule="auto"/>
        <w:jc w:val="both"/>
        <w:sectPr w:rsidR="00B04AE3">
          <w:headerReference w:type="default" r:id="rId65"/>
          <w:footerReference w:type="default" r:id="rId66"/>
          <w:pgSz w:w="11910" w:h="16840"/>
          <w:pgMar w:top="1360" w:right="1000" w:bottom="900" w:left="1000" w:header="746" w:footer="720" w:gutter="0"/>
          <w:cols w:space="720"/>
        </w:sectPr>
      </w:pPr>
    </w:p>
    <w:p w:rsidR="00B04AE3" w:rsidRDefault="00B04AE3">
      <w:pPr>
        <w:pStyle w:val="BodyText"/>
        <w:ind w:left="775"/>
        <w:rPr>
          <w:sz w:val="20"/>
        </w:rPr>
      </w:pPr>
      <w:r>
        <w:rPr>
          <w:noProof/>
          <w:lang w:val="en-US"/>
        </w:rPr>
      </w:r>
      <w:r w:rsidRPr="000C330E">
        <w:rPr>
          <w:sz w:val="20"/>
        </w:rPr>
        <w:pict>
          <v:group id="_x0000_s1386" style="width:423.7pt;height:323.5pt;mso-position-horizontal-relative:char;mso-position-vertical-relative:line" coordsize="8474,6470">
            <v:shape id="_x0000_s1387" style="position:absolute;left:3073;width:2160;height:527" coordorigin="3073" coordsize="2160,527" o:spt="100" adj="0,,0" path="m5233,527r-2160,l3073,,5233,r,7l3088,7r-8,8l3088,15r,497l3080,512r8,7l5233,519r,8xm3088,15r-8,l3088,7r,8xm5218,15r-2130,l3088,7r2130,l5218,15xm5218,519r,-512l5225,15r8,l5233,512r-8,l5218,519xm5233,15r-8,l5218,7r15,l5233,15xm3088,519r-8,-7l3088,512r,7xm5218,519r-2130,l3088,512r2130,l5218,519xm5233,519r-15,l5225,512r8,l5233,51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388" style="position:absolute" from="4160,514" to="4160,815" strokeweight=".8pt"/>
            <v:shape id="_x0000_s1389" style="position:absolute;left:3780;top:724;width:752;height:468" coordorigin="3780,724" coordsize="752,468" path="m4156,1192r-86,-6l3991,1169r-70,-28l3863,1105r-44,-44l3780,958r10,-53l3863,812r58,-36l3991,748r79,-17l4156,724r86,7l4321,748r70,28l4449,812r44,43l4532,957r-10,55l4449,1105r-58,36l4321,1169r-79,17l4156,1192xe" stroked="f">
              <v:path arrowok="t"/>
            </v:shape>
            <v:shape id="_x0000_s1390" style="position:absolute;left:3773;top:717;width:766;height:482" coordorigin="3773,717" coordsize="766,482" o:spt="100" adj="0,,0" path="m4214,1197r-116,l4079,1195r-18,-4l4043,1189r-35,-8l3991,1175r-16,-4l3959,1165r-16,-6l3928,1151r-14,-6l3900,1137r-13,-8l3874,1121r-12,-8l3850,1103r-10,-10l3829,1085r-9,-12l3812,1063r-8,-10l3797,1041r-6,-10l3785,1019r-4,-12l3778,995r-2,-6l3775,983r-1,-6l3774,971r-1,-8l3773,951r1,-6l3774,939r1,-6l3776,927r2,-8l3781,907r10,-22l3797,873r7,-10l3812,851r8,-10l3829,831r11,-10l3850,811r12,-8l3874,793r13,-8l3900,777r14,-6l3928,763r15,-6l3959,751r16,-6l3991,739r17,-4l4061,723r56,-6l4195,717r56,6l4287,731r-150,l4118,733r-18,l4081,735r,l4063,739r,l4046,741r,l4028,745r1,l4012,749r,l3995,753r,l3979,759r1,l3964,765r,l3949,771r,l3934,777r1,l3920,783r1,l3907,791r,l3894,799r1,l3882,807r,l3871,815r,l3860,823r,l3850,833r,l3840,841r,l3831,851r1,l3823,861r1,l3816,871r,l3810,881r,l3804,891r,l3800,901r-1,l3795,913r,l3792,923r,l3791,929r,l3790,935r,l3789,941r,l3789,945r-1,l3788,951r,12l3788,969r,l3789,975r,l3790,981r,l3791,985r,l3792,991r,l3795,1003r,l3799,1013r,l3804,1023r,l3810,1035r1,l3816,1045r,l3824,1055r-1,l3832,1065r1,l3840,1073r,l3850,1083r,l3860,1091r,l3871,1101r,l3882,1109r,l3895,1117r-1,l3907,1125r,l3921,1131r-1,l3935,1139r-1,l3949,1145r,l3964,1151r,l3980,1157r-1,l3995,1161r,l4012,1165r,l4029,1171r8,l4046,1173r,l4063,1177r,l4081,1179r,l4100,1181r-1,l4118,1183r177,l4269,1189r-18,2l4233,1195r-19,2xm4513,903r-5,-12l4508,891r-6,-10l4502,881r-6,-10l4496,871r-8,-10l4489,861r-9,-10l4481,851r-9,-10l4472,841r-10,-8l4462,833r-10,-10l4452,823r-11,-8l4441,815r-11,-8l4430,807r-13,-8l4418,799r-13,-8l4405,791r-14,-8l4392,783r-15,-6l4378,777r-15,-6l4363,771r-15,-6l4348,765r-16,-6l4333,759r-16,-6l4317,753r-17,-4l4300,749r-17,-4l4284,745r-18,-4l4266,741r-17,-2l4249,739r-18,-4l4231,735r-19,-2l4194,733r-19,-2l4287,731r34,8l4337,745r16,6l4369,757r15,6l4398,771r14,6l4425,785r13,8l4450,803r12,8l4472,821r11,10l4492,841r8,10l4508,863r7,10l4521,885r7,16l4513,901r,2xm3799,903r,-2l3800,901r-1,2xm4519,1035r-17,l4508,1023r,l4513,1013r,l4517,1003r,l4520,991r,l4521,985r,l4522,981r,l4523,975r,l4524,969r,l4524,963r,-12l4524,951r,-6l4523,945r,-4l4523,941r-1,-6l4522,935r-1,-6l4521,929r-1,-6l4520,923r-3,-10l4517,913r-4,-12l4528,901r3,6l4534,919r2,8l4537,933r1,6l4538,945r1,6l4539,963r-1,8l4538,977r-1,6l4536,989r-2,6l4531,1007r-4,12l4521,1031r-2,4xm3788,947r,-2l3789,945r-1,2xm4524,947r-1,-2l4524,945r,2xm3811,1035r-1,l3810,1033r1,2xm4499,1065r-19,l4489,1055r-1,l4496,1045r,l4502,1033r,2l4519,1035r-4,6l4508,1053r-8,10l4499,1065xm3833,1065r-1,l3831,1063r2,2xm4337,1171r-54,l4300,1165r,l4317,1161r,l4333,1157r-1,l4348,1151r,l4363,1145r,l4378,1139r-1,l4392,1131r-1,l4405,1125r,l4418,1117r-1,l4430,1109r,l4441,1101r,l4452,1091r,l4462,1083r,l4472,1073r,l4481,1063r-1,2l4499,1065r-7,8l4483,1085r-11,8l4462,1103r-12,10l4438,1121r-13,8l4412,1137r-14,8l4384,1151r-15,8l4353,1165r-16,6xm4037,1171r-8,l4028,1169r9,2xm4295,1183r-101,l4213,1181r-1,l4231,1179r,l4249,1177r,l4266,1173r,l4284,1169r-1,2l4337,1171r-16,4l4304,1181r-9,2xm4176,1199r-40,l4117,1197r78,l4176,119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391" style="position:absolute;left:6298;top:1768;width:1812;height:547" coordorigin="6298,1768" coordsize="1812,547" o:spt="100" adj="0,,0" path="m8110,2315r-1812,l6298,1768r1812,l8110,1776r-1797,l6305,1783r8,l6313,2300r-8,l6313,2308r1797,l8110,2315xm6313,1783r-8,l6313,1776r,7xm8095,1783r-1782,l6313,1776r1782,l8095,1783xm8095,2308r,-532l8102,1783r8,l8110,2300r-8,l8095,2308xm8110,1783r-8,l8095,1776r15,l8110,1783xm6313,2308r-8,-8l6313,2300r,8xm8095,2308r-1782,l6313,2300r1782,l8095,2308xm8110,2308r-15,l8102,2300r8,l8110,2308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392" style="position:absolute" from="7257,2271" to="7257,2592" strokeweight="1pt"/>
            <v:line id="_x0000_s1393" style="position:absolute" from="1365,1432" to="1365,1793" strokeweight=".8pt"/>
            <v:line id="_x0000_s1394" style="position:absolute" from="1369,1446" to="7225,1446" strokeweight="1.1pt"/>
            <v:line id="_x0000_s1395" style="position:absolute" from="7227,1444" to="7227,1815" strokeweight=".8pt"/>
            <v:line id="_x0000_s1396" style="position:absolute" from="4153,1189" to="4153,1448" strokeweight="1.2pt"/>
            <v:line id="_x0000_s1397" style="position:absolute" from="1335,2338" to="1335,3226" strokeweight=".8pt"/>
            <v:shape id="_x0000_s1398" style="position:absolute;left:686;top:1784;width:1501;height:561" coordorigin="686,1784" coordsize="1501,561" o:spt="100" adj="0,,0" path="m2187,2345r-1501,l686,1784r1501,l2187,1791r-1486,l693,1799r8,l701,2330r-8,l701,2337r1486,l2187,2345xm701,1799r-8,l701,1791r,8xm2172,1799r-1471,l701,1791r1471,l2172,1799xm2172,2337r,-546l2179,1799r8,l2187,2330r-8,l2172,2337xm2187,1799r-8,l2172,1791r15,l2187,1799xm701,2337r-8,-7l701,2330r,7xm2172,2337r-1471,l701,2330r1471,l2172,2337xm2187,2337r-15,l2179,2330r8,l2187,2337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399" style="position:absolute" from="6693,2997" to="6693,3225" strokeweight="1.15pt"/>
            <v:line id="_x0000_s1400" style="position:absolute" from="1581,2980" to="6683,2980" strokeweight=".95pt"/>
            <v:line id="_x0000_s1401" style="position:absolute" from="1579,2976" to="1579,3226" strokeweight=".8pt"/>
            <v:line id="_x0000_s1402" style="position:absolute" from="1309,3782" to="1309,3965" strokeweight=".85pt"/>
            <v:shape id="_x0000_s1403" style="position:absolute;left:863;top:3962;width:885;height:482" coordorigin="863,3962" coordsize="885,482" o:spt="100" adj="0,,0" path="m1372,4442r-133,l1217,4440r-21,-4l1175,4434r-40,-8l1115,4420r-19,-4l1078,4410r-18,-6l1042,4396r-16,-6l1010,4382r-16,-8l980,4366r-14,-8l953,4348r-13,-8l929,4330r-11,-10l908,4308r-9,-10l891,4288r-7,-12l877,4264r-2,-6l872,4252r-2,-6l868,4240r-1,-6l865,4228r-1,-6l864,4216r-1,-8l863,4196r1,-6l864,4184r1,-6l867,4170r1,-6l870,4158r2,-6l875,4146r2,-6l884,4130r7,-12l899,4106r9,-10l918,4086r11,-10l940,4066r13,-10l966,4048r14,-10l994,4030r16,-8l1026,4016r16,-8l1060,4002r18,-6l1115,3984r81,-16l1261,3962r89,l1415,3968r42,8l1283,3976r-22,2l1240,3978r-21,2l1219,3980r-21,4l1198,3984r-21,2l1177,3986r-20,4l1157,3990r-19,4l1138,3994r-19,4l1119,3998r-19,6l1100,4004r-18,6l1082,4010r-17,6l1065,4016r-17,6l1048,4022r-16,6l1032,4028r-16,8l1016,4036r-15,8l1002,4044r-15,8l987,4052r-13,8l974,4060r-13,8l961,4068r-12,10l950,4078r-12,8l939,4086r-11,10l928,4096r-9,10l919,4106r-9,10l911,4116r-8,10l903,4126r-7,10l897,4136r-6,12l891,4148r-3,4l889,4152r-3,6l886,4158r-2,6l884,4164r-1,4l883,4168r-2,6l881,4174r-1,6l880,4180r-1,6l879,4186r,4l879,4190r-1,6l878,4208r1,6l879,4214r,6l879,4220r1,6l881,4226r,4l881,4230r2,6l883,4236r1,6l884,4242r2,6l887,4248r2,4l888,4252r3,6l891,4258r6,10l896,4268r7,10l903,4278r8,12l912,4290r7,10l921,4300r7,8l928,4308r11,10l938,4318r12,10l949,4328r12,8l961,4336r13,10l977,4346r10,8l987,4354r15,8l1001,4362r15,8l1020,4370r12,6l1032,4376r16,8l1052,4384r13,6l1065,4390r17,6l1082,4396r18,6l1100,4402r19,4l1119,4406r19,4l1138,4410r19,4l1157,4414r20,4l1177,4418r21,4l1198,4422r21,2l1219,4424r21,2l1240,4426r22,2l1467,4428r-31,6l1415,4436r-21,4l1372,4442xm1728,4170r-1,-6l1727,4164r-2,-6l1725,4158r-3,-6l1723,4152r-3,-4l1720,4148r-6,-12l1715,4136r-7,-10l1708,4126r-8,-10l1701,4116r-9,-10l1692,4106r-9,-10l1683,4096r-11,-10l1673,4086r-12,-8l1662,4078r-12,-10l1650,4068r-13,-8l1637,4060r-13,-8l1624,4052r-15,-8l1610,4044r-15,-8l1595,4036r-16,-8l1579,4028r-16,-6l1563,4022r-17,-6l1546,4016r-17,-6l1529,4010r-18,-6l1511,4004r-19,-6l1492,3998r-19,-4l1473,3994r-19,-4l1454,3990r-20,-4l1434,3986r-21,-2l1413,3984r-21,-4l1392,3980r-21,-2l1350,3978r-22,-2l1457,3976r39,8l1533,3996r18,6l1569,4008r16,8l1601,4022r16,8l1631,4038r14,10l1658,4056r13,10l1683,4076r10,10l1703,4096r9,10l1720,4118r7,12l1734,4140r2,6l1739,4152r2,6l1743,4164r1,4l1728,4168r,2xm883,4170r,-2l883,4168r,2xm1732,4192r,-6l1732,4186r-1,-6l1731,4180r-1,-6l1730,4174r-2,-6l1744,4168r,2l1746,4178r1,6l1747,4190r-15,l1732,4192xm879,4192r,-2l879,4190r,2xm1746,4226r-15,l1732,4220r,l1732,4214r,l1733,4208r,-12l1733,4196r-1,-6l1747,4190r1,6l1748,4208r-1,8l1747,4222r-1,4xm881,4226r-1,l880,4224r1,2xm1740,4248r-15,l1727,4242r,l1728,4236r,l1730,4230r,l1731,4224r,2l1746,4226r,2l1744,4234r-1,6l1741,4246r-1,2xm887,4248r-1,l886,4246r1,2xm1719,4290r-19,l1708,4278r,l1715,4268r-1,l1720,4258r,l1723,4252r-1,l1725,4246r,2l1740,4248r-1,4l1736,4258r-2,6l1727,4276r-7,12l1719,4290xm912,4290r-1,l910,4288r2,2xm1710,4300r-18,l1701,4288r-1,2l1719,4290r-7,8l1710,4300xm921,4300r-2,l919,4298r2,2xm1662,4346r-25,l1650,4336r,l1662,4328r-1,l1673,4318r-1,l1683,4308r,l1692,4298r,2l1710,4300r-7,8l1693,4320r-10,10l1671,4340r-9,6xm977,4346r-3,l974,4344r3,2xm1624,4370r-29,l1610,4362r-1,l1624,4354r,l1637,4344r,2l1662,4346r-4,2l1645,4358r-14,8l1624,4370xm1020,4370r-4,l1016,4368r4,2xm1597,4384r-34,l1579,4376r,l1595,4368r,2l1624,4370r-7,4l1601,4382r-4,2xm1052,4384r-4,l1048,4382r4,2xm1467,4428r-118,l1371,4426r,l1392,4424r,l1413,4422r,l1434,4418r,l1454,4414r,l1473,4410r,l1492,4406r,l1511,4402r,l1529,4396r,l1546,4390r,l1563,4382r,2l1597,4384r-12,6l1569,4396r-18,8l1533,4410r-18,6l1496,4420r-20,6l1467,4428xm1328,4444r-45,l1261,4442r89,l1328,444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04" style="position:absolute" from="307,4681" to="2814,4681" strokeweight="1.25pt"/>
            <v:line id="_x0000_s1405" style="position:absolute" from="1289,4386" to="1289,4751" strokeweight=".9pt"/>
            <v:shape id="_x0000_s1406" style="position:absolute;left:315;top:3219;width:1972;height:570" coordorigin="315,3219" coordsize="1972,570" o:spt="100" adj="0,,0" path="m2287,3789r-1972,l315,3219r1972,l2287,3226r-1957,l323,3234r7,l330,3774r-7,l330,3781r1957,l2287,3789xm330,3234r-7,l330,3226r,8xm2272,3234r-1942,l330,3226r1942,l2272,3234xm2272,3781r,-555l2280,3234r7,l2287,3774r-7,l2272,3781xm2287,3234r-7,l2272,3226r15,l2287,3234xm330,3781r-7,-7l330,3774r,7xm2272,3781r-1942,l330,3774r1942,l2272,3781xm2287,3781r-15,l2280,3774r7,l2287,3781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07" style="position:absolute" from="7288,2944" to="7288,3225" strokeweight=".9pt"/>
            <v:shape id="_x0000_s1408" style="position:absolute;left:6563;top:3217;width:1455;height:570" coordorigin="6563,3217" coordsize="1455,570" o:spt="100" adj="0,,0" path="m8018,3787r-1455,l6563,3217r1455,l8018,3225r-1440,l6570,3232r8,l6578,3772r-8,l6578,3780r1440,l8018,3787xm6578,3232r-8,l6578,3225r,7xm8003,3232r-1425,l6578,3225r1425,l8003,3232xm8003,3780r,-555l8010,3232r8,l8018,3772r-8,l8003,3780xm8018,3232r-8,l8003,3225r15,l8018,3232xm6578,3780r-8,-8l6578,3772r,8xm8003,3780r-1425,l6578,3772r1425,l8003,3780xm8018,3780r-15,l8010,3772r8,l8018,3780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409" style="position:absolute;top:5018;width:525;height:1406" coordorigin=",5018" coordsize="525,1406" o:spt="100" adj="0,,0" path="m525,6424l,6424,,5018r525,l525,5025r-510,l8,5033r7,l15,6409r-7,l15,6416r510,l525,6424xm15,5033r-7,l15,5025r,8xm510,5033r-495,l15,5025r495,l510,5033xm510,6416r,-1391l518,5033r7,l525,6409r-7,l510,6416xm525,5033r-7,l510,5025r15,l525,5033xm15,6416r-7,-7l15,6409r,7xm510,6416r-495,l15,6409r495,l510,6416xm525,6416r-15,l518,6409r7,l525,6416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10" style="position:absolute" from="290,4677" to="290,5085" strokeweight=".85pt"/>
            <v:shape id="_x0000_s1411" style="position:absolute;left:1762;top:5049;width:525;height:1406" coordorigin="1762,5049" coordsize="525,1406" o:spt="100" adj="0,,0" path="m2287,6455r-525,l1762,5049r525,l2287,5056r-510,l1769,5064r8,l1777,6440r-8,l1777,6447r510,l2287,6455xm1777,5064r-8,l1777,5056r,8xm2272,5064r-495,l1777,5056r495,l2272,5064xm2272,6447r,-1391l2279,5064r8,l2287,6440r-8,l2272,6447xm2287,5064r-8,l2272,5056r15,l2287,5064xm1777,6447r-8,-7l1777,6440r,7xm2272,6447r-495,l1777,6440r495,l2272,6447xm2287,6447r-15,l2279,6440r8,l2287,6447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12" style="position:absolute" from="2005,4685" to="2005,5085" strokeweight=".9pt"/>
            <v:shape id="_x0000_s1413" style="position:absolute;left:2536;top:5030;width:525;height:1406" coordorigin="2536,5030" coordsize="525,1406" o:spt="100" adj="0,,0" path="m3061,6436r-525,l2536,5030r525,l3061,5038r-510,l2544,5045r7,l2551,6421r-7,l2551,6429r510,l3061,6436xm2551,5045r-7,l2551,5038r,7xm3046,5045r-495,l2551,5038r495,l3046,5045xm3046,6429r,-1391l3054,5045r7,l3061,6421r-7,l3046,6429xm3061,5045r-7,l3046,5038r15,l3061,5045xm2551,6429r-7,-8l2551,6421r,8xm3046,6429r-495,l2551,6421r495,l3046,6429xm3061,6429r-15,l3054,6421r7,l3061,642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14" style="position:absolute" from="2813,4663" to="2813,5069" strokeweight=".8pt"/>
            <v:line id="_x0000_s1415" style="position:absolute" from="6074,4739" to="8221,4739" strokeweight=".95pt"/>
            <v:shape id="_x0000_s1416" style="position:absolute;left:5812;top:5099;width:525;height:1263" coordorigin="5812,5099" coordsize="525,1263" o:spt="100" adj="0,,0" path="m6337,6362r-525,l5812,5099r525,l6337,5106r-510,l5820,5114r7,l5827,6347r-7,l5827,6354r510,l6337,6362xm5827,5114r-7,l5827,5106r,8xm6322,5114r-495,l5827,5106r495,l6322,5114xm6322,6354r,-1248l6330,5114r7,l6337,6347r-7,l6322,6354xm6337,5114r-7,l6322,5106r15,l6337,5114xm5827,6354r-7,-7l5827,6347r,7xm6322,6354r-495,l5827,6347r495,l6322,6354xm6337,6354r-15,l6330,6347r7,l6337,635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17" style="position:absolute" from="6076,4738" to="6076,5152" strokeweight=".8pt"/>
            <v:shape id="_x0000_s1418" style="position:absolute;left:6773;top:3992;width:885;height:482" coordorigin="6773,3992" coordsize="885,482" o:spt="100" adj="0,,0" path="m7282,4472r-133,l7127,4470r-21,-4l7085,4464r-40,-8l7025,4450r-19,-4l6988,4440r-18,-6l6952,4426r-16,-6l6920,4412r-16,-8l6890,4396r-14,-8l6863,4378r-13,-8l6839,4360r-11,-10l6818,4338r-9,-10l6801,4318r-7,-12l6787,4294r-2,-6l6782,4282r-2,-6l6778,4270r-1,-6l6775,4258r-1,-6l6774,4246r-1,-8l6773,4226r1,-6l6774,4214r1,-6l6777,4200r1,-6l6780,4188r2,-6l6785,4176r2,-6l6794,4160r7,-12l6809,4136r9,-10l6828,4116r11,-10l6850,4096r13,-10l6876,4078r14,-10l6904,4060r16,-8l6936,4046r16,-8l6970,4032r18,-6l7025,4014r81,-16l7171,3992r89,l7325,3998r42,8l7193,4006r-22,2l7150,4008r-21,2l7129,4010r-21,4l7108,4014r-21,2l7087,4016r-20,4l7067,4020r-19,4l7048,4024r-19,4l7029,4028r-19,6l7010,4034r-18,6l6992,4040r-17,6l6975,4046r-17,6l6958,4052r-16,6l6942,4058r-16,8l6926,4066r-15,8l6912,4074r-15,8l6897,4082r-13,8l6884,4090r-13,8l6871,4098r-12,10l6860,4108r-12,8l6849,4116r-11,10l6838,4126r-9,10l6829,4136r-9,10l6821,4146r-8,10l6813,4156r-7,10l6807,4166r-6,12l6801,4178r-3,4l6799,4182r-3,6l6796,4188r-2,6l6794,4194r-1,4l6793,4198r-2,6l6791,4204r-1,6l6790,4210r-1,6l6789,4216r,4l6789,4220r-1,6l6788,4226r,12l6789,4244r,l6789,4250r,l6790,4256r1,l6791,4260r,l6793,4266r,l6794,4272r,l6796,4278r1,l6799,4282r-1,l6801,4288r,l6807,4298r-1,l6813,4308r,l6821,4320r1,l6829,4330r2,l6838,4338r,l6849,4348r-1,l6860,4358r-1,l6871,4366r,l6884,4376r3,l6897,4384r,l6912,4392r-1,l6926,4400r4,l6942,4406r,l6958,4414r4,l6975,4420r,l6992,4426r,l7010,4432r,l7029,4436r,l7048,4440r,l7067,4444r,l7087,4448r,l7108,4452r,l7129,4454r,l7150,4456r,l7172,4458r205,l7346,4464r-21,2l7304,4470r-22,2xm7638,4200r-1,-6l7637,4194r-2,-6l7635,4188r-3,-6l7633,4182r-3,-4l7630,4178r-6,-12l7625,4166r-7,-10l7618,4156r-8,-10l7611,4146r-9,-10l7602,4136r-9,-10l7593,4126r-11,-10l7583,4116r-12,-8l7572,4108r-12,-10l7560,4098r-13,-8l7547,4090r-13,-8l7534,4082r-15,-8l7520,4074r-15,-8l7505,4066r-16,-8l7489,4058r-16,-6l7473,4052r-17,-6l7456,4046r-17,-6l7439,4040r-18,-6l7421,4034r-19,-6l7402,4028r-19,-4l7383,4024r-19,-4l7364,4020r-20,-4l7344,4016r-21,-2l7323,4014r-21,-4l7302,4010r-21,-2l7260,4008r-22,-2l7367,4006r39,8l7443,4026r18,6l7479,4038r16,8l7511,4052r16,8l7541,4068r14,10l7568,4086r13,10l7593,4106r10,10l7613,4126r9,10l7630,4148r7,12l7644,4170r2,6l7649,4182r2,6l7653,4194r1,4l7638,4198r,2xm6793,4200r,-2l6793,4198r,2xm7642,4222r,-6l7642,4216r-1,-6l7641,4210r-1,-6l7640,4204r-2,-6l7654,4198r,2l7656,4208r1,6l7657,4220r-15,l7642,4222xm6789,4222r,-2l6789,4220r,2xm7656,4256r-15,l7642,4250r,l7642,4244r,l7643,4238r,-12l7643,4226r-1,-6l7657,4220r1,6l7658,4238r-1,8l7657,4252r-1,4xm6791,4256r-1,l6790,4254r1,2xm7650,4278r-15,l7637,4272r,l7638,4266r,l7640,4260r,l7641,4254r,2l7656,4256r,2l7654,4264r-1,6l7651,4276r-1,2xm6797,4278r-1,l6796,4276r1,2xm7629,4320r-19,l7618,4308r,l7625,4298r-1,l7630,4288r,l7633,4282r-1,l7635,4276r,2l7650,4278r-1,4l7646,4288r-2,6l7637,4306r-7,12l7629,4320xm6822,4320r-1,l6820,4318r2,2xm7620,4330r-18,l7611,4318r-1,2l7629,4320r-7,8l7620,4330xm6831,4330r-2,l6829,4328r2,2xm7572,4376r-25,l7560,4366r,l7572,4358r-1,l7583,4348r-1,l7593,4338r,l7602,4328r,2l7620,4330r-7,8l7603,4350r-10,10l7581,4370r-9,6xm6887,4376r-3,l6884,4374r3,2xm7534,4400r-29,l7520,4392r-1,l7534,4384r,l7547,4374r,2l7572,4376r-4,2l7555,4388r-14,8l7534,4400xm6930,4400r-4,l6926,4398r4,2xm7507,4414r-34,l7489,4406r,l7505,4398r,2l7534,4400r-7,4l7511,4412r-4,2xm6962,4414r-4,l6958,4412r4,2xm7377,4458r-118,l7281,4456r,l7302,4454r,l7323,4452r,l7344,4448r,l7364,4444r,l7383,4440r,l7402,4436r,l7421,4432r,l7439,4426r,l7456,4420r,l7473,4412r,2l7507,4414r-12,6l7479,4426r-18,8l7443,4440r-18,6l7406,4450r-20,6l7377,4458xm7238,4474r-45,l7171,4472r89,l7238,447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19" style="position:absolute" from="7218,3750" to="7218,4010" strokeweight=".85pt"/>
            <v:shape id="_x0000_s1420" style="position:absolute;left:6954;top:5085;width:525;height:1263" coordorigin="6954,5085" coordsize="525,1263" o:spt="100" adj="0,,0" path="m7479,6348r-525,l6954,5085r525,l7479,5093r-510,l6962,5100r7,l6969,6333r-7,l6969,6341r510,l7479,6348xm6969,5100r-7,l6969,5093r,7xm7464,5100r-495,l6969,5093r495,l7464,5100xm7464,6341r,-1248l7472,5100r7,l7479,6333r-7,l7464,6341xm7479,5100r-7,l7464,5093r15,l7479,5100xm6969,6341r-7,-8l6969,6333r,8xm7464,6341r-495,l6969,6333r495,l7464,6341xm7479,6341r-15,l7472,6333r7,l7479,6341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21" style="position:absolute" from="7224,4740" to="7224,5113" strokeweight=".8pt"/>
            <v:shape id="_x0000_s1422" style="position:absolute;left:7949;top:5101;width:525;height:1263" coordorigin="7949,5101" coordsize="525,1263" o:spt="100" adj="0,,0" path="m8474,6364r-525,l7949,5101r525,l8474,5109r-510,l7957,5116r7,l7964,6349r-7,l7964,6357r510,l8474,6364xm7964,5116r-7,l7964,5109r,7xm8459,5116r-495,l7964,5109r495,l8459,5116xm8459,6357r,-1248l8467,5116r7,l8474,6349r-7,l8459,6357xm8474,5116r-7,l8459,5109r15,l8474,5116xm7964,6357r-7,-8l7964,6349r,8xm8459,6357r-495,l7964,6349r495,l8459,6357xm8474,6357r-15,l8467,6349r7,l8474,6357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23" style="position:absolute" from="8221,4744" to="8221,5114" strokeweight="1.4pt"/>
            <v:line id="_x0000_s1424" style="position:absolute" from="7225,4427" to="7225,4801" strokeweight=".8pt"/>
            <v:shape id="_x0000_s1425" style="position:absolute;left:785;top:5064;width:525;height:1406" coordorigin="785,5064" coordsize="525,1406" o:spt="100" adj="0,,0" path="m1310,6470r-525,l785,5064r525,l1310,5071r-510,l793,5079r7,l800,6455r-7,l800,6462r510,l1310,6470xm800,5079r-7,l800,5071r,8xm1295,5079r-495,l800,5071r495,l1295,5079xm1295,6462r,-1391l1303,5079r7,l1310,6455r-7,l1295,6462xm1310,5079r-7,l1295,5071r15,l1310,5079xm800,6462r-7,-7l800,6455r,7xm1295,6462r-495,l800,6455r495,l1295,6462xm1310,6462r-15,l1303,6455r7,l1310,6462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26" style="position:absolute" from="1066,4684" to="1066,5092" strokeweight=".85pt"/>
            <v:shape id="_x0000_s1427" style="position:absolute;left:6840;top:2567;width:872;height:468" coordorigin="6840,2568" coordsize="872,468" path="m7275,3036r-99,-7l7084,3012r-81,-28l6936,2948r-51,-44l6840,2802r12,-54l6936,2655r67,-36l7084,2591r92,-17l7275,2568r100,6l7467,2591r81,28l7615,2655r52,43l7712,2801r-12,54l7615,2948r-67,36l7467,3012r-92,17l7275,3036xe" stroked="f">
              <v:path arrowok="t"/>
            </v:shape>
            <v:shape id="_x0000_s1428" style="position:absolute;left:6833;top:2560;width:885;height:482" coordorigin="6833,2560" coordsize="885,482" o:spt="100" adj="0,,0" path="m7342,3040r-133,l7187,3038r-21,-4l7145,3032r-21,-4l7105,3024r-20,-6l7066,3014r-18,-6l7030,3002r-18,-8l6996,2988r-16,-8l6964,2972r-14,-8l6936,2956r-13,-10l6910,2938r-11,-10l6888,2918r-10,-12l6869,2896r-8,-10l6854,2874r-7,-12l6845,2856r-3,-6l6840,2844r-2,-6l6837,2832r-2,-6l6834,2820r,-6l6833,2806r,-12l6834,2788r,-6l6835,2776r2,-8l6838,2762r2,-6l6842,2750r3,-6l6847,2738r7,-10l6861,2716r8,-12l6878,2694r10,-10l6899,2674r11,-10l6923,2654r13,-8l6950,2636r14,-8l6980,2620r16,-6l7012,2606r18,-6l7048,2594r37,-12l7166,2566r65,-6l7320,2560r65,6l7427,2574r-174,l7231,2576r-21,l7189,2578r,l7168,2582r,l7147,2584r,l7127,2588r,l7108,2592r,l7089,2596r,l7070,2602r,l7052,2608r,l7035,2614r,l7018,2620r,l7002,2626r,l6986,2634r,l6971,2642r1,l6957,2650r,l6944,2658r,l6931,2666r,l6919,2676r1,l6908,2684r1,l6898,2694r,l6889,2704r,l6880,2714r1,l6873,2724r,l6866,2734r1,l6861,2746r,l6858,2750r1,l6856,2756r,l6854,2762r,l6853,2766r,l6851,2772r,l6850,2778r,l6849,2784r,l6849,2788r,l6848,2794r,l6848,2806r1,6l6849,2812r,6l6849,2818r1,6l6851,2824r,4l6851,2828r2,6l6853,2834r1,6l6854,2840r2,6l6857,2846r2,4l6858,2850r3,6l6861,2856r6,10l6866,2866r7,10l6873,2876r8,12l6882,2888r7,10l6891,2898r7,8l6898,2906r11,10l6908,2916r12,10l6919,2926r12,8l6931,2934r13,10l6947,2944r10,8l6957,2952r15,8l6971,2960r15,8l6990,2968r12,6l7002,2974r16,8l7018,2982r17,6l7035,2988r17,6l7052,2994r18,6l7070,3000r19,4l7089,3004r19,4l7108,3008r19,4l7127,3012r20,4l7147,3016r21,4l7168,3020r21,2l7189,3022r21,2l7210,3024r22,2l7253,3026r23,2l7275,3028r152,l7406,3032r-21,2l7364,3038r-22,2xm7698,2768r-1,-6l7697,2762r-2,-6l7695,2756r-3,-6l7693,2750r-3,-4l7690,2746r-6,-12l7685,2734r-7,-10l7678,2724r-8,-10l7671,2714r-9,-10l7662,2704r-9,-10l7653,2694r-11,-10l7643,2684r-12,-8l7632,2676r-12,-10l7620,2666r-13,-8l7607,2658r-13,-8l7594,2650r-15,-8l7580,2642r-15,-8l7565,2634r-16,-8l7549,2626r-16,-6l7533,2620r-17,-6l7516,2614r-17,-6l7499,2608r-18,-6l7481,2602r-19,-6l7462,2596r-19,-4l7443,2592r-19,-4l7424,2588r-20,-4l7404,2584r-21,-2l7383,2582r-21,-4l7362,2578r-21,-2l7320,2576r-22,-2l7427,2574r39,8l7503,2594r18,6l7539,2606r16,8l7571,2620r16,8l7601,2636r14,10l7628,2654r13,10l7653,2674r10,10l7673,2694r9,10l7690,2716r7,12l7704,2738r2,6l7709,2750r2,6l7713,2762r1,4l7698,2766r,2xm6853,2768r,-2l6853,2766r,2xm7702,2790r,-6l7702,2784r-1,-6l7701,2778r-1,-6l7700,2772r-2,-6l7714,2766r,2l7716,2776r1,6l7717,2788r-15,l7702,2790xm6849,2790r,-2l6849,2788r,2xm7716,2824r-15,l7702,2818r,l7702,2812r,l7703,2806r,-12l7703,2794r-1,-6l7717,2788r1,6l7718,2806r-1,8l7717,2820r-1,4xm6851,2824r-1,l6850,2822r1,2xm7710,2846r-15,l7697,2840r,l7698,2834r,l7700,2828r,l7701,2822r,2l7716,2824r,2l7714,2832r-1,6l7711,2844r-1,2xm6857,2846r-1,l6856,2844r1,2xm7689,2888r-19,l7678,2876r,l7685,2866r-1,l7690,2856r,l7693,2850r-1,l7695,2844r,2l7710,2846r-1,4l7706,2856r-2,6l7697,2874r-7,12l7689,2888xm6882,2888r-1,l6880,2886r2,2xm7680,2898r-18,l7671,2886r-1,2l7689,2888r-7,8l7680,2898xm6891,2898r-2,l6889,2896r2,2xm7632,2944r-25,l7620,2934r,l7632,2926r-1,l7643,2916r-1,l7653,2906r,l7662,2896r,2l7680,2898r-7,8l7663,2918r-10,10l7641,2938r-9,6xm6947,2944r-3,l6944,2942r3,2xm7594,2968r-29,l7580,2960r-1,l7594,2952r,l7607,2942r,2l7632,2944r-4,2l7615,2956r-14,8l7594,2968xm6990,2968r-4,l6986,2966r4,2xm7427,3028r-151,l7298,3026r21,l7341,3024r,l7362,3022r,l7383,3020r,l7404,3016r,l7424,3012r,l7443,3008r,l7462,3004r,l7481,3000r,l7499,2994r,l7516,2988r,l7533,2982r,l7549,2974r,l7565,2966r,2l7594,2968r-7,4l7571,2980r-16,8l7539,2994r-18,8l7503,3008r-18,6l7466,3018r-20,6l7427,3028xm7298,3042r-45,l7231,3040r89,l7298,3042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429" type="#_x0000_t202" style="position:absolute;left:3353;top:106;width:1460;height:240" filled="f" stroked="f">
              <v:textbox inset="0,0,0,0">
                <w:txbxContent>
                  <w:p w:rsidR="00B04AE3" w:rsidRDefault="00B04AE3">
                    <w:pPr>
                      <w:spacing w:line="240" w:lineRule="exact"/>
                      <w:rPr>
                        <w:sz w:val="24"/>
                      </w:rPr>
                    </w:pPr>
                    <w:r>
                      <w:rPr>
                        <w:rFonts w:hint="eastAsia"/>
                      </w:rPr>
                      <w:t>顶端事故发生</w:t>
                    </w:r>
                  </w:p>
                </w:txbxContent>
              </v:textbox>
            </v:shape>
            <v:shape id="_x0000_s1430" type="#_x0000_t202" style="position:absolute;left:4116;top:876;width:156;height:266" filled="f" stroked="f">
              <v:textbox inset="0,0,0,0">
                <w:txbxContent>
                  <w:p w:rsidR="00B04AE3" w:rsidRDefault="00B04AE3">
                    <w:pPr>
                      <w:spacing w:line="266" w:lineRule="exact"/>
                      <w:rPr>
                        <w:rFonts w:ascii="Times New Roman"/>
                        <w:sz w:val="24"/>
                      </w:rPr>
                    </w:pPr>
                    <w:r>
                      <w:rPr>
                        <w:rFonts w:ascii="Times New Roman"/>
                      </w:rPr>
                      <w:t>+</w:t>
                    </w:r>
                  </w:p>
                </w:txbxContent>
              </v:textbox>
            </v:shape>
            <v:shape id="_x0000_s1431" type="#_x0000_t202" style="position:absolute;left:965;top:1889;width:980;height:240" filled="f" stroked="f">
              <v:textbox inset="0,0,0,0">
                <w:txbxContent>
                  <w:p w:rsidR="00B04AE3" w:rsidRDefault="00B04AE3">
                    <w:pPr>
                      <w:spacing w:line="240" w:lineRule="exact"/>
                      <w:rPr>
                        <w:sz w:val="24"/>
                      </w:rPr>
                    </w:pPr>
                    <w:r>
                      <w:rPr>
                        <w:rFonts w:hint="eastAsia"/>
                      </w:rPr>
                      <w:t>泄漏事故</w:t>
                    </w:r>
                  </w:p>
                </w:txbxContent>
              </v:textbox>
            </v:shape>
            <v:shape id="_x0000_s1432" type="#_x0000_t202" style="position:absolute;left:6456;top:1873;width:1460;height:240" filled="f" stroked="f">
              <v:textbox inset="0,0,0,0">
                <w:txbxContent>
                  <w:p w:rsidR="00B04AE3" w:rsidRDefault="00B04AE3">
                    <w:pPr>
                      <w:spacing w:line="240" w:lineRule="exact"/>
                      <w:rPr>
                        <w:sz w:val="24"/>
                      </w:rPr>
                    </w:pPr>
                    <w:r>
                      <w:rPr>
                        <w:rFonts w:hint="eastAsia"/>
                      </w:rPr>
                      <w:t>火灾爆炸事故</w:t>
                    </w:r>
                  </w:p>
                </w:txbxContent>
              </v:textbox>
            </v:shape>
            <v:shape id="_x0000_s1433" type="#_x0000_t202" style="position:absolute;left:7193;top:2729;width:260;height:240" filled="f" stroked="f">
              <v:textbox inset="0,0,0,0">
                <w:txbxContent>
                  <w:p w:rsidR="00B04AE3" w:rsidRDefault="00B04AE3">
                    <w:pPr>
                      <w:spacing w:line="240" w:lineRule="exact"/>
                      <w:rPr>
                        <w:sz w:val="24"/>
                      </w:rPr>
                    </w:pPr>
                    <w:r>
                      <w:t>—</w:t>
                    </w:r>
                  </w:p>
                </w:txbxContent>
              </v:textbox>
            </v:shape>
            <v:shape id="_x0000_s1434" type="#_x0000_t202" style="position:absolute;left:593;top:3325;width:1460;height:240" filled="f" stroked="f">
              <v:textbox inset="0,0,0,0">
                <w:txbxContent>
                  <w:p w:rsidR="00B04AE3" w:rsidRDefault="00B04AE3">
                    <w:pPr>
                      <w:spacing w:line="240" w:lineRule="exact"/>
                      <w:rPr>
                        <w:sz w:val="24"/>
                      </w:rPr>
                    </w:pPr>
                    <w:r>
                      <w:rPr>
                        <w:rFonts w:hint="eastAsia"/>
                      </w:rPr>
                      <w:t>化学物质泄漏</w:t>
                    </w:r>
                  </w:p>
                </w:txbxContent>
              </v:textbox>
            </v:shape>
            <v:shape id="_x0000_s1435" type="#_x0000_t202" style="position:absolute;left:6842;top:3322;width:740;height:240" filled="f" stroked="f">
              <v:textbox inset="0,0,0,0">
                <w:txbxContent>
                  <w:p w:rsidR="00B04AE3" w:rsidRDefault="00B04AE3">
                    <w:pPr>
                      <w:tabs>
                        <w:tab w:val="left" w:pos="479"/>
                      </w:tabs>
                      <w:spacing w:line="240" w:lineRule="exact"/>
                      <w:rPr>
                        <w:sz w:val="24"/>
                      </w:rPr>
                    </w:pPr>
                    <w:r>
                      <w:rPr>
                        <w:rFonts w:hint="eastAsia"/>
                      </w:rPr>
                      <w:t>火</w:t>
                    </w:r>
                    <w:r>
                      <w:rPr>
                        <w:sz w:val="24"/>
                      </w:rPr>
                      <w:tab/>
                    </w:r>
                    <w:r>
                      <w:rPr>
                        <w:rFonts w:hint="eastAsia"/>
                        <w:sz w:val="24"/>
                      </w:rPr>
                      <w:t>源</w:t>
                    </w:r>
                  </w:p>
                </w:txbxContent>
              </v:textbox>
            </v:shape>
            <v:shape id="_x0000_s1436" type="#_x0000_t202" style="position:absolute;left:1224;top:4121;width:156;height:266" filled="f" stroked="f">
              <v:textbox inset="0,0,0,0">
                <w:txbxContent>
                  <w:p w:rsidR="00B04AE3" w:rsidRDefault="00B04AE3">
                    <w:pPr>
                      <w:spacing w:line="266" w:lineRule="exact"/>
                      <w:rPr>
                        <w:rFonts w:ascii="Times New Roman"/>
                        <w:sz w:val="24"/>
                      </w:rPr>
                    </w:pPr>
                    <w:r>
                      <w:rPr>
                        <w:rFonts w:ascii="Times New Roman"/>
                      </w:rPr>
                      <w:t>+</w:t>
                    </w:r>
                  </w:p>
                </w:txbxContent>
              </v:textbox>
            </v:shape>
            <v:shape id="_x0000_s1437" type="#_x0000_t202" style="position:absolute;left:7133;top:4152;width:156;height:266" filled="f" stroked="f">
              <v:textbox inset="0,0,0,0">
                <w:txbxContent>
                  <w:p w:rsidR="00B04AE3" w:rsidRDefault="00B04AE3">
                    <w:pPr>
                      <w:spacing w:line="266" w:lineRule="exact"/>
                      <w:rPr>
                        <w:rFonts w:ascii="Times New Roman"/>
                        <w:sz w:val="24"/>
                      </w:rPr>
                    </w:pPr>
                    <w:r>
                      <w:rPr>
                        <w:rFonts w:ascii="Times New Roman"/>
                      </w:rPr>
                      <w:t>+</w:t>
                    </w:r>
                  </w:p>
                </w:txbxContent>
              </v:textbox>
            </v:shape>
            <v:shape id="_x0000_s1438" type="#_x0000_t202" style="position:absolute;left:158;top:5125;width:260;height:1080" filled="f" stroked="f">
              <v:textbox inset="0,0,0,0">
                <w:txbxContent>
                  <w:p w:rsidR="00B04AE3" w:rsidRDefault="00B04AE3">
                    <w:pPr>
                      <w:spacing w:line="218" w:lineRule="auto"/>
                      <w:ind w:right="18"/>
                      <w:jc w:val="both"/>
                      <w:rPr>
                        <w:sz w:val="24"/>
                      </w:rPr>
                    </w:pPr>
                    <w:r>
                      <w:rPr>
                        <w:rFonts w:hint="eastAsia"/>
                      </w:rPr>
                      <w:t>阀门破裂</w:t>
                    </w:r>
                  </w:p>
                </w:txbxContent>
              </v:textbox>
            </v:shape>
            <v:shape id="_x0000_s1439" type="#_x0000_t202" style="position:absolute;left:943;top:5170;width:260;height:1080" filled="f" stroked="f">
              <v:textbox inset="0,0,0,0">
                <w:txbxContent>
                  <w:p w:rsidR="00B04AE3" w:rsidRDefault="00B04AE3">
                    <w:pPr>
                      <w:spacing w:line="218" w:lineRule="auto"/>
                      <w:ind w:right="18"/>
                      <w:jc w:val="both"/>
                      <w:rPr>
                        <w:sz w:val="24"/>
                      </w:rPr>
                    </w:pPr>
                    <w:r>
                      <w:rPr>
                        <w:rFonts w:hint="eastAsia"/>
                      </w:rPr>
                      <w:t>管道破裂</w:t>
                    </w:r>
                  </w:p>
                </w:txbxContent>
              </v:textbox>
            </v:shape>
            <v:shape id="_x0000_s1440" type="#_x0000_t202" style="position:absolute;left:1920;top:5156;width:260;height:1080" filled="f" stroked="f">
              <v:textbox inset="0,0,0,0">
                <w:txbxContent>
                  <w:p w:rsidR="00B04AE3" w:rsidRDefault="00B04AE3">
                    <w:pPr>
                      <w:spacing w:line="218" w:lineRule="auto"/>
                      <w:ind w:right="18"/>
                      <w:jc w:val="both"/>
                      <w:rPr>
                        <w:sz w:val="24"/>
                      </w:rPr>
                    </w:pPr>
                    <w:r>
                      <w:rPr>
                        <w:rFonts w:hint="eastAsia"/>
                      </w:rPr>
                      <w:t>机泵损坏</w:t>
                    </w:r>
                  </w:p>
                </w:txbxContent>
              </v:textbox>
            </v:shape>
            <v:shape id="_x0000_s1441" type="#_x0000_t202" style="position:absolute;left:2695;top:5137;width:260;height:1080" filled="f" stroked="f">
              <v:textbox inset="0,0,0,0">
                <w:txbxContent>
                  <w:p w:rsidR="00B04AE3" w:rsidRDefault="00B04AE3">
                    <w:pPr>
                      <w:spacing w:line="218" w:lineRule="auto"/>
                      <w:ind w:right="18"/>
                      <w:jc w:val="both"/>
                      <w:rPr>
                        <w:sz w:val="24"/>
                      </w:rPr>
                    </w:pPr>
                    <w:r>
                      <w:rPr>
                        <w:rFonts w:hint="eastAsia"/>
                      </w:rPr>
                      <w:t>密封不严</w:t>
                    </w:r>
                  </w:p>
                </w:txbxContent>
              </v:textbox>
            </v:shape>
            <v:shape id="_x0000_s1442" type="#_x0000_t202" style="position:absolute;left:5971;top:5204;width:260;height:1080" filled="f" stroked="f">
              <v:textbox inset="0,0,0,0">
                <w:txbxContent>
                  <w:p w:rsidR="00B04AE3" w:rsidRDefault="00B04AE3">
                    <w:pPr>
                      <w:spacing w:line="218" w:lineRule="auto"/>
                      <w:ind w:right="18"/>
                      <w:jc w:val="both"/>
                      <w:rPr>
                        <w:sz w:val="24"/>
                      </w:rPr>
                    </w:pPr>
                    <w:r>
                      <w:rPr>
                        <w:rFonts w:hint="eastAsia"/>
                      </w:rPr>
                      <w:t>产生明火</w:t>
                    </w:r>
                  </w:p>
                </w:txbxContent>
              </v:textbox>
            </v:shape>
            <v:shape id="_x0000_s1443" type="#_x0000_t202" style="position:absolute;left:7114;top:5470;width:260;height:521" filled="f" stroked="f">
              <v:textbox inset="0,0,0,0">
                <w:txbxContent>
                  <w:p w:rsidR="00B04AE3" w:rsidRDefault="00B04AE3">
                    <w:pPr>
                      <w:spacing w:line="218" w:lineRule="auto"/>
                      <w:ind w:right="18"/>
                      <w:rPr>
                        <w:sz w:val="24"/>
                      </w:rPr>
                    </w:pPr>
                    <w:r>
                      <w:rPr>
                        <w:rFonts w:hint="eastAsia"/>
                      </w:rPr>
                      <w:t>静电</w:t>
                    </w:r>
                  </w:p>
                </w:txbxContent>
              </v:textbox>
            </v:shape>
            <v:shape id="_x0000_s1444" type="#_x0000_t202" style="position:absolute;left:8107;top:5487;width:260;height:521" filled="f" stroked="f">
              <v:textbox inset="0,0,0,0">
                <w:txbxContent>
                  <w:p w:rsidR="00B04AE3" w:rsidRDefault="00B04AE3">
                    <w:pPr>
                      <w:spacing w:line="218" w:lineRule="auto"/>
                      <w:ind w:right="18"/>
                      <w:rPr>
                        <w:sz w:val="24"/>
                      </w:rPr>
                    </w:pPr>
                    <w:r>
                      <w:rPr>
                        <w:rFonts w:hint="eastAsia"/>
                      </w:rPr>
                      <w:t>雷电</w:t>
                    </w:r>
                  </w:p>
                </w:txbxContent>
              </v:textbox>
            </v:shape>
            <w10:anchorlock/>
          </v:group>
        </w:pict>
      </w:r>
    </w:p>
    <w:p w:rsidR="00B04AE3" w:rsidRDefault="00B04AE3">
      <w:pPr>
        <w:pStyle w:val="BodyText"/>
        <w:spacing w:before="6"/>
        <w:rPr>
          <w:sz w:val="20"/>
        </w:rPr>
      </w:pPr>
    </w:p>
    <w:p w:rsidR="00B04AE3" w:rsidRDefault="00B04AE3">
      <w:pPr>
        <w:pStyle w:val="BodyText"/>
        <w:tabs>
          <w:tab w:val="left" w:pos="5923"/>
        </w:tabs>
        <w:spacing w:before="67"/>
        <w:ind w:left="1208"/>
      </w:pPr>
      <w:r>
        <w:rPr>
          <w:noProof/>
          <w:lang w:val="en-US"/>
        </w:rPr>
        <w:pict>
          <v:group id="_x0000_s1446" style="position:absolute;left:0;text-align:left;margin-left:194.65pt;margin-top:.05pt;width:44.25pt;height:24.1pt;z-index:-251638272;mso-position-horizontal-relative:page" coordorigin="3894,2" coordsize="885,482">
            <v:shape id="_x0000_s1447" style="position:absolute;left:3893;top:1;width:885;height:482" coordorigin="3894,2" coordsize="885,482" o:spt="100" adj="0,,0" path="m4403,482r-134,l4248,480r-22,-4l4205,474r-20,-4l4165,466r-19,-6l4127,456r-19,-6l4090,444r-17,-8l4056,430r-16,-8l4025,414r-15,-8l3996,398r-13,-10l3971,380r-12,-10l3948,360r-10,-12l3929,338r-8,-10l3914,316r-6,-12l3905,298r-2,-6l3901,286r-2,-6l3897,274r-1,-6l3895,262r-1,-6l3894,248r,-12l3894,230r1,-6l3896,218r1,-8l3899,204r2,-6l3903,192r2,-6l3908,180r6,-10l3921,158r8,-12l3938,136r10,-10l3959,116r12,-10l3983,96r13,-8l4010,78r15,-8l4040,62r16,-6l4073,48r17,-6l4108,36r38,-12l4226,8r65,-6l4381,2r65,6l4487,16r-173,l4292,18r-22,l4249,20r,l4228,24r,l4208,26r,l4188,30r,l4168,34r,l4149,38r,l4131,44r,l4113,50r,l4095,56r,l4078,62r1,l4062,68r,l4047,76r,l4032,84r,l4018,92r,l4004,100r1,l3992,108r,l3980,118r,l3969,126r,l3959,136r,l3949,146r1,l3941,156r,l3933,166r1,l3927,176r,l3921,188r1,l3919,192r,l3917,198r,l3915,204r,l3914,208r-1,l3912,214r,l3911,220r,l3910,226r,l3909,230r,l3909,236r,12l3909,254r,l3910,260r,l3911,266r,l3912,270r,l3913,276r,l3915,282r,l3917,288r1,l3919,292r,l3922,298r-1,l3927,308r,l3934,318r-1,l3941,330r1,l3950,340r1,l3959,348r,l3969,358r,l3980,368r,l3992,376r,l4005,386r2,l4018,394r,l4032,402r,l4047,410r4,l4062,416r,l4079,424r-1,l4095,430r,l4113,436r,l4131,442r,l4149,446r,l4168,450r,l4188,454r,l4208,458r,l4228,462r,l4249,464r,l4270,466r,l4292,468r22,l4336,470r,l4487,470r-20,4l4446,476r-22,4l4403,482xm4759,210r-2,-6l4757,204r-2,-6l4755,198r-2,-6l4753,192r-3,-4l4751,188r-6,-12l4745,176r-7,-10l4739,166r-8,-10l4731,156r-9,-10l4723,146r-10,-10l4713,136r-10,-10l4703,126r-11,-8l4692,118r-12,-10l4680,108r-13,-8l4668,100r-14,-8l4654,92r-14,-8l4640,84r-15,-8l4625,76r-15,-8l4610,68r-17,-6l4594,62r-17,-6l4577,56r-18,-6l4559,50r-18,-6l4541,44r-18,-6l4523,38r-19,-4l4504,34r-20,-4l4484,30r-20,-4l4464,26r-20,-2l4444,24r-21,-4l4423,20r-21,-2l4380,18r-22,-2l4487,16r39,8l4564,36r18,6l4599,48r17,8l4632,62r15,8l4662,78r14,10l4689,96r12,10l4713,116r11,10l4734,136r9,10l4751,158r7,12l4764,180r3,6l4769,192r2,6l4773,204r1,4l4759,208r,2xm3913,210r,-2l3914,208r-1,2xm4763,232r-1,-6l4762,226r-1,-6l4761,220r-1,-6l4760,214r-1,-6l4774,208r1,2l4776,218r1,6l4778,230r-15,l4763,232xm3909,232r,-2l3909,230r,2xm4776,266r-15,l4762,260r,l4763,254r,l4763,248r,-12l4763,236r,-6l4778,230r,6l4778,248r,8l4777,262r-1,4xm3911,266r,l3911,264r,2xm4771,288r-16,l4757,282r,l4759,276r,l4760,270r,l4761,264r,2l4776,266r,2l4775,274r-2,6l4771,286r,2xm3918,288r-1,l3917,286r1,2xm4749,330r-18,l4739,318r-1,l4745,308r,l4751,298r-1,l4753,292r,l4755,286r,2l4771,288r-2,4l4767,298r-3,6l4758,316r-7,12l4749,330xm3942,330r-1,l3941,328r1,2xm4741,340r-19,l4731,328r,2l4749,330r-6,8l4741,340xm3951,340r-1,l3949,338r2,2xm4692,386r-25,l4680,376r,l4692,368r,l4703,358r,l4713,348r,l4723,338r-1,2l4741,340r-7,8l4724,360r-11,10l4701,380r-9,6xm4007,386r-2,l4004,384r3,2xm4654,410r-29,l4640,402r,l4654,394r,l4668,384r-1,2l4692,386r-3,2l4676,398r-14,8l4654,410xm4051,410r-4,l4047,408r4,2xm4487,470r-151,l4358,468r22,l4402,466r,l4423,464r,l4444,462r,l4464,458r,l4484,454r,l4504,450r,l4523,446r,l4541,442r,l4559,436r,l4577,430r,l4594,424r-1,l4610,416r,l4625,408r,2l4654,410r-7,4l4632,422r-16,8l4599,436r-17,8l4564,450r-19,6l4526,460r-19,6l4487,470xm4359,484r-46,l4291,482r90,l4359,48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448" type="#_x0000_t202" style="position:absolute;left:3893;top:1;width:885;height:482" filled="f" stroked="f">
              <v:textbox inset="0,0,0,0">
                <w:txbxContent>
                  <w:p w:rsidR="00B04AE3" w:rsidRDefault="00B04AE3">
                    <w:pPr>
                      <w:spacing w:before="150"/>
                      <w:ind w:right="24"/>
                      <w:jc w:val="center"/>
                      <w:rPr>
                        <w:rFonts w:ascii="Times New Roman"/>
                        <w:sz w:val="24"/>
                      </w:rPr>
                    </w:pPr>
                    <w:r>
                      <w:rPr>
                        <w:rFonts w:ascii="Times New Roman"/>
                      </w:rPr>
                      <w:t>+</w:t>
                    </w:r>
                  </w:p>
                </w:txbxContent>
              </v:textbox>
            </v:shape>
            <w10:wrap anchorx="page"/>
          </v:group>
        </w:pict>
      </w:r>
      <w:r>
        <w:rPr>
          <w:noProof/>
          <w:lang w:val="en-US"/>
        </w:rPr>
        <w:pict>
          <v:group id="_x0000_s1449" style="position:absolute;left:0;text-align:left;margin-left:430.4pt;margin-top:.05pt;width:44.25pt;height:24.1pt;z-index:251657728;mso-position-horizontal-relative:page" coordorigin="8609,2" coordsize="885,482">
            <v:shape id="_x0000_s1450" style="position:absolute;left:8608;top:1;width:885;height:482" coordorigin="8609,2" coordsize="885,482" o:spt="100" adj="0,,0" path="m9118,482r-134,l8963,480r-22,-4l8920,474r-20,-4l8880,466r-19,-6l8842,456r-19,-6l8805,444r-17,-8l8771,430r-16,-8l8740,414r-15,-8l8711,398r-13,-10l8686,380r-12,-10l8663,360r-10,-12l8644,338r-8,-10l8629,316r-6,-12l8620,298r-2,-6l8616,286r-2,-6l8612,274r-1,-6l8610,262r-1,-6l8609,248r,-12l8609,230r1,-6l8611,218r1,-8l8614,204r2,-6l8618,192r2,-6l8623,180r6,-10l8636,158r8,-12l8653,136r10,-10l8674,116r12,-10l8698,96r13,-8l8725,78r15,-8l8755,62r16,-6l8788,48r17,-6l8823,36r38,-12l8941,8r65,-6l9096,2r65,6l9202,16r-173,l9007,18r-22,l8964,20r,l8943,24r,l8923,26r,l8903,30r,l8883,34r,l8864,38r,l8846,44r,l8828,50r,l8810,56r,l8793,62r1,l8777,68r,l8762,76r,l8747,84r,l8733,92r,l8719,100r1,l8707,108r,l8695,118r,l8684,126r,l8674,136r,l8664,146r1,l8656,156r,l8648,166r1,l8642,176r,l8636,188r1,l8634,192r,l8632,198r,l8630,204r,l8629,208r-1,l8627,214r,l8626,220r,l8625,226r,l8624,230r,l8624,236r,l8624,248r,6l8624,254r1,6l8625,260r1,6l8626,266r1,4l8627,270r1,6l8628,276r2,6l8630,282r2,6l8633,288r1,4l8634,292r3,6l8636,298r6,10l8642,308r7,10l8648,318r8,12l8657,330r8,10l8666,340r8,8l8674,348r10,10l8684,358r11,10l8695,368r12,8l8707,376r13,10l8722,386r11,8l8733,394r14,8l8747,402r15,8l8766,410r11,6l8777,416r17,8l8793,424r17,6l8810,430r18,6l8828,436r18,6l8846,442r18,4l8864,446r19,4l8883,450r20,4l8903,454r20,4l8923,458r20,4l8943,462r21,2l8964,464r21,2l8985,466r22,2l9029,468r22,2l9051,470r151,l9182,474r-21,2l9139,480r-21,2xm9474,210r-2,-6l9472,204r-2,-6l9470,198r-2,-6l9468,192r-3,-4l9466,188r-6,-12l9460,176r-7,-10l9454,166r-8,-10l9446,156r-9,-10l9438,146r-10,-10l9428,136r-10,-10l9418,126r-11,-8l9407,118r-12,-10l9395,108r-13,-8l9383,100r-14,-8l9369,92r-14,-8l9355,84r-15,-8l9340,76r-15,-8l9325,68r-17,-6l9309,62r-17,-6l9292,56r-18,-6l9274,50r-18,-6l9256,44r-18,-6l9238,38r-19,-4l9219,34r-20,-4l9199,30r-20,-4l9179,26r-20,-2l9159,24r-21,-4l9138,20r-21,-2l9095,18r-22,-2l9202,16r39,8l9279,36r18,6l9314,48r17,8l9347,62r15,8l9377,78r14,10l9404,96r12,10l9428,116r11,10l9449,136r9,10l9466,158r7,12l9479,180r3,6l9484,192r2,6l9488,204r1,4l9474,208r,2xm8628,210r,-2l8629,208r-1,2xm9478,232r-1,-6l9477,226r-1,-6l9476,220r-1,-6l9475,214r-1,-6l9489,208r1,2l9491,218r1,6l9493,230r-15,l9478,232xm8624,232r,-2l8624,230r,2xm9491,266r-15,l9477,260r,l9478,254r,l9478,248r,-12l9478,236r,-6l9493,230r,6l9493,248r,8l9492,262r-1,4xm8626,266r,l8626,264r,2xm9486,288r-16,l9472,282r,l9474,276r,l9475,270r,l9476,264r,2l9491,266r,2l9490,274r-2,6l9486,286r,2xm8633,288r-1,l8632,286r1,2xm9464,330r-18,l9454,318r-1,l9460,308r,l9466,298r-1,l9468,292r,l9470,286r,2l9486,288r-2,4l9482,298r-3,6l9473,316r-7,12l9464,330xm8657,330r-1,l8656,328r1,2xm9456,340r-19,l9446,328r,2l9464,330r-6,8l9456,340xm8666,340r-1,l8664,338r2,2xm9407,386r-25,l9395,376r,l9407,368r,l9418,358r,l9428,348r,l9438,338r-1,2l9456,340r-7,8l9439,360r-11,10l9416,380r-9,6xm8722,386r-2,l8719,384r3,2xm9369,410r-29,l9355,402r,l9369,394r,l9383,384r-1,2l9407,386r-3,2l9391,398r-14,8l9369,410xm8766,410r-4,l8762,408r4,2xm9202,470r-151,l9073,468r22,l9117,466r,l9138,464r,l9159,462r,l9179,458r,l9199,454r,l9219,450r,l9238,446r,l9256,442r,l9274,436r,l9292,430r,l9309,424r-1,l9325,416r,l9340,408r,2l9369,410r-7,4l9347,422r-16,8l9314,436r-17,8l9279,450r-19,6l9241,460r-19,6l9202,470xm9074,484r-46,l9006,482r90,l9074,48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shape id="_x0000_s1451" type="#_x0000_t202" style="position:absolute;left:8608;top:1;width:885;height:482" filled="f" stroked="f">
              <v:textbox inset="0,0,0,0">
                <w:txbxContent>
                  <w:p w:rsidR="00B04AE3" w:rsidRDefault="00B04AE3">
                    <w:pPr>
                      <w:spacing w:before="134"/>
                      <w:ind w:left="360"/>
                      <w:rPr>
                        <w:sz w:val="24"/>
                      </w:rPr>
                    </w:pPr>
                    <w:r>
                      <w:t>—</w:t>
                    </w:r>
                  </w:p>
                </w:txbxContent>
              </v:textbox>
            </v:shape>
            <w10:wrap anchorx="page"/>
          </v:group>
        </w:pict>
      </w:r>
      <w:r>
        <w:rPr>
          <w:rFonts w:hint="eastAsia"/>
        </w:rPr>
        <w:t>表示逻辑或门</w:t>
      </w:r>
      <w:r>
        <w:tab/>
      </w:r>
      <w:r>
        <w:rPr>
          <w:rFonts w:hint="eastAsia"/>
        </w:rPr>
        <w:t>表示逻辑或门</w:t>
      </w:r>
    </w:p>
    <w:p w:rsidR="00B04AE3" w:rsidRDefault="00B04AE3">
      <w:pPr>
        <w:spacing w:before="148"/>
        <w:ind w:left="3070"/>
        <w:rPr>
          <w:b/>
          <w:sz w:val="24"/>
        </w:rPr>
      </w:pPr>
      <w:r>
        <w:rPr>
          <w:rFonts w:hint="eastAsia"/>
          <w:b/>
          <w:sz w:val="24"/>
        </w:rPr>
        <w:t>图</w:t>
      </w:r>
      <w:r>
        <w:rPr>
          <w:b/>
          <w:sz w:val="24"/>
        </w:rPr>
        <w:t xml:space="preserve"> </w:t>
      </w:r>
      <w:r>
        <w:rPr>
          <w:rFonts w:ascii="Times New Roman" w:eastAsia="Times New Roman"/>
          <w:b/>
          <w:sz w:val="24"/>
        </w:rPr>
        <w:t xml:space="preserve">2.5-1 </w:t>
      </w:r>
      <w:r>
        <w:rPr>
          <w:rFonts w:hint="eastAsia"/>
          <w:b/>
          <w:sz w:val="24"/>
        </w:rPr>
        <w:t>顶端事故与基本事件关联图</w:t>
      </w:r>
    </w:p>
    <w:p w:rsidR="00B04AE3" w:rsidRDefault="00B04AE3">
      <w:pPr>
        <w:pStyle w:val="BodyText"/>
        <w:rPr>
          <w:b/>
          <w:sz w:val="20"/>
        </w:rPr>
      </w:pPr>
      <w:r w:rsidRPr="00E43F4D">
        <w:rPr>
          <w:b/>
          <w:noProof/>
          <w:sz w:val="20"/>
          <w:lang w:val="en-US"/>
        </w:rPr>
        <w:pict>
          <v:shape id="_x0000_i1055" type="#_x0000_t75" alt="2" style="width:489pt;height:241.5pt;visibility:visible">
            <v:imagedata r:id="rId67" o:title=""/>
          </v:shape>
        </w:pict>
      </w:r>
    </w:p>
    <w:p w:rsidR="00B04AE3" w:rsidRDefault="00B04AE3">
      <w:pPr>
        <w:pStyle w:val="Heading3"/>
        <w:numPr>
          <w:ilvl w:val="2"/>
          <w:numId w:val="41"/>
        </w:numPr>
        <w:tabs>
          <w:tab w:val="left" w:pos="1400"/>
        </w:tabs>
        <w:spacing w:before="74"/>
      </w:pPr>
      <w:bookmarkStart w:id="281" w:name="2.5.4_最大可信事故及其概率"/>
      <w:bookmarkStart w:id="282" w:name="_bookmark88"/>
      <w:bookmarkEnd w:id="281"/>
      <w:bookmarkEnd w:id="282"/>
      <w:r>
        <w:rPr>
          <w:rFonts w:hint="eastAsia"/>
        </w:rPr>
        <w:t>最大可信事故及其概率</w:t>
      </w:r>
    </w:p>
    <w:p w:rsidR="00B04AE3" w:rsidRDefault="00B04AE3">
      <w:pPr>
        <w:pStyle w:val="BodyText"/>
        <w:spacing w:before="20" w:line="360" w:lineRule="auto"/>
        <w:ind w:left="334" w:right="334" w:firstLine="482"/>
        <w:jc w:val="both"/>
        <w:rPr>
          <w:spacing w:val="-6"/>
          <w:szCs w:val="22"/>
        </w:rPr>
      </w:pPr>
      <w:r>
        <w:rPr>
          <w:rFonts w:hint="eastAsia"/>
          <w:spacing w:val="-6"/>
          <w:szCs w:val="22"/>
        </w:rPr>
        <w:t>最大可信事故指事故所造成的危害在所有预测的事故中最严重，并且发生该事故的概率不为零的事故。</w:t>
      </w:r>
    </w:p>
    <w:p w:rsidR="00B04AE3" w:rsidRDefault="00B04AE3">
      <w:pPr>
        <w:pStyle w:val="BodyText"/>
        <w:spacing w:before="20" w:line="360" w:lineRule="auto"/>
        <w:ind w:left="334" w:right="334" w:firstLine="482"/>
        <w:jc w:val="both"/>
        <w:rPr>
          <w:spacing w:val="-6"/>
          <w:szCs w:val="22"/>
        </w:rPr>
      </w:pPr>
      <w:r>
        <w:rPr>
          <w:rFonts w:hint="eastAsia"/>
          <w:spacing w:val="-6"/>
          <w:szCs w:val="22"/>
        </w:rPr>
        <w:t>液氮为有毒、腐蚀、可燃物品，可能会引发火灾、爆炸或中毒事故；硫酸为腐蚀性物品，泄漏会对设备、大气和水体造成腐蚀和污染；本项目设置了事故水池用于收集事故状态下生产装置废水、消防废水以及项目区受污染的前期雨水，</w:t>
      </w:r>
      <w:r>
        <w:rPr>
          <w:spacing w:val="-6"/>
          <w:szCs w:val="22"/>
        </w:rPr>
        <w:t xml:space="preserve"> </w:t>
      </w:r>
      <w:r>
        <w:rPr>
          <w:rFonts w:hint="eastAsia"/>
          <w:spacing w:val="-6"/>
          <w:szCs w:val="22"/>
        </w:rPr>
        <w:t>仓储区设置围堰、备用储罐以及事故水池等，生产区地面、围堰、沉淀池、设备基础等均按照要求采取防腐、防渗等措施，事故状态下较易控制，保证生产废水和事故废水不外排。</w:t>
      </w:r>
    </w:p>
    <w:p w:rsidR="00B04AE3" w:rsidRDefault="00B04AE3">
      <w:pPr>
        <w:pStyle w:val="BodyText"/>
        <w:spacing w:before="20" w:line="360" w:lineRule="auto"/>
        <w:ind w:left="334" w:right="334" w:firstLine="482"/>
        <w:jc w:val="both"/>
        <w:rPr>
          <w:spacing w:val="-6"/>
          <w:szCs w:val="22"/>
        </w:rPr>
      </w:pPr>
      <w:r>
        <w:rPr>
          <w:rFonts w:hint="eastAsia"/>
          <w:spacing w:val="-6"/>
          <w:szCs w:val="22"/>
        </w:rPr>
        <w:t>综合上述分析，本项目主要危险单元为液氮、硫酸酸储罐管道破裂造成液氮、硫酸泄漏。</w:t>
      </w:r>
    </w:p>
    <w:p w:rsidR="00B04AE3" w:rsidRDefault="00B04AE3">
      <w:pPr>
        <w:spacing w:line="364" w:lineRule="auto"/>
        <w:ind w:left="2213" w:right="677" w:hanging="934"/>
        <w:rPr>
          <w:b/>
          <w:sz w:val="24"/>
        </w:rPr>
      </w:pPr>
      <w:r>
        <w:rPr>
          <w:noProof/>
          <w:lang w:val="en-US"/>
        </w:rPr>
        <w:pict>
          <v:shape id="_x0000_s1452" type="#_x0000_t202" style="position:absolute;left:0;text-align:left;margin-left:84.45pt;margin-top:38.85pt;width:427.25pt;height:101.85pt;z-index:251658752;mso-position-horizontal-relative:page" filled="f" stroked="f">
            <v:textbox inset="0,0,0,0">
              <w:txbxContent>
                <w:tbl>
                  <w:tblPr>
                    <w:tblW w:w="8522" w:type="dxa"/>
                    <w:tblInd w:w="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A0"/>
                  </w:tblPr>
                  <w:tblGrid>
                    <w:gridCol w:w="2230"/>
                    <w:gridCol w:w="3906"/>
                    <w:gridCol w:w="2386"/>
                  </w:tblGrid>
                  <w:tr w:rsidR="00B04AE3">
                    <w:trPr>
                      <w:trHeight w:val="312"/>
                    </w:trPr>
                    <w:tc>
                      <w:tcPr>
                        <w:tcW w:w="2230" w:type="dxa"/>
                        <w:shd w:val="clear" w:color="auto" w:fill="D9D9D9"/>
                      </w:tcPr>
                      <w:p w:rsidR="00B04AE3" w:rsidRDefault="00B04AE3">
                        <w:pPr>
                          <w:pStyle w:val="TableParagraph"/>
                          <w:spacing w:before="20"/>
                          <w:ind w:left="675" w:right="666"/>
                          <w:rPr>
                            <w:b/>
                            <w:sz w:val="21"/>
                          </w:rPr>
                        </w:pPr>
                        <w:r>
                          <w:rPr>
                            <w:rFonts w:hint="eastAsia"/>
                            <w:b/>
                            <w:sz w:val="21"/>
                          </w:rPr>
                          <w:t>部件类型</w:t>
                        </w:r>
                      </w:p>
                    </w:tc>
                    <w:tc>
                      <w:tcPr>
                        <w:tcW w:w="3906" w:type="dxa"/>
                        <w:shd w:val="clear" w:color="auto" w:fill="D9D9D9"/>
                      </w:tcPr>
                      <w:p w:rsidR="00B04AE3" w:rsidRDefault="00B04AE3">
                        <w:pPr>
                          <w:pStyle w:val="TableParagraph"/>
                          <w:spacing w:before="20"/>
                          <w:ind w:left="880" w:right="873"/>
                          <w:rPr>
                            <w:b/>
                            <w:sz w:val="21"/>
                          </w:rPr>
                        </w:pPr>
                        <w:r>
                          <w:rPr>
                            <w:rFonts w:hint="eastAsia"/>
                            <w:b/>
                            <w:sz w:val="21"/>
                          </w:rPr>
                          <w:t>泄漏模式</w:t>
                        </w:r>
                      </w:p>
                    </w:tc>
                    <w:tc>
                      <w:tcPr>
                        <w:tcW w:w="2386" w:type="dxa"/>
                        <w:shd w:val="clear" w:color="auto" w:fill="D9D9D9"/>
                      </w:tcPr>
                      <w:p w:rsidR="00B04AE3" w:rsidRDefault="00B04AE3">
                        <w:pPr>
                          <w:pStyle w:val="TableParagraph"/>
                          <w:spacing w:before="20"/>
                          <w:ind w:left="634" w:right="626"/>
                          <w:rPr>
                            <w:b/>
                            <w:sz w:val="21"/>
                          </w:rPr>
                        </w:pPr>
                        <w:r>
                          <w:rPr>
                            <w:rFonts w:hint="eastAsia"/>
                            <w:b/>
                            <w:sz w:val="21"/>
                          </w:rPr>
                          <w:t>泄漏概率</w:t>
                        </w:r>
                      </w:p>
                    </w:tc>
                  </w:tr>
                  <w:tr w:rsidR="00B04AE3">
                    <w:trPr>
                      <w:trHeight w:val="314"/>
                    </w:trPr>
                    <w:tc>
                      <w:tcPr>
                        <w:tcW w:w="2230" w:type="dxa"/>
                        <w:vMerge w:val="restart"/>
                      </w:tcPr>
                      <w:p w:rsidR="00B04AE3" w:rsidRDefault="00B04AE3">
                        <w:pPr>
                          <w:pStyle w:val="TableParagraph"/>
                          <w:spacing w:before="18"/>
                          <w:ind w:left="668" w:right="666"/>
                          <w:rPr>
                            <w:sz w:val="21"/>
                          </w:rPr>
                        </w:pPr>
                        <w:r>
                          <w:rPr>
                            <w:rFonts w:hint="eastAsia"/>
                            <w:sz w:val="21"/>
                          </w:rPr>
                          <w:t>容器</w:t>
                        </w:r>
                      </w:p>
                    </w:tc>
                    <w:tc>
                      <w:tcPr>
                        <w:tcW w:w="3906" w:type="dxa"/>
                      </w:tcPr>
                      <w:p w:rsidR="00B04AE3" w:rsidRDefault="00B04AE3">
                        <w:pPr>
                          <w:pStyle w:val="TableParagraph"/>
                          <w:spacing w:before="20"/>
                          <w:ind w:left="880" w:right="878"/>
                          <w:rPr>
                            <w:rFonts w:ascii="Times New Roman" w:eastAsia="Times New Roman"/>
                            <w:sz w:val="21"/>
                          </w:rPr>
                        </w:pPr>
                        <w:r>
                          <w:rPr>
                            <w:rFonts w:hint="eastAsia"/>
                            <w:sz w:val="21"/>
                          </w:rPr>
                          <w:t>泄漏孔径</w:t>
                        </w:r>
                        <w:r>
                          <w:rPr>
                            <w:sz w:val="21"/>
                          </w:rPr>
                          <w:t xml:space="preserve"> </w:t>
                        </w:r>
                        <w:r>
                          <w:rPr>
                            <w:rFonts w:ascii="Times New Roman" w:eastAsia="Times New Roman"/>
                            <w:sz w:val="21"/>
                          </w:rPr>
                          <w:t>1mm</w:t>
                        </w:r>
                      </w:p>
                    </w:tc>
                    <w:tc>
                      <w:tcPr>
                        <w:tcW w:w="2386" w:type="dxa"/>
                      </w:tcPr>
                      <w:p w:rsidR="00B04AE3" w:rsidRDefault="00B04AE3">
                        <w:pPr>
                          <w:pStyle w:val="TableParagraph"/>
                          <w:spacing w:before="20"/>
                          <w:ind w:left="634" w:right="628"/>
                          <w:rPr>
                            <w:sz w:val="21"/>
                          </w:rPr>
                        </w:pPr>
                        <w:r>
                          <w:rPr>
                            <w:rFonts w:ascii="Times New Roman" w:hAnsi="Times New Roman"/>
                            <w:sz w:val="21"/>
                          </w:rPr>
                          <w:t>5.00×10</w:t>
                        </w:r>
                        <w:r>
                          <w:rPr>
                            <w:rFonts w:ascii="Times New Roman" w:hAnsi="Times New Roman"/>
                            <w:position w:val="7"/>
                            <w:sz w:val="13"/>
                          </w:rPr>
                          <w:t>-4</w:t>
                        </w:r>
                        <w:r>
                          <w:rPr>
                            <w:rFonts w:ascii="Times New Roman" w:hAnsi="Times New Roman"/>
                            <w:sz w:val="21"/>
                          </w:rPr>
                          <w:t>/</w:t>
                        </w:r>
                        <w:r>
                          <w:rPr>
                            <w:rFonts w:hint="eastAsia"/>
                            <w:sz w:val="21"/>
                          </w:rPr>
                          <w:t>年</w:t>
                        </w:r>
                      </w:p>
                    </w:tc>
                  </w:tr>
                  <w:tr w:rsidR="00B04AE3">
                    <w:trPr>
                      <w:trHeight w:val="312"/>
                    </w:trPr>
                    <w:tc>
                      <w:tcPr>
                        <w:tcW w:w="2230" w:type="dxa"/>
                        <w:vMerge/>
                      </w:tcPr>
                      <w:p w:rsidR="00B04AE3" w:rsidRDefault="00B04AE3">
                        <w:pPr>
                          <w:pStyle w:val="TableParagraph"/>
                          <w:jc w:val="left"/>
                          <w:rPr>
                            <w:rFonts w:ascii="Times New Roman"/>
                          </w:rPr>
                        </w:pPr>
                      </w:p>
                    </w:tc>
                    <w:tc>
                      <w:tcPr>
                        <w:tcW w:w="3906" w:type="dxa"/>
                      </w:tcPr>
                      <w:p w:rsidR="00B04AE3" w:rsidRDefault="00B04AE3">
                        <w:pPr>
                          <w:pStyle w:val="TableParagraph"/>
                          <w:spacing w:before="18"/>
                          <w:ind w:left="880" w:right="878"/>
                          <w:rPr>
                            <w:rFonts w:ascii="Times New Roman" w:eastAsia="Times New Roman"/>
                            <w:sz w:val="21"/>
                          </w:rPr>
                        </w:pPr>
                        <w:r>
                          <w:rPr>
                            <w:rFonts w:hint="eastAsia"/>
                            <w:sz w:val="21"/>
                          </w:rPr>
                          <w:t>泄漏孔径</w:t>
                        </w:r>
                        <w:r>
                          <w:rPr>
                            <w:sz w:val="21"/>
                          </w:rPr>
                          <w:t xml:space="preserve"> </w:t>
                        </w:r>
                        <w:r>
                          <w:rPr>
                            <w:rFonts w:ascii="Times New Roman" w:eastAsia="Times New Roman"/>
                            <w:sz w:val="21"/>
                          </w:rPr>
                          <w:t>10mm</w:t>
                        </w:r>
                      </w:p>
                    </w:tc>
                    <w:tc>
                      <w:tcPr>
                        <w:tcW w:w="2386" w:type="dxa"/>
                      </w:tcPr>
                      <w:p w:rsidR="00B04AE3" w:rsidRDefault="00B04AE3">
                        <w:pPr>
                          <w:pStyle w:val="TableParagraph"/>
                          <w:spacing w:before="18"/>
                          <w:ind w:left="634" w:right="628"/>
                          <w:rPr>
                            <w:sz w:val="21"/>
                          </w:rPr>
                        </w:pPr>
                        <w:r>
                          <w:rPr>
                            <w:rFonts w:ascii="Times New Roman" w:hAnsi="Times New Roman"/>
                            <w:sz w:val="21"/>
                          </w:rPr>
                          <w:t>1.00×10</w:t>
                        </w:r>
                        <w:r>
                          <w:rPr>
                            <w:rFonts w:ascii="Times New Roman" w:hAnsi="Times New Roman"/>
                            <w:position w:val="7"/>
                            <w:sz w:val="13"/>
                          </w:rPr>
                          <w:t>-5</w:t>
                        </w:r>
                        <w:r>
                          <w:rPr>
                            <w:rFonts w:ascii="Times New Roman" w:hAnsi="Times New Roman"/>
                            <w:sz w:val="21"/>
                          </w:rPr>
                          <w:t>/</w:t>
                        </w:r>
                        <w:r>
                          <w:rPr>
                            <w:rFonts w:hint="eastAsia"/>
                            <w:sz w:val="21"/>
                          </w:rPr>
                          <w:t>年</w:t>
                        </w:r>
                      </w:p>
                    </w:tc>
                  </w:tr>
                  <w:tr w:rsidR="00B04AE3">
                    <w:trPr>
                      <w:trHeight w:val="311"/>
                    </w:trPr>
                    <w:tc>
                      <w:tcPr>
                        <w:tcW w:w="2230" w:type="dxa"/>
                        <w:vMerge/>
                      </w:tcPr>
                      <w:p w:rsidR="00B04AE3" w:rsidRDefault="00B04AE3">
                        <w:pPr>
                          <w:pStyle w:val="TableParagraph"/>
                          <w:spacing w:before="18"/>
                          <w:ind w:left="668" w:right="666"/>
                          <w:rPr>
                            <w:sz w:val="21"/>
                          </w:rPr>
                        </w:pPr>
                      </w:p>
                    </w:tc>
                    <w:tc>
                      <w:tcPr>
                        <w:tcW w:w="3906" w:type="dxa"/>
                      </w:tcPr>
                      <w:p w:rsidR="00B04AE3" w:rsidRDefault="00B04AE3">
                        <w:pPr>
                          <w:pStyle w:val="TableParagraph"/>
                          <w:spacing w:before="18"/>
                          <w:ind w:left="880" w:right="876"/>
                          <w:rPr>
                            <w:rFonts w:ascii="Times New Roman" w:eastAsia="Times New Roman"/>
                            <w:b/>
                            <w:sz w:val="21"/>
                          </w:rPr>
                        </w:pPr>
                        <w:r>
                          <w:rPr>
                            <w:rFonts w:hint="eastAsia"/>
                            <w:b/>
                            <w:sz w:val="21"/>
                          </w:rPr>
                          <w:t>泄漏孔径</w:t>
                        </w:r>
                        <w:r>
                          <w:rPr>
                            <w:b/>
                            <w:sz w:val="21"/>
                          </w:rPr>
                          <w:t xml:space="preserve"> </w:t>
                        </w:r>
                        <w:r>
                          <w:rPr>
                            <w:rFonts w:ascii="Times New Roman" w:eastAsia="Times New Roman"/>
                            <w:b/>
                            <w:sz w:val="21"/>
                          </w:rPr>
                          <w:t>50mm</w:t>
                        </w:r>
                      </w:p>
                    </w:tc>
                    <w:tc>
                      <w:tcPr>
                        <w:tcW w:w="2386" w:type="dxa"/>
                      </w:tcPr>
                      <w:p w:rsidR="00B04AE3" w:rsidRDefault="00B04AE3">
                        <w:pPr>
                          <w:pStyle w:val="TableParagraph"/>
                          <w:spacing w:before="18"/>
                          <w:ind w:left="634" w:right="631"/>
                          <w:rPr>
                            <w:b/>
                            <w:sz w:val="21"/>
                          </w:rPr>
                        </w:pPr>
                        <w:r>
                          <w:rPr>
                            <w:rFonts w:ascii="Times New Roman" w:hAnsi="Times New Roman"/>
                            <w:b/>
                            <w:sz w:val="21"/>
                          </w:rPr>
                          <w:t>5.00×10</w:t>
                        </w:r>
                        <w:r>
                          <w:rPr>
                            <w:rFonts w:ascii="Times New Roman" w:hAnsi="Times New Roman"/>
                            <w:b/>
                            <w:position w:val="7"/>
                            <w:sz w:val="13"/>
                          </w:rPr>
                          <w:t>-6</w:t>
                        </w:r>
                        <w:r>
                          <w:rPr>
                            <w:rFonts w:ascii="Times New Roman" w:hAnsi="Times New Roman"/>
                            <w:b/>
                            <w:sz w:val="21"/>
                          </w:rPr>
                          <w:t>/</w:t>
                        </w:r>
                        <w:r>
                          <w:rPr>
                            <w:rFonts w:hint="eastAsia"/>
                            <w:b/>
                            <w:sz w:val="21"/>
                          </w:rPr>
                          <w:t>年</w:t>
                        </w:r>
                      </w:p>
                    </w:tc>
                  </w:tr>
                  <w:tr w:rsidR="00B04AE3">
                    <w:trPr>
                      <w:trHeight w:val="312"/>
                    </w:trPr>
                    <w:tc>
                      <w:tcPr>
                        <w:tcW w:w="2230" w:type="dxa"/>
                        <w:vMerge/>
                      </w:tcPr>
                      <w:p w:rsidR="00B04AE3" w:rsidRDefault="00B04AE3">
                        <w:pPr>
                          <w:pStyle w:val="TableParagraph"/>
                          <w:jc w:val="left"/>
                          <w:rPr>
                            <w:rFonts w:ascii="Times New Roman"/>
                          </w:rPr>
                        </w:pPr>
                      </w:p>
                    </w:tc>
                    <w:tc>
                      <w:tcPr>
                        <w:tcW w:w="3906" w:type="dxa"/>
                      </w:tcPr>
                      <w:p w:rsidR="00B04AE3" w:rsidRDefault="00B04AE3">
                        <w:pPr>
                          <w:pStyle w:val="TableParagraph"/>
                          <w:spacing w:before="18"/>
                          <w:ind w:left="880" w:right="878"/>
                          <w:rPr>
                            <w:sz w:val="21"/>
                          </w:rPr>
                        </w:pPr>
                        <w:r>
                          <w:rPr>
                            <w:rFonts w:hint="eastAsia"/>
                            <w:sz w:val="21"/>
                          </w:rPr>
                          <w:t>整体破裂</w:t>
                        </w:r>
                      </w:p>
                    </w:tc>
                    <w:tc>
                      <w:tcPr>
                        <w:tcW w:w="2386" w:type="dxa"/>
                      </w:tcPr>
                      <w:p w:rsidR="00B04AE3" w:rsidRDefault="00B04AE3">
                        <w:pPr>
                          <w:pStyle w:val="TableParagraph"/>
                          <w:spacing w:before="18"/>
                          <w:ind w:left="634" w:right="628"/>
                          <w:rPr>
                            <w:sz w:val="21"/>
                          </w:rPr>
                        </w:pPr>
                        <w:r>
                          <w:rPr>
                            <w:rFonts w:ascii="Times New Roman" w:hAnsi="Times New Roman"/>
                            <w:sz w:val="21"/>
                          </w:rPr>
                          <w:t>1.00×10</w:t>
                        </w:r>
                        <w:r>
                          <w:rPr>
                            <w:rFonts w:ascii="Times New Roman" w:hAnsi="Times New Roman"/>
                            <w:position w:val="7"/>
                            <w:sz w:val="13"/>
                          </w:rPr>
                          <w:t>-6</w:t>
                        </w:r>
                        <w:r>
                          <w:rPr>
                            <w:rFonts w:ascii="Times New Roman" w:hAnsi="Times New Roman"/>
                            <w:sz w:val="21"/>
                          </w:rPr>
                          <w:t>/</w:t>
                        </w:r>
                        <w:r>
                          <w:rPr>
                            <w:rFonts w:hint="eastAsia"/>
                            <w:sz w:val="21"/>
                          </w:rPr>
                          <w:t>年</w:t>
                        </w:r>
                      </w:p>
                    </w:tc>
                  </w:tr>
                  <w:tr w:rsidR="00B04AE3">
                    <w:trPr>
                      <w:trHeight w:val="309"/>
                    </w:trPr>
                    <w:tc>
                      <w:tcPr>
                        <w:tcW w:w="2230" w:type="dxa"/>
                        <w:vMerge/>
                      </w:tcPr>
                      <w:p w:rsidR="00B04AE3" w:rsidRDefault="00B04AE3">
                        <w:pPr>
                          <w:pStyle w:val="TableParagraph"/>
                          <w:jc w:val="left"/>
                          <w:rPr>
                            <w:rFonts w:ascii="Times New Roman"/>
                          </w:rPr>
                        </w:pPr>
                      </w:p>
                    </w:tc>
                    <w:tc>
                      <w:tcPr>
                        <w:tcW w:w="3906" w:type="dxa"/>
                      </w:tcPr>
                      <w:p w:rsidR="00B04AE3" w:rsidRDefault="00B04AE3">
                        <w:pPr>
                          <w:pStyle w:val="TableParagraph"/>
                          <w:spacing w:before="18"/>
                          <w:ind w:left="880" w:right="880"/>
                          <w:rPr>
                            <w:sz w:val="21"/>
                          </w:rPr>
                        </w:pPr>
                        <w:r>
                          <w:rPr>
                            <w:rFonts w:hint="eastAsia"/>
                            <w:sz w:val="21"/>
                          </w:rPr>
                          <w:t>整体破裂（压力容器）</w:t>
                        </w:r>
                      </w:p>
                    </w:tc>
                    <w:tc>
                      <w:tcPr>
                        <w:tcW w:w="2386" w:type="dxa"/>
                      </w:tcPr>
                      <w:p w:rsidR="00B04AE3" w:rsidRDefault="00B04AE3">
                        <w:pPr>
                          <w:pStyle w:val="TableParagraph"/>
                          <w:spacing w:before="18"/>
                          <w:ind w:left="634" w:right="628"/>
                          <w:rPr>
                            <w:sz w:val="21"/>
                          </w:rPr>
                        </w:pPr>
                        <w:r>
                          <w:rPr>
                            <w:rFonts w:ascii="Times New Roman" w:hAnsi="Times New Roman"/>
                            <w:sz w:val="21"/>
                          </w:rPr>
                          <w:t>6.50×10</w:t>
                        </w:r>
                        <w:r>
                          <w:rPr>
                            <w:rFonts w:ascii="Times New Roman" w:hAnsi="Times New Roman"/>
                            <w:position w:val="7"/>
                            <w:sz w:val="13"/>
                          </w:rPr>
                          <w:t>-5</w:t>
                        </w:r>
                        <w:r>
                          <w:rPr>
                            <w:rFonts w:ascii="Times New Roman" w:hAnsi="Times New Roman"/>
                            <w:sz w:val="21"/>
                          </w:rPr>
                          <w:t>/</w:t>
                        </w:r>
                        <w:r>
                          <w:rPr>
                            <w:rFonts w:hint="eastAsia"/>
                            <w:sz w:val="21"/>
                          </w:rPr>
                          <w:t>年</w:t>
                        </w:r>
                      </w:p>
                    </w:tc>
                  </w:tr>
                </w:tbl>
                <w:p w:rsidR="00B04AE3" w:rsidRDefault="00B04AE3">
                  <w:pPr>
                    <w:pStyle w:val="BodyText"/>
                  </w:pPr>
                </w:p>
              </w:txbxContent>
            </v:textbox>
            <w10:wrap anchorx="page"/>
          </v:shape>
        </w:pict>
      </w:r>
      <w:r>
        <w:rPr>
          <w:rFonts w:hint="eastAsia"/>
          <w:spacing w:val="-3"/>
          <w:sz w:val="24"/>
        </w:rPr>
        <w:t>引用环境风险评价实用技术和方法（</w:t>
      </w:r>
      <w:r>
        <w:rPr>
          <w:rFonts w:hint="eastAsia"/>
          <w:sz w:val="24"/>
        </w:rPr>
        <w:t>胡二邦</w:t>
      </w:r>
      <w:r>
        <w:rPr>
          <w:rFonts w:hint="eastAsia"/>
          <w:spacing w:val="-13"/>
          <w:sz w:val="24"/>
        </w:rPr>
        <w:t>）</w:t>
      </w:r>
      <w:r>
        <w:rPr>
          <w:rFonts w:ascii="Times New Roman" w:eastAsia="Times New Roman"/>
          <w:spacing w:val="-13"/>
          <w:sz w:val="24"/>
        </w:rPr>
        <w:t xml:space="preserve">83 </w:t>
      </w:r>
      <w:r>
        <w:rPr>
          <w:rFonts w:hint="eastAsia"/>
          <w:spacing w:val="-12"/>
          <w:sz w:val="24"/>
        </w:rPr>
        <w:t>页的统计资料，见表</w:t>
      </w:r>
      <w:r>
        <w:rPr>
          <w:spacing w:val="-12"/>
          <w:sz w:val="24"/>
        </w:rPr>
        <w:t xml:space="preserve"> </w:t>
      </w:r>
      <w:r>
        <w:rPr>
          <w:rFonts w:ascii="Times New Roman" w:eastAsia="Times New Roman"/>
          <w:sz w:val="24"/>
        </w:rPr>
        <w:t>2.5-3</w:t>
      </w:r>
      <w:r>
        <w:rPr>
          <w:rFonts w:hint="eastAsia"/>
          <w:spacing w:val="-14"/>
          <w:sz w:val="24"/>
        </w:rPr>
        <w:t>。</w:t>
      </w:r>
      <w:r>
        <w:rPr>
          <w:rFonts w:hint="eastAsia"/>
          <w:b/>
          <w:spacing w:val="-31"/>
          <w:sz w:val="24"/>
        </w:rPr>
        <w:t>表</w:t>
      </w:r>
      <w:r>
        <w:rPr>
          <w:b/>
          <w:spacing w:val="-31"/>
          <w:sz w:val="24"/>
        </w:rPr>
        <w:t xml:space="preserve"> </w:t>
      </w:r>
      <w:r>
        <w:rPr>
          <w:rFonts w:ascii="Times New Roman" w:eastAsia="Times New Roman"/>
          <w:b/>
          <w:sz w:val="24"/>
        </w:rPr>
        <w:t xml:space="preserve">2.5-3  </w:t>
      </w:r>
      <w:r>
        <w:rPr>
          <w:rFonts w:hint="eastAsia"/>
          <w:b/>
          <w:sz w:val="24"/>
        </w:rPr>
        <w:t>用于重大危险源定量风险评价的泄漏概率表</w:t>
      </w: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spacing w:before="20" w:line="360" w:lineRule="auto"/>
        <w:ind w:left="334" w:right="334" w:firstLine="482"/>
        <w:jc w:val="both"/>
        <w:rPr>
          <w:spacing w:val="-6"/>
          <w:szCs w:val="22"/>
        </w:rPr>
      </w:pPr>
    </w:p>
    <w:p w:rsidR="00B04AE3" w:rsidRDefault="00B04AE3">
      <w:pPr>
        <w:pStyle w:val="BodyText"/>
        <w:spacing w:before="20" w:line="360" w:lineRule="auto"/>
        <w:ind w:left="334" w:right="334" w:firstLine="482"/>
        <w:jc w:val="both"/>
        <w:rPr>
          <w:spacing w:val="-6"/>
          <w:szCs w:val="22"/>
        </w:rPr>
      </w:pPr>
      <w:r>
        <w:rPr>
          <w:rFonts w:hint="eastAsia"/>
          <w:spacing w:val="-6"/>
          <w:szCs w:val="22"/>
        </w:rPr>
        <w:t>根据公司风险因素识别和风险事故调查与分析，结合本公司生产特点以及采取的安全防范措施，以偏安角度类比，南昌海立电器有限公司最大可信事故确定为储罐、管道、阀门等破损造成的泄漏事故。本次评估泄漏事故主要考虑硫酸、氢氧化钠储罐管道接口</w:t>
      </w:r>
      <w:r>
        <w:rPr>
          <w:spacing w:val="-6"/>
          <w:szCs w:val="22"/>
        </w:rPr>
        <w:t>100%</w:t>
      </w:r>
      <w:r>
        <w:rPr>
          <w:rFonts w:hint="eastAsia"/>
          <w:spacing w:val="-6"/>
          <w:szCs w:val="22"/>
        </w:rPr>
        <w:t>破裂为最大可信事故，根据上表及公司的装置情况，本公司最大可信事故为硫酸储罐泄漏及液氮泄漏事故，概率为</w:t>
      </w:r>
      <w:r>
        <w:rPr>
          <w:spacing w:val="-6"/>
          <w:szCs w:val="22"/>
        </w:rPr>
        <w:t xml:space="preserve"> 5.0</w:t>
      </w:r>
      <w:r>
        <w:rPr>
          <w:rFonts w:hint="eastAsia"/>
          <w:spacing w:val="-6"/>
          <w:szCs w:val="22"/>
        </w:rPr>
        <w:t>×</w:t>
      </w:r>
      <w:r>
        <w:rPr>
          <w:spacing w:val="-6"/>
          <w:szCs w:val="22"/>
        </w:rPr>
        <w:t>10-6/</w:t>
      </w:r>
      <w:r>
        <w:rPr>
          <w:rFonts w:hint="eastAsia"/>
          <w:spacing w:val="-6"/>
          <w:szCs w:val="22"/>
        </w:rPr>
        <w:t>年。</w:t>
      </w:r>
    </w:p>
    <w:p w:rsidR="00B04AE3" w:rsidRDefault="00B04AE3">
      <w:pPr>
        <w:pStyle w:val="Heading3"/>
        <w:numPr>
          <w:ilvl w:val="2"/>
          <w:numId w:val="41"/>
        </w:numPr>
        <w:tabs>
          <w:tab w:val="left" w:pos="1340"/>
        </w:tabs>
        <w:spacing w:line="303" w:lineRule="exact"/>
        <w:ind w:left="1340" w:hanging="540"/>
      </w:pPr>
      <w:bookmarkStart w:id="283" w:name="2.5.5火灾、爆炸、泄漏等事故状态下的伴生次生污染情况"/>
      <w:bookmarkStart w:id="284" w:name="_bookmark89"/>
      <w:bookmarkEnd w:id="283"/>
      <w:bookmarkEnd w:id="284"/>
      <w:r>
        <w:rPr>
          <w:rFonts w:hint="eastAsia"/>
          <w:w w:val="95"/>
        </w:rPr>
        <w:t>火灾、爆炸、泄漏等事故状态下的伴生次生污染情况</w:t>
      </w:r>
    </w:p>
    <w:p w:rsidR="00B04AE3" w:rsidRDefault="00B04AE3">
      <w:pPr>
        <w:pStyle w:val="BodyText"/>
        <w:spacing w:before="9"/>
        <w:rPr>
          <w:b/>
          <w:sz w:val="18"/>
        </w:rPr>
      </w:pP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、火灾爆炸事故中的伴生次生污染情况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本公司生产装置在发生火灾爆炸事故时，可能的次生危险主要包括救火过程产生的消防污水，如没有得到有效控制，可能会进入清净下水或雨水系统，造成附近的水体污染，主要污染物为</w:t>
      </w:r>
      <w:r>
        <w:rPr>
          <w:spacing w:val="-6"/>
          <w:szCs w:val="22"/>
        </w:rPr>
        <w:t xml:space="preserve"> COD </w:t>
      </w:r>
      <w:r>
        <w:rPr>
          <w:rFonts w:hint="eastAsia"/>
          <w:spacing w:val="-6"/>
          <w:szCs w:val="22"/>
        </w:rPr>
        <w:t>和氨氮。</w:t>
      </w:r>
    </w:p>
    <w:p w:rsidR="00B04AE3" w:rsidRDefault="00B04AE3">
      <w:pPr>
        <w:pStyle w:val="BodyText"/>
        <w:spacing w:before="20" w:line="360" w:lineRule="auto"/>
        <w:ind w:left="334" w:right="334" w:firstLine="482"/>
        <w:jc w:val="both"/>
        <w:rPr>
          <w:spacing w:val="-6"/>
          <w:szCs w:val="22"/>
        </w:rPr>
      </w:pPr>
      <w:r>
        <w:rPr>
          <w:rFonts w:hint="eastAsia"/>
          <w:spacing w:val="-6"/>
          <w:szCs w:val="22"/>
        </w:rPr>
        <w:t>同时火灾爆炸后破坏地表覆盖物，会有部分液体物料、受污染消防水进入土壤，甚至污染地下水。火灾、爆炸时产生的挥发气体影响环境质量，对职工及附近居民的身体健康造成损害。火灾、爆炸事故下产生的污染物数量受诸多因素影响，难以进行定量计算。但公司对厂区内的主体工程和相关配套工程都采取了防渗措施，生产装置区和罐区设有监控措施，可以第一时间发现险情，迅速进行救援。</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、泄漏事故中的伴生次生污染情况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本公司罐区或装置区发生泄漏情况，产生的废水，若处理不当则会漫流出厂，</w:t>
      </w:r>
      <w:r>
        <w:rPr>
          <w:spacing w:val="-6"/>
          <w:szCs w:val="22"/>
        </w:rPr>
        <w:t xml:space="preserve"> </w:t>
      </w:r>
      <w:r>
        <w:rPr>
          <w:rFonts w:hint="eastAsia"/>
          <w:spacing w:val="-6"/>
          <w:szCs w:val="22"/>
        </w:rPr>
        <w:t>对周边河流及土壤产生次生污染影响，引起水体或土壤污染，导致植物枯萎、动物死亡等严重后果；若挥发性的化学原料泄漏，会造成周围大气环境的污染，对厂区工作员工和周围居民造成影响。因此，要求公司严格管理厂区内危险装置，</w:t>
      </w:r>
      <w:r>
        <w:rPr>
          <w:spacing w:val="-6"/>
          <w:szCs w:val="22"/>
        </w:rPr>
        <w:t xml:space="preserve"> </w:t>
      </w:r>
      <w:r>
        <w:rPr>
          <w:rFonts w:hint="eastAsia"/>
          <w:spacing w:val="-6"/>
          <w:szCs w:val="22"/>
        </w:rPr>
        <w:t>减少事故发生概率，完善事故处理措施，确保事故发生时能够快速有效处理。同时事故发生时，应立即向当地消防部门求助，开展事故抢险和救援工作，确保将事故影响控制在厂区内，不对周围环境造成影响。根据风险评估的结论，液氮、硫酸发生泄漏时会出现半致死浓度，需要尽快进行堵漏、收集，并进行隔离和交通管制。</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、非正常工况下次生污染情况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公司非正常工况主要指环保治理设施发生故障情况，根据非正常工况下污染物排放分析，此时会造成废气超标排放，此时产生的污染物主要包括二氧化硫、氮氧化物、硫酸雾、乳化油雾、氨等，非正常工况影响因素太多，无法准确定量计算污染物排放浓度。为防止非正常工况下对大气环境造成污染，公司应立即安排停产，并对发生故障的环保设施进行检修，待环保设施恢复正常后再开始生产。</w:t>
      </w:r>
    </w:p>
    <w:p w:rsidR="00B04AE3" w:rsidRDefault="00B04AE3">
      <w:pPr>
        <w:pStyle w:val="Heading2"/>
        <w:numPr>
          <w:ilvl w:val="1"/>
          <w:numId w:val="41"/>
        </w:numPr>
        <w:tabs>
          <w:tab w:val="left" w:pos="1360"/>
        </w:tabs>
        <w:spacing w:before="191"/>
        <w:ind w:hanging="559"/>
      </w:pPr>
      <w:bookmarkStart w:id="285" w:name="2.6_生产工艺及设备"/>
      <w:bookmarkStart w:id="286" w:name="_bookmark90"/>
      <w:bookmarkEnd w:id="285"/>
      <w:bookmarkEnd w:id="286"/>
      <w:r>
        <w:rPr>
          <w:rFonts w:hint="eastAsia"/>
        </w:rPr>
        <w:t>生产工艺及设备</w:t>
      </w:r>
    </w:p>
    <w:p w:rsidR="00B04AE3" w:rsidRDefault="00B04AE3">
      <w:pPr>
        <w:pStyle w:val="Heading3"/>
        <w:numPr>
          <w:ilvl w:val="2"/>
          <w:numId w:val="41"/>
        </w:numPr>
        <w:tabs>
          <w:tab w:val="left" w:pos="1400"/>
        </w:tabs>
      </w:pPr>
      <w:bookmarkStart w:id="287" w:name="2.6.1_生产工艺"/>
      <w:bookmarkStart w:id="288" w:name="_bookmark91"/>
      <w:bookmarkEnd w:id="287"/>
      <w:bookmarkEnd w:id="288"/>
      <w:r>
        <w:rPr>
          <w:rFonts w:hint="eastAsia"/>
        </w:rPr>
        <w:t>生产工艺</w:t>
      </w:r>
    </w:p>
    <w:p w:rsidR="00B04AE3" w:rsidRDefault="00B04AE3">
      <w:pPr>
        <w:pStyle w:val="BodyText"/>
        <w:spacing w:before="20" w:line="360" w:lineRule="auto"/>
        <w:ind w:left="334" w:right="334" w:firstLine="482"/>
        <w:jc w:val="both"/>
        <w:rPr>
          <w:spacing w:val="-6"/>
          <w:szCs w:val="22"/>
        </w:rPr>
      </w:pPr>
      <w:r>
        <w:rPr>
          <w:rFonts w:hint="eastAsia"/>
          <w:spacing w:val="-6"/>
          <w:szCs w:val="22"/>
        </w:rPr>
        <w:t>项目分三期进行，一期主要进行空调压缩机的装配，主要生产过程为将外协厂提供的主要构件及本厂生产的部分加工件进行装配，然后进行涂装、干燥、测试并注油，最后得到成品。二期新增一期压缩机配套的机械加工、电机、铁芯生产线，生产空调压缩机的各种构件，主要生产工艺由铸造加工、机械切削加工、冲压焊接加工、电机加工、装配加工及测试这几部分组成。其生产过程为铸件、粉末冶金件进行机加工；钢板卷材冲压成形并进行清洗焊接；硅钢板、漆包线和部分外购件进行冲片热处理绕线组装；最后将各部分已进行初步加工的组件进行压缩机装配；然后涂装干燥；最后进行测试注油，得到成品。三期扩展至</w:t>
      </w:r>
      <w:r>
        <w:rPr>
          <w:spacing w:val="-6"/>
          <w:szCs w:val="22"/>
        </w:rPr>
        <w:t>600</w:t>
      </w:r>
      <w:r>
        <w:rPr>
          <w:rFonts w:hint="eastAsia"/>
          <w:spacing w:val="-6"/>
          <w:szCs w:val="22"/>
        </w:rPr>
        <w:t>万台空调压缩机的生产能力，增加</w:t>
      </w:r>
      <w:r>
        <w:rPr>
          <w:spacing w:val="-6"/>
          <w:szCs w:val="22"/>
        </w:rPr>
        <w:t>BSA</w:t>
      </w:r>
      <w:r>
        <w:rPr>
          <w:rFonts w:hint="eastAsia"/>
          <w:spacing w:val="-6"/>
          <w:szCs w:val="22"/>
        </w:rPr>
        <w:t>、</w:t>
      </w:r>
      <w:r>
        <w:rPr>
          <w:spacing w:val="-6"/>
          <w:szCs w:val="22"/>
        </w:rPr>
        <w:t>ASD</w:t>
      </w:r>
      <w:r>
        <w:rPr>
          <w:rFonts w:hint="eastAsia"/>
          <w:spacing w:val="-6"/>
          <w:szCs w:val="22"/>
        </w:rPr>
        <w:t>、</w:t>
      </w:r>
      <w:r>
        <w:rPr>
          <w:spacing w:val="-6"/>
          <w:szCs w:val="22"/>
        </w:rPr>
        <w:t>ASC</w:t>
      </w:r>
      <w:r>
        <w:rPr>
          <w:rFonts w:hint="eastAsia"/>
          <w:spacing w:val="-6"/>
          <w:szCs w:val="22"/>
        </w:rPr>
        <w:t>等系列压缩机</w:t>
      </w:r>
      <w:r>
        <w:rPr>
          <w:spacing w:val="-6"/>
          <w:szCs w:val="22"/>
        </w:rPr>
        <w:t>400</w:t>
      </w:r>
      <w:r>
        <w:rPr>
          <w:rFonts w:hint="eastAsia"/>
          <w:spacing w:val="-6"/>
          <w:szCs w:val="22"/>
        </w:rPr>
        <w:t>万台。</w:t>
      </w:r>
    </w:p>
    <w:p w:rsidR="00B04AE3" w:rsidRDefault="00B04AE3">
      <w:pPr>
        <w:pStyle w:val="BodyText"/>
        <w:rPr>
          <w:sz w:val="20"/>
        </w:rPr>
      </w:pPr>
    </w:p>
    <w:p w:rsidR="00B04AE3" w:rsidRDefault="00B04AE3">
      <w:pPr>
        <w:pStyle w:val="BodyText"/>
        <w:spacing w:before="8"/>
        <w:rPr>
          <w:sz w:val="11"/>
        </w:rPr>
      </w:pPr>
    </w:p>
    <w:p w:rsidR="00B04AE3" w:rsidRDefault="00B04AE3">
      <w:pPr>
        <w:pStyle w:val="BodyText"/>
        <w:ind w:left="1418"/>
        <w:rPr>
          <w:sz w:val="20"/>
        </w:rPr>
      </w:pPr>
    </w:p>
    <w:p w:rsidR="00B04AE3" w:rsidRDefault="00B04AE3">
      <w:pPr>
        <w:pStyle w:val="BodyText"/>
        <w:spacing w:before="12"/>
        <w:rPr>
          <w:sz w:val="19"/>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sectPr w:rsidR="00B04AE3">
          <w:footerReference w:type="default" r:id="rId68"/>
          <w:pgSz w:w="11910" w:h="16840"/>
          <w:pgMar w:top="1360" w:right="1000" w:bottom="900" w:left="1000" w:header="746" w:footer="720" w:gutter="0"/>
          <w:cols w:space="720"/>
        </w:sect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jc w:val="center"/>
        <w:rPr>
          <w:b/>
          <w:sz w:val="11"/>
        </w:rPr>
      </w:pPr>
      <w:r w:rsidRPr="00E43F4D">
        <w:rPr>
          <w:noProof/>
          <w:lang w:val="en-US"/>
        </w:rPr>
        <w:pict>
          <v:shape id="图片 3" o:spid="_x0000_i1056" type="#_x0000_t75" alt="1" style="width:607.5pt;height:449.25pt;visibility:visible">
            <v:imagedata r:id="rId19" o:title=""/>
          </v:shape>
        </w:pict>
      </w: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pPr>
    </w:p>
    <w:p w:rsidR="00B04AE3" w:rsidRDefault="00B04AE3">
      <w:pPr>
        <w:pStyle w:val="BodyText"/>
        <w:spacing w:before="5" w:after="1"/>
        <w:rPr>
          <w:b/>
          <w:sz w:val="11"/>
        </w:rPr>
        <w:sectPr w:rsidR="00B04AE3">
          <w:pgSz w:w="16840" w:h="11910" w:orient="landscape"/>
          <w:pgMar w:top="1000" w:right="1360" w:bottom="1000" w:left="900" w:header="746" w:footer="720" w:gutter="0"/>
          <w:cols w:space="720"/>
        </w:sectPr>
      </w:pPr>
    </w:p>
    <w:p w:rsidR="00B04AE3" w:rsidRDefault="00B04AE3">
      <w:pPr>
        <w:pStyle w:val="Heading3"/>
        <w:numPr>
          <w:ilvl w:val="2"/>
          <w:numId w:val="41"/>
        </w:numPr>
        <w:tabs>
          <w:tab w:val="left" w:pos="1400"/>
        </w:tabs>
        <w:spacing w:before="102"/>
      </w:pPr>
      <w:bookmarkStart w:id="289" w:name="2.6.2_主要污染物产生及治理措施"/>
      <w:bookmarkStart w:id="290" w:name="_bookmark92"/>
      <w:bookmarkEnd w:id="289"/>
      <w:bookmarkEnd w:id="290"/>
      <w:r>
        <w:rPr>
          <w:rFonts w:hint="eastAsia"/>
        </w:rPr>
        <w:t>主要污染物产生及治理措施</w:t>
      </w:r>
    </w:p>
    <w:p w:rsidR="00B04AE3" w:rsidRDefault="00B04AE3">
      <w:pPr>
        <w:spacing w:before="161"/>
        <w:ind w:left="1280"/>
        <w:rPr>
          <w:b/>
          <w:sz w:val="24"/>
        </w:rPr>
      </w:pPr>
      <w:r>
        <w:rPr>
          <w:rFonts w:ascii="Times New Roman" w:eastAsia="Times New Roman"/>
          <w:b/>
          <w:sz w:val="24"/>
        </w:rPr>
        <w:t>1</w:t>
      </w:r>
      <w:r>
        <w:rPr>
          <w:rFonts w:hint="eastAsia"/>
          <w:b/>
          <w:sz w:val="24"/>
        </w:rPr>
        <w:t>、废气</w:t>
      </w:r>
    </w:p>
    <w:p w:rsidR="00B04AE3" w:rsidRDefault="00B04AE3">
      <w:pPr>
        <w:pStyle w:val="BodyText"/>
        <w:spacing w:before="20" w:line="360" w:lineRule="auto"/>
        <w:ind w:left="334" w:right="334" w:firstLine="482"/>
        <w:jc w:val="both"/>
        <w:rPr>
          <w:spacing w:val="-6"/>
          <w:szCs w:val="22"/>
        </w:rPr>
      </w:pPr>
      <w:r>
        <w:rPr>
          <w:rFonts w:hint="eastAsia"/>
          <w:spacing w:val="-6"/>
          <w:szCs w:val="22"/>
        </w:rPr>
        <w:t>①工艺废气主要是设备烟气</w:t>
      </w:r>
      <w:r>
        <w:rPr>
          <w:spacing w:val="-6"/>
          <w:szCs w:val="22"/>
        </w:rPr>
        <w:t>(</w:t>
      </w:r>
      <w:r>
        <w:rPr>
          <w:rFonts w:hint="eastAsia"/>
          <w:spacing w:val="-6"/>
          <w:szCs w:val="22"/>
        </w:rPr>
        <w:t>设备用天然气燃烧产生的烟气</w:t>
      </w:r>
      <w:r>
        <w:rPr>
          <w:spacing w:val="-6"/>
          <w:szCs w:val="22"/>
        </w:rPr>
        <w:t>)</w:t>
      </w:r>
      <w:r>
        <w:rPr>
          <w:rFonts w:hint="eastAsia"/>
          <w:spacing w:val="-6"/>
          <w:szCs w:val="22"/>
        </w:rPr>
        <w:t>，来自机加工车间内高速磨削机床的油雾，来自焊接机的焊接烟气</w:t>
      </w:r>
      <w:r>
        <w:rPr>
          <w:spacing w:val="-6"/>
          <w:szCs w:val="22"/>
        </w:rPr>
        <w:t>(</w:t>
      </w:r>
      <w:r>
        <w:rPr>
          <w:rFonts w:hint="eastAsia"/>
          <w:spacing w:val="-6"/>
          <w:szCs w:val="22"/>
        </w:rPr>
        <w:t>项目油雾气、烟气排放口主要集中在主厂房楼顶，位于厂区的东北角</w:t>
      </w:r>
      <w:r>
        <w:rPr>
          <w:spacing w:val="-6"/>
          <w:szCs w:val="22"/>
        </w:rPr>
        <w:t>)</w:t>
      </w:r>
      <w:r>
        <w:rPr>
          <w:rFonts w:hint="eastAsia"/>
          <w:spacing w:val="-6"/>
          <w:szCs w:val="22"/>
        </w:rPr>
        <w:t>，来自于清洗机的弱碱性和弱酸性槽液蒸发的酸碱蒸汽和来自总成、涂装线区的废热气。</w:t>
      </w:r>
    </w:p>
    <w:p w:rsidR="00B04AE3" w:rsidRDefault="00B04AE3">
      <w:pPr>
        <w:pStyle w:val="BodyText"/>
        <w:spacing w:before="20" w:line="360" w:lineRule="auto"/>
        <w:ind w:left="334" w:right="334" w:firstLine="482"/>
        <w:jc w:val="both"/>
        <w:rPr>
          <w:spacing w:val="-6"/>
          <w:szCs w:val="22"/>
        </w:rPr>
      </w:pPr>
      <w:r>
        <w:rPr>
          <w:rFonts w:hint="eastAsia"/>
          <w:spacing w:val="-6"/>
          <w:szCs w:val="22"/>
        </w:rPr>
        <w:t>②设备烟气由排风机抽出，烟气直接经</w:t>
      </w:r>
      <w:r>
        <w:rPr>
          <w:spacing w:val="-6"/>
          <w:szCs w:val="22"/>
        </w:rPr>
        <w:t>15</w:t>
      </w:r>
      <w:r>
        <w:rPr>
          <w:rFonts w:hint="eastAsia"/>
          <w:spacing w:val="-6"/>
          <w:szCs w:val="22"/>
        </w:rPr>
        <w:t>米高排气筒排放，设备烟气污染物产生浓度符合</w:t>
      </w:r>
      <w:r>
        <w:rPr>
          <w:spacing w:val="-6"/>
          <w:szCs w:val="22"/>
        </w:rPr>
        <w:t>GB16297-1996</w:t>
      </w:r>
      <w:r>
        <w:rPr>
          <w:rFonts w:hint="eastAsia"/>
          <w:spacing w:val="-6"/>
          <w:szCs w:val="22"/>
        </w:rPr>
        <w:t>《大气污染物综合排放标准》表</w:t>
      </w:r>
      <w:r>
        <w:rPr>
          <w:spacing w:val="-6"/>
          <w:szCs w:val="22"/>
        </w:rPr>
        <w:t>2</w:t>
      </w:r>
      <w:r>
        <w:rPr>
          <w:rFonts w:hint="eastAsia"/>
          <w:spacing w:val="-6"/>
          <w:szCs w:val="22"/>
        </w:rPr>
        <w:t>中二级要求</w:t>
      </w:r>
    </w:p>
    <w:p w:rsidR="00B04AE3" w:rsidRDefault="00B04AE3">
      <w:pPr>
        <w:pStyle w:val="BodyText"/>
        <w:spacing w:before="20" w:line="360" w:lineRule="auto"/>
        <w:ind w:left="334" w:right="334" w:firstLine="482"/>
        <w:jc w:val="both"/>
        <w:rPr>
          <w:spacing w:val="-6"/>
          <w:szCs w:val="22"/>
        </w:rPr>
      </w:pPr>
      <w:r>
        <w:rPr>
          <w:rFonts w:hint="eastAsia"/>
          <w:spacing w:val="-6"/>
          <w:szCs w:val="22"/>
        </w:rPr>
        <w:t>③项目油雾采用油雾处理装置就地捕捉油雾，使其不散发在车间内，该油雾处理装置净化效率可达</w:t>
      </w:r>
      <w:r>
        <w:rPr>
          <w:spacing w:val="-6"/>
          <w:szCs w:val="22"/>
        </w:rPr>
        <w:t>90%</w:t>
      </w:r>
      <w:r>
        <w:rPr>
          <w:rFonts w:hint="eastAsia"/>
          <w:spacing w:val="-6"/>
          <w:szCs w:val="22"/>
        </w:rPr>
        <w:t>，采用离心机和排风罩把烟气排至室外，烟气直接经</w:t>
      </w:r>
      <w:r>
        <w:rPr>
          <w:spacing w:val="-6"/>
          <w:szCs w:val="22"/>
        </w:rPr>
        <w:t>15</w:t>
      </w:r>
      <w:r>
        <w:rPr>
          <w:rFonts w:hint="eastAsia"/>
          <w:spacing w:val="-6"/>
          <w:szCs w:val="22"/>
        </w:rPr>
        <w:t>米高排气筒排放，满足《大气污染物综合排放标准》</w:t>
      </w:r>
      <w:r>
        <w:rPr>
          <w:spacing w:val="-6"/>
          <w:szCs w:val="22"/>
        </w:rPr>
        <w:t>(GB16297-1996)</w:t>
      </w:r>
      <w:r>
        <w:rPr>
          <w:rFonts w:hint="eastAsia"/>
          <w:spacing w:val="-6"/>
          <w:szCs w:val="22"/>
        </w:rPr>
        <w:t>表</w:t>
      </w:r>
      <w:r>
        <w:rPr>
          <w:spacing w:val="-6"/>
          <w:szCs w:val="22"/>
        </w:rPr>
        <w:t>2</w:t>
      </w:r>
      <w:r>
        <w:rPr>
          <w:rFonts w:hint="eastAsia"/>
          <w:spacing w:val="-6"/>
          <w:szCs w:val="22"/>
        </w:rPr>
        <w:t>中二级要求。</w:t>
      </w:r>
    </w:p>
    <w:p w:rsidR="00B04AE3" w:rsidRDefault="00B04AE3">
      <w:pPr>
        <w:pStyle w:val="BodyText"/>
        <w:spacing w:before="20" w:line="360" w:lineRule="auto"/>
        <w:ind w:left="334" w:right="334" w:firstLine="482"/>
        <w:jc w:val="both"/>
        <w:rPr>
          <w:spacing w:val="-6"/>
          <w:szCs w:val="22"/>
        </w:rPr>
      </w:pPr>
      <w:r>
        <w:rPr>
          <w:rFonts w:hint="eastAsia"/>
          <w:spacing w:val="-6"/>
          <w:szCs w:val="22"/>
        </w:rPr>
        <w:t>④清洗机的弱酸性和弱碱性槽液蒸发废气，采用吸风罩抽吸至室外高点稀释排放，排气出口离地高度</w:t>
      </w:r>
      <w:r>
        <w:rPr>
          <w:spacing w:val="-6"/>
          <w:szCs w:val="22"/>
        </w:rPr>
        <w:t>15m</w:t>
      </w:r>
      <w:r>
        <w:rPr>
          <w:rFonts w:hint="eastAsia"/>
          <w:spacing w:val="-6"/>
          <w:szCs w:val="22"/>
        </w:rPr>
        <w:t>，满足《大气污染物综合排放标准》</w:t>
      </w:r>
      <w:r>
        <w:rPr>
          <w:spacing w:val="-6"/>
          <w:szCs w:val="22"/>
        </w:rPr>
        <w:t>(GB16297-1996)</w:t>
      </w:r>
      <w:r>
        <w:rPr>
          <w:rFonts w:hint="eastAsia"/>
          <w:spacing w:val="-6"/>
          <w:szCs w:val="22"/>
        </w:rPr>
        <w:t>表</w:t>
      </w:r>
      <w:r>
        <w:rPr>
          <w:spacing w:val="-6"/>
          <w:szCs w:val="22"/>
        </w:rPr>
        <w:t>2</w:t>
      </w:r>
      <w:r>
        <w:rPr>
          <w:rFonts w:hint="eastAsia"/>
          <w:spacing w:val="-6"/>
          <w:szCs w:val="22"/>
        </w:rPr>
        <w:t>中二级要求。</w:t>
      </w:r>
    </w:p>
    <w:p w:rsidR="00B04AE3" w:rsidRDefault="00B04AE3">
      <w:pPr>
        <w:pStyle w:val="BodyText"/>
        <w:spacing w:before="20" w:line="360" w:lineRule="auto"/>
        <w:ind w:left="334" w:right="334" w:firstLine="482"/>
        <w:jc w:val="both"/>
        <w:rPr>
          <w:spacing w:val="-6"/>
          <w:szCs w:val="22"/>
        </w:rPr>
      </w:pPr>
      <w:r>
        <w:rPr>
          <w:rFonts w:hint="eastAsia"/>
          <w:spacing w:val="-6"/>
          <w:szCs w:val="22"/>
        </w:rPr>
        <w:t>⑤在总成、涂装线区的废热气在车间屋顶安装风机，对车间进行换气以降低车间温度。各类废气经处理后满足《大气污染物综合排放标准》</w:t>
      </w:r>
      <w:r>
        <w:rPr>
          <w:spacing w:val="-6"/>
          <w:szCs w:val="22"/>
        </w:rPr>
        <w:t>(GB16297-1996)</w:t>
      </w:r>
      <w:r>
        <w:rPr>
          <w:rFonts w:hint="eastAsia"/>
          <w:spacing w:val="-6"/>
          <w:szCs w:val="22"/>
        </w:rPr>
        <w:t>表</w:t>
      </w:r>
      <w:r>
        <w:rPr>
          <w:spacing w:val="-6"/>
          <w:szCs w:val="22"/>
        </w:rPr>
        <w:t>2</w:t>
      </w:r>
      <w:r>
        <w:rPr>
          <w:rFonts w:hint="eastAsia"/>
          <w:spacing w:val="-6"/>
          <w:szCs w:val="22"/>
        </w:rPr>
        <w:t>中二级要求。</w:t>
      </w:r>
    </w:p>
    <w:p w:rsidR="00B04AE3" w:rsidRDefault="00B04AE3">
      <w:pPr>
        <w:pStyle w:val="BodyText"/>
        <w:spacing w:before="20" w:line="360" w:lineRule="auto"/>
        <w:ind w:left="334" w:right="334" w:firstLine="482"/>
        <w:jc w:val="both"/>
        <w:rPr>
          <w:spacing w:val="-6"/>
          <w:szCs w:val="22"/>
        </w:rPr>
      </w:pPr>
      <w:r>
        <w:rPr>
          <w:rFonts w:hint="eastAsia"/>
          <w:spacing w:val="-6"/>
          <w:szCs w:val="22"/>
        </w:rPr>
        <w:t>⑥项目食堂油烟采用静电式油烟净化器对食堂油烟进行治理，满足</w:t>
      </w:r>
      <w:r>
        <w:rPr>
          <w:spacing w:val="-6"/>
          <w:szCs w:val="22"/>
        </w:rPr>
        <w:t>GB18483-2001</w:t>
      </w:r>
      <w:r>
        <w:rPr>
          <w:rFonts w:hint="eastAsia"/>
          <w:spacing w:val="-6"/>
          <w:szCs w:val="22"/>
        </w:rPr>
        <w:t>《饮食业油烟排放标准</w:t>
      </w:r>
      <w:r>
        <w:rPr>
          <w:spacing w:val="-6"/>
          <w:szCs w:val="22"/>
        </w:rPr>
        <w:t>(</w:t>
      </w:r>
      <w:r>
        <w:rPr>
          <w:rFonts w:hint="eastAsia"/>
          <w:spacing w:val="-6"/>
          <w:szCs w:val="22"/>
        </w:rPr>
        <w:t>试行</w:t>
      </w:r>
      <w:r>
        <w:rPr>
          <w:spacing w:val="-6"/>
          <w:szCs w:val="22"/>
        </w:rPr>
        <w:t>)</w:t>
      </w:r>
      <w:r>
        <w:rPr>
          <w:rFonts w:hint="eastAsia"/>
          <w:spacing w:val="-6"/>
          <w:szCs w:val="22"/>
        </w:rPr>
        <w:t>》要求，对项目周围环境空气质量影响不大。</w:t>
      </w:r>
    </w:p>
    <w:p w:rsidR="00B04AE3" w:rsidRDefault="00B04AE3">
      <w:pPr>
        <w:ind w:left="1280"/>
        <w:rPr>
          <w:b/>
          <w:sz w:val="24"/>
        </w:rPr>
      </w:pPr>
      <w:r>
        <w:rPr>
          <w:rFonts w:ascii="Times New Roman" w:eastAsia="Times New Roman"/>
          <w:b/>
          <w:sz w:val="24"/>
        </w:rPr>
        <w:t>2</w:t>
      </w:r>
      <w:r>
        <w:rPr>
          <w:rFonts w:hint="eastAsia"/>
          <w:b/>
          <w:sz w:val="24"/>
        </w:rPr>
        <w:t>、废水</w:t>
      </w:r>
    </w:p>
    <w:p w:rsidR="00B04AE3" w:rsidRDefault="00B04AE3">
      <w:pPr>
        <w:pStyle w:val="BodyText"/>
        <w:spacing w:before="20" w:line="360" w:lineRule="auto"/>
        <w:ind w:left="334" w:right="334" w:firstLine="482"/>
        <w:jc w:val="both"/>
        <w:rPr>
          <w:spacing w:val="-6"/>
          <w:szCs w:val="22"/>
        </w:rPr>
      </w:pPr>
      <w:r>
        <w:rPr>
          <w:rFonts w:hint="eastAsia"/>
          <w:spacing w:val="-6"/>
          <w:szCs w:val="22"/>
        </w:rPr>
        <w:t>废水主要是生产废水和生活污水，生产废水包括为：槽液废水、乳化液、清洗废水。乳化液废液为危险固废，送江西省危险废物处置中心厂区，槽液废水采用间歇式化学法先进行预处理，再与清洗废水混合经絮凝</w:t>
      </w:r>
      <w:r>
        <w:rPr>
          <w:spacing w:val="-6"/>
          <w:szCs w:val="22"/>
        </w:rPr>
        <w:t>+</w:t>
      </w:r>
      <w:r>
        <w:rPr>
          <w:rFonts w:hint="eastAsia"/>
          <w:spacing w:val="-6"/>
          <w:szCs w:val="22"/>
        </w:rPr>
        <w:t>气浮</w:t>
      </w:r>
      <w:r>
        <w:rPr>
          <w:spacing w:val="-6"/>
          <w:szCs w:val="22"/>
        </w:rPr>
        <w:t>+</w:t>
      </w:r>
      <w:r>
        <w:rPr>
          <w:rFonts w:hint="eastAsia"/>
          <w:spacing w:val="-6"/>
          <w:szCs w:val="22"/>
        </w:rPr>
        <w:t>生物接触氧化等处理措施处理后排入白水湖污水处理厂；生活污水经微动力生化处理措施处理后达白水湖污水处理厂接管标准进入白水湖污水处理厂，经污水处理厂处理达相关标准后排入赣江。</w:t>
      </w:r>
    </w:p>
    <w:p w:rsidR="00B04AE3" w:rsidRDefault="00B04AE3">
      <w:pPr>
        <w:ind w:left="1280"/>
        <w:rPr>
          <w:b/>
          <w:sz w:val="24"/>
        </w:rPr>
      </w:pPr>
      <w:r>
        <w:rPr>
          <w:rFonts w:ascii="Times New Roman" w:eastAsia="Times New Roman"/>
          <w:b/>
          <w:sz w:val="24"/>
        </w:rPr>
        <w:t>3</w:t>
      </w:r>
      <w:r>
        <w:rPr>
          <w:rFonts w:hint="eastAsia"/>
          <w:b/>
          <w:sz w:val="24"/>
        </w:rPr>
        <w:t>、噪声</w:t>
      </w:r>
    </w:p>
    <w:p w:rsidR="00B04AE3" w:rsidRDefault="00B04AE3">
      <w:pPr>
        <w:pStyle w:val="BodyText"/>
        <w:spacing w:before="20" w:line="360" w:lineRule="auto"/>
        <w:ind w:left="334" w:right="334" w:firstLine="482"/>
        <w:jc w:val="both"/>
        <w:rPr>
          <w:spacing w:val="-6"/>
          <w:szCs w:val="22"/>
        </w:rPr>
      </w:pPr>
      <w:r>
        <w:rPr>
          <w:rFonts w:hint="eastAsia"/>
          <w:spacing w:val="-6"/>
          <w:szCs w:val="22"/>
        </w:rPr>
        <w:t>厂区通过选用低噪音设备、合理布置厂区及设备位置，针对噪声源位置及特点分别采取隔音、减震、消声等措施。昼夜厂界噪声均符合《工业企业厂界环境噪声排放标准》（</w:t>
      </w:r>
      <w:r>
        <w:rPr>
          <w:spacing w:val="-6"/>
          <w:szCs w:val="22"/>
        </w:rPr>
        <w:t>GB12348-2008</w:t>
      </w:r>
      <w:r>
        <w:rPr>
          <w:rFonts w:hint="eastAsia"/>
          <w:spacing w:val="-6"/>
          <w:szCs w:val="22"/>
        </w:rPr>
        <w:t>）</w:t>
      </w:r>
      <w:r>
        <w:rPr>
          <w:spacing w:val="-6"/>
          <w:szCs w:val="22"/>
          <w:lang w:val="en-US"/>
        </w:rPr>
        <w:t>2</w:t>
      </w:r>
      <w:r>
        <w:rPr>
          <w:spacing w:val="-6"/>
          <w:szCs w:val="22"/>
        </w:rPr>
        <w:t xml:space="preserve"> </w:t>
      </w:r>
      <w:r>
        <w:rPr>
          <w:rFonts w:hint="eastAsia"/>
          <w:spacing w:val="-6"/>
          <w:szCs w:val="22"/>
        </w:rPr>
        <w:t>类功能区标准要求，对周围环境产生的影响较小。</w:t>
      </w:r>
    </w:p>
    <w:p w:rsidR="00B04AE3" w:rsidRDefault="00B04AE3">
      <w:pPr>
        <w:spacing w:line="305" w:lineRule="exact"/>
        <w:ind w:left="1280"/>
        <w:rPr>
          <w:b/>
          <w:sz w:val="24"/>
        </w:rPr>
      </w:pPr>
      <w:r>
        <w:rPr>
          <w:rFonts w:ascii="Times New Roman" w:eastAsia="Times New Roman"/>
          <w:b/>
          <w:sz w:val="24"/>
        </w:rPr>
        <w:t>4</w:t>
      </w:r>
      <w:r>
        <w:rPr>
          <w:rFonts w:hint="eastAsia"/>
          <w:b/>
          <w:sz w:val="24"/>
        </w:rPr>
        <w:t>、固废</w:t>
      </w:r>
    </w:p>
    <w:p w:rsidR="00B04AE3" w:rsidRDefault="00B04AE3">
      <w:pPr>
        <w:pStyle w:val="BodyText"/>
        <w:spacing w:before="20" w:line="360" w:lineRule="auto"/>
        <w:ind w:left="334" w:right="334" w:firstLine="482"/>
        <w:jc w:val="both"/>
        <w:rPr>
          <w:spacing w:val="-6"/>
          <w:szCs w:val="22"/>
        </w:rPr>
      </w:pPr>
      <w:bookmarkStart w:id="291" w:name="2.6.3_生产设备"/>
      <w:bookmarkStart w:id="292" w:name="_bookmark93"/>
      <w:bookmarkEnd w:id="291"/>
      <w:bookmarkEnd w:id="292"/>
      <w:r>
        <w:rPr>
          <w:rFonts w:hint="eastAsia"/>
          <w:spacing w:val="-6"/>
          <w:szCs w:val="22"/>
        </w:rPr>
        <w:t>项目固废主要有边角料、生活垃圾、废水处理污泥、乳化液废液。</w:t>
      </w:r>
    </w:p>
    <w:p w:rsidR="00B04AE3" w:rsidRDefault="00B04AE3">
      <w:pPr>
        <w:pStyle w:val="BodyText"/>
        <w:spacing w:before="20" w:line="360" w:lineRule="auto"/>
        <w:ind w:left="334" w:right="334" w:firstLine="482"/>
        <w:jc w:val="both"/>
        <w:rPr>
          <w:spacing w:val="-6"/>
          <w:szCs w:val="22"/>
        </w:rPr>
      </w:pPr>
      <w:r>
        <w:rPr>
          <w:rFonts w:hint="eastAsia"/>
          <w:spacing w:val="-6"/>
          <w:szCs w:val="22"/>
        </w:rPr>
        <w:t>边角料，由厂家回收利用。</w:t>
      </w:r>
    </w:p>
    <w:p w:rsidR="00B04AE3" w:rsidRDefault="00B04AE3">
      <w:pPr>
        <w:pStyle w:val="BodyText"/>
        <w:spacing w:before="20" w:line="360" w:lineRule="auto"/>
        <w:ind w:left="334" w:right="334" w:firstLine="482"/>
        <w:jc w:val="both"/>
        <w:rPr>
          <w:spacing w:val="-6"/>
          <w:szCs w:val="22"/>
        </w:rPr>
      </w:pPr>
      <w:r>
        <w:rPr>
          <w:rFonts w:hint="eastAsia"/>
          <w:spacing w:val="-6"/>
          <w:szCs w:val="22"/>
        </w:rPr>
        <w:t>乳化液废液，根据国家危险废物名录，为危险废物</w:t>
      </w:r>
      <w:r>
        <w:rPr>
          <w:spacing w:val="-6"/>
          <w:szCs w:val="22"/>
        </w:rPr>
        <w:t>(</w:t>
      </w:r>
      <w:r>
        <w:rPr>
          <w:rFonts w:hint="eastAsia"/>
          <w:spacing w:val="-6"/>
          <w:szCs w:val="22"/>
        </w:rPr>
        <w:t>编号为</w:t>
      </w:r>
      <w:r>
        <w:rPr>
          <w:spacing w:val="-6"/>
          <w:szCs w:val="22"/>
        </w:rPr>
        <w:t>HW09)</w:t>
      </w:r>
      <w:r>
        <w:rPr>
          <w:rFonts w:hint="eastAsia"/>
          <w:spacing w:val="-6"/>
          <w:szCs w:val="22"/>
        </w:rPr>
        <w:t>，由厂家用容器收集后定期送江西省危险废物处置中心。</w:t>
      </w:r>
    </w:p>
    <w:p w:rsidR="00B04AE3" w:rsidRDefault="00B04AE3">
      <w:pPr>
        <w:pStyle w:val="BodyText"/>
        <w:spacing w:before="20" w:line="360" w:lineRule="auto"/>
        <w:ind w:left="334" w:right="334" w:firstLine="482"/>
        <w:jc w:val="both"/>
        <w:rPr>
          <w:spacing w:val="-6"/>
          <w:szCs w:val="22"/>
        </w:rPr>
      </w:pPr>
      <w:r>
        <w:rPr>
          <w:rFonts w:hint="eastAsia"/>
          <w:spacing w:val="-6"/>
          <w:szCs w:val="22"/>
        </w:rPr>
        <w:t>废水处理污泥，经收集后运往垃圾填埋场。</w:t>
      </w:r>
    </w:p>
    <w:p w:rsidR="00B04AE3" w:rsidRDefault="00B04AE3">
      <w:pPr>
        <w:pStyle w:val="BodyText"/>
        <w:spacing w:before="20" w:line="360" w:lineRule="auto"/>
        <w:ind w:left="334" w:right="334" w:firstLine="482"/>
        <w:jc w:val="both"/>
        <w:rPr>
          <w:spacing w:val="-6"/>
          <w:szCs w:val="22"/>
        </w:rPr>
      </w:pPr>
      <w:r>
        <w:rPr>
          <w:rFonts w:hint="eastAsia"/>
          <w:spacing w:val="-6"/>
          <w:szCs w:val="22"/>
        </w:rPr>
        <w:t>生活垃圾，经分类收集后运往垃圾填埋场。</w:t>
      </w:r>
    </w:p>
    <w:p w:rsidR="00B04AE3" w:rsidRDefault="00B04AE3">
      <w:pPr>
        <w:pStyle w:val="Heading3"/>
        <w:numPr>
          <w:ilvl w:val="2"/>
          <w:numId w:val="41"/>
        </w:numPr>
        <w:tabs>
          <w:tab w:val="left" w:pos="1400"/>
        </w:tabs>
        <w:spacing w:before="81"/>
      </w:pPr>
      <w:r>
        <w:rPr>
          <w:rFonts w:hint="eastAsia"/>
        </w:rPr>
        <w:t>生产设备</w:t>
      </w:r>
    </w:p>
    <w:p w:rsidR="00B04AE3" w:rsidRDefault="00B04AE3">
      <w:pPr>
        <w:pStyle w:val="BodyText"/>
        <w:spacing w:before="158"/>
        <w:ind w:left="1280"/>
      </w:pPr>
      <w:r>
        <w:rPr>
          <w:rFonts w:hint="eastAsia"/>
        </w:rPr>
        <w:t>南昌海立电器有限公司主要生产设备见表</w:t>
      </w:r>
      <w:r>
        <w:t xml:space="preserve"> </w:t>
      </w:r>
      <w:r>
        <w:rPr>
          <w:rFonts w:ascii="Times New Roman" w:eastAsia="Times New Roman"/>
        </w:rPr>
        <w:t>2.6-4</w:t>
      </w:r>
      <w:r>
        <w:rPr>
          <w:rFonts w:hint="eastAsia"/>
        </w:rPr>
        <w:t>。</w:t>
      </w:r>
    </w:p>
    <w:p w:rsidR="00B04AE3" w:rsidRDefault="00B04AE3" w:rsidP="003446E2">
      <w:pPr>
        <w:pStyle w:val="BodyText"/>
        <w:spacing w:before="158"/>
        <w:ind w:left="1280" w:firstLineChars="700" w:firstLine="31680"/>
        <w:rPr>
          <w:b/>
        </w:rPr>
      </w:pPr>
      <w:r>
        <w:rPr>
          <w:rFonts w:hint="eastAsia"/>
          <w:b/>
        </w:rPr>
        <w:t>表</w:t>
      </w:r>
      <w:r>
        <w:rPr>
          <w:b/>
          <w:spacing w:val="-62"/>
        </w:rPr>
        <w:t xml:space="preserve"> </w:t>
      </w:r>
      <w:r>
        <w:rPr>
          <w:rFonts w:ascii="Times New Roman" w:eastAsia="Times New Roman"/>
          <w:b/>
        </w:rPr>
        <w:t>2.6-4</w:t>
      </w:r>
      <w:r>
        <w:rPr>
          <w:rFonts w:ascii="Times New Roman" w:eastAsia="Times New Roman"/>
          <w:b/>
        </w:rPr>
        <w:tab/>
      </w:r>
      <w:r>
        <w:rPr>
          <w:rFonts w:hint="eastAsia"/>
          <w:b/>
        </w:rPr>
        <w:t>主要设备一览表</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84"/>
        <w:gridCol w:w="1014"/>
        <w:gridCol w:w="1353"/>
        <w:gridCol w:w="1644"/>
        <w:gridCol w:w="1303"/>
        <w:gridCol w:w="2242"/>
      </w:tblGrid>
      <w:tr w:rsidR="00B04AE3">
        <w:trPr>
          <w:trHeight w:val="604"/>
          <w:tblHeader/>
          <w:jc w:val="center"/>
        </w:trPr>
        <w:tc>
          <w:tcPr>
            <w:tcW w:w="1984" w:type="dxa"/>
            <w:vAlign w:val="center"/>
          </w:tcPr>
          <w:p w:rsidR="00B04AE3" w:rsidRDefault="00B04AE3">
            <w:pPr>
              <w:jc w:val="center"/>
              <w:rPr>
                <w:b/>
                <w:sz w:val="21"/>
                <w:szCs w:val="21"/>
              </w:rPr>
            </w:pPr>
            <w:r>
              <w:rPr>
                <w:rFonts w:hint="eastAsia"/>
                <w:b/>
                <w:sz w:val="21"/>
                <w:szCs w:val="21"/>
              </w:rPr>
              <w:t>设备名称</w:t>
            </w:r>
          </w:p>
        </w:tc>
        <w:tc>
          <w:tcPr>
            <w:tcW w:w="1014" w:type="dxa"/>
            <w:vAlign w:val="center"/>
          </w:tcPr>
          <w:p w:rsidR="00B04AE3" w:rsidRDefault="00B04AE3">
            <w:pPr>
              <w:jc w:val="center"/>
              <w:rPr>
                <w:b/>
                <w:sz w:val="21"/>
                <w:szCs w:val="21"/>
              </w:rPr>
            </w:pPr>
            <w:r>
              <w:rPr>
                <w:rFonts w:hint="eastAsia"/>
                <w:b/>
                <w:sz w:val="21"/>
                <w:szCs w:val="21"/>
              </w:rPr>
              <w:t>设备数量</w:t>
            </w:r>
          </w:p>
        </w:tc>
        <w:tc>
          <w:tcPr>
            <w:tcW w:w="1353" w:type="dxa"/>
            <w:vAlign w:val="center"/>
          </w:tcPr>
          <w:p w:rsidR="00B04AE3" w:rsidRDefault="00B04AE3">
            <w:pPr>
              <w:jc w:val="center"/>
              <w:rPr>
                <w:b/>
                <w:sz w:val="21"/>
                <w:szCs w:val="21"/>
              </w:rPr>
            </w:pPr>
            <w:r>
              <w:rPr>
                <w:rFonts w:hint="eastAsia"/>
                <w:b/>
                <w:sz w:val="21"/>
                <w:szCs w:val="21"/>
              </w:rPr>
              <w:t>设备状况</w:t>
            </w:r>
          </w:p>
        </w:tc>
        <w:tc>
          <w:tcPr>
            <w:tcW w:w="1644" w:type="dxa"/>
            <w:vAlign w:val="center"/>
          </w:tcPr>
          <w:p w:rsidR="00B04AE3" w:rsidRDefault="00B04AE3">
            <w:pPr>
              <w:jc w:val="center"/>
              <w:rPr>
                <w:b/>
                <w:sz w:val="21"/>
                <w:szCs w:val="21"/>
              </w:rPr>
            </w:pPr>
            <w:r>
              <w:rPr>
                <w:rFonts w:hint="eastAsia"/>
                <w:b/>
                <w:sz w:val="21"/>
                <w:szCs w:val="21"/>
              </w:rPr>
              <w:t>所在工场</w:t>
            </w:r>
          </w:p>
        </w:tc>
        <w:tc>
          <w:tcPr>
            <w:tcW w:w="1303" w:type="dxa"/>
            <w:vAlign w:val="center"/>
          </w:tcPr>
          <w:p w:rsidR="00B04AE3" w:rsidRDefault="00B04AE3">
            <w:pPr>
              <w:jc w:val="center"/>
              <w:rPr>
                <w:b/>
                <w:sz w:val="21"/>
                <w:szCs w:val="21"/>
              </w:rPr>
            </w:pPr>
            <w:r>
              <w:rPr>
                <w:rFonts w:hint="eastAsia"/>
                <w:b/>
                <w:sz w:val="21"/>
                <w:szCs w:val="21"/>
              </w:rPr>
              <w:t>厂房内位置</w:t>
            </w:r>
          </w:p>
        </w:tc>
        <w:tc>
          <w:tcPr>
            <w:tcW w:w="2242" w:type="dxa"/>
            <w:vAlign w:val="center"/>
          </w:tcPr>
          <w:p w:rsidR="00B04AE3" w:rsidRDefault="00B04AE3">
            <w:pPr>
              <w:jc w:val="center"/>
              <w:rPr>
                <w:b/>
                <w:sz w:val="21"/>
                <w:szCs w:val="21"/>
              </w:rPr>
            </w:pPr>
            <w:r>
              <w:rPr>
                <w:rFonts w:hint="eastAsia"/>
                <w:b/>
                <w:sz w:val="21"/>
                <w:szCs w:val="21"/>
              </w:rPr>
              <w:t>工艺步骤或用途</w:t>
            </w:r>
          </w:p>
        </w:tc>
      </w:tr>
      <w:tr w:rsidR="00B04AE3">
        <w:trPr>
          <w:trHeight w:val="388"/>
          <w:jc w:val="center"/>
        </w:trPr>
        <w:tc>
          <w:tcPr>
            <w:tcW w:w="1984" w:type="dxa"/>
            <w:vAlign w:val="center"/>
          </w:tcPr>
          <w:p w:rsidR="00B04AE3" w:rsidRDefault="00B04AE3">
            <w:pPr>
              <w:jc w:val="center"/>
              <w:rPr>
                <w:sz w:val="21"/>
                <w:szCs w:val="21"/>
              </w:rPr>
            </w:pPr>
            <w:r>
              <w:rPr>
                <w:sz w:val="21"/>
                <w:szCs w:val="21"/>
              </w:rPr>
              <w:t>300T</w:t>
            </w:r>
            <w:r>
              <w:rPr>
                <w:rFonts w:hint="eastAsia"/>
                <w:sz w:val="21"/>
                <w:szCs w:val="21"/>
              </w:rPr>
              <w:t>高速冲床</w:t>
            </w:r>
          </w:p>
        </w:tc>
        <w:tc>
          <w:tcPr>
            <w:tcW w:w="1014" w:type="dxa"/>
            <w:vAlign w:val="center"/>
          </w:tcPr>
          <w:p w:rsidR="00B04AE3" w:rsidRDefault="00B04AE3">
            <w:pPr>
              <w:jc w:val="center"/>
              <w:rPr>
                <w:sz w:val="21"/>
                <w:szCs w:val="21"/>
              </w:rPr>
            </w:pPr>
            <w:r>
              <w:rPr>
                <w:sz w:val="21"/>
                <w:szCs w:val="21"/>
              </w:rPr>
              <w:t>5</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铁芯工场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钢板高速冲裁</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压铸机</w:t>
            </w:r>
          </w:p>
        </w:tc>
        <w:tc>
          <w:tcPr>
            <w:tcW w:w="1014" w:type="dxa"/>
            <w:vAlign w:val="center"/>
          </w:tcPr>
          <w:p w:rsidR="00B04AE3" w:rsidRDefault="00B04AE3">
            <w:pPr>
              <w:jc w:val="center"/>
              <w:rPr>
                <w:sz w:val="21"/>
                <w:szCs w:val="21"/>
              </w:rPr>
            </w:pPr>
            <w:r>
              <w:rPr>
                <w:sz w:val="21"/>
                <w:szCs w:val="21"/>
              </w:rPr>
              <w:t>6</w:t>
            </w:r>
          </w:p>
        </w:tc>
        <w:tc>
          <w:tcPr>
            <w:tcW w:w="1353" w:type="dxa"/>
            <w:vAlign w:val="center"/>
          </w:tcPr>
          <w:p w:rsidR="00B04AE3" w:rsidRDefault="00B04AE3">
            <w:pPr>
              <w:jc w:val="center"/>
              <w:rPr>
                <w:sz w:val="21"/>
                <w:szCs w:val="21"/>
              </w:rPr>
            </w:pPr>
            <w:r>
              <w:rPr>
                <w:rFonts w:hint="eastAsia"/>
                <w:sz w:val="21"/>
                <w:szCs w:val="21"/>
              </w:rPr>
              <w:t>密闭负压</w:t>
            </w:r>
          </w:p>
        </w:tc>
        <w:tc>
          <w:tcPr>
            <w:tcW w:w="1644" w:type="dxa"/>
            <w:vAlign w:val="center"/>
          </w:tcPr>
          <w:p w:rsidR="00B04AE3" w:rsidRDefault="00B04AE3">
            <w:pPr>
              <w:jc w:val="center"/>
              <w:rPr>
                <w:sz w:val="21"/>
                <w:szCs w:val="21"/>
              </w:rPr>
            </w:pPr>
            <w:r>
              <w:rPr>
                <w:rFonts w:hint="eastAsia"/>
                <w:sz w:val="21"/>
                <w:szCs w:val="21"/>
              </w:rPr>
              <w:t>铁芯工场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转子压铸</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定子加压机</w:t>
            </w:r>
          </w:p>
        </w:tc>
        <w:tc>
          <w:tcPr>
            <w:tcW w:w="1014" w:type="dxa"/>
            <w:vAlign w:val="center"/>
          </w:tcPr>
          <w:p w:rsidR="00B04AE3" w:rsidRDefault="00B04AE3">
            <w:pPr>
              <w:jc w:val="center"/>
              <w:rPr>
                <w:sz w:val="21"/>
                <w:szCs w:val="21"/>
              </w:rPr>
            </w:pPr>
            <w:r>
              <w:rPr>
                <w:sz w:val="21"/>
                <w:szCs w:val="21"/>
              </w:rPr>
              <w:t>7</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铁芯工场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定子加压</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转子加压机</w:t>
            </w:r>
          </w:p>
        </w:tc>
        <w:tc>
          <w:tcPr>
            <w:tcW w:w="1014" w:type="dxa"/>
            <w:vAlign w:val="center"/>
          </w:tcPr>
          <w:p w:rsidR="00B04AE3" w:rsidRDefault="00B04AE3">
            <w:pPr>
              <w:jc w:val="center"/>
              <w:rPr>
                <w:sz w:val="21"/>
                <w:szCs w:val="21"/>
              </w:rPr>
            </w:pPr>
            <w:r>
              <w:rPr>
                <w:sz w:val="21"/>
                <w:szCs w:val="21"/>
              </w:rPr>
              <w:t>5</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铁芯工场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转子加压</w:t>
            </w:r>
          </w:p>
        </w:tc>
      </w:tr>
      <w:tr w:rsidR="00B04AE3">
        <w:trPr>
          <w:trHeight w:val="604"/>
          <w:jc w:val="center"/>
        </w:trPr>
        <w:tc>
          <w:tcPr>
            <w:tcW w:w="1984" w:type="dxa"/>
            <w:vAlign w:val="center"/>
          </w:tcPr>
          <w:p w:rsidR="00B04AE3" w:rsidRDefault="00B04AE3">
            <w:pPr>
              <w:jc w:val="center"/>
              <w:rPr>
                <w:sz w:val="21"/>
                <w:szCs w:val="21"/>
              </w:rPr>
            </w:pPr>
            <w:r>
              <w:rPr>
                <w:rFonts w:hint="eastAsia"/>
                <w:sz w:val="21"/>
                <w:szCs w:val="21"/>
              </w:rPr>
              <w:t>热处理炉</w:t>
            </w:r>
          </w:p>
        </w:tc>
        <w:tc>
          <w:tcPr>
            <w:tcW w:w="1014" w:type="dxa"/>
            <w:vAlign w:val="center"/>
          </w:tcPr>
          <w:p w:rsidR="00B04AE3" w:rsidRDefault="00B04AE3">
            <w:pPr>
              <w:jc w:val="center"/>
              <w:rPr>
                <w:sz w:val="21"/>
                <w:szCs w:val="21"/>
              </w:rPr>
            </w:pPr>
            <w:r>
              <w:rPr>
                <w:sz w:val="21"/>
                <w:szCs w:val="21"/>
              </w:rPr>
              <w:t>5</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铁芯工场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定、转子发</w:t>
            </w:r>
          </w:p>
          <w:p w:rsidR="00B04AE3" w:rsidRDefault="00B04AE3">
            <w:pPr>
              <w:jc w:val="center"/>
              <w:rPr>
                <w:sz w:val="21"/>
                <w:szCs w:val="21"/>
              </w:rPr>
            </w:pPr>
            <w:r>
              <w:rPr>
                <w:rFonts w:hint="eastAsia"/>
                <w:sz w:val="21"/>
                <w:szCs w:val="21"/>
              </w:rPr>
              <w:t>蓝热处理</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车床</w:t>
            </w:r>
          </w:p>
        </w:tc>
        <w:tc>
          <w:tcPr>
            <w:tcW w:w="1014" w:type="dxa"/>
            <w:vAlign w:val="center"/>
          </w:tcPr>
          <w:p w:rsidR="00B04AE3" w:rsidRDefault="00B04AE3">
            <w:pPr>
              <w:jc w:val="center"/>
              <w:rPr>
                <w:sz w:val="21"/>
                <w:szCs w:val="21"/>
              </w:rPr>
            </w:pPr>
            <w:r>
              <w:rPr>
                <w:sz w:val="21"/>
                <w:szCs w:val="21"/>
              </w:rPr>
              <w:t>15</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铁芯工场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转加线</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加工中心</w:t>
            </w:r>
          </w:p>
        </w:tc>
        <w:tc>
          <w:tcPr>
            <w:tcW w:w="1014" w:type="dxa"/>
            <w:vAlign w:val="center"/>
          </w:tcPr>
          <w:p w:rsidR="00B04AE3" w:rsidRDefault="00B04AE3">
            <w:pPr>
              <w:jc w:val="center"/>
              <w:rPr>
                <w:sz w:val="21"/>
                <w:szCs w:val="21"/>
              </w:rPr>
            </w:pPr>
            <w:r>
              <w:rPr>
                <w:sz w:val="21"/>
                <w:szCs w:val="21"/>
              </w:rPr>
              <w:t>4</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机加工工场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机械加工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柔性加工机</w:t>
            </w:r>
          </w:p>
        </w:tc>
        <w:tc>
          <w:tcPr>
            <w:tcW w:w="1014" w:type="dxa"/>
            <w:vAlign w:val="center"/>
          </w:tcPr>
          <w:p w:rsidR="00B04AE3" w:rsidRDefault="00B04AE3">
            <w:pPr>
              <w:jc w:val="center"/>
              <w:rPr>
                <w:sz w:val="21"/>
                <w:szCs w:val="21"/>
              </w:rPr>
            </w:pPr>
            <w:r>
              <w:rPr>
                <w:sz w:val="21"/>
                <w:szCs w:val="21"/>
              </w:rPr>
              <w:t>6</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机加工工场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机械加工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磨床</w:t>
            </w:r>
          </w:p>
        </w:tc>
        <w:tc>
          <w:tcPr>
            <w:tcW w:w="1014" w:type="dxa"/>
            <w:vAlign w:val="center"/>
          </w:tcPr>
          <w:p w:rsidR="00B04AE3" w:rsidRDefault="00B04AE3">
            <w:pPr>
              <w:jc w:val="center"/>
              <w:rPr>
                <w:sz w:val="21"/>
                <w:szCs w:val="21"/>
              </w:rPr>
            </w:pPr>
            <w:r>
              <w:rPr>
                <w:sz w:val="21"/>
                <w:szCs w:val="21"/>
              </w:rPr>
              <w:t>121</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机加工工场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机械加工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孔槽加工机</w:t>
            </w:r>
          </w:p>
        </w:tc>
        <w:tc>
          <w:tcPr>
            <w:tcW w:w="1014" w:type="dxa"/>
            <w:vAlign w:val="center"/>
          </w:tcPr>
          <w:p w:rsidR="00B04AE3" w:rsidRDefault="00B04AE3">
            <w:pPr>
              <w:jc w:val="center"/>
              <w:rPr>
                <w:sz w:val="21"/>
                <w:szCs w:val="21"/>
              </w:rPr>
            </w:pPr>
            <w:r>
              <w:rPr>
                <w:sz w:val="21"/>
                <w:szCs w:val="21"/>
              </w:rPr>
              <w:t>28</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机加工工场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机械加工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抛光机</w:t>
            </w:r>
          </w:p>
        </w:tc>
        <w:tc>
          <w:tcPr>
            <w:tcW w:w="1014" w:type="dxa"/>
            <w:vAlign w:val="center"/>
          </w:tcPr>
          <w:p w:rsidR="00B04AE3" w:rsidRDefault="00B04AE3">
            <w:pPr>
              <w:jc w:val="center"/>
              <w:rPr>
                <w:sz w:val="21"/>
                <w:szCs w:val="21"/>
              </w:rPr>
            </w:pPr>
            <w:r>
              <w:rPr>
                <w:sz w:val="21"/>
                <w:szCs w:val="21"/>
              </w:rPr>
              <w:t>20</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机加工工场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机械加工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清洗机</w:t>
            </w:r>
          </w:p>
        </w:tc>
        <w:tc>
          <w:tcPr>
            <w:tcW w:w="1014" w:type="dxa"/>
            <w:vAlign w:val="center"/>
          </w:tcPr>
          <w:p w:rsidR="00B04AE3" w:rsidRDefault="00B04AE3">
            <w:pPr>
              <w:jc w:val="center"/>
              <w:rPr>
                <w:sz w:val="21"/>
                <w:szCs w:val="21"/>
              </w:rPr>
            </w:pPr>
            <w:r>
              <w:rPr>
                <w:sz w:val="21"/>
                <w:szCs w:val="21"/>
              </w:rPr>
              <w:t>1</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机加工工场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综合清洗</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锰处理机</w:t>
            </w:r>
          </w:p>
        </w:tc>
        <w:tc>
          <w:tcPr>
            <w:tcW w:w="1014" w:type="dxa"/>
            <w:vAlign w:val="center"/>
          </w:tcPr>
          <w:p w:rsidR="00B04AE3" w:rsidRDefault="00B04AE3">
            <w:pPr>
              <w:jc w:val="center"/>
              <w:rPr>
                <w:sz w:val="21"/>
                <w:szCs w:val="21"/>
              </w:rPr>
            </w:pPr>
            <w:r>
              <w:rPr>
                <w:sz w:val="21"/>
                <w:szCs w:val="21"/>
              </w:rPr>
              <w:t>1</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机加工工场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锰处理</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柔性加工机</w:t>
            </w:r>
          </w:p>
        </w:tc>
        <w:tc>
          <w:tcPr>
            <w:tcW w:w="1014" w:type="dxa"/>
            <w:vAlign w:val="center"/>
          </w:tcPr>
          <w:p w:rsidR="00B04AE3" w:rsidRDefault="00B04AE3">
            <w:pPr>
              <w:jc w:val="center"/>
              <w:rPr>
                <w:sz w:val="21"/>
                <w:szCs w:val="21"/>
              </w:rPr>
            </w:pPr>
            <w:r>
              <w:rPr>
                <w:sz w:val="21"/>
                <w:szCs w:val="21"/>
              </w:rPr>
              <w:t>7</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机加工工场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sz w:val="21"/>
                <w:szCs w:val="21"/>
              </w:rPr>
              <w:t>TE</w:t>
            </w:r>
            <w:r>
              <w:rPr>
                <w:rFonts w:hint="eastAsia"/>
                <w:sz w:val="21"/>
                <w:szCs w:val="21"/>
              </w:rPr>
              <w:t>精加工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电阻焊接机</w:t>
            </w:r>
          </w:p>
        </w:tc>
        <w:tc>
          <w:tcPr>
            <w:tcW w:w="1014" w:type="dxa"/>
            <w:vAlign w:val="center"/>
          </w:tcPr>
          <w:p w:rsidR="00B04AE3" w:rsidRDefault="00B04AE3">
            <w:pPr>
              <w:jc w:val="center"/>
              <w:rPr>
                <w:sz w:val="21"/>
                <w:szCs w:val="21"/>
              </w:rPr>
            </w:pPr>
            <w:r>
              <w:rPr>
                <w:sz w:val="21"/>
                <w:szCs w:val="21"/>
              </w:rPr>
              <w:t>21</w:t>
            </w:r>
          </w:p>
        </w:tc>
        <w:tc>
          <w:tcPr>
            <w:tcW w:w="1353" w:type="dxa"/>
            <w:vAlign w:val="center"/>
          </w:tcPr>
          <w:p w:rsidR="00B04AE3" w:rsidRDefault="00B04AE3">
            <w:pPr>
              <w:jc w:val="center"/>
              <w:rPr>
                <w:sz w:val="21"/>
                <w:szCs w:val="21"/>
              </w:rPr>
            </w:pPr>
            <w:r>
              <w:rPr>
                <w:rFonts w:hint="eastAsia"/>
                <w:sz w:val="21"/>
                <w:szCs w:val="21"/>
              </w:rPr>
              <w:t>密闭负压</w:t>
            </w:r>
          </w:p>
        </w:tc>
        <w:tc>
          <w:tcPr>
            <w:tcW w:w="1644" w:type="dxa"/>
            <w:vAlign w:val="center"/>
          </w:tcPr>
          <w:p w:rsidR="00B04AE3" w:rsidRDefault="00B04AE3">
            <w:pPr>
              <w:jc w:val="center"/>
              <w:rPr>
                <w:sz w:val="21"/>
                <w:szCs w:val="21"/>
              </w:rPr>
            </w:pPr>
            <w:r>
              <w:rPr>
                <w:rFonts w:hint="eastAsia"/>
                <w:sz w:val="21"/>
                <w:szCs w:val="21"/>
              </w:rPr>
              <w:t>钣金工场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焊接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火焰焊接机</w:t>
            </w:r>
          </w:p>
        </w:tc>
        <w:tc>
          <w:tcPr>
            <w:tcW w:w="1014" w:type="dxa"/>
            <w:vAlign w:val="center"/>
          </w:tcPr>
          <w:p w:rsidR="00B04AE3" w:rsidRDefault="00B04AE3">
            <w:pPr>
              <w:jc w:val="center"/>
              <w:rPr>
                <w:sz w:val="21"/>
                <w:szCs w:val="21"/>
              </w:rPr>
            </w:pPr>
            <w:r>
              <w:rPr>
                <w:sz w:val="21"/>
                <w:szCs w:val="21"/>
              </w:rPr>
              <w:t>4</w:t>
            </w:r>
          </w:p>
        </w:tc>
        <w:tc>
          <w:tcPr>
            <w:tcW w:w="1353" w:type="dxa"/>
            <w:vAlign w:val="center"/>
          </w:tcPr>
          <w:p w:rsidR="00B04AE3" w:rsidRDefault="00B04AE3">
            <w:pPr>
              <w:jc w:val="center"/>
              <w:rPr>
                <w:sz w:val="21"/>
                <w:szCs w:val="21"/>
              </w:rPr>
            </w:pPr>
            <w:r>
              <w:rPr>
                <w:rFonts w:hint="eastAsia"/>
                <w:sz w:val="21"/>
                <w:szCs w:val="21"/>
              </w:rPr>
              <w:t>密闭负压</w:t>
            </w:r>
          </w:p>
        </w:tc>
        <w:tc>
          <w:tcPr>
            <w:tcW w:w="1644" w:type="dxa"/>
            <w:vAlign w:val="center"/>
          </w:tcPr>
          <w:p w:rsidR="00B04AE3" w:rsidRDefault="00B04AE3">
            <w:pPr>
              <w:jc w:val="center"/>
              <w:rPr>
                <w:sz w:val="21"/>
                <w:szCs w:val="21"/>
              </w:rPr>
            </w:pPr>
            <w:r>
              <w:rPr>
                <w:rFonts w:hint="eastAsia"/>
                <w:sz w:val="21"/>
                <w:szCs w:val="21"/>
              </w:rPr>
              <w:t>钣金工场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焊接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精扩管机</w:t>
            </w:r>
          </w:p>
        </w:tc>
        <w:tc>
          <w:tcPr>
            <w:tcW w:w="1014" w:type="dxa"/>
            <w:vAlign w:val="center"/>
          </w:tcPr>
          <w:p w:rsidR="00B04AE3" w:rsidRDefault="00B04AE3">
            <w:pPr>
              <w:jc w:val="center"/>
              <w:rPr>
                <w:sz w:val="21"/>
                <w:szCs w:val="21"/>
              </w:rPr>
            </w:pPr>
            <w:r>
              <w:rPr>
                <w:sz w:val="21"/>
                <w:szCs w:val="21"/>
              </w:rPr>
              <w:t>10</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钣金工场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冲孔</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卷板缩管机</w:t>
            </w:r>
          </w:p>
        </w:tc>
        <w:tc>
          <w:tcPr>
            <w:tcW w:w="1014" w:type="dxa"/>
            <w:vAlign w:val="center"/>
          </w:tcPr>
          <w:p w:rsidR="00B04AE3" w:rsidRDefault="00B04AE3">
            <w:pPr>
              <w:jc w:val="center"/>
              <w:rPr>
                <w:sz w:val="21"/>
                <w:szCs w:val="21"/>
              </w:rPr>
            </w:pPr>
            <w:r>
              <w:rPr>
                <w:sz w:val="21"/>
                <w:szCs w:val="21"/>
              </w:rPr>
              <w:t>4</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钣金工场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冲孔</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等离子焊接机</w:t>
            </w:r>
          </w:p>
        </w:tc>
        <w:tc>
          <w:tcPr>
            <w:tcW w:w="1014" w:type="dxa"/>
            <w:vAlign w:val="center"/>
          </w:tcPr>
          <w:p w:rsidR="00B04AE3" w:rsidRDefault="00B04AE3">
            <w:pPr>
              <w:jc w:val="center"/>
              <w:rPr>
                <w:sz w:val="21"/>
                <w:szCs w:val="21"/>
              </w:rPr>
            </w:pPr>
            <w:r>
              <w:rPr>
                <w:sz w:val="21"/>
                <w:szCs w:val="21"/>
              </w:rPr>
              <w:t>6</w:t>
            </w:r>
          </w:p>
        </w:tc>
        <w:tc>
          <w:tcPr>
            <w:tcW w:w="1353" w:type="dxa"/>
            <w:vAlign w:val="center"/>
          </w:tcPr>
          <w:p w:rsidR="00B04AE3" w:rsidRDefault="00B04AE3">
            <w:pPr>
              <w:jc w:val="center"/>
              <w:rPr>
                <w:sz w:val="21"/>
                <w:szCs w:val="21"/>
              </w:rPr>
            </w:pPr>
            <w:r>
              <w:rPr>
                <w:rFonts w:hint="eastAsia"/>
                <w:sz w:val="21"/>
                <w:szCs w:val="21"/>
              </w:rPr>
              <w:t>密闭负压</w:t>
            </w:r>
          </w:p>
        </w:tc>
        <w:tc>
          <w:tcPr>
            <w:tcW w:w="1644" w:type="dxa"/>
            <w:vAlign w:val="center"/>
          </w:tcPr>
          <w:p w:rsidR="00B04AE3" w:rsidRDefault="00B04AE3">
            <w:pPr>
              <w:jc w:val="center"/>
              <w:rPr>
                <w:sz w:val="21"/>
                <w:szCs w:val="21"/>
              </w:rPr>
            </w:pPr>
            <w:r>
              <w:rPr>
                <w:rFonts w:hint="eastAsia"/>
                <w:sz w:val="21"/>
                <w:szCs w:val="21"/>
              </w:rPr>
              <w:t>钣金工场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焊接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清洗机</w:t>
            </w:r>
          </w:p>
        </w:tc>
        <w:tc>
          <w:tcPr>
            <w:tcW w:w="1014" w:type="dxa"/>
            <w:vAlign w:val="center"/>
          </w:tcPr>
          <w:p w:rsidR="00B04AE3" w:rsidRDefault="00B04AE3">
            <w:pPr>
              <w:jc w:val="center"/>
              <w:rPr>
                <w:sz w:val="21"/>
                <w:szCs w:val="21"/>
              </w:rPr>
            </w:pPr>
            <w:r>
              <w:rPr>
                <w:sz w:val="21"/>
                <w:szCs w:val="21"/>
              </w:rPr>
              <w:t>8</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钣金工场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清洗</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烟粉尘过滤器</w:t>
            </w:r>
          </w:p>
        </w:tc>
        <w:tc>
          <w:tcPr>
            <w:tcW w:w="1014" w:type="dxa"/>
            <w:vAlign w:val="center"/>
          </w:tcPr>
          <w:p w:rsidR="00B04AE3" w:rsidRDefault="00B04AE3">
            <w:pPr>
              <w:jc w:val="center"/>
              <w:rPr>
                <w:sz w:val="21"/>
                <w:szCs w:val="21"/>
              </w:rPr>
            </w:pPr>
            <w:r>
              <w:rPr>
                <w:sz w:val="21"/>
                <w:szCs w:val="21"/>
              </w:rPr>
              <w:t>5</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钣金工场</w:t>
            </w:r>
          </w:p>
        </w:tc>
        <w:tc>
          <w:tcPr>
            <w:tcW w:w="1303" w:type="dxa"/>
            <w:vAlign w:val="center"/>
          </w:tcPr>
          <w:p w:rsidR="00B04AE3" w:rsidRDefault="00B04AE3">
            <w:pPr>
              <w:jc w:val="center"/>
              <w:rPr>
                <w:sz w:val="21"/>
                <w:szCs w:val="21"/>
              </w:rPr>
            </w:pPr>
            <w:r>
              <w:rPr>
                <w:rFonts w:hint="eastAsia"/>
                <w:sz w:val="21"/>
                <w:szCs w:val="21"/>
              </w:rPr>
              <w:t>一层</w:t>
            </w:r>
          </w:p>
        </w:tc>
        <w:tc>
          <w:tcPr>
            <w:tcW w:w="2242" w:type="dxa"/>
            <w:vAlign w:val="center"/>
          </w:tcPr>
          <w:p w:rsidR="00B04AE3" w:rsidRDefault="00B04AE3">
            <w:pPr>
              <w:jc w:val="center"/>
              <w:rPr>
                <w:sz w:val="21"/>
                <w:szCs w:val="21"/>
              </w:rPr>
            </w:pPr>
            <w:r>
              <w:rPr>
                <w:rFonts w:hint="eastAsia"/>
                <w:sz w:val="21"/>
                <w:szCs w:val="21"/>
              </w:rPr>
              <w:t>除尘</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绕线机</w:t>
            </w:r>
          </w:p>
        </w:tc>
        <w:tc>
          <w:tcPr>
            <w:tcW w:w="1014" w:type="dxa"/>
            <w:vAlign w:val="center"/>
          </w:tcPr>
          <w:p w:rsidR="00B04AE3" w:rsidRDefault="00B04AE3">
            <w:pPr>
              <w:jc w:val="center"/>
              <w:rPr>
                <w:sz w:val="21"/>
                <w:szCs w:val="21"/>
              </w:rPr>
            </w:pPr>
            <w:r>
              <w:rPr>
                <w:sz w:val="21"/>
                <w:szCs w:val="21"/>
              </w:rPr>
              <w:t>21</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电机工场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r>
              <w:rPr>
                <w:rFonts w:hint="eastAsia"/>
                <w:sz w:val="21"/>
                <w:szCs w:val="21"/>
              </w:rPr>
              <w:t>定子铁芯绕线</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装配机</w:t>
            </w:r>
          </w:p>
        </w:tc>
        <w:tc>
          <w:tcPr>
            <w:tcW w:w="1014" w:type="dxa"/>
            <w:vAlign w:val="center"/>
          </w:tcPr>
          <w:p w:rsidR="00B04AE3" w:rsidRDefault="00B04AE3">
            <w:pPr>
              <w:jc w:val="center"/>
              <w:rPr>
                <w:sz w:val="21"/>
                <w:szCs w:val="21"/>
              </w:rPr>
            </w:pPr>
            <w:r>
              <w:rPr>
                <w:sz w:val="21"/>
                <w:szCs w:val="21"/>
              </w:rPr>
              <w:t>11</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装配工场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r>
              <w:rPr>
                <w:rFonts w:hint="eastAsia"/>
                <w:sz w:val="21"/>
                <w:szCs w:val="21"/>
              </w:rPr>
              <w:t>装配</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机器人</w:t>
            </w:r>
          </w:p>
        </w:tc>
        <w:tc>
          <w:tcPr>
            <w:tcW w:w="1014" w:type="dxa"/>
            <w:vAlign w:val="center"/>
          </w:tcPr>
          <w:p w:rsidR="00B04AE3" w:rsidRDefault="00B04AE3">
            <w:pPr>
              <w:jc w:val="center"/>
              <w:rPr>
                <w:sz w:val="21"/>
                <w:szCs w:val="21"/>
              </w:rPr>
            </w:pPr>
            <w:r>
              <w:rPr>
                <w:sz w:val="21"/>
                <w:szCs w:val="21"/>
              </w:rPr>
              <w:t>7</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装配工场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r>
              <w:rPr>
                <w:rFonts w:hint="eastAsia"/>
                <w:sz w:val="21"/>
                <w:szCs w:val="21"/>
              </w:rPr>
              <w:t>装配</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焊接机</w:t>
            </w:r>
          </w:p>
        </w:tc>
        <w:tc>
          <w:tcPr>
            <w:tcW w:w="1014" w:type="dxa"/>
            <w:vAlign w:val="center"/>
          </w:tcPr>
          <w:p w:rsidR="00B04AE3" w:rsidRDefault="00B04AE3">
            <w:pPr>
              <w:jc w:val="center"/>
              <w:rPr>
                <w:sz w:val="21"/>
                <w:szCs w:val="21"/>
              </w:rPr>
            </w:pPr>
            <w:r>
              <w:rPr>
                <w:sz w:val="21"/>
                <w:szCs w:val="21"/>
              </w:rPr>
              <w:t>32</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装配工场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r>
              <w:rPr>
                <w:rFonts w:hint="eastAsia"/>
                <w:sz w:val="21"/>
                <w:szCs w:val="21"/>
              </w:rPr>
              <w:t>总装焊接</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商用试验机</w:t>
            </w:r>
          </w:p>
        </w:tc>
        <w:tc>
          <w:tcPr>
            <w:tcW w:w="1014" w:type="dxa"/>
            <w:vAlign w:val="center"/>
          </w:tcPr>
          <w:p w:rsidR="00B04AE3" w:rsidRDefault="00B04AE3">
            <w:pPr>
              <w:jc w:val="center"/>
              <w:rPr>
                <w:sz w:val="21"/>
                <w:szCs w:val="21"/>
              </w:rPr>
            </w:pPr>
            <w:r>
              <w:rPr>
                <w:sz w:val="21"/>
                <w:szCs w:val="21"/>
              </w:rPr>
              <w:t>4</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装配工场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热套机</w:t>
            </w:r>
          </w:p>
        </w:tc>
        <w:tc>
          <w:tcPr>
            <w:tcW w:w="1014" w:type="dxa"/>
            <w:vAlign w:val="center"/>
          </w:tcPr>
          <w:p w:rsidR="00B04AE3" w:rsidRDefault="00B04AE3">
            <w:pPr>
              <w:jc w:val="center"/>
              <w:rPr>
                <w:sz w:val="21"/>
                <w:szCs w:val="21"/>
              </w:rPr>
            </w:pPr>
            <w:r>
              <w:rPr>
                <w:sz w:val="21"/>
                <w:szCs w:val="21"/>
              </w:rPr>
              <w:t>7</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装配工场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r>
              <w:rPr>
                <w:rFonts w:hint="eastAsia"/>
                <w:sz w:val="21"/>
                <w:szCs w:val="21"/>
              </w:rPr>
              <w:t>转子热套</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翻身移栽机</w:t>
            </w:r>
          </w:p>
        </w:tc>
        <w:tc>
          <w:tcPr>
            <w:tcW w:w="1014" w:type="dxa"/>
            <w:vAlign w:val="center"/>
          </w:tcPr>
          <w:p w:rsidR="00B04AE3" w:rsidRDefault="00B04AE3">
            <w:pPr>
              <w:jc w:val="center"/>
              <w:rPr>
                <w:sz w:val="21"/>
                <w:szCs w:val="21"/>
              </w:rPr>
            </w:pPr>
            <w:r>
              <w:rPr>
                <w:sz w:val="21"/>
                <w:szCs w:val="21"/>
              </w:rPr>
              <w:t>6</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装配工场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电泳涂装</w:t>
            </w:r>
          </w:p>
        </w:tc>
        <w:tc>
          <w:tcPr>
            <w:tcW w:w="1014" w:type="dxa"/>
            <w:vAlign w:val="center"/>
          </w:tcPr>
          <w:p w:rsidR="00B04AE3" w:rsidRDefault="00B04AE3">
            <w:pPr>
              <w:jc w:val="center"/>
              <w:rPr>
                <w:sz w:val="21"/>
                <w:szCs w:val="21"/>
              </w:rPr>
            </w:pPr>
            <w:r>
              <w:rPr>
                <w:sz w:val="21"/>
                <w:szCs w:val="21"/>
              </w:rPr>
              <w:t>1</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成品工场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r>
              <w:rPr>
                <w:rFonts w:hint="eastAsia"/>
                <w:sz w:val="21"/>
                <w:szCs w:val="21"/>
              </w:rPr>
              <w:t>电泳涂装</w:t>
            </w:r>
          </w:p>
        </w:tc>
      </w:tr>
      <w:tr w:rsidR="00B04AE3">
        <w:trPr>
          <w:trHeight w:val="388"/>
          <w:jc w:val="center"/>
        </w:trPr>
        <w:tc>
          <w:tcPr>
            <w:tcW w:w="1984" w:type="dxa"/>
            <w:vAlign w:val="center"/>
          </w:tcPr>
          <w:p w:rsidR="00B04AE3" w:rsidRDefault="00B04AE3">
            <w:pPr>
              <w:jc w:val="center"/>
              <w:rPr>
                <w:sz w:val="21"/>
                <w:szCs w:val="21"/>
              </w:rPr>
            </w:pPr>
            <w:r>
              <w:rPr>
                <w:rFonts w:hint="eastAsia"/>
                <w:sz w:val="21"/>
                <w:szCs w:val="21"/>
              </w:rPr>
              <w:t>出荷试验</w:t>
            </w:r>
          </w:p>
        </w:tc>
        <w:tc>
          <w:tcPr>
            <w:tcW w:w="1014" w:type="dxa"/>
            <w:vAlign w:val="center"/>
          </w:tcPr>
          <w:p w:rsidR="00B04AE3" w:rsidRDefault="00B04AE3">
            <w:pPr>
              <w:jc w:val="center"/>
              <w:rPr>
                <w:sz w:val="21"/>
                <w:szCs w:val="21"/>
              </w:rPr>
            </w:pPr>
            <w:r>
              <w:rPr>
                <w:sz w:val="21"/>
                <w:szCs w:val="21"/>
              </w:rPr>
              <w:t>4</w:t>
            </w:r>
          </w:p>
        </w:tc>
        <w:tc>
          <w:tcPr>
            <w:tcW w:w="1353" w:type="dxa"/>
            <w:vAlign w:val="center"/>
          </w:tcPr>
          <w:p w:rsidR="00B04AE3" w:rsidRDefault="00B04AE3">
            <w:pPr>
              <w:jc w:val="center"/>
              <w:rPr>
                <w:sz w:val="21"/>
                <w:szCs w:val="21"/>
              </w:rPr>
            </w:pPr>
            <w:r>
              <w:rPr>
                <w:rFonts w:hint="eastAsia"/>
                <w:sz w:val="21"/>
                <w:szCs w:val="21"/>
              </w:rPr>
              <w:t>密闭</w:t>
            </w:r>
          </w:p>
        </w:tc>
        <w:tc>
          <w:tcPr>
            <w:tcW w:w="1644" w:type="dxa"/>
            <w:vAlign w:val="center"/>
          </w:tcPr>
          <w:p w:rsidR="00B04AE3" w:rsidRDefault="00B04AE3">
            <w:pPr>
              <w:jc w:val="center"/>
              <w:rPr>
                <w:sz w:val="21"/>
                <w:szCs w:val="21"/>
              </w:rPr>
            </w:pPr>
            <w:r>
              <w:rPr>
                <w:rFonts w:hint="eastAsia"/>
                <w:sz w:val="21"/>
                <w:szCs w:val="21"/>
              </w:rPr>
              <w:t>成品工场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r>
              <w:rPr>
                <w:rFonts w:hint="eastAsia"/>
                <w:sz w:val="21"/>
                <w:szCs w:val="21"/>
              </w:rPr>
              <w:t>出荷</w:t>
            </w:r>
          </w:p>
        </w:tc>
      </w:tr>
      <w:tr w:rsidR="00B04AE3">
        <w:trPr>
          <w:trHeight w:val="397"/>
          <w:jc w:val="center"/>
        </w:trPr>
        <w:tc>
          <w:tcPr>
            <w:tcW w:w="1984" w:type="dxa"/>
            <w:vAlign w:val="center"/>
          </w:tcPr>
          <w:p w:rsidR="00B04AE3" w:rsidRDefault="00B04AE3">
            <w:pPr>
              <w:jc w:val="center"/>
              <w:rPr>
                <w:sz w:val="21"/>
                <w:szCs w:val="21"/>
              </w:rPr>
            </w:pPr>
            <w:r>
              <w:rPr>
                <w:rFonts w:hint="eastAsia"/>
                <w:sz w:val="21"/>
                <w:szCs w:val="21"/>
              </w:rPr>
              <w:t>注油机</w:t>
            </w:r>
          </w:p>
        </w:tc>
        <w:tc>
          <w:tcPr>
            <w:tcW w:w="1014" w:type="dxa"/>
            <w:vAlign w:val="center"/>
          </w:tcPr>
          <w:p w:rsidR="00B04AE3" w:rsidRDefault="00B04AE3">
            <w:pPr>
              <w:jc w:val="center"/>
              <w:rPr>
                <w:sz w:val="21"/>
                <w:szCs w:val="21"/>
              </w:rPr>
            </w:pPr>
            <w:r>
              <w:rPr>
                <w:sz w:val="21"/>
                <w:szCs w:val="21"/>
              </w:rPr>
              <w:t>4</w:t>
            </w:r>
          </w:p>
        </w:tc>
        <w:tc>
          <w:tcPr>
            <w:tcW w:w="1353" w:type="dxa"/>
            <w:vAlign w:val="center"/>
          </w:tcPr>
          <w:p w:rsidR="00B04AE3" w:rsidRDefault="00B04AE3">
            <w:pPr>
              <w:jc w:val="center"/>
              <w:rPr>
                <w:sz w:val="21"/>
                <w:szCs w:val="21"/>
              </w:rPr>
            </w:pPr>
            <w:r>
              <w:rPr>
                <w:rFonts w:hint="eastAsia"/>
                <w:sz w:val="21"/>
                <w:szCs w:val="21"/>
              </w:rPr>
              <w:t>半密闭</w:t>
            </w:r>
          </w:p>
        </w:tc>
        <w:tc>
          <w:tcPr>
            <w:tcW w:w="1644" w:type="dxa"/>
            <w:vAlign w:val="center"/>
          </w:tcPr>
          <w:p w:rsidR="00B04AE3" w:rsidRDefault="00B04AE3">
            <w:pPr>
              <w:jc w:val="center"/>
              <w:rPr>
                <w:sz w:val="21"/>
                <w:szCs w:val="21"/>
              </w:rPr>
            </w:pPr>
            <w:r>
              <w:rPr>
                <w:rFonts w:hint="eastAsia"/>
                <w:sz w:val="21"/>
                <w:szCs w:val="21"/>
              </w:rPr>
              <w:t>成品工场</w:t>
            </w:r>
          </w:p>
        </w:tc>
        <w:tc>
          <w:tcPr>
            <w:tcW w:w="1303" w:type="dxa"/>
            <w:vAlign w:val="center"/>
          </w:tcPr>
          <w:p w:rsidR="00B04AE3" w:rsidRDefault="00B04AE3">
            <w:pPr>
              <w:jc w:val="center"/>
              <w:rPr>
                <w:sz w:val="21"/>
                <w:szCs w:val="21"/>
              </w:rPr>
            </w:pPr>
            <w:r>
              <w:rPr>
                <w:rFonts w:hint="eastAsia"/>
                <w:sz w:val="21"/>
                <w:szCs w:val="21"/>
              </w:rPr>
              <w:t>二层</w:t>
            </w:r>
          </w:p>
        </w:tc>
        <w:tc>
          <w:tcPr>
            <w:tcW w:w="2242" w:type="dxa"/>
            <w:vAlign w:val="center"/>
          </w:tcPr>
          <w:p w:rsidR="00B04AE3" w:rsidRDefault="00B04AE3">
            <w:pPr>
              <w:jc w:val="center"/>
              <w:rPr>
                <w:sz w:val="21"/>
                <w:szCs w:val="21"/>
              </w:rPr>
            </w:pPr>
            <w:r>
              <w:rPr>
                <w:rFonts w:hint="eastAsia"/>
                <w:sz w:val="21"/>
                <w:szCs w:val="21"/>
              </w:rPr>
              <w:t>出荷</w:t>
            </w:r>
          </w:p>
        </w:tc>
      </w:tr>
    </w:tbl>
    <w:p w:rsidR="00B04AE3" w:rsidRDefault="00B04AE3">
      <w:pPr>
        <w:pStyle w:val="Heading2"/>
        <w:numPr>
          <w:ilvl w:val="1"/>
          <w:numId w:val="41"/>
        </w:numPr>
        <w:tabs>
          <w:tab w:val="left" w:pos="1360"/>
        </w:tabs>
        <w:spacing w:before="65"/>
        <w:ind w:hanging="559"/>
      </w:pPr>
      <w:bookmarkStart w:id="293" w:name="2.7_安全生产管理"/>
      <w:bookmarkStart w:id="294" w:name="_bookmark94"/>
      <w:bookmarkEnd w:id="293"/>
      <w:bookmarkEnd w:id="294"/>
      <w:r>
        <w:rPr>
          <w:rFonts w:hint="eastAsia"/>
        </w:rPr>
        <w:t>安全生产管理</w:t>
      </w:r>
    </w:p>
    <w:p w:rsidR="00B04AE3" w:rsidRDefault="00B04AE3">
      <w:pPr>
        <w:pStyle w:val="BodyText"/>
        <w:spacing w:before="20" w:line="360" w:lineRule="auto"/>
        <w:ind w:left="334" w:right="334" w:firstLine="482"/>
        <w:jc w:val="both"/>
        <w:rPr>
          <w:spacing w:val="-6"/>
          <w:szCs w:val="22"/>
        </w:rPr>
      </w:pPr>
      <w:r>
        <w:rPr>
          <w:rFonts w:hint="eastAsia"/>
          <w:spacing w:val="-6"/>
          <w:szCs w:val="22"/>
        </w:rPr>
        <w:t>经过多年的发展，南昌海立电器有限公司已经在安全、环保管理方面形成了相应的规章制度和组织机构。企业定期对职工开展环境风险和环境应急管理宣传和培训；已建立相关环境管理制度，如企业岗位巡检制度、重点部位管理制度、人员培训管理制度、信息报告制度等，并有效执行。</w:t>
      </w:r>
    </w:p>
    <w:p w:rsidR="00B04AE3" w:rsidRDefault="00B04AE3">
      <w:pPr>
        <w:pStyle w:val="Heading2"/>
        <w:numPr>
          <w:ilvl w:val="1"/>
          <w:numId w:val="41"/>
        </w:numPr>
        <w:tabs>
          <w:tab w:val="left" w:pos="1360"/>
        </w:tabs>
        <w:spacing w:before="188"/>
        <w:ind w:hanging="559"/>
      </w:pPr>
      <w:bookmarkStart w:id="295" w:name="2.8_现有环境风险防控与应急措施情况"/>
      <w:bookmarkStart w:id="296" w:name="_bookmark95"/>
      <w:bookmarkEnd w:id="295"/>
      <w:bookmarkEnd w:id="296"/>
      <w:r>
        <w:rPr>
          <w:rFonts w:hint="eastAsia"/>
        </w:rPr>
        <w:t>现有环境风险防控与应急措施情况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近年来，南昌海立电器有限公司在安全环保方面做了大量的工作，取得了显著的成效。积极实施节能减排，建立了比较完善的生产安全管理体系。</w:t>
      </w:r>
    </w:p>
    <w:p w:rsidR="00B04AE3" w:rsidRDefault="00B04AE3">
      <w:pPr>
        <w:pStyle w:val="Heading3"/>
        <w:numPr>
          <w:ilvl w:val="2"/>
          <w:numId w:val="41"/>
        </w:numPr>
        <w:tabs>
          <w:tab w:val="left" w:pos="1520"/>
        </w:tabs>
        <w:ind w:left="1520" w:hanging="720"/>
      </w:pPr>
      <w:bookmarkStart w:id="297" w:name="2.8.1__宣传、培训和演习"/>
      <w:bookmarkStart w:id="298" w:name="_bookmark96"/>
      <w:bookmarkEnd w:id="297"/>
      <w:bookmarkEnd w:id="298"/>
      <w:r>
        <w:rPr>
          <w:rFonts w:hint="eastAsia"/>
        </w:rPr>
        <w:t>宣传、培训和演习</w:t>
      </w:r>
    </w:p>
    <w:p w:rsidR="00B04AE3" w:rsidRDefault="00B04AE3">
      <w:pPr>
        <w:pStyle w:val="BodyText"/>
        <w:spacing w:before="20" w:line="360" w:lineRule="auto"/>
        <w:ind w:left="334" w:right="334" w:firstLine="482"/>
        <w:jc w:val="both"/>
        <w:rPr>
          <w:spacing w:val="-6"/>
          <w:szCs w:val="22"/>
        </w:rPr>
      </w:pPr>
      <w:r>
        <w:rPr>
          <w:rFonts w:hint="eastAsia"/>
          <w:spacing w:val="-6"/>
          <w:szCs w:val="22"/>
        </w:rPr>
        <w:t>宣传、培训和演习工作主要由安全环保部负责，其主要工作内容如下：</w:t>
      </w:r>
    </w:p>
    <w:p w:rsidR="00B04AE3" w:rsidRDefault="00B04AE3">
      <w:pPr>
        <w:pStyle w:val="BodyText"/>
        <w:spacing w:before="20" w:line="360" w:lineRule="auto"/>
        <w:ind w:left="334" w:right="334" w:firstLine="482"/>
        <w:jc w:val="both"/>
        <w:rPr>
          <w:spacing w:val="-6"/>
          <w:szCs w:val="22"/>
        </w:rPr>
      </w:pPr>
      <w:r>
        <w:rPr>
          <w:rFonts w:hint="eastAsia"/>
          <w:spacing w:val="-6"/>
          <w:szCs w:val="22"/>
        </w:rPr>
        <w:t>⑴加强环境保护科普宣传教育工作，通过公司宣传栏、现场标识牌等方式进行宣传，扩大应急管理科普宣教工作覆盖面，普及环境污染事件的预防常识，</w:t>
      </w:r>
      <w:r>
        <w:rPr>
          <w:spacing w:val="-6"/>
          <w:szCs w:val="22"/>
        </w:rPr>
        <w:t xml:space="preserve"> </w:t>
      </w:r>
      <w:r>
        <w:rPr>
          <w:rFonts w:hint="eastAsia"/>
          <w:spacing w:val="-6"/>
          <w:szCs w:val="22"/>
        </w:rPr>
        <w:t>增强职工的防范意识和相关心理准备，提高公众对事故的防范意识；</w:t>
      </w:r>
    </w:p>
    <w:p w:rsidR="00B04AE3" w:rsidRDefault="00B04AE3">
      <w:pPr>
        <w:pStyle w:val="BodyText"/>
        <w:spacing w:before="20" w:line="360" w:lineRule="auto"/>
        <w:ind w:left="334" w:right="334" w:firstLine="482"/>
        <w:jc w:val="both"/>
        <w:rPr>
          <w:spacing w:val="-6"/>
          <w:szCs w:val="22"/>
        </w:rPr>
      </w:pPr>
      <w:r>
        <w:rPr>
          <w:rFonts w:hint="eastAsia"/>
          <w:spacing w:val="-6"/>
          <w:szCs w:val="22"/>
        </w:rPr>
        <w:t>⑵加强日常培训和涉及风险事故源工作人员的培训管理，培养一批训练有素的突发事故应急处置、救护队伍；</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⑶定期组织突发事故应急实战演习，提高防范和处置突发性环境污染事故的技能，增强实战能力，全面提高员工预防、避险、自救、互救、减灾等知识和技能。</w:t>
      </w:r>
    </w:p>
    <w:p w:rsidR="00B04AE3" w:rsidRDefault="00B04AE3">
      <w:pPr>
        <w:pStyle w:val="Heading3"/>
        <w:numPr>
          <w:ilvl w:val="2"/>
          <w:numId w:val="41"/>
        </w:numPr>
        <w:tabs>
          <w:tab w:val="left" w:pos="1520"/>
        </w:tabs>
        <w:spacing w:before="2"/>
        <w:ind w:left="1520" w:hanging="720"/>
      </w:pPr>
      <w:bookmarkStart w:id="299" w:name="2.8.2__危险源监控"/>
      <w:bookmarkStart w:id="300" w:name="_bookmark97"/>
      <w:bookmarkEnd w:id="299"/>
      <w:bookmarkEnd w:id="300"/>
      <w:r>
        <w:rPr>
          <w:rFonts w:hint="eastAsia"/>
        </w:rPr>
        <w:t>危险源监控</w:t>
      </w:r>
    </w:p>
    <w:p w:rsidR="00B04AE3" w:rsidRDefault="00B04AE3">
      <w:pPr>
        <w:pStyle w:val="BodyText"/>
        <w:spacing w:before="20" w:line="360" w:lineRule="auto"/>
        <w:ind w:left="334" w:right="334" w:firstLine="482"/>
        <w:jc w:val="both"/>
        <w:rPr>
          <w:spacing w:val="-6"/>
          <w:szCs w:val="22"/>
        </w:rPr>
      </w:pPr>
      <w:r>
        <w:rPr>
          <w:rFonts w:hint="eastAsia"/>
          <w:spacing w:val="-6"/>
          <w:szCs w:val="22"/>
        </w:rPr>
        <w:t>为了及时掌握危险源的情况，对危险事故做到早发现早处理，降低或避免危险事故造成的危害，企业建立了重要环境因素及危险源识别、评价体系，并对危险源进行监控，主要措施有：</w:t>
      </w:r>
    </w:p>
    <w:p w:rsidR="00B04AE3" w:rsidRDefault="00B04AE3">
      <w:pPr>
        <w:pStyle w:val="BodyText"/>
        <w:spacing w:before="20" w:line="360" w:lineRule="auto"/>
        <w:ind w:left="334" w:right="334" w:firstLine="482"/>
        <w:jc w:val="both"/>
        <w:rPr>
          <w:spacing w:val="-6"/>
          <w:szCs w:val="22"/>
        </w:rPr>
      </w:pPr>
      <w:r>
        <w:rPr>
          <w:rFonts w:hint="eastAsia"/>
          <w:spacing w:val="-6"/>
          <w:szCs w:val="22"/>
        </w:rPr>
        <w:t>①步进式加热炉尾气安装废气在线监测系统，实现污染物排放在线监测。</w:t>
      </w:r>
    </w:p>
    <w:p w:rsidR="00B04AE3" w:rsidRDefault="00B04AE3">
      <w:pPr>
        <w:pStyle w:val="BodyText"/>
        <w:spacing w:before="20" w:line="360" w:lineRule="auto"/>
        <w:ind w:left="334" w:right="334" w:firstLine="482"/>
        <w:jc w:val="both"/>
        <w:rPr>
          <w:spacing w:val="-6"/>
          <w:szCs w:val="22"/>
        </w:rPr>
      </w:pPr>
      <w:r>
        <w:rPr>
          <w:rFonts w:hint="eastAsia"/>
          <w:spacing w:val="-6"/>
          <w:szCs w:val="22"/>
        </w:rPr>
        <w:t>②在生产装置区、硫酸储罐区、液氮钢瓶周围安装点型、可燃气体探测器，一旦周围可燃、有毒气体浓度超标将进行自动报警。</w:t>
      </w:r>
    </w:p>
    <w:p w:rsidR="00B04AE3" w:rsidRDefault="00B04AE3">
      <w:pPr>
        <w:pStyle w:val="BodyText"/>
        <w:spacing w:before="20" w:line="360" w:lineRule="auto"/>
        <w:ind w:left="334" w:right="334" w:firstLine="482"/>
        <w:jc w:val="both"/>
        <w:rPr>
          <w:spacing w:val="-6"/>
          <w:szCs w:val="22"/>
        </w:rPr>
      </w:pPr>
      <w:r>
        <w:rPr>
          <w:rFonts w:hint="eastAsia"/>
          <w:spacing w:val="-6"/>
          <w:szCs w:val="22"/>
        </w:rPr>
        <w:t>③特种设备按规定定期检测；安全附件和仪表按国家相关法律法规强制检定，主要包括各机组、储罐、压力容器、压力管道应该配备的安全阀、压力表等。</w:t>
      </w:r>
    </w:p>
    <w:p w:rsidR="00B04AE3" w:rsidRDefault="00B04AE3">
      <w:pPr>
        <w:pStyle w:val="BodyText"/>
        <w:spacing w:before="20" w:line="360" w:lineRule="auto"/>
        <w:ind w:left="334" w:right="334" w:firstLine="482"/>
        <w:jc w:val="both"/>
        <w:rPr>
          <w:spacing w:val="-6"/>
          <w:szCs w:val="22"/>
        </w:rPr>
      </w:pPr>
      <w:r>
        <w:rPr>
          <w:rFonts w:hint="eastAsia"/>
          <w:spacing w:val="-6"/>
          <w:szCs w:val="22"/>
        </w:rPr>
        <w:t>④按照技术监控为主、人工监控为辅的原则，加强各设备参数、指标的自动监控。</w:t>
      </w:r>
    </w:p>
    <w:p w:rsidR="00B04AE3" w:rsidRDefault="00B04AE3">
      <w:pPr>
        <w:pStyle w:val="BodyText"/>
        <w:spacing w:before="20" w:line="360" w:lineRule="auto"/>
        <w:ind w:left="334" w:right="334" w:firstLine="482"/>
        <w:jc w:val="both"/>
        <w:rPr>
          <w:spacing w:val="-6"/>
          <w:szCs w:val="22"/>
        </w:rPr>
      </w:pPr>
      <w:r>
        <w:rPr>
          <w:rFonts w:hint="eastAsia"/>
          <w:spacing w:val="-6"/>
          <w:szCs w:val="22"/>
        </w:rPr>
        <w:t>⑤重点部位设置摄像头监控，值班人员</w:t>
      </w:r>
      <w:r>
        <w:rPr>
          <w:spacing w:val="-6"/>
          <w:szCs w:val="22"/>
        </w:rPr>
        <w:t xml:space="preserve"> 24 </w:t>
      </w:r>
      <w:r>
        <w:rPr>
          <w:rFonts w:hint="eastAsia"/>
          <w:spacing w:val="-6"/>
          <w:szCs w:val="22"/>
        </w:rPr>
        <w:t>小时监控，一旦发生突发环境事件，工作人员可通过显示装置迅速通知生产车间或应急指挥部，同时启动相应应急预案。</w:t>
      </w:r>
    </w:p>
    <w:p w:rsidR="00B04AE3" w:rsidRDefault="00B04AE3">
      <w:pPr>
        <w:pStyle w:val="BodyText"/>
        <w:spacing w:before="20" w:line="360" w:lineRule="auto"/>
        <w:ind w:left="334" w:right="334" w:firstLine="482"/>
        <w:jc w:val="both"/>
        <w:rPr>
          <w:spacing w:val="-6"/>
          <w:szCs w:val="22"/>
        </w:rPr>
      </w:pPr>
      <w:r>
        <w:rPr>
          <w:rFonts w:hint="eastAsia"/>
          <w:spacing w:val="-6"/>
          <w:szCs w:val="22"/>
        </w:rPr>
        <w:t>⑥制定日常岗位巡检表，定时巡检，作好巡检记录。</w:t>
      </w:r>
    </w:p>
    <w:p w:rsidR="00B04AE3" w:rsidRDefault="00B04AE3">
      <w:pPr>
        <w:pStyle w:val="BodyText"/>
        <w:spacing w:before="20" w:line="360" w:lineRule="auto"/>
        <w:ind w:left="334" w:right="334" w:firstLine="482"/>
        <w:jc w:val="both"/>
        <w:rPr>
          <w:spacing w:val="-6"/>
          <w:szCs w:val="22"/>
        </w:rPr>
      </w:pPr>
      <w:r>
        <w:rPr>
          <w:rFonts w:hint="eastAsia"/>
          <w:spacing w:val="-6"/>
          <w:szCs w:val="22"/>
        </w:rPr>
        <w:t>⑦设备设施定期保养并保持完好。</w:t>
      </w:r>
    </w:p>
    <w:p w:rsidR="00B04AE3" w:rsidRDefault="00B04AE3">
      <w:pPr>
        <w:pStyle w:val="BodyText"/>
        <w:spacing w:before="20" w:line="360" w:lineRule="auto"/>
        <w:ind w:left="334" w:right="334" w:firstLine="482"/>
        <w:jc w:val="both"/>
        <w:rPr>
          <w:spacing w:val="-6"/>
          <w:szCs w:val="22"/>
        </w:rPr>
      </w:pPr>
      <w:r>
        <w:rPr>
          <w:rFonts w:hint="eastAsia"/>
          <w:spacing w:val="-6"/>
          <w:szCs w:val="22"/>
        </w:rPr>
        <w:t>⑧卫生防护及环保设施：每班每小时进行一次厂区巡查，检查内容主要有采场工作纪律执行情况、废气处理设施、应急物资以及个人防护用品等。巡检内容主要为加工区是否严格按规范进行，各环保设备运行是否正常，应急物资及急救用品是否齐全有效。</w:t>
      </w:r>
    </w:p>
    <w:p w:rsidR="00B04AE3" w:rsidRDefault="00B04AE3">
      <w:pPr>
        <w:pStyle w:val="BodyText"/>
        <w:spacing w:before="20" w:line="360" w:lineRule="auto"/>
        <w:ind w:left="334" w:right="334" w:firstLine="482"/>
        <w:jc w:val="both"/>
        <w:rPr>
          <w:spacing w:val="-6"/>
          <w:szCs w:val="22"/>
        </w:rPr>
      </w:pPr>
      <w:r>
        <w:rPr>
          <w:rFonts w:hint="eastAsia"/>
          <w:spacing w:val="-6"/>
          <w:szCs w:val="22"/>
        </w:rPr>
        <w:t>⑨应急物资和装备设置专人负责，正常情况下按照规定进行例行检查，</w:t>
      </w:r>
      <w:r>
        <w:rPr>
          <w:spacing w:val="-6"/>
          <w:szCs w:val="22"/>
        </w:rPr>
        <w:t xml:space="preserve"> </w:t>
      </w:r>
      <w:r>
        <w:rPr>
          <w:rFonts w:hint="eastAsia"/>
          <w:spacing w:val="-6"/>
          <w:szCs w:val="22"/>
        </w:rPr>
        <w:t>特殊时期要每天进行检查，保证各种物资的充足与完备。</w:t>
      </w:r>
    </w:p>
    <w:p w:rsidR="00B04AE3" w:rsidRDefault="00B04AE3">
      <w:pPr>
        <w:pStyle w:val="BodyText"/>
        <w:spacing w:before="20" w:line="360" w:lineRule="auto"/>
        <w:ind w:left="334" w:right="334" w:firstLine="482"/>
        <w:jc w:val="both"/>
        <w:rPr>
          <w:spacing w:val="-6"/>
          <w:szCs w:val="22"/>
        </w:rPr>
      </w:pPr>
      <w:r>
        <w:rPr>
          <w:rFonts w:hint="eastAsia"/>
          <w:spacing w:val="-6"/>
          <w:szCs w:val="22"/>
        </w:rPr>
        <w:t>⑩应与当地供电部门保持沟通渠道，及时了解停电计划以便安排实施应对措施。</w:t>
      </w:r>
    </w:p>
    <w:p w:rsidR="00B04AE3" w:rsidRDefault="00B04AE3">
      <w:pPr>
        <w:pStyle w:val="BodyText"/>
        <w:spacing w:before="20" w:line="360" w:lineRule="auto"/>
        <w:ind w:left="334" w:right="334" w:firstLine="482"/>
        <w:jc w:val="both"/>
        <w:rPr>
          <w:spacing w:val="-6"/>
          <w:szCs w:val="22"/>
        </w:rPr>
      </w:pPr>
      <w:r>
        <w:rPr>
          <w:rFonts w:ascii="Batang" w:eastAsia="Batang" w:hAnsi="Batang" w:cs="Batang" w:hint="eastAsia"/>
          <w:spacing w:val="-6"/>
          <w:szCs w:val="22"/>
        </w:rPr>
        <w:t>⑪</w:t>
      </w:r>
      <w:r>
        <w:rPr>
          <w:rFonts w:hint="eastAsia"/>
          <w:spacing w:val="-6"/>
          <w:szCs w:val="22"/>
        </w:rPr>
        <w:t>生产过程中的危险预防措施</w:t>
      </w:r>
    </w:p>
    <w:p w:rsidR="00B04AE3" w:rsidRDefault="00B04AE3">
      <w:pPr>
        <w:pStyle w:val="BodyText"/>
        <w:spacing w:before="20" w:line="360" w:lineRule="auto"/>
        <w:ind w:left="334" w:right="334" w:firstLine="482"/>
        <w:jc w:val="both"/>
        <w:rPr>
          <w:spacing w:val="-6"/>
          <w:szCs w:val="22"/>
        </w:rPr>
      </w:pPr>
      <w:r>
        <w:rPr>
          <w:spacing w:val="-6"/>
          <w:szCs w:val="22"/>
        </w:rPr>
        <w:t>A</w:t>
      </w:r>
      <w:r>
        <w:rPr>
          <w:rFonts w:hint="eastAsia"/>
          <w:spacing w:val="-6"/>
          <w:szCs w:val="22"/>
        </w:rPr>
        <w:t>、对厂区主要位置执行监控制度，及时发现风险事故隐患。</w:t>
      </w:r>
    </w:p>
    <w:p w:rsidR="00B04AE3" w:rsidRDefault="00B04AE3">
      <w:pPr>
        <w:pStyle w:val="BodyText"/>
        <w:spacing w:before="20" w:line="360" w:lineRule="auto"/>
        <w:ind w:left="334" w:right="334" w:firstLine="482"/>
        <w:jc w:val="both"/>
        <w:rPr>
          <w:spacing w:val="-6"/>
          <w:szCs w:val="22"/>
        </w:rPr>
      </w:pPr>
      <w:r>
        <w:rPr>
          <w:spacing w:val="-6"/>
          <w:szCs w:val="22"/>
        </w:rPr>
        <w:t>B</w:t>
      </w:r>
      <w:r>
        <w:rPr>
          <w:rFonts w:hint="eastAsia"/>
          <w:spacing w:val="-6"/>
          <w:szCs w:val="22"/>
        </w:rPr>
        <w:t>、加强人员巡检，对发现的风险隐患及时进行消除。</w:t>
      </w:r>
    </w:p>
    <w:p w:rsidR="00B04AE3" w:rsidRDefault="00B04AE3">
      <w:pPr>
        <w:pStyle w:val="BodyText"/>
        <w:spacing w:before="20" w:line="360" w:lineRule="auto"/>
        <w:ind w:left="334" w:right="334" w:firstLine="482"/>
        <w:jc w:val="both"/>
        <w:rPr>
          <w:spacing w:val="-6"/>
          <w:szCs w:val="22"/>
        </w:rPr>
      </w:pPr>
      <w:r>
        <w:rPr>
          <w:rFonts w:ascii="Batang" w:eastAsia="Batang" w:hAnsi="Batang" w:cs="Batang" w:hint="eastAsia"/>
          <w:spacing w:val="-6"/>
          <w:szCs w:val="22"/>
        </w:rPr>
        <w:t>⑫</w:t>
      </w:r>
      <w:r>
        <w:rPr>
          <w:rFonts w:hint="eastAsia"/>
          <w:spacing w:val="-6"/>
          <w:szCs w:val="22"/>
        </w:rPr>
        <w:t>管理及操作环节危险预防措施</w:t>
      </w:r>
    </w:p>
    <w:p w:rsidR="00B04AE3" w:rsidRDefault="00B04AE3">
      <w:pPr>
        <w:pStyle w:val="BodyText"/>
        <w:spacing w:before="20" w:line="360" w:lineRule="auto"/>
        <w:ind w:left="334" w:right="334" w:firstLine="482"/>
        <w:jc w:val="both"/>
        <w:rPr>
          <w:spacing w:val="-6"/>
          <w:szCs w:val="22"/>
        </w:rPr>
      </w:pPr>
      <w:r>
        <w:rPr>
          <w:spacing w:val="-6"/>
          <w:szCs w:val="22"/>
        </w:rPr>
        <w:t>A</w:t>
      </w:r>
      <w:r>
        <w:rPr>
          <w:rFonts w:hint="eastAsia"/>
          <w:spacing w:val="-6"/>
          <w:szCs w:val="22"/>
        </w:rPr>
        <w:t>、建立健全安全生产责任制，制定安全生产规章制度和操作规程；</w:t>
      </w:r>
    </w:p>
    <w:p w:rsidR="00B04AE3" w:rsidRDefault="00B04AE3">
      <w:pPr>
        <w:pStyle w:val="BodyText"/>
        <w:spacing w:before="20" w:line="360" w:lineRule="auto"/>
        <w:ind w:left="334" w:right="334" w:firstLine="482"/>
        <w:jc w:val="both"/>
        <w:rPr>
          <w:spacing w:val="-6"/>
          <w:szCs w:val="22"/>
        </w:rPr>
      </w:pPr>
      <w:r>
        <w:rPr>
          <w:spacing w:val="-6"/>
          <w:szCs w:val="22"/>
        </w:rPr>
        <w:t>B</w:t>
      </w:r>
      <w:r>
        <w:rPr>
          <w:rFonts w:hint="eastAsia"/>
          <w:spacing w:val="-6"/>
          <w:szCs w:val="22"/>
        </w:rPr>
        <w:t>、对工作人员进行安全生产教育和培训，并定期进行理论和实践考核，保证工作人员具备必要的安全生产能力，并熟悉安全生产规章制度和安全生产规程；</w:t>
      </w:r>
    </w:p>
    <w:p w:rsidR="00B04AE3" w:rsidRDefault="00B04AE3">
      <w:pPr>
        <w:pStyle w:val="BodyText"/>
        <w:spacing w:before="20" w:line="360" w:lineRule="auto"/>
        <w:ind w:left="334" w:right="334" w:firstLine="482"/>
        <w:jc w:val="both"/>
        <w:rPr>
          <w:spacing w:val="-6"/>
          <w:szCs w:val="22"/>
        </w:rPr>
      </w:pPr>
      <w:r>
        <w:rPr>
          <w:spacing w:val="-6"/>
          <w:szCs w:val="22"/>
        </w:rPr>
        <w:t>C</w:t>
      </w:r>
      <w:r>
        <w:rPr>
          <w:rFonts w:hint="eastAsia"/>
          <w:spacing w:val="-6"/>
          <w:szCs w:val="22"/>
        </w:rPr>
        <w:t>、工作人员严格按照规程进行操作，并按照要求穿工作服和使用劳动防护用品，如电气检修时应穿绝缘靴、戴绝缘手套等；对劳保用品如防尘面具等应定期检查、检测，以确保其有效性。</w:t>
      </w:r>
      <w:bookmarkStart w:id="301" w:name="2.8.3__预防措施"/>
      <w:bookmarkStart w:id="302" w:name="_bookmark98"/>
      <w:bookmarkEnd w:id="301"/>
      <w:bookmarkEnd w:id="302"/>
    </w:p>
    <w:p w:rsidR="00B04AE3" w:rsidRDefault="00B04AE3">
      <w:pPr>
        <w:pStyle w:val="BodyText"/>
        <w:spacing w:before="20" w:line="360" w:lineRule="auto"/>
        <w:ind w:left="334" w:right="334" w:firstLine="482"/>
        <w:jc w:val="both"/>
        <w:rPr>
          <w:spacing w:val="-6"/>
          <w:szCs w:val="22"/>
        </w:rPr>
      </w:pPr>
      <w:r>
        <w:rPr>
          <w:rFonts w:hint="eastAsia"/>
          <w:spacing w:val="-6"/>
          <w:szCs w:val="22"/>
        </w:rPr>
        <w:t>预防措施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⑴生产过程中的危险预防措施：</w:t>
      </w:r>
    </w:p>
    <w:p w:rsidR="00B04AE3" w:rsidRDefault="00B04AE3">
      <w:pPr>
        <w:pStyle w:val="BodyText"/>
        <w:spacing w:before="20" w:line="360" w:lineRule="auto"/>
        <w:ind w:left="334" w:right="334" w:firstLine="482"/>
        <w:jc w:val="both"/>
        <w:rPr>
          <w:spacing w:val="-6"/>
          <w:szCs w:val="22"/>
        </w:rPr>
      </w:pPr>
      <w:r>
        <w:rPr>
          <w:spacing w:val="-6"/>
          <w:szCs w:val="22"/>
        </w:rPr>
        <w:t>A</w:t>
      </w:r>
      <w:r>
        <w:rPr>
          <w:rFonts w:hint="eastAsia"/>
          <w:spacing w:val="-6"/>
          <w:szCs w:val="22"/>
        </w:rPr>
        <w:t>、对厂区主要位置执行监控制度，及时发现风险事故隐患。</w:t>
      </w:r>
    </w:p>
    <w:p w:rsidR="00B04AE3" w:rsidRDefault="00B04AE3">
      <w:pPr>
        <w:pStyle w:val="BodyText"/>
        <w:spacing w:before="20" w:line="360" w:lineRule="auto"/>
        <w:ind w:left="334" w:right="334" w:firstLine="482"/>
        <w:jc w:val="both"/>
        <w:rPr>
          <w:spacing w:val="-6"/>
          <w:szCs w:val="22"/>
        </w:rPr>
      </w:pPr>
      <w:r>
        <w:rPr>
          <w:spacing w:val="-6"/>
          <w:szCs w:val="22"/>
        </w:rPr>
        <w:t>B</w:t>
      </w:r>
      <w:r>
        <w:rPr>
          <w:rFonts w:hint="eastAsia"/>
          <w:spacing w:val="-6"/>
          <w:szCs w:val="22"/>
        </w:rPr>
        <w:t>、加强人员巡检，对发现的风险隐患及时进行消除。</w:t>
      </w:r>
    </w:p>
    <w:p w:rsidR="00B04AE3" w:rsidRDefault="00B04AE3">
      <w:pPr>
        <w:pStyle w:val="BodyText"/>
        <w:spacing w:before="20" w:line="360" w:lineRule="auto"/>
        <w:ind w:left="334" w:right="334" w:firstLine="482"/>
        <w:jc w:val="both"/>
        <w:rPr>
          <w:spacing w:val="-6"/>
          <w:szCs w:val="22"/>
        </w:rPr>
      </w:pPr>
      <w:r>
        <w:rPr>
          <w:rFonts w:hint="eastAsia"/>
          <w:spacing w:val="-6"/>
          <w:szCs w:val="22"/>
        </w:rPr>
        <w:t>⑵管理及操作环节危险预防措施</w:t>
      </w:r>
    </w:p>
    <w:p w:rsidR="00B04AE3" w:rsidRDefault="00B04AE3">
      <w:pPr>
        <w:pStyle w:val="BodyText"/>
        <w:spacing w:before="20" w:line="360" w:lineRule="auto"/>
        <w:ind w:left="334" w:right="334" w:firstLine="482"/>
        <w:jc w:val="both"/>
        <w:rPr>
          <w:spacing w:val="-6"/>
          <w:szCs w:val="22"/>
        </w:rPr>
      </w:pPr>
      <w:r>
        <w:rPr>
          <w:spacing w:val="-6"/>
          <w:szCs w:val="22"/>
        </w:rPr>
        <w:t>A</w:t>
      </w:r>
      <w:r>
        <w:rPr>
          <w:rFonts w:hint="eastAsia"/>
          <w:spacing w:val="-6"/>
          <w:szCs w:val="22"/>
        </w:rPr>
        <w:t>、建立健全安全生产责任制，制定安全生产规章制度和操作规程；</w:t>
      </w:r>
    </w:p>
    <w:p w:rsidR="00B04AE3" w:rsidRDefault="00B04AE3">
      <w:pPr>
        <w:pStyle w:val="BodyText"/>
        <w:spacing w:before="20" w:line="360" w:lineRule="auto"/>
        <w:ind w:left="334" w:right="334" w:firstLine="482"/>
        <w:jc w:val="both"/>
        <w:rPr>
          <w:spacing w:val="-6"/>
          <w:szCs w:val="22"/>
        </w:rPr>
      </w:pPr>
      <w:r>
        <w:rPr>
          <w:spacing w:val="-6"/>
          <w:szCs w:val="22"/>
        </w:rPr>
        <w:t>B</w:t>
      </w:r>
      <w:r>
        <w:rPr>
          <w:rFonts w:hint="eastAsia"/>
          <w:spacing w:val="-6"/>
          <w:szCs w:val="22"/>
        </w:rPr>
        <w:t>、对工作人员进行安全生产教育和培训，并定期进行理论和实践考核，保证工作人员具备必要的安全生产能力，并熟悉安全生产规章制度和安全生产规程；</w:t>
      </w:r>
    </w:p>
    <w:p w:rsidR="00B04AE3" w:rsidRDefault="00B04AE3">
      <w:pPr>
        <w:pStyle w:val="BodyText"/>
        <w:spacing w:before="20" w:line="360" w:lineRule="auto"/>
        <w:ind w:left="334" w:right="334" w:firstLine="482"/>
        <w:jc w:val="both"/>
        <w:rPr>
          <w:spacing w:val="-6"/>
          <w:szCs w:val="22"/>
        </w:rPr>
      </w:pPr>
      <w:r>
        <w:rPr>
          <w:spacing w:val="-6"/>
          <w:szCs w:val="22"/>
        </w:rPr>
        <w:t>C</w:t>
      </w:r>
      <w:r>
        <w:rPr>
          <w:rFonts w:hint="eastAsia"/>
          <w:spacing w:val="-6"/>
          <w:szCs w:val="22"/>
        </w:rPr>
        <w:t>、工作人员应严格按照规程进行操作，并按照要求穿工作服和使用劳动防护用品，如电气检修时应穿绝缘靴、戴绝缘手套等；对劳保用品如防尘面具等应定期检查、检测，以确保其有效性。</w:t>
      </w:r>
    </w:p>
    <w:p w:rsidR="00B04AE3" w:rsidRDefault="00B04AE3">
      <w:pPr>
        <w:pStyle w:val="BodyText"/>
        <w:spacing w:before="20" w:line="360" w:lineRule="auto"/>
        <w:ind w:left="334" w:right="334" w:firstLine="482"/>
        <w:jc w:val="both"/>
        <w:rPr>
          <w:spacing w:val="-6"/>
          <w:szCs w:val="22"/>
        </w:rPr>
      </w:pPr>
      <w:r>
        <w:rPr>
          <w:rFonts w:hint="eastAsia"/>
          <w:spacing w:val="-6"/>
          <w:szCs w:val="22"/>
        </w:rPr>
        <w:t>⑶厂区截流措施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生产过程中选用密封良好的输送泵，工艺管线密封防腐防泄漏，设备配套的阀门、仪表接头等密闭，基本无跑、冒、滴、漏现象。</w:t>
      </w:r>
    </w:p>
    <w:p w:rsidR="00B04AE3" w:rsidRDefault="00B04AE3">
      <w:pPr>
        <w:pStyle w:val="BodyText"/>
        <w:spacing w:before="20" w:line="360" w:lineRule="auto"/>
        <w:ind w:left="334" w:right="334" w:firstLine="482"/>
        <w:jc w:val="both"/>
        <w:rPr>
          <w:spacing w:val="-6"/>
          <w:szCs w:val="22"/>
        </w:rPr>
      </w:pPr>
      <w:r>
        <w:rPr>
          <w:rFonts w:hint="eastAsia"/>
          <w:spacing w:val="-6"/>
          <w:szCs w:val="22"/>
        </w:rPr>
        <w:t>⑷罐区等地面铺设防渗层，大多罐区四周均设有完整围堰，且部分设置地槽并与事故池相连。</w:t>
      </w:r>
    </w:p>
    <w:p w:rsidR="00B04AE3" w:rsidRDefault="00B04AE3">
      <w:pPr>
        <w:pStyle w:val="BodyText"/>
        <w:spacing w:before="20" w:line="360" w:lineRule="auto"/>
        <w:ind w:left="334" w:right="334" w:firstLine="482"/>
        <w:jc w:val="both"/>
        <w:rPr>
          <w:spacing w:val="-6"/>
          <w:szCs w:val="22"/>
        </w:rPr>
      </w:pPr>
      <w:r>
        <w:rPr>
          <w:rFonts w:hint="eastAsia"/>
          <w:spacing w:val="-6"/>
          <w:szCs w:val="22"/>
        </w:rPr>
        <w:t>⑸三级防控体系及事故废水收集措施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一级防控：项目装置区设置有导流地槽，储罐区设置有围堰、导流设施等。事故发生时装置区物料沿导流地槽，进入事故池；储罐区发生泄漏时，物料将被围堰阻挡于其中，然后由导流收集设施转入事故池；储罐区初期雨水暂时收集于围堰中，然后开启导流阀门，使围堰与污水管网相连将其导出。</w:t>
      </w:r>
    </w:p>
    <w:p w:rsidR="00B04AE3" w:rsidRDefault="00B04AE3">
      <w:pPr>
        <w:pStyle w:val="BodyText"/>
        <w:spacing w:before="20" w:line="360" w:lineRule="auto"/>
        <w:ind w:left="334" w:right="334" w:firstLine="482"/>
        <w:jc w:val="both"/>
        <w:rPr>
          <w:spacing w:val="-6"/>
          <w:szCs w:val="22"/>
        </w:rPr>
      </w:pPr>
      <w:r>
        <w:rPr>
          <w:rFonts w:hint="eastAsia"/>
          <w:spacing w:val="-6"/>
          <w:szCs w:val="22"/>
        </w:rPr>
        <w:t>以上应急防控措施可以有效防止少量物料泄漏事故和防止初期雨水造成环境污染。</w:t>
      </w:r>
    </w:p>
    <w:p w:rsidR="00B04AE3" w:rsidRDefault="00B04AE3">
      <w:pPr>
        <w:pStyle w:val="BodyText"/>
        <w:spacing w:before="20" w:line="360" w:lineRule="auto"/>
        <w:ind w:left="334" w:right="334" w:firstLine="482"/>
        <w:jc w:val="both"/>
        <w:rPr>
          <w:spacing w:val="-6"/>
          <w:szCs w:val="22"/>
        </w:rPr>
      </w:pPr>
      <w:r>
        <w:rPr>
          <w:rFonts w:hint="eastAsia"/>
          <w:spacing w:val="-6"/>
          <w:szCs w:val="22"/>
        </w:rPr>
        <w:t>二级防控：当厂区内产生较多事故废水时，开启与污水管网的连接阀，使大量事故废水沿污水管网进入厂区事故池（容积为</w:t>
      </w:r>
      <w:r>
        <w:rPr>
          <w:spacing w:val="-6"/>
          <w:szCs w:val="22"/>
        </w:rPr>
        <w:t xml:space="preserve"> 300m3</w:t>
      </w:r>
      <w:r>
        <w:rPr>
          <w:rFonts w:hint="eastAsia"/>
          <w:spacing w:val="-6"/>
          <w:szCs w:val="22"/>
        </w:rPr>
        <w:t>）中。</w:t>
      </w:r>
    </w:p>
    <w:p w:rsidR="00B04AE3" w:rsidRDefault="00B04AE3">
      <w:pPr>
        <w:pStyle w:val="BodyText"/>
        <w:spacing w:before="20" w:line="360" w:lineRule="auto"/>
        <w:ind w:left="334" w:right="334" w:firstLine="482"/>
        <w:jc w:val="both"/>
        <w:rPr>
          <w:spacing w:val="-6"/>
          <w:szCs w:val="22"/>
        </w:rPr>
      </w:pPr>
      <w:r>
        <w:rPr>
          <w:rFonts w:hint="eastAsia"/>
          <w:spacing w:val="-6"/>
          <w:szCs w:val="22"/>
        </w:rPr>
        <w:t>以上措施作为企业二级防控措施，目的在于切断污染物与外界的通道，将污染物导入事故水池，最终进入污水处理系统处理。将污染控制在厂区，防止产生的较大事故泄漏物料和消防废水造成的环境污染。</w:t>
      </w:r>
    </w:p>
    <w:p w:rsidR="00B04AE3" w:rsidRDefault="00B04AE3">
      <w:pPr>
        <w:pStyle w:val="BodyText"/>
        <w:spacing w:before="20" w:line="360" w:lineRule="auto"/>
        <w:ind w:left="334" w:right="334" w:firstLine="482"/>
        <w:jc w:val="both"/>
        <w:rPr>
          <w:spacing w:val="-6"/>
          <w:szCs w:val="22"/>
        </w:rPr>
      </w:pPr>
      <w:r>
        <w:rPr>
          <w:rFonts w:hint="eastAsia"/>
          <w:spacing w:val="-6"/>
          <w:szCs w:val="22"/>
        </w:rPr>
        <w:t>三级防控：在污水处理设施的总排口前设置总切断阀，作为事故状态下的储存和调开手段，一旦污水处理设施出水出现异常，立即将排放阀关闭，并将废水导入旁边的事故水池中。将污染物控制在厂区内，防止重大事故对环境造成污染。</w:t>
      </w:r>
    </w:p>
    <w:p w:rsidR="00B04AE3" w:rsidRDefault="00B04AE3">
      <w:pPr>
        <w:pStyle w:val="Heading3"/>
        <w:numPr>
          <w:ilvl w:val="2"/>
          <w:numId w:val="41"/>
        </w:numPr>
        <w:tabs>
          <w:tab w:val="left" w:pos="1520"/>
        </w:tabs>
        <w:spacing w:before="1"/>
        <w:ind w:left="1520" w:hanging="720"/>
      </w:pPr>
      <w:bookmarkStart w:id="303" w:name="2.8.4__生产废水处理系统收集、防控措施"/>
      <w:bookmarkStart w:id="304" w:name="_bookmark99"/>
      <w:bookmarkEnd w:id="303"/>
      <w:bookmarkEnd w:id="304"/>
      <w:r>
        <w:rPr>
          <w:rFonts w:hint="eastAsia"/>
        </w:rPr>
        <w:t>生产废水处理系统收集、防控措施</w:t>
      </w:r>
    </w:p>
    <w:p w:rsidR="00B04AE3" w:rsidRDefault="00B04AE3">
      <w:pPr>
        <w:pStyle w:val="BodyText"/>
        <w:spacing w:before="20" w:line="360" w:lineRule="auto"/>
        <w:ind w:left="334" w:right="334" w:firstLine="482"/>
        <w:jc w:val="both"/>
        <w:rPr>
          <w:spacing w:val="-6"/>
          <w:szCs w:val="22"/>
        </w:rPr>
      </w:pPr>
      <w:r>
        <w:rPr>
          <w:rFonts w:hint="eastAsia"/>
          <w:spacing w:val="-6"/>
          <w:szCs w:val="22"/>
        </w:rPr>
        <w:t>项目生产废水全部回用，零排放；生活污水进入市政污水管道排至南昌市经济技术开发区白水湖污水处理厂。</w:t>
      </w:r>
    </w:p>
    <w:p w:rsidR="00B04AE3" w:rsidRDefault="00B04AE3">
      <w:pPr>
        <w:pStyle w:val="Heading2"/>
        <w:ind w:left="800" w:firstLine="0"/>
      </w:pPr>
      <w:bookmarkStart w:id="305" w:name="2.9_现有应急物资与装备、救援队伍情况"/>
      <w:bookmarkStart w:id="306" w:name="_bookmark100"/>
      <w:bookmarkEnd w:id="305"/>
      <w:bookmarkEnd w:id="306"/>
      <w:r>
        <w:rPr>
          <w:rFonts w:ascii="Times New Roman" w:eastAsia="Times New Roman"/>
        </w:rPr>
        <w:t>2.9</w:t>
      </w:r>
      <w:r>
        <w:rPr>
          <w:rFonts w:ascii="Times New Roman" w:eastAsia="Times New Roman"/>
          <w:spacing w:val="78"/>
        </w:rPr>
        <w:t xml:space="preserve"> </w:t>
      </w:r>
      <w:r>
        <w:rPr>
          <w:rFonts w:hint="eastAsia"/>
        </w:rPr>
        <w:t>现有应急物资与装备、救援队伍情况</w:t>
      </w:r>
    </w:p>
    <w:p w:rsidR="00B04AE3" w:rsidRDefault="00B04AE3">
      <w:pPr>
        <w:pStyle w:val="BodyText"/>
        <w:spacing w:before="20" w:line="360" w:lineRule="auto"/>
        <w:ind w:left="334" w:right="334" w:firstLine="482"/>
        <w:jc w:val="both"/>
        <w:rPr>
          <w:spacing w:val="-6"/>
          <w:szCs w:val="22"/>
        </w:rPr>
      </w:pPr>
      <w:r>
        <w:rPr>
          <w:rFonts w:hint="eastAsia"/>
          <w:spacing w:val="-6"/>
          <w:szCs w:val="22"/>
        </w:rPr>
        <w:t>企业现有应急物资与装备、救援队伍情况详见《南昌海立电器有限公司应急资源调查报告》。</w:t>
      </w:r>
    </w:p>
    <w:p w:rsidR="00B04AE3" w:rsidRDefault="00B04AE3">
      <w:pPr>
        <w:spacing w:line="364" w:lineRule="auto"/>
        <w:sectPr w:rsidR="00B04AE3">
          <w:footerReference w:type="default" r:id="rId69"/>
          <w:pgSz w:w="11910" w:h="16840"/>
          <w:pgMar w:top="1360" w:right="1000" w:bottom="900" w:left="1000" w:header="746" w:footer="720" w:gutter="0"/>
          <w:pgNumType w:start="30"/>
          <w:cols w:space="720"/>
        </w:sectPr>
      </w:pPr>
    </w:p>
    <w:p w:rsidR="00B04AE3" w:rsidRDefault="00B04AE3">
      <w:pPr>
        <w:pStyle w:val="Heading1"/>
        <w:numPr>
          <w:ilvl w:val="0"/>
          <w:numId w:val="41"/>
        </w:numPr>
        <w:tabs>
          <w:tab w:val="left" w:pos="1240"/>
        </w:tabs>
        <w:ind w:left="1239" w:hanging="439"/>
        <w:rPr>
          <w:rFonts w:ascii="Times New Roman" w:eastAsia="Times New Roman"/>
        </w:rPr>
      </w:pPr>
      <w:bookmarkStart w:id="307" w:name="3_可能发生的突发环境事件及后果分析"/>
      <w:bookmarkStart w:id="308" w:name="_bookmark101"/>
      <w:bookmarkEnd w:id="307"/>
      <w:bookmarkEnd w:id="308"/>
      <w:r>
        <w:rPr>
          <w:rFonts w:hint="eastAsia"/>
        </w:rPr>
        <w:t>可能发生的突发环境事件及后果分析</w:t>
      </w:r>
    </w:p>
    <w:p w:rsidR="00B04AE3" w:rsidRDefault="00B04AE3">
      <w:pPr>
        <w:pStyle w:val="Heading2"/>
        <w:numPr>
          <w:ilvl w:val="1"/>
          <w:numId w:val="41"/>
        </w:numPr>
        <w:tabs>
          <w:tab w:val="left" w:pos="1360"/>
        </w:tabs>
        <w:ind w:hanging="559"/>
      </w:pPr>
      <w:bookmarkStart w:id="309" w:name="3.1_突发环境事件情景分析"/>
      <w:bookmarkStart w:id="310" w:name="_bookmark102"/>
      <w:bookmarkEnd w:id="309"/>
      <w:bookmarkEnd w:id="310"/>
      <w:r>
        <w:rPr>
          <w:rFonts w:hint="eastAsia"/>
          <w:w w:val="95"/>
        </w:rPr>
        <w:t>突发环境事件情景分析</w:t>
      </w:r>
    </w:p>
    <w:p w:rsidR="00B04AE3" w:rsidRDefault="00B04AE3">
      <w:pPr>
        <w:pStyle w:val="Heading3"/>
        <w:numPr>
          <w:ilvl w:val="2"/>
          <w:numId w:val="41"/>
        </w:numPr>
        <w:tabs>
          <w:tab w:val="left" w:pos="1520"/>
        </w:tabs>
        <w:spacing w:before="268"/>
        <w:ind w:left="1520" w:hanging="720"/>
      </w:pPr>
      <w:bookmarkStart w:id="311" w:name="3.1.1__国内同类企业突发环境事件"/>
      <w:bookmarkStart w:id="312" w:name="_bookmark103"/>
      <w:bookmarkEnd w:id="311"/>
      <w:bookmarkEnd w:id="312"/>
      <w:r>
        <w:rPr>
          <w:rFonts w:hint="eastAsia"/>
          <w:w w:val="95"/>
        </w:rPr>
        <w:t>国内同类企业突发环境事件</w:t>
      </w:r>
    </w:p>
    <w:p w:rsidR="00B04AE3" w:rsidRDefault="00B04AE3">
      <w:pPr>
        <w:pStyle w:val="BodyText"/>
        <w:spacing w:before="6"/>
        <w:rPr>
          <w:b/>
          <w:sz w:val="18"/>
        </w:rPr>
      </w:pPr>
    </w:p>
    <w:p w:rsidR="00B04AE3" w:rsidRDefault="00B04AE3">
      <w:pPr>
        <w:pStyle w:val="BodyText"/>
        <w:spacing w:before="20" w:line="360" w:lineRule="auto"/>
        <w:ind w:left="334" w:right="334" w:firstLine="482"/>
        <w:jc w:val="both"/>
        <w:rPr>
          <w:spacing w:val="-6"/>
          <w:szCs w:val="22"/>
        </w:rPr>
      </w:pPr>
      <w:r>
        <w:rPr>
          <w:rFonts w:hint="eastAsia"/>
          <w:spacing w:val="-6"/>
          <w:szCs w:val="22"/>
        </w:rPr>
        <w:t>本行业系统的历史事故统计及事故原因分析可引以为鉴，作为企业事故防范的参考资料。收集相关行业典型突发环境事件案例，如下所示。</w:t>
      </w:r>
    </w:p>
    <w:p w:rsidR="00B04AE3" w:rsidRDefault="00B04AE3">
      <w:pPr>
        <w:spacing w:before="160"/>
        <w:ind w:left="1270"/>
        <w:rPr>
          <w:b/>
          <w:sz w:val="24"/>
        </w:rPr>
      </w:pPr>
      <w:r>
        <w:rPr>
          <w:rFonts w:hint="eastAsia"/>
          <w:b/>
          <w:sz w:val="24"/>
        </w:rPr>
        <w:t>事故概况及经过：</w:t>
      </w:r>
    </w:p>
    <w:p w:rsidR="00B04AE3" w:rsidRDefault="00B04AE3">
      <w:pPr>
        <w:pStyle w:val="BodyText"/>
        <w:spacing w:before="20" w:line="360" w:lineRule="auto"/>
        <w:ind w:left="334" w:right="334" w:firstLine="482"/>
        <w:jc w:val="both"/>
        <w:rPr>
          <w:spacing w:val="-6"/>
          <w:szCs w:val="22"/>
        </w:rPr>
      </w:pPr>
      <w:r>
        <w:rPr>
          <w:spacing w:val="-6"/>
          <w:szCs w:val="22"/>
        </w:rPr>
        <w:t xml:space="preserve">2008 </w:t>
      </w:r>
      <w:r>
        <w:rPr>
          <w:rFonts w:hint="eastAsia"/>
          <w:spacing w:val="-6"/>
          <w:szCs w:val="22"/>
        </w:rPr>
        <w:t>年</w:t>
      </w:r>
      <w:r>
        <w:rPr>
          <w:spacing w:val="-6"/>
          <w:szCs w:val="22"/>
        </w:rPr>
        <w:t xml:space="preserve"> 3 </w:t>
      </w:r>
      <w:r>
        <w:rPr>
          <w:rFonts w:hint="eastAsia"/>
          <w:spacing w:val="-6"/>
          <w:szCs w:val="22"/>
        </w:rPr>
        <w:t>月，重庆市渝北区回兴镇发生一起天然气泄漏爆炸伤亡事故。此次事故共造成</w:t>
      </w:r>
      <w:r>
        <w:rPr>
          <w:spacing w:val="-6"/>
          <w:szCs w:val="22"/>
        </w:rPr>
        <w:t xml:space="preserve"> 3 </w:t>
      </w:r>
      <w:r>
        <w:rPr>
          <w:rFonts w:hint="eastAsia"/>
          <w:spacing w:val="-6"/>
          <w:szCs w:val="22"/>
        </w:rPr>
        <w:t>人死亡，</w:t>
      </w:r>
      <w:r>
        <w:rPr>
          <w:spacing w:val="-6"/>
          <w:szCs w:val="22"/>
        </w:rPr>
        <w:t xml:space="preserve">5 </w:t>
      </w:r>
      <w:r>
        <w:rPr>
          <w:rFonts w:hint="eastAsia"/>
          <w:spacing w:val="-6"/>
          <w:szCs w:val="22"/>
        </w:rPr>
        <w:t>人重伤，</w:t>
      </w:r>
      <w:r>
        <w:rPr>
          <w:spacing w:val="-6"/>
          <w:szCs w:val="22"/>
        </w:rPr>
        <w:t xml:space="preserve">5 </w:t>
      </w:r>
      <w:r>
        <w:rPr>
          <w:rFonts w:hint="eastAsia"/>
          <w:spacing w:val="-6"/>
          <w:szCs w:val="22"/>
        </w:rPr>
        <w:t>人轻伤，以及重大经济损失。</w:t>
      </w:r>
    </w:p>
    <w:p w:rsidR="00B04AE3" w:rsidRDefault="00B04AE3">
      <w:pPr>
        <w:pStyle w:val="BodyText"/>
        <w:spacing w:before="20" w:line="360" w:lineRule="auto"/>
        <w:ind w:left="334" w:right="334" w:firstLine="482"/>
        <w:jc w:val="both"/>
        <w:rPr>
          <w:spacing w:val="-6"/>
          <w:szCs w:val="22"/>
        </w:rPr>
      </w:pPr>
      <w:r>
        <w:rPr>
          <w:spacing w:val="-6"/>
          <w:szCs w:val="22"/>
        </w:rPr>
        <w:t xml:space="preserve">2008 </w:t>
      </w:r>
      <w:r>
        <w:rPr>
          <w:rFonts w:hint="eastAsia"/>
          <w:spacing w:val="-6"/>
          <w:szCs w:val="22"/>
        </w:rPr>
        <w:t>年</w:t>
      </w:r>
      <w:r>
        <w:rPr>
          <w:spacing w:val="-6"/>
          <w:szCs w:val="22"/>
        </w:rPr>
        <w:t xml:space="preserve"> 3 </w:t>
      </w:r>
      <w:r>
        <w:rPr>
          <w:rFonts w:hint="eastAsia"/>
          <w:spacing w:val="-6"/>
          <w:szCs w:val="22"/>
        </w:rPr>
        <w:t>月</w:t>
      </w:r>
      <w:r>
        <w:rPr>
          <w:spacing w:val="-6"/>
          <w:szCs w:val="22"/>
        </w:rPr>
        <w:t xml:space="preserve"> 14 </w:t>
      </w:r>
      <w:r>
        <w:rPr>
          <w:rFonts w:hint="eastAsia"/>
          <w:spacing w:val="-6"/>
          <w:szCs w:val="22"/>
        </w:rPr>
        <w:t>日凌晨</w:t>
      </w:r>
      <w:r>
        <w:rPr>
          <w:spacing w:val="-6"/>
          <w:szCs w:val="22"/>
        </w:rPr>
        <w:t xml:space="preserve"> 3 </w:t>
      </w:r>
      <w:r>
        <w:rPr>
          <w:rFonts w:hint="eastAsia"/>
          <w:spacing w:val="-6"/>
          <w:szCs w:val="22"/>
        </w:rPr>
        <w:t>时</w:t>
      </w:r>
      <w:r>
        <w:rPr>
          <w:spacing w:val="-6"/>
          <w:szCs w:val="22"/>
        </w:rPr>
        <w:t xml:space="preserve"> 30 </w:t>
      </w:r>
      <w:r>
        <w:rPr>
          <w:rFonts w:hint="eastAsia"/>
          <w:spacing w:val="-6"/>
          <w:szCs w:val="22"/>
        </w:rPr>
        <w:t>分左右，</w:t>
      </w:r>
      <w:r>
        <w:rPr>
          <w:spacing w:val="-6"/>
          <w:szCs w:val="22"/>
        </w:rPr>
        <w:t xml:space="preserve">4 </w:t>
      </w:r>
      <w:r>
        <w:rPr>
          <w:rFonts w:hint="eastAsia"/>
          <w:spacing w:val="-6"/>
          <w:szCs w:val="22"/>
        </w:rPr>
        <w:t>名协勤人员在回兴镇兴科一路巡逻</w:t>
      </w:r>
    </w:p>
    <w:p w:rsidR="00B04AE3" w:rsidRDefault="00B04AE3">
      <w:pPr>
        <w:pStyle w:val="BodyText"/>
        <w:spacing w:before="20" w:line="360" w:lineRule="auto"/>
        <w:ind w:left="334" w:right="334" w:firstLine="482"/>
        <w:jc w:val="both"/>
        <w:rPr>
          <w:spacing w:val="-6"/>
          <w:szCs w:val="22"/>
        </w:rPr>
      </w:pPr>
      <w:r>
        <w:rPr>
          <w:rFonts w:hint="eastAsia"/>
          <w:spacing w:val="-6"/>
          <w:szCs w:val="22"/>
        </w:rPr>
        <w:t>时，发现郑伟集资楼</w:t>
      </w:r>
      <w:r>
        <w:rPr>
          <w:spacing w:val="-6"/>
          <w:szCs w:val="22"/>
        </w:rPr>
        <w:t xml:space="preserve"> 17# </w:t>
      </w:r>
      <w:r>
        <w:rPr>
          <w:rFonts w:hint="eastAsia"/>
          <w:spacing w:val="-6"/>
          <w:szCs w:val="22"/>
        </w:rPr>
        <w:t>“小精点发廊”门市附近有较浓的天然气异味，在隔壁经营夜宵店的王祥金，就去敲门告知该户可能有天然气泄漏，当该门市人员开灯时随即发生爆炸。</w:t>
      </w:r>
    </w:p>
    <w:p w:rsidR="00B04AE3" w:rsidRDefault="00B04AE3">
      <w:pPr>
        <w:spacing w:line="307" w:lineRule="exact"/>
        <w:ind w:left="1270"/>
        <w:rPr>
          <w:sz w:val="24"/>
        </w:rPr>
      </w:pPr>
      <w:r>
        <w:rPr>
          <w:rFonts w:hint="eastAsia"/>
          <w:b/>
          <w:sz w:val="24"/>
        </w:rPr>
        <w:t>事故原因分析</w:t>
      </w:r>
      <w:r>
        <w:rPr>
          <w:rFonts w:hint="eastAsia"/>
          <w:sz w:val="24"/>
        </w:rPr>
        <w:t>：</w:t>
      </w:r>
    </w:p>
    <w:p w:rsidR="00B04AE3" w:rsidRDefault="00B04AE3">
      <w:pPr>
        <w:pStyle w:val="BodyText"/>
        <w:spacing w:before="20" w:line="360" w:lineRule="auto"/>
        <w:ind w:left="334" w:right="334" w:firstLine="482"/>
        <w:jc w:val="both"/>
        <w:rPr>
          <w:spacing w:val="-6"/>
          <w:szCs w:val="22"/>
        </w:rPr>
      </w:pPr>
      <w:r>
        <w:rPr>
          <w:spacing w:val="-6"/>
          <w:szCs w:val="22"/>
        </w:rPr>
        <w:t>1</w:t>
      </w:r>
      <w:r>
        <w:rPr>
          <w:rFonts w:hint="eastAsia"/>
          <w:spacing w:val="-6"/>
          <w:szCs w:val="22"/>
        </w:rPr>
        <w:t>、临街</w:t>
      </w:r>
      <w:r>
        <w:rPr>
          <w:spacing w:val="-6"/>
          <w:szCs w:val="22"/>
        </w:rPr>
        <w:t xml:space="preserve"> PE</w:t>
      </w:r>
      <w:r>
        <w:rPr>
          <w:rFonts w:hint="eastAsia"/>
          <w:spacing w:val="-6"/>
          <w:szCs w:val="22"/>
        </w:rPr>
        <w:t>（</w:t>
      </w:r>
      <w:r>
        <w:rPr>
          <w:spacing w:val="-6"/>
          <w:szCs w:val="22"/>
        </w:rPr>
        <w:t>d110</w:t>
      </w:r>
      <w:r>
        <w:rPr>
          <w:rFonts w:hint="eastAsia"/>
          <w:spacing w:val="-6"/>
          <w:szCs w:val="22"/>
        </w:rPr>
        <w:t>）燃气管线被拉裂，导致天然气泄漏，泄漏天然气通过地下疏松回填土层窜入室内，形成爆炸性混合气体，遇开关电器产生的火花引起爆炸。</w:t>
      </w:r>
    </w:p>
    <w:p w:rsidR="00B04AE3" w:rsidRDefault="00B04AE3">
      <w:pPr>
        <w:pStyle w:val="BodyText"/>
        <w:spacing w:before="20" w:line="360" w:lineRule="auto"/>
        <w:ind w:left="334" w:right="334" w:firstLine="482"/>
        <w:jc w:val="both"/>
        <w:rPr>
          <w:spacing w:val="-6"/>
          <w:szCs w:val="22"/>
        </w:rPr>
      </w:pPr>
      <w:r>
        <w:rPr>
          <w:spacing w:val="-6"/>
          <w:szCs w:val="22"/>
        </w:rPr>
        <w:t>2</w:t>
      </w:r>
      <w:r>
        <w:rPr>
          <w:rFonts w:hint="eastAsia"/>
          <w:spacing w:val="-6"/>
          <w:szCs w:val="22"/>
        </w:rPr>
        <w:t>、管线回填未对地基进行处理或采取防沉降措施，回填土层在雨水的浸润作用下产生沉降。</w:t>
      </w:r>
    </w:p>
    <w:p w:rsidR="00B04AE3" w:rsidRDefault="00B04AE3">
      <w:pPr>
        <w:pStyle w:val="BodyText"/>
        <w:spacing w:before="20" w:line="360" w:lineRule="auto"/>
        <w:ind w:left="334" w:right="334" w:firstLine="482"/>
        <w:jc w:val="both"/>
        <w:rPr>
          <w:spacing w:val="-6"/>
          <w:szCs w:val="22"/>
        </w:rPr>
      </w:pPr>
      <w:r>
        <w:rPr>
          <w:spacing w:val="-6"/>
          <w:szCs w:val="22"/>
        </w:rPr>
        <w:t>3</w:t>
      </w:r>
      <w:r>
        <w:rPr>
          <w:rFonts w:hint="eastAsia"/>
          <w:spacing w:val="-6"/>
          <w:szCs w:val="22"/>
        </w:rPr>
        <w:t>、对管线走向不明，巡管不到位。</w:t>
      </w:r>
    </w:p>
    <w:p w:rsidR="00B04AE3" w:rsidRDefault="00B04AE3">
      <w:pPr>
        <w:pStyle w:val="BodyText"/>
        <w:spacing w:before="20" w:line="360" w:lineRule="auto"/>
        <w:ind w:left="334" w:right="334" w:firstLine="482"/>
        <w:jc w:val="both"/>
        <w:rPr>
          <w:spacing w:val="-6"/>
          <w:szCs w:val="22"/>
        </w:rPr>
      </w:pPr>
      <w:r>
        <w:rPr>
          <w:spacing w:val="-6"/>
          <w:szCs w:val="22"/>
        </w:rPr>
        <w:t>4</w:t>
      </w:r>
      <w:r>
        <w:rPr>
          <w:rFonts w:hint="eastAsia"/>
          <w:spacing w:val="-6"/>
          <w:szCs w:val="22"/>
        </w:rPr>
        <w:t>、管线焊接及回填等施工不规范。</w:t>
      </w:r>
    </w:p>
    <w:p w:rsidR="00B04AE3" w:rsidRDefault="00B04AE3">
      <w:pPr>
        <w:pStyle w:val="BodyText"/>
        <w:spacing w:before="20" w:line="360" w:lineRule="auto"/>
        <w:ind w:left="334" w:right="334" w:firstLine="482"/>
        <w:jc w:val="both"/>
        <w:rPr>
          <w:spacing w:val="-6"/>
          <w:szCs w:val="22"/>
        </w:rPr>
      </w:pPr>
      <w:r>
        <w:rPr>
          <w:spacing w:val="-6"/>
          <w:szCs w:val="22"/>
        </w:rPr>
        <w:t>5</w:t>
      </w:r>
      <w:r>
        <w:rPr>
          <w:rFonts w:hint="eastAsia"/>
          <w:spacing w:val="-6"/>
          <w:szCs w:val="22"/>
        </w:rPr>
        <w:t>、发现不及时，延误了泄漏事故的处理时机。</w:t>
      </w:r>
    </w:p>
    <w:p w:rsidR="00B04AE3" w:rsidRDefault="00B04AE3">
      <w:pPr>
        <w:pStyle w:val="BodyText"/>
        <w:spacing w:before="20" w:line="360" w:lineRule="auto"/>
        <w:ind w:left="334" w:right="334" w:firstLine="482"/>
        <w:jc w:val="both"/>
        <w:rPr>
          <w:spacing w:val="-6"/>
          <w:szCs w:val="22"/>
        </w:rPr>
      </w:pPr>
      <w:r>
        <w:rPr>
          <w:spacing w:val="-6"/>
          <w:szCs w:val="22"/>
        </w:rPr>
        <w:t>6</w:t>
      </w:r>
      <w:r>
        <w:rPr>
          <w:rFonts w:hint="eastAsia"/>
          <w:spacing w:val="-6"/>
          <w:szCs w:val="22"/>
        </w:rPr>
        <w:t>、用户缺乏燃气安全使用常识。</w:t>
      </w:r>
    </w:p>
    <w:p w:rsidR="00B04AE3" w:rsidRDefault="00B04AE3">
      <w:pPr>
        <w:pStyle w:val="Heading3"/>
        <w:numPr>
          <w:ilvl w:val="2"/>
          <w:numId w:val="41"/>
        </w:numPr>
        <w:tabs>
          <w:tab w:val="left" w:pos="1518"/>
        </w:tabs>
        <w:spacing w:before="85"/>
        <w:ind w:left="1517" w:hanging="720"/>
      </w:pPr>
      <w:bookmarkStart w:id="313" w:name="3.1.2__企业典型突发环境事件情景分析"/>
      <w:bookmarkStart w:id="314" w:name="_bookmark104"/>
      <w:bookmarkEnd w:id="313"/>
      <w:bookmarkEnd w:id="314"/>
      <w:r>
        <w:rPr>
          <w:rFonts w:hint="eastAsia"/>
        </w:rPr>
        <w:t>企业典型突发环境事件情景分析</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根据《突发环境事件应急管理办法》（环保部令</w:t>
      </w:r>
      <w:r>
        <w:rPr>
          <w:spacing w:val="-6"/>
          <w:szCs w:val="22"/>
        </w:rPr>
        <w:t xml:space="preserve"> 34 </w:t>
      </w:r>
      <w:r>
        <w:rPr>
          <w:rFonts w:hint="eastAsia"/>
          <w:spacing w:val="-6"/>
          <w:szCs w:val="22"/>
        </w:rPr>
        <w:t>号），突发环境事件，是指由于污染物排放或者自然灾害、生产安全事故等因素，导致污染物或者放射性物质等有毒有害物质进入大气、水体、土壤等环境介质，突然造成或者可能造成环境质量下降，危及公众身体健康和财产安全，或者造成生态环境破坏，或者造成重大社会影响，需要采取紧急措施予以应对的事件。</w:t>
      </w:r>
    </w:p>
    <w:p w:rsidR="00B04AE3" w:rsidRDefault="00B04AE3">
      <w:pPr>
        <w:pStyle w:val="BodyText"/>
        <w:spacing w:before="20" w:line="360" w:lineRule="auto"/>
        <w:ind w:left="334" w:right="334" w:firstLine="482"/>
        <w:jc w:val="both"/>
        <w:rPr>
          <w:spacing w:val="-6"/>
          <w:szCs w:val="22"/>
        </w:rPr>
      </w:pPr>
      <w:r>
        <w:rPr>
          <w:rFonts w:hint="eastAsia"/>
          <w:spacing w:val="-6"/>
          <w:szCs w:val="22"/>
        </w:rPr>
        <w:t>根据企业生产状况、产排污情况、污染物危险程度、周围环境状况及环境保护目标要求，本报告对可能存在的环境危险源及危险因素进行分析，主要考虑以下四种情景分析：</w:t>
      </w:r>
    </w:p>
    <w:p w:rsidR="00B04AE3" w:rsidRDefault="00B04AE3" w:rsidP="003446E2">
      <w:pPr>
        <w:spacing w:line="304" w:lineRule="exact"/>
        <w:ind w:left="797" w:firstLineChars="100" w:firstLine="31680"/>
        <w:rPr>
          <w:b/>
          <w:sz w:val="24"/>
        </w:rPr>
      </w:pPr>
      <w:r>
        <w:rPr>
          <w:rFonts w:hint="eastAsia"/>
          <w:b/>
          <w:w w:val="95"/>
          <w:sz w:val="24"/>
        </w:rPr>
        <w:t>情景一：物料泄露</w:t>
      </w:r>
    </w:p>
    <w:p w:rsidR="00B04AE3" w:rsidRDefault="00B04AE3">
      <w:pPr>
        <w:pStyle w:val="BodyText"/>
        <w:spacing w:before="159"/>
        <w:ind w:left="1268"/>
      </w:pPr>
      <w:r>
        <w:rPr>
          <w:rFonts w:hint="eastAsia"/>
          <w:b/>
        </w:rPr>
        <w:t>情景：</w:t>
      </w:r>
      <w:r>
        <w:rPr>
          <w:rFonts w:hint="eastAsia"/>
        </w:rPr>
        <w:t>企业存在的主要风险源为：硫酸储罐和液氮钢瓶。</w:t>
      </w:r>
    </w:p>
    <w:p w:rsidR="00B04AE3" w:rsidRDefault="00B04AE3">
      <w:pPr>
        <w:pStyle w:val="BodyText"/>
        <w:spacing w:before="20" w:line="360" w:lineRule="auto"/>
        <w:ind w:left="334" w:right="334" w:firstLine="482"/>
        <w:jc w:val="both"/>
        <w:rPr>
          <w:spacing w:val="-6"/>
          <w:szCs w:val="22"/>
        </w:rPr>
      </w:pPr>
      <w:r>
        <w:rPr>
          <w:rFonts w:hint="eastAsia"/>
          <w:spacing w:val="-6"/>
          <w:szCs w:val="22"/>
        </w:rPr>
        <w:t>储罐的物料泄漏主要以输送管道破裂、输送泵的垫圈阀门损坏、老化以及其他设备破损引起的。输送管、输送泵、阀门、槽车等损坏泄漏事故的概率相对较大，发生概率为</w:t>
      </w:r>
      <w:r>
        <w:rPr>
          <w:spacing w:val="-6"/>
          <w:szCs w:val="22"/>
        </w:rPr>
        <w:t xml:space="preserve"> 10-1 </w:t>
      </w:r>
      <w:r>
        <w:rPr>
          <w:rFonts w:hint="eastAsia"/>
          <w:spacing w:val="-6"/>
          <w:szCs w:val="22"/>
        </w:rPr>
        <w:t>次</w:t>
      </w:r>
      <w:r>
        <w:rPr>
          <w:spacing w:val="-6"/>
          <w:szCs w:val="22"/>
        </w:rPr>
        <w:t>/</w:t>
      </w:r>
      <w:r>
        <w:rPr>
          <w:rFonts w:hint="eastAsia"/>
          <w:spacing w:val="-6"/>
          <w:szCs w:val="22"/>
        </w:rPr>
        <w:t>年，即每</w:t>
      </w:r>
      <w:r>
        <w:rPr>
          <w:spacing w:val="-6"/>
          <w:szCs w:val="22"/>
        </w:rPr>
        <w:t xml:space="preserve"> 10 </w:t>
      </w:r>
      <w:r>
        <w:rPr>
          <w:rFonts w:hint="eastAsia"/>
          <w:spacing w:val="-6"/>
          <w:szCs w:val="22"/>
        </w:rPr>
        <w:t>年大约发生一次。而贮罐、贮槽等发生小量泄漏事故的概率为</w:t>
      </w:r>
      <w:r>
        <w:rPr>
          <w:spacing w:val="-6"/>
          <w:szCs w:val="22"/>
        </w:rPr>
        <w:t xml:space="preserve"> 10-2 </w:t>
      </w:r>
      <w:r>
        <w:rPr>
          <w:rFonts w:hint="eastAsia"/>
          <w:spacing w:val="-6"/>
          <w:szCs w:val="22"/>
        </w:rPr>
        <w:t>次</w:t>
      </w:r>
      <w:r>
        <w:rPr>
          <w:spacing w:val="-6"/>
          <w:szCs w:val="22"/>
        </w:rPr>
        <w:t>/</w:t>
      </w:r>
      <w:r>
        <w:rPr>
          <w:rFonts w:hint="eastAsia"/>
          <w:spacing w:val="-6"/>
          <w:szCs w:val="22"/>
        </w:rPr>
        <w:t>年，出现重大泄漏、火灾、爆炸事故概率</w:t>
      </w:r>
      <w:r>
        <w:rPr>
          <w:spacing w:val="-6"/>
          <w:szCs w:val="22"/>
        </w:rPr>
        <w:t xml:space="preserve"> 10-3</w:t>
      </w:r>
      <w:r>
        <w:rPr>
          <w:rFonts w:hint="eastAsia"/>
          <w:spacing w:val="-6"/>
          <w:szCs w:val="22"/>
        </w:rPr>
        <w:t>～</w:t>
      </w:r>
      <w:r>
        <w:rPr>
          <w:spacing w:val="-6"/>
          <w:szCs w:val="22"/>
        </w:rPr>
        <w:t xml:space="preserve">10-4 </w:t>
      </w:r>
      <w:r>
        <w:rPr>
          <w:rFonts w:hint="eastAsia"/>
          <w:spacing w:val="-6"/>
          <w:szCs w:val="22"/>
        </w:rPr>
        <w:t>次</w:t>
      </w:r>
      <w:r>
        <w:rPr>
          <w:spacing w:val="-6"/>
          <w:szCs w:val="22"/>
        </w:rPr>
        <w:t>/</w:t>
      </w:r>
      <w:r>
        <w:rPr>
          <w:rFonts w:hint="eastAsia"/>
          <w:spacing w:val="-6"/>
          <w:szCs w:val="22"/>
        </w:rPr>
        <w:t>年。</w:t>
      </w:r>
    </w:p>
    <w:p w:rsidR="00B04AE3" w:rsidRDefault="00B04AE3">
      <w:pPr>
        <w:tabs>
          <w:tab w:val="left" w:pos="1049"/>
        </w:tabs>
        <w:spacing w:after="28"/>
        <w:ind w:left="9"/>
        <w:jc w:val="center"/>
        <w:rPr>
          <w:b/>
          <w:sz w:val="24"/>
        </w:rPr>
      </w:pPr>
      <w:r>
        <w:rPr>
          <w:rFonts w:hint="eastAsia"/>
          <w:b/>
          <w:sz w:val="24"/>
        </w:rPr>
        <w:t>表</w:t>
      </w:r>
      <w:r>
        <w:rPr>
          <w:b/>
          <w:spacing w:val="-62"/>
          <w:sz w:val="24"/>
        </w:rPr>
        <w:t xml:space="preserve"> </w:t>
      </w:r>
      <w:r>
        <w:rPr>
          <w:rFonts w:ascii="Times New Roman" w:eastAsia="Times New Roman"/>
          <w:b/>
          <w:sz w:val="24"/>
        </w:rPr>
        <w:t>3.1-1</w:t>
      </w:r>
      <w:r>
        <w:rPr>
          <w:rFonts w:ascii="Times New Roman" w:eastAsia="Times New Roman"/>
          <w:b/>
          <w:sz w:val="24"/>
        </w:rPr>
        <w:tab/>
      </w:r>
      <w:r>
        <w:rPr>
          <w:rFonts w:hint="eastAsia"/>
          <w:b/>
          <w:sz w:val="24"/>
        </w:rPr>
        <w:t>物料泄漏事故类型统计</w:t>
      </w:r>
    </w:p>
    <w:tbl>
      <w:tblPr>
        <w:tblW w:w="8528" w:type="dxa"/>
        <w:tblInd w:w="69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5117"/>
        <w:gridCol w:w="2086"/>
        <w:gridCol w:w="1325"/>
      </w:tblGrid>
      <w:tr w:rsidR="00B04AE3">
        <w:trPr>
          <w:trHeight w:val="340"/>
        </w:trPr>
        <w:tc>
          <w:tcPr>
            <w:tcW w:w="5117" w:type="dxa"/>
            <w:tcBorders>
              <w:bottom w:val="single" w:sz="4" w:space="0" w:color="000000"/>
            </w:tcBorders>
            <w:shd w:val="clear" w:color="auto" w:fill="DFDFDF"/>
          </w:tcPr>
          <w:p w:rsidR="00B04AE3" w:rsidRDefault="00B04AE3">
            <w:pPr>
              <w:pStyle w:val="TableParagraph"/>
              <w:spacing w:before="33"/>
              <w:ind w:left="437" w:right="420"/>
              <w:rPr>
                <w:b/>
                <w:sz w:val="21"/>
              </w:rPr>
            </w:pPr>
            <w:r>
              <w:rPr>
                <w:rFonts w:hint="eastAsia"/>
                <w:b/>
                <w:sz w:val="21"/>
              </w:rPr>
              <w:t>事故名称</w:t>
            </w:r>
          </w:p>
        </w:tc>
        <w:tc>
          <w:tcPr>
            <w:tcW w:w="2086" w:type="dxa"/>
            <w:tcBorders>
              <w:bottom w:val="single" w:sz="4" w:space="0" w:color="000000"/>
            </w:tcBorders>
            <w:shd w:val="clear" w:color="auto" w:fill="DFDFDF"/>
          </w:tcPr>
          <w:p w:rsidR="00B04AE3" w:rsidRDefault="00B04AE3">
            <w:pPr>
              <w:pStyle w:val="TableParagraph"/>
              <w:spacing w:before="33"/>
              <w:ind w:left="152" w:right="133"/>
              <w:rPr>
                <w:b/>
                <w:sz w:val="21"/>
              </w:rPr>
            </w:pPr>
            <w:r>
              <w:rPr>
                <w:rFonts w:hint="eastAsia"/>
                <w:b/>
                <w:sz w:val="21"/>
              </w:rPr>
              <w:t>发生概率（次</w:t>
            </w:r>
            <w:r>
              <w:rPr>
                <w:rFonts w:ascii="Times New Roman" w:eastAsia="Times New Roman"/>
                <w:b/>
                <w:sz w:val="21"/>
              </w:rPr>
              <w:t>/</w:t>
            </w:r>
            <w:r>
              <w:rPr>
                <w:rFonts w:hint="eastAsia"/>
                <w:b/>
                <w:sz w:val="21"/>
              </w:rPr>
              <w:t>年）</w:t>
            </w:r>
          </w:p>
        </w:tc>
        <w:tc>
          <w:tcPr>
            <w:tcW w:w="1325" w:type="dxa"/>
            <w:tcBorders>
              <w:bottom w:val="single" w:sz="4" w:space="0" w:color="000000"/>
            </w:tcBorders>
            <w:shd w:val="clear" w:color="auto" w:fill="DFDFDF"/>
          </w:tcPr>
          <w:p w:rsidR="00B04AE3" w:rsidRDefault="00B04AE3">
            <w:pPr>
              <w:pStyle w:val="TableParagraph"/>
              <w:spacing w:before="33"/>
              <w:ind w:left="220" w:right="204"/>
              <w:rPr>
                <w:b/>
                <w:sz w:val="21"/>
              </w:rPr>
            </w:pPr>
            <w:r>
              <w:rPr>
                <w:rFonts w:hint="eastAsia"/>
                <w:b/>
                <w:sz w:val="21"/>
              </w:rPr>
              <w:t>发生频率</w:t>
            </w:r>
          </w:p>
        </w:tc>
      </w:tr>
      <w:tr w:rsidR="00B04AE3">
        <w:trPr>
          <w:trHeight w:val="340"/>
        </w:trPr>
        <w:tc>
          <w:tcPr>
            <w:tcW w:w="5117" w:type="dxa"/>
            <w:tcBorders>
              <w:top w:val="single" w:sz="4" w:space="0" w:color="000000"/>
              <w:bottom w:val="single" w:sz="4" w:space="0" w:color="000000"/>
            </w:tcBorders>
          </w:tcPr>
          <w:p w:rsidR="00B04AE3" w:rsidRDefault="00B04AE3">
            <w:pPr>
              <w:pStyle w:val="TableParagraph"/>
              <w:spacing w:before="33"/>
              <w:ind w:left="437" w:right="424"/>
              <w:rPr>
                <w:sz w:val="21"/>
              </w:rPr>
            </w:pPr>
            <w:r>
              <w:rPr>
                <w:rFonts w:hint="eastAsia"/>
                <w:sz w:val="21"/>
              </w:rPr>
              <w:t>输送管、输送泵、阀门、槽车等损坏泄漏事故</w:t>
            </w:r>
          </w:p>
        </w:tc>
        <w:tc>
          <w:tcPr>
            <w:tcW w:w="2086" w:type="dxa"/>
            <w:tcBorders>
              <w:top w:val="single" w:sz="4" w:space="0" w:color="000000"/>
              <w:bottom w:val="single" w:sz="4" w:space="0" w:color="000000"/>
            </w:tcBorders>
          </w:tcPr>
          <w:p w:rsidR="00B04AE3" w:rsidRDefault="00B04AE3">
            <w:pPr>
              <w:pStyle w:val="TableParagraph"/>
              <w:spacing w:before="50"/>
              <w:ind w:left="144" w:right="133"/>
              <w:rPr>
                <w:rFonts w:ascii="Times New Roman"/>
                <w:sz w:val="13"/>
              </w:rPr>
            </w:pPr>
            <w:r>
              <w:rPr>
                <w:rFonts w:ascii="Times New Roman"/>
                <w:position w:val="-6"/>
                <w:sz w:val="21"/>
              </w:rPr>
              <w:t>10</w:t>
            </w:r>
            <w:r>
              <w:rPr>
                <w:rFonts w:ascii="Times New Roman"/>
                <w:sz w:val="13"/>
              </w:rPr>
              <w:t>-1</w:t>
            </w:r>
          </w:p>
        </w:tc>
        <w:tc>
          <w:tcPr>
            <w:tcW w:w="1325" w:type="dxa"/>
            <w:tcBorders>
              <w:top w:val="single" w:sz="4" w:space="0" w:color="000000"/>
              <w:bottom w:val="single" w:sz="4" w:space="0" w:color="000000"/>
            </w:tcBorders>
          </w:tcPr>
          <w:p w:rsidR="00B04AE3" w:rsidRDefault="00B04AE3">
            <w:pPr>
              <w:pStyle w:val="TableParagraph"/>
              <w:spacing w:before="33"/>
              <w:ind w:left="216" w:right="205"/>
              <w:rPr>
                <w:sz w:val="21"/>
              </w:rPr>
            </w:pPr>
            <w:r>
              <w:rPr>
                <w:rFonts w:hint="eastAsia"/>
                <w:sz w:val="21"/>
              </w:rPr>
              <w:t>可能发生</w:t>
            </w:r>
          </w:p>
        </w:tc>
      </w:tr>
      <w:tr w:rsidR="00B04AE3">
        <w:trPr>
          <w:trHeight w:val="340"/>
        </w:trPr>
        <w:tc>
          <w:tcPr>
            <w:tcW w:w="5117" w:type="dxa"/>
            <w:tcBorders>
              <w:top w:val="single" w:sz="4" w:space="0" w:color="000000"/>
              <w:bottom w:val="single" w:sz="4" w:space="0" w:color="000000"/>
            </w:tcBorders>
          </w:tcPr>
          <w:p w:rsidR="00B04AE3" w:rsidRDefault="00B04AE3">
            <w:pPr>
              <w:pStyle w:val="TableParagraph"/>
              <w:spacing w:before="34"/>
              <w:ind w:left="434" w:right="424"/>
              <w:rPr>
                <w:sz w:val="21"/>
              </w:rPr>
            </w:pPr>
            <w:r>
              <w:rPr>
                <w:rFonts w:hint="eastAsia"/>
                <w:sz w:val="21"/>
              </w:rPr>
              <w:t>储槽、储罐、反应釜等破裂小量泄漏事故</w:t>
            </w:r>
          </w:p>
        </w:tc>
        <w:tc>
          <w:tcPr>
            <w:tcW w:w="2086" w:type="dxa"/>
            <w:tcBorders>
              <w:top w:val="single" w:sz="4" w:space="0" w:color="000000"/>
              <w:bottom w:val="single" w:sz="4" w:space="0" w:color="000000"/>
            </w:tcBorders>
          </w:tcPr>
          <w:p w:rsidR="00B04AE3" w:rsidRDefault="00B04AE3">
            <w:pPr>
              <w:pStyle w:val="TableParagraph"/>
              <w:spacing w:before="51"/>
              <w:ind w:left="144" w:right="133"/>
              <w:rPr>
                <w:rFonts w:ascii="Times New Roman"/>
                <w:sz w:val="13"/>
              </w:rPr>
            </w:pPr>
            <w:r>
              <w:rPr>
                <w:rFonts w:ascii="Times New Roman"/>
                <w:position w:val="-6"/>
                <w:sz w:val="21"/>
              </w:rPr>
              <w:t>10</w:t>
            </w:r>
            <w:r>
              <w:rPr>
                <w:rFonts w:ascii="Times New Roman"/>
                <w:sz w:val="13"/>
              </w:rPr>
              <w:t>-2</w:t>
            </w:r>
          </w:p>
        </w:tc>
        <w:tc>
          <w:tcPr>
            <w:tcW w:w="1325" w:type="dxa"/>
            <w:tcBorders>
              <w:top w:val="single" w:sz="4" w:space="0" w:color="000000"/>
              <w:bottom w:val="single" w:sz="4" w:space="0" w:color="000000"/>
            </w:tcBorders>
          </w:tcPr>
          <w:p w:rsidR="00B04AE3" w:rsidRDefault="00B04AE3">
            <w:pPr>
              <w:pStyle w:val="TableParagraph"/>
              <w:spacing w:before="34"/>
              <w:ind w:left="216" w:right="205"/>
              <w:rPr>
                <w:sz w:val="21"/>
              </w:rPr>
            </w:pPr>
            <w:r>
              <w:rPr>
                <w:rFonts w:hint="eastAsia"/>
                <w:sz w:val="21"/>
              </w:rPr>
              <w:t>偶尔发生</w:t>
            </w:r>
          </w:p>
        </w:tc>
      </w:tr>
      <w:tr w:rsidR="00B04AE3">
        <w:trPr>
          <w:trHeight w:val="340"/>
        </w:trPr>
        <w:tc>
          <w:tcPr>
            <w:tcW w:w="5117" w:type="dxa"/>
            <w:tcBorders>
              <w:top w:val="single" w:sz="4" w:space="0" w:color="000000"/>
              <w:bottom w:val="single" w:sz="4" w:space="0" w:color="000000"/>
            </w:tcBorders>
          </w:tcPr>
          <w:p w:rsidR="00B04AE3" w:rsidRDefault="00B04AE3">
            <w:pPr>
              <w:pStyle w:val="TableParagraph"/>
              <w:spacing w:before="34"/>
              <w:ind w:left="437" w:right="424"/>
              <w:rPr>
                <w:sz w:val="21"/>
              </w:rPr>
            </w:pPr>
            <w:r>
              <w:rPr>
                <w:rFonts w:hint="eastAsia"/>
                <w:sz w:val="21"/>
              </w:rPr>
              <w:t>雷击或火灾引起较大泄漏事故</w:t>
            </w:r>
          </w:p>
        </w:tc>
        <w:tc>
          <w:tcPr>
            <w:tcW w:w="2086" w:type="dxa"/>
            <w:tcBorders>
              <w:top w:val="single" w:sz="4" w:space="0" w:color="000000"/>
              <w:bottom w:val="single" w:sz="4" w:space="0" w:color="000000"/>
            </w:tcBorders>
          </w:tcPr>
          <w:p w:rsidR="00B04AE3" w:rsidRDefault="00B04AE3">
            <w:pPr>
              <w:pStyle w:val="TableParagraph"/>
              <w:spacing w:before="49"/>
              <w:ind w:left="144" w:right="133"/>
              <w:rPr>
                <w:rFonts w:ascii="Times New Roman"/>
                <w:sz w:val="13"/>
              </w:rPr>
            </w:pPr>
            <w:r>
              <w:rPr>
                <w:rFonts w:ascii="Times New Roman"/>
                <w:position w:val="-6"/>
                <w:sz w:val="21"/>
              </w:rPr>
              <w:t>10</w:t>
            </w:r>
            <w:r>
              <w:rPr>
                <w:rFonts w:ascii="Times New Roman"/>
                <w:sz w:val="13"/>
              </w:rPr>
              <w:t>-3</w:t>
            </w:r>
          </w:p>
        </w:tc>
        <w:tc>
          <w:tcPr>
            <w:tcW w:w="1325" w:type="dxa"/>
            <w:tcBorders>
              <w:top w:val="single" w:sz="4" w:space="0" w:color="000000"/>
              <w:bottom w:val="single" w:sz="4" w:space="0" w:color="000000"/>
            </w:tcBorders>
          </w:tcPr>
          <w:p w:rsidR="00B04AE3" w:rsidRDefault="00B04AE3">
            <w:pPr>
              <w:pStyle w:val="TableParagraph"/>
              <w:spacing w:before="34"/>
              <w:ind w:left="216" w:right="205"/>
              <w:rPr>
                <w:sz w:val="21"/>
              </w:rPr>
            </w:pPr>
            <w:r>
              <w:rPr>
                <w:rFonts w:hint="eastAsia"/>
                <w:sz w:val="21"/>
              </w:rPr>
              <w:t>偶尔发生</w:t>
            </w:r>
          </w:p>
        </w:tc>
      </w:tr>
      <w:tr w:rsidR="00B04AE3">
        <w:trPr>
          <w:trHeight w:val="340"/>
        </w:trPr>
        <w:tc>
          <w:tcPr>
            <w:tcW w:w="5117" w:type="dxa"/>
            <w:tcBorders>
              <w:top w:val="single" w:sz="4" w:space="0" w:color="000000"/>
              <w:bottom w:val="single" w:sz="4" w:space="0" w:color="000000"/>
            </w:tcBorders>
          </w:tcPr>
          <w:p w:rsidR="00B04AE3" w:rsidRDefault="00B04AE3">
            <w:pPr>
              <w:pStyle w:val="TableParagraph"/>
              <w:spacing w:before="35"/>
              <w:ind w:left="434" w:right="424"/>
              <w:rPr>
                <w:sz w:val="21"/>
              </w:rPr>
            </w:pPr>
            <w:r>
              <w:rPr>
                <w:rFonts w:hint="eastAsia"/>
                <w:sz w:val="21"/>
              </w:rPr>
              <w:t>储罐</w:t>
            </w:r>
            <w:r>
              <w:rPr>
                <w:rFonts w:ascii="Times New Roman" w:eastAsia="Times New Roman"/>
                <w:sz w:val="21"/>
              </w:rPr>
              <w:t>/</w:t>
            </w:r>
            <w:r>
              <w:rPr>
                <w:rFonts w:hint="eastAsia"/>
                <w:sz w:val="21"/>
              </w:rPr>
              <w:t>储槽等出现重大泄漏、火灾、爆炸事故</w:t>
            </w:r>
          </w:p>
        </w:tc>
        <w:tc>
          <w:tcPr>
            <w:tcW w:w="2086" w:type="dxa"/>
            <w:tcBorders>
              <w:top w:val="single" w:sz="4" w:space="0" w:color="000000"/>
              <w:bottom w:val="single" w:sz="4" w:space="0" w:color="000000"/>
            </w:tcBorders>
          </w:tcPr>
          <w:p w:rsidR="00B04AE3" w:rsidRDefault="00B04AE3">
            <w:pPr>
              <w:pStyle w:val="TableParagraph"/>
              <w:spacing w:before="35"/>
              <w:ind w:left="146" w:right="133"/>
              <w:rPr>
                <w:rFonts w:ascii="Times New Roman" w:eastAsia="Times New Roman"/>
                <w:sz w:val="13"/>
              </w:rPr>
            </w:pPr>
            <w:r>
              <w:rPr>
                <w:rFonts w:ascii="Times New Roman" w:eastAsia="Times New Roman"/>
                <w:sz w:val="21"/>
              </w:rPr>
              <w:t>10</w:t>
            </w:r>
            <w:r>
              <w:rPr>
                <w:rFonts w:ascii="Times New Roman" w:eastAsia="Times New Roman"/>
                <w:position w:val="7"/>
                <w:sz w:val="13"/>
              </w:rPr>
              <w:t>-3</w:t>
            </w:r>
            <w:r>
              <w:rPr>
                <w:rFonts w:hint="eastAsia"/>
                <w:sz w:val="21"/>
              </w:rPr>
              <w:t>－</w:t>
            </w:r>
            <w:r>
              <w:rPr>
                <w:rFonts w:ascii="Times New Roman" w:eastAsia="Times New Roman"/>
                <w:sz w:val="21"/>
              </w:rPr>
              <w:t>10</w:t>
            </w:r>
            <w:r>
              <w:rPr>
                <w:rFonts w:ascii="Times New Roman" w:eastAsia="Times New Roman"/>
                <w:position w:val="7"/>
                <w:sz w:val="13"/>
              </w:rPr>
              <w:t>-4</w:t>
            </w:r>
          </w:p>
        </w:tc>
        <w:tc>
          <w:tcPr>
            <w:tcW w:w="1325" w:type="dxa"/>
            <w:tcBorders>
              <w:top w:val="single" w:sz="4" w:space="0" w:color="000000"/>
              <w:bottom w:val="single" w:sz="4" w:space="0" w:color="000000"/>
            </w:tcBorders>
          </w:tcPr>
          <w:p w:rsidR="00B04AE3" w:rsidRDefault="00B04AE3">
            <w:pPr>
              <w:pStyle w:val="TableParagraph"/>
              <w:spacing w:before="35"/>
              <w:ind w:left="216" w:right="205"/>
              <w:rPr>
                <w:sz w:val="21"/>
              </w:rPr>
            </w:pPr>
            <w:r>
              <w:rPr>
                <w:rFonts w:hint="eastAsia"/>
                <w:sz w:val="21"/>
              </w:rPr>
              <w:t>极少发生</w:t>
            </w:r>
          </w:p>
        </w:tc>
      </w:tr>
      <w:tr w:rsidR="00B04AE3">
        <w:trPr>
          <w:trHeight w:val="339"/>
        </w:trPr>
        <w:tc>
          <w:tcPr>
            <w:tcW w:w="5117" w:type="dxa"/>
            <w:tcBorders>
              <w:top w:val="single" w:sz="4" w:space="0" w:color="000000"/>
            </w:tcBorders>
          </w:tcPr>
          <w:p w:rsidR="00B04AE3" w:rsidRDefault="00B04AE3">
            <w:pPr>
              <w:pStyle w:val="TableParagraph"/>
              <w:spacing w:before="33"/>
              <w:ind w:left="434" w:right="424"/>
              <w:rPr>
                <w:sz w:val="21"/>
              </w:rPr>
            </w:pPr>
            <w:r>
              <w:rPr>
                <w:rFonts w:hint="eastAsia"/>
                <w:sz w:val="21"/>
              </w:rPr>
              <w:t>重大自然灾害引起事故</w:t>
            </w:r>
          </w:p>
        </w:tc>
        <w:tc>
          <w:tcPr>
            <w:tcW w:w="2086" w:type="dxa"/>
            <w:tcBorders>
              <w:top w:val="single" w:sz="4" w:space="0" w:color="000000"/>
            </w:tcBorders>
          </w:tcPr>
          <w:p w:rsidR="00B04AE3" w:rsidRDefault="00B04AE3">
            <w:pPr>
              <w:pStyle w:val="TableParagraph"/>
              <w:spacing w:before="33"/>
              <w:ind w:left="146" w:right="133"/>
              <w:rPr>
                <w:rFonts w:ascii="Times New Roman" w:eastAsia="Times New Roman"/>
                <w:sz w:val="13"/>
              </w:rPr>
            </w:pPr>
            <w:r>
              <w:rPr>
                <w:rFonts w:ascii="Times New Roman" w:eastAsia="Times New Roman"/>
                <w:sz w:val="21"/>
              </w:rPr>
              <w:t>10</w:t>
            </w:r>
            <w:r>
              <w:rPr>
                <w:rFonts w:ascii="Times New Roman" w:eastAsia="Times New Roman"/>
                <w:position w:val="7"/>
                <w:sz w:val="13"/>
              </w:rPr>
              <w:t>-5</w:t>
            </w:r>
            <w:r>
              <w:rPr>
                <w:rFonts w:hint="eastAsia"/>
                <w:sz w:val="21"/>
              </w:rPr>
              <w:t>－</w:t>
            </w:r>
            <w:r>
              <w:rPr>
                <w:rFonts w:ascii="Times New Roman" w:eastAsia="Times New Roman"/>
                <w:sz w:val="21"/>
              </w:rPr>
              <w:t>10</w:t>
            </w:r>
            <w:r>
              <w:rPr>
                <w:rFonts w:ascii="Times New Roman" w:eastAsia="Times New Roman"/>
                <w:position w:val="7"/>
                <w:sz w:val="13"/>
              </w:rPr>
              <w:t>-6</w:t>
            </w:r>
          </w:p>
        </w:tc>
        <w:tc>
          <w:tcPr>
            <w:tcW w:w="1325" w:type="dxa"/>
            <w:tcBorders>
              <w:top w:val="single" w:sz="4" w:space="0" w:color="000000"/>
            </w:tcBorders>
          </w:tcPr>
          <w:p w:rsidR="00B04AE3" w:rsidRDefault="00B04AE3">
            <w:pPr>
              <w:pStyle w:val="TableParagraph"/>
              <w:spacing w:before="33"/>
              <w:ind w:left="216" w:right="205"/>
              <w:rPr>
                <w:sz w:val="21"/>
              </w:rPr>
            </w:pPr>
            <w:r>
              <w:rPr>
                <w:rFonts w:hint="eastAsia"/>
                <w:sz w:val="21"/>
              </w:rPr>
              <w:t>很难发生</w:t>
            </w:r>
          </w:p>
        </w:tc>
      </w:tr>
    </w:tbl>
    <w:p w:rsidR="00B04AE3" w:rsidRDefault="00B04AE3">
      <w:pPr>
        <w:tabs>
          <w:tab w:val="left" w:pos="1051"/>
        </w:tabs>
        <w:spacing w:before="123"/>
        <w:ind w:left="12"/>
        <w:jc w:val="center"/>
        <w:rPr>
          <w:b/>
          <w:sz w:val="24"/>
        </w:rPr>
      </w:pPr>
      <w:r>
        <w:rPr>
          <w:rFonts w:hint="eastAsia"/>
          <w:b/>
          <w:sz w:val="24"/>
        </w:rPr>
        <w:t>表</w:t>
      </w:r>
      <w:r>
        <w:rPr>
          <w:b/>
          <w:spacing w:val="-62"/>
          <w:sz w:val="24"/>
        </w:rPr>
        <w:t xml:space="preserve"> </w:t>
      </w:r>
      <w:r>
        <w:rPr>
          <w:rFonts w:ascii="Times New Roman" w:eastAsia="Times New Roman"/>
          <w:b/>
          <w:sz w:val="24"/>
        </w:rPr>
        <w:t>3.1-2</w:t>
      </w:r>
      <w:r>
        <w:rPr>
          <w:rFonts w:ascii="Times New Roman" w:eastAsia="Times New Roman"/>
          <w:b/>
          <w:sz w:val="24"/>
        </w:rPr>
        <w:tab/>
      </w:r>
      <w:r>
        <w:rPr>
          <w:rFonts w:hint="eastAsia"/>
          <w:b/>
          <w:sz w:val="24"/>
        </w:rPr>
        <w:t>企业物料泄漏情景分析一览表</w:t>
      </w:r>
    </w:p>
    <w:tbl>
      <w:tblPr>
        <w:tblW w:w="8524" w:type="dxa"/>
        <w:tblInd w:w="7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664"/>
        <w:gridCol w:w="1320"/>
        <w:gridCol w:w="1241"/>
        <w:gridCol w:w="1649"/>
        <w:gridCol w:w="1826"/>
        <w:gridCol w:w="1824"/>
      </w:tblGrid>
      <w:tr w:rsidR="00B04AE3">
        <w:trPr>
          <w:trHeight w:val="340"/>
        </w:trPr>
        <w:tc>
          <w:tcPr>
            <w:tcW w:w="664" w:type="dxa"/>
            <w:shd w:val="clear" w:color="auto" w:fill="DFDFDF"/>
          </w:tcPr>
          <w:p w:rsidR="00B04AE3" w:rsidRDefault="00B04AE3">
            <w:pPr>
              <w:pStyle w:val="TableParagraph"/>
              <w:spacing w:before="33"/>
              <w:ind w:left="99" w:right="82"/>
              <w:rPr>
                <w:b/>
                <w:sz w:val="21"/>
              </w:rPr>
            </w:pPr>
            <w:r>
              <w:rPr>
                <w:rFonts w:hint="eastAsia"/>
                <w:b/>
                <w:sz w:val="21"/>
              </w:rPr>
              <w:t>序号</w:t>
            </w:r>
          </w:p>
        </w:tc>
        <w:tc>
          <w:tcPr>
            <w:tcW w:w="1320" w:type="dxa"/>
            <w:shd w:val="clear" w:color="auto" w:fill="DFDFDF"/>
          </w:tcPr>
          <w:p w:rsidR="00B04AE3" w:rsidRDefault="00B04AE3">
            <w:pPr>
              <w:pStyle w:val="TableParagraph"/>
              <w:spacing w:before="33"/>
              <w:ind w:left="217" w:right="197"/>
              <w:rPr>
                <w:b/>
                <w:sz w:val="21"/>
              </w:rPr>
            </w:pPr>
            <w:r>
              <w:rPr>
                <w:rFonts w:hint="eastAsia"/>
                <w:b/>
                <w:sz w:val="21"/>
              </w:rPr>
              <w:t>风险源</w:t>
            </w:r>
          </w:p>
        </w:tc>
        <w:tc>
          <w:tcPr>
            <w:tcW w:w="1241" w:type="dxa"/>
            <w:shd w:val="clear" w:color="auto" w:fill="DFDFDF"/>
          </w:tcPr>
          <w:p w:rsidR="00B04AE3" w:rsidRDefault="00B04AE3">
            <w:pPr>
              <w:pStyle w:val="TableParagraph"/>
              <w:spacing w:before="33"/>
              <w:ind w:left="179" w:right="157"/>
              <w:rPr>
                <w:b/>
                <w:sz w:val="21"/>
              </w:rPr>
            </w:pPr>
            <w:r>
              <w:rPr>
                <w:rFonts w:hint="eastAsia"/>
                <w:b/>
                <w:sz w:val="21"/>
              </w:rPr>
              <w:t>污染物质</w:t>
            </w:r>
          </w:p>
        </w:tc>
        <w:tc>
          <w:tcPr>
            <w:tcW w:w="1649" w:type="dxa"/>
            <w:shd w:val="clear" w:color="auto" w:fill="DFDFDF"/>
          </w:tcPr>
          <w:p w:rsidR="00B04AE3" w:rsidRDefault="00B04AE3">
            <w:pPr>
              <w:pStyle w:val="TableParagraph"/>
              <w:spacing w:before="33"/>
              <w:ind w:left="404"/>
              <w:jc w:val="left"/>
              <w:rPr>
                <w:b/>
                <w:sz w:val="21"/>
              </w:rPr>
            </w:pPr>
            <w:r>
              <w:rPr>
                <w:rFonts w:hint="eastAsia"/>
                <w:b/>
                <w:sz w:val="21"/>
              </w:rPr>
              <w:t>污染原因</w:t>
            </w:r>
          </w:p>
        </w:tc>
        <w:tc>
          <w:tcPr>
            <w:tcW w:w="1826" w:type="dxa"/>
            <w:shd w:val="clear" w:color="auto" w:fill="DFDFDF"/>
          </w:tcPr>
          <w:p w:rsidR="00B04AE3" w:rsidRDefault="00B04AE3">
            <w:pPr>
              <w:pStyle w:val="TableParagraph"/>
              <w:spacing w:before="33"/>
              <w:ind w:left="178"/>
              <w:jc w:val="left"/>
              <w:rPr>
                <w:b/>
                <w:sz w:val="21"/>
              </w:rPr>
            </w:pPr>
            <w:r>
              <w:rPr>
                <w:rFonts w:hint="eastAsia"/>
                <w:b/>
                <w:sz w:val="21"/>
              </w:rPr>
              <w:t>污染范围及受体</w:t>
            </w:r>
          </w:p>
        </w:tc>
        <w:tc>
          <w:tcPr>
            <w:tcW w:w="1824" w:type="dxa"/>
            <w:shd w:val="clear" w:color="auto" w:fill="DFDFDF"/>
          </w:tcPr>
          <w:p w:rsidR="00B04AE3" w:rsidRDefault="00B04AE3">
            <w:pPr>
              <w:pStyle w:val="TableParagraph"/>
              <w:spacing w:before="33"/>
              <w:ind w:left="385"/>
              <w:jc w:val="left"/>
              <w:rPr>
                <w:b/>
                <w:sz w:val="21"/>
              </w:rPr>
            </w:pPr>
            <w:r>
              <w:rPr>
                <w:rFonts w:hint="eastAsia"/>
                <w:b/>
                <w:sz w:val="21"/>
              </w:rPr>
              <w:t>对环境危害</w:t>
            </w:r>
          </w:p>
        </w:tc>
      </w:tr>
      <w:tr w:rsidR="00B04AE3">
        <w:trPr>
          <w:trHeight w:val="1362"/>
        </w:trPr>
        <w:tc>
          <w:tcPr>
            <w:tcW w:w="664" w:type="dxa"/>
          </w:tcPr>
          <w:p w:rsidR="00B04AE3" w:rsidRDefault="00B04AE3">
            <w:pPr>
              <w:pStyle w:val="TableParagraph"/>
              <w:jc w:val="left"/>
              <w:rPr>
                <w:b/>
              </w:rPr>
            </w:pPr>
          </w:p>
          <w:p w:rsidR="00B04AE3" w:rsidRDefault="00B04AE3">
            <w:pPr>
              <w:pStyle w:val="TableParagraph"/>
              <w:spacing w:before="7"/>
              <w:jc w:val="left"/>
              <w:rPr>
                <w:b/>
                <w:sz w:val="21"/>
              </w:rPr>
            </w:pPr>
          </w:p>
          <w:p w:rsidR="00B04AE3" w:rsidRDefault="00B04AE3">
            <w:pPr>
              <w:pStyle w:val="TableParagraph"/>
              <w:ind w:left="18"/>
              <w:rPr>
                <w:rFonts w:ascii="Times New Roman"/>
                <w:sz w:val="21"/>
              </w:rPr>
            </w:pPr>
            <w:r>
              <w:rPr>
                <w:rFonts w:ascii="Times New Roman"/>
                <w:w w:val="99"/>
                <w:sz w:val="21"/>
              </w:rPr>
              <w:t>1</w:t>
            </w:r>
          </w:p>
        </w:tc>
        <w:tc>
          <w:tcPr>
            <w:tcW w:w="1320" w:type="dxa"/>
          </w:tcPr>
          <w:p w:rsidR="00B04AE3" w:rsidRDefault="00B04AE3">
            <w:pPr>
              <w:pStyle w:val="TableParagraph"/>
              <w:jc w:val="left"/>
              <w:rPr>
                <w:b/>
                <w:sz w:val="20"/>
              </w:rPr>
            </w:pPr>
          </w:p>
          <w:p w:rsidR="00B04AE3" w:rsidRDefault="00B04AE3">
            <w:pPr>
              <w:pStyle w:val="TableParagraph"/>
              <w:spacing w:before="6"/>
              <w:jc w:val="left"/>
              <w:rPr>
                <w:b/>
              </w:rPr>
            </w:pPr>
          </w:p>
          <w:p w:rsidR="00B04AE3" w:rsidRDefault="00B04AE3">
            <w:pPr>
              <w:pStyle w:val="TableParagraph"/>
              <w:ind w:left="217" w:right="202"/>
              <w:rPr>
                <w:sz w:val="21"/>
              </w:rPr>
            </w:pPr>
            <w:r>
              <w:rPr>
                <w:rFonts w:hint="eastAsia"/>
                <w:sz w:val="21"/>
              </w:rPr>
              <w:t>液氮钢瓶</w:t>
            </w:r>
          </w:p>
        </w:tc>
        <w:tc>
          <w:tcPr>
            <w:tcW w:w="1241" w:type="dxa"/>
          </w:tcPr>
          <w:p w:rsidR="00B04AE3" w:rsidRDefault="00B04AE3">
            <w:pPr>
              <w:pStyle w:val="TableParagraph"/>
              <w:jc w:val="left"/>
              <w:rPr>
                <w:b/>
                <w:sz w:val="20"/>
              </w:rPr>
            </w:pPr>
          </w:p>
          <w:p w:rsidR="00B04AE3" w:rsidRDefault="00B04AE3">
            <w:pPr>
              <w:pStyle w:val="TableParagraph"/>
              <w:spacing w:before="6"/>
              <w:jc w:val="left"/>
              <w:rPr>
                <w:b/>
              </w:rPr>
            </w:pPr>
          </w:p>
          <w:p w:rsidR="00B04AE3" w:rsidRDefault="00B04AE3">
            <w:pPr>
              <w:pStyle w:val="TableParagraph"/>
              <w:ind w:left="18"/>
              <w:rPr>
                <w:sz w:val="21"/>
              </w:rPr>
            </w:pPr>
            <w:r>
              <w:rPr>
                <w:rFonts w:hint="eastAsia"/>
                <w:w w:val="99"/>
                <w:sz w:val="21"/>
              </w:rPr>
              <w:t>氨</w:t>
            </w:r>
          </w:p>
        </w:tc>
        <w:tc>
          <w:tcPr>
            <w:tcW w:w="1649" w:type="dxa"/>
          </w:tcPr>
          <w:p w:rsidR="00B04AE3" w:rsidRDefault="00B04AE3">
            <w:pPr>
              <w:pStyle w:val="TableParagraph"/>
              <w:jc w:val="left"/>
              <w:rPr>
                <w:b/>
                <w:sz w:val="20"/>
              </w:rPr>
            </w:pPr>
          </w:p>
          <w:p w:rsidR="00B04AE3" w:rsidRDefault="00B04AE3">
            <w:pPr>
              <w:pStyle w:val="TableParagraph"/>
              <w:spacing w:before="154" w:line="242" w:lineRule="auto"/>
              <w:ind w:left="507" w:right="30" w:hanging="401"/>
              <w:jc w:val="left"/>
              <w:rPr>
                <w:sz w:val="21"/>
              </w:rPr>
            </w:pPr>
            <w:r>
              <w:rPr>
                <w:rFonts w:hint="eastAsia"/>
                <w:sz w:val="21"/>
              </w:rPr>
              <w:t>安全阀损坏、管道破裂</w:t>
            </w:r>
          </w:p>
        </w:tc>
        <w:tc>
          <w:tcPr>
            <w:tcW w:w="1826" w:type="dxa"/>
          </w:tcPr>
          <w:p w:rsidR="00B04AE3" w:rsidRDefault="00B04AE3">
            <w:pPr>
              <w:pStyle w:val="TableParagraph"/>
              <w:spacing w:before="2" w:line="242" w:lineRule="auto"/>
              <w:ind w:left="178" w:right="17" w:hanging="72"/>
              <w:jc w:val="left"/>
              <w:rPr>
                <w:sz w:val="21"/>
              </w:rPr>
            </w:pPr>
            <w:r>
              <w:rPr>
                <w:rFonts w:hint="eastAsia"/>
                <w:sz w:val="21"/>
              </w:rPr>
              <w:t>公司级环境事件；</w:t>
            </w:r>
            <w:r>
              <w:rPr>
                <w:sz w:val="21"/>
              </w:rPr>
              <w:t xml:space="preserve"> </w:t>
            </w:r>
            <w:r>
              <w:rPr>
                <w:rFonts w:hint="eastAsia"/>
                <w:sz w:val="21"/>
              </w:rPr>
              <w:t>污染受体主要为公司内部人员和附近风险范围内</w:t>
            </w:r>
          </w:p>
          <w:p w:rsidR="00B04AE3" w:rsidRDefault="00B04AE3">
            <w:pPr>
              <w:pStyle w:val="TableParagraph"/>
              <w:spacing w:line="252" w:lineRule="exact"/>
              <w:ind w:left="32" w:right="17"/>
              <w:rPr>
                <w:sz w:val="21"/>
              </w:rPr>
            </w:pPr>
            <w:r>
              <w:rPr>
                <w:rFonts w:hint="eastAsia"/>
                <w:sz w:val="21"/>
              </w:rPr>
              <w:t>居民</w:t>
            </w:r>
          </w:p>
        </w:tc>
        <w:tc>
          <w:tcPr>
            <w:tcW w:w="1824" w:type="dxa"/>
          </w:tcPr>
          <w:p w:rsidR="00B04AE3" w:rsidRDefault="00B04AE3">
            <w:pPr>
              <w:pStyle w:val="TableParagraph"/>
              <w:spacing w:before="2"/>
              <w:jc w:val="left"/>
              <w:rPr>
                <w:b/>
                <w:sz w:val="21"/>
              </w:rPr>
            </w:pPr>
          </w:p>
          <w:p w:rsidR="00B04AE3" w:rsidRDefault="00B04AE3">
            <w:pPr>
              <w:pStyle w:val="TableParagraph"/>
              <w:spacing w:line="242" w:lineRule="auto"/>
              <w:ind w:left="70" w:right="53"/>
              <w:rPr>
                <w:sz w:val="21"/>
              </w:rPr>
            </w:pPr>
            <w:r>
              <w:rPr>
                <w:rFonts w:hint="eastAsia"/>
                <w:sz w:val="21"/>
              </w:rPr>
              <w:t>污染物扩散，突然影响周围大气环境</w:t>
            </w:r>
          </w:p>
        </w:tc>
      </w:tr>
      <w:tr w:rsidR="00B04AE3">
        <w:trPr>
          <w:trHeight w:val="1089"/>
        </w:trPr>
        <w:tc>
          <w:tcPr>
            <w:tcW w:w="664" w:type="dxa"/>
          </w:tcPr>
          <w:p w:rsidR="00B04AE3" w:rsidRDefault="00B04AE3">
            <w:pPr>
              <w:pStyle w:val="TableParagraph"/>
              <w:spacing w:before="12"/>
              <w:jc w:val="left"/>
              <w:rPr>
                <w:b/>
                <w:sz w:val="32"/>
              </w:rPr>
            </w:pPr>
          </w:p>
          <w:p w:rsidR="00B04AE3" w:rsidRDefault="00B04AE3">
            <w:pPr>
              <w:pStyle w:val="TableParagraph"/>
              <w:ind w:left="18"/>
              <w:rPr>
                <w:rFonts w:ascii="Times New Roman"/>
                <w:sz w:val="21"/>
              </w:rPr>
            </w:pPr>
            <w:r>
              <w:rPr>
                <w:rFonts w:ascii="Times New Roman"/>
                <w:w w:val="99"/>
                <w:sz w:val="21"/>
              </w:rPr>
              <w:t>2</w:t>
            </w:r>
          </w:p>
        </w:tc>
        <w:tc>
          <w:tcPr>
            <w:tcW w:w="1320" w:type="dxa"/>
          </w:tcPr>
          <w:p w:rsidR="00B04AE3" w:rsidRDefault="00B04AE3">
            <w:pPr>
              <w:pStyle w:val="TableParagraph"/>
              <w:jc w:val="left"/>
              <w:rPr>
                <w:b/>
                <w:sz w:val="20"/>
              </w:rPr>
            </w:pPr>
          </w:p>
          <w:p w:rsidR="00B04AE3" w:rsidRDefault="00B04AE3">
            <w:pPr>
              <w:pStyle w:val="TableParagraph"/>
              <w:spacing w:before="152"/>
              <w:ind w:left="217" w:right="202"/>
              <w:rPr>
                <w:sz w:val="21"/>
              </w:rPr>
            </w:pPr>
            <w:r>
              <w:rPr>
                <w:rFonts w:hint="eastAsia"/>
                <w:sz w:val="21"/>
              </w:rPr>
              <w:t>硫酸储罐</w:t>
            </w:r>
          </w:p>
        </w:tc>
        <w:tc>
          <w:tcPr>
            <w:tcW w:w="1241" w:type="dxa"/>
          </w:tcPr>
          <w:p w:rsidR="00B04AE3" w:rsidRDefault="00B04AE3">
            <w:pPr>
              <w:pStyle w:val="TableParagraph"/>
              <w:jc w:val="left"/>
              <w:rPr>
                <w:b/>
                <w:sz w:val="20"/>
              </w:rPr>
            </w:pPr>
          </w:p>
          <w:p w:rsidR="00B04AE3" w:rsidRDefault="00B04AE3">
            <w:pPr>
              <w:pStyle w:val="TableParagraph"/>
              <w:spacing w:before="152"/>
              <w:ind w:left="172" w:right="157"/>
              <w:rPr>
                <w:sz w:val="21"/>
              </w:rPr>
            </w:pPr>
            <w:r>
              <w:rPr>
                <w:rFonts w:hint="eastAsia"/>
                <w:sz w:val="21"/>
              </w:rPr>
              <w:t>硫酸</w:t>
            </w:r>
          </w:p>
        </w:tc>
        <w:tc>
          <w:tcPr>
            <w:tcW w:w="1649" w:type="dxa"/>
          </w:tcPr>
          <w:p w:rsidR="00B04AE3" w:rsidRDefault="00B04AE3">
            <w:pPr>
              <w:pStyle w:val="TableParagraph"/>
              <w:spacing w:before="2"/>
              <w:jc w:val="left"/>
              <w:rPr>
                <w:b/>
                <w:sz w:val="21"/>
              </w:rPr>
            </w:pPr>
          </w:p>
          <w:p w:rsidR="00B04AE3" w:rsidRDefault="00B04AE3">
            <w:pPr>
              <w:pStyle w:val="TableParagraph"/>
              <w:spacing w:line="244" w:lineRule="auto"/>
              <w:ind w:left="404" w:right="51" w:hanging="298"/>
              <w:jc w:val="left"/>
              <w:rPr>
                <w:sz w:val="21"/>
              </w:rPr>
            </w:pPr>
            <w:r>
              <w:rPr>
                <w:rFonts w:hint="eastAsia"/>
                <w:sz w:val="21"/>
              </w:rPr>
              <w:t>硫酸储罐泄漏、管道破裂</w:t>
            </w:r>
          </w:p>
        </w:tc>
        <w:tc>
          <w:tcPr>
            <w:tcW w:w="1826" w:type="dxa"/>
          </w:tcPr>
          <w:p w:rsidR="00B04AE3" w:rsidRDefault="00B04AE3">
            <w:pPr>
              <w:pStyle w:val="TableParagraph"/>
              <w:spacing w:before="135" w:line="242" w:lineRule="auto"/>
              <w:ind w:left="106" w:right="17"/>
              <w:rPr>
                <w:sz w:val="21"/>
              </w:rPr>
            </w:pPr>
            <w:r>
              <w:rPr>
                <w:rFonts w:hint="eastAsia"/>
                <w:spacing w:val="-2"/>
                <w:sz w:val="21"/>
              </w:rPr>
              <w:t>车间级环境事件；</w:t>
            </w:r>
            <w:r>
              <w:rPr>
                <w:spacing w:val="-2"/>
                <w:sz w:val="21"/>
              </w:rPr>
              <w:t xml:space="preserve"> </w:t>
            </w:r>
            <w:r>
              <w:rPr>
                <w:rFonts w:hint="eastAsia"/>
                <w:sz w:val="21"/>
              </w:rPr>
              <w:t>污染受体主要为</w:t>
            </w:r>
            <w:r>
              <w:rPr>
                <w:sz w:val="21"/>
              </w:rPr>
              <w:t xml:space="preserve"> </w:t>
            </w:r>
            <w:r>
              <w:rPr>
                <w:rFonts w:hint="eastAsia"/>
                <w:sz w:val="21"/>
              </w:rPr>
              <w:t>公司内部人员</w:t>
            </w:r>
          </w:p>
        </w:tc>
        <w:tc>
          <w:tcPr>
            <w:tcW w:w="1824" w:type="dxa"/>
          </w:tcPr>
          <w:p w:rsidR="00B04AE3" w:rsidRDefault="00B04AE3">
            <w:pPr>
              <w:pStyle w:val="TableParagraph"/>
              <w:spacing w:line="242" w:lineRule="auto"/>
              <w:ind w:left="106" w:right="86"/>
              <w:jc w:val="both"/>
              <w:rPr>
                <w:sz w:val="21"/>
              </w:rPr>
            </w:pPr>
            <w:r>
              <w:rPr>
                <w:rFonts w:hint="eastAsia"/>
                <w:spacing w:val="-12"/>
                <w:sz w:val="21"/>
              </w:rPr>
              <w:t>污染物扩散，突然</w:t>
            </w:r>
            <w:r>
              <w:rPr>
                <w:rFonts w:hint="eastAsia"/>
                <w:spacing w:val="-11"/>
                <w:sz w:val="21"/>
              </w:rPr>
              <w:t>影响周围空气、地</w:t>
            </w:r>
            <w:r>
              <w:rPr>
                <w:rFonts w:hint="eastAsia"/>
                <w:spacing w:val="-12"/>
                <w:sz w:val="21"/>
              </w:rPr>
              <w:t>表水、地下水、土</w:t>
            </w:r>
          </w:p>
          <w:p w:rsidR="00B04AE3" w:rsidRDefault="00B04AE3">
            <w:pPr>
              <w:pStyle w:val="TableParagraph"/>
              <w:spacing w:before="1" w:line="253" w:lineRule="exact"/>
              <w:ind w:left="70" w:right="52"/>
              <w:rPr>
                <w:sz w:val="21"/>
              </w:rPr>
            </w:pPr>
            <w:r>
              <w:rPr>
                <w:rFonts w:hint="eastAsia"/>
                <w:sz w:val="21"/>
              </w:rPr>
              <w:t>壤等</w:t>
            </w:r>
          </w:p>
        </w:tc>
      </w:tr>
      <w:tr w:rsidR="00B04AE3">
        <w:trPr>
          <w:trHeight w:val="1089"/>
        </w:trPr>
        <w:tc>
          <w:tcPr>
            <w:tcW w:w="664" w:type="dxa"/>
          </w:tcPr>
          <w:p w:rsidR="00B04AE3" w:rsidRDefault="00B04AE3">
            <w:pPr>
              <w:pStyle w:val="TableParagraph"/>
              <w:ind w:left="18"/>
              <w:rPr>
                <w:rFonts w:ascii="Times New Roman"/>
                <w:w w:val="99"/>
                <w:sz w:val="21"/>
                <w:lang w:val="en-US"/>
              </w:rPr>
            </w:pPr>
            <w:r>
              <w:rPr>
                <w:rFonts w:ascii="Times New Roman"/>
                <w:w w:val="99"/>
                <w:sz w:val="21"/>
                <w:lang w:val="en-US"/>
              </w:rPr>
              <w:t>3</w:t>
            </w:r>
          </w:p>
        </w:tc>
        <w:tc>
          <w:tcPr>
            <w:tcW w:w="1320" w:type="dxa"/>
          </w:tcPr>
          <w:p w:rsidR="00B04AE3" w:rsidRDefault="00B04AE3">
            <w:pPr>
              <w:pStyle w:val="TableParagraph"/>
              <w:spacing w:before="152"/>
              <w:ind w:left="217" w:right="202"/>
              <w:rPr>
                <w:sz w:val="21"/>
              </w:rPr>
            </w:pPr>
            <w:r>
              <w:rPr>
                <w:rFonts w:hint="eastAsia"/>
                <w:sz w:val="21"/>
              </w:rPr>
              <w:t>氢氧化钠储罐</w:t>
            </w:r>
          </w:p>
        </w:tc>
        <w:tc>
          <w:tcPr>
            <w:tcW w:w="1241" w:type="dxa"/>
          </w:tcPr>
          <w:p w:rsidR="00B04AE3" w:rsidRDefault="00B04AE3">
            <w:pPr>
              <w:pStyle w:val="TableParagraph"/>
              <w:spacing w:before="152"/>
              <w:ind w:left="172" w:right="157"/>
              <w:rPr>
                <w:sz w:val="21"/>
              </w:rPr>
            </w:pPr>
            <w:r>
              <w:rPr>
                <w:rFonts w:hint="eastAsia"/>
                <w:sz w:val="21"/>
              </w:rPr>
              <w:t>氢氧化钠</w:t>
            </w:r>
          </w:p>
        </w:tc>
        <w:tc>
          <w:tcPr>
            <w:tcW w:w="1649" w:type="dxa"/>
          </w:tcPr>
          <w:p w:rsidR="00B04AE3" w:rsidRDefault="00B04AE3">
            <w:pPr>
              <w:pStyle w:val="TableParagraph"/>
              <w:spacing w:line="244" w:lineRule="auto"/>
              <w:ind w:left="404" w:right="51" w:hanging="298"/>
              <w:jc w:val="left"/>
              <w:rPr>
                <w:sz w:val="21"/>
              </w:rPr>
            </w:pPr>
            <w:r>
              <w:rPr>
                <w:rFonts w:hint="eastAsia"/>
                <w:sz w:val="21"/>
              </w:rPr>
              <w:t>储罐泄漏、管道破裂</w:t>
            </w:r>
          </w:p>
        </w:tc>
        <w:tc>
          <w:tcPr>
            <w:tcW w:w="1826" w:type="dxa"/>
          </w:tcPr>
          <w:p w:rsidR="00B04AE3" w:rsidRDefault="00B04AE3">
            <w:pPr>
              <w:pStyle w:val="TableParagraph"/>
              <w:spacing w:before="135" w:line="242" w:lineRule="auto"/>
              <w:ind w:left="106" w:right="17"/>
              <w:rPr>
                <w:spacing w:val="-2"/>
                <w:sz w:val="21"/>
              </w:rPr>
            </w:pPr>
            <w:r>
              <w:rPr>
                <w:rFonts w:hint="eastAsia"/>
                <w:spacing w:val="-2"/>
                <w:sz w:val="21"/>
              </w:rPr>
              <w:t>车间级环境事件；</w:t>
            </w:r>
            <w:r>
              <w:rPr>
                <w:spacing w:val="-2"/>
                <w:sz w:val="21"/>
              </w:rPr>
              <w:t xml:space="preserve"> </w:t>
            </w:r>
            <w:r>
              <w:rPr>
                <w:rFonts w:hint="eastAsia"/>
                <w:sz w:val="21"/>
              </w:rPr>
              <w:t>污染受体主要为</w:t>
            </w:r>
            <w:r>
              <w:rPr>
                <w:sz w:val="21"/>
              </w:rPr>
              <w:t xml:space="preserve"> </w:t>
            </w:r>
            <w:r>
              <w:rPr>
                <w:rFonts w:hint="eastAsia"/>
                <w:sz w:val="21"/>
              </w:rPr>
              <w:t>公司内部人员</w:t>
            </w:r>
          </w:p>
        </w:tc>
        <w:tc>
          <w:tcPr>
            <w:tcW w:w="1824" w:type="dxa"/>
          </w:tcPr>
          <w:p w:rsidR="00B04AE3" w:rsidRDefault="00B04AE3">
            <w:pPr>
              <w:pStyle w:val="TableParagraph"/>
              <w:spacing w:line="242" w:lineRule="auto"/>
              <w:ind w:left="106" w:right="86"/>
              <w:jc w:val="both"/>
              <w:rPr>
                <w:sz w:val="21"/>
              </w:rPr>
            </w:pPr>
            <w:r>
              <w:rPr>
                <w:rFonts w:hint="eastAsia"/>
                <w:spacing w:val="-12"/>
                <w:sz w:val="21"/>
              </w:rPr>
              <w:t>污染物扩散，突然</w:t>
            </w:r>
            <w:r>
              <w:rPr>
                <w:rFonts w:hint="eastAsia"/>
                <w:spacing w:val="-11"/>
                <w:sz w:val="21"/>
              </w:rPr>
              <w:t>影响周围空气、地</w:t>
            </w:r>
            <w:r>
              <w:rPr>
                <w:rFonts w:hint="eastAsia"/>
                <w:spacing w:val="-12"/>
                <w:sz w:val="21"/>
              </w:rPr>
              <w:t>表水、地下水、土</w:t>
            </w:r>
          </w:p>
          <w:p w:rsidR="00B04AE3" w:rsidRDefault="00B04AE3">
            <w:pPr>
              <w:pStyle w:val="TableParagraph"/>
              <w:spacing w:before="1" w:line="253" w:lineRule="exact"/>
              <w:ind w:left="70" w:right="52"/>
              <w:rPr>
                <w:sz w:val="21"/>
              </w:rPr>
            </w:pPr>
            <w:r>
              <w:rPr>
                <w:rFonts w:hint="eastAsia"/>
                <w:sz w:val="21"/>
              </w:rPr>
              <w:t>壤等</w:t>
            </w:r>
          </w:p>
        </w:tc>
      </w:tr>
    </w:tbl>
    <w:p w:rsidR="00B04AE3" w:rsidRDefault="00B04AE3">
      <w:pPr>
        <w:spacing w:before="64"/>
        <w:ind w:left="797"/>
        <w:rPr>
          <w:b/>
          <w:sz w:val="24"/>
        </w:rPr>
      </w:pPr>
      <w:r>
        <w:rPr>
          <w:rFonts w:hint="eastAsia"/>
          <w:b/>
          <w:sz w:val="24"/>
        </w:rPr>
        <w:t>情景二：火灾、爆炸事故引发的环境污染情景分析</w:t>
      </w:r>
    </w:p>
    <w:p w:rsidR="00B04AE3" w:rsidRDefault="00B04AE3">
      <w:pPr>
        <w:pStyle w:val="BodyText"/>
        <w:spacing w:before="20" w:line="360" w:lineRule="auto"/>
        <w:ind w:left="334" w:right="334" w:firstLine="482"/>
        <w:jc w:val="both"/>
        <w:rPr>
          <w:spacing w:val="-6"/>
          <w:szCs w:val="22"/>
        </w:rPr>
      </w:pPr>
      <w:r>
        <w:rPr>
          <w:rFonts w:hint="eastAsia"/>
          <w:spacing w:val="-6"/>
          <w:szCs w:val="22"/>
        </w:rPr>
        <w:t>情景：天然气、液氯钢瓶等发生泄露后遇明火等发生火灾、爆炸事故，释放大量有毒、有害气体，影响周围环境质量。</w:t>
      </w:r>
    </w:p>
    <w:p w:rsidR="00B04AE3" w:rsidRDefault="00B04AE3">
      <w:pPr>
        <w:pStyle w:val="BodyText"/>
        <w:spacing w:before="20" w:line="360" w:lineRule="auto"/>
        <w:ind w:left="334" w:right="334" w:firstLine="482"/>
        <w:jc w:val="both"/>
        <w:rPr>
          <w:spacing w:val="-6"/>
          <w:szCs w:val="22"/>
        </w:rPr>
      </w:pPr>
      <w:r>
        <w:rPr>
          <w:rFonts w:hint="eastAsia"/>
          <w:spacing w:val="-6"/>
          <w:szCs w:val="22"/>
        </w:rPr>
        <w:t>发生条件：发生火灾或爆炸事故的潜在因素分为物质因素和诱发因素，其中物质因素主要涉及物质的危险性、物质系数以及危险物质是否达到一定的规模，</w:t>
      </w:r>
      <w:r>
        <w:rPr>
          <w:spacing w:val="-6"/>
          <w:szCs w:val="22"/>
        </w:rPr>
        <w:t xml:space="preserve"> </w:t>
      </w:r>
      <w:r>
        <w:rPr>
          <w:rFonts w:hint="eastAsia"/>
          <w:spacing w:val="-6"/>
          <w:szCs w:val="22"/>
        </w:rPr>
        <w:t>它们是事故发生的内在因素，而诱发因素是引起事故的外在动力，包括生产装置设备的工作状态，以及环境因素、人为因素和管理因素。本公司发生火灾和爆炸的原因主要见表</w:t>
      </w:r>
      <w:r>
        <w:rPr>
          <w:spacing w:val="-6"/>
          <w:szCs w:val="22"/>
        </w:rPr>
        <w:t xml:space="preserve"> 3.1-3</w:t>
      </w:r>
      <w:r>
        <w:rPr>
          <w:rFonts w:hint="eastAsia"/>
          <w:spacing w:val="-6"/>
          <w:szCs w:val="22"/>
        </w:rPr>
        <w:t>。</w:t>
      </w:r>
    </w:p>
    <w:p w:rsidR="00B04AE3" w:rsidRDefault="00B04AE3">
      <w:pPr>
        <w:tabs>
          <w:tab w:val="left" w:pos="4433"/>
        </w:tabs>
        <w:spacing w:before="140" w:after="28"/>
        <w:ind w:left="3392"/>
        <w:rPr>
          <w:b/>
          <w:sz w:val="24"/>
        </w:rPr>
      </w:pPr>
      <w:r>
        <w:rPr>
          <w:rFonts w:hint="eastAsia"/>
          <w:b/>
          <w:sz w:val="24"/>
        </w:rPr>
        <w:t>表</w:t>
      </w:r>
      <w:r>
        <w:rPr>
          <w:b/>
          <w:spacing w:val="-61"/>
          <w:sz w:val="24"/>
        </w:rPr>
        <w:t xml:space="preserve"> </w:t>
      </w:r>
      <w:r>
        <w:rPr>
          <w:rFonts w:ascii="Times New Roman" w:eastAsia="Times New Roman"/>
          <w:b/>
          <w:sz w:val="24"/>
        </w:rPr>
        <w:t>3.1-3</w:t>
      </w:r>
      <w:r>
        <w:rPr>
          <w:rFonts w:ascii="Times New Roman" w:eastAsia="Times New Roman"/>
          <w:b/>
          <w:sz w:val="24"/>
        </w:rPr>
        <w:tab/>
      </w:r>
      <w:r>
        <w:rPr>
          <w:rFonts w:hint="eastAsia"/>
          <w:b/>
          <w:sz w:val="24"/>
        </w:rPr>
        <w:t>火灾和爆炸事故原因分析</w:t>
      </w:r>
    </w:p>
    <w:tbl>
      <w:tblPr>
        <w:tblW w:w="8394" w:type="dxa"/>
        <w:tblInd w:w="7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47"/>
        <w:gridCol w:w="1273"/>
        <w:gridCol w:w="6474"/>
      </w:tblGrid>
      <w:tr w:rsidR="00B04AE3">
        <w:trPr>
          <w:trHeight w:val="340"/>
        </w:trPr>
        <w:tc>
          <w:tcPr>
            <w:tcW w:w="647" w:type="dxa"/>
            <w:shd w:val="clear" w:color="auto" w:fill="DFDFDF"/>
          </w:tcPr>
          <w:p w:rsidR="00B04AE3" w:rsidRDefault="00B04AE3">
            <w:pPr>
              <w:pStyle w:val="TableParagraph"/>
              <w:spacing w:before="32"/>
              <w:ind w:left="92" w:right="83"/>
              <w:rPr>
                <w:b/>
                <w:sz w:val="21"/>
              </w:rPr>
            </w:pPr>
            <w:r>
              <w:rPr>
                <w:rFonts w:hint="eastAsia"/>
                <w:b/>
                <w:sz w:val="21"/>
              </w:rPr>
              <w:t>序号</w:t>
            </w:r>
          </w:p>
        </w:tc>
        <w:tc>
          <w:tcPr>
            <w:tcW w:w="7747" w:type="dxa"/>
            <w:gridSpan w:val="2"/>
            <w:shd w:val="clear" w:color="auto" w:fill="DFDFDF"/>
          </w:tcPr>
          <w:p w:rsidR="00B04AE3" w:rsidRDefault="00B04AE3">
            <w:pPr>
              <w:pStyle w:val="TableParagraph"/>
              <w:spacing w:before="32"/>
              <w:ind w:left="3432" w:right="3421"/>
              <w:rPr>
                <w:b/>
                <w:sz w:val="21"/>
              </w:rPr>
            </w:pPr>
            <w:r>
              <w:rPr>
                <w:rFonts w:hint="eastAsia"/>
                <w:b/>
                <w:sz w:val="21"/>
              </w:rPr>
              <w:t>事故原因</w:t>
            </w:r>
          </w:p>
        </w:tc>
      </w:tr>
      <w:tr w:rsidR="00B04AE3">
        <w:trPr>
          <w:trHeight w:val="480"/>
        </w:trPr>
        <w:tc>
          <w:tcPr>
            <w:tcW w:w="647" w:type="dxa"/>
          </w:tcPr>
          <w:p w:rsidR="00B04AE3" w:rsidRDefault="00B04AE3">
            <w:pPr>
              <w:pStyle w:val="TableParagraph"/>
              <w:spacing w:before="116"/>
              <w:ind w:left="11"/>
              <w:rPr>
                <w:rFonts w:ascii="Times New Roman"/>
                <w:sz w:val="21"/>
              </w:rPr>
            </w:pPr>
            <w:r>
              <w:rPr>
                <w:rFonts w:ascii="Times New Roman"/>
                <w:w w:val="99"/>
                <w:sz w:val="21"/>
              </w:rPr>
              <w:t>1</w:t>
            </w:r>
          </w:p>
        </w:tc>
        <w:tc>
          <w:tcPr>
            <w:tcW w:w="1273" w:type="dxa"/>
          </w:tcPr>
          <w:p w:rsidR="00B04AE3" w:rsidRDefault="00B04AE3">
            <w:pPr>
              <w:pStyle w:val="TableParagraph"/>
              <w:spacing w:before="102"/>
              <w:ind w:left="109" w:right="102"/>
              <w:rPr>
                <w:sz w:val="21"/>
              </w:rPr>
            </w:pPr>
            <w:r>
              <w:rPr>
                <w:rFonts w:hint="eastAsia"/>
                <w:sz w:val="21"/>
              </w:rPr>
              <w:t>明火</w:t>
            </w:r>
          </w:p>
        </w:tc>
        <w:tc>
          <w:tcPr>
            <w:tcW w:w="6474" w:type="dxa"/>
          </w:tcPr>
          <w:p w:rsidR="00B04AE3" w:rsidRDefault="00B04AE3">
            <w:pPr>
              <w:pStyle w:val="TableParagraph"/>
              <w:spacing w:line="240" w:lineRule="exact"/>
              <w:ind w:left="108" w:right="96"/>
              <w:jc w:val="left"/>
              <w:rPr>
                <w:spacing w:val="-4"/>
                <w:sz w:val="21"/>
              </w:rPr>
            </w:pPr>
            <w:r>
              <w:rPr>
                <w:rFonts w:hint="eastAsia"/>
                <w:spacing w:val="-4"/>
                <w:sz w:val="21"/>
              </w:rPr>
              <w:t>检修过程中违章动火作业、现场吸烟、机动车辆喷烟排火等，为导致</w:t>
            </w:r>
            <w:r>
              <w:rPr>
                <w:spacing w:val="-4"/>
                <w:sz w:val="21"/>
              </w:rPr>
              <w:t xml:space="preserve">  </w:t>
            </w:r>
            <w:r>
              <w:rPr>
                <w:rFonts w:hint="eastAsia"/>
                <w:spacing w:val="-4"/>
                <w:sz w:val="21"/>
              </w:rPr>
              <w:t>火灾爆炸事故最常见、最直接的原因。</w:t>
            </w:r>
          </w:p>
        </w:tc>
      </w:tr>
      <w:tr w:rsidR="00B04AE3">
        <w:trPr>
          <w:trHeight w:val="720"/>
        </w:trPr>
        <w:tc>
          <w:tcPr>
            <w:tcW w:w="647" w:type="dxa"/>
          </w:tcPr>
          <w:p w:rsidR="00B04AE3" w:rsidRDefault="00B04AE3">
            <w:pPr>
              <w:pStyle w:val="TableParagraph"/>
              <w:spacing w:before="5"/>
              <w:jc w:val="left"/>
              <w:rPr>
                <w:b/>
                <w:sz w:val="18"/>
              </w:rPr>
            </w:pPr>
          </w:p>
          <w:p w:rsidR="00B04AE3" w:rsidRDefault="00B04AE3">
            <w:pPr>
              <w:pStyle w:val="TableParagraph"/>
              <w:ind w:left="11"/>
              <w:rPr>
                <w:rFonts w:ascii="Times New Roman"/>
                <w:sz w:val="21"/>
              </w:rPr>
            </w:pPr>
            <w:r>
              <w:rPr>
                <w:rFonts w:ascii="Times New Roman"/>
                <w:w w:val="99"/>
                <w:sz w:val="21"/>
              </w:rPr>
              <w:t>2</w:t>
            </w:r>
          </w:p>
        </w:tc>
        <w:tc>
          <w:tcPr>
            <w:tcW w:w="1273" w:type="dxa"/>
          </w:tcPr>
          <w:p w:rsidR="00B04AE3" w:rsidRDefault="00B04AE3">
            <w:pPr>
              <w:pStyle w:val="TableParagraph"/>
              <w:spacing w:before="4"/>
              <w:jc w:val="left"/>
              <w:rPr>
                <w:b/>
                <w:sz w:val="17"/>
              </w:rPr>
            </w:pPr>
          </w:p>
          <w:p w:rsidR="00B04AE3" w:rsidRDefault="00B04AE3">
            <w:pPr>
              <w:pStyle w:val="TableParagraph"/>
              <w:ind w:left="107" w:right="102"/>
              <w:rPr>
                <w:sz w:val="21"/>
              </w:rPr>
            </w:pPr>
            <w:r>
              <w:rPr>
                <w:rFonts w:hint="eastAsia"/>
                <w:sz w:val="21"/>
              </w:rPr>
              <w:t>违章作业</w:t>
            </w:r>
          </w:p>
        </w:tc>
        <w:tc>
          <w:tcPr>
            <w:tcW w:w="6474" w:type="dxa"/>
          </w:tcPr>
          <w:p w:rsidR="00B04AE3" w:rsidRDefault="00B04AE3">
            <w:pPr>
              <w:pStyle w:val="TableParagraph"/>
              <w:spacing w:line="240" w:lineRule="exact"/>
              <w:ind w:left="108" w:right="96"/>
              <w:jc w:val="left"/>
              <w:rPr>
                <w:spacing w:val="-4"/>
                <w:sz w:val="21"/>
              </w:rPr>
            </w:pPr>
            <w:r>
              <w:rPr>
                <w:rFonts w:hint="eastAsia"/>
                <w:spacing w:val="-4"/>
                <w:sz w:val="21"/>
              </w:rPr>
              <w:t>违章指挥、违章操作、误操作、擅离工作岗位、纪律松弛及思想麻痹</w:t>
            </w:r>
            <w:r>
              <w:rPr>
                <w:spacing w:val="-4"/>
                <w:sz w:val="21"/>
              </w:rPr>
              <w:t xml:space="preserve">  </w:t>
            </w:r>
            <w:r>
              <w:rPr>
                <w:rFonts w:hint="eastAsia"/>
                <w:spacing w:val="-4"/>
                <w:sz w:val="21"/>
              </w:rPr>
              <w:t>等行为是导致火灾爆炸事故的重要原因，违章作业直接或间接引起火</w:t>
            </w:r>
            <w:r>
              <w:rPr>
                <w:spacing w:val="-4"/>
                <w:sz w:val="21"/>
              </w:rPr>
              <w:t xml:space="preserve">  </w:t>
            </w:r>
            <w:r>
              <w:rPr>
                <w:rFonts w:hint="eastAsia"/>
                <w:spacing w:val="-4"/>
                <w:sz w:val="21"/>
              </w:rPr>
              <w:t>灾爆炸事故占全部事故的</w:t>
            </w:r>
            <w:r>
              <w:rPr>
                <w:spacing w:val="-4"/>
                <w:sz w:val="21"/>
              </w:rPr>
              <w:t xml:space="preserve"> 60%</w:t>
            </w:r>
            <w:r>
              <w:rPr>
                <w:rFonts w:hint="eastAsia"/>
                <w:spacing w:val="-4"/>
                <w:sz w:val="21"/>
              </w:rPr>
              <w:t>以上。</w:t>
            </w:r>
          </w:p>
        </w:tc>
      </w:tr>
      <w:tr w:rsidR="00B04AE3">
        <w:trPr>
          <w:trHeight w:val="720"/>
        </w:trPr>
        <w:tc>
          <w:tcPr>
            <w:tcW w:w="647" w:type="dxa"/>
          </w:tcPr>
          <w:p w:rsidR="00B04AE3" w:rsidRDefault="00B04AE3">
            <w:pPr>
              <w:pStyle w:val="TableParagraph"/>
              <w:spacing w:before="5"/>
              <w:jc w:val="left"/>
              <w:rPr>
                <w:b/>
                <w:sz w:val="18"/>
              </w:rPr>
            </w:pPr>
          </w:p>
          <w:p w:rsidR="00B04AE3" w:rsidRDefault="00B04AE3">
            <w:pPr>
              <w:pStyle w:val="TableParagraph"/>
              <w:ind w:left="11"/>
              <w:rPr>
                <w:rFonts w:ascii="Times New Roman"/>
                <w:sz w:val="21"/>
              </w:rPr>
            </w:pPr>
            <w:r>
              <w:rPr>
                <w:rFonts w:ascii="Times New Roman"/>
                <w:w w:val="99"/>
                <w:sz w:val="21"/>
              </w:rPr>
              <w:t>3</w:t>
            </w:r>
          </w:p>
        </w:tc>
        <w:tc>
          <w:tcPr>
            <w:tcW w:w="1273" w:type="dxa"/>
          </w:tcPr>
          <w:p w:rsidR="00B04AE3" w:rsidRDefault="00B04AE3">
            <w:pPr>
              <w:pStyle w:val="TableParagraph"/>
              <w:spacing w:before="5" w:line="213" w:lineRule="auto"/>
              <w:ind w:left="109" w:right="102"/>
              <w:rPr>
                <w:sz w:val="21"/>
              </w:rPr>
            </w:pPr>
            <w:r>
              <w:rPr>
                <w:rFonts w:hint="eastAsia"/>
                <w:sz w:val="21"/>
              </w:rPr>
              <w:t>设备、设施质量缺陷或</w:t>
            </w:r>
          </w:p>
          <w:p w:rsidR="00B04AE3" w:rsidRDefault="00B04AE3">
            <w:pPr>
              <w:pStyle w:val="TableParagraph"/>
              <w:spacing w:line="216" w:lineRule="exact"/>
              <w:ind w:left="109" w:right="102"/>
              <w:rPr>
                <w:sz w:val="21"/>
              </w:rPr>
            </w:pPr>
            <w:r>
              <w:rPr>
                <w:rFonts w:hint="eastAsia"/>
                <w:sz w:val="21"/>
              </w:rPr>
              <w:t>故障</w:t>
            </w:r>
          </w:p>
        </w:tc>
        <w:tc>
          <w:tcPr>
            <w:tcW w:w="6474" w:type="dxa"/>
          </w:tcPr>
          <w:p w:rsidR="00B04AE3" w:rsidRDefault="00B04AE3">
            <w:pPr>
              <w:pStyle w:val="TableParagraph"/>
              <w:spacing w:line="240" w:lineRule="exact"/>
              <w:ind w:left="108" w:right="96"/>
              <w:jc w:val="left"/>
              <w:rPr>
                <w:spacing w:val="-4"/>
                <w:sz w:val="21"/>
              </w:rPr>
            </w:pPr>
            <w:r>
              <w:rPr>
                <w:rFonts w:hint="eastAsia"/>
                <w:spacing w:val="-4"/>
                <w:sz w:val="21"/>
              </w:rPr>
              <w:t>选用不当、不满足防火要求，存在质量缺陷的设备设施</w:t>
            </w:r>
          </w:p>
          <w:p w:rsidR="00B04AE3" w:rsidRDefault="00B04AE3">
            <w:pPr>
              <w:pStyle w:val="TableParagraph"/>
              <w:spacing w:line="240" w:lineRule="exact"/>
              <w:ind w:left="108" w:right="96"/>
              <w:jc w:val="left"/>
              <w:rPr>
                <w:spacing w:val="-4"/>
                <w:sz w:val="21"/>
              </w:rPr>
            </w:pPr>
            <w:r>
              <w:rPr>
                <w:rFonts w:hint="eastAsia"/>
                <w:spacing w:val="-4"/>
                <w:sz w:val="21"/>
              </w:rPr>
              <w:t>储运设备设施主体选材、制造安装中存在质量缺陷或受腐蚀、老化极</w:t>
            </w:r>
            <w:r>
              <w:rPr>
                <w:spacing w:val="-4"/>
                <w:sz w:val="21"/>
              </w:rPr>
              <w:t xml:space="preserve">  </w:t>
            </w:r>
            <w:r>
              <w:rPr>
                <w:rFonts w:hint="eastAsia"/>
                <w:spacing w:val="-4"/>
                <w:sz w:val="21"/>
              </w:rPr>
              <w:t>不正常操作而引起大量泄露，附件和安全装置存在质量缺陷和被损坏</w:t>
            </w:r>
          </w:p>
        </w:tc>
      </w:tr>
      <w:tr w:rsidR="00B04AE3">
        <w:trPr>
          <w:trHeight w:val="720"/>
        </w:trPr>
        <w:tc>
          <w:tcPr>
            <w:tcW w:w="647" w:type="dxa"/>
          </w:tcPr>
          <w:p w:rsidR="00B04AE3" w:rsidRDefault="00B04AE3">
            <w:pPr>
              <w:pStyle w:val="TableParagraph"/>
              <w:spacing w:before="4"/>
              <w:jc w:val="left"/>
              <w:rPr>
                <w:b/>
                <w:sz w:val="18"/>
              </w:rPr>
            </w:pPr>
          </w:p>
          <w:p w:rsidR="00B04AE3" w:rsidRDefault="00B04AE3">
            <w:pPr>
              <w:pStyle w:val="TableParagraph"/>
              <w:ind w:left="11"/>
              <w:rPr>
                <w:rFonts w:ascii="Times New Roman"/>
                <w:sz w:val="21"/>
              </w:rPr>
            </w:pPr>
            <w:r>
              <w:rPr>
                <w:rFonts w:ascii="Times New Roman"/>
                <w:w w:val="99"/>
                <w:sz w:val="21"/>
              </w:rPr>
              <w:t>4</w:t>
            </w:r>
          </w:p>
        </w:tc>
        <w:tc>
          <w:tcPr>
            <w:tcW w:w="1273" w:type="dxa"/>
          </w:tcPr>
          <w:p w:rsidR="00B04AE3" w:rsidRDefault="00B04AE3">
            <w:pPr>
              <w:pStyle w:val="TableParagraph"/>
              <w:spacing w:before="124" w:line="213" w:lineRule="auto"/>
              <w:ind w:left="109" w:right="102"/>
              <w:jc w:val="left"/>
              <w:rPr>
                <w:sz w:val="21"/>
              </w:rPr>
            </w:pPr>
            <w:r>
              <w:rPr>
                <w:rFonts w:hint="eastAsia"/>
                <w:sz w:val="21"/>
              </w:rPr>
              <w:t>工程技术和设计缺陷等</w:t>
            </w:r>
          </w:p>
        </w:tc>
        <w:tc>
          <w:tcPr>
            <w:tcW w:w="6474" w:type="dxa"/>
          </w:tcPr>
          <w:p w:rsidR="00B04AE3" w:rsidRDefault="00B04AE3">
            <w:pPr>
              <w:pStyle w:val="TableParagraph"/>
              <w:spacing w:line="240" w:lineRule="exact"/>
              <w:ind w:left="108" w:right="96"/>
              <w:jc w:val="left"/>
              <w:rPr>
                <w:spacing w:val="-4"/>
                <w:sz w:val="21"/>
              </w:rPr>
            </w:pPr>
            <w:r>
              <w:rPr>
                <w:rFonts w:hint="eastAsia"/>
                <w:spacing w:val="-4"/>
                <w:sz w:val="21"/>
              </w:rPr>
              <w:t>建筑物布局不合理，防火间距不够；建筑物的防火等级达不到要求；</w:t>
            </w:r>
            <w:r>
              <w:rPr>
                <w:spacing w:val="-4"/>
                <w:sz w:val="21"/>
              </w:rPr>
              <w:t xml:space="preserve">  </w:t>
            </w:r>
            <w:r>
              <w:rPr>
                <w:rFonts w:hint="eastAsia"/>
                <w:spacing w:val="-4"/>
                <w:sz w:val="21"/>
              </w:rPr>
              <w:t>消防设施不配套；装卸工艺及流程不合理；夏季高温期间防护措施不</w:t>
            </w:r>
          </w:p>
          <w:p w:rsidR="00B04AE3" w:rsidRDefault="00B04AE3">
            <w:pPr>
              <w:pStyle w:val="TableParagraph"/>
              <w:spacing w:line="240" w:lineRule="exact"/>
              <w:ind w:left="108" w:right="96"/>
              <w:jc w:val="left"/>
              <w:rPr>
                <w:spacing w:val="-4"/>
                <w:sz w:val="21"/>
              </w:rPr>
            </w:pPr>
            <w:r>
              <w:rPr>
                <w:rFonts w:hint="eastAsia"/>
                <w:spacing w:val="-4"/>
                <w:sz w:val="21"/>
              </w:rPr>
              <w:t>力或冷却降温系统发生故障</w:t>
            </w:r>
          </w:p>
        </w:tc>
      </w:tr>
      <w:tr w:rsidR="00B04AE3">
        <w:trPr>
          <w:trHeight w:val="480"/>
        </w:trPr>
        <w:tc>
          <w:tcPr>
            <w:tcW w:w="647" w:type="dxa"/>
          </w:tcPr>
          <w:p w:rsidR="00B04AE3" w:rsidRDefault="00B04AE3">
            <w:pPr>
              <w:pStyle w:val="TableParagraph"/>
              <w:spacing w:before="115"/>
              <w:ind w:left="11"/>
              <w:rPr>
                <w:rFonts w:ascii="Times New Roman"/>
                <w:sz w:val="21"/>
              </w:rPr>
            </w:pPr>
            <w:r>
              <w:rPr>
                <w:rFonts w:ascii="Times New Roman"/>
                <w:w w:val="99"/>
                <w:sz w:val="21"/>
              </w:rPr>
              <w:t>5</w:t>
            </w:r>
          </w:p>
        </w:tc>
        <w:tc>
          <w:tcPr>
            <w:tcW w:w="1273" w:type="dxa"/>
          </w:tcPr>
          <w:p w:rsidR="00B04AE3" w:rsidRDefault="00B04AE3">
            <w:pPr>
              <w:pStyle w:val="TableParagraph"/>
              <w:spacing w:before="101"/>
              <w:ind w:left="89" w:right="84"/>
              <w:rPr>
                <w:sz w:val="21"/>
              </w:rPr>
            </w:pPr>
            <w:r>
              <w:rPr>
                <w:rFonts w:hint="eastAsia"/>
                <w:sz w:val="21"/>
              </w:rPr>
              <w:t>静电、放电</w:t>
            </w:r>
          </w:p>
        </w:tc>
        <w:tc>
          <w:tcPr>
            <w:tcW w:w="6474" w:type="dxa"/>
          </w:tcPr>
          <w:p w:rsidR="00B04AE3" w:rsidRDefault="00B04AE3">
            <w:pPr>
              <w:pStyle w:val="TableParagraph"/>
              <w:spacing w:line="240" w:lineRule="exact"/>
              <w:ind w:left="108" w:right="96"/>
              <w:jc w:val="left"/>
              <w:rPr>
                <w:spacing w:val="-4"/>
                <w:sz w:val="21"/>
              </w:rPr>
            </w:pPr>
            <w:r>
              <w:rPr>
                <w:rFonts w:hint="eastAsia"/>
                <w:spacing w:val="-4"/>
                <w:sz w:val="21"/>
              </w:rPr>
              <w:t>物料在装卸、输送作业中，由于流动和被搅动、冲击、易产生和积聚</w:t>
            </w:r>
          </w:p>
          <w:p w:rsidR="00B04AE3" w:rsidRDefault="00B04AE3">
            <w:pPr>
              <w:pStyle w:val="TableParagraph"/>
              <w:spacing w:line="240" w:lineRule="exact"/>
              <w:ind w:left="108" w:right="96"/>
              <w:jc w:val="left"/>
              <w:rPr>
                <w:spacing w:val="-4"/>
                <w:sz w:val="21"/>
              </w:rPr>
            </w:pPr>
            <w:r>
              <w:rPr>
                <w:rFonts w:hint="eastAsia"/>
                <w:spacing w:val="-4"/>
                <w:sz w:val="21"/>
              </w:rPr>
              <w:t>静电，人体携带静电</w:t>
            </w:r>
          </w:p>
        </w:tc>
      </w:tr>
      <w:tr w:rsidR="00B04AE3">
        <w:trPr>
          <w:trHeight w:val="480"/>
        </w:trPr>
        <w:tc>
          <w:tcPr>
            <w:tcW w:w="647" w:type="dxa"/>
          </w:tcPr>
          <w:p w:rsidR="00B04AE3" w:rsidRDefault="00B04AE3">
            <w:pPr>
              <w:pStyle w:val="TableParagraph"/>
              <w:spacing w:before="117"/>
              <w:ind w:left="11"/>
              <w:rPr>
                <w:rFonts w:ascii="Times New Roman"/>
                <w:sz w:val="21"/>
              </w:rPr>
            </w:pPr>
            <w:r>
              <w:rPr>
                <w:rFonts w:ascii="Times New Roman"/>
                <w:w w:val="99"/>
                <w:sz w:val="21"/>
              </w:rPr>
              <w:t>6</w:t>
            </w:r>
          </w:p>
        </w:tc>
        <w:tc>
          <w:tcPr>
            <w:tcW w:w="1273" w:type="dxa"/>
          </w:tcPr>
          <w:p w:rsidR="00B04AE3" w:rsidRDefault="00B04AE3">
            <w:pPr>
              <w:pStyle w:val="TableParagraph"/>
              <w:spacing w:before="1" w:line="240" w:lineRule="exact"/>
              <w:ind w:left="426" w:right="102" w:hanging="317"/>
              <w:jc w:val="left"/>
              <w:rPr>
                <w:sz w:val="21"/>
              </w:rPr>
            </w:pPr>
            <w:r>
              <w:rPr>
                <w:rFonts w:hint="eastAsia"/>
                <w:sz w:val="21"/>
              </w:rPr>
              <w:t>雷击及杂散电流</w:t>
            </w:r>
          </w:p>
        </w:tc>
        <w:tc>
          <w:tcPr>
            <w:tcW w:w="6474" w:type="dxa"/>
          </w:tcPr>
          <w:p w:rsidR="00B04AE3" w:rsidRDefault="00B04AE3">
            <w:pPr>
              <w:pStyle w:val="TableParagraph"/>
              <w:spacing w:line="240" w:lineRule="exact"/>
              <w:ind w:left="108" w:right="96"/>
              <w:jc w:val="left"/>
              <w:rPr>
                <w:spacing w:val="-4"/>
                <w:sz w:val="21"/>
              </w:rPr>
            </w:pPr>
            <w:r>
              <w:rPr>
                <w:rFonts w:hint="eastAsia"/>
                <w:spacing w:val="-4"/>
                <w:sz w:val="21"/>
              </w:rPr>
              <w:t>建筑物的防雷设施不齐备或防雷接地措施不足；杂散电流窜入危险作</w:t>
            </w:r>
            <w:r>
              <w:rPr>
                <w:spacing w:val="-4"/>
                <w:sz w:val="21"/>
              </w:rPr>
              <w:t xml:space="preserve">  </w:t>
            </w:r>
            <w:r>
              <w:rPr>
                <w:rFonts w:hint="eastAsia"/>
                <w:spacing w:val="-4"/>
                <w:sz w:val="21"/>
              </w:rPr>
              <w:t>业场所</w:t>
            </w:r>
          </w:p>
        </w:tc>
      </w:tr>
      <w:tr w:rsidR="00B04AE3">
        <w:trPr>
          <w:trHeight w:val="339"/>
        </w:trPr>
        <w:tc>
          <w:tcPr>
            <w:tcW w:w="647" w:type="dxa"/>
          </w:tcPr>
          <w:p w:rsidR="00B04AE3" w:rsidRDefault="00B04AE3">
            <w:pPr>
              <w:pStyle w:val="TableParagraph"/>
              <w:spacing w:before="46"/>
              <w:ind w:left="11"/>
              <w:rPr>
                <w:rFonts w:ascii="Times New Roman"/>
                <w:sz w:val="21"/>
              </w:rPr>
            </w:pPr>
            <w:r>
              <w:rPr>
                <w:rFonts w:ascii="Times New Roman"/>
                <w:w w:val="99"/>
                <w:sz w:val="21"/>
              </w:rPr>
              <w:t>7</w:t>
            </w:r>
          </w:p>
        </w:tc>
        <w:tc>
          <w:tcPr>
            <w:tcW w:w="1273" w:type="dxa"/>
          </w:tcPr>
          <w:p w:rsidR="00B04AE3" w:rsidRDefault="00B04AE3">
            <w:pPr>
              <w:pStyle w:val="TableParagraph"/>
              <w:spacing w:before="32"/>
              <w:ind w:left="107" w:right="102"/>
              <w:rPr>
                <w:sz w:val="21"/>
              </w:rPr>
            </w:pPr>
            <w:r>
              <w:rPr>
                <w:rFonts w:hint="eastAsia"/>
                <w:sz w:val="21"/>
              </w:rPr>
              <w:t>其他原因</w:t>
            </w:r>
          </w:p>
        </w:tc>
        <w:tc>
          <w:tcPr>
            <w:tcW w:w="6474" w:type="dxa"/>
          </w:tcPr>
          <w:p w:rsidR="00B04AE3" w:rsidRDefault="00B04AE3">
            <w:pPr>
              <w:pStyle w:val="TableParagraph"/>
              <w:spacing w:line="240" w:lineRule="exact"/>
              <w:ind w:left="108" w:right="96"/>
              <w:jc w:val="left"/>
              <w:rPr>
                <w:spacing w:val="-4"/>
                <w:sz w:val="21"/>
              </w:rPr>
            </w:pPr>
            <w:r>
              <w:rPr>
                <w:rFonts w:hint="eastAsia"/>
                <w:spacing w:val="-4"/>
                <w:sz w:val="21"/>
              </w:rPr>
              <w:t>撞击摩擦、交通事故、人为蓄意破坏及自然灾害等</w:t>
            </w:r>
          </w:p>
        </w:tc>
      </w:tr>
    </w:tbl>
    <w:p w:rsidR="00B04AE3" w:rsidRDefault="00B04AE3">
      <w:pPr>
        <w:tabs>
          <w:tab w:val="left" w:pos="2472"/>
        </w:tabs>
        <w:spacing w:before="121" w:after="3"/>
        <w:ind w:left="1433"/>
        <w:rPr>
          <w:b/>
          <w:sz w:val="24"/>
        </w:rPr>
      </w:pPr>
      <w:r>
        <w:rPr>
          <w:rFonts w:hint="eastAsia"/>
          <w:b/>
          <w:sz w:val="24"/>
        </w:rPr>
        <w:t>表</w:t>
      </w:r>
      <w:r>
        <w:rPr>
          <w:b/>
          <w:spacing w:val="-62"/>
          <w:sz w:val="24"/>
        </w:rPr>
        <w:t xml:space="preserve"> </w:t>
      </w:r>
      <w:r>
        <w:rPr>
          <w:rFonts w:ascii="Times New Roman" w:eastAsia="Times New Roman"/>
          <w:b/>
          <w:sz w:val="24"/>
        </w:rPr>
        <w:t>3.1-4</w:t>
      </w:r>
      <w:r>
        <w:rPr>
          <w:rFonts w:ascii="Times New Roman" w:eastAsia="Times New Roman"/>
          <w:b/>
          <w:sz w:val="24"/>
        </w:rPr>
        <w:tab/>
      </w:r>
      <w:r>
        <w:rPr>
          <w:rFonts w:hint="eastAsia"/>
          <w:b/>
          <w:sz w:val="24"/>
        </w:rPr>
        <w:t>企业火灾或爆炸事故引发的环境污染事件情景分析一览表</w:t>
      </w:r>
    </w:p>
    <w:tbl>
      <w:tblPr>
        <w:tblW w:w="8420" w:type="dxa"/>
        <w:tblInd w:w="7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1414"/>
        <w:gridCol w:w="1329"/>
        <w:gridCol w:w="1766"/>
        <w:gridCol w:w="1958"/>
        <w:gridCol w:w="1953"/>
      </w:tblGrid>
      <w:tr w:rsidR="00B04AE3">
        <w:trPr>
          <w:trHeight w:val="382"/>
        </w:trPr>
        <w:tc>
          <w:tcPr>
            <w:tcW w:w="1414" w:type="dxa"/>
            <w:shd w:val="clear" w:color="auto" w:fill="DFDFDF"/>
          </w:tcPr>
          <w:p w:rsidR="00B04AE3" w:rsidRDefault="00B04AE3">
            <w:pPr>
              <w:pStyle w:val="TableParagraph"/>
              <w:spacing w:before="55"/>
              <w:ind w:left="392"/>
              <w:jc w:val="left"/>
              <w:rPr>
                <w:b/>
                <w:sz w:val="21"/>
              </w:rPr>
            </w:pPr>
            <w:r>
              <w:rPr>
                <w:rFonts w:hint="eastAsia"/>
                <w:b/>
                <w:sz w:val="21"/>
              </w:rPr>
              <w:t>风险源</w:t>
            </w:r>
          </w:p>
        </w:tc>
        <w:tc>
          <w:tcPr>
            <w:tcW w:w="1329" w:type="dxa"/>
            <w:shd w:val="clear" w:color="auto" w:fill="DFDFDF"/>
          </w:tcPr>
          <w:p w:rsidR="00B04AE3" w:rsidRDefault="00B04AE3">
            <w:pPr>
              <w:pStyle w:val="TableParagraph"/>
              <w:spacing w:line="363" w:lineRule="exact"/>
              <w:ind w:left="117" w:right="100"/>
              <w:rPr>
                <w:rFonts w:ascii="微软雅黑" w:eastAsia="微软雅黑"/>
                <w:b/>
                <w:sz w:val="21"/>
              </w:rPr>
            </w:pPr>
            <w:r>
              <w:rPr>
                <w:rFonts w:hint="eastAsia"/>
                <w:b/>
                <w:sz w:val="21"/>
              </w:rPr>
              <w:t>污染</w:t>
            </w:r>
            <w:r>
              <w:rPr>
                <w:rFonts w:ascii="微软雅黑" w:eastAsia="微软雅黑" w:hint="eastAsia"/>
                <w:b/>
                <w:sz w:val="21"/>
              </w:rPr>
              <w:t>物质</w:t>
            </w:r>
          </w:p>
        </w:tc>
        <w:tc>
          <w:tcPr>
            <w:tcW w:w="1766" w:type="dxa"/>
            <w:shd w:val="clear" w:color="auto" w:fill="DFDFDF"/>
          </w:tcPr>
          <w:p w:rsidR="00B04AE3" w:rsidRDefault="00B04AE3">
            <w:pPr>
              <w:pStyle w:val="TableParagraph"/>
              <w:spacing w:before="55"/>
              <w:ind w:left="462"/>
              <w:jc w:val="left"/>
              <w:rPr>
                <w:b/>
                <w:sz w:val="21"/>
              </w:rPr>
            </w:pPr>
            <w:r>
              <w:rPr>
                <w:rFonts w:hint="eastAsia"/>
                <w:b/>
                <w:sz w:val="21"/>
              </w:rPr>
              <w:t>污染原因</w:t>
            </w:r>
          </w:p>
        </w:tc>
        <w:tc>
          <w:tcPr>
            <w:tcW w:w="1958" w:type="dxa"/>
            <w:shd w:val="clear" w:color="auto" w:fill="DFDFDF"/>
          </w:tcPr>
          <w:p w:rsidR="00B04AE3" w:rsidRDefault="00B04AE3">
            <w:pPr>
              <w:pStyle w:val="TableParagraph"/>
              <w:spacing w:before="55"/>
              <w:ind w:left="244"/>
              <w:jc w:val="left"/>
              <w:rPr>
                <w:b/>
                <w:sz w:val="21"/>
              </w:rPr>
            </w:pPr>
            <w:r>
              <w:rPr>
                <w:rFonts w:hint="eastAsia"/>
                <w:b/>
                <w:sz w:val="21"/>
              </w:rPr>
              <w:t>污染范围及受体</w:t>
            </w:r>
          </w:p>
        </w:tc>
        <w:tc>
          <w:tcPr>
            <w:tcW w:w="1953" w:type="dxa"/>
            <w:shd w:val="clear" w:color="auto" w:fill="DFDFDF"/>
          </w:tcPr>
          <w:p w:rsidR="00B04AE3" w:rsidRDefault="00B04AE3">
            <w:pPr>
              <w:pStyle w:val="TableParagraph"/>
              <w:ind w:left="451"/>
              <w:jc w:val="left"/>
              <w:rPr>
                <w:b/>
                <w:sz w:val="21"/>
              </w:rPr>
            </w:pPr>
            <w:r>
              <w:rPr>
                <w:rFonts w:hint="eastAsia"/>
                <w:b/>
                <w:sz w:val="21"/>
              </w:rPr>
              <w:t>对环境危害</w:t>
            </w:r>
          </w:p>
        </w:tc>
      </w:tr>
      <w:tr w:rsidR="00B04AE3">
        <w:trPr>
          <w:trHeight w:val="1102"/>
        </w:trPr>
        <w:tc>
          <w:tcPr>
            <w:tcW w:w="1414" w:type="dxa"/>
          </w:tcPr>
          <w:p w:rsidR="00B04AE3" w:rsidRDefault="00B04AE3">
            <w:pPr>
              <w:pStyle w:val="TableParagraph"/>
              <w:spacing w:before="144" w:line="242" w:lineRule="auto"/>
              <w:ind w:left="76" w:right="57"/>
              <w:rPr>
                <w:sz w:val="21"/>
              </w:rPr>
            </w:pPr>
            <w:r>
              <w:rPr>
                <w:rFonts w:hint="eastAsia"/>
                <w:sz w:val="21"/>
              </w:rPr>
              <w:t>硫酸罐区、液氮钢瓶及管道</w:t>
            </w:r>
          </w:p>
        </w:tc>
        <w:tc>
          <w:tcPr>
            <w:tcW w:w="1329" w:type="dxa"/>
          </w:tcPr>
          <w:p w:rsidR="00B04AE3" w:rsidRDefault="00B04AE3">
            <w:pPr>
              <w:pStyle w:val="TableParagraph"/>
              <w:jc w:val="left"/>
              <w:rPr>
                <w:b/>
                <w:sz w:val="20"/>
              </w:rPr>
            </w:pPr>
          </w:p>
          <w:p w:rsidR="00B04AE3" w:rsidRDefault="00B04AE3">
            <w:pPr>
              <w:pStyle w:val="TableParagraph"/>
              <w:spacing w:before="159"/>
              <w:ind w:left="117" w:right="102"/>
              <w:rPr>
                <w:sz w:val="21"/>
              </w:rPr>
            </w:pPr>
            <w:r>
              <w:rPr>
                <w:rFonts w:hint="eastAsia"/>
                <w:sz w:val="21"/>
              </w:rPr>
              <w:t>硫酸、氨等</w:t>
            </w:r>
          </w:p>
        </w:tc>
        <w:tc>
          <w:tcPr>
            <w:tcW w:w="1766" w:type="dxa"/>
            <w:vMerge w:val="restart"/>
          </w:tcPr>
          <w:p w:rsidR="00B04AE3" w:rsidRDefault="00B04AE3">
            <w:pPr>
              <w:pStyle w:val="TableParagraph"/>
              <w:jc w:val="left"/>
              <w:rPr>
                <w:b/>
              </w:rPr>
            </w:pPr>
          </w:p>
          <w:p w:rsidR="00B04AE3" w:rsidRDefault="00B04AE3">
            <w:pPr>
              <w:pStyle w:val="TableParagraph"/>
              <w:spacing w:before="162" w:line="242" w:lineRule="auto"/>
              <w:ind w:left="107" w:right="-29" w:hanging="104"/>
              <w:rPr>
                <w:rFonts w:ascii="Times New Roman" w:eastAsia="Times New Roman"/>
                <w:sz w:val="21"/>
              </w:rPr>
            </w:pPr>
            <w:r>
              <w:rPr>
                <w:rFonts w:hint="eastAsia"/>
                <w:sz w:val="21"/>
              </w:rPr>
              <w:t>泄露后遇明火等</w:t>
            </w:r>
            <w:r>
              <w:rPr>
                <w:sz w:val="21"/>
              </w:rPr>
              <w:t xml:space="preserve"> </w:t>
            </w:r>
            <w:r>
              <w:rPr>
                <w:rFonts w:hint="eastAsia"/>
                <w:spacing w:val="-5"/>
                <w:sz w:val="21"/>
              </w:rPr>
              <w:t>发生火灾、爆炸，</w:t>
            </w:r>
            <w:r>
              <w:rPr>
                <w:spacing w:val="-5"/>
                <w:sz w:val="21"/>
              </w:rPr>
              <w:t xml:space="preserve"> </w:t>
            </w:r>
            <w:r>
              <w:rPr>
                <w:rFonts w:hint="eastAsia"/>
                <w:spacing w:val="-5"/>
                <w:sz w:val="21"/>
              </w:rPr>
              <w:t>具体事故原因详</w:t>
            </w:r>
            <w:r>
              <w:rPr>
                <w:spacing w:val="-5"/>
                <w:sz w:val="21"/>
              </w:rPr>
              <w:t xml:space="preserve"> </w:t>
            </w:r>
            <w:r>
              <w:rPr>
                <w:rFonts w:hint="eastAsia"/>
                <w:spacing w:val="-21"/>
                <w:sz w:val="21"/>
              </w:rPr>
              <w:t>见表</w:t>
            </w:r>
            <w:r>
              <w:rPr>
                <w:spacing w:val="-21"/>
                <w:sz w:val="21"/>
              </w:rPr>
              <w:t xml:space="preserve"> </w:t>
            </w:r>
            <w:r>
              <w:rPr>
                <w:rFonts w:ascii="Times New Roman" w:eastAsia="Times New Roman"/>
                <w:sz w:val="21"/>
              </w:rPr>
              <w:t>3.1-3</w:t>
            </w:r>
          </w:p>
        </w:tc>
        <w:tc>
          <w:tcPr>
            <w:tcW w:w="1958" w:type="dxa"/>
          </w:tcPr>
          <w:p w:rsidR="00B04AE3" w:rsidRDefault="00B04AE3">
            <w:pPr>
              <w:pStyle w:val="TableParagraph"/>
              <w:spacing w:line="240" w:lineRule="exact"/>
              <w:ind w:left="108" w:right="96"/>
              <w:jc w:val="left"/>
              <w:rPr>
                <w:spacing w:val="-4"/>
                <w:sz w:val="21"/>
              </w:rPr>
            </w:pPr>
            <w:r>
              <w:rPr>
                <w:rFonts w:hint="eastAsia"/>
                <w:spacing w:val="-4"/>
                <w:sz w:val="21"/>
              </w:rPr>
              <w:t>公司级环境事件；</w:t>
            </w:r>
            <w:r>
              <w:rPr>
                <w:spacing w:val="-4"/>
                <w:sz w:val="21"/>
              </w:rPr>
              <w:t xml:space="preserve"> </w:t>
            </w:r>
            <w:r>
              <w:rPr>
                <w:rFonts w:hint="eastAsia"/>
                <w:spacing w:val="-4"/>
                <w:sz w:val="21"/>
              </w:rPr>
              <w:t>污染受体主要为公司内部人员和附近</w:t>
            </w:r>
          </w:p>
          <w:p w:rsidR="00B04AE3" w:rsidRDefault="00B04AE3">
            <w:pPr>
              <w:pStyle w:val="TableParagraph"/>
              <w:spacing w:line="240" w:lineRule="exact"/>
              <w:ind w:left="108" w:right="96"/>
              <w:jc w:val="left"/>
              <w:rPr>
                <w:spacing w:val="-4"/>
                <w:sz w:val="21"/>
              </w:rPr>
            </w:pPr>
            <w:r>
              <w:rPr>
                <w:rFonts w:hint="eastAsia"/>
                <w:spacing w:val="-4"/>
                <w:sz w:val="21"/>
              </w:rPr>
              <w:t>风险范围内居民</w:t>
            </w:r>
          </w:p>
        </w:tc>
        <w:tc>
          <w:tcPr>
            <w:tcW w:w="1953" w:type="dxa"/>
            <w:vMerge w:val="restart"/>
          </w:tcPr>
          <w:p w:rsidR="00B04AE3" w:rsidRDefault="00B04AE3">
            <w:pPr>
              <w:pStyle w:val="TableParagraph"/>
              <w:jc w:val="left"/>
              <w:rPr>
                <w:b/>
                <w:sz w:val="20"/>
              </w:rPr>
            </w:pPr>
          </w:p>
          <w:p w:rsidR="00B04AE3" w:rsidRDefault="00B04AE3">
            <w:pPr>
              <w:pStyle w:val="TableParagraph"/>
              <w:spacing w:before="2"/>
              <w:jc w:val="left"/>
              <w:rPr>
                <w:b/>
                <w:sz w:val="25"/>
              </w:rPr>
            </w:pPr>
          </w:p>
          <w:p w:rsidR="00B04AE3" w:rsidRDefault="00B04AE3">
            <w:pPr>
              <w:pStyle w:val="TableParagraph"/>
              <w:spacing w:line="242" w:lineRule="auto"/>
              <w:ind w:left="134" w:right="118"/>
              <w:jc w:val="both"/>
              <w:rPr>
                <w:sz w:val="21"/>
              </w:rPr>
            </w:pPr>
            <w:r>
              <w:rPr>
                <w:rFonts w:hint="eastAsia"/>
                <w:sz w:val="21"/>
              </w:rPr>
              <w:t>污染物扩散，突然影响周围大气、地表水、地下水等</w:t>
            </w:r>
          </w:p>
        </w:tc>
      </w:tr>
      <w:tr w:rsidR="00B04AE3">
        <w:trPr>
          <w:trHeight w:val="852"/>
        </w:trPr>
        <w:tc>
          <w:tcPr>
            <w:tcW w:w="1414" w:type="dxa"/>
          </w:tcPr>
          <w:p w:rsidR="00B04AE3" w:rsidRDefault="00B04AE3">
            <w:pPr>
              <w:pStyle w:val="TableParagraph"/>
              <w:spacing w:before="155" w:line="242" w:lineRule="auto"/>
              <w:ind w:left="495" w:right="18" w:hanging="389"/>
              <w:jc w:val="left"/>
              <w:rPr>
                <w:sz w:val="21"/>
              </w:rPr>
            </w:pPr>
            <w:r>
              <w:rPr>
                <w:rFonts w:hint="eastAsia"/>
                <w:sz w:val="21"/>
              </w:rPr>
              <w:t>锅炉等</w:t>
            </w:r>
          </w:p>
        </w:tc>
        <w:tc>
          <w:tcPr>
            <w:tcW w:w="1329" w:type="dxa"/>
          </w:tcPr>
          <w:p w:rsidR="00B04AE3" w:rsidRDefault="00B04AE3">
            <w:pPr>
              <w:pStyle w:val="TableParagraph"/>
              <w:spacing w:before="7"/>
              <w:jc w:val="left"/>
              <w:rPr>
                <w:b/>
              </w:rPr>
            </w:pPr>
          </w:p>
          <w:p w:rsidR="00B04AE3" w:rsidRDefault="00B04AE3">
            <w:pPr>
              <w:pStyle w:val="TableParagraph"/>
              <w:ind w:left="117" w:right="102"/>
              <w:rPr>
                <w:sz w:val="21"/>
              </w:rPr>
            </w:pPr>
            <w:r>
              <w:rPr>
                <w:rFonts w:hint="eastAsia"/>
                <w:sz w:val="21"/>
              </w:rPr>
              <w:t>天然气等</w:t>
            </w:r>
          </w:p>
        </w:tc>
        <w:tc>
          <w:tcPr>
            <w:tcW w:w="1766" w:type="dxa"/>
            <w:vMerge/>
            <w:tcBorders>
              <w:top w:val="nil"/>
            </w:tcBorders>
          </w:tcPr>
          <w:p w:rsidR="00B04AE3" w:rsidRDefault="00B04AE3">
            <w:pPr>
              <w:rPr>
                <w:sz w:val="2"/>
                <w:szCs w:val="2"/>
              </w:rPr>
            </w:pPr>
          </w:p>
        </w:tc>
        <w:tc>
          <w:tcPr>
            <w:tcW w:w="1958" w:type="dxa"/>
          </w:tcPr>
          <w:p w:rsidR="00B04AE3" w:rsidRDefault="00B04AE3">
            <w:pPr>
              <w:pStyle w:val="TableParagraph"/>
              <w:spacing w:line="240" w:lineRule="exact"/>
              <w:ind w:left="108" w:right="96"/>
              <w:jc w:val="left"/>
              <w:rPr>
                <w:spacing w:val="-4"/>
                <w:sz w:val="21"/>
              </w:rPr>
            </w:pPr>
            <w:r>
              <w:rPr>
                <w:rFonts w:hint="eastAsia"/>
                <w:spacing w:val="-4"/>
                <w:sz w:val="21"/>
              </w:rPr>
              <w:t>车间级环境事件；</w:t>
            </w:r>
            <w:r>
              <w:rPr>
                <w:spacing w:val="-4"/>
                <w:sz w:val="21"/>
              </w:rPr>
              <w:t xml:space="preserve"> </w:t>
            </w:r>
            <w:r>
              <w:rPr>
                <w:rFonts w:hint="eastAsia"/>
                <w:spacing w:val="-4"/>
                <w:sz w:val="21"/>
              </w:rPr>
              <w:t>污染受体主要为公</w:t>
            </w:r>
          </w:p>
          <w:p w:rsidR="00B04AE3" w:rsidRDefault="00B04AE3">
            <w:pPr>
              <w:pStyle w:val="TableParagraph"/>
              <w:spacing w:line="240" w:lineRule="exact"/>
              <w:ind w:left="108" w:right="96"/>
              <w:jc w:val="left"/>
              <w:rPr>
                <w:spacing w:val="-4"/>
                <w:sz w:val="21"/>
              </w:rPr>
            </w:pPr>
            <w:r>
              <w:rPr>
                <w:rFonts w:hint="eastAsia"/>
                <w:spacing w:val="-4"/>
                <w:sz w:val="21"/>
              </w:rPr>
              <w:t>司内部</w:t>
            </w:r>
          </w:p>
        </w:tc>
        <w:tc>
          <w:tcPr>
            <w:tcW w:w="1953" w:type="dxa"/>
            <w:vMerge/>
            <w:tcBorders>
              <w:top w:val="nil"/>
            </w:tcBorders>
          </w:tcPr>
          <w:p w:rsidR="00B04AE3" w:rsidRDefault="00B04AE3">
            <w:pPr>
              <w:rPr>
                <w:sz w:val="2"/>
                <w:szCs w:val="2"/>
              </w:rPr>
            </w:pPr>
          </w:p>
        </w:tc>
      </w:tr>
    </w:tbl>
    <w:p w:rsidR="00B04AE3" w:rsidRDefault="00B04AE3">
      <w:pPr>
        <w:spacing w:before="2" w:line="364" w:lineRule="auto"/>
        <w:ind w:left="1268" w:right="5277" w:hanging="471"/>
        <w:rPr>
          <w:b/>
          <w:sz w:val="24"/>
        </w:rPr>
      </w:pPr>
      <w:r>
        <w:rPr>
          <w:rFonts w:hint="eastAsia"/>
          <w:b/>
          <w:sz w:val="24"/>
        </w:rPr>
        <w:t>情景三：污染治理设施非正常运行情景：</w:t>
      </w:r>
      <w:r>
        <w:rPr>
          <w:rFonts w:hint="eastAsia"/>
          <w:sz w:val="24"/>
        </w:rPr>
        <w:t>污染治理设施非正常运行</w:t>
      </w:r>
      <w:r>
        <w:rPr>
          <w:rFonts w:hint="eastAsia"/>
          <w:b/>
          <w:sz w:val="24"/>
        </w:rPr>
        <w:t>发生条件：</w:t>
      </w:r>
    </w:p>
    <w:p w:rsidR="00B04AE3" w:rsidRDefault="00B04AE3">
      <w:pPr>
        <w:spacing w:line="304" w:lineRule="exact"/>
        <w:ind w:left="1268"/>
        <w:rPr>
          <w:b/>
          <w:sz w:val="24"/>
        </w:rPr>
      </w:pPr>
      <w:r>
        <w:rPr>
          <w:rFonts w:hint="eastAsia"/>
          <w:b/>
          <w:sz w:val="24"/>
        </w:rPr>
        <w:t>废水污染事故：</w:t>
      </w:r>
    </w:p>
    <w:p w:rsidR="00B04AE3" w:rsidRDefault="00B04AE3">
      <w:pPr>
        <w:pStyle w:val="ListParagraph"/>
        <w:tabs>
          <w:tab w:val="left" w:pos="1879"/>
        </w:tabs>
        <w:spacing w:before="161"/>
        <w:ind w:left="1277" w:firstLine="0"/>
        <w:rPr>
          <w:spacing w:val="-6"/>
          <w:sz w:val="24"/>
        </w:rPr>
      </w:pPr>
      <w:r>
        <w:rPr>
          <w:rFonts w:hint="eastAsia"/>
          <w:spacing w:val="-6"/>
          <w:sz w:val="24"/>
        </w:rPr>
        <w:t>⑴进水水质严重超标</w:t>
      </w:r>
    </w:p>
    <w:p w:rsidR="00B04AE3" w:rsidRDefault="00B04AE3">
      <w:pPr>
        <w:pStyle w:val="BodyText"/>
        <w:spacing w:before="64" w:line="364" w:lineRule="auto"/>
        <w:ind w:left="797" w:right="795" w:firstLine="480"/>
        <w:rPr>
          <w:spacing w:val="-6"/>
          <w:szCs w:val="22"/>
        </w:rPr>
      </w:pPr>
      <w:r>
        <w:rPr>
          <w:rFonts w:hint="eastAsia"/>
          <w:spacing w:val="-6"/>
          <w:szCs w:val="22"/>
        </w:rPr>
        <w:t>污水进水浓度超过进水设计值，引起微生物中毒或死亡，导致污水处理设施在一定时间内无法达到设计处理效率。</w:t>
      </w:r>
    </w:p>
    <w:p w:rsidR="00B04AE3" w:rsidRDefault="00B04AE3">
      <w:pPr>
        <w:pStyle w:val="ListParagraph"/>
        <w:tabs>
          <w:tab w:val="left" w:pos="1879"/>
        </w:tabs>
        <w:spacing w:line="306" w:lineRule="exact"/>
        <w:ind w:left="1277" w:firstLine="0"/>
        <w:rPr>
          <w:spacing w:val="-6"/>
          <w:sz w:val="24"/>
        </w:rPr>
      </w:pPr>
      <w:r>
        <w:rPr>
          <w:rFonts w:hint="eastAsia"/>
          <w:spacing w:val="-6"/>
          <w:sz w:val="24"/>
        </w:rPr>
        <w:t>⑵污水量超过设计能力</w:t>
      </w:r>
    </w:p>
    <w:p w:rsidR="00B04AE3" w:rsidRDefault="00B04AE3">
      <w:pPr>
        <w:pStyle w:val="BodyText"/>
        <w:spacing w:before="160" w:line="364" w:lineRule="auto"/>
        <w:ind w:left="797" w:right="792" w:firstLine="480"/>
        <w:jc w:val="both"/>
        <w:rPr>
          <w:spacing w:val="-6"/>
          <w:szCs w:val="22"/>
        </w:rPr>
      </w:pPr>
      <w:r>
        <w:rPr>
          <w:rFonts w:hint="eastAsia"/>
          <w:spacing w:val="-6"/>
          <w:szCs w:val="22"/>
        </w:rPr>
        <w:t>由于排水的不均匀性，导致污水水量超过设计能力，污水停留时间减少，污染负荷去除低于设计去除率，另外，进水水质负荷变化，有毒物质浓度升高，也会导致污水处理设施去除率下降。</w:t>
      </w:r>
    </w:p>
    <w:p w:rsidR="00B04AE3" w:rsidRDefault="00B04AE3">
      <w:pPr>
        <w:pStyle w:val="ListParagraph"/>
        <w:tabs>
          <w:tab w:val="left" w:pos="1879"/>
        </w:tabs>
        <w:spacing w:line="305" w:lineRule="exact"/>
        <w:ind w:left="1277" w:firstLine="0"/>
        <w:rPr>
          <w:spacing w:val="-6"/>
          <w:sz w:val="24"/>
        </w:rPr>
      </w:pPr>
      <w:r>
        <w:rPr>
          <w:rFonts w:hint="eastAsia"/>
          <w:spacing w:val="-6"/>
          <w:sz w:val="24"/>
        </w:rPr>
        <w:t>⑶污染治理设施非正常运行</w:t>
      </w:r>
    </w:p>
    <w:p w:rsidR="00B04AE3" w:rsidRDefault="00B04AE3">
      <w:pPr>
        <w:pStyle w:val="BodyText"/>
        <w:spacing w:before="161"/>
        <w:ind w:left="1277"/>
        <w:rPr>
          <w:spacing w:val="-6"/>
          <w:szCs w:val="22"/>
        </w:rPr>
      </w:pPr>
      <w:r>
        <w:rPr>
          <w:rFonts w:hint="eastAsia"/>
          <w:spacing w:val="-6"/>
          <w:szCs w:val="22"/>
        </w:rPr>
        <w:t>①设施设备故障、停电、突发天气等导致设备非正常运行</w:t>
      </w:r>
    </w:p>
    <w:p w:rsidR="00B04AE3" w:rsidRDefault="00B04AE3">
      <w:pPr>
        <w:pStyle w:val="BodyText"/>
        <w:spacing w:before="160" w:line="362" w:lineRule="auto"/>
        <w:ind w:left="797" w:right="795" w:firstLine="480"/>
        <w:rPr>
          <w:spacing w:val="-6"/>
          <w:szCs w:val="22"/>
        </w:rPr>
      </w:pPr>
      <w:r>
        <w:rPr>
          <w:rFonts w:hint="eastAsia"/>
          <w:spacing w:val="-6"/>
          <w:szCs w:val="22"/>
        </w:rPr>
        <w:t>主要是污水处理设施设备发生故障或各种外部因素，导致废水得不到有效处理，处理设施水池管道渗漏、堵塞也会引起污水超标外排的环境风险。</w:t>
      </w:r>
    </w:p>
    <w:p w:rsidR="00B04AE3" w:rsidRDefault="00B04AE3">
      <w:pPr>
        <w:pStyle w:val="BodyText"/>
        <w:spacing w:before="3"/>
        <w:ind w:left="1277"/>
        <w:rPr>
          <w:spacing w:val="-6"/>
          <w:szCs w:val="22"/>
        </w:rPr>
      </w:pPr>
      <w:r>
        <w:rPr>
          <w:rFonts w:hint="eastAsia"/>
          <w:spacing w:val="-6"/>
          <w:szCs w:val="22"/>
        </w:rPr>
        <w:t>②非正常操作</w:t>
      </w:r>
    </w:p>
    <w:p w:rsidR="00B04AE3" w:rsidRDefault="00B04AE3">
      <w:pPr>
        <w:pStyle w:val="BodyText"/>
        <w:spacing w:before="160" w:line="364" w:lineRule="auto"/>
        <w:ind w:left="797" w:right="790" w:firstLine="480"/>
        <w:jc w:val="both"/>
        <w:rPr>
          <w:spacing w:val="-6"/>
          <w:szCs w:val="22"/>
        </w:rPr>
      </w:pPr>
      <w:r>
        <w:rPr>
          <w:rFonts w:hint="eastAsia"/>
          <w:spacing w:val="-6"/>
          <w:szCs w:val="22"/>
        </w:rPr>
        <w:t>操作不当，污水处理系统运行不正常，将降低活性污泥浓度，使得生化效率下降，出现事故性排放。为预防此类工况发生，除确保生产设备和施工安装质量先进可靠外，还需加强管理，做好设备的日常维护、保养工作，同时严格按照操作规程生产，可减少此类非正常工况的发生。</w:t>
      </w:r>
    </w:p>
    <w:p w:rsidR="00B04AE3" w:rsidRDefault="00B04AE3">
      <w:pPr>
        <w:spacing w:line="305" w:lineRule="exact"/>
        <w:ind w:left="1268"/>
        <w:rPr>
          <w:b/>
          <w:sz w:val="24"/>
        </w:rPr>
      </w:pPr>
      <w:r>
        <w:rPr>
          <w:rFonts w:hint="eastAsia"/>
          <w:b/>
          <w:sz w:val="24"/>
        </w:rPr>
        <w:t>废气污染事故</w:t>
      </w:r>
    </w:p>
    <w:p w:rsidR="00B04AE3" w:rsidRDefault="00B04AE3">
      <w:pPr>
        <w:pStyle w:val="ListParagraph"/>
        <w:tabs>
          <w:tab w:val="left" w:pos="1865"/>
        </w:tabs>
        <w:spacing w:before="161" w:line="364" w:lineRule="auto"/>
        <w:ind w:left="1268" w:right="790" w:firstLine="0"/>
        <w:jc w:val="both"/>
        <w:rPr>
          <w:sz w:val="24"/>
        </w:rPr>
      </w:pPr>
      <w:r>
        <w:rPr>
          <w:rFonts w:hint="eastAsia"/>
          <w:spacing w:val="-10"/>
          <w:sz w:val="24"/>
        </w:rPr>
        <w:t>⑴突发性停电、非正常操作等原因导致设备无法运行，未起到预计的处</w:t>
      </w:r>
      <w:r>
        <w:rPr>
          <w:rFonts w:hint="eastAsia"/>
          <w:spacing w:val="-4"/>
          <w:sz w:val="24"/>
        </w:rPr>
        <w:t>理效果，锅炉炉烟气、天然气燃烧废气、硫酸雾、乳化油雾、氨等超标排放，</w:t>
      </w:r>
      <w:r>
        <w:rPr>
          <w:spacing w:val="-4"/>
          <w:sz w:val="24"/>
        </w:rPr>
        <w:t xml:space="preserve"> </w:t>
      </w:r>
      <w:r>
        <w:rPr>
          <w:rFonts w:hint="eastAsia"/>
          <w:spacing w:val="-5"/>
          <w:sz w:val="24"/>
        </w:rPr>
        <w:t>从而导致大气污染事故。</w:t>
      </w:r>
    </w:p>
    <w:p w:rsidR="00B04AE3" w:rsidRDefault="00B04AE3">
      <w:pPr>
        <w:pStyle w:val="ListParagraph"/>
        <w:tabs>
          <w:tab w:val="left" w:pos="1865"/>
        </w:tabs>
        <w:spacing w:line="364" w:lineRule="auto"/>
        <w:ind w:left="1268" w:right="794" w:firstLine="0"/>
        <w:rPr>
          <w:sz w:val="24"/>
        </w:rPr>
      </w:pPr>
      <w:r>
        <w:rPr>
          <w:rFonts w:hint="eastAsia"/>
          <w:spacing w:val="-9"/>
          <w:sz w:val="24"/>
        </w:rPr>
        <w:t>⑵废气处理装置出现故障，可导致废气处理措施无法正常处理反应生成</w:t>
      </w:r>
      <w:r>
        <w:rPr>
          <w:rFonts w:hint="eastAsia"/>
          <w:spacing w:val="-5"/>
          <w:sz w:val="24"/>
        </w:rPr>
        <w:t>的废气，存在环境污染隐患。</w:t>
      </w:r>
    </w:p>
    <w:p w:rsidR="00B04AE3" w:rsidRDefault="00B04AE3">
      <w:pPr>
        <w:spacing w:line="306" w:lineRule="exact"/>
        <w:ind w:left="797"/>
        <w:rPr>
          <w:b/>
          <w:sz w:val="24"/>
        </w:rPr>
      </w:pPr>
      <w:r>
        <w:rPr>
          <w:rFonts w:hint="eastAsia"/>
          <w:b/>
          <w:spacing w:val="-5"/>
          <w:w w:val="95"/>
          <w:sz w:val="24"/>
        </w:rPr>
        <w:t>情景四：危废泄漏</w:t>
      </w:r>
    </w:p>
    <w:p w:rsidR="00B04AE3" w:rsidRDefault="00B04AE3">
      <w:pPr>
        <w:pStyle w:val="BodyText"/>
        <w:spacing w:before="160" w:line="364" w:lineRule="auto"/>
        <w:ind w:left="797" w:right="790" w:firstLine="480"/>
        <w:jc w:val="both"/>
        <w:rPr>
          <w:spacing w:val="-6"/>
          <w:szCs w:val="22"/>
        </w:rPr>
      </w:pPr>
      <w:r>
        <w:rPr>
          <w:rFonts w:hint="eastAsia"/>
          <w:spacing w:val="-6"/>
          <w:szCs w:val="22"/>
        </w:rPr>
        <w:t>废乳化液等发生泄漏，对水源、土壤造成污染，误饮用被污染的水源会造成中毒；遇明火会燃烧，引发火灾。</w:t>
      </w:r>
    </w:p>
    <w:p w:rsidR="00B04AE3" w:rsidRDefault="00B04AE3">
      <w:pPr>
        <w:spacing w:line="304" w:lineRule="exact"/>
        <w:ind w:left="797"/>
        <w:rPr>
          <w:b/>
          <w:sz w:val="24"/>
        </w:rPr>
      </w:pPr>
      <w:r>
        <w:rPr>
          <w:rFonts w:hint="eastAsia"/>
          <w:b/>
          <w:sz w:val="24"/>
        </w:rPr>
        <w:t>情景五：不利气象条件引发的环境污染事件</w:t>
      </w:r>
    </w:p>
    <w:p w:rsidR="00B04AE3" w:rsidRDefault="00B04AE3">
      <w:pPr>
        <w:pStyle w:val="BodyText"/>
        <w:spacing w:before="160" w:line="364" w:lineRule="auto"/>
        <w:ind w:left="797" w:right="790" w:firstLine="480"/>
        <w:jc w:val="both"/>
        <w:rPr>
          <w:spacing w:val="-6"/>
          <w:szCs w:val="22"/>
        </w:rPr>
      </w:pPr>
      <w:bookmarkStart w:id="315" w:name="_bookmark105"/>
      <w:bookmarkEnd w:id="315"/>
      <w:r>
        <w:rPr>
          <w:spacing w:val="-6"/>
          <w:szCs w:val="22"/>
        </w:rPr>
        <w:t>1</w:t>
      </w:r>
      <w:r>
        <w:rPr>
          <w:rFonts w:hint="eastAsia"/>
          <w:spacing w:val="-6"/>
          <w:szCs w:val="22"/>
        </w:rPr>
        <w:t>、雨水</w:t>
      </w:r>
    </w:p>
    <w:p w:rsidR="00B04AE3" w:rsidRDefault="00B04AE3">
      <w:pPr>
        <w:pStyle w:val="BodyText"/>
        <w:spacing w:before="160" w:line="364" w:lineRule="auto"/>
        <w:ind w:left="797" w:right="790" w:firstLine="480"/>
        <w:jc w:val="both"/>
        <w:rPr>
          <w:spacing w:val="-6"/>
          <w:szCs w:val="22"/>
        </w:rPr>
      </w:pPr>
      <w:r>
        <w:rPr>
          <w:rFonts w:hint="eastAsia"/>
          <w:spacing w:val="-6"/>
          <w:szCs w:val="22"/>
        </w:rPr>
        <w:t>企业所在区域属南昌市属亚热带湿润气候区，气候温和，日照充足，寒暑交替，四季分明。春季回暖迅速，少雨多风，空气干燥；夏季温高湿大，雨量集中，</w:t>
      </w:r>
      <w:r>
        <w:rPr>
          <w:spacing w:val="-6"/>
          <w:szCs w:val="22"/>
        </w:rPr>
        <w:t xml:space="preserve"> </w:t>
      </w:r>
      <w:r>
        <w:rPr>
          <w:rFonts w:hint="eastAsia"/>
          <w:spacing w:val="-6"/>
          <w:szCs w:val="22"/>
        </w:rPr>
        <w:t>为全年降水最多季节；秋季气温下降迅速，降水变率较大；冬季寒冷干燥，雨雪稀少，严寒期较长。在雨季有可能因排涝能力不足，暴雨时会产生内涝，使厂区淹水，电器受潮，环境湿度大，并可能引发二次事故。</w:t>
      </w:r>
    </w:p>
    <w:p w:rsidR="00B04AE3" w:rsidRDefault="00B04AE3">
      <w:pPr>
        <w:pStyle w:val="BodyText"/>
        <w:spacing w:before="160" w:line="364" w:lineRule="auto"/>
        <w:ind w:left="797" w:right="790" w:firstLine="480"/>
        <w:jc w:val="both"/>
        <w:rPr>
          <w:spacing w:val="-6"/>
          <w:szCs w:val="22"/>
        </w:rPr>
      </w:pPr>
      <w:r>
        <w:rPr>
          <w:spacing w:val="-6"/>
          <w:szCs w:val="22"/>
        </w:rPr>
        <w:t>2</w:t>
      </w:r>
      <w:r>
        <w:rPr>
          <w:rFonts w:hint="eastAsia"/>
          <w:spacing w:val="-6"/>
          <w:szCs w:val="22"/>
        </w:rPr>
        <w:t>、气温</w:t>
      </w:r>
    </w:p>
    <w:p w:rsidR="00B04AE3" w:rsidRDefault="00B04AE3">
      <w:pPr>
        <w:pStyle w:val="BodyText"/>
        <w:spacing w:before="160" w:line="364" w:lineRule="auto"/>
        <w:ind w:left="797" w:right="790" w:firstLine="480"/>
        <w:jc w:val="both"/>
        <w:rPr>
          <w:spacing w:val="-6"/>
          <w:szCs w:val="22"/>
        </w:rPr>
      </w:pPr>
      <w:r>
        <w:rPr>
          <w:rFonts w:hint="eastAsia"/>
          <w:spacing w:val="-6"/>
          <w:szCs w:val="22"/>
        </w:rPr>
        <w:t>企业所在区域夏季气温较高，七月份最热，月平均气温</w:t>
      </w:r>
      <w:r>
        <w:rPr>
          <w:spacing w:val="-6"/>
          <w:szCs w:val="22"/>
        </w:rPr>
        <w:t xml:space="preserve"> 25.5</w:t>
      </w:r>
      <w:r>
        <w:rPr>
          <w:rFonts w:hint="eastAsia"/>
          <w:spacing w:val="-6"/>
          <w:szCs w:val="22"/>
        </w:rPr>
        <w:t>℃。厂内存在高温操作环境，在夏季高温季节，由于室外环境温度高，室内热量更不容易挥发。若劳动组织不合理，未做好防暑降温，操作人员会发生中暑。气温过高会使操作人员失误增加，发生事故的可能性增加。</w:t>
      </w:r>
    </w:p>
    <w:p w:rsidR="00B04AE3" w:rsidRDefault="00B04AE3">
      <w:pPr>
        <w:pStyle w:val="BodyText"/>
        <w:spacing w:before="160" w:line="364" w:lineRule="auto"/>
        <w:ind w:left="797" w:right="790" w:firstLine="480"/>
        <w:jc w:val="both"/>
        <w:rPr>
          <w:spacing w:val="-6"/>
          <w:szCs w:val="22"/>
        </w:rPr>
      </w:pPr>
      <w:r>
        <w:rPr>
          <w:rFonts w:hint="eastAsia"/>
          <w:spacing w:val="-6"/>
          <w:szCs w:val="22"/>
        </w:rPr>
        <w:t>企业所在区域冬天气温较低，一月份最冷，月平均气温</w:t>
      </w:r>
      <w:r>
        <w:rPr>
          <w:spacing w:val="-6"/>
          <w:szCs w:val="22"/>
        </w:rPr>
        <w:t>-1.9</w:t>
      </w:r>
      <w:r>
        <w:rPr>
          <w:rFonts w:hint="eastAsia"/>
          <w:spacing w:val="-6"/>
          <w:szCs w:val="22"/>
        </w:rPr>
        <w:t>℃，相对干燥。会对操作人员的身体造成伤害，危害工人的健康。在冬季寒冷天气，有可能造成物料、水冻结，另外设备、管道也存在冻裂的可能性，易导致事故的发生，应采取一定的防寒保温措施。</w:t>
      </w:r>
    </w:p>
    <w:p w:rsidR="00B04AE3" w:rsidRDefault="00B04AE3">
      <w:pPr>
        <w:pStyle w:val="BodyText"/>
        <w:spacing w:before="160" w:line="364" w:lineRule="auto"/>
        <w:ind w:left="797" w:right="790" w:firstLine="480"/>
        <w:jc w:val="both"/>
        <w:rPr>
          <w:spacing w:val="-6"/>
          <w:szCs w:val="22"/>
        </w:rPr>
      </w:pPr>
      <w:r>
        <w:rPr>
          <w:spacing w:val="-6"/>
          <w:szCs w:val="22"/>
        </w:rPr>
        <w:t>3</w:t>
      </w:r>
      <w:r>
        <w:rPr>
          <w:rFonts w:hint="eastAsia"/>
          <w:spacing w:val="-6"/>
          <w:szCs w:val="22"/>
        </w:rPr>
        <w:t>、雷电</w:t>
      </w:r>
    </w:p>
    <w:p w:rsidR="00B04AE3" w:rsidRDefault="00B04AE3">
      <w:pPr>
        <w:pStyle w:val="BodyText"/>
        <w:spacing w:before="160" w:line="364" w:lineRule="auto"/>
        <w:ind w:left="797" w:right="790" w:firstLine="480"/>
        <w:jc w:val="both"/>
        <w:rPr>
          <w:spacing w:val="-6"/>
          <w:szCs w:val="22"/>
        </w:rPr>
      </w:pPr>
      <w:r>
        <w:rPr>
          <w:rFonts w:hint="eastAsia"/>
          <w:spacing w:val="-6"/>
          <w:szCs w:val="22"/>
        </w:rPr>
        <w:t>企业所在区域夏季雷暴雨天气较多，厂区的生产厂房等重点建构筑物和装置区域存在遭受雷击的危险，若无防雷设施或防雷设施未定期检测、损坏等，可能遭受雷击。</w:t>
      </w:r>
    </w:p>
    <w:p w:rsidR="00B04AE3" w:rsidRDefault="00B04AE3">
      <w:pPr>
        <w:pStyle w:val="BodyText"/>
        <w:spacing w:before="160" w:line="364" w:lineRule="auto"/>
        <w:ind w:left="797" w:right="790" w:firstLine="480"/>
        <w:jc w:val="both"/>
        <w:rPr>
          <w:spacing w:val="-6"/>
          <w:szCs w:val="22"/>
        </w:rPr>
      </w:pPr>
      <w:r>
        <w:rPr>
          <w:spacing w:val="-6"/>
          <w:szCs w:val="22"/>
        </w:rPr>
        <w:t>4</w:t>
      </w:r>
      <w:r>
        <w:rPr>
          <w:rFonts w:hint="eastAsia"/>
          <w:spacing w:val="-6"/>
          <w:szCs w:val="22"/>
        </w:rPr>
        <w:t>、地震</w:t>
      </w:r>
    </w:p>
    <w:p w:rsidR="00B04AE3" w:rsidRDefault="00B04AE3">
      <w:pPr>
        <w:pStyle w:val="BodyText"/>
        <w:spacing w:before="160" w:line="364" w:lineRule="auto"/>
        <w:ind w:left="797" w:right="790" w:firstLine="480"/>
        <w:jc w:val="both"/>
        <w:rPr>
          <w:spacing w:val="-6"/>
          <w:szCs w:val="22"/>
        </w:rPr>
      </w:pPr>
      <w:r>
        <w:rPr>
          <w:rFonts w:hint="eastAsia"/>
          <w:spacing w:val="-6"/>
          <w:szCs w:val="22"/>
        </w:rPr>
        <w:t>企业所在区域震动峰值加速度为</w:t>
      </w:r>
      <w:r>
        <w:rPr>
          <w:spacing w:val="-6"/>
          <w:szCs w:val="22"/>
        </w:rPr>
        <w:t xml:space="preserve"> 0.10g</w:t>
      </w:r>
      <w:r>
        <w:rPr>
          <w:rFonts w:hint="eastAsia"/>
          <w:spacing w:val="-6"/>
          <w:szCs w:val="22"/>
        </w:rPr>
        <w:t>（裂度为Ⅶ度），地震可能会引发钢瓶泄漏以及大范围扩散，造成环境灾害。厂区建筑设计按照区域防震等级设计，以符合项目防震安全建设的要求。</w:t>
      </w:r>
    </w:p>
    <w:p w:rsidR="00B04AE3" w:rsidRDefault="00B04AE3">
      <w:pPr>
        <w:pStyle w:val="BodyText"/>
        <w:spacing w:before="160" w:line="364" w:lineRule="auto"/>
        <w:ind w:left="797" w:right="790" w:firstLine="480"/>
        <w:jc w:val="both"/>
        <w:rPr>
          <w:spacing w:val="-6"/>
          <w:szCs w:val="22"/>
        </w:rPr>
      </w:pPr>
      <w:r>
        <w:rPr>
          <w:spacing w:val="-6"/>
          <w:szCs w:val="22"/>
        </w:rPr>
        <w:t>5</w:t>
      </w:r>
      <w:r>
        <w:rPr>
          <w:rFonts w:hint="eastAsia"/>
          <w:spacing w:val="-6"/>
          <w:szCs w:val="22"/>
        </w:rPr>
        <w:t>、大风、台风</w:t>
      </w:r>
    </w:p>
    <w:p w:rsidR="00B04AE3" w:rsidRDefault="00B04AE3">
      <w:pPr>
        <w:pStyle w:val="BodyText"/>
        <w:spacing w:before="160" w:line="364" w:lineRule="auto"/>
        <w:ind w:left="797" w:right="790" w:firstLine="480"/>
        <w:jc w:val="both"/>
        <w:rPr>
          <w:spacing w:val="-6"/>
          <w:szCs w:val="22"/>
        </w:rPr>
      </w:pPr>
      <w:r>
        <w:rPr>
          <w:rFonts w:hint="eastAsia"/>
          <w:spacing w:val="-6"/>
          <w:szCs w:val="22"/>
        </w:rPr>
        <w:t>企业所在区域常年主导风向为西北偏北风，夏季主导风向为东南风，年平均风速为</w:t>
      </w:r>
      <w:r>
        <w:rPr>
          <w:spacing w:val="-6"/>
          <w:szCs w:val="22"/>
        </w:rPr>
        <w:t>2.0m/s</w:t>
      </w:r>
      <w:r>
        <w:rPr>
          <w:rFonts w:hint="eastAsia"/>
          <w:spacing w:val="-6"/>
          <w:szCs w:val="22"/>
        </w:rPr>
        <w:t>。夏、秋季可能存在台风危害，区域每年的大风日较多。生产装置及建（构）筑物若不具备抗台风条件，因大风、台风影响可能造成设备损坏、人员伤亡事故。</w:t>
      </w:r>
    </w:p>
    <w:p w:rsidR="00B04AE3" w:rsidRDefault="00B04AE3">
      <w:pPr>
        <w:pStyle w:val="BodyText"/>
        <w:spacing w:before="160" w:line="364" w:lineRule="auto"/>
        <w:ind w:left="797" w:right="790" w:firstLine="480"/>
        <w:jc w:val="both"/>
        <w:rPr>
          <w:spacing w:val="-6"/>
          <w:szCs w:val="22"/>
        </w:rPr>
      </w:pPr>
      <w:r>
        <w:rPr>
          <w:spacing w:val="-6"/>
          <w:szCs w:val="22"/>
        </w:rPr>
        <w:t>6</w:t>
      </w:r>
      <w:r>
        <w:rPr>
          <w:rFonts w:hint="eastAsia"/>
          <w:spacing w:val="-6"/>
          <w:szCs w:val="22"/>
        </w:rPr>
        <w:t>、重污染天气</w:t>
      </w:r>
    </w:p>
    <w:p w:rsidR="00B04AE3" w:rsidRDefault="00B04AE3">
      <w:pPr>
        <w:pStyle w:val="BodyText"/>
        <w:spacing w:before="160" w:line="364" w:lineRule="auto"/>
        <w:ind w:left="797" w:right="790" w:firstLine="480"/>
        <w:jc w:val="both"/>
        <w:rPr>
          <w:spacing w:val="-6"/>
          <w:szCs w:val="22"/>
        </w:rPr>
      </w:pPr>
      <w:r>
        <w:rPr>
          <w:rFonts w:hint="eastAsia"/>
          <w:spacing w:val="-6"/>
          <w:szCs w:val="22"/>
        </w:rPr>
        <w:t>如出现重污染天气，发布黄色、橙色、红色预警情况下，由于本公司主要污染物为废气，故要严格落实限（减）产，具体按照上级有关主管部门及公司重污染天气应急响应操作方案内容执行。有检修计划安排的应优先停产限产减排，确保环保设施稳定运行，加强操作管理，避免污染事故产生。</w:t>
      </w:r>
    </w:p>
    <w:p w:rsidR="00B04AE3" w:rsidRDefault="00B04AE3">
      <w:pPr>
        <w:pStyle w:val="Heading2"/>
        <w:numPr>
          <w:ilvl w:val="1"/>
          <w:numId w:val="43"/>
        </w:numPr>
        <w:tabs>
          <w:tab w:val="left" w:pos="1357"/>
        </w:tabs>
        <w:spacing w:before="65"/>
        <w:ind w:hanging="559"/>
      </w:pPr>
      <w:bookmarkStart w:id="316" w:name="3.2_突发环境事件情景源强分析"/>
      <w:bookmarkEnd w:id="316"/>
      <w:r>
        <w:rPr>
          <w:rFonts w:hint="eastAsia"/>
        </w:rPr>
        <w:t>突发环境事件情景源强分析</w:t>
      </w:r>
    </w:p>
    <w:p w:rsidR="00B04AE3" w:rsidRDefault="00B04AE3">
      <w:pPr>
        <w:pStyle w:val="BodyText"/>
        <w:spacing w:before="160" w:line="364" w:lineRule="auto"/>
        <w:ind w:left="797" w:right="790" w:firstLine="480"/>
        <w:jc w:val="both"/>
        <w:rPr>
          <w:spacing w:val="-6"/>
          <w:szCs w:val="22"/>
        </w:rPr>
      </w:pPr>
      <w:r>
        <w:rPr>
          <w:rFonts w:hint="eastAsia"/>
          <w:spacing w:val="-6"/>
          <w:szCs w:val="22"/>
        </w:rPr>
        <w:t>根据《建设项目环境风险评价技术导则》（</w:t>
      </w:r>
      <w:r>
        <w:rPr>
          <w:spacing w:val="-6"/>
          <w:szCs w:val="22"/>
        </w:rPr>
        <w:t>HJ/T 169-2004</w:t>
      </w:r>
      <w:r>
        <w:rPr>
          <w:rFonts w:hint="eastAsia"/>
          <w:spacing w:val="-6"/>
          <w:szCs w:val="22"/>
        </w:rPr>
        <w:t>）和《危险化学品重大危险源辨识》（</w:t>
      </w:r>
      <w:r>
        <w:rPr>
          <w:spacing w:val="-6"/>
          <w:szCs w:val="22"/>
        </w:rPr>
        <w:t>GB18218-2009</w:t>
      </w:r>
      <w:r>
        <w:rPr>
          <w:rFonts w:hint="eastAsia"/>
          <w:spacing w:val="-6"/>
          <w:szCs w:val="22"/>
        </w:rPr>
        <w:t>），本公司涉及的有毒有害物质有硫酸、液氮等，本次风险评估针对本公司可能发生的突发环境事件情形进行评估。</w:t>
      </w:r>
    </w:p>
    <w:p w:rsidR="00B04AE3" w:rsidRDefault="00B04AE3">
      <w:pPr>
        <w:pStyle w:val="Heading3"/>
        <w:numPr>
          <w:ilvl w:val="2"/>
          <w:numId w:val="43"/>
        </w:numPr>
        <w:tabs>
          <w:tab w:val="left" w:pos="1518"/>
        </w:tabs>
        <w:spacing w:before="19"/>
      </w:pPr>
      <w:bookmarkStart w:id="317" w:name="3.2.1__重大危险源辨识"/>
      <w:bookmarkEnd w:id="317"/>
      <w:r>
        <w:rPr>
          <w:rFonts w:hint="eastAsia"/>
        </w:rPr>
        <w:t>重大危险源辨识</w:t>
      </w:r>
    </w:p>
    <w:p w:rsidR="00B04AE3" w:rsidRDefault="00B04AE3">
      <w:pPr>
        <w:pStyle w:val="BodyText"/>
        <w:spacing w:before="160" w:line="364" w:lineRule="auto"/>
        <w:ind w:left="797" w:right="790" w:firstLine="480"/>
        <w:jc w:val="both"/>
        <w:rPr>
          <w:spacing w:val="-6"/>
          <w:szCs w:val="22"/>
        </w:rPr>
      </w:pPr>
      <w:r>
        <w:rPr>
          <w:rFonts w:hint="eastAsia"/>
          <w:spacing w:val="-6"/>
          <w:szCs w:val="22"/>
        </w:rPr>
        <w:t>根据《建设项目环境风险评价技术导则》（</w:t>
      </w:r>
      <w:r>
        <w:rPr>
          <w:spacing w:val="-6"/>
          <w:szCs w:val="22"/>
        </w:rPr>
        <w:t>HJ/T169-2004</w:t>
      </w:r>
      <w:r>
        <w:rPr>
          <w:rFonts w:hint="eastAsia"/>
          <w:spacing w:val="-6"/>
          <w:szCs w:val="22"/>
        </w:rPr>
        <w:t>）和《危险化学品重大危险源辨识》（</w:t>
      </w:r>
      <w:r>
        <w:rPr>
          <w:spacing w:val="-6"/>
          <w:szCs w:val="22"/>
        </w:rPr>
        <w:t>GB18218-2009</w:t>
      </w:r>
      <w:r>
        <w:rPr>
          <w:rFonts w:hint="eastAsia"/>
          <w:spacing w:val="-6"/>
          <w:szCs w:val="22"/>
        </w:rPr>
        <w:t>），“长期或短期生产、加工、运输、使用或储存危险物质，且危险物质的数量等于或超过临界量的功能单元”定为重大危险源。本项目涉及的有毒有害化学品存在量情况，根据《危险化学品重大危险源辨识》（</w:t>
      </w:r>
      <w:r>
        <w:rPr>
          <w:spacing w:val="-6"/>
          <w:szCs w:val="22"/>
        </w:rPr>
        <w:t>GB18218-2009</w:t>
      </w:r>
      <w:r>
        <w:rPr>
          <w:rFonts w:hint="eastAsia"/>
          <w:spacing w:val="-6"/>
          <w:szCs w:val="22"/>
        </w:rPr>
        <w:t>）及《建设项目环境风险评价技术导则》（</w:t>
      </w:r>
      <w:r>
        <w:rPr>
          <w:spacing w:val="-6"/>
          <w:szCs w:val="22"/>
        </w:rPr>
        <w:t>HJ/T169-2004</w:t>
      </w:r>
      <w:r>
        <w:rPr>
          <w:rFonts w:hint="eastAsia"/>
          <w:spacing w:val="-6"/>
          <w:szCs w:val="22"/>
        </w:rPr>
        <w:t>）</w:t>
      </w:r>
      <w:r>
        <w:rPr>
          <w:spacing w:val="-6"/>
          <w:szCs w:val="22"/>
        </w:rPr>
        <w:t xml:space="preserve"> </w:t>
      </w:r>
      <w:r>
        <w:rPr>
          <w:rFonts w:hint="eastAsia"/>
          <w:spacing w:val="-6"/>
          <w:szCs w:val="22"/>
        </w:rPr>
        <w:t>附录</w:t>
      </w:r>
      <w:r>
        <w:rPr>
          <w:spacing w:val="-6"/>
          <w:szCs w:val="22"/>
        </w:rPr>
        <w:t xml:space="preserve"> A1</w:t>
      </w:r>
      <w:r>
        <w:rPr>
          <w:rFonts w:hint="eastAsia"/>
          <w:spacing w:val="-6"/>
          <w:szCs w:val="22"/>
        </w:rPr>
        <w:t>，进行识别。</w:t>
      </w:r>
    </w:p>
    <w:p w:rsidR="00B04AE3" w:rsidRDefault="00B04AE3">
      <w:pPr>
        <w:pStyle w:val="BodyText"/>
        <w:spacing w:before="160" w:line="364" w:lineRule="auto"/>
        <w:ind w:left="797" w:right="790" w:firstLine="480"/>
        <w:jc w:val="both"/>
        <w:rPr>
          <w:spacing w:val="-6"/>
          <w:szCs w:val="22"/>
        </w:rPr>
      </w:pPr>
      <w:r>
        <w:rPr>
          <w:rFonts w:hint="eastAsia"/>
          <w:spacing w:val="-6"/>
          <w:szCs w:val="22"/>
        </w:rPr>
        <w:t>依据《危险化学品重大危险源辨识》（</w:t>
      </w:r>
      <w:r>
        <w:rPr>
          <w:spacing w:val="-6"/>
          <w:szCs w:val="22"/>
        </w:rPr>
        <w:t>GB 18218-2009</w:t>
      </w:r>
      <w:r>
        <w:rPr>
          <w:rFonts w:hint="eastAsia"/>
          <w:spacing w:val="-6"/>
          <w:szCs w:val="22"/>
        </w:rPr>
        <w:t>），单元内存在的危险化学品的数量根据处理危险化学品的多少区分为以下两种情况：</w:t>
      </w:r>
    </w:p>
    <w:p w:rsidR="00B04AE3" w:rsidRDefault="00B04AE3">
      <w:pPr>
        <w:pStyle w:val="BodyText"/>
        <w:spacing w:before="160" w:line="364" w:lineRule="auto"/>
        <w:ind w:left="797" w:right="790" w:firstLine="480"/>
        <w:jc w:val="both"/>
        <w:rPr>
          <w:spacing w:val="-6"/>
          <w:szCs w:val="22"/>
        </w:rPr>
      </w:pPr>
      <w:r>
        <w:rPr>
          <w:rFonts w:hint="eastAsia"/>
          <w:spacing w:val="-6"/>
          <w:szCs w:val="22"/>
        </w:rPr>
        <w:t>⑴单元内存在的危险化学品为单一品种，则该危险化学品的数量即为单元内危险化学品的总量，若等于或超过相应的临界量，则定为重大危险源；</w:t>
      </w:r>
    </w:p>
    <w:p w:rsidR="00B04AE3" w:rsidRDefault="00B04AE3">
      <w:pPr>
        <w:pStyle w:val="BodyText"/>
        <w:spacing w:before="160" w:line="364" w:lineRule="auto"/>
        <w:ind w:left="797" w:right="790" w:firstLine="480"/>
        <w:jc w:val="both"/>
        <w:rPr>
          <w:spacing w:val="-6"/>
          <w:szCs w:val="22"/>
        </w:rPr>
        <w:sectPr w:rsidR="00B04AE3">
          <w:pgSz w:w="11910" w:h="16840"/>
          <w:pgMar w:top="1360" w:right="1000" w:bottom="900" w:left="1000" w:header="746" w:footer="720" w:gutter="0"/>
          <w:cols w:space="720"/>
        </w:sectPr>
      </w:pPr>
      <w:r>
        <w:rPr>
          <w:rFonts w:hint="eastAsia"/>
          <w:spacing w:val="-6"/>
          <w:szCs w:val="22"/>
        </w:rPr>
        <w:t>⑵单元内存在的危险化学品为多品种时，则按照下式计算，满足下式则定为重大危险源。</w:t>
      </w:r>
    </w:p>
    <w:p w:rsidR="00B04AE3" w:rsidRDefault="00B04AE3">
      <w:pPr>
        <w:pStyle w:val="BodyText"/>
        <w:spacing w:before="1"/>
        <w:ind w:left="1277"/>
        <w:rPr>
          <w:rFonts w:ascii="Times New Roman" w:hAnsi="Times New Roman"/>
        </w:rPr>
      </w:pPr>
      <w:r>
        <w:rPr>
          <w:rFonts w:hint="eastAsia"/>
        </w:rPr>
        <w:t>式中：</w:t>
      </w:r>
      <w:r>
        <w:rPr>
          <w:noProof/>
          <w:lang w:val="en-US"/>
        </w:rPr>
        <w:pict>
          <v:shape id="图片 40" o:spid="_x0000_s1454" type="#_x0000_t75" alt="14" style="position:absolute;left:0;text-align:left;margin-left:63.85pt;margin-top:15.6pt;width:361.95pt;height:77.5pt;z-index:251671040;visibility:visible;mso-position-horizontal-relative:text;mso-position-vertical-relative:text">
            <v:imagedata r:id="rId70" o:title=""/>
          </v:shape>
        </w:pict>
      </w:r>
    </w:p>
    <w:p w:rsidR="00B04AE3" w:rsidRDefault="00B04AE3">
      <w:pPr>
        <w:rPr>
          <w:rFonts w:ascii="Times New Roman" w:hAnsi="Times New Roman"/>
        </w:rPr>
        <w:sectPr w:rsidR="00B04AE3">
          <w:type w:val="continuous"/>
          <w:pgSz w:w="11910" w:h="16840"/>
          <w:pgMar w:top="60" w:right="1000" w:bottom="0" w:left="1000" w:header="720" w:footer="720" w:gutter="0"/>
          <w:cols w:num="2" w:space="720" w:equalWidth="0">
            <w:col w:w="2038" w:space="479"/>
            <w:col w:w="7393"/>
          </w:cols>
        </w:sectPr>
      </w:pPr>
    </w:p>
    <w:p w:rsidR="00B04AE3" w:rsidRDefault="00B04AE3">
      <w:pPr>
        <w:pStyle w:val="BodyText"/>
        <w:spacing w:before="160" w:line="364" w:lineRule="auto"/>
        <w:ind w:left="797" w:right="790" w:firstLine="480"/>
        <w:jc w:val="both"/>
        <w:rPr>
          <w:spacing w:val="-6"/>
          <w:szCs w:val="22"/>
        </w:rPr>
      </w:pPr>
      <w:r>
        <w:rPr>
          <w:spacing w:val="-6"/>
          <w:szCs w:val="22"/>
        </w:rPr>
        <w:t>q1</w:t>
      </w:r>
      <w:r>
        <w:rPr>
          <w:rFonts w:hint="eastAsia"/>
          <w:spacing w:val="-6"/>
          <w:szCs w:val="22"/>
        </w:rPr>
        <w:t>，</w:t>
      </w:r>
      <w:r>
        <w:rPr>
          <w:spacing w:val="-6"/>
          <w:szCs w:val="22"/>
        </w:rPr>
        <w:t>q2</w:t>
      </w:r>
      <w:r>
        <w:rPr>
          <w:rFonts w:hint="eastAsia"/>
          <w:spacing w:val="-6"/>
          <w:szCs w:val="22"/>
        </w:rPr>
        <w:t>，…，</w:t>
      </w:r>
      <w:r>
        <w:rPr>
          <w:spacing w:val="-6"/>
          <w:szCs w:val="22"/>
        </w:rPr>
        <w:t>qn——</w:t>
      </w:r>
      <w:r>
        <w:rPr>
          <w:rFonts w:hint="eastAsia"/>
          <w:spacing w:val="-6"/>
          <w:szCs w:val="22"/>
        </w:rPr>
        <w:t>每种危险化学品实际存在量，单位为吨（</w:t>
      </w:r>
      <w:r>
        <w:rPr>
          <w:spacing w:val="-6"/>
          <w:szCs w:val="22"/>
        </w:rPr>
        <w:t>t</w:t>
      </w:r>
      <w:r>
        <w:rPr>
          <w:rFonts w:hint="eastAsia"/>
          <w:spacing w:val="-6"/>
          <w:szCs w:val="22"/>
        </w:rPr>
        <w:t>）；</w:t>
      </w:r>
    </w:p>
    <w:p w:rsidR="00B04AE3" w:rsidRDefault="00B04AE3">
      <w:pPr>
        <w:pStyle w:val="BodyText"/>
        <w:spacing w:before="160" w:line="364" w:lineRule="auto"/>
        <w:ind w:left="797" w:right="790" w:firstLine="480"/>
        <w:jc w:val="both"/>
        <w:rPr>
          <w:spacing w:val="-6"/>
          <w:szCs w:val="22"/>
        </w:rPr>
      </w:pPr>
      <w:r>
        <w:rPr>
          <w:spacing w:val="-6"/>
          <w:szCs w:val="22"/>
        </w:rPr>
        <w:t>Q1</w:t>
      </w:r>
      <w:r>
        <w:rPr>
          <w:rFonts w:hint="eastAsia"/>
          <w:spacing w:val="-6"/>
          <w:szCs w:val="22"/>
        </w:rPr>
        <w:t>，</w:t>
      </w:r>
      <w:r>
        <w:rPr>
          <w:spacing w:val="-6"/>
          <w:szCs w:val="22"/>
        </w:rPr>
        <w:t>Q2</w:t>
      </w:r>
      <w:r>
        <w:rPr>
          <w:rFonts w:hint="eastAsia"/>
          <w:spacing w:val="-6"/>
          <w:szCs w:val="22"/>
        </w:rPr>
        <w:t>，…，</w:t>
      </w:r>
      <w:r>
        <w:rPr>
          <w:spacing w:val="-6"/>
          <w:szCs w:val="22"/>
        </w:rPr>
        <w:t>Qn——</w:t>
      </w:r>
      <w:r>
        <w:rPr>
          <w:rFonts w:hint="eastAsia"/>
          <w:spacing w:val="-6"/>
          <w:szCs w:val="22"/>
        </w:rPr>
        <w:t>与各危险化学品相对应的临界量，单位为吨（</w:t>
      </w:r>
      <w:r>
        <w:rPr>
          <w:spacing w:val="-6"/>
          <w:szCs w:val="22"/>
        </w:rPr>
        <w:t>t</w:t>
      </w:r>
      <w:r>
        <w:rPr>
          <w:rFonts w:hint="eastAsia"/>
          <w:spacing w:val="-6"/>
          <w:szCs w:val="22"/>
        </w:rPr>
        <w:t>）。</w:t>
      </w:r>
      <w:r>
        <w:rPr>
          <w:spacing w:val="-6"/>
          <w:szCs w:val="22"/>
        </w:rPr>
        <w:t xml:space="preserve"> </w:t>
      </w:r>
      <w:r>
        <w:rPr>
          <w:rFonts w:hint="eastAsia"/>
          <w:spacing w:val="-6"/>
          <w:szCs w:val="22"/>
        </w:rPr>
        <w:t>根据企业提供材料可知，涉及的环境风险物质为液氮、硫酸、天然气、氢氧化钠重大危险源辨识结果见表</w:t>
      </w:r>
      <w:r>
        <w:rPr>
          <w:spacing w:val="-6"/>
          <w:szCs w:val="22"/>
        </w:rPr>
        <w:t xml:space="preserve"> 3.2-1</w:t>
      </w:r>
      <w:r>
        <w:rPr>
          <w:rFonts w:hint="eastAsia"/>
          <w:spacing w:val="-6"/>
          <w:szCs w:val="22"/>
        </w:rPr>
        <w:t>。</w:t>
      </w:r>
    </w:p>
    <w:p w:rsidR="00B04AE3" w:rsidRDefault="00B04AE3">
      <w:pPr>
        <w:tabs>
          <w:tab w:val="left" w:pos="4303"/>
        </w:tabs>
        <w:spacing w:before="160" w:after="3"/>
        <w:ind w:left="3202"/>
        <w:rPr>
          <w:b/>
          <w:sz w:val="24"/>
        </w:rPr>
      </w:pPr>
      <w:r>
        <w:rPr>
          <w:rFonts w:hint="eastAsia"/>
          <w:b/>
          <w:sz w:val="24"/>
        </w:rPr>
        <w:t>表</w:t>
      </w:r>
      <w:r>
        <w:rPr>
          <w:b/>
          <w:spacing w:val="-1"/>
          <w:sz w:val="24"/>
        </w:rPr>
        <w:t xml:space="preserve"> </w:t>
      </w:r>
      <w:r>
        <w:rPr>
          <w:rFonts w:ascii="Times New Roman" w:eastAsia="Times New Roman"/>
          <w:b/>
          <w:sz w:val="24"/>
        </w:rPr>
        <w:t>3.2-1</w:t>
      </w:r>
      <w:r>
        <w:rPr>
          <w:rFonts w:ascii="Times New Roman" w:eastAsia="Times New Roman"/>
          <w:b/>
          <w:sz w:val="24"/>
        </w:rPr>
        <w:tab/>
      </w:r>
      <w:r>
        <w:rPr>
          <w:rFonts w:hint="eastAsia"/>
          <w:b/>
          <w:sz w:val="24"/>
        </w:rPr>
        <w:t>重大危险源识别一览表</w:t>
      </w:r>
    </w:p>
    <w:tbl>
      <w:tblPr>
        <w:tblW w:w="8362" w:type="dxa"/>
        <w:tblInd w:w="77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555"/>
        <w:gridCol w:w="1639"/>
        <w:gridCol w:w="1328"/>
        <w:gridCol w:w="1664"/>
        <w:gridCol w:w="1736"/>
        <w:gridCol w:w="1440"/>
      </w:tblGrid>
      <w:tr w:rsidR="00B04AE3">
        <w:trPr>
          <w:trHeight w:val="600"/>
        </w:trPr>
        <w:tc>
          <w:tcPr>
            <w:tcW w:w="555" w:type="dxa"/>
            <w:tcBorders>
              <w:right w:val="single" w:sz="4" w:space="0" w:color="000000"/>
            </w:tcBorders>
            <w:shd w:val="clear" w:color="auto" w:fill="DFDFDF"/>
          </w:tcPr>
          <w:p w:rsidR="00B04AE3" w:rsidRDefault="00B04AE3">
            <w:pPr>
              <w:pStyle w:val="TableParagraph"/>
              <w:spacing w:before="163"/>
              <w:ind w:left="45" w:right="34"/>
              <w:rPr>
                <w:b/>
                <w:sz w:val="21"/>
              </w:rPr>
            </w:pPr>
            <w:r>
              <w:rPr>
                <w:rFonts w:hint="eastAsia"/>
                <w:b/>
                <w:sz w:val="21"/>
              </w:rPr>
              <w:t>序号</w:t>
            </w:r>
          </w:p>
        </w:tc>
        <w:tc>
          <w:tcPr>
            <w:tcW w:w="1639" w:type="dxa"/>
            <w:tcBorders>
              <w:left w:val="single" w:sz="4" w:space="0" w:color="000000"/>
              <w:right w:val="single" w:sz="4" w:space="0" w:color="000000"/>
            </w:tcBorders>
            <w:shd w:val="clear" w:color="auto" w:fill="DFDFDF"/>
          </w:tcPr>
          <w:p w:rsidR="00B04AE3" w:rsidRDefault="00B04AE3">
            <w:pPr>
              <w:pStyle w:val="TableParagraph"/>
              <w:spacing w:before="163"/>
              <w:ind w:left="188" w:right="171"/>
              <w:rPr>
                <w:b/>
                <w:sz w:val="21"/>
              </w:rPr>
            </w:pPr>
            <w:r>
              <w:rPr>
                <w:rFonts w:hint="eastAsia"/>
                <w:b/>
                <w:sz w:val="21"/>
              </w:rPr>
              <w:t>风险物质</w:t>
            </w:r>
          </w:p>
        </w:tc>
        <w:tc>
          <w:tcPr>
            <w:tcW w:w="1328" w:type="dxa"/>
            <w:tcBorders>
              <w:left w:val="single" w:sz="4" w:space="0" w:color="000000"/>
              <w:right w:val="single" w:sz="4" w:space="0" w:color="000000"/>
            </w:tcBorders>
            <w:shd w:val="clear" w:color="auto" w:fill="DFDFDF"/>
          </w:tcPr>
          <w:p w:rsidR="00B04AE3" w:rsidRDefault="00B04AE3">
            <w:pPr>
              <w:pStyle w:val="TableParagraph"/>
              <w:spacing w:before="163"/>
              <w:ind w:left="241" w:right="227"/>
              <w:rPr>
                <w:rFonts w:ascii="Times New Roman" w:eastAsia="Times New Roman"/>
                <w:b/>
                <w:sz w:val="21"/>
              </w:rPr>
            </w:pPr>
            <w:r>
              <w:rPr>
                <w:rFonts w:hint="eastAsia"/>
                <w:b/>
                <w:sz w:val="21"/>
              </w:rPr>
              <w:t>临界量</w:t>
            </w:r>
            <w:r>
              <w:rPr>
                <w:b/>
                <w:sz w:val="21"/>
              </w:rPr>
              <w:t xml:space="preserve"> </w:t>
            </w:r>
            <w:r>
              <w:rPr>
                <w:rFonts w:ascii="Times New Roman" w:eastAsia="Times New Roman"/>
                <w:b/>
                <w:sz w:val="21"/>
              </w:rPr>
              <w:t>t</w:t>
            </w:r>
          </w:p>
        </w:tc>
        <w:tc>
          <w:tcPr>
            <w:tcW w:w="1664" w:type="dxa"/>
            <w:tcBorders>
              <w:left w:val="single" w:sz="4" w:space="0" w:color="000000"/>
              <w:right w:val="single" w:sz="4" w:space="0" w:color="000000"/>
            </w:tcBorders>
            <w:shd w:val="clear" w:color="auto" w:fill="DFDFDF"/>
          </w:tcPr>
          <w:p w:rsidR="00B04AE3" w:rsidRDefault="00B04AE3">
            <w:pPr>
              <w:pStyle w:val="TableParagraph"/>
              <w:spacing w:before="29" w:line="242" w:lineRule="auto"/>
              <w:ind w:left="459" w:right="258" w:hanging="180"/>
              <w:jc w:val="left"/>
              <w:rPr>
                <w:rFonts w:ascii="Times New Roman" w:eastAsia="Times New Roman"/>
                <w:b/>
                <w:sz w:val="21"/>
              </w:rPr>
            </w:pPr>
            <w:r>
              <w:rPr>
                <w:rFonts w:hint="eastAsia"/>
                <w:b/>
                <w:sz w:val="21"/>
              </w:rPr>
              <w:t>最大贮存量</w:t>
            </w:r>
            <w:r>
              <w:rPr>
                <w:rFonts w:ascii="Times New Roman" w:eastAsia="Times New Roman"/>
                <w:b/>
                <w:sz w:val="21"/>
              </w:rPr>
              <w:t xml:space="preserve">/ </w:t>
            </w:r>
            <w:r>
              <w:rPr>
                <w:rFonts w:hint="eastAsia"/>
                <w:b/>
                <w:sz w:val="21"/>
              </w:rPr>
              <w:t>在线量</w:t>
            </w:r>
            <w:r>
              <w:rPr>
                <w:b/>
                <w:sz w:val="21"/>
              </w:rPr>
              <w:t xml:space="preserve"> </w:t>
            </w:r>
            <w:r>
              <w:rPr>
                <w:rFonts w:ascii="Times New Roman" w:eastAsia="Times New Roman"/>
                <w:b/>
                <w:sz w:val="21"/>
              </w:rPr>
              <w:t>t</w:t>
            </w:r>
          </w:p>
        </w:tc>
        <w:tc>
          <w:tcPr>
            <w:tcW w:w="1736" w:type="dxa"/>
            <w:tcBorders>
              <w:left w:val="single" w:sz="4" w:space="0" w:color="000000"/>
              <w:right w:val="single" w:sz="4" w:space="0" w:color="000000"/>
            </w:tcBorders>
            <w:shd w:val="clear" w:color="auto" w:fill="DFDFDF"/>
          </w:tcPr>
          <w:p w:rsidR="00B04AE3" w:rsidRDefault="00B04AE3">
            <w:pPr>
              <w:pStyle w:val="TableParagraph"/>
              <w:spacing w:before="163"/>
              <w:ind w:left="430" w:right="412"/>
              <w:rPr>
                <w:b/>
                <w:sz w:val="21"/>
              </w:rPr>
            </w:pPr>
            <w:r>
              <w:rPr>
                <w:rFonts w:hint="eastAsia"/>
                <w:b/>
                <w:sz w:val="21"/>
              </w:rPr>
              <w:t>比例系数</w:t>
            </w:r>
          </w:p>
        </w:tc>
        <w:tc>
          <w:tcPr>
            <w:tcW w:w="1440" w:type="dxa"/>
            <w:tcBorders>
              <w:left w:val="single" w:sz="4" w:space="0" w:color="000000"/>
            </w:tcBorders>
            <w:shd w:val="clear" w:color="auto" w:fill="DFDFDF"/>
          </w:tcPr>
          <w:p w:rsidR="00B04AE3" w:rsidRDefault="00B04AE3">
            <w:pPr>
              <w:pStyle w:val="TableParagraph"/>
              <w:spacing w:before="29" w:line="242" w:lineRule="auto"/>
              <w:ind w:left="195" w:right="178" w:firstLine="105"/>
              <w:jc w:val="left"/>
              <w:rPr>
                <w:b/>
                <w:sz w:val="21"/>
              </w:rPr>
            </w:pPr>
            <w:r>
              <w:rPr>
                <w:rFonts w:hint="eastAsia"/>
                <w:b/>
                <w:sz w:val="21"/>
              </w:rPr>
              <w:t>是否构成重大危险源</w:t>
            </w:r>
          </w:p>
        </w:tc>
      </w:tr>
      <w:tr w:rsidR="00B04AE3">
        <w:trPr>
          <w:trHeight w:val="340"/>
        </w:trPr>
        <w:tc>
          <w:tcPr>
            <w:tcW w:w="555" w:type="dxa"/>
            <w:tcBorders>
              <w:right w:val="single" w:sz="4" w:space="0" w:color="000000"/>
            </w:tcBorders>
          </w:tcPr>
          <w:p w:rsidR="00B04AE3" w:rsidRDefault="00B04AE3">
            <w:pPr>
              <w:pStyle w:val="TableParagraph"/>
              <w:spacing w:before="49"/>
              <w:ind w:left="12"/>
              <w:rPr>
                <w:rFonts w:ascii="Times New Roman"/>
                <w:sz w:val="21"/>
              </w:rPr>
            </w:pPr>
            <w:r>
              <w:rPr>
                <w:rFonts w:ascii="Times New Roman"/>
                <w:w w:val="99"/>
                <w:sz w:val="21"/>
              </w:rPr>
              <w:t>1</w:t>
            </w:r>
          </w:p>
        </w:tc>
        <w:tc>
          <w:tcPr>
            <w:tcW w:w="1639" w:type="dxa"/>
            <w:tcBorders>
              <w:left w:val="single" w:sz="4" w:space="0" w:color="000000"/>
              <w:right w:val="single" w:sz="4" w:space="0" w:color="000000"/>
            </w:tcBorders>
          </w:tcPr>
          <w:p w:rsidR="00B04AE3" w:rsidRDefault="00B04AE3">
            <w:pPr>
              <w:pStyle w:val="TableParagraph"/>
              <w:spacing w:before="3"/>
              <w:jc w:val="left"/>
              <w:rPr>
                <w:b/>
                <w:sz w:val="21"/>
              </w:rPr>
            </w:pPr>
          </w:p>
          <w:p w:rsidR="00B04AE3" w:rsidRDefault="00B04AE3">
            <w:pPr>
              <w:pStyle w:val="TableParagraph"/>
              <w:ind w:left="326" w:right="320"/>
              <w:rPr>
                <w:sz w:val="21"/>
              </w:rPr>
            </w:pPr>
            <w:r>
              <w:rPr>
                <w:rFonts w:hint="eastAsia"/>
                <w:sz w:val="21"/>
              </w:rPr>
              <w:t>液氮</w:t>
            </w:r>
          </w:p>
        </w:tc>
        <w:tc>
          <w:tcPr>
            <w:tcW w:w="1328" w:type="dxa"/>
            <w:tcBorders>
              <w:left w:val="single" w:sz="4" w:space="0" w:color="000000"/>
              <w:right w:val="single" w:sz="4" w:space="0" w:color="000000"/>
            </w:tcBorders>
          </w:tcPr>
          <w:p w:rsidR="00B04AE3" w:rsidRDefault="00B04AE3">
            <w:pPr>
              <w:pStyle w:val="TableParagraph"/>
              <w:spacing w:before="2"/>
              <w:jc w:val="left"/>
              <w:rPr>
                <w:b/>
              </w:rPr>
            </w:pPr>
          </w:p>
          <w:p w:rsidR="00B04AE3" w:rsidRDefault="00B04AE3">
            <w:pPr>
              <w:pStyle w:val="TableParagraph"/>
              <w:ind w:left="10"/>
              <w:rPr>
                <w:rFonts w:ascii="Times New Roman"/>
                <w:sz w:val="21"/>
              </w:rPr>
            </w:pPr>
            <w:r>
              <w:rPr>
                <w:rFonts w:ascii="Times New Roman"/>
                <w:sz w:val="21"/>
                <w:lang w:val="en-US"/>
              </w:rPr>
              <w:t>200</w:t>
            </w:r>
          </w:p>
        </w:tc>
        <w:tc>
          <w:tcPr>
            <w:tcW w:w="1664" w:type="dxa"/>
            <w:tcBorders>
              <w:left w:val="single" w:sz="4" w:space="0" w:color="000000"/>
              <w:bottom w:val="single" w:sz="4" w:space="0" w:color="000000"/>
              <w:right w:val="single" w:sz="4" w:space="0" w:color="000000"/>
            </w:tcBorders>
          </w:tcPr>
          <w:p w:rsidR="00B04AE3" w:rsidRDefault="00B04AE3">
            <w:pPr>
              <w:pStyle w:val="TableParagraph"/>
              <w:spacing w:before="4"/>
              <w:jc w:val="left"/>
              <w:rPr>
                <w:b/>
              </w:rPr>
            </w:pPr>
          </w:p>
          <w:p w:rsidR="00B04AE3" w:rsidRDefault="00B04AE3">
            <w:pPr>
              <w:pStyle w:val="TableParagraph"/>
              <w:ind w:left="344" w:right="336"/>
              <w:rPr>
                <w:rFonts w:ascii="Times New Roman"/>
                <w:sz w:val="21"/>
              </w:rPr>
            </w:pPr>
            <w:r>
              <w:rPr>
                <w:rFonts w:ascii="Times New Roman"/>
                <w:sz w:val="21"/>
                <w:lang w:val="en-US"/>
              </w:rPr>
              <w:t>65</w:t>
            </w:r>
          </w:p>
        </w:tc>
        <w:tc>
          <w:tcPr>
            <w:tcW w:w="1736" w:type="dxa"/>
            <w:tcBorders>
              <w:left w:val="single" w:sz="4" w:space="0" w:color="000000"/>
              <w:bottom w:val="single" w:sz="4" w:space="0" w:color="000000"/>
              <w:right w:val="single" w:sz="4" w:space="0" w:color="000000"/>
            </w:tcBorders>
          </w:tcPr>
          <w:p w:rsidR="00B04AE3" w:rsidRDefault="00B04AE3">
            <w:pPr>
              <w:pStyle w:val="TableParagraph"/>
              <w:spacing w:before="4"/>
              <w:jc w:val="left"/>
              <w:rPr>
                <w:b/>
              </w:rPr>
            </w:pPr>
          </w:p>
          <w:p w:rsidR="00B04AE3" w:rsidRDefault="00B04AE3">
            <w:pPr>
              <w:pStyle w:val="TableParagraph"/>
              <w:ind w:left="117" w:right="110"/>
              <w:rPr>
                <w:rFonts w:ascii="Times New Roman"/>
                <w:sz w:val="21"/>
              </w:rPr>
            </w:pPr>
            <w:r>
              <w:rPr>
                <w:rFonts w:ascii="Times New Roman"/>
                <w:sz w:val="21"/>
              </w:rPr>
              <w:t>0.</w:t>
            </w:r>
            <w:r>
              <w:rPr>
                <w:rFonts w:ascii="Times New Roman"/>
                <w:sz w:val="21"/>
                <w:lang w:val="en-US"/>
              </w:rPr>
              <w:t>32</w:t>
            </w:r>
          </w:p>
        </w:tc>
        <w:tc>
          <w:tcPr>
            <w:tcW w:w="1440" w:type="dxa"/>
            <w:vMerge w:val="restart"/>
            <w:tcBorders>
              <w:left w:val="single" w:sz="4" w:space="0" w:color="000000"/>
              <w:bottom w:val="single" w:sz="4" w:space="0" w:color="000000"/>
            </w:tcBorders>
          </w:tcPr>
          <w:p w:rsidR="00B04AE3" w:rsidRDefault="00B04AE3">
            <w:pPr>
              <w:pStyle w:val="TableParagraph"/>
              <w:jc w:val="left"/>
              <w:rPr>
                <w:b/>
                <w:sz w:val="20"/>
              </w:rPr>
            </w:pPr>
          </w:p>
          <w:p w:rsidR="00B04AE3" w:rsidRDefault="00B04AE3">
            <w:pPr>
              <w:pStyle w:val="TableParagraph"/>
              <w:spacing w:before="2"/>
              <w:jc w:val="left"/>
              <w:rPr>
                <w:b/>
                <w:sz w:val="24"/>
              </w:rPr>
            </w:pPr>
          </w:p>
          <w:p w:rsidR="00B04AE3" w:rsidRDefault="00B04AE3">
            <w:pPr>
              <w:pStyle w:val="TableParagraph"/>
              <w:ind w:left="13"/>
              <w:rPr>
                <w:sz w:val="21"/>
              </w:rPr>
            </w:pPr>
            <w:r>
              <w:rPr>
                <w:rFonts w:hint="eastAsia"/>
                <w:w w:val="99"/>
                <w:sz w:val="21"/>
              </w:rPr>
              <w:t>否</w:t>
            </w:r>
          </w:p>
        </w:tc>
      </w:tr>
      <w:tr w:rsidR="00B04AE3">
        <w:trPr>
          <w:trHeight w:val="340"/>
        </w:trPr>
        <w:tc>
          <w:tcPr>
            <w:tcW w:w="555" w:type="dxa"/>
            <w:tcBorders>
              <w:right w:val="single" w:sz="4" w:space="0" w:color="000000"/>
            </w:tcBorders>
          </w:tcPr>
          <w:p w:rsidR="00B04AE3" w:rsidRDefault="00B04AE3">
            <w:pPr>
              <w:pStyle w:val="TableParagraph"/>
              <w:spacing w:before="50"/>
              <w:ind w:left="12"/>
              <w:rPr>
                <w:rFonts w:ascii="Times New Roman"/>
                <w:sz w:val="21"/>
              </w:rPr>
            </w:pPr>
            <w:r>
              <w:rPr>
                <w:rFonts w:ascii="Times New Roman"/>
                <w:w w:val="99"/>
                <w:sz w:val="21"/>
              </w:rPr>
              <w:t>2</w:t>
            </w:r>
          </w:p>
        </w:tc>
        <w:tc>
          <w:tcPr>
            <w:tcW w:w="1639" w:type="dxa"/>
            <w:tcBorders>
              <w:left w:val="single" w:sz="4" w:space="0" w:color="000000"/>
              <w:right w:val="single" w:sz="4" w:space="0" w:color="000000"/>
            </w:tcBorders>
          </w:tcPr>
          <w:p w:rsidR="00B04AE3" w:rsidRDefault="00B04AE3">
            <w:pPr>
              <w:pStyle w:val="TableParagraph"/>
              <w:spacing w:before="139"/>
              <w:ind w:left="326" w:right="320"/>
              <w:rPr>
                <w:sz w:val="21"/>
              </w:rPr>
            </w:pPr>
            <w:r>
              <w:rPr>
                <w:rFonts w:hint="eastAsia"/>
                <w:sz w:val="21"/>
              </w:rPr>
              <w:t>硫酸</w:t>
            </w:r>
          </w:p>
        </w:tc>
        <w:tc>
          <w:tcPr>
            <w:tcW w:w="1328" w:type="dxa"/>
            <w:tcBorders>
              <w:left w:val="single" w:sz="4" w:space="0" w:color="000000"/>
              <w:right w:val="single" w:sz="4" w:space="0" w:color="000000"/>
            </w:tcBorders>
          </w:tcPr>
          <w:p w:rsidR="00B04AE3" w:rsidRDefault="00B04AE3">
            <w:pPr>
              <w:pStyle w:val="TableParagraph"/>
              <w:spacing w:before="153"/>
              <w:ind w:left="386" w:right="376"/>
              <w:rPr>
                <w:rFonts w:ascii="Times New Roman"/>
                <w:sz w:val="21"/>
              </w:rPr>
            </w:pPr>
            <w:r>
              <w:rPr>
                <w:rFonts w:ascii="Times New Roman"/>
                <w:sz w:val="21"/>
                <w:lang w:val="en-US"/>
              </w:rPr>
              <w:t>50</w:t>
            </w:r>
          </w:p>
        </w:tc>
        <w:tc>
          <w:tcPr>
            <w:tcW w:w="1664"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155"/>
              <w:ind w:left="8"/>
              <w:rPr>
                <w:rFonts w:ascii="Times New Roman"/>
                <w:sz w:val="21"/>
              </w:rPr>
            </w:pPr>
            <w:r>
              <w:rPr>
                <w:rFonts w:ascii="Times New Roman"/>
                <w:w w:val="99"/>
                <w:sz w:val="21"/>
                <w:lang w:val="en-US"/>
              </w:rPr>
              <w:t>5</w:t>
            </w:r>
          </w:p>
        </w:tc>
        <w:tc>
          <w:tcPr>
            <w:tcW w:w="1736"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155"/>
              <w:ind w:left="120" w:right="108"/>
              <w:rPr>
                <w:rFonts w:ascii="Times New Roman"/>
                <w:sz w:val="21"/>
              </w:rPr>
            </w:pPr>
            <w:r>
              <w:rPr>
                <w:rFonts w:ascii="Times New Roman"/>
                <w:sz w:val="21"/>
              </w:rPr>
              <w:t>0.</w:t>
            </w:r>
            <w:r>
              <w:rPr>
                <w:rFonts w:ascii="Times New Roman"/>
                <w:sz w:val="21"/>
                <w:lang w:val="en-US"/>
              </w:rPr>
              <w:t>1</w:t>
            </w:r>
          </w:p>
        </w:tc>
        <w:tc>
          <w:tcPr>
            <w:tcW w:w="1440" w:type="dxa"/>
            <w:vMerge/>
            <w:tcBorders>
              <w:top w:val="nil"/>
              <w:left w:val="single" w:sz="4" w:space="0" w:color="000000"/>
              <w:bottom w:val="single" w:sz="4" w:space="0" w:color="000000"/>
            </w:tcBorders>
          </w:tcPr>
          <w:p w:rsidR="00B04AE3" w:rsidRDefault="00B04AE3">
            <w:pPr>
              <w:rPr>
                <w:sz w:val="2"/>
                <w:szCs w:val="2"/>
              </w:rPr>
            </w:pPr>
          </w:p>
        </w:tc>
      </w:tr>
      <w:tr w:rsidR="00B04AE3">
        <w:trPr>
          <w:trHeight w:val="340"/>
        </w:trPr>
        <w:tc>
          <w:tcPr>
            <w:tcW w:w="555" w:type="dxa"/>
            <w:tcBorders>
              <w:right w:val="single" w:sz="4" w:space="0" w:color="000000"/>
            </w:tcBorders>
          </w:tcPr>
          <w:p w:rsidR="00B04AE3" w:rsidRDefault="00B04AE3">
            <w:pPr>
              <w:pStyle w:val="TableParagraph"/>
              <w:spacing w:before="50"/>
              <w:ind w:left="12"/>
              <w:rPr>
                <w:rFonts w:ascii="Times New Roman"/>
                <w:sz w:val="21"/>
              </w:rPr>
            </w:pPr>
            <w:r>
              <w:rPr>
                <w:rFonts w:ascii="Times New Roman"/>
                <w:w w:val="99"/>
                <w:sz w:val="21"/>
              </w:rPr>
              <w:t>3</w:t>
            </w:r>
          </w:p>
        </w:tc>
        <w:tc>
          <w:tcPr>
            <w:tcW w:w="1639" w:type="dxa"/>
            <w:tcBorders>
              <w:left w:val="single" w:sz="4" w:space="0" w:color="000000"/>
              <w:right w:val="single" w:sz="4" w:space="0" w:color="000000"/>
            </w:tcBorders>
          </w:tcPr>
          <w:p w:rsidR="00B04AE3" w:rsidRDefault="00B04AE3">
            <w:pPr>
              <w:pStyle w:val="TableParagraph"/>
              <w:spacing w:before="139"/>
              <w:ind w:right="320"/>
              <w:jc w:val="both"/>
              <w:rPr>
                <w:sz w:val="21"/>
              </w:rPr>
            </w:pPr>
            <w:r>
              <w:rPr>
                <w:rFonts w:hint="eastAsia"/>
                <w:sz w:val="21"/>
              </w:rPr>
              <w:t>氢氧化钠</w:t>
            </w:r>
          </w:p>
        </w:tc>
        <w:tc>
          <w:tcPr>
            <w:tcW w:w="1328" w:type="dxa"/>
            <w:tcBorders>
              <w:left w:val="single" w:sz="4" w:space="0" w:color="000000"/>
              <w:right w:val="single" w:sz="4" w:space="0" w:color="000000"/>
            </w:tcBorders>
          </w:tcPr>
          <w:p w:rsidR="00B04AE3" w:rsidRDefault="00B04AE3">
            <w:pPr>
              <w:pStyle w:val="TableParagraph"/>
              <w:spacing w:before="153"/>
              <w:ind w:left="386" w:right="376"/>
              <w:rPr>
                <w:rFonts w:ascii="Times New Roman"/>
                <w:sz w:val="21"/>
              </w:rPr>
            </w:pPr>
            <w:r>
              <w:rPr>
                <w:rFonts w:ascii="Times New Roman"/>
                <w:sz w:val="21"/>
                <w:lang w:val="en-US"/>
              </w:rPr>
              <w:t>50</w:t>
            </w:r>
          </w:p>
        </w:tc>
        <w:tc>
          <w:tcPr>
            <w:tcW w:w="1664" w:type="dxa"/>
            <w:tcBorders>
              <w:top w:val="single" w:sz="4" w:space="0" w:color="000000"/>
              <w:left w:val="single" w:sz="4" w:space="0" w:color="000000"/>
              <w:right w:val="single" w:sz="4" w:space="0" w:color="000000"/>
            </w:tcBorders>
          </w:tcPr>
          <w:p w:rsidR="00B04AE3" w:rsidRDefault="00B04AE3">
            <w:pPr>
              <w:pStyle w:val="TableParagraph"/>
              <w:spacing w:before="155"/>
              <w:ind w:left="8"/>
              <w:rPr>
                <w:rFonts w:ascii="Times New Roman"/>
                <w:sz w:val="21"/>
              </w:rPr>
            </w:pPr>
            <w:r>
              <w:rPr>
                <w:rFonts w:ascii="Times New Roman"/>
                <w:w w:val="99"/>
                <w:sz w:val="21"/>
                <w:lang w:val="en-US"/>
              </w:rPr>
              <w:t>5</w:t>
            </w:r>
          </w:p>
        </w:tc>
        <w:tc>
          <w:tcPr>
            <w:tcW w:w="1736"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155"/>
              <w:ind w:left="120" w:right="108"/>
              <w:rPr>
                <w:rFonts w:ascii="Times New Roman"/>
                <w:sz w:val="21"/>
              </w:rPr>
            </w:pPr>
            <w:r>
              <w:rPr>
                <w:rFonts w:ascii="Times New Roman"/>
                <w:sz w:val="21"/>
                <w:lang w:val="en-US"/>
              </w:rPr>
              <w:t>0.1</w:t>
            </w:r>
          </w:p>
        </w:tc>
        <w:tc>
          <w:tcPr>
            <w:tcW w:w="1440" w:type="dxa"/>
            <w:vMerge/>
            <w:tcBorders>
              <w:top w:val="nil"/>
              <w:left w:val="single" w:sz="4" w:space="0" w:color="000000"/>
              <w:bottom w:val="single" w:sz="4" w:space="0" w:color="000000"/>
            </w:tcBorders>
          </w:tcPr>
          <w:p w:rsidR="00B04AE3" w:rsidRDefault="00B04AE3">
            <w:pPr>
              <w:rPr>
                <w:sz w:val="2"/>
                <w:szCs w:val="2"/>
              </w:rPr>
            </w:pPr>
          </w:p>
        </w:tc>
      </w:tr>
      <w:tr w:rsidR="00B04AE3">
        <w:trPr>
          <w:trHeight w:val="340"/>
        </w:trPr>
        <w:tc>
          <w:tcPr>
            <w:tcW w:w="555" w:type="dxa"/>
            <w:tcBorders>
              <w:right w:val="single" w:sz="4" w:space="0" w:color="000000"/>
            </w:tcBorders>
          </w:tcPr>
          <w:p w:rsidR="00B04AE3" w:rsidRDefault="00B04AE3">
            <w:pPr>
              <w:pStyle w:val="TableParagraph"/>
              <w:spacing w:before="50"/>
              <w:ind w:left="12"/>
              <w:rPr>
                <w:rFonts w:ascii="Times New Roman"/>
                <w:w w:val="99"/>
                <w:sz w:val="21"/>
                <w:lang w:val="en-US"/>
              </w:rPr>
            </w:pPr>
            <w:r>
              <w:rPr>
                <w:rFonts w:ascii="Times New Roman"/>
                <w:w w:val="99"/>
                <w:sz w:val="21"/>
                <w:lang w:val="en-US"/>
              </w:rPr>
              <w:t>4</w:t>
            </w:r>
          </w:p>
        </w:tc>
        <w:tc>
          <w:tcPr>
            <w:tcW w:w="1639" w:type="dxa"/>
            <w:tcBorders>
              <w:left w:val="single" w:sz="4" w:space="0" w:color="000000"/>
              <w:right w:val="single" w:sz="4" w:space="0" w:color="000000"/>
            </w:tcBorders>
          </w:tcPr>
          <w:p w:rsidR="00B04AE3" w:rsidRDefault="00B04AE3">
            <w:pPr>
              <w:pStyle w:val="TableParagraph"/>
              <w:spacing w:before="79"/>
              <w:ind w:left="326" w:right="320"/>
              <w:rPr>
                <w:sz w:val="21"/>
              </w:rPr>
            </w:pPr>
            <w:r>
              <w:rPr>
                <w:rFonts w:hint="eastAsia"/>
                <w:sz w:val="21"/>
              </w:rPr>
              <w:t>天然气</w:t>
            </w:r>
          </w:p>
        </w:tc>
        <w:tc>
          <w:tcPr>
            <w:tcW w:w="1328" w:type="dxa"/>
            <w:tcBorders>
              <w:left w:val="single" w:sz="4" w:space="0" w:color="000000"/>
              <w:right w:val="single" w:sz="4" w:space="0" w:color="000000"/>
            </w:tcBorders>
          </w:tcPr>
          <w:p w:rsidR="00B04AE3" w:rsidRDefault="00B04AE3">
            <w:pPr>
              <w:pStyle w:val="TableParagraph"/>
              <w:spacing w:before="90"/>
              <w:ind w:left="386" w:right="376"/>
              <w:rPr>
                <w:rFonts w:ascii="Times New Roman"/>
                <w:sz w:val="21"/>
              </w:rPr>
            </w:pPr>
            <w:r>
              <w:rPr>
                <w:rFonts w:ascii="Times New Roman"/>
                <w:sz w:val="21"/>
              </w:rPr>
              <w:t>50</w:t>
            </w:r>
          </w:p>
        </w:tc>
        <w:tc>
          <w:tcPr>
            <w:tcW w:w="1664" w:type="dxa"/>
            <w:tcBorders>
              <w:top w:val="single" w:sz="4" w:space="0" w:color="000000"/>
              <w:left w:val="single" w:sz="4" w:space="0" w:color="000000"/>
              <w:right w:val="single" w:sz="4" w:space="0" w:color="000000"/>
            </w:tcBorders>
          </w:tcPr>
          <w:p w:rsidR="00B04AE3" w:rsidRDefault="00B04AE3">
            <w:pPr>
              <w:pStyle w:val="TableParagraph"/>
              <w:spacing w:before="93"/>
              <w:ind w:left="342" w:right="336"/>
              <w:rPr>
                <w:rFonts w:ascii="Times New Roman"/>
                <w:sz w:val="21"/>
              </w:rPr>
            </w:pPr>
            <w:r>
              <w:rPr>
                <w:rFonts w:ascii="Times New Roman"/>
                <w:sz w:val="21"/>
              </w:rPr>
              <w:t>0.0109</w:t>
            </w:r>
          </w:p>
        </w:tc>
        <w:tc>
          <w:tcPr>
            <w:tcW w:w="1736"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93"/>
              <w:ind w:left="120" w:right="110"/>
              <w:rPr>
                <w:rFonts w:ascii="Times New Roman"/>
                <w:sz w:val="21"/>
              </w:rPr>
            </w:pPr>
            <w:r>
              <w:rPr>
                <w:rFonts w:ascii="Times New Roman"/>
                <w:sz w:val="21"/>
              </w:rPr>
              <w:t>0.000218</w:t>
            </w:r>
          </w:p>
        </w:tc>
        <w:tc>
          <w:tcPr>
            <w:tcW w:w="1440" w:type="dxa"/>
            <w:vMerge/>
            <w:tcBorders>
              <w:top w:val="nil"/>
              <w:left w:val="single" w:sz="4" w:space="0" w:color="000000"/>
              <w:bottom w:val="single" w:sz="4" w:space="0" w:color="000000"/>
            </w:tcBorders>
          </w:tcPr>
          <w:p w:rsidR="00B04AE3" w:rsidRDefault="00B04AE3">
            <w:pPr>
              <w:rPr>
                <w:sz w:val="2"/>
                <w:szCs w:val="2"/>
              </w:rPr>
            </w:pPr>
          </w:p>
        </w:tc>
      </w:tr>
      <w:tr w:rsidR="00B04AE3">
        <w:trPr>
          <w:trHeight w:val="340"/>
        </w:trPr>
        <w:tc>
          <w:tcPr>
            <w:tcW w:w="5186" w:type="dxa"/>
            <w:gridSpan w:val="4"/>
            <w:tcBorders>
              <w:right w:val="single" w:sz="4" w:space="0" w:color="000000"/>
            </w:tcBorders>
          </w:tcPr>
          <w:p w:rsidR="00B04AE3" w:rsidRDefault="00B04AE3">
            <w:pPr>
              <w:pStyle w:val="TableParagraph"/>
              <w:spacing w:before="34"/>
              <w:ind w:left="2361" w:right="2352"/>
              <w:rPr>
                <w:sz w:val="21"/>
              </w:rPr>
            </w:pPr>
            <w:r>
              <w:rPr>
                <w:rFonts w:hint="eastAsia"/>
                <w:sz w:val="21"/>
              </w:rPr>
              <w:t>合计</w:t>
            </w:r>
          </w:p>
        </w:tc>
        <w:tc>
          <w:tcPr>
            <w:tcW w:w="1736"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50"/>
              <w:ind w:left="424" w:right="412"/>
              <w:rPr>
                <w:rFonts w:ascii="Times New Roman"/>
                <w:sz w:val="21"/>
              </w:rPr>
            </w:pPr>
            <w:r>
              <w:rPr>
                <w:rFonts w:ascii="Times New Roman"/>
                <w:sz w:val="21"/>
              </w:rPr>
              <w:t>0.</w:t>
            </w:r>
            <w:r>
              <w:rPr>
                <w:rFonts w:ascii="Times New Roman"/>
                <w:sz w:val="21"/>
                <w:lang w:val="en-US"/>
              </w:rPr>
              <w:t>52</w:t>
            </w:r>
            <w:r>
              <w:rPr>
                <w:rFonts w:ascii="Times New Roman"/>
                <w:sz w:val="21"/>
              </w:rPr>
              <w:t>0218</w:t>
            </w:r>
          </w:p>
        </w:tc>
        <w:tc>
          <w:tcPr>
            <w:tcW w:w="1440" w:type="dxa"/>
            <w:vMerge/>
            <w:tcBorders>
              <w:top w:val="nil"/>
              <w:left w:val="single" w:sz="4" w:space="0" w:color="000000"/>
              <w:bottom w:val="single" w:sz="4" w:space="0" w:color="000000"/>
            </w:tcBorders>
          </w:tcPr>
          <w:p w:rsidR="00B04AE3" w:rsidRDefault="00B04AE3">
            <w:pPr>
              <w:rPr>
                <w:sz w:val="2"/>
                <w:szCs w:val="2"/>
              </w:rPr>
            </w:pPr>
          </w:p>
        </w:tc>
      </w:tr>
    </w:tbl>
    <w:p w:rsidR="00B04AE3" w:rsidRDefault="00B04AE3">
      <w:pPr>
        <w:pStyle w:val="BodyText"/>
        <w:spacing w:before="64" w:line="364" w:lineRule="auto"/>
        <w:ind w:left="797" w:right="792" w:firstLine="463"/>
        <w:jc w:val="both"/>
      </w:pPr>
      <w:r>
        <w:rPr>
          <w:rFonts w:hint="eastAsia"/>
          <w:spacing w:val="-6"/>
          <w:szCs w:val="22"/>
        </w:rPr>
        <w:t>由上表可知，本公司危险化学品总的比例系数为</w:t>
      </w:r>
      <w:r>
        <w:rPr>
          <w:spacing w:val="-6"/>
          <w:szCs w:val="22"/>
        </w:rPr>
        <w:t xml:space="preserve"> 0.</w:t>
      </w:r>
      <w:r>
        <w:rPr>
          <w:spacing w:val="-6"/>
          <w:szCs w:val="22"/>
          <w:lang w:val="en-US"/>
        </w:rPr>
        <w:t>52</w:t>
      </w:r>
      <w:r>
        <w:rPr>
          <w:rFonts w:hint="eastAsia"/>
          <w:spacing w:val="-6"/>
          <w:szCs w:val="22"/>
        </w:rPr>
        <w:t>＜</w:t>
      </w:r>
      <w:r>
        <w:rPr>
          <w:spacing w:val="-6"/>
          <w:szCs w:val="22"/>
        </w:rPr>
        <w:t>1</w:t>
      </w:r>
      <w:r>
        <w:rPr>
          <w:rFonts w:hint="eastAsia"/>
          <w:spacing w:val="-6"/>
          <w:szCs w:val="22"/>
        </w:rPr>
        <w:t>，则项目储存量未超过《危险化学品重大危险源辨识》（</w:t>
      </w:r>
      <w:r>
        <w:rPr>
          <w:spacing w:val="-6"/>
          <w:szCs w:val="22"/>
        </w:rPr>
        <w:t>GB 18218-2009</w:t>
      </w:r>
      <w:r>
        <w:rPr>
          <w:rFonts w:hint="eastAsia"/>
          <w:spacing w:val="-6"/>
          <w:szCs w:val="22"/>
        </w:rPr>
        <w:t>）规定的临界量，未构成重大危险源</w:t>
      </w:r>
      <w:r>
        <w:rPr>
          <w:rFonts w:hint="eastAsia"/>
        </w:rPr>
        <w:t>。</w:t>
      </w:r>
    </w:p>
    <w:p w:rsidR="00B04AE3" w:rsidRDefault="00B04AE3">
      <w:pPr>
        <w:pStyle w:val="Heading3"/>
        <w:numPr>
          <w:ilvl w:val="2"/>
          <w:numId w:val="43"/>
        </w:numPr>
        <w:tabs>
          <w:tab w:val="left" w:pos="1518"/>
        </w:tabs>
        <w:spacing w:line="307" w:lineRule="exact"/>
      </w:pPr>
      <w:bookmarkStart w:id="318" w:name="3.2.2__源项分析"/>
      <w:bookmarkStart w:id="319" w:name="_bookmark107"/>
      <w:bookmarkEnd w:id="318"/>
      <w:bookmarkEnd w:id="319"/>
      <w:r>
        <w:rPr>
          <w:rFonts w:hint="eastAsia"/>
        </w:rPr>
        <w:t>源项分析</w:t>
      </w:r>
    </w:p>
    <w:p w:rsidR="00B04AE3" w:rsidRDefault="00B04AE3">
      <w:pPr>
        <w:pStyle w:val="BodyText"/>
        <w:spacing w:before="64" w:line="364" w:lineRule="auto"/>
        <w:ind w:left="797" w:right="792" w:firstLine="463"/>
        <w:jc w:val="both"/>
        <w:rPr>
          <w:spacing w:val="-6"/>
          <w:szCs w:val="22"/>
        </w:rPr>
      </w:pPr>
      <w:bookmarkStart w:id="320" w:name="_bookmark108"/>
      <w:bookmarkEnd w:id="320"/>
      <w:r>
        <w:rPr>
          <w:rFonts w:hint="eastAsia"/>
          <w:spacing w:val="-6"/>
          <w:szCs w:val="22"/>
        </w:rPr>
        <w:t>⑴最大可信事故确定</w:t>
      </w:r>
    </w:p>
    <w:p w:rsidR="00B04AE3" w:rsidRDefault="00B04AE3">
      <w:pPr>
        <w:pStyle w:val="BodyText"/>
        <w:spacing w:before="64" w:line="364" w:lineRule="auto"/>
        <w:ind w:left="797" w:right="792" w:firstLine="463"/>
        <w:jc w:val="both"/>
        <w:rPr>
          <w:spacing w:val="-6"/>
          <w:szCs w:val="22"/>
        </w:rPr>
      </w:pPr>
      <w:r>
        <w:rPr>
          <w:rFonts w:hint="eastAsia"/>
          <w:spacing w:val="-6"/>
          <w:szCs w:val="22"/>
        </w:rPr>
        <w:t>最大可信事故是指在所有预测的概率不为零的事故中，对环境（或健康）危害最严重的重大事故。危险源发生事故均属于不可预见性，引发事故的因素较多且由于污染物排放的差异，对风险事故概率及事故危害的量化难度较大。</w:t>
      </w:r>
    </w:p>
    <w:p w:rsidR="00B04AE3" w:rsidRDefault="00B04AE3">
      <w:pPr>
        <w:pStyle w:val="BodyText"/>
        <w:spacing w:before="64" w:line="364" w:lineRule="auto"/>
        <w:ind w:left="797" w:right="792" w:firstLine="463"/>
        <w:jc w:val="both"/>
        <w:rPr>
          <w:spacing w:val="-6"/>
          <w:szCs w:val="22"/>
        </w:rPr>
      </w:pPr>
      <w:r>
        <w:rPr>
          <w:rFonts w:hint="eastAsia"/>
          <w:spacing w:val="-6"/>
          <w:szCs w:val="22"/>
        </w:rPr>
        <w:t>液氮为有毒、物品，可能会引发火灾、爆炸或中毒事故；硫酸、氢氧化钠为腐蚀性物品，泄漏会对设备、大气和水体造成腐蚀和污染；本项目设置了事故水池用于收集事故状态下生产装置废水、消防废水以及项目区受污染的前期雨水，</w:t>
      </w:r>
      <w:r>
        <w:rPr>
          <w:spacing w:val="-6"/>
          <w:szCs w:val="22"/>
        </w:rPr>
        <w:t xml:space="preserve"> </w:t>
      </w:r>
      <w:r>
        <w:rPr>
          <w:rFonts w:hint="eastAsia"/>
          <w:spacing w:val="-6"/>
          <w:szCs w:val="22"/>
        </w:rPr>
        <w:t>生产区地面、围堰、设备基础等均按照要求采取防腐、防渗等措施，事故状态下较易控制，保证生产废水和事故废水不外排。</w:t>
      </w:r>
    </w:p>
    <w:p w:rsidR="00B04AE3" w:rsidRDefault="00B04AE3">
      <w:pPr>
        <w:pStyle w:val="BodyText"/>
        <w:spacing w:before="64" w:line="364" w:lineRule="auto"/>
        <w:ind w:left="797" w:right="792" w:firstLine="463"/>
        <w:jc w:val="both"/>
        <w:rPr>
          <w:spacing w:val="-6"/>
          <w:szCs w:val="22"/>
        </w:rPr>
      </w:pPr>
      <w:r>
        <w:rPr>
          <w:rFonts w:hint="eastAsia"/>
          <w:spacing w:val="-6"/>
          <w:szCs w:val="22"/>
        </w:rPr>
        <w:t>根据公司风险因素识别和风险事故调查与分析，结合本公司生产特点以及采取的安全防范措施，以偏安角度类比，企业最大可信事故确定为液氮、氯甲烷、甲醇、液氮泄漏事故，重大事故类型为中毒、大气污染、火灾和爆炸事故。</w:t>
      </w:r>
    </w:p>
    <w:p w:rsidR="00B04AE3" w:rsidRDefault="00B04AE3">
      <w:pPr>
        <w:pStyle w:val="BodyText"/>
        <w:spacing w:before="64" w:line="364" w:lineRule="auto"/>
        <w:ind w:left="797" w:right="792" w:firstLine="463"/>
        <w:jc w:val="both"/>
        <w:rPr>
          <w:spacing w:val="-6"/>
          <w:szCs w:val="22"/>
        </w:rPr>
      </w:pPr>
      <w:r>
        <w:rPr>
          <w:rFonts w:hint="eastAsia"/>
          <w:spacing w:val="-6"/>
          <w:szCs w:val="22"/>
        </w:rPr>
        <w:t>⑵最大可信事故发生概率</w:t>
      </w:r>
    </w:p>
    <w:p w:rsidR="00B04AE3" w:rsidRDefault="00B04AE3">
      <w:pPr>
        <w:pStyle w:val="BodyText"/>
        <w:spacing w:before="64" w:line="364" w:lineRule="auto"/>
        <w:ind w:left="797" w:right="792" w:firstLine="463"/>
        <w:jc w:val="both"/>
        <w:rPr>
          <w:spacing w:val="-6"/>
          <w:szCs w:val="22"/>
        </w:rPr>
      </w:pPr>
      <w:r>
        <w:rPr>
          <w:noProof/>
          <w:lang w:val="en-US"/>
        </w:rPr>
        <w:pict>
          <v:shape id="_x0000_s1455" type="#_x0000_t202" style="position:absolute;left:0;text-align:left;margin-left:88.05pt;margin-top:46.5pt;width:419.25pt;height:100.35pt;z-index:251659776;mso-position-horizontal-relative:page" filled="f" stroked="f">
            <v:textbox inset="0,0,0,0">
              <w:txbxContent>
                <w:p w:rsidR="00B04AE3" w:rsidRDefault="00B04AE3">
                  <w:pPr>
                    <w:pStyle w:val="BodyText"/>
                  </w:pPr>
                </w:p>
              </w:txbxContent>
            </v:textbox>
            <w10:wrap anchorx="page"/>
          </v:shape>
        </w:pict>
      </w:r>
      <w:r>
        <w:rPr>
          <w:rFonts w:hint="eastAsia"/>
          <w:spacing w:val="-6"/>
          <w:szCs w:val="22"/>
        </w:rPr>
        <w:t>引用环境风险评价实用技术和方法（胡二邦）</w:t>
      </w:r>
      <w:r>
        <w:rPr>
          <w:spacing w:val="-6"/>
          <w:szCs w:val="22"/>
        </w:rPr>
        <w:t xml:space="preserve">83 </w:t>
      </w:r>
      <w:r>
        <w:rPr>
          <w:rFonts w:hint="eastAsia"/>
          <w:spacing w:val="-6"/>
          <w:szCs w:val="22"/>
        </w:rPr>
        <w:t>页的统计资料，见表</w:t>
      </w:r>
      <w:r>
        <w:rPr>
          <w:spacing w:val="-6"/>
          <w:szCs w:val="22"/>
        </w:rPr>
        <w:t xml:space="preserve"> 3.2-2</w:t>
      </w:r>
      <w:r>
        <w:rPr>
          <w:rFonts w:hint="eastAsia"/>
          <w:spacing w:val="-6"/>
          <w:szCs w:val="22"/>
        </w:rPr>
        <w:t>。</w:t>
      </w:r>
    </w:p>
    <w:p w:rsidR="00B04AE3" w:rsidRDefault="00B04AE3">
      <w:pPr>
        <w:spacing w:before="153" w:line="364" w:lineRule="auto"/>
        <w:ind w:left="2213" w:right="675" w:hanging="936"/>
        <w:rPr>
          <w:spacing w:val="-17"/>
          <w:sz w:val="24"/>
        </w:rPr>
      </w:pPr>
      <w:r>
        <w:rPr>
          <w:rFonts w:ascii="Times New Roman" w:hint="eastAsia"/>
          <w:b/>
          <w:sz w:val="24"/>
        </w:rPr>
        <w:t>表</w:t>
      </w:r>
      <w:r>
        <w:rPr>
          <w:rFonts w:ascii="Times New Roman"/>
          <w:b/>
          <w:sz w:val="24"/>
          <w:lang w:val="en-US"/>
        </w:rPr>
        <w:t>3.2</w:t>
      </w:r>
      <w:r>
        <w:rPr>
          <w:rFonts w:ascii="Times New Roman" w:eastAsia="Times New Roman"/>
          <w:b/>
          <w:sz w:val="24"/>
        </w:rPr>
        <w:t xml:space="preserve">-2  </w:t>
      </w:r>
      <w:r>
        <w:rPr>
          <w:rFonts w:hint="eastAsia"/>
          <w:b/>
          <w:sz w:val="24"/>
        </w:rPr>
        <w:t>用于重大危险源定量风险评价的泄漏概率表</w:t>
      </w:r>
    </w:p>
    <w:tbl>
      <w:tblPr>
        <w:tblpPr w:leftFromText="180" w:rightFromText="180" w:vertAnchor="page" w:horzAnchor="page" w:tblpX="1980" w:tblpY="2016"/>
        <w:tblOverlap w:val="never"/>
        <w:tblW w:w="83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1652"/>
        <w:gridCol w:w="3526"/>
        <w:gridCol w:w="3190"/>
      </w:tblGrid>
      <w:tr w:rsidR="00B04AE3">
        <w:trPr>
          <w:trHeight w:val="600"/>
        </w:trPr>
        <w:tc>
          <w:tcPr>
            <w:tcW w:w="1652" w:type="dxa"/>
            <w:tcBorders>
              <w:right w:val="single" w:sz="4" w:space="0" w:color="000000"/>
            </w:tcBorders>
            <w:shd w:val="clear" w:color="auto" w:fill="DFDFDF"/>
          </w:tcPr>
          <w:p w:rsidR="00B04AE3" w:rsidRDefault="00B04AE3">
            <w:pPr>
              <w:pStyle w:val="TableParagraph"/>
              <w:spacing w:before="164"/>
              <w:ind w:left="384" w:right="371"/>
              <w:rPr>
                <w:b/>
                <w:sz w:val="21"/>
              </w:rPr>
            </w:pPr>
            <w:r>
              <w:rPr>
                <w:rFonts w:hint="eastAsia"/>
                <w:b/>
                <w:sz w:val="21"/>
              </w:rPr>
              <w:t>部件类型</w:t>
            </w:r>
          </w:p>
        </w:tc>
        <w:tc>
          <w:tcPr>
            <w:tcW w:w="3526" w:type="dxa"/>
            <w:tcBorders>
              <w:left w:val="single" w:sz="4" w:space="0" w:color="000000"/>
              <w:right w:val="single" w:sz="4" w:space="0" w:color="000000"/>
            </w:tcBorders>
            <w:shd w:val="clear" w:color="auto" w:fill="DFDFDF"/>
          </w:tcPr>
          <w:p w:rsidR="00B04AE3" w:rsidRDefault="00B04AE3">
            <w:pPr>
              <w:pStyle w:val="TableParagraph"/>
              <w:spacing w:before="164"/>
              <w:ind w:left="692" w:right="676"/>
              <w:rPr>
                <w:b/>
                <w:sz w:val="21"/>
              </w:rPr>
            </w:pPr>
            <w:r>
              <w:rPr>
                <w:rFonts w:hint="eastAsia"/>
                <w:b/>
                <w:sz w:val="21"/>
              </w:rPr>
              <w:t>泄漏模式</w:t>
            </w:r>
          </w:p>
        </w:tc>
        <w:tc>
          <w:tcPr>
            <w:tcW w:w="3190" w:type="dxa"/>
            <w:tcBorders>
              <w:left w:val="single" w:sz="4" w:space="0" w:color="000000"/>
              <w:right w:val="single" w:sz="4" w:space="0" w:color="000000"/>
            </w:tcBorders>
            <w:shd w:val="clear" w:color="auto" w:fill="DFDFDF"/>
          </w:tcPr>
          <w:p w:rsidR="00B04AE3" w:rsidRDefault="00B04AE3">
            <w:pPr>
              <w:pStyle w:val="TableParagraph"/>
              <w:spacing w:before="164"/>
              <w:ind w:left="1039" w:right="1023"/>
              <w:rPr>
                <w:b/>
                <w:sz w:val="21"/>
              </w:rPr>
            </w:pPr>
            <w:r>
              <w:rPr>
                <w:rFonts w:hint="eastAsia"/>
                <w:b/>
                <w:sz w:val="21"/>
              </w:rPr>
              <w:t>泄漏概率</w:t>
            </w:r>
          </w:p>
        </w:tc>
      </w:tr>
      <w:tr w:rsidR="00B04AE3">
        <w:trPr>
          <w:trHeight w:val="274"/>
        </w:trPr>
        <w:tc>
          <w:tcPr>
            <w:tcW w:w="1652" w:type="dxa"/>
            <w:tcBorders>
              <w:bottom w:val="nil"/>
              <w:right w:val="single" w:sz="4" w:space="0" w:color="000000"/>
            </w:tcBorders>
          </w:tcPr>
          <w:p w:rsidR="00B04AE3" w:rsidRDefault="00B04AE3">
            <w:pPr>
              <w:pStyle w:val="TableParagraph"/>
              <w:jc w:val="left"/>
              <w:rPr>
                <w:rFonts w:ascii="Times New Roman"/>
                <w:sz w:val="20"/>
              </w:rPr>
            </w:pPr>
          </w:p>
        </w:tc>
        <w:tc>
          <w:tcPr>
            <w:tcW w:w="3526" w:type="dxa"/>
            <w:tcBorders>
              <w:left w:val="single" w:sz="4" w:space="0" w:color="000000"/>
              <w:bottom w:val="nil"/>
              <w:right w:val="single" w:sz="4" w:space="0" w:color="000000"/>
            </w:tcBorders>
          </w:tcPr>
          <w:p w:rsidR="00B04AE3" w:rsidRDefault="00B04AE3">
            <w:pPr>
              <w:pStyle w:val="TableParagraph"/>
              <w:spacing w:line="254" w:lineRule="exact"/>
              <w:ind w:left="692" w:right="681"/>
              <w:rPr>
                <w:rFonts w:ascii="Times New Roman" w:eastAsia="Times New Roman"/>
                <w:sz w:val="21"/>
              </w:rPr>
            </w:pPr>
            <w:r>
              <w:rPr>
                <w:rFonts w:hint="eastAsia"/>
                <w:sz w:val="21"/>
              </w:rPr>
              <w:t>泄漏孔径</w:t>
            </w:r>
            <w:r>
              <w:rPr>
                <w:sz w:val="21"/>
              </w:rPr>
              <w:t xml:space="preserve"> </w:t>
            </w:r>
            <w:r>
              <w:rPr>
                <w:rFonts w:ascii="Times New Roman" w:eastAsia="Times New Roman"/>
                <w:sz w:val="21"/>
              </w:rPr>
              <w:t>1mm</w:t>
            </w:r>
          </w:p>
        </w:tc>
        <w:tc>
          <w:tcPr>
            <w:tcW w:w="3190" w:type="dxa"/>
            <w:tcBorders>
              <w:left w:val="single" w:sz="4" w:space="0" w:color="000000"/>
              <w:bottom w:val="nil"/>
              <w:right w:val="single" w:sz="4" w:space="0" w:color="000000"/>
            </w:tcBorders>
          </w:tcPr>
          <w:p w:rsidR="00B04AE3" w:rsidRDefault="00B04AE3">
            <w:pPr>
              <w:pStyle w:val="TableParagraph"/>
              <w:spacing w:line="254" w:lineRule="exact"/>
              <w:ind w:left="1039" w:right="1026"/>
              <w:rPr>
                <w:sz w:val="21"/>
              </w:rPr>
            </w:pPr>
            <w:r>
              <w:rPr>
                <w:rFonts w:ascii="Times New Roman" w:hAnsi="Times New Roman"/>
                <w:sz w:val="21"/>
              </w:rPr>
              <w:t>5.00×10</w:t>
            </w:r>
            <w:r>
              <w:rPr>
                <w:rFonts w:ascii="Times New Roman" w:hAnsi="Times New Roman"/>
                <w:position w:val="7"/>
                <w:sz w:val="13"/>
              </w:rPr>
              <w:t>-4</w:t>
            </w:r>
            <w:r>
              <w:rPr>
                <w:rFonts w:ascii="Times New Roman" w:hAnsi="Times New Roman"/>
                <w:sz w:val="21"/>
              </w:rPr>
              <w:t>/</w:t>
            </w:r>
            <w:r>
              <w:rPr>
                <w:rFonts w:hint="eastAsia"/>
                <w:sz w:val="21"/>
              </w:rPr>
              <w:t>年</w:t>
            </w:r>
          </w:p>
        </w:tc>
      </w:tr>
      <w:tr w:rsidR="00B04AE3">
        <w:trPr>
          <w:trHeight w:val="272"/>
        </w:trPr>
        <w:tc>
          <w:tcPr>
            <w:tcW w:w="1652" w:type="dxa"/>
            <w:tcBorders>
              <w:top w:val="nil"/>
              <w:bottom w:val="nil"/>
              <w:right w:val="single" w:sz="4" w:space="0" w:color="000000"/>
            </w:tcBorders>
          </w:tcPr>
          <w:p w:rsidR="00B04AE3" w:rsidRDefault="00B04AE3">
            <w:pPr>
              <w:pStyle w:val="TableParagraph"/>
              <w:jc w:val="left"/>
              <w:rPr>
                <w:rFonts w:ascii="Times New Roman"/>
                <w:sz w:val="20"/>
              </w:rPr>
            </w:pPr>
          </w:p>
        </w:tc>
        <w:tc>
          <w:tcPr>
            <w:tcW w:w="3526" w:type="dxa"/>
            <w:tcBorders>
              <w:top w:val="nil"/>
              <w:left w:val="single" w:sz="4" w:space="0" w:color="000000"/>
              <w:bottom w:val="nil"/>
              <w:right w:val="single" w:sz="4" w:space="0" w:color="000000"/>
            </w:tcBorders>
          </w:tcPr>
          <w:p w:rsidR="00B04AE3" w:rsidRDefault="00B04AE3">
            <w:pPr>
              <w:pStyle w:val="TableParagraph"/>
              <w:spacing w:line="252" w:lineRule="exact"/>
              <w:ind w:left="692" w:right="681"/>
              <w:rPr>
                <w:rFonts w:ascii="Times New Roman" w:eastAsia="Times New Roman"/>
                <w:sz w:val="21"/>
              </w:rPr>
            </w:pPr>
            <w:r>
              <w:rPr>
                <w:rFonts w:hint="eastAsia"/>
                <w:sz w:val="21"/>
              </w:rPr>
              <w:t>泄漏孔径</w:t>
            </w:r>
            <w:r>
              <w:rPr>
                <w:sz w:val="21"/>
              </w:rPr>
              <w:t xml:space="preserve"> </w:t>
            </w:r>
            <w:r>
              <w:rPr>
                <w:rFonts w:ascii="Times New Roman" w:eastAsia="Times New Roman"/>
                <w:sz w:val="21"/>
              </w:rPr>
              <w:t>10mm</w:t>
            </w:r>
          </w:p>
        </w:tc>
        <w:tc>
          <w:tcPr>
            <w:tcW w:w="3190" w:type="dxa"/>
            <w:tcBorders>
              <w:top w:val="nil"/>
              <w:left w:val="single" w:sz="4" w:space="0" w:color="000000"/>
              <w:bottom w:val="nil"/>
              <w:right w:val="single" w:sz="4" w:space="0" w:color="000000"/>
            </w:tcBorders>
          </w:tcPr>
          <w:p w:rsidR="00B04AE3" w:rsidRDefault="00B04AE3">
            <w:pPr>
              <w:pStyle w:val="TableParagraph"/>
              <w:spacing w:line="252" w:lineRule="exact"/>
              <w:ind w:left="1039" w:right="1026"/>
              <w:rPr>
                <w:sz w:val="21"/>
              </w:rPr>
            </w:pPr>
            <w:r>
              <w:rPr>
                <w:rFonts w:ascii="Times New Roman" w:hAnsi="Times New Roman"/>
                <w:sz w:val="21"/>
              </w:rPr>
              <w:t>1.00×10</w:t>
            </w:r>
            <w:r>
              <w:rPr>
                <w:rFonts w:ascii="Times New Roman" w:hAnsi="Times New Roman"/>
                <w:position w:val="7"/>
                <w:sz w:val="13"/>
              </w:rPr>
              <w:t>-5</w:t>
            </w:r>
            <w:r>
              <w:rPr>
                <w:rFonts w:ascii="Times New Roman" w:hAnsi="Times New Roman"/>
                <w:sz w:val="21"/>
              </w:rPr>
              <w:t>/</w:t>
            </w:r>
            <w:r>
              <w:rPr>
                <w:rFonts w:hint="eastAsia"/>
                <w:sz w:val="21"/>
              </w:rPr>
              <w:t>年</w:t>
            </w:r>
          </w:p>
        </w:tc>
      </w:tr>
      <w:tr w:rsidR="00B04AE3">
        <w:trPr>
          <w:trHeight w:val="272"/>
        </w:trPr>
        <w:tc>
          <w:tcPr>
            <w:tcW w:w="1652" w:type="dxa"/>
            <w:tcBorders>
              <w:top w:val="nil"/>
              <w:bottom w:val="nil"/>
              <w:right w:val="single" w:sz="4" w:space="0" w:color="000000"/>
            </w:tcBorders>
          </w:tcPr>
          <w:p w:rsidR="00B04AE3" w:rsidRDefault="00B04AE3">
            <w:pPr>
              <w:pStyle w:val="TableParagraph"/>
              <w:spacing w:line="252" w:lineRule="exact"/>
              <w:ind w:left="381" w:right="371"/>
              <w:rPr>
                <w:sz w:val="21"/>
              </w:rPr>
            </w:pPr>
            <w:r>
              <w:rPr>
                <w:rFonts w:hint="eastAsia"/>
                <w:sz w:val="21"/>
              </w:rPr>
              <w:t>容器</w:t>
            </w:r>
          </w:p>
        </w:tc>
        <w:tc>
          <w:tcPr>
            <w:tcW w:w="3526" w:type="dxa"/>
            <w:tcBorders>
              <w:top w:val="nil"/>
              <w:left w:val="single" w:sz="4" w:space="0" w:color="000000"/>
              <w:bottom w:val="nil"/>
              <w:right w:val="single" w:sz="4" w:space="0" w:color="000000"/>
            </w:tcBorders>
          </w:tcPr>
          <w:p w:rsidR="00B04AE3" w:rsidRDefault="00B04AE3">
            <w:pPr>
              <w:pStyle w:val="TableParagraph"/>
              <w:spacing w:line="252" w:lineRule="exact"/>
              <w:ind w:left="692" w:right="679"/>
              <w:rPr>
                <w:rFonts w:ascii="Times New Roman" w:eastAsia="Times New Roman"/>
                <w:b/>
                <w:sz w:val="21"/>
              </w:rPr>
            </w:pPr>
            <w:r>
              <w:rPr>
                <w:rFonts w:hint="eastAsia"/>
                <w:b/>
                <w:sz w:val="21"/>
              </w:rPr>
              <w:t>泄漏孔径</w:t>
            </w:r>
            <w:r>
              <w:rPr>
                <w:b/>
                <w:sz w:val="21"/>
              </w:rPr>
              <w:t xml:space="preserve"> </w:t>
            </w:r>
            <w:r>
              <w:rPr>
                <w:rFonts w:ascii="Times New Roman" w:eastAsia="Times New Roman"/>
                <w:b/>
                <w:sz w:val="21"/>
              </w:rPr>
              <w:t>50mm</w:t>
            </w:r>
          </w:p>
        </w:tc>
        <w:tc>
          <w:tcPr>
            <w:tcW w:w="3190" w:type="dxa"/>
            <w:tcBorders>
              <w:top w:val="nil"/>
              <w:left w:val="single" w:sz="4" w:space="0" w:color="000000"/>
              <w:bottom w:val="nil"/>
              <w:right w:val="single" w:sz="4" w:space="0" w:color="000000"/>
            </w:tcBorders>
          </w:tcPr>
          <w:p w:rsidR="00B04AE3" w:rsidRDefault="00B04AE3">
            <w:pPr>
              <w:pStyle w:val="TableParagraph"/>
              <w:spacing w:line="252" w:lineRule="exact"/>
              <w:ind w:left="1039" w:right="1026"/>
              <w:rPr>
                <w:b/>
                <w:sz w:val="21"/>
              </w:rPr>
            </w:pPr>
            <w:r>
              <w:rPr>
                <w:rFonts w:ascii="Times New Roman" w:hAnsi="Times New Roman"/>
                <w:b/>
                <w:sz w:val="21"/>
              </w:rPr>
              <w:t>5.00×10</w:t>
            </w:r>
            <w:r>
              <w:rPr>
                <w:rFonts w:ascii="Times New Roman" w:hAnsi="Times New Roman"/>
                <w:b/>
                <w:position w:val="7"/>
                <w:sz w:val="13"/>
              </w:rPr>
              <w:t>-6</w:t>
            </w:r>
            <w:r>
              <w:rPr>
                <w:rFonts w:ascii="Times New Roman" w:hAnsi="Times New Roman"/>
                <w:b/>
                <w:sz w:val="21"/>
              </w:rPr>
              <w:t>/</w:t>
            </w:r>
            <w:r>
              <w:rPr>
                <w:rFonts w:hint="eastAsia"/>
                <w:b/>
                <w:sz w:val="21"/>
              </w:rPr>
              <w:t>年</w:t>
            </w:r>
          </w:p>
        </w:tc>
      </w:tr>
      <w:tr w:rsidR="00B04AE3">
        <w:trPr>
          <w:trHeight w:val="272"/>
        </w:trPr>
        <w:tc>
          <w:tcPr>
            <w:tcW w:w="1652" w:type="dxa"/>
            <w:tcBorders>
              <w:top w:val="nil"/>
              <w:bottom w:val="nil"/>
              <w:right w:val="single" w:sz="4" w:space="0" w:color="000000"/>
            </w:tcBorders>
          </w:tcPr>
          <w:p w:rsidR="00B04AE3" w:rsidRDefault="00B04AE3">
            <w:pPr>
              <w:pStyle w:val="TableParagraph"/>
              <w:jc w:val="left"/>
              <w:rPr>
                <w:rFonts w:ascii="Times New Roman"/>
                <w:sz w:val="20"/>
              </w:rPr>
            </w:pPr>
          </w:p>
        </w:tc>
        <w:tc>
          <w:tcPr>
            <w:tcW w:w="3526" w:type="dxa"/>
            <w:tcBorders>
              <w:top w:val="nil"/>
              <w:left w:val="single" w:sz="4" w:space="0" w:color="000000"/>
              <w:bottom w:val="nil"/>
              <w:right w:val="single" w:sz="4" w:space="0" w:color="000000"/>
            </w:tcBorders>
          </w:tcPr>
          <w:p w:rsidR="00B04AE3" w:rsidRDefault="00B04AE3">
            <w:pPr>
              <w:pStyle w:val="TableParagraph"/>
              <w:spacing w:line="252" w:lineRule="exact"/>
              <w:ind w:left="692" w:right="680"/>
              <w:rPr>
                <w:sz w:val="21"/>
              </w:rPr>
            </w:pPr>
            <w:r>
              <w:rPr>
                <w:rFonts w:hint="eastAsia"/>
                <w:sz w:val="21"/>
              </w:rPr>
              <w:t>整体破裂</w:t>
            </w:r>
          </w:p>
        </w:tc>
        <w:tc>
          <w:tcPr>
            <w:tcW w:w="3190" w:type="dxa"/>
            <w:tcBorders>
              <w:top w:val="nil"/>
              <w:left w:val="single" w:sz="4" w:space="0" w:color="000000"/>
              <w:bottom w:val="nil"/>
              <w:right w:val="single" w:sz="4" w:space="0" w:color="000000"/>
            </w:tcBorders>
          </w:tcPr>
          <w:p w:rsidR="00B04AE3" w:rsidRDefault="00B04AE3">
            <w:pPr>
              <w:pStyle w:val="TableParagraph"/>
              <w:spacing w:line="252" w:lineRule="exact"/>
              <w:ind w:left="1039" w:right="1026"/>
              <w:rPr>
                <w:sz w:val="21"/>
              </w:rPr>
            </w:pPr>
            <w:r>
              <w:rPr>
                <w:rFonts w:ascii="Times New Roman" w:hAnsi="Times New Roman"/>
                <w:sz w:val="21"/>
              </w:rPr>
              <w:t>1.00×10</w:t>
            </w:r>
            <w:r>
              <w:rPr>
                <w:rFonts w:ascii="Times New Roman" w:hAnsi="Times New Roman"/>
                <w:position w:val="7"/>
                <w:sz w:val="13"/>
              </w:rPr>
              <w:t>-6</w:t>
            </w:r>
            <w:r>
              <w:rPr>
                <w:rFonts w:ascii="Times New Roman" w:hAnsi="Times New Roman"/>
                <w:sz w:val="21"/>
              </w:rPr>
              <w:t>/</w:t>
            </w:r>
            <w:r>
              <w:rPr>
                <w:rFonts w:hint="eastAsia"/>
                <w:sz w:val="21"/>
              </w:rPr>
              <w:t>年</w:t>
            </w:r>
          </w:p>
        </w:tc>
      </w:tr>
      <w:tr w:rsidR="00B04AE3">
        <w:trPr>
          <w:trHeight w:val="270"/>
        </w:trPr>
        <w:tc>
          <w:tcPr>
            <w:tcW w:w="1652" w:type="dxa"/>
            <w:tcBorders>
              <w:top w:val="nil"/>
              <w:right w:val="single" w:sz="4" w:space="0" w:color="000000"/>
            </w:tcBorders>
          </w:tcPr>
          <w:p w:rsidR="00B04AE3" w:rsidRDefault="00B04AE3">
            <w:pPr>
              <w:pStyle w:val="TableParagraph"/>
              <w:jc w:val="left"/>
              <w:rPr>
                <w:rFonts w:ascii="Times New Roman"/>
                <w:sz w:val="20"/>
              </w:rPr>
            </w:pPr>
          </w:p>
        </w:tc>
        <w:tc>
          <w:tcPr>
            <w:tcW w:w="3526" w:type="dxa"/>
            <w:tcBorders>
              <w:top w:val="nil"/>
              <w:left w:val="single" w:sz="4" w:space="0" w:color="000000"/>
              <w:right w:val="single" w:sz="4" w:space="0" w:color="000000"/>
            </w:tcBorders>
          </w:tcPr>
          <w:p w:rsidR="00B04AE3" w:rsidRDefault="00B04AE3">
            <w:pPr>
              <w:pStyle w:val="TableParagraph"/>
              <w:spacing w:line="251" w:lineRule="exact"/>
              <w:ind w:left="692" w:right="683"/>
              <w:rPr>
                <w:sz w:val="21"/>
              </w:rPr>
            </w:pPr>
            <w:r>
              <w:rPr>
                <w:rFonts w:hint="eastAsia"/>
                <w:sz w:val="21"/>
              </w:rPr>
              <w:t>整体破裂（压力容器）</w:t>
            </w:r>
          </w:p>
        </w:tc>
        <w:tc>
          <w:tcPr>
            <w:tcW w:w="3190" w:type="dxa"/>
            <w:tcBorders>
              <w:top w:val="nil"/>
              <w:left w:val="single" w:sz="4" w:space="0" w:color="000000"/>
              <w:bottom w:val="single" w:sz="4" w:space="0" w:color="000000"/>
              <w:right w:val="single" w:sz="4" w:space="0" w:color="000000"/>
            </w:tcBorders>
          </w:tcPr>
          <w:p w:rsidR="00B04AE3" w:rsidRDefault="00B04AE3">
            <w:pPr>
              <w:pStyle w:val="TableParagraph"/>
              <w:spacing w:line="251" w:lineRule="exact"/>
              <w:ind w:left="1039" w:right="1026"/>
              <w:rPr>
                <w:sz w:val="21"/>
              </w:rPr>
            </w:pPr>
            <w:r>
              <w:rPr>
                <w:rFonts w:ascii="Times New Roman" w:hAnsi="Times New Roman"/>
                <w:sz w:val="21"/>
              </w:rPr>
              <w:t>6.50×10</w:t>
            </w:r>
            <w:r>
              <w:rPr>
                <w:rFonts w:ascii="Times New Roman" w:hAnsi="Times New Roman"/>
                <w:position w:val="7"/>
                <w:sz w:val="13"/>
              </w:rPr>
              <w:t>-5</w:t>
            </w:r>
            <w:r>
              <w:rPr>
                <w:rFonts w:ascii="Times New Roman" w:hAnsi="Times New Roman"/>
                <w:sz w:val="21"/>
              </w:rPr>
              <w:t>/</w:t>
            </w:r>
            <w:r>
              <w:rPr>
                <w:rFonts w:hint="eastAsia"/>
                <w:sz w:val="21"/>
              </w:rPr>
              <w:t>年</w:t>
            </w:r>
          </w:p>
        </w:tc>
      </w:tr>
    </w:tbl>
    <w:p w:rsidR="00B04AE3" w:rsidRDefault="00B04AE3">
      <w:pPr>
        <w:spacing w:before="153" w:line="364" w:lineRule="auto"/>
        <w:ind w:left="2213" w:right="675" w:hanging="936"/>
        <w:rPr>
          <w:spacing w:val="-17"/>
          <w:sz w:val="24"/>
        </w:rPr>
      </w:pP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spacing w:before="64" w:line="364" w:lineRule="auto"/>
        <w:ind w:left="797" w:right="792" w:firstLine="463"/>
        <w:jc w:val="both"/>
        <w:rPr>
          <w:spacing w:val="-6"/>
          <w:szCs w:val="22"/>
        </w:rPr>
      </w:pPr>
      <w:r>
        <w:rPr>
          <w:rFonts w:hint="eastAsia"/>
          <w:spacing w:val="-6"/>
          <w:szCs w:val="22"/>
        </w:rPr>
        <w:t>根据上表及公司的装置情况，本公司最大可信事故为液氮、硫酸、氢氧化钠泄漏，概率为</w:t>
      </w:r>
      <w:r>
        <w:rPr>
          <w:spacing w:val="-6"/>
          <w:szCs w:val="22"/>
        </w:rPr>
        <w:t xml:space="preserve"> 5.0</w:t>
      </w:r>
      <w:r>
        <w:rPr>
          <w:rFonts w:hint="eastAsia"/>
          <w:spacing w:val="-6"/>
          <w:szCs w:val="22"/>
        </w:rPr>
        <w:t>×</w:t>
      </w:r>
      <w:r>
        <w:rPr>
          <w:spacing w:val="-6"/>
          <w:szCs w:val="22"/>
        </w:rPr>
        <w:t>10-6/</w:t>
      </w:r>
      <w:r>
        <w:rPr>
          <w:rFonts w:hint="eastAsia"/>
          <w:spacing w:val="-6"/>
          <w:szCs w:val="22"/>
        </w:rPr>
        <w:t>年。</w:t>
      </w:r>
    </w:p>
    <w:p w:rsidR="00B04AE3" w:rsidRDefault="00B04AE3">
      <w:pPr>
        <w:pStyle w:val="ListParagraph"/>
        <w:numPr>
          <w:ilvl w:val="2"/>
          <w:numId w:val="43"/>
        </w:numPr>
        <w:tabs>
          <w:tab w:val="left" w:pos="1518"/>
        </w:tabs>
        <w:spacing w:before="122" w:line="362" w:lineRule="auto"/>
        <w:ind w:left="1277" w:right="6459" w:hanging="480"/>
        <w:rPr>
          <w:b/>
          <w:sz w:val="24"/>
        </w:rPr>
      </w:pPr>
      <w:bookmarkStart w:id="321" w:name="3.2.3__泄漏事故源强分析"/>
      <w:bookmarkEnd w:id="321"/>
      <w:r>
        <w:rPr>
          <w:rFonts w:hint="eastAsia"/>
          <w:b/>
          <w:spacing w:val="-2"/>
          <w:sz w:val="24"/>
        </w:rPr>
        <w:t>泄漏事故源强分析</w:t>
      </w:r>
      <w:bookmarkStart w:id="322" w:name="_bookmark109"/>
      <w:bookmarkEnd w:id="322"/>
      <w:r>
        <w:rPr>
          <w:rFonts w:hint="eastAsia"/>
          <w:b/>
          <w:sz w:val="24"/>
        </w:rPr>
        <w:t>硫酸泄漏事故</w:t>
      </w:r>
    </w:p>
    <w:p w:rsidR="00B04AE3" w:rsidRDefault="00B04AE3">
      <w:pPr>
        <w:pStyle w:val="BodyText"/>
        <w:spacing w:before="5"/>
        <w:ind w:left="1268"/>
      </w:pPr>
      <w:r>
        <w:rPr>
          <w:rFonts w:hint="eastAsia"/>
        </w:rPr>
        <w:t>（</w:t>
      </w:r>
      <w:r>
        <w:rPr>
          <w:rFonts w:ascii="Times New Roman" w:eastAsia="Times New Roman"/>
        </w:rPr>
        <w:t>1</w:t>
      </w:r>
      <w:r>
        <w:rPr>
          <w:rFonts w:hint="eastAsia"/>
        </w:rPr>
        <w:t>）硫酸泄漏源强估算</w:t>
      </w:r>
    </w:p>
    <w:p w:rsidR="00B04AE3" w:rsidRDefault="00B04AE3">
      <w:pPr>
        <w:pStyle w:val="BodyText"/>
        <w:spacing w:before="64" w:line="364" w:lineRule="auto"/>
        <w:ind w:left="797" w:right="792" w:firstLine="463"/>
        <w:jc w:val="both"/>
        <w:rPr>
          <w:spacing w:val="-6"/>
          <w:szCs w:val="22"/>
        </w:rPr>
      </w:pPr>
      <w:r>
        <w:rPr>
          <w:rFonts w:hint="eastAsia"/>
          <w:spacing w:val="-6"/>
          <w:szCs w:val="22"/>
        </w:rPr>
        <w:t>浓硫酸进购后直接存储于硫酸罐中，设置有</w:t>
      </w:r>
      <w:r>
        <w:rPr>
          <w:spacing w:val="-6"/>
          <w:szCs w:val="22"/>
        </w:rPr>
        <w:t xml:space="preserve"> 1 </w:t>
      </w:r>
      <w:r>
        <w:rPr>
          <w:rFonts w:hint="eastAsia"/>
          <w:spacing w:val="-6"/>
          <w:szCs w:val="22"/>
        </w:rPr>
        <w:t>个容积</w:t>
      </w:r>
      <w:r>
        <w:rPr>
          <w:spacing w:val="-6"/>
          <w:szCs w:val="22"/>
        </w:rPr>
        <w:t xml:space="preserve"> 5m</w:t>
      </w:r>
      <w:r>
        <w:rPr>
          <w:rFonts w:hint="eastAsia"/>
          <w:spacing w:val="-6"/>
          <w:szCs w:val="22"/>
        </w:rPr>
        <w:t>³的硫酸罐，浓硫酸密度大约是</w:t>
      </w:r>
      <w:r>
        <w:rPr>
          <w:spacing w:val="-6"/>
          <w:szCs w:val="22"/>
        </w:rPr>
        <w:t xml:space="preserve"> 1.84g/mL</w:t>
      </w:r>
      <w:r>
        <w:rPr>
          <w:rFonts w:hint="eastAsia"/>
          <w:spacing w:val="-6"/>
          <w:szCs w:val="22"/>
        </w:rPr>
        <w:t>，硫酸储存量</w:t>
      </w:r>
      <w:r>
        <w:rPr>
          <w:spacing w:val="-6"/>
          <w:szCs w:val="22"/>
          <w:lang w:val="en-US"/>
        </w:rPr>
        <w:t>5</w:t>
      </w:r>
      <w:r>
        <w:rPr>
          <w:spacing w:val="-6"/>
          <w:szCs w:val="22"/>
        </w:rPr>
        <w:t>t</w:t>
      </w:r>
      <w:r>
        <w:rPr>
          <w:rFonts w:hint="eastAsia"/>
          <w:spacing w:val="-6"/>
          <w:szCs w:val="22"/>
        </w:rPr>
        <w:t>。本次评价按照单个储罐泄漏</w:t>
      </w:r>
      <w:r>
        <w:rPr>
          <w:spacing w:val="-6"/>
          <w:szCs w:val="22"/>
        </w:rPr>
        <w:t xml:space="preserve">10min </w:t>
      </w:r>
      <w:r>
        <w:rPr>
          <w:rFonts w:hint="eastAsia"/>
          <w:spacing w:val="-6"/>
          <w:szCs w:val="22"/>
        </w:rPr>
        <w:t>来计算物料泄漏量，并进行环境影响分析。</w:t>
      </w:r>
    </w:p>
    <w:p w:rsidR="00B04AE3" w:rsidRDefault="00B04AE3">
      <w:pPr>
        <w:pStyle w:val="BodyText"/>
        <w:spacing w:before="64" w:line="364" w:lineRule="auto"/>
        <w:ind w:left="797" w:right="792" w:firstLine="463"/>
        <w:jc w:val="both"/>
        <w:rPr>
          <w:spacing w:val="-6"/>
          <w:szCs w:val="22"/>
        </w:rPr>
      </w:pPr>
      <w:r>
        <w:rPr>
          <w:rFonts w:hint="eastAsia"/>
          <w:spacing w:val="-6"/>
          <w:szCs w:val="22"/>
        </w:rPr>
        <w:t>储罐中硫酸的泄漏速率按《</w:t>
      </w:r>
      <w:r>
        <w:rPr>
          <w:spacing w:val="-6"/>
          <w:szCs w:val="22"/>
        </w:rPr>
        <w:t xml:space="preserve"> </w:t>
      </w:r>
      <w:r>
        <w:rPr>
          <w:rFonts w:hint="eastAsia"/>
          <w:spacing w:val="-6"/>
          <w:szCs w:val="22"/>
        </w:rPr>
        <w:t>建设项目环境风险评价技术导则》</w:t>
      </w:r>
    </w:p>
    <w:p w:rsidR="00B04AE3" w:rsidRDefault="00B04AE3">
      <w:pPr>
        <w:pStyle w:val="BodyText"/>
        <w:spacing w:before="64" w:line="364" w:lineRule="auto"/>
        <w:ind w:left="797" w:right="792" w:firstLine="463"/>
        <w:jc w:val="both"/>
        <w:rPr>
          <w:spacing w:val="-6"/>
          <w:szCs w:val="22"/>
        </w:rPr>
      </w:pPr>
      <w:r>
        <w:rPr>
          <w:rFonts w:hint="eastAsia"/>
          <w:spacing w:val="-6"/>
          <w:szCs w:val="22"/>
        </w:rPr>
        <w:t>（</w:t>
      </w:r>
      <w:r>
        <w:rPr>
          <w:spacing w:val="-6"/>
          <w:szCs w:val="22"/>
        </w:rPr>
        <w:t>HJ/T169-2004</w:t>
      </w:r>
      <w:r>
        <w:rPr>
          <w:rFonts w:hint="eastAsia"/>
          <w:spacing w:val="-6"/>
          <w:szCs w:val="22"/>
        </w:rPr>
        <w:t>）附录</w:t>
      </w:r>
      <w:r>
        <w:rPr>
          <w:spacing w:val="-6"/>
          <w:szCs w:val="22"/>
        </w:rPr>
        <w:t xml:space="preserve"> A</w:t>
      </w:r>
      <w:r>
        <w:rPr>
          <w:rFonts w:hint="eastAsia"/>
          <w:spacing w:val="-6"/>
          <w:szCs w:val="22"/>
        </w:rPr>
        <w:t>（规范性文件）推荐的液体泄漏速率计算公式进行估算，</w:t>
      </w:r>
      <w:r>
        <w:rPr>
          <w:spacing w:val="-6"/>
          <w:szCs w:val="22"/>
        </w:rPr>
        <w:t xml:space="preserve"> </w:t>
      </w:r>
      <w:r>
        <w:rPr>
          <w:rFonts w:hint="eastAsia"/>
          <w:spacing w:val="-6"/>
          <w:szCs w:val="22"/>
        </w:rPr>
        <w:t>对硫酸按泄漏后</w:t>
      </w:r>
      <w:r>
        <w:rPr>
          <w:spacing w:val="-6"/>
          <w:szCs w:val="22"/>
        </w:rPr>
        <w:t xml:space="preserve"> 30%</w:t>
      </w:r>
      <w:r>
        <w:rPr>
          <w:rFonts w:hint="eastAsia"/>
          <w:spacing w:val="-6"/>
          <w:szCs w:val="22"/>
        </w:rPr>
        <w:t>气化考虑。</w:t>
      </w:r>
    </w:p>
    <w:p w:rsidR="00B04AE3" w:rsidRDefault="00B04AE3">
      <w:pPr>
        <w:pStyle w:val="BodyText"/>
        <w:spacing w:before="64" w:line="364" w:lineRule="auto"/>
        <w:ind w:left="797" w:right="792" w:firstLine="463"/>
        <w:jc w:val="both"/>
        <w:rPr>
          <w:spacing w:val="-6"/>
          <w:szCs w:val="22"/>
        </w:rPr>
      </w:pPr>
      <w:r>
        <w:rPr>
          <w:rFonts w:hint="eastAsia"/>
          <w:spacing w:val="-6"/>
          <w:szCs w:val="22"/>
        </w:rPr>
        <w:t>液体泄漏速率计算公式如下：</w:t>
      </w:r>
    </w:p>
    <w:p w:rsidR="00B04AE3" w:rsidRDefault="00B04AE3">
      <w:pPr>
        <w:sectPr w:rsidR="00B04AE3">
          <w:pgSz w:w="11910" w:h="16840"/>
          <w:pgMar w:top="1360" w:right="1000" w:bottom="900" w:left="1000" w:header="746" w:footer="720" w:gutter="0"/>
          <w:cols w:space="720"/>
        </w:sectPr>
      </w:pPr>
    </w:p>
    <w:p w:rsidR="00B04AE3" w:rsidRDefault="00B04AE3">
      <w:pPr>
        <w:spacing w:before="252"/>
        <w:ind w:left="2409"/>
        <w:rPr>
          <w:rFonts w:ascii="Symbol" w:hAnsi="Symbol"/>
          <w:i/>
          <w:sz w:val="32"/>
        </w:rPr>
      </w:pPr>
      <w:r>
        <w:rPr>
          <w:rFonts w:ascii="Times New Roman" w:hAnsi="Times New Roman"/>
          <w:i/>
          <w:sz w:val="30"/>
        </w:rPr>
        <w:t>Q</w:t>
      </w:r>
      <w:r>
        <w:rPr>
          <w:rFonts w:ascii="Times New Roman" w:hAnsi="Times New Roman"/>
          <w:i/>
          <w:position w:val="-7"/>
          <w:sz w:val="18"/>
        </w:rPr>
        <w:t xml:space="preserve">L </w:t>
      </w:r>
      <w:r>
        <w:rPr>
          <w:rFonts w:ascii="Symbol" w:hAnsi="Symbol"/>
          <w:sz w:val="30"/>
        </w:rPr>
        <w:t></w:t>
      </w:r>
      <w:r>
        <w:rPr>
          <w:rFonts w:ascii="Times New Roman" w:hAnsi="Times New Roman"/>
          <w:sz w:val="30"/>
        </w:rPr>
        <w:t xml:space="preserve"> </w:t>
      </w:r>
      <w:r>
        <w:rPr>
          <w:rFonts w:ascii="Times New Roman" w:hAnsi="Times New Roman"/>
          <w:i/>
          <w:sz w:val="30"/>
        </w:rPr>
        <w:t>C</w:t>
      </w:r>
      <w:r>
        <w:rPr>
          <w:rFonts w:ascii="Times New Roman" w:hAnsi="Times New Roman"/>
          <w:i/>
          <w:position w:val="-7"/>
          <w:sz w:val="18"/>
        </w:rPr>
        <w:t xml:space="preserve">d </w:t>
      </w:r>
      <w:r>
        <w:rPr>
          <w:rFonts w:ascii="Times New Roman" w:hAnsi="Times New Roman"/>
          <w:i/>
          <w:sz w:val="30"/>
        </w:rPr>
        <w:t>A</w:t>
      </w:r>
      <w:r>
        <w:rPr>
          <w:rFonts w:ascii="Symbol" w:hAnsi="Symbol"/>
          <w:i/>
          <w:sz w:val="32"/>
        </w:rPr>
        <w:t></w:t>
      </w:r>
    </w:p>
    <w:p w:rsidR="00B04AE3" w:rsidRDefault="00B04AE3">
      <w:pPr>
        <w:spacing w:before="197"/>
        <w:ind w:left="142"/>
        <w:rPr>
          <w:rFonts w:ascii="Times New Roman" w:hAnsi="Times New Roman"/>
          <w:i/>
          <w:sz w:val="30"/>
        </w:rPr>
      </w:pPr>
      <w:r>
        <w:br w:type="column"/>
      </w:r>
      <w:r>
        <w:rPr>
          <w:rFonts w:ascii="Times New Roman" w:hAnsi="Times New Roman"/>
          <w:sz w:val="18"/>
        </w:rPr>
        <w:t>2</w:t>
      </w:r>
      <w:r>
        <w:rPr>
          <w:rFonts w:ascii="Symbol" w:hAnsi="Symbol"/>
          <w:sz w:val="23"/>
        </w:rPr>
        <w:t></w:t>
      </w:r>
      <w:r>
        <w:rPr>
          <w:rFonts w:ascii="Times New Roman" w:hAnsi="Times New Roman"/>
          <w:i/>
          <w:sz w:val="18"/>
        </w:rPr>
        <w:t>P</w:t>
      </w:r>
      <w:r>
        <w:rPr>
          <w:rFonts w:ascii="Symbol" w:hAnsi="Symbol"/>
          <w:sz w:val="18"/>
        </w:rPr>
        <w:t></w:t>
      </w:r>
      <w:r>
        <w:rPr>
          <w:rFonts w:ascii="Times New Roman" w:hAnsi="Times New Roman"/>
          <w:i/>
          <w:sz w:val="18"/>
        </w:rPr>
        <w:t>P</w:t>
      </w:r>
      <w:r>
        <w:rPr>
          <w:rFonts w:ascii="Times New Roman" w:hAnsi="Times New Roman"/>
          <w:position w:val="-3"/>
          <w:sz w:val="13"/>
        </w:rPr>
        <w:t xml:space="preserve">0 </w:t>
      </w:r>
      <w:r>
        <w:rPr>
          <w:rFonts w:ascii="Symbol" w:hAnsi="Symbol"/>
          <w:sz w:val="23"/>
        </w:rPr>
        <w:t></w:t>
      </w:r>
      <w:r>
        <w:rPr>
          <w:rFonts w:ascii="Times New Roman" w:hAnsi="Times New Roman"/>
          <w:sz w:val="23"/>
        </w:rPr>
        <w:t xml:space="preserve"> </w:t>
      </w:r>
      <w:r>
        <w:rPr>
          <w:rFonts w:ascii="Symbol" w:hAnsi="Symbol"/>
          <w:position w:val="-14"/>
          <w:sz w:val="30"/>
        </w:rPr>
        <w:t></w:t>
      </w:r>
      <w:r>
        <w:rPr>
          <w:rFonts w:ascii="Times New Roman" w:hAnsi="Times New Roman"/>
          <w:position w:val="-14"/>
          <w:sz w:val="30"/>
        </w:rPr>
        <w:t xml:space="preserve"> 2</w:t>
      </w:r>
      <w:r>
        <w:rPr>
          <w:rFonts w:ascii="Times New Roman" w:hAnsi="Times New Roman"/>
          <w:i/>
          <w:position w:val="-14"/>
          <w:sz w:val="30"/>
        </w:rPr>
        <w:t>gh</w:t>
      </w:r>
    </w:p>
    <w:p w:rsidR="00B04AE3" w:rsidRDefault="00B04AE3">
      <w:pPr>
        <w:rPr>
          <w:rFonts w:ascii="Times New Roman" w:hAnsi="Times New Roman"/>
          <w:sz w:val="30"/>
        </w:rPr>
        <w:sectPr w:rsidR="00B04AE3">
          <w:type w:val="continuous"/>
          <w:pgSz w:w="11910" w:h="16840"/>
          <w:pgMar w:top="60" w:right="1000" w:bottom="0" w:left="1000" w:header="720" w:footer="720" w:gutter="0"/>
          <w:cols w:num="2" w:space="720" w:equalWidth="0">
            <w:col w:w="3938" w:space="40"/>
            <w:col w:w="5932"/>
          </w:cols>
        </w:sectPr>
      </w:pPr>
    </w:p>
    <w:p w:rsidR="00B04AE3" w:rsidRDefault="00B04AE3">
      <w:pPr>
        <w:pStyle w:val="BodyText"/>
        <w:spacing w:before="6"/>
        <w:rPr>
          <w:rFonts w:ascii="Times New Roman"/>
          <w:i/>
          <w:sz w:val="15"/>
        </w:rPr>
      </w:pPr>
    </w:p>
    <w:p w:rsidR="00B04AE3" w:rsidRDefault="00B04AE3">
      <w:pPr>
        <w:pStyle w:val="BodyText"/>
        <w:spacing w:before="67"/>
        <w:ind w:left="1277"/>
      </w:pPr>
      <w:r>
        <w:rPr>
          <w:noProof/>
          <w:lang w:val="en-US"/>
        </w:rPr>
        <w:pict>
          <v:group id="_x0000_s1456" style="position:absolute;left:0;text-align:left;margin-left:244.05pt;margin-top:-32.15pt;width:86.25pt;height:24.6pt;z-index:-251637248;mso-position-horizontal-relative:page" coordorigin="4881,-644" coordsize="1725,492">
            <v:shape id="_x0000_s1457" style="position:absolute;left:4887;top:7245;width:892;height:57" coordorigin="4888,7246" coordsize="892,57" o:spt="100" adj="0,,0" path="m5096,-374r683,m4888,-317r40,-23e" filled="f" strokeweight=".65pt">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58" style="position:absolute" from="4928,-333" to="4987,-166" strokeweight="1.3pt"/>
            <v:shape id="_x0000_s1459" style="position:absolute;left:4993;top:7093;width:1613;height:472" coordorigin="4993,7094" coordsize="1613,472" o:spt="100" adj="0,,0" path="m4993,-166r78,-471m5071,-637r1534,e" filled="f" strokeweight=".65pt">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w10:wrap anchorx="page"/>
          </v:group>
        </w:pict>
      </w:r>
      <w:r>
        <w:rPr>
          <w:noProof/>
          <w:lang w:val="en-US"/>
        </w:rPr>
        <w:pict>
          <v:shape id="_x0000_s1460" type="#_x0000_t202" style="position:absolute;left:0;text-align:left;margin-left:268.5pt;margin-top:-19.65pt;width:8.5pt;height:11pt;z-index:-251636224;mso-position-horizontal-relative:page" filled="f" stroked="f">
            <v:textbox inset="0,0,0,0">
              <w:txbxContent>
                <w:p w:rsidR="00B04AE3" w:rsidRDefault="00B04AE3">
                  <w:pPr>
                    <w:spacing w:line="220" w:lineRule="exact"/>
                    <w:rPr>
                      <w:rFonts w:ascii="Symbol" w:hAnsi="Symbol"/>
                      <w:i/>
                      <w:sz w:val="19"/>
                    </w:rPr>
                  </w:pPr>
                  <w:r>
                    <w:rPr>
                      <w:rFonts w:ascii="Symbol" w:hAnsi="Symbol"/>
                      <w:i/>
                      <w:w w:val="94"/>
                      <w:sz w:val="19"/>
                    </w:rPr>
                    <w:t></w:t>
                  </w:r>
                </w:p>
              </w:txbxContent>
            </v:textbox>
            <w10:wrap anchorx="page"/>
          </v:shape>
        </w:pict>
      </w:r>
      <w:r>
        <w:rPr>
          <w:rFonts w:hint="eastAsia"/>
        </w:rPr>
        <w:t>式中：</w:t>
      </w:r>
    </w:p>
    <w:p w:rsidR="00B04AE3" w:rsidRDefault="00B04AE3">
      <w:pPr>
        <w:pStyle w:val="BodyText"/>
        <w:spacing w:before="32"/>
        <w:ind w:left="1877"/>
      </w:pPr>
      <w:r>
        <w:rPr>
          <w:rFonts w:ascii="Times New Roman" w:hAnsi="Times New Roman"/>
          <w:position w:val="2"/>
        </w:rPr>
        <w:t>Q</w:t>
      </w:r>
      <w:r>
        <w:rPr>
          <w:rFonts w:ascii="Times New Roman" w:hAnsi="Times New Roman"/>
          <w:position w:val="2"/>
          <w:vertAlign w:val="subscript"/>
        </w:rPr>
        <w:t>L</w:t>
      </w:r>
      <w:r>
        <w:rPr>
          <w:rFonts w:ascii="Times New Roman" w:hAnsi="Times New Roman"/>
          <w:position w:val="2"/>
        </w:rPr>
        <w:t>——</w:t>
      </w:r>
      <w:r>
        <w:rPr>
          <w:rFonts w:hint="eastAsia"/>
          <w:position w:val="2"/>
        </w:rPr>
        <w:t>液体泄漏速度，</w:t>
      </w:r>
      <w:r>
        <w:rPr>
          <w:rFonts w:ascii="Times New Roman" w:hAnsi="Times New Roman"/>
          <w:position w:val="2"/>
        </w:rPr>
        <w:t>kg/s</w:t>
      </w:r>
      <w:r>
        <w:rPr>
          <w:rFonts w:hint="eastAsia"/>
          <w:position w:val="2"/>
        </w:rPr>
        <w:t>；</w:t>
      </w:r>
    </w:p>
    <w:p w:rsidR="00B04AE3" w:rsidRDefault="00B04AE3">
      <w:pPr>
        <w:pStyle w:val="BodyText"/>
        <w:spacing w:before="154"/>
        <w:ind w:left="1877"/>
      </w:pPr>
      <w:r>
        <w:rPr>
          <w:rFonts w:ascii="Times New Roman" w:hAnsi="Times New Roman"/>
          <w:position w:val="2"/>
        </w:rPr>
        <w:t>C</w:t>
      </w:r>
      <w:r>
        <w:rPr>
          <w:rFonts w:ascii="Times New Roman" w:hAnsi="Times New Roman"/>
          <w:position w:val="2"/>
          <w:vertAlign w:val="subscript"/>
        </w:rPr>
        <w:t>d</w:t>
      </w:r>
      <w:r>
        <w:rPr>
          <w:rFonts w:ascii="Times New Roman" w:hAnsi="Times New Roman"/>
          <w:position w:val="2"/>
        </w:rPr>
        <w:t>——</w:t>
      </w:r>
      <w:r>
        <w:rPr>
          <w:rFonts w:hint="eastAsia"/>
          <w:position w:val="2"/>
        </w:rPr>
        <w:t>液体泄漏系数，此值常用</w:t>
      </w:r>
      <w:r>
        <w:rPr>
          <w:position w:val="2"/>
        </w:rPr>
        <w:t xml:space="preserve"> </w:t>
      </w:r>
      <w:r>
        <w:rPr>
          <w:rFonts w:ascii="Times New Roman" w:hAnsi="Times New Roman"/>
          <w:position w:val="2"/>
        </w:rPr>
        <w:t>0.6</w:t>
      </w:r>
      <w:r>
        <w:rPr>
          <w:rFonts w:hint="eastAsia"/>
          <w:position w:val="2"/>
        </w:rPr>
        <w:t>～</w:t>
      </w:r>
      <w:r>
        <w:rPr>
          <w:rFonts w:ascii="Times New Roman" w:hAnsi="Times New Roman"/>
          <w:position w:val="2"/>
        </w:rPr>
        <w:t>0.64</w:t>
      </w:r>
      <w:r>
        <w:rPr>
          <w:rFonts w:hint="eastAsia"/>
          <w:position w:val="2"/>
        </w:rPr>
        <w:t>，取值为</w:t>
      </w:r>
      <w:r>
        <w:rPr>
          <w:position w:val="2"/>
        </w:rPr>
        <w:t xml:space="preserve"> </w:t>
      </w:r>
      <w:r>
        <w:rPr>
          <w:rFonts w:ascii="Times New Roman" w:hAnsi="Times New Roman"/>
          <w:position w:val="2"/>
        </w:rPr>
        <w:t>0.62</w:t>
      </w:r>
      <w:r>
        <w:rPr>
          <w:rFonts w:hint="eastAsia"/>
          <w:position w:val="2"/>
        </w:rPr>
        <w:t>；</w:t>
      </w:r>
    </w:p>
    <w:p w:rsidR="00B04AE3" w:rsidRDefault="00B04AE3">
      <w:pPr>
        <w:pStyle w:val="BodyText"/>
        <w:spacing w:before="157" w:line="364" w:lineRule="auto"/>
        <w:ind w:left="797" w:right="693" w:firstLine="1080"/>
      </w:pPr>
      <w:r>
        <w:rPr>
          <w:rFonts w:ascii="Times New Roman" w:hAnsi="Times New Roman"/>
        </w:rPr>
        <w:t>A——</w:t>
      </w:r>
      <w:r>
        <w:rPr>
          <w:rFonts w:hint="eastAsia"/>
        </w:rPr>
        <w:t>裂口面积，</w:t>
      </w:r>
      <w:r>
        <w:rPr>
          <w:rFonts w:ascii="Times New Roman" w:hAnsi="Times New Roman"/>
        </w:rPr>
        <w:t>m</w:t>
      </w:r>
      <w:r>
        <w:rPr>
          <w:rFonts w:ascii="Times New Roman" w:hAnsi="Times New Roman"/>
          <w:position w:val="8"/>
          <w:sz w:val="15"/>
        </w:rPr>
        <w:t>2</w:t>
      </w:r>
      <w:r>
        <w:rPr>
          <w:rFonts w:hint="eastAsia"/>
        </w:rPr>
        <w:t>，根据《环境风险评价》教材中典型泄露确定方</w:t>
      </w:r>
      <w:r>
        <w:rPr>
          <w:rFonts w:hint="eastAsia"/>
          <w:spacing w:val="-3"/>
        </w:rPr>
        <w:t>法，此次环境风险评价只考虑并选择典型的情况作为代表。本次取</w:t>
      </w:r>
      <w:r>
        <w:rPr>
          <w:spacing w:val="-3"/>
        </w:rPr>
        <w:t xml:space="preserve"> </w:t>
      </w:r>
      <w:r>
        <w:rPr>
          <w:rFonts w:ascii="Times New Roman" w:hAnsi="Times New Roman"/>
        </w:rPr>
        <w:t xml:space="preserve">20mm </w:t>
      </w:r>
      <w:r>
        <w:rPr>
          <w:rFonts w:hint="eastAsia"/>
          <w:spacing w:val="-6"/>
        </w:rPr>
        <w:t>管径，</w:t>
      </w:r>
      <w:r>
        <w:rPr>
          <w:spacing w:val="-6"/>
        </w:rPr>
        <w:t xml:space="preserve"> </w:t>
      </w:r>
      <w:r>
        <w:rPr>
          <w:rFonts w:hint="eastAsia"/>
          <w:spacing w:val="-30"/>
        </w:rPr>
        <w:t>按</w:t>
      </w:r>
      <w:r>
        <w:rPr>
          <w:spacing w:val="-30"/>
        </w:rPr>
        <w:t xml:space="preserve"> </w:t>
      </w:r>
      <w:r>
        <w:rPr>
          <w:rFonts w:ascii="Times New Roman" w:hAnsi="Times New Roman"/>
        </w:rPr>
        <w:t>50%</w:t>
      </w:r>
      <w:r>
        <w:rPr>
          <w:rFonts w:hint="eastAsia"/>
        </w:rPr>
        <w:t>破裂计算。</w:t>
      </w:r>
    </w:p>
    <w:p w:rsidR="00B04AE3" w:rsidRDefault="00B04AE3">
      <w:pPr>
        <w:pStyle w:val="BodyText"/>
        <w:spacing w:line="307" w:lineRule="exact"/>
        <w:ind w:left="1877"/>
      </w:pPr>
      <w:r>
        <w:rPr>
          <w:rFonts w:ascii="Times New Roman" w:hAnsi="Times New Roman"/>
        </w:rPr>
        <w:t>ρ——</w:t>
      </w:r>
      <w:r>
        <w:rPr>
          <w:rFonts w:hint="eastAsia"/>
        </w:rPr>
        <w:t>介质密度，（硫酸取值</w:t>
      </w:r>
      <w:r>
        <w:t xml:space="preserve"> </w:t>
      </w:r>
      <w:r>
        <w:rPr>
          <w:rFonts w:ascii="Times New Roman" w:hAnsi="Times New Roman"/>
        </w:rPr>
        <w:t>1840kg/m</w:t>
      </w:r>
      <w:r>
        <w:rPr>
          <w:rFonts w:ascii="Times New Roman" w:hAnsi="Times New Roman"/>
          <w:position w:val="8"/>
          <w:sz w:val="15"/>
        </w:rPr>
        <w:t>3</w:t>
      </w:r>
      <w:r>
        <w:rPr>
          <w:rFonts w:hint="eastAsia"/>
        </w:rPr>
        <w:t>）；</w:t>
      </w:r>
    </w:p>
    <w:p w:rsidR="00B04AE3" w:rsidRDefault="00B04AE3">
      <w:pPr>
        <w:pStyle w:val="BodyText"/>
        <w:spacing w:before="160"/>
        <w:ind w:left="1877"/>
      </w:pPr>
      <w:r>
        <w:rPr>
          <w:rFonts w:ascii="Times New Roman" w:hAnsi="Times New Roman"/>
        </w:rPr>
        <w:t>P——</w:t>
      </w:r>
      <w:r>
        <w:rPr>
          <w:rFonts w:hint="eastAsia"/>
        </w:rPr>
        <w:t>容器内介质压力（硫酸储罐的工作压力为常压）；</w:t>
      </w:r>
    </w:p>
    <w:p w:rsidR="00B04AE3" w:rsidRDefault="00B04AE3">
      <w:pPr>
        <w:pStyle w:val="BodyText"/>
        <w:spacing w:before="155"/>
        <w:ind w:left="1877"/>
      </w:pPr>
      <w:r>
        <w:rPr>
          <w:rFonts w:ascii="Times New Roman" w:hAnsi="Times New Roman"/>
          <w:position w:val="2"/>
        </w:rPr>
        <w:t>P</w:t>
      </w:r>
      <w:r>
        <w:rPr>
          <w:rFonts w:ascii="Times New Roman" w:hAnsi="Times New Roman"/>
          <w:position w:val="2"/>
          <w:vertAlign w:val="subscript"/>
        </w:rPr>
        <w:t>0</w:t>
      </w:r>
      <w:r>
        <w:rPr>
          <w:rFonts w:ascii="Times New Roman" w:hAnsi="Times New Roman"/>
          <w:position w:val="2"/>
        </w:rPr>
        <w:t>——</w:t>
      </w:r>
      <w:r>
        <w:rPr>
          <w:rFonts w:hint="eastAsia"/>
          <w:position w:val="2"/>
        </w:rPr>
        <w:t>环境压力，</w:t>
      </w:r>
      <w:r>
        <w:rPr>
          <w:rFonts w:ascii="Times New Roman" w:hAnsi="Times New Roman"/>
          <w:position w:val="2"/>
        </w:rPr>
        <w:t>101325Pa</w:t>
      </w:r>
      <w:r>
        <w:rPr>
          <w:rFonts w:hint="eastAsia"/>
          <w:position w:val="2"/>
        </w:rPr>
        <w:t>；</w:t>
      </w:r>
    </w:p>
    <w:p w:rsidR="00B04AE3" w:rsidRDefault="00B04AE3">
      <w:pPr>
        <w:pStyle w:val="BodyText"/>
        <w:spacing w:before="159"/>
        <w:ind w:left="1877"/>
      </w:pPr>
      <w:r>
        <w:rPr>
          <w:rFonts w:ascii="Times New Roman" w:hAnsi="Times New Roman"/>
        </w:rPr>
        <w:t>g——</w:t>
      </w:r>
      <w:r>
        <w:rPr>
          <w:rFonts w:hint="eastAsia"/>
        </w:rPr>
        <w:t>重力加速度，</w:t>
      </w:r>
      <w:r>
        <w:rPr>
          <w:rFonts w:ascii="Times New Roman" w:hAnsi="Times New Roman"/>
        </w:rPr>
        <w:t>9.8m/s</w:t>
      </w:r>
      <w:r>
        <w:rPr>
          <w:rFonts w:ascii="Times New Roman" w:hAnsi="Times New Roman"/>
          <w:position w:val="8"/>
          <w:sz w:val="15"/>
        </w:rPr>
        <w:t>2</w:t>
      </w:r>
      <w:r>
        <w:rPr>
          <w:rFonts w:hint="eastAsia"/>
        </w:rPr>
        <w:t>；</w:t>
      </w:r>
    </w:p>
    <w:p w:rsidR="00B04AE3" w:rsidRDefault="00B04AE3">
      <w:pPr>
        <w:spacing w:before="158" w:line="364" w:lineRule="auto"/>
        <w:ind w:left="1268" w:right="5266" w:firstLine="609"/>
        <w:rPr>
          <w:sz w:val="24"/>
        </w:rPr>
      </w:pPr>
      <w:r>
        <w:rPr>
          <w:rFonts w:ascii="Times New Roman" w:hAnsi="Times New Roman"/>
          <w:sz w:val="24"/>
        </w:rPr>
        <w:t>h——</w:t>
      </w:r>
      <w:r>
        <w:rPr>
          <w:rFonts w:hint="eastAsia"/>
          <w:sz w:val="24"/>
        </w:rPr>
        <w:t>裂口之上液位高度。</w:t>
      </w:r>
    </w:p>
    <w:p w:rsidR="00B04AE3" w:rsidRDefault="00B04AE3">
      <w:pPr>
        <w:spacing w:before="158" w:line="364" w:lineRule="auto"/>
        <w:ind w:left="1268" w:right="5266" w:firstLine="609"/>
        <w:rPr>
          <w:sz w:val="24"/>
        </w:rPr>
      </w:pPr>
    </w:p>
    <w:p w:rsidR="00B04AE3" w:rsidRDefault="00B04AE3" w:rsidP="003446E2">
      <w:pPr>
        <w:spacing w:before="158" w:line="364" w:lineRule="auto"/>
        <w:ind w:right="5266" w:firstLineChars="500" w:firstLine="31680"/>
        <w:rPr>
          <w:b/>
          <w:sz w:val="24"/>
        </w:rPr>
      </w:pPr>
      <w:r>
        <w:rPr>
          <w:rFonts w:hint="eastAsia"/>
          <w:b/>
          <w:sz w:val="24"/>
        </w:rPr>
        <w:t>液氮泄漏事故</w:t>
      </w:r>
    </w:p>
    <w:p w:rsidR="00B04AE3" w:rsidRDefault="00B04AE3">
      <w:pPr>
        <w:pStyle w:val="BodyText"/>
        <w:spacing w:before="64" w:line="364" w:lineRule="auto"/>
        <w:ind w:left="797" w:right="792" w:firstLine="463"/>
        <w:jc w:val="both"/>
        <w:rPr>
          <w:spacing w:val="-6"/>
          <w:szCs w:val="22"/>
        </w:rPr>
      </w:pPr>
      <w:r>
        <w:rPr>
          <w:rFonts w:hint="eastAsia"/>
          <w:spacing w:val="-6"/>
          <w:szCs w:val="22"/>
        </w:rPr>
        <w:t>液氮充装在符合</w:t>
      </w:r>
      <w:r>
        <w:rPr>
          <w:spacing w:val="-6"/>
          <w:szCs w:val="22"/>
        </w:rPr>
        <w:t xml:space="preserve"> GB5100-85 </w:t>
      </w:r>
      <w:r>
        <w:rPr>
          <w:rFonts w:hint="eastAsia"/>
          <w:spacing w:val="-6"/>
          <w:szCs w:val="22"/>
        </w:rPr>
        <w:t>的钢瓶内，充装量为</w:t>
      </w:r>
      <w:r>
        <w:rPr>
          <w:spacing w:val="-6"/>
          <w:szCs w:val="22"/>
        </w:rPr>
        <w:t xml:space="preserve"> 400kg </w:t>
      </w:r>
      <w:r>
        <w:rPr>
          <w:rFonts w:hint="eastAsia"/>
          <w:spacing w:val="-6"/>
          <w:szCs w:val="22"/>
        </w:rPr>
        <w:t>的瓶装液氮，当液氮瓶阀损坏后，气体排放的过程可以看作是储存在一个压力容器内的饱和液化气体在打开了流道的安全阀和爆破片后的管道中流动，排放孔直径为</w:t>
      </w:r>
      <w:r>
        <w:rPr>
          <w:spacing w:val="-6"/>
          <w:szCs w:val="22"/>
        </w:rPr>
        <w:t xml:space="preserve"> 8mm</w:t>
      </w:r>
      <w:r>
        <w:rPr>
          <w:rFonts w:hint="eastAsia"/>
          <w:spacing w:val="-6"/>
          <w:szCs w:val="22"/>
        </w:rPr>
        <w:t>。</w:t>
      </w:r>
    </w:p>
    <w:p w:rsidR="00B04AE3" w:rsidRDefault="00B04AE3">
      <w:pPr>
        <w:pStyle w:val="BodyText"/>
        <w:spacing w:before="64" w:line="364" w:lineRule="auto"/>
        <w:ind w:left="797" w:right="792" w:firstLine="463"/>
        <w:jc w:val="both"/>
        <w:rPr>
          <w:spacing w:val="-6"/>
          <w:szCs w:val="22"/>
        </w:rPr>
      </w:pPr>
      <w:r>
        <w:rPr>
          <w:rFonts w:hint="eastAsia"/>
          <w:spacing w:val="-6"/>
          <w:szCs w:val="22"/>
        </w:rPr>
        <w:t>根据《建设项目环境风险评价技术导则》</w:t>
      </w:r>
      <w:r>
        <w:rPr>
          <w:spacing w:val="-6"/>
          <w:szCs w:val="22"/>
        </w:rPr>
        <w:t>(HJ/T169-2004)</w:t>
      </w:r>
      <w:r>
        <w:rPr>
          <w:rFonts w:hint="eastAsia"/>
          <w:spacing w:val="-6"/>
          <w:szCs w:val="22"/>
        </w:rPr>
        <w:t>的要求，当发生气体泄漏时，气体泄漏速率的计算采用以下公式计算。</w:t>
      </w:r>
    </w:p>
    <w:p w:rsidR="00B04AE3" w:rsidRDefault="00B04AE3">
      <w:pPr>
        <w:pStyle w:val="BodyText"/>
        <w:spacing w:before="64" w:line="364" w:lineRule="auto"/>
        <w:ind w:left="797" w:right="792" w:firstLine="463"/>
        <w:jc w:val="both"/>
        <w:rPr>
          <w:spacing w:val="-6"/>
          <w:szCs w:val="22"/>
        </w:rPr>
      </w:pPr>
      <w:r>
        <w:rPr>
          <w:rFonts w:hint="eastAsia"/>
          <w:spacing w:val="-6"/>
          <w:szCs w:val="22"/>
        </w:rPr>
        <w:t>当气体流速在音速范围（临界流）：</w:t>
      </w:r>
    </w:p>
    <w:p w:rsidR="00B04AE3" w:rsidRDefault="00B04AE3">
      <w:pPr>
        <w:sectPr w:rsidR="00B04AE3">
          <w:type w:val="continuous"/>
          <w:pgSz w:w="11910" w:h="16840"/>
          <w:pgMar w:top="60" w:right="1000" w:bottom="0" w:left="1000" w:header="720" w:footer="720" w:gutter="0"/>
          <w:cols w:space="720"/>
        </w:sectPr>
      </w:pPr>
    </w:p>
    <w:p w:rsidR="00B04AE3" w:rsidRDefault="00B04AE3">
      <w:pPr>
        <w:pStyle w:val="BodyText"/>
        <w:spacing w:before="10"/>
        <w:jc w:val="center"/>
        <w:rPr>
          <w:sz w:val="29"/>
        </w:rPr>
      </w:pPr>
      <w:r w:rsidRPr="00E43F4D">
        <w:rPr>
          <w:noProof/>
          <w:sz w:val="29"/>
          <w:lang w:val="en-US"/>
        </w:rPr>
        <w:pict>
          <v:shape id="图片 41" o:spid="_x0000_i1057" type="#_x0000_t75" alt="15" style="width:231pt;height:68.25pt;visibility:visible">
            <v:imagedata r:id="rId71" o:title=""/>
          </v:shape>
        </w:pict>
      </w:r>
    </w:p>
    <w:p w:rsidR="00B04AE3" w:rsidRDefault="00B04AE3">
      <w:pPr>
        <w:pStyle w:val="BodyText"/>
        <w:spacing w:before="147"/>
        <w:ind w:left="1277"/>
      </w:pPr>
      <w:r>
        <w:rPr>
          <w:rFonts w:hint="eastAsia"/>
        </w:rPr>
        <w:t>当气体流速在亚音速范围（次临界流）：</w:t>
      </w:r>
    </w:p>
    <w:p w:rsidR="00B04AE3" w:rsidRDefault="00B04AE3" w:rsidP="003446E2">
      <w:pPr>
        <w:pStyle w:val="BodyText"/>
        <w:spacing w:before="160"/>
        <w:ind w:left="1277" w:firstLineChars="400" w:firstLine="31680"/>
        <w:rPr>
          <w:rFonts w:ascii="Times New Roman" w:hAnsi="Times New Roman"/>
        </w:rPr>
      </w:pPr>
      <w:r w:rsidRPr="00E43F4D">
        <w:rPr>
          <w:rFonts w:ascii="Times New Roman" w:hAnsi="Times New Roman"/>
          <w:noProof/>
          <w:lang w:val="en-US"/>
        </w:rPr>
        <w:pict>
          <v:shape id="图片 42" o:spid="_x0000_i1058" type="#_x0000_t75" alt="16" style="width:331.5pt;height:95.25pt;visibility:visible">
            <v:imagedata r:id="rId72" o:title=""/>
          </v:shape>
        </w:pict>
      </w:r>
    </w:p>
    <w:p w:rsidR="00B04AE3" w:rsidRDefault="00B04AE3" w:rsidP="003446E2">
      <w:pPr>
        <w:pStyle w:val="BodyText"/>
        <w:spacing w:before="160"/>
        <w:ind w:left="1277" w:firstLineChars="400" w:firstLine="31680"/>
      </w:pPr>
      <w:r>
        <w:rPr>
          <w:rFonts w:ascii="Times New Roman" w:hAnsi="Times New Roman"/>
        </w:rPr>
        <w:t>P——</w:t>
      </w:r>
      <w:r>
        <w:rPr>
          <w:rFonts w:hint="eastAsia"/>
        </w:rPr>
        <w:t>容器内介质压力，</w:t>
      </w:r>
      <w:r>
        <w:rPr>
          <w:rFonts w:ascii="Times New Roman" w:hAnsi="Times New Roman"/>
        </w:rPr>
        <w:t>Pa</w:t>
      </w:r>
      <w:r>
        <w:rPr>
          <w:rFonts w:hint="eastAsia"/>
        </w:rPr>
        <w:t>；</w:t>
      </w:r>
    </w:p>
    <w:p w:rsidR="00B04AE3" w:rsidRDefault="00B04AE3">
      <w:pPr>
        <w:pStyle w:val="BodyText"/>
        <w:spacing w:before="155"/>
        <w:ind w:left="2237"/>
      </w:pPr>
      <w:r>
        <w:rPr>
          <w:rFonts w:ascii="Times New Roman" w:hAnsi="Times New Roman"/>
          <w:position w:val="2"/>
        </w:rPr>
        <w:t>p</w:t>
      </w:r>
      <w:r>
        <w:rPr>
          <w:rFonts w:ascii="Times New Roman" w:hAnsi="Times New Roman"/>
          <w:position w:val="2"/>
          <w:vertAlign w:val="subscript"/>
        </w:rPr>
        <w:t>0</w:t>
      </w:r>
      <w:r>
        <w:rPr>
          <w:rFonts w:ascii="Times New Roman" w:hAnsi="Times New Roman"/>
          <w:position w:val="2"/>
        </w:rPr>
        <w:t>——</w:t>
      </w:r>
      <w:r>
        <w:rPr>
          <w:rFonts w:hint="eastAsia"/>
          <w:position w:val="2"/>
        </w:rPr>
        <w:t>环境压力，</w:t>
      </w:r>
      <w:r>
        <w:rPr>
          <w:rFonts w:ascii="Times New Roman" w:hAnsi="Times New Roman"/>
          <w:position w:val="2"/>
        </w:rPr>
        <w:t>Pa</w:t>
      </w:r>
      <w:r>
        <w:rPr>
          <w:rFonts w:hint="eastAsia"/>
          <w:position w:val="2"/>
        </w:rPr>
        <w:t>；</w:t>
      </w:r>
    </w:p>
    <w:p w:rsidR="00B04AE3" w:rsidRDefault="00B04AE3">
      <w:pPr>
        <w:pStyle w:val="BodyText"/>
        <w:spacing w:before="156"/>
        <w:ind w:left="2237"/>
        <w:rPr>
          <w:rFonts w:ascii="Times New Roman" w:hAnsi="Times New Roman"/>
        </w:rPr>
      </w:pPr>
      <w:r>
        <w:rPr>
          <w:rFonts w:ascii="Times New Roman" w:hAnsi="Times New Roman"/>
          <w:position w:val="2"/>
        </w:rPr>
        <w:t>κ——</w:t>
      </w:r>
      <w:r>
        <w:rPr>
          <w:rFonts w:hint="eastAsia"/>
          <w:position w:val="2"/>
        </w:rPr>
        <w:t>气体的绝热指数（热容比），即定压热容</w:t>
      </w:r>
      <w:r>
        <w:rPr>
          <w:position w:val="2"/>
        </w:rPr>
        <w:t xml:space="preserve"> </w:t>
      </w:r>
      <w:r>
        <w:rPr>
          <w:rFonts w:ascii="Times New Roman" w:hAnsi="Times New Roman"/>
          <w:position w:val="2"/>
        </w:rPr>
        <w:t xml:space="preserve">Cp </w:t>
      </w:r>
      <w:r>
        <w:rPr>
          <w:rFonts w:hint="eastAsia"/>
          <w:position w:val="2"/>
        </w:rPr>
        <w:t>与定容热容</w:t>
      </w:r>
      <w:r>
        <w:rPr>
          <w:position w:val="2"/>
        </w:rPr>
        <w:t xml:space="preserve"> </w:t>
      </w:r>
      <w:r>
        <w:rPr>
          <w:rFonts w:ascii="Times New Roman" w:hAnsi="Times New Roman"/>
          <w:position w:val="2"/>
        </w:rPr>
        <w:t>C</w:t>
      </w:r>
      <w:r>
        <w:rPr>
          <w:rFonts w:ascii="Times New Roman" w:hAnsi="Times New Roman"/>
          <w:position w:val="2"/>
          <w:vertAlign w:val="subscript"/>
        </w:rPr>
        <w:t>V</w:t>
      </w:r>
    </w:p>
    <w:p w:rsidR="00B04AE3" w:rsidRDefault="00B04AE3">
      <w:pPr>
        <w:pStyle w:val="BodyText"/>
        <w:spacing w:before="160"/>
        <w:ind w:left="797"/>
      </w:pPr>
      <w:r>
        <w:rPr>
          <w:rFonts w:hint="eastAsia"/>
        </w:rPr>
        <w:t>之比。</w:t>
      </w:r>
    </w:p>
    <w:p w:rsidR="00B04AE3" w:rsidRDefault="00B04AE3">
      <w:pPr>
        <w:pStyle w:val="BodyText"/>
        <w:spacing w:before="155"/>
        <w:ind w:left="1277"/>
        <w:rPr>
          <w:position w:val="2"/>
        </w:rPr>
      </w:pPr>
      <w:r>
        <w:rPr>
          <w:rFonts w:hint="eastAsia"/>
          <w:position w:val="2"/>
        </w:rPr>
        <w:t>假定气体的特性是理想气体，气体泄漏速度</w:t>
      </w:r>
      <w:r>
        <w:rPr>
          <w:position w:val="2"/>
        </w:rPr>
        <w:t xml:space="preserve"> </w:t>
      </w:r>
      <w:r>
        <w:rPr>
          <w:rFonts w:ascii="Times New Roman" w:eastAsia="Times New Roman"/>
          <w:position w:val="2"/>
        </w:rPr>
        <w:t>Q</w:t>
      </w:r>
      <w:r>
        <w:rPr>
          <w:rFonts w:ascii="Times New Roman" w:eastAsia="Times New Roman"/>
          <w:position w:val="2"/>
          <w:vertAlign w:val="subscript"/>
        </w:rPr>
        <w:t>G</w:t>
      </w:r>
      <w:r>
        <w:rPr>
          <w:rFonts w:ascii="Times New Roman" w:eastAsia="Times New Roman"/>
          <w:position w:val="2"/>
        </w:rPr>
        <w:t xml:space="preserve"> </w:t>
      </w:r>
      <w:r>
        <w:rPr>
          <w:rFonts w:hint="eastAsia"/>
          <w:position w:val="2"/>
        </w:rPr>
        <w:t>按下式计算：</w:t>
      </w:r>
    </w:p>
    <w:p w:rsidR="00B04AE3" w:rsidRDefault="00B04AE3">
      <w:pPr>
        <w:pStyle w:val="BodyText"/>
        <w:spacing w:before="155"/>
        <w:ind w:left="1277"/>
        <w:rPr>
          <w:position w:val="2"/>
        </w:rPr>
      </w:pPr>
      <w:r w:rsidRPr="00E43F4D">
        <w:rPr>
          <w:noProof/>
          <w:position w:val="2"/>
          <w:lang w:val="en-US"/>
        </w:rPr>
        <w:pict>
          <v:shape id="图片 43" o:spid="_x0000_i1059" type="#_x0000_t75" alt="17" style="width:281.25pt;height:91.5pt;visibility:visible">
            <v:imagedata r:id="rId73" o:title=""/>
          </v:shape>
        </w:pict>
      </w:r>
    </w:p>
    <w:p w:rsidR="00B04AE3" w:rsidRDefault="00B04AE3">
      <w:pPr>
        <w:pStyle w:val="BodyText"/>
        <w:spacing w:before="157"/>
        <w:ind w:left="2117"/>
      </w:pPr>
      <w:r>
        <w:rPr>
          <w:rFonts w:ascii="Times New Roman" w:hAnsi="Times New Roman"/>
          <w:position w:val="2"/>
        </w:rPr>
        <w:t>Q</w:t>
      </w:r>
      <w:r>
        <w:rPr>
          <w:rFonts w:ascii="Times New Roman" w:hAnsi="Times New Roman"/>
          <w:position w:val="2"/>
          <w:vertAlign w:val="subscript"/>
        </w:rPr>
        <w:t>G</w:t>
      </w:r>
      <w:r>
        <w:rPr>
          <w:rFonts w:ascii="Times New Roman" w:hAnsi="Times New Roman"/>
          <w:position w:val="2"/>
        </w:rPr>
        <w:t>——</w:t>
      </w:r>
      <w:r>
        <w:rPr>
          <w:rFonts w:hint="eastAsia"/>
          <w:position w:val="2"/>
        </w:rPr>
        <w:t>气体泄漏速度，</w:t>
      </w:r>
      <w:r>
        <w:rPr>
          <w:rFonts w:ascii="Times New Roman" w:hAnsi="Times New Roman"/>
          <w:position w:val="2"/>
        </w:rPr>
        <w:t>kg/s</w:t>
      </w:r>
      <w:r>
        <w:rPr>
          <w:rFonts w:hint="eastAsia"/>
          <w:position w:val="2"/>
        </w:rPr>
        <w:t>；</w:t>
      </w:r>
    </w:p>
    <w:p w:rsidR="00B04AE3" w:rsidRDefault="00B04AE3">
      <w:pPr>
        <w:pStyle w:val="BodyText"/>
        <w:spacing w:before="157"/>
        <w:ind w:left="2117"/>
      </w:pPr>
      <w:r>
        <w:rPr>
          <w:rFonts w:ascii="Times New Roman" w:hAnsi="Times New Roman"/>
        </w:rPr>
        <w:t>P——</w:t>
      </w:r>
      <w:r>
        <w:rPr>
          <w:rFonts w:hint="eastAsia"/>
        </w:rPr>
        <w:t>容器压力，</w:t>
      </w:r>
      <w:r>
        <w:rPr>
          <w:rFonts w:ascii="Times New Roman" w:hAnsi="Times New Roman"/>
        </w:rPr>
        <w:t>Pa</w:t>
      </w:r>
      <w:r>
        <w:rPr>
          <w:rFonts w:hint="eastAsia"/>
        </w:rPr>
        <w:t>；</w:t>
      </w:r>
    </w:p>
    <w:p w:rsidR="00B04AE3" w:rsidRDefault="00B04AE3">
      <w:pPr>
        <w:pStyle w:val="BodyText"/>
        <w:spacing w:before="155"/>
        <w:ind w:left="2117"/>
      </w:pPr>
      <w:r>
        <w:rPr>
          <w:rFonts w:ascii="Times New Roman" w:hAnsi="Times New Roman"/>
          <w:position w:val="2"/>
        </w:rPr>
        <w:t>C</w:t>
      </w:r>
      <w:r>
        <w:rPr>
          <w:rFonts w:ascii="Times New Roman" w:hAnsi="Times New Roman"/>
          <w:position w:val="2"/>
          <w:vertAlign w:val="subscript"/>
        </w:rPr>
        <w:t>d</w:t>
      </w:r>
      <w:r>
        <w:rPr>
          <w:rFonts w:ascii="Times New Roman" w:hAnsi="Times New Roman"/>
          <w:position w:val="2"/>
        </w:rPr>
        <w:t>——</w:t>
      </w:r>
      <w:r>
        <w:rPr>
          <w:rFonts w:hint="eastAsia"/>
          <w:position w:val="2"/>
        </w:rPr>
        <w:t>气体泄漏系数；</w:t>
      </w:r>
    </w:p>
    <w:p w:rsidR="00B04AE3" w:rsidRDefault="00B04AE3">
      <w:pPr>
        <w:pStyle w:val="BodyText"/>
        <w:spacing w:before="159"/>
        <w:ind w:left="1277"/>
      </w:pPr>
      <w:r>
        <w:rPr>
          <w:rFonts w:hint="eastAsia"/>
        </w:rPr>
        <w:t>当裂口形状位圆形时取</w:t>
      </w:r>
      <w:r>
        <w:t xml:space="preserve"> </w:t>
      </w:r>
      <w:r>
        <w:rPr>
          <w:rFonts w:ascii="Times New Roman" w:eastAsia="Times New Roman"/>
        </w:rPr>
        <w:t>1.00</w:t>
      </w:r>
      <w:r>
        <w:rPr>
          <w:rFonts w:hint="eastAsia"/>
        </w:rPr>
        <w:t>，三角形时取</w:t>
      </w:r>
      <w:r>
        <w:t xml:space="preserve"> </w:t>
      </w:r>
      <w:r>
        <w:rPr>
          <w:rFonts w:ascii="Times New Roman" w:eastAsia="Times New Roman"/>
        </w:rPr>
        <w:t>0.95</w:t>
      </w:r>
      <w:r>
        <w:rPr>
          <w:rFonts w:hint="eastAsia"/>
        </w:rPr>
        <w:t>，长方形时取</w:t>
      </w:r>
      <w:r>
        <w:t xml:space="preserve"> </w:t>
      </w:r>
      <w:r>
        <w:rPr>
          <w:rFonts w:ascii="Times New Roman" w:eastAsia="Times New Roman"/>
        </w:rPr>
        <w:t>0.90</w:t>
      </w:r>
      <w:r>
        <w:rPr>
          <w:rFonts w:hint="eastAsia"/>
        </w:rPr>
        <w:t>；</w:t>
      </w:r>
    </w:p>
    <w:p w:rsidR="00B04AE3" w:rsidRDefault="00B04AE3">
      <w:pPr>
        <w:pStyle w:val="BodyText"/>
        <w:spacing w:before="158"/>
        <w:ind w:left="2057"/>
      </w:pPr>
      <w:r>
        <w:rPr>
          <w:rFonts w:ascii="Times New Roman" w:hAnsi="Times New Roman"/>
        </w:rPr>
        <w:t>A——</w:t>
      </w:r>
      <w:r>
        <w:rPr>
          <w:rFonts w:hint="eastAsia"/>
        </w:rPr>
        <w:t>裂口面积，</w:t>
      </w:r>
      <w:r>
        <w:rPr>
          <w:rFonts w:ascii="Times New Roman" w:hAnsi="Times New Roman"/>
        </w:rPr>
        <w:t>m</w:t>
      </w:r>
      <w:r>
        <w:rPr>
          <w:rFonts w:ascii="Times New Roman" w:hAnsi="Times New Roman"/>
          <w:position w:val="8"/>
          <w:sz w:val="15"/>
        </w:rPr>
        <w:t>2</w:t>
      </w:r>
      <w:r>
        <w:rPr>
          <w:rFonts w:hint="eastAsia"/>
        </w:rPr>
        <w:t>；</w:t>
      </w:r>
    </w:p>
    <w:p w:rsidR="00B04AE3" w:rsidRDefault="00B04AE3">
      <w:pPr>
        <w:pStyle w:val="BodyText"/>
        <w:spacing w:before="161"/>
        <w:ind w:left="1997"/>
      </w:pPr>
      <w:r>
        <w:rPr>
          <w:rFonts w:ascii="Times New Roman" w:hAnsi="Times New Roman"/>
        </w:rPr>
        <w:t>M——</w:t>
      </w:r>
      <w:r>
        <w:rPr>
          <w:rFonts w:hint="eastAsia"/>
        </w:rPr>
        <w:t>分子量；</w:t>
      </w:r>
    </w:p>
    <w:p w:rsidR="00B04AE3" w:rsidRDefault="00B04AE3">
      <w:pPr>
        <w:pStyle w:val="BodyText"/>
        <w:spacing w:before="160"/>
        <w:ind w:left="1997"/>
      </w:pPr>
      <w:r>
        <w:rPr>
          <w:rFonts w:ascii="Times New Roman" w:hAnsi="Times New Roman"/>
        </w:rPr>
        <w:t>R——</w:t>
      </w:r>
      <w:r>
        <w:rPr>
          <w:rFonts w:hint="eastAsia"/>
        </w:rPr>
        <w:t>气体常数，</w:t>
      </w:r>
      <w:r>
        <w:rPr>
          <w:rFonts w:ascii="Times New Roman" w:hAnsi="Times New Roman"/>
        </w:rPr>
        <w:t>J/(mol·k)</w:t>
      </w:r>
      <w:r>
        <w:rPr>
          <w:rFonts w:hint="eastAsia"/>
        </w:rPr>
        <w:t>；</w:t>
      </w:r>
    </w:p>
    <w:p w:rsidR="00B04AE3" w:rsidRDefault="00B04AE3">
      <w:pPr>
        <w:pStyle w:val="BodyText"/>
        <w:spacing w:before="155"/>
        <w:ind w:left="1997"/>
      </w:pPr>
      <w:r>
        <w:rPr>
          <w:rFonts w:ascii="Times New Roman" w:hAnsi="Times New Roman"/>
          <w:position w:val="2"/>
        </w:rPr>
        <w:t>T</w:t>
      </w:r>
      <w:r>
        <w:rPr>
          <w:rFonts w:ascii="Times New Roman" w:hAnsi="Times New Roman"/>
          <w:position w:val="2"/>
          <w:vertAlign w:val="subscript"/>
        </w:rPr>
        <w:t>G</w:t>
      </w:r>
      <w:r>
        <w:rPr>
          <w:rFonts w:ascii="Times New Roman" w:hAnsi="Times New Roman"/>
          <w:position w:val="2"/>
        </w:rPr>
        <w:t>——</w:t>
      </w:r>
      <w:r>
        <w:rPr>
          <w:rFonts w:hint="eastAsia"/>
          <w:position w:val="2"/>
        </w:rPr>
        <w:t>气体温度，</w:t>
      </w:r>
      <w:r>
        <w:rPr>
          <w:rFonts w:ascii="Times New Roman" w:hAnsi="Times New Roman"/>
          <w:position w:val="2"/>
        </w:rPr>
        <w:t>K</w:t>
      </w:r>
      <w:r>
        <w:rPr>
          <w:rFonts w:hint="eastAsia"/>
          <w:position w:val="2"/>
        </w:rPr>
        <w:t>；</w:t>
      </w:r>
    </w:p>
    <w:p w:rsidR="00B04AE3" w:rsidRDefault="00B04AE3">
      <w:pPr>
        <w:pStyle w:val="BodyText"/>
        <w:spacing w:before="160"/>
        <w:ind w:left="1997"/>
      </w:pPr>
      <w:r>
        <w:rPr>
          <w:rFonts w:ascii="Times New Roman" w:hAnsi="Times New Roman"/>
        </w:rPr>
        <w:t>Y ——</w:t>
      </w:r>
      <w:r>
        <w:rPr>
          <w:rFonts w:hint="eastAsia"/>
        </w:rPr>
        <w:t>流出系数，对于临界流</w:t>
      </w:r>
      <w:r>
        <w:t xml:space="preserve"> </w:t>
      </w:r>
      <w:r>
        <w:rPr>
          <w:rFonts w:ascii="Times New Roman" w:hAnsi="Times New Roman"/>
        </w:rPr>
        <w:t xml:space="preserve">Y=1.0 </w:t>
      </w:r>
      <w:r>
        <w:rPr>
          <w:rFonts w:hint="eastAsia"/>
        </w:rPr>
        <w:t>对于次临界流按下式计算：</w:t>
      </w:r>
    </w:p>
    <w:p w:rsidR="00B04AE3" w:rsidRDefault="00B04AE3">
      <w:pPr>
        <w:pStyle w:val="Default"/>
        <w:jc w:val="center"/>
      </w:pPr>
      <w:r>
        <w:rPr>
          <w:noProof/>
        </w:rPr>
        <w:pict>
          <v:shape id="图片 4" o:spid="_x0000_i1060" type="#_x0000_t75" alt="3" style="width:417pt;height:85.5pt;visibility:visible">
            <v:imagedata r:id="rId74" o:title=""/>
          </v:shape>
        </w:pict>
      </w:r>
    </w:p>
    <w:p w:rsidR="00B04AE3" w:rsidRDefault="00B04AE3">
      <w:pPr>
        <w:pStyle w:val="Default"/>
        <w:jc w:val="center"/>
      </w:pPr>
    </w:p>
    <w:p w:rsidR="00B04AE3" w:rsidRDefault="00B04AE3" w:rsidP="003446E2">
      <w:pPr>
        <w:spacing w:line="180" w:lineRule="exact"/>
        <w:ind w:firstLineChars="1100" w:firstLine="31680"/>
        <w:rPr>
          <w:b/>
          <w:sz w:val="24"/>
        </w:rPr>
      </w:pPr>
      <w:r>
        <w:rPr>
          <w:rFonts w:hint="eastAsia"/>
          <w:b/>
          <w:sz w:val="24"/>
        </w:rPr>
        <w:t>表</w:t>
      </w:r>
      <w:r>
        <w:rPr>
          <w:b/>
          <w:sz w:val="24"/>
        </w:rPr>
        <w:t xml:space="preserve"> </w:t>
      </w:r>
      <w:r>
        <w:rPr>
          <w:rFonts w:ascii="Times New Roman" w:eastAsia="Times New Roman"/>
          <w:b/>
          <w:sz w:val="24"/>
        </w:rPr>
        <w:t xml:space="preserve">3.2-3  </w:t>
      </w:r>
      <w:r>
        <w:rPr>
          <w:rFonts w:hint="eastAsia"/>
          <w:b/>
          <w:sz w:val="24"/>
        </w:rPr>
        <w:t>事故源废气污染物排放情况一览表</w:t>
      </w:r>
    </w:p>
    <w:tbl>
      <w:tblPr>
        <w:tblW w:w="8528" w:type="dxa"/>
        <w:tblInd w:w="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294"/>
        <w:gridCol w:w="630"/>
        <w:gridCol w:w="1100"/>
        <w:gridCol w:w="1022"/>
        <w:gridCol w:w="1021"/>
        <w:gridCol w:w="1137"/>
        <w:gridCol w:w="1187"/>
        <w:gridCol w:w="1137"/>
      </w:tblGrid>
      <w:tr w:rsidR="00B04AE3">
        <w:trPr>
          <w:trHeight w:val="545"/>
        </w:trPr>
        <w:tc>
          <w:tcPr>
            <w:tcW w:w="1294" w:type="dxa"/>
            <w:shd w:val="clear" w:color="auto" w:fill="DFDFDF"/>
          </w:tcPr>
          <w:p w:rsidR="00B04AE3" w:rsidRDefault="00B04AE3">
            <w:pPr>
              <w:pStyle w:val="TableParagraph"/>
              <w:spacing w:before="135"/>
              <w:ind w:left="204" w:right="194"/>
              <w:rPr>
                <w:b/>
                <w:sz w:val="21"/>
              </w:rPr>
            </w:pPr>
            <w:r>
              <w:rPr>
                <w:rFonts w:hint="eastAsia"/>
                <w:b/>
                <w:sz w:val="21"/>
              </w:rPr>
              <w:t>装置</w:t>
            </w:r>
          </w:p>
        </w:tc>
        <w:tc>
          <w:tcPr>
            <w:tcW w:w="630" w:type="dxa"/>
            <w:shd w:val="clear" w:color="auto" w:fill="DFDFDF"/>
          </w:tcPr>
          <w:p w:rsidR="00B04AE3" w:rsidRDefault="00B04AE3">
            <w:pPr>
              <w:pStyle w:val="TableParagraph"/>
              <w:spacing w:before="1"/>
              <w:ind w:left="107"/>
              <w:jc w:val="left"/>
              <w:rPr>
                <w:b/>
                <w:sz w:val="21"/>
              </w:rPr>
            </w:pPr>
            <w:r>
              <w:rPr>
                <w:rFonts w:hint="eastAsia"/>
                <w:b/>
                <w:spacing w:val="-2"/>
                <w:w w:val="95"/>
                <w:sz w:val="21"/>
              </w:rPr>
              <w:t>事故</w:t>
            </w:r>
          </w:p>
          <w:p w:rsidR="00B04AE3" w:rsidRDefault="00B04AE3">
            <w:pPr>
              <w:pStyle w:val="TableParagraph"/>
              <w:spacing w:before="2" w:line="253" w:lineRule="exact"/>
              <w:ind w:left="107"/>
              <w:jc w:val="left"/>
              <w:rPr>
                <w:b/>
                <w:sz w:val="21"/>
              </w:rPr>
            </w:pPr>
            <w:r>
              <w:rPr>
                <w:rFonts w:hint="eastAsia"/>
                <w:b/>
                <w:spacing w:val="-2"/>
                <w:w w:val="95"/>
                <w:sz w:val="21"/>
              </w:rPr>
              <w:t>类型</w:t>
            </w:r>
          </w:p>
        </w:tc>
        <w:tc>
          <w:tcPr>
            <w:tcW w:w="1100" w:type="dxa"/>
            <w:shd w:val="clear" w:color="auto" w:fill="DFDFDF"/>
          </w:tcPr>
          <w:p w:rsidR="00B04AE3" w:rsidRDefault="00B04AE3">
            <w:pPr>
              <w:pStyle w:val="TableParagraph"/>
              <w:spacing w:before="135"/>
              <w:ind w:left="110" w:right="94"/>
              <w:rPr>
                <w:b/>
                <w:sz w:val="21"/>
              </w:rPr>
            </w:pPr>
            <w:r>
              <w:rPr>
                <w:rFonts w:hint="eastAsia"/>
                <w:b/>
                <w:sz w:val="21"/>
              </w:rPr>
              <w:t>泄漏类型</w:t>
            </w:r>
          </w:p>
        </w:tc>
        <w:tc>
          <w:tcPr>
            <w:tcW w:w="1022" w:type="dxa"/>
            <w:shd w:val="clear" w:color="auto" w:fill="DFDFDF"/>
          </w:tcPr>
          <w:p w:rsidR="00B04AE3" w:rsidRDefault="00B04AE3">
            <w:pPr>
              <w:pStyle w:val="TableParagraph"/>
              <w:spacing w:before="1"/>
              <w:ind w:left="305"/>
              <w:jc w:val="left"/>
              <w:rPr>
                <w:b/>
                <w:sz w:val="21"/>
              </w:rPr>
            </w:pPr>
            <w:r>
              <w:rPr>
                <w:rFonts w:hint="eastAsia"/>
                <w:b/>
                <w:spacing w:val="-2"/>
                <w:w w:val="95"/>
                <w:sz w:val="21"/>
              </w:rPr>
              <w:t>泄漏</w:t>
            </w:r>
          </w:p>
          <w:p w:rsidR="00B04AE3" w:rsidRDefault="00B04AE3">
            <w:pPr>
              <w:pStyle w:val="TableParagraph"/>
              <w:spacing w:before="2" w:line="253" w:lineRule="exact"/>
              <w:ind w:left="305"/>
              <w:jc w:val="left"/>
              <w:rPr>
                <w:b/>
                <w:sz w:val="21"/>
              </w:rPr>
            </w:pPr>
            <w:r>
              <w:rPr>
                <w:rFonts w:hint="eastAsia"/>
                <w:b/>
                <w:spacing w:val="-2"/>
                <w:w w:val="95"/>
                <w:sz w:val="21"/>
              </w:rPr>
              <w:t>速率</w:t>
            </w:r>
          </w:p>
        </w:tc>
        <w:tc>
          <w:tcPr>
            <w:tcW w:w="1021" w:type="dxa"/>
            <w:shd w:val="clear" w:color="auto" w:fill="DFDFDF"/>
          </w:tcPr>
          <w:p w:rsidR="00B04AE3" w:rsidRDefault="00B04AE3">
            <w:pPr>
              <w:pStyle w:val="TableParagraph"/>
              <w:spacing w:before="1"/>
              <w:ind w:left="303"/>
              <w:jc w:val="left"/>
              <w:rPr>
                <w:b/>
                <w:sz w:val="21"/>
              </w:rPr>
            </w:pPr>
            <w:r>
              <w:rPr>
                <w:rFonts w:hint="eastAsia"/>
                <w:b/>
                <w:spacing w:val="-2"/>
                <w:w w:val="95"/>
                <w:sz w:val="21"/>
              </w:rPr>
              <w:t>持续</w:t>
            </w:r>
          </w:p>
          <w:p w:rsidR="00B04AE3" w:rsidRDefault="00B04AE3">
            <w:pPr>
              <w:pStyle w:val="TableParagraph"/>
              <w:spacing w:before="2" w:line="253" w:lineRule="exact"/>
              <w:ind w:left="303"/>
              <w:jc w:val="left"/>
              <w:rPr>
                <w:b/>
                <w:sz w:val="21"/>
              </w:rPr>
            </w:pPr>
            <w:r>
              <w:rPr>
                <w:rFonts w:hint="eastAsia"/>
                <w:b/>
                <w:spacing w:val="-2"/>
                <w:w w:val="95"/>
                <w:sz w:val="21"/>
              </w:rPr>
              <w:t>时间</w:t>
            </w:r>
          </w:p>
        </w:tc>
        <w:tc>
          <w:tcPr>
            <w:tcW w:w="1137" w:type="dxa"/>
            <w:shd w:val="clear" w:color="auto" w:fill="DFDFDF"/>
          </w:tcPr>
          <w:p w:rsidR="00B04AE3" w:rsidRDefault="00B04AE3">
            <w:pPr>
              <w:pStyle w:val="TableParagraph"/>
              <w:spacing w:before="135"/>
              <w:ind w:left="129" w:right="114"/>
              <w:rPr>
                <w:b/>
                <w:sz w:val="21"/>
              </w:rPr>
            </w:pPr>
            <w:r>
              <w:rPr>
                <w:rFonts w:hint="eastAsia"/>
                <w:b/>
                <w:sz w:val="21"/>
              </w:rPr>
              <w:t>泄漏总量</w:t>
            </w:r>
          </w:p>
        </w:tc>
        <w:tc>
          <w:tcPr>
            <w:tcW w:w="1187" w:type="dxa"/>
            <w:shd w:val="clear" w:color="auto" w:fill="DFDFDF"/>
          </w:tcPr>
          <w:p w:rsidR="00B04AE3" w:rsidRDefault="00B04AE3">
            <w:pPr>
              <w:pStyle w:val="TableParagraph"/>
              <w:spacing w:before="135"/>
              <w:ind w:left="180"/>
              <w:jc w:val="left"/>
              <w:rPr>
                <w:b/>
                <w:sz w:val="21"/>
              </w:rPr>
            </w:pPr>
            <w:r>
              <w:rPr>
                <w:rFonts w:hint="eastAsia"/>
                <w:b/>
                <w:sz w:val="21"/>
              </w:rPr>
              <w:t>挥发速率</w:t>
            </w:r>
          </w:p>
        </w:tc>
        <w:tc>
          <w:tcPr>
            <w:tcW w:w="1137" w:type="dxa"/>
            <w:shd w:val="clear" w:color="auto" w:fill="DFDFDF"/>
          </w:tcPr>
          <w:p w:rsidR="00B04AE3" w:rsidRDefault="00B04AE3">
            <w:pPr>
              <w:pStyle w:val="TableParagraph"/>
              <w:spacing w:before="135"/>
              <w:ind w:left="258"/>
              <w:jc w:val="left"/>
              <w:rPr>
                <w:b/>
                <w:sz w:val="21"/>
              </w:rPr>
            </w:pPr>
            <w:r>
              <w:rPr>
                <w:rFonts w:hint="eastAsia"/>
                <w:b/>
                <w:sz w:val="21"/>
              </w:rPr>
              <w:t>挥发量</w:t>
            </w:r>
          </w:p>
        </w:tc>
      </w:tr>
      <w:tr w:rsidR="00B04AE3">
        <w:trPr>
          <w:trHeight w:val="396"/>
        </w:trPr>
        <w:tc>
          <w:tcPr>
            <w:tcW w:w="1294" w:type="dxa"/>
          </w:tcPr>
          <w:p w:rsidR="00B04AE3" w:rsidRDefault="00B04AE3">
            <w:pPr>
              <w:pStyle w:val="TableParagraph"/>
              <w:spacing w:before="63"/>
              <w:ind w:left="204" w:right="199"/>
              <w:rPr>
                <w:sz w:val="21"/>
              </w:rPr>
            </w:pPr>
            <w:r>
              <w:rPr>
                <w:rFonts w:hint="eastAsia"/>
                <w:sz w:val="21"/>
              </w:rPr>
              <w:t>硫酸储罐</w:t>
            </w:r>
          </w:p>
        </w:tc>
        <w:tc>
          <w:tcPr>
            <w:tcW w:w="630" w:type="dxa"/>
          </w:tcPr>
          <w:p w:rsidR="00B04AE3" w:rsidRDefault="00B04AE3">
            <w:pPr>
              <w:pStyle w:val="TableParagraph"/>
              <w:spacing w:before="63"/>
              <w:ind w:right="94"/>
              <w:jc w:val="right"/>
              <w:rPr>
                <w:sz w:val="21"/>
              </w:rPr>
            </w:pPr>
            <w:r>
              <w:rPr>
                <w:rFonts w:hint="eastAsia"/>
                <w:w w:val="95"/>
                <w:sz w:val="21"/>
              </w:rPr>
              <w:t>泄漏</w:t>
            </w:r>
          </w:p>
        </w:tc>
        <w:tc>
          <w:tcPr>
            <w:tcW w:w="1100" w:type="dxa"/>
          </w:tcPr>
          <w:p w:rsidR="00B04AE3" w:rsidRDefault="00B04AE3">
            <w:pPr>
              <w:pStyle w:val="TableParagraph"/>
              <w:spacing w:before="63"/>
              <w:ind w:left="106" w:right="95"/>
              <w:rPr>
                <w:sz w:val="21"/>
              </w:rPr>
            </w:pPr>
            <w:r>
              <w:rPr>
                <w:rFonts w:hint="eastAsia"/>
                <w:sz w:val="21"/>
              </w:rPr>
              <w:t>液体泄漏</w:t>
            </w:r>
          </w:p>
        </w:tc>
        <w:tc>
          <w:tcPr>
            <w:tcW w:w="1022" w:type="dxa"/>
          </w:tcPr>
          <w:p w:rsidR="00B04AE3" w:rsidRDefault="00B04AE3">
            <w:pPr>
              <w:pStyle w:val="TableParagraph"/>
              <w:spacing w:before="77"/>
              <w:ind w:left="108"/>
              <w:jc w:val="left"/>
              <w:rPr>
                <w:rFonts w:ascii="Times New Roman"/>
                <w:sz w:val="21"/>
              </w:rPr>
            </w:pPr>
            <w:r>
              <w:rPr>
                <w:rFonts w:ascii="Times New Roman"/>
                <w:sz w:val="21"/>
              </w:rPr>
              <w:t>1.038kg/s</w:t>
            </w:r>
          </w:p>
        </w:tc>
        <w:tc>
          <w:tcPr>
            <w:tcW w:w="1021" w:type="dxa"/>
          </w:tcPr>
          <w:p w:rsidR="00B04AE3" w:rsidRDefault="00B04AE3">
            <w:pPr>
              <w:pStyle w:val="TableParagraph"/>
              <w:spacing w:before="77"/>
              <w:ind w:left="221" w:right="212"/>
              <w:rPr>
                <w:rFonts w:ascii="Times New Roman"/>
                <w:sz w:val="21"/>
              </w:rPr>
            </w:pPr>
            <w:r>
              <w:rPr>
                <w:rFonts w:ascii="Times New Roman"/>
                <w:sz w:val="21"/>
              </w:rPr>
              <w:t>10min</w:t>
            </w:r>
          </w:p>
        </w:tc>
        <w:tc>
          <w:tcPr>
            <w:tcW w:w="1137" w:type="dxa"/>
          </w:tcPr>
          <w:p w:rsidR="00B04AE3" w:rsidRDefault="00B04AE3">
            <w:pPr>
              <w:pStyle w:val="TableParagraph"/>
              <w:spacing w:before="77"/>
              <w:ind w:left="120" w:right="114"/>
              <w:rPr>
                <w:rFonts w:ascii="Times New Roman"/>
                <w:sz w:val="21"/>
              </w:rPr>
            </w:pPr>
            <w:r>
              <w:rPr>
                <w:rFonts w:ascii="Times New Roman"/>
                <w:sz w:val="21"/>
              </w:rPr>
              <w:t>622.5kg</w:t>
            </w:r>
          </w:p>
        </w:tc>
        <w:tc>
          <w:tcPr>
            <w:tcW w:w="1187" w:type="dxa"/>
          </w:tcPr>
          <w:p w:rsidR="00B04AE3" w:rsidRDefault="00B04AE3">
            <w:pPr>
              <w:pStyle w:val="TableParagraph"/>
              <w:spacing w:before="77"/>
              <w:ind w:left="192"/>
              <w:jc w:val="left"/>
              <w:rPr>
                <w:rFonts w:ascii="Times New Roman"/>
                <w:sz w:val="21"/>
              </w:rPr>
            </w:pPr>
            <w:r>
              <w:rPr>
                <w:rFonts w:ascii="Times New Roman"/>
                <w:sz w:val="21"/>
              </w:rPr>
              <w:t>1.013kg/s</w:t>
            </w:r>
          </w:p>
        </w:tc>
        <w:tc>
          <w:tcPr>
            <w:tcW w:w="1137" w:type="dxa"/>
          </w:tcPr>
          <w:p w:rsidR="00B04AE3" w:rsidRDefault="00B04AE3">
            <w:pPr>
              <w:pStyle w:val="TableParagraph"/>
              <w:spacing w:before="77"/>
              <w:ind w:left="226"/>
              <w:jc w:val="left"/>
              <w:rPr>
                <w:rFonts w:ascii="Times New Roman"/>
                <w:sz w:val="21"/>
              </w:rPr>
            </w:pPr>
            <w:r>
              <w:rPr>
                <w:rFonts w:ascii="Times New Roman"/>
                <w:sz w:val="21"/>
              </w:rPr>
              <w:t>607.5kg</w:t>
            </w:r>
          </w:p>
        </w:tc>
      </w:tr>
      <w:tr w:rsidR="00B04AE3">
        <w:trPr>
          <w:trHeight w:val="397"/>
        </w:trPr>
        <w:tc>
          <w:tcPr>
            <w:tcW w:w="1294" w:type="dxa"/>
          </w:tcPr>
          <w:p w:rsidR="00B04AE3" w:rsidRDefault="00B04AE3">
            <w:pPr>
              <w:pStyle w:val="TableParagraph"/>
              <w:spacing w:before="61"/>
              <w:ind w:left="204" w:right="199"/>
              <w:rPr>
                <w:sz w:val="21"/>
              </w:rPr>
            </w:pPr>
            <w:r>
              <w:rPr>
                <w:rFonts w:hint="eastAsia"/>
                <w:sz w:val="21"/>
              </w:rPr>
              <w:t>液氮钢瓶</w:t>
            </w:r>
          </w:p>
        </w:tc>
        <w:tc>
          <w:tcPr>
            <w:tcW w:w="630" w:type="dxa"/>
          </w:tcPr>
          <w:p w:rsidR="00B04AE3" w:rsidRDefault="00B04AE3">
            <w:pPr>
              <w:pStyle w:val="TableParagraph"/>
              <w:spacing w:before="61"/>
              <w:ind w:right="94"/>
              <w:jc w:val="right"/>
              <w:rPr>
                <w:sz w:val="21"/>
              </w:rPr>
            </w:pPr>
            <w:r>
              <w:rPr>
                <w:rFonts w:hint="eastAsia"/>
                <w:w w:val="95"/>
                <w:sz w:val="21"/>
              </w:rPr>
              <w:t>泄漏</w:t>
            </w:r>
          </w:p>
        </w:tc>
        <w:tc>
          <w:tcPr>
            <w:tcW w:w="1100" w:type="dxa"/>
          </w:tcPr>
          <w:p w:rsidR="00B04AE3" w:rsidRDefault="00B04AE3">
            <w:pPr>
              <w:pStyle w:val="TableParagraph"/>
              <w:spacing w:before="61"/>
              <w:ind w:left="106" w:right="95"/>
              <w:rPr>
                <w:sz w:val="21"/>
              </w:rPr>
            </w:pPr>
            <w:r>
              <w:rPr>
                <w:rFonts w:hint="eastAsia"/>
                <w:sz w:val="21"/>
              </w:rPr>
              <w:t>液体泄漏</w:t>
            </w:r>
          </w:p>
        </w:tc>
        <w:tc>
          <w:tcPr>
            <w:tcW w:w="1022" w:type="dxa"/>
          </w:tcPr>
          <w:p w:rsidR="00B04AE3" w:rsidRDefault="00B04AE3">
            <w:pPr>
              <w:pStyle w:val="TableParagraph"/>
              <w:spacing w:before="75"/>
              <w:ind w:left="108"/>
              <w:jc w:val="left"/>
              <w:rPr>
                <w:rFonts w:ascii="Times New Roman"/>
                <w:sz w:val="21"/>
              </w:rPr>
            </w:pPr>
            <w:r>
              <w:rPr>
                <w:rFonts w:ascii="Times New Roman"/>
                <w:sz w:val="21"/>
              </w:rPr>
              <w:t>0.262kg/s</w:t>
            </w:r>
          </w:p>
        </w:tc>
        <w:tc>
          <w:tcPr>
            <w:tcW w:w="1021" w:type="dxa"/>
          </w:tcPr>
          <w:p w:rsidR="00B04AE3" w:rsidRDefault="00B04AE3">
            <w:pPr>
              <w:pStyle w:val="TableParagraph"/>
              <w:spacing w:before="75"/>
              <w:ind w:left="221" w:right="212"/>
              <w:rPr>
                <w:rFonts w:ascii="Times New Roman"/>
                <w:sz w:val="21"/>
              </w:rPr>
            </w:pPr>
            <w:r>
              <w:rPr>
                <w:rFonts w:ascii="Times New Roman"/>
                <w:sz w:val="21"/>
              </w:rPr>
              <w:t>10min</w:t>
            </w:r>
          </w:p>
        </w:tc>
        <w:tc>
          <w:tcPr>
            <w:tcW w:w="1137" w:type="dxa"/>
          </w:tcPr>
          <w:p w:rsidR="00B04AE3" w:rsidRDefault="00B04AE3">
            <w:pPr>
              <w:pStyle w:val="TableParagraph"/>
              <w:spacing w:before="75"/>
              <w:ind w:left="120" w:right="114"/>
              <w:rPr>
                <w:rFonts w:ascii="Times New Roman"/>
                <w:sz w:val="21"/>
              </w:rPr>
            </w:pPr>
            <w:r>
              <w:rPr>
                <w:rFonts w:ascii="Times New Roman"/>
                <w:sz w:val="21"/>
              </w:rPr>
              <w:t>157.2kg</w:t>
            </w:r>
          </w:p>
        </w:tc>
        <w:tc>
          <w:tcPr>
            <w:tcW w:w="1187" w:type="dxa"/>
          </w:tcPr>
          <w:p w:rsidR="00B04AE3" w:rsidRDefault="00B04AE3">
            <w:pPr>
              <w:pStyle w:val="TableParagraph"/>
              <w:spacing w:before="75"/>
              <w:ind w:left="242"/>
              <w:jc w:val="left"/>
              <w:rPr>
                <w:rFonts w:ascii="Times New Roman"/>
                <w:sz w:val="21"/>
              </w:rPr>
            </w:pPr>
            <w:r>
              <w:rPr>
                <w:rFonts w:ascii="Times New Roman"/>
                <w:sz w:val="21"/>
              </w:rPr>
              <w:t>0.33kg/s</w:t>
            </w:r>
          </w:p>
        </w:tc>
        <w:tc>
          <w:tcPr>
            <w:tcW w:w="1137" w:type="dxa"/>
          </w:tcPr>
          <w:p w:rsidR="00B04AE3" w:rsidRDefault="00B04AE3">
            <w:pPr>
              <w:pStyle w:val="TableParagraph"/>
              <w:spacing w:before="75"/>
              <w:ind w:left="226"/>
              <w:jc w:val="left"/>
              <w:rPr>
                <w:rFonts w:ascii="Times New Roman"/>
                <w:sz w:val="21"/>
              </w:rPr>
            </w:pPr>
            <w:r>
              <w:rPr>
                <w:rFonts w:ascii="Times New Roman"/>
                <w:sz w:val="21"/>
              </w:rPr>
              <w:t>157.2kg</w:t>
            </w:r>
          </w:p>
        </w:tc>
      </w:tr>
    </w:tbl>
    <w:p w:rsidR="00B04AE3" w:rsidRDefault="00B04AE3">
      <w:pPr>
        <w:pStyle w:val="ListParagraph"/>
        <w:numPr>
          <w:ilvl w:val="2"/>
          <w:numId w:val="43"/>
        </w:numPr>
        <w:tabs>
          <w:tab w:val="left" w:pos="1518"/>
        </w:tabs>
        <w:spacing w:before="1"/>
        <w:rPr>
          <w:b/>
          <w:sz w:val="24"/>
        </w:rPr>
      </w:pPr>
      <w:bookmarkStart w:id="323" w:name="3.2.4__非正常排放事故分析"/>
      <w:bookmarkEnd w:id="323"/>
      <w:r>
        <w:rPr>
          <w:rFonts w:hint="eastAsia"/>
          <w:b/>
          <w:sz w:val="24"/>
        </w:rPr>
        <w:t>非正常排放事故分析</w:t>
      </w:r>
    </w:p>
    <w:p w:rsidR="00B04AE3" w:rsidRDefault="00B04AE3">
      <w:pPr>
        <w:pStyle w:val="BodyText"/>
        <w:spacing w:before="64" w:line="364" w:lineRule="auto"/>
        <w:ind w:left="797" w:right="792" w:firstLine="463"/>
        <w:jc w:val="both"/>
        <w:rPr>
          <w:spacing w:val="-6"/>
          <w:szCs w:val="22"/>
        </w:rPr>
      </w:pPr>
      <w:r>
        <w:rPr>
          <w:rFonts w:hint="eastAsia"/>
          <w:spacing w:val="-6"/>
          <w:szCs w:val="22"/>
        </w:rPr>
        <w:t>南昌海立电器有限公司非正常工况主要考虑废气处理设备故障和废水处理设施故障；废气处理设备导致废气超标排放会对周围环境造成一定影响；废水处理设施故障导致废水超标排放会对下游水体带来一定的影响。</w:t>
      </w:r>
      <w:bookmarkStart w:id="324" w:name="3.3_释放环境风险物质的扩散途径、涉及环境风险防控与应急措施、应急资源情况分析"/>
      <w:bookmarkEnd w:id="324"/>
    </w:p>
    <w:p w:rsidR="00B04AE3" w:rsidRDefault="00B04AE3">
      <w:pPr>
        <w:pStyle w:val="Heading2"/>
        <w:numPr>
          <w:ilvl w:val="1"/>
          <w:numId w:val="43"/>
        </w:numPr>
        <w:tabs>
          <w:tab w:val="left" w:pos="1357"/>
        </w:tabs>
        <w:spacing w:before="65"/>
        <w:ind w:hanging="559"/>
      </w:pPr>
      <w:r>
        <w:rPr>
          <w:rFonts w:hint="eastAsia"/>
        </w:rPr>
        <w:t>释放环境风险物质的扩散途径、涉及环境风险防控与应急措施、应急资源情况分析</w:t>
      </w:r>
    </w:p>
    <w:p w:rsidR="00B04AE3" w:rsidRDefault="00B04AE3">
      <w:pPr>
        <w:pStyle w:val="Heading3"/>
        <w:spacing w:before="159"/>
        <w:ind w:left="1277"/>
      </w:pPr>
      <w:bookmarkStart w:id="325" w:name="3.3.1_环境风险物质泄漏事故的扩散途径、影响程度预测分析"/>
      <w:bookmarkStart w:id="326" w:name="_bookmark111"/>
      <w:bookmarkEnd w:id="325"/>
      <w:bookmarkEnd w:id="326"/>
      <w:r>
        <w:rPr>
          <w:rFonts w:ascii="Times New Roman" w:eastAsia="Times New Roman"/>
        </w:rPr>
        <w:t>3.3.1</w:t>
      </w:r>
      <w:r>
        <w:rPr>
          <w:rFonts w:ascii="Times New Roman" w:eastAsia="Times New Roman"/>
          <w:spacing w:val="59"/>
        </w:rPr>
        <w:t xml:space="preserve"> </w:t>
      </w:r>
      <w:r>
        <w:rPr>
          <w:rFonts w:hint="eastAsia"/>
        </w:rPr>
        <w:t>环境风险物质泄漏事故的扩散途径、影响程度预测分析</w:t>
      </w:r>
    </w:p>
    <w:p w:rsidR="00B04AE3" w:rsidRDefault="00B04AE3">
      <w:pPr>
        <w:spacing w:before="158"/>
        <w:ind w:left="1356"/>
        <w:rPr>
          <w:sz w:val="24"/>
        </w:rPr>
      </w:pPr>
      <w:r>
        <w:rPr>
          <w:rFonts w:hint="eastAsia"/>
          <w:b/>
          <w:sz w:val="24"/>
        </w:rPr>
        <w:t>（</w:t>
      </w:r>
      <w:r>
        <w:rPr>
          <w:rFonts w:ascii="Times New Roman" w:eastAsia="Times New Roman"/>
          <w:b/>
          <w:sz w:val="24"/>
        </w:rPr>
        <w:t>1</w:t>
      </w:r>
      <w:r>
        <w:rPr>
          <w:rFonts w:hint="eastAsia"/>
          <w:b/>
          <w:sz w:val="24"/>
        </w:rPr>
        <w:t>）硫酸泄漏事故</w:t>
      </w:r>
      <w:r>
        <w:rPr>
          <w:rFonts w:hint="eastAsia"/>
          <w:sz w:val="24"/>
        </w:rPr>
        <w:t>：</w:t>
      </w:r>
    </w:p>
    <w:p w:rsidR="00B04AE3" w:rsidRDefault="00B04AE3">
      <w:pPr>
        <w:pStyle w:val="ListParagraph"/>
        <w:numPr>
          <w:ilvl w:val="0"/>
          <w:numId w:val="44"/>
        </w:numPr>
        <w:tabs>
          <w:tab w:val="left" w:pos="1953"/>
        </w:tabs>
        <w:spacing w:before="160"/>
        <w:rPr>
          <w:sz w:val="24"/>
        </w:rPr>
      </w:pPr>
      <w:r>
        <w:rPr>
          <w:rFonts w:hint="eastAsia"/>
          <w:spacing w:val="-4"/>
          <w:sz w:val="24"/>
        </w:rPr>
        <w:t>计算模式</w:t>
      </w:r>
    </w:p>
    <w:p w:rsidR="00B04AE3" w:rsidRDefault="00B04AE3">
      <w:pPr>
        <w:pStyle w:val="BodyText"/>
        <w:spacing w:before="158"/>
        <w:ind w:left="1356"/>
      </w:pPr>
      <w:r>
        <w:rPr>
          <w:rFonts w:hint="eastAsia"/>
        </w:rPr>
        <w:t>在事故后果计算中采用多烟团模式：</w:t>
      </w:r>
    </w:p>
    <w:p w:rsidR="00B04AE3" w:rsidRDefault="00B04AE3">
      <w:pPr>
        <w:pStyle w:val="BodyText"/>
        <w:spacing w:before="160"/>
        <w:ind w:left="1356"/>
        <w:jc w:val="center"/>
        <w:rPr>
          <w:rFonts w:ascii="Times New Roman" w:hAnsi="Times New Roman"/>
        </w:rPr>
      </w:pPr>
      <w:r w:rsidRPr="00E43F4D">
        <w:rPr>
          <w:rFonts w:ascii="Times New Roman" w:hAnsi="Times New Roman"/>
          <w:noProof/>
          <w:lang w:val="en-US"/>
        </w:rPr>
        <w:pict>
          <v:shape id="图片 5" o:spid="_x0000_i1061" type="#_x0000_t75" alt="4" style="width:459pt;height:48.75pt;visibility:visible">
            <v:imagedata r:id="rId75" o:title=""/>
          </v:shape>
        </w:pict>
      </w:r>
    </w:p>
    <w:p w:rsidR="00B04AE3" w:rsidRDefault="00B04AE3">
      <w:pPr>
        <w:pStyle w:val="BodyText"/>
        <w:spacing w:before="160"/>
        <w:ind w:left="1356"/>
      </w:pPr>
      <w:r>
        <w:rPr>
          <w:rFonts w:ascii="Times New Roman" w:hAnsi="Times New Roman"/>
        </w:rPr>
        <w:t>C——</w:t>
      </w:r>
      <w:r>
        <w:rPr>
          <w:rFonts w:hint="eastAsia"/>
        </w:rPr>
        <w:t>下风向地面坐标处的空气中污染物浓度（</w:t>
      </w:r>
      <w:r>
        <w:rPr>
          <w:rFonts w:ascii="Times New Roman" w:hAnsi="Times New Roman"/>
        </w:rPr>
        <w:t>mg/m</w:t>
      </w:r>
      <w:r>
        <w:rPr>
          <w:rFonts w:ascii="Times New Roman" w:hAnsi="Times New Roman"/>
          <w:position w:val="8"/>
          <w:sz w:val="15"/>
        </w:rPr>
        <w:t>3</w:t>
      </w:r>
      <w:r>
        <w:rPr>
          <w:rFonts w:hint="eastAsia"/>
        </w:rPr>
        <w:t>）；</w:t>
      </w:r>
    </w:p>
    <w:p w:rsidR="00B04AE3" w:rsidRDefault="00B04AE3">
      <w:pPr>
        <w:pStyle w:val="BodyText"/>
        <w:spacing w:before="161"/>
        <w:ind w:left="1356"/>
      </w:pPr>
      <w:r>
        <w:rPr>
          <w:rFonts w:ascii="Times New Roman" w:hAnsi="Times New Roman"/>
        </w:rPr>
        <w:t>x</w:t>
      </w:r>
      <w:r>
        <w:rPr>
          <w:rFonts w:hint="eastAsia"/>
        </w:rPr>
        <w:t>，</w:t>
      </w:r>
      <w:r>
        <w:rPr>
          <w:rFonts w:ascii="Times New Roman" w:hAnsi="Times New Roman"/>
        </w:rPr>
        <w:t>y</w:t>
      </w:r>
      <w:r>
        <w:rPr>
          <w:rFonts w:hint="eastAsia"/>
        </w:rPr>
        <w:t>，</w:t>
      </w:r>
      <w:r>
        <w:rPr>
          <w:rFonts w:ascii="Times New Roman" w:hAnsi="Times New Roman"/>
        </w:rPr>
        <w:t>z——</w:t>
      </w:r>
      <w:r>
        <w:rPr>
          <w:rFonts w:hint="eastAsia"/>
        </w:rPr>
        <w:t>烟团中心坐标；</w:t>
      </w:r>
    </w:p>
    <w:p w:rsidR="00B04AE3" w:rsidRDefault="00B04AE3">
      <w:pPr>
        <w:pStyle w:val="BodyText"/>
        <w:spacing w:before="158"/>
        <w:ind w:left="1356"/>
        <w:rPr>
          <w:rFonts w:ascii="Symbol" w:hAnsi="Symbol"/>
          <w:i/>
          <w:position w:val="14"/>
          <w:sz w:val="25"/>
        </w:rPr>
      </w:pPr>
      <w:r>
        <w:rPr>
          <w:rFonts w:ascii="Times New Roman" w:hAnsi="Times New Roman"/>
        </w:rPr>
        <w:t>Q——</w:t>
      </w:r>
      <w:r>
        <w:rPr>
          <w:rFonts w:hint="eastAsia"/>
        </w:rPr>
        <w:t>事故期间烟团的排放量；</w:t>
      </w:r>
    </w:p>
    <w:p w:rsidR="00B04AE3" w:rsidRDefault="00B04AE3">
      <w:pPr>
        <w:pStyle w:val="ListParagraph"/>
        <w:tabs>
          <w:tab w:val="left" w:pos="1953"/>
        </w:tabs>
        <w:ind w:left="1356" w:firstLine="0"/>
        <w:rPr>
          <w:sz w:val="24"/>
        </w:rPr>
      </w:pPr>
      <w:r>
        <w:rPr>
          <w:rFonts w:ascii="Symbol" w:hAnsi="Symbol"/>
          <w:i/>
          <w:position w:val="14"/>
          <w:sz w:val="25"/>
        </w:rPr>
        <w:t></w:t>
      </w:r>
      <w:r>
        <w:rPr>
          <w:rFonts w:ascii="Times New Roman" w:hAnsi="Times New Roman"/>
          <w:position w:val="8"/>
          <w:sz w:val="13"/>
        </w:rPr>
        <w:t>x</w:t>
      </w:r>
      <w:r>
        <w:rPr>
          <w:rFonts w:hint="eastAsia"/>
          <w:position w:val="14"/>
          <w:sz w:val="24"/>
        </w:rPr>
        <w:t>、</w:t>
      </w:r>
      <w:r>
        <w:rPr>
          <w:rFonts w:ascii="Symbol" w:hAnsi="Symbol"/>
          <w:i/>
          <w:position w:val="14"/>
          <w:sz w:val="25"/>
        </w:rPr>
        <w:t></w:t>
      </w:r>
      <w:r>
        <w:rPr>
          <w:rFonts w:ascii="Times New Roman" w:hAnsi="Times New Roman"/>
          <w:i/>
          <w:position w:val="8"/>
          <w:sz w:val="13"/>
        </w:rPr>
        <w:t>y</w:t>
      </w:r>
      <w:r>
        <w:rPr>
          <w:rFonts w:hint="eastAsia"/>
          <w:position w:val="14"/>
          <w:sz w:val="24"/>
        </w:rPr>
        <w:t>、</w:t>
      </w:r>
      <w:r>
        <w:rPr>
          <w:rFonts w:ascii="Symbol" w:hAnsi="Symbol"/>
          <w:i/>
          <w:position w:val="14"/>
          <w:sz w:val="25"/>
        </w:rPr>
        <w:t></w:t>
      </w:r>
      <w:r>
        <w:rPr>
          <w:rFonts w:ascii="Times New Roman" w:hAnsi="Times New Roman"/>
          <w:i/>
          <w:position w:val="8"/>
          <w:sz w:val="13"/>
        </w:rPr>
        <w:t xml:space="preserve">z </w:t>
      </w:r>
      <w:r>
        <w:rPr>
          <w:rFonts w:ascii="Times New Roman" w:hAnsi="Times New Roman"/>
          <w:sz w:val="24"/>
        </w:rPr>
        <w:t>——x</w:t>
      </w:r>
      <w:r>
        <w:rPr>
          <w:rFonts w:hint="eastAsia"/>
          <w:sz w:val="24"/>
        </w:rPr>
        <w:t>、</w:t>
      </w:r>
      <w:r>
        <w:rPr>
          <w:rFonts w:ascii="Times New Roman" w:hAnsi="Times New Roman"/>
          <w:sz w:val="24"/>
        </w:rPr>
        <w:t>y</w:t>
      </w:r>
      <w:r>
        <w:rPr>
          <w:rFonts w:hint="eastAsia"/>
          <w:sz w:val="24"/>
        </w:rPr>
        <w:t>、</w:t>
      </w:r>
      <w:r>
        <w:rPr>
          <w:rFonts w:ascii="Times New Roman" w:hAnsi="Times New Roman"/>
          <w:sz w:val="24"/>
        </w:rPr>
        <w:t xml:space="preserve">z </w:t>
      </w:r>
      <w:r>
        <w:rPr>
          <w:rFonts w:hint="eastAsia"/>
          <w:sz w:val="24"/>
        </w:rPr>
        <w:t>方向的扩散参数</w:t>
      </w:r>
    </w:p>
    <w:p w:rsidR="00B04AE3" w:rsidRDefault="00B04AE3">
      <w:pPr>
        <w:pStyle w:val="ListParagraph"/>
        <w:numPr>
          <w:ilvl w:val="0"/>
          <w:numId w:val="44"/>
        </w:numPr>
        <w:tabs>
          <w:tab w:val="left" w:pos="1953"/>
        </w:tabs>
        <w:rPr>
          <w:sz w:val="24"/>
        </w:rPr>
      </w:pPr>
      <w:r>
        <w:rPr>
          <w:rFonts w:hint="eastAsia"/>
          <w:spacing w:val="-4"/>
          <w:sz w:val="24"/>
        </w:rPr>
        <w:t>预测结果</w:t>
      </w:r>
    </w:p>
    <w:p w:rsidR="00B04AE3" w:rsidRDefault="00B04AE3">
      <w:pPr>
        <w:pStyle w:val="BodyText"/>
        <w:spacing w:before="160"/>
        <w:ind w:left="1356"/>
      </w:pPr>
      <w:r>
        <w:rPr>
          <w:rFonts w:hint="eastAsia"/>
        </w:rPr>
        <w:t>①泄漏事故预测结果</w:t>
      </w:r>
    </w:p>
    <w:p w:rsidR="00B04AE3" w:rsidRDefault="00B04AE3">
      <w:pPr>
        <w:pStyle w:val="BodyText"/>
        <w:spacing w:before="64" w:line="364" w:lineRule="auto"/>
        <w:ind w:left="797" w:right="792" w:firstLine="463"/>
        <w:jc w:val="both"/>
        <w:rPr>
          <w:spacing w:val="-6"/>
          <w:szCs w:val="22"/>
        </w:rPr>
      </w:pPr>
      <w:r>
        <w:rPr>
          <w:rFonts w:hint="eastAsia"/>
          <w:spacing w:val="-6"/>
          <w:szCs w:val="22"/>
        </w:rPr>
        <w:t>本次评价考虑泄漏时间为</w:t>
      </w:r>
      <w:r>
        <w:rPr>
          <w:spacing w:val="-6"/>
          <w:szCs w:val="22"/>
        </w:rPr>
        <w:t xml:space="preserve"> 10min</w:t>
      </w:r>
      <w:r>
        <w:rPr>
          <w:rFonts w:hint="eastAsia"/>
          <w:spacing w:val="-6"/>
          <w:szCs w:val="22"/>
        </w:rPr>
        <w:t>，事故排放预测选取</w:t>
      </w:r>
      <w:r>
        <w:rPr>
          <w:spacing w:val="-6"/>
          <w:szCs w:val="22"/>
        </w:rPr>
        <w:t>D</w:t>
      </w:r>
      <w:r>
        <w:rPr>
          <w:rFonts w:hint="eastAsia"/>
          <w:spacing w:val="-6"/>
          <w:szCs w:val="22"/>
        </w:rPr>
        <w:t>、</w:t>
      </w:r>
      <w:r>
        <w:rPr>
          <w:spacing w:val="-6"/>
          <w:szCs w:val="22"/>
        </w:rPr>
        <w:t>E</w:t>
      </w:r>
      <w:r>
        <w:rPr>
          <w:rFonts w:hint="eastAsia"/>
          <w:spacing w:val="-6"/>
          <w:szCs w:val="22"/>
        </w:rPr>
        <w:t>、</w:t>
      </w:r>
      <w:r>
        <w:rPr>
          <w:spacing w:val="-6"/>
          <w:szCs w:val="22"/>
        </w:rPr>
        <w:t xml:space="preserve">F </w:t>
      </w:r>
      <w:r>
        <w:rPr>
          <w:rFonts w:hint="eastAsia"/>
          <w:spacing w:val="-6"/>
          <w:szCs w:val="22"/>
        </w:rPr>
        <w:t>三类稳定度，</w:t>
      </w:r>
      <w:r>
        <w:rPr>
          <w:spacing w:val="-6"/>
          <w:szCs w:val="22"/>
        </w:rPr>
        <w:t xml:space="preserve"> </w:t>
      </w:r>
      <w:r>
        <w:rPr>
          <w:rFonts w:hint="eastAsia"/>
          <w:spacing w:val="-6"/>
          <w:szCs w:val="22"/>
        </w:rPr>
        <w:t>小风、有风气象条件下事故发生后</w:t>
      </w:r>
      <w:r>
        <w:rPr>
          <w:spacing w:val="-6"/>
          <w:szCs w:val="22"/>
        </w:rPr>
        <w:t xml:space="preserve"> 5min</w:t>
      </w:r>
      <w:r>
        <w:rPr>
          <w:rFonts w:hint="eastAsia"/>
          <w:spacing w:val="-6"/>
          <w:szCs w:val="22"/>
        </w:rPr>
        <w:t>、</w:t>
      </w:r>
      <w:r>
        <w:rPr>
          <w:spacing w:val="-6"/>
          <w:szCs w:val="22"/>
        </w:rPr>
        <w:t>10min</w:t>
      </w:r>
      <w:r>
        <w:rPr>
          <w:rFonts w:hint="eastAsia"/>
          <w:spacing w:val="-6"/>
          <w:szCs w:val="22"/>
        </w:rPr>
        <w:t>、</w:t>
      </w:r>
      <w:r>
        <w:rPr>
          <w:spacing w:val="-6"/>
          <w:szCs w:val="22"/>
        </w:rPr>
        <w:t xml:space="preserve">15min </w:t>
      </w:r>
      <w:r>
        <w:rPr>
          <w:rFonts w:hint="eastAsia"/>
          <w:spacing w:val="-6"/>
          <w:szCs w:val="22"/>
        </w:rPr>
        <w:t>硫酸轴线浓度贡献值预测结果见表</w:t>
      </w:r>
      <w:r>
        <w:rPr>
          <w:spacing w:val="-6"/>
          <w:szCs w:val="22"/>
        </w:rPr>
        <w:t xml:space="preserve"> 3.2-4</w:t>
      </w:r>
      <w:r>
        <w:rPr>
          <w:rFonts w:hint="eastAsia"/>
          <w:spacing w:val="-6"/>
          <w:szCs w:val="22"/>
        </w:rPr>
        <w:t>。</w:t>
      </w:r>
    </w:p>
    <w:p w:rsidR="00B04AE3" w:rsidRDefault="00B04AE3">
      <w:pPr>
        <w:spacing w:after="4" w:line="304" w:lineRule="exact"/>
        <w:ind w:left="2122"/>
        <w:rPr>
          <w:b/>
          <w:sz w:val="24"/>
        </w:rPr>
      </w:pPr>
      <w:r>
        <w:rPr>
          <w:rFonts w:hint="eastAsia"/>
          <w:b/>
          <w:sz w:val="24"/>
        </w:rPr>
        <w:t>表</w:t>
      </w:r>
      <w:r>
        <w:rPr>
          <w:b/>
          <w:sz w:val="24"/>
        </w:rPr>
        <w:t xml:space="preserve"> </w:t>
      </w:r>
      <w:r>
        <w:rPr>
          <w:rFonts w:ascii="Times New Roman" w:eastAsia="Times New Roman"/>
          <w:b/>
          <w:sz w:val="24"/>
        </w:rPr>
        <w:t xml:space="preserve">3.2-4 </w:t>
      </w:r>
      <w:r>
        <w:rPr>
          <w:rFonts w:hint="eastAsia"/>
          <w:b/>
          <w:sz w:val="24"/>
        </w:rPr>
        <w:t>硫酸泄漏事故轴线小时浓度贡献值（</w:t>
      </w:r>
      <w:r>
        <w:rPr>
          <w:rFonts w:ascii="Times New Roman" w:eastAsia="Times New Roman"/>
          <w:b/>
          <w:sz w:val="24"/>
        </w:rPr>
        <w:t>mg/m</w:t>
      </w:r>
      <w:r>
        <w:rPr>
          <w:rFonts w:ascii="Times New Roman" w:eastAsia="Times New Roman"/>
          <w:b/>
          <w:position w:val="8"/>
          <w:sz w:val="15"/>
        </w:rPr>
        <w:t>3</w:t>
      </w:r>
      <w:r>
        <w:rPr>
          <w:rFonts w:hint="eastAsia"/>
          <w:b/>
          <w:sz w:val="24"/>
        </w:rPr>
        <w:t>）</w:t>
      </w:r>
    </w:p>
    <w:tbl>
      <w:tblPr>
        <w:tblW w:w="8603" w:type="dxa"/>
        <w:tblInd w:w="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409"/>
        <w:gridCol w:w="972"/>
        <w:gridCol w:w="428"/>
        <w:gridCol w:w="1102"/>
        <w:gridCol w:w="1388"/>
        <w:gridCol w:w="952"/>
        <w:gridCol w:w="1018"/>
        <w:gridCol w:w="1167"/>
        <w:gridCol w:w="1167"/>
      </w:tblGrid>
      <w:tr w:rsidR="00B04AE3">
        <w:trPr>
          <w:trHeight w:val="720"/>
        </w:trPr>
        <w:tc>
          <w:tcPr>
            <w:tcW w:w="409" w:type="dxa"/>
            <w:shd w:val="clear" w:color="auto" w:fill="DFDFDF"/>
          </w:tcPr>
          <w:p w:rsidR="00B04AE3" w:rsidRDefault="00B04AE3">
            <w:pPr>
              <w:pStyle w:val="TableParagraph"/>
              <w:spacing w:before="123" w:line="213" w:lineRule="auto"/>
              <w:ind w:left="98" w:right="89"/>
              <w:jc w:val="left"/>
              <w:rPr>
                <w:b/>
                <w:sz w:val="21"/>
              </w:rPr>
            </w:pPr>
            <w:r>
              <w:rPr>
                <w:rFonts w:hint="eastAsia"/>
                <w:b/>
                <w:sz w:val="21"/>
              </w:rPr>
              <w:t>序号</w:t>
            </w:r>
          </w:p>
        </w:tc>
        <w:tc>
          <w:tcPr>
            <w:tcW w:w="972" w:type="dxa"/>
            <w:shd w:val="clear" w:color="auto" w:fill="DFDFDF"/>
          </w:tcPr>
          <w:p w:rsidR="00B04AE3" w:rsidRDefault="00B04AE3">
            <w:pPr>
              <w:pStyle w:val="TableParagraph"/>
              <w:spacing w:before="100" w:line="255" w:lineRule="exact"/>
              <w:ind w:left="95" w:right="87"/>
              <w:rPr>
                <w:b/>
                <w:sz w:val="21"/>
              </w:rPr>
            </w:pPr>
            <w:r>
              <w:rPr>
                <w:rFonts w:hint="eastAsia"/>
                <w:b/>
                <w:sz w:val="21"/>
              </w:rPr>
              <w:t>风速</w:t>
            </w:r>
          </w:p>
          <w:p w:rsidR="00B04AE3" w:rsidRDefault="00B04AE3">
            <w:pPr>
              <w:pStyle w:val="TableParagraph"/>
              <w:spacing w:line="255" w:lineRule="exact"/>
              <w:ind w:left="97" w:right="87"/>
              <w:rPr>
                <w:b/>
                <w:sz w:val="21"/>
              </w:rPr>
            </w:pPr>
            <w:r>
              <w:rPr>
                <w:rFonts w:hint="eastAsia"/>
                <w:b/>
                <w:sz w:val="21"/>
              </w:rPr>
              <w:t>（</w:t>
            </w:r>
            <w:r>
              <w:rPr>
                <w:rFonts w:ascii="Times New Roman" w:eastAsia="Times New Roman"/>
                <w:b/>
                <w:sz w:val="21"/>
              </w:rPr>
              <w:t>m/s</w:t>
            </w:r>
            <w:r>
              <w:rPr>
                <w:rFonts w:hint="eastAsia"/>
                <w:b/>
                <w:sz w:val="21"/>
              </w:rPr>
              <w:t>）</w:t>
            </w:r>
          </w:p>
        </w:tc>
        <w:tc>
          <w:tcPr>
            <w:tcW w:w="428" w:type="dxa"/>
            <w:shd w:val="clear" w:color="auto" w:fill="DFDFDF"/>
          </w:tcPr>
          <w:p w:rsidR="00B04AE3" w:rsidRDefault="00B04AE3">
            <w:pPr>
              <w:pStyle w:val="TableParagraph"/>
              <w:spacing w:before="3" w:line="213" w:lineRule="auto"/>
              <w:ind w:left="109" w:right="97"/>
              <w:jc w:val="left"/>
              <w:rPr>
                <w:b/>
                <w:sz w:val="21"/>
              </w:rPr>
            </w:pPr>
            <w:r>
              <w:rPr>
                <w:rFonts w:hint="eastAsia"/>
                <w:b/>
                <w:sz w:val="21"/>
              </w:rPr>
              <w:t>稳定</w:t>
            </w:r>
          </w:p>
          <w:p w:rsidR="00B04AE3" w:rsidRDefault="00B04AE3">
            <w:pPr>
              <w:pStyle w:val="TableParagraph"/>
              <w:spacing w:line="217" w:lineRule="exact"/>
              <w:ind w:left="109"/>
              <w:jc w:val="left"/>
              <w:rPr>
                <w:b/>
                <w:sz w:val="21"/>
              </w:rPr>
            </w:pPr>
            <w:r>
              <w:rPr>
                <w:rFonts w:hint="eastAsia"/>
                <w:b/>
                <w:w w:val="99"/>
                <w:sz w:val="21"/>
              </w:rPr>
              <w:t>度</w:t>
            </w:r>
          </w:p>
        </w:tc>
        <w:tc>
          <w:tcPr>
            <w:tcW w:w="1102" w:type="dxa"/>
            <w:shd w:val="clear" w:color="auto" w:fill="DFDFDF"/>
          </w:tcPr>
          <w:p w:rsidR="00B04AE3" w:rsidRDefault="00B04AE3">
            <w:pPr>
              <w:pStyle w:val="TableParagraph"/>
              <w:spacing w:before="100" w:line="255" w:lineRule="exact"/>
              <w:ind w:left="130"/>
              <w:jc w:val="left"/>
              <w:rPr>
                <w:b/>
                <w:sz w:val="21"/>
              </w:rPr>
            </w:pPr>
            <w:r>
              <w:rPr>
                <w:rFonts w:hint="eastAsia"/>
                <w:b/>
                <w:w w:val="95"/>
                <w:sz w:val="21"/>
              </w:rPr>
              <w:t>预测时刻</w:t>
            </w:r>
          </w:p>
          <w:p w:rsidR="00B04AE3" w:rsidRDefault="00B04AE3">
            <w:pPr>
              <w:pStyle w:val="TableParagraph"/>
              <w:spacing w:line="255" w:lineRule="exact"/>
              <w:ind w:left="166"/>
              <w:jc w:val="left"/>
              <w:rPr>
                <w:b/>
                <w:sz w:val="21"/>
              </w:rPr>
            </w:pPr>
            <w:r>
              <w:rPr>
                <w:rFonts w:hint="eastAsia"/>
                <w:b/>
                <w:sz w:val="21"/>
              </w:rPr>
              <w:t>（</w:t>
            </w:r>
            <w:r>
              <w:rPr>
                <w:rFonts w:ascii="Times New Roman" w:eastAsia="Times New Roman"/>
                <w:b/>
                <w:sz w:val="21"/>
              </w:rPr>
              <w:t>min</w:t>
            </w:r>
            <w:r>
              <w:rPr>
                <w:rFonts w:hint="eastAsia"/>
                <w:b/>
                <w:sz w:val="21"/>
              </w:rPr>
              <w:t>）</w:t>
            </w:r>
          </w:p>
        </w:tc>
        <w:tc>
          <w:tcPr>
            <w:tcW w:w="1388" w:type="dxa"/>
            <w:shd w:val="clear" w:color="auto" w:fill="DFDFDF"/>
          </w:tcPr>
          <w:p w:rsidR="00B04AE3" w:rsidRDefault="00B04AE3">
            <w:pPr>
              <w:pStyle w:val="TableParagraph"/>
              <w:spacing w:before="123" w:line="213" w:lineRule="auto"/>
              <w:ind w:left="88" w:right="77" w:firstLine="79"/>
              <w:jc w:val="left"/>
              <w:rPr>
                <w:b/>
                <w:sz w:val="21"/>
              </w:rPr>
            </w:pPr>
            <w:r>
              <w:rPr>
                <w:rFonts w:hint="eastAsia"/>
                <w:b/>
                <w:sz w:val="21"/>
              </w:rPr>
              <w:t>最大落地浓度（</w:t>
            </w:r>
            <w:r>
              <w:rPr>
                <w:rFonts w:ascii="Times New Roman" w:eastAsia="Times New Roman"/>
                <w:b/>
                <w:sz w:val="21"/>
              </w:rPr>
              <w:t>mg/m</w:t>
            </w:r>
            <w:r>
              <w:rPr>
                <w:rFonts w:ascii="Times New Roman" w:eastAsia="Times New Roman"/>
                <w:b/>
                <w:position w:val="7"/>
                <w:sz w:val="13"/>
              </w:rPr>
              <w:t>3</w:t>
            </w:r>
            <w:r>
              <w:rPr>
                <w:rFonts w:hint="eastAsia"/>
                <w:b/>
                <w:sz w:val="21"/>
              </w:rPr>
              <w:t>）</w:t>
            </w:r>
          </w:p>
        </w:tc>
        <w:tc>
          <w:tcPr>
            <w:tcW w:w="952" w:type="dxa"/>
            <w:shd w:val="clear" w:color="auto" w:fill="DFDFDF"/>
          </w:tcPr>
          <w:p w:rsidR="00B04AE3" w:rsidRDefault="00B04AE3">
            <w:pPr>
              <w:pStyle w:val="TableParagraph"/>
              <w:spacing w:before="123" w:line="213" w:lineRule="auto"/>
              <w:ind w:left="73" w:right="30" w:firstLine="86"/>
              <w:jc w:val="left"/>
              <w:rPr>
                <w:b/>
                <w:sz w:val="21"/>
              </w:rPr>
            </w:pPr>
            <w:r>
              <w:rPr>
                <w:rFonts w:hint="eastAsia"/>
                <w:b/>
                <w:sz w:val="21"/>
              </w:rPr>
              <w:t>出现距离（</w:t>
            </w:r>
            <w:r>
              <w:rPr>
                <w:rFonts w:ascii="Times New Roman" w:eastAsia="Times New Roman"/>
                <w:b/>
                <w:sz w:val="21"/>
              </w:rPr>
              <w:t>m</w:t>
            </w:r>
            <w:r>
              <w:rPr>
                <w:rFonts w:hint="eastAsia"/>
                <w:b/>
                <w:sz w:val="21"/>
              </w:rPr>
              <w:t>）</w:t>
            </w:r>
          </w:p>
        </w:tc>
        <w:tc>
          <w:tcPr>
            <w:tcW w:w="1018" w:type="dxa"/>
            <w:shd w:val="clear" w:color="auto" w:fill="DFDFDF"/>
          </w:tcPr>
          <w:p w:rsidR="00B04AE3" w:rsidRDefault="00B04AE3">
            <w:pPr>
              <w:pStyle w:val="TableParagraph"/>
              <w:spacing w:before="3" w:line="213" w:lineRule="auto"/>
              <w:ind w:left="88" w:right="74"/>
              <w:rPr>
                <w:b/>
                <w:sz w:val="21"/>
              </w:rPr>
            </w:pPr>
            <w:r>
              <w:rPr>
                <w:rFonts w:hint="eastAsia"/>
                <w:b/>
                <w:spacing w:val="-4"/>
                <w:sz w:val="21"/>
              </w:rPr>
              <w:t>半致死浓</w:t>
            </w:r>
            <w:r>
              <w:rPr>
                <w:rFonts w:hint="eastAsia"/>
                <w:b/>
                <w:sz w:val="21"/>
              </w:rPr>
              <w:t>度范围</w:t>
            </w:r>
          </w:p>
          <w:p w:rsidR="00B04AE3" w:rsidRDefault="00B04AE3">
            <w:pPr>
              <w:pStyle w:val="TableParagraph"/>
              <w:spacing w:line="217" w:lineRule="exact"/>
              <w:ind w:left="84" w:right="74"/>
              <w:rPr>
                <w:b/>
                <w:sz w:val="21"/>
              </w:rPr>
            </w:pPr>
            <w:r>
              <w:rPr>
                <w:rFonts w:hint="eastAsia"/>
                <w:b/>
                <w:sz w:val="21"/>
              </w:rPr>
              <w:t>（</w:t>
            </w:r>
            <w:r>
              <w:rPr>
                <w:rFonts w:ascii="Times New Roman" w:eastAsia="Times New Roman"/>
                <w:b/>
                <w:sz w:val="21"/>
              </w:rPr>
              <w:t>m</w:t>
            </w:r>
            <w:r>
              <w:rPr>
                <w:rFonts w:hint="eastAsia"/>
                <w:b/>
                <w:sz w:val="21"/>
              </w:rPr>
              <w:t>）</w:t>
            </w:r>
          </w:p>
        </w:tc>
        <w:tc>
          <w:tcPr>
            <w:tcW w:w="1167" w:type="dxa"/>
            <w:shd w:val="clear" w:color="auto" w:fill="DFDFDF"/>
          </w:tcPr>
          <w:p w:rsidR="00B04AE3" w:rsidRDefault="00B04AE3">
            <w:pPr>
              <w:pStyle w:val="TableParagraph"/>
              <w:spacing w:before="3" w:line="213" w:lineRule="auto"/>
              <w:ind w:left="162" w:right="149"/>
              <w:jc w:val="left"/>
              <w:rPr>
                <w:b/>
                <w:sz w:val="21"/>
              </w:rPr>
            </w:pPr>
            <w:r>
              <w:rPr>
                <w:rFonts w:hint="eastAsia"/>
                <w:b/>
                <w:spacing w:val="-4"/>
                <w:sz w:val="21"/>
              </w:rPr>
              <w:t>短时间接</w:t>
            </w:r>
            <w:r>
              <w:rPr>
                <w:rFonts w:hint="eastAsia"/>
                <w:b/>
                <w:spacing w:val="-4"/>
                <w:w w:val="95"/>
                <w:sz w:val="21"/>
              </w:rPr>
              <w:t>触容许浓</w:t>
            </w:r>
          </w:p>
          <w:p w:rsidR="00B04AE3" w:rsidRDefault="00B04AE3">
            <w:pPr>
              <w:pStyle w:val="TableParagraph"/>
              <w:spacing w:line="217" w:lineRule="exact"/>
              <w:ind w:left="66"/>
              <w:jc w:val="left"/>
              <w:rPr>
                <w:rFonts w:ascii="Times New Roman" w:eastAsia="Times New Roman"/>
                <w:b/>
                <w:sz w:val="21"/>
              </w:rPr>
            </w:pPr>
            <w:r>
              <w:rPr>
                <w:rFonts w:hint="eastAsia"/>
                <w:b/>
                <w:spacing w:val="-29"/>
                <w:w w:val="95"/>
                <w:sz w:val="21"/>
              </w:rPr>
              <w:t>度范围</w:t>
            </w:r>
            <w:r>
              <w:rPr>
                <w:rFonts w:hint="eastAsia"/>
                <w:b/>
                <w:w w:val="95"/>
                <w:sz w:val="21"/>
              </w:rPr>
              <w:t>（</w:t>
            </w:r>
            <w:r>
              <w:rPr>
                <w:rFonts w:ascii="Times New Roman" w:eastAsia="Times New Roman"/>
                <w:b/>
                <w:w w:val="95"/>
                <w:sz w:val="21"/>
              </w:rPr>
              <w:t>m</w:t>
            </w:r>
          </w:p>
        </w:tc>
        <w:tc>
          <w:tcPr>
            <w:tcW w:w="1167" w:type="dxa"/>
            <w:shd w:val="clear" w:color="auto" w:fill="DFDFDF"/>
          </w:tcPr>
          <w:p w:rsidR="00B04AE3" w:rsidRDefault="00B04AE3">
            <w:pPr>
              <w:pStyle w:val="TableParagraph"/>
              <w:spacing w:line="235" w:lineRule="exact"/>
              <w:ind w:left="155"/>
              <w:jc w:val="left"/>
              <w:rPr>
                <w:b/>
                <w:sz w:val="21"/>
              </w:rPr>
            </w:pPr>
            <w:r>
              <w:rPr>
                <w:rFonts w:ascii="Times New Roman" w:eastAsia="Times New Roman"/>
                <w:b/>
                <w:sz w:val="21"/>
              </w:rPr>
              <w:t>LDLH</w:t>
            </w:r>
            <w:r>
              <w:rPr>
                <w:rFonts w:ascii="Times New Roman" w:eastAsia="Times New Roman"/>
                <w:b/>
                <w:spacing w:val="-7"/>
                <w:sz w:val="21"/>
              </w:rPr>
              <w:t xml:space="preserve"> </w:t>
            </w:r>
            <w:r>
              <w:rPr>
                <w:rFonts w:hint="eastAsia"/>
                <w:b/>
                <w:sz w:val="21"/>
              </w:rPr>
              <w:t>浓</w:t>
            </w:r>
          </w:p>
          <w:p w:rsidR="00B04AE3" w:rsidRDefault="00B04AE3">
            <w:pPr>
              <w:pStyle w:val="TableParagraph"/>
              <w:spacing w:line="240" w:lineRule="exact"/>
              <w:ind w:left="162"/>
              <w:jc w:val="left"/>
              <w:rPr>
                <w:b/>
                <w:sz w:val="21"/>
              </w:rPr>
            </w:pPr>
            <w:r>
              <w:rPr>
                <w:rFonts w:hint="eastAsia"/>
                <w:b/>
                <w:w w:val="95"/>
                <w:sz w:val="21"/>
              </w:rPr>
              <w:t>度出现范</w:t>
            </w:r>
          </w:p>
          <w:p w:rsidR="00B04AE3" w:rsidRDefault="00B04AE3">
            <w:pPr>
              <w:pStyle w:val="TableParagraph"/>
              <w:spacing w:line="225" w:lineRule="exact"/>
              <w:ind w:left="-172"/>
              <w:jc w:val="left"/>
              <w:rPr>
                <w:b/>
                <w:sz w:val="21"/>
              </w:rPr>
            </w:pPr>
            <w:r>
              <w:rPr>
                <w:rFonts w:hint="eastAsia"/>
                <w:b/>
                <w:sz w:val="21"/>
              </w:rPr>
              <w:t>）</w:t>
            </w:r>
            <w:r>
              <w:rPr>
                <w:b/>
                <w:spacing w:val="15"/>
                <w:sz w:val="21"/>
              </w:rPr>
              <w:t xml:space="preserve"> </w:t>
            </w:r>
            <w:r>
              <w:rPr>
                <w:rFonts w:hint="eastAsia"/>
                <w:b/>
                <w:spacing w:val="15"/>
                <w:sz w:val="21"/>
              </w:rPr>
              <w:t>围</w:t>
            </w:r>
            <w:r>
              <w:rPr>
                <w:rFonts w:hint="eastAsia"/>
                <w:b/>
                <w:sz w:val="21"/>
              </w:rPr>
              <w:t>（</w:t>
            </w:r>
            <w:r>
              <w:rPr>
                <w:rFonts w:ascii="Times New Roman" w:eastAsia="Times New Roman"/>
                <w:b/>
                <w:sz w:val="21"/>
              </w:rPr>
              <w:t>m</w:t>
            </w:r>
            <w:r>
              <w:rPr>
                <w:rFonts w:hint="eastAsia"/>
                <w:b/>
                <w:sz w:val="21"/>
              </w:rPr>
              <w:t>）</w:t>
            </w:r>
          </w:p>
        </w:tc>
      </w:tr>
      <w:tr w:rsidR="00B04AE3">
        <w:trPr>
          <w:trHeight w:val="340"/>
        </w:trPr>
        <w:tc>
          <w:tcPr>
            <w:tcW w:w="409" w:type="dxa"/>
          </w:tcPr>
          <w:p w:rsidR="00B04AE3" w:rsidRDefault="00B04AE3">
            <w:pPr>
              <w:pStyle w:val="TableParagraph"/>
              <w:spacing w:before="44"/>
              <w:ind w:right="141"/>
              <w:jc w:val="right"/>
              <w:rPr>
                <w:rFonts w:ascii="Times New Roman"/>
                <w:sz w:val="21"/>
              </w:rPr>
            </w:pPr>
            <w:r>
              <w:rPr>
                <w:rFonts w:ascii="Times New Roman"/>
                <w:w w:val="99"/>
                <w:sz w:val="21"/>
              </w:rPr>
              <w:t>1</w:t>
            </w:r>
          </w:p>
        </w:tc>
        <w:tc>
          <w:tcPr>
            <w:tcW w:w="972" w:type="dxa"/>
          </w:tcPr>
          <w:p w:rsidR="00B04AE3" w:rsidRDefault="00B04AE3">
            <w:pPr>
              <w:pStyle w:val="TableParagraph"/>
              <w:spacing w:before="44"/>
              <w:ind w:left="9"/>
              <w:rPr>
                <w:rFonts w:ascii="Times New Roman"/>
                <w:sz w:val="21"/>
              </w:rPr>
            </w:pPr>
            <w:r>
              <w:rPr>
                <w:rFonts w:ascii="Times New Roman"/>
                <w:w w:val="99"/>
                <w:sz w:val="21"/>
              </w:rPr>
              <w:t>1</w:t>
            </w:r>
          </w:p>
        </w:tc>
        <w:tc>
          <w:tcPr>
            <w:tcW w:w="428" w:type="dxa"/>
          </w:tcPr>
          <w:p w:rsidR="00B04AE3" w:rsidRDefault="00B04AE3">
            <w:pPr>
              <w:pStyle w:val="TableParagraph"/>
              <w:spacing w:before="44"/>
              <w:ind w:left="9"/>
              <w:rPr>
                <w:rFonts w:ascii="Times New Roman"/>
                <w:sz w:val="21"/>
              </w:rPr>
            </w:pPr>
            <w:r>
              <w:rPr>
                <w:rFonts w:ascii="Times New Roman"/>
                <w:w w:val="99"/>
                <w:sz w:val="21"/>
              </w:rPr>
              <w:t>D</w:t>
            </w:r>
          </w:p>
        </w:tc>
        <w:tc>
          <w:tcPr>
            <w:tcW w:w="1102" w:type="dxa"/>
          </w:tcPr>
          <w:p w:rsidR="00B04AE3" w:rsidRDefault="00B04AE3">
            <w:pPr>
              <w:pStyle w:val="TableParagraph"/>
              <w:spacing w:before="47"/>
              <w:ind w:left="7"/>
              <w:rPr>
                <w:rFonts w:ascii="Times New Roman"/>
                <w:sz w:val="21"/>
              </w:rPr>
            </w:pPr>
            <w:r>
              <w:rPr>
                <w:rFonts w:ascii="Times New Roman"/>
                <w:w w:val="99"/>
                <w:sz w:val="21"/>
              </w:rPr>
              <w:t>5</w:t>
            </w:r>
          </w:p>
        </w:tc>
        <w:tc>
          <w:tcPr>
            <w:tcW w:w="1388" w:type="dxa"/>
          </w:tcPr>
          <w:p w:rsidR="00B04AE3" w:rsidRDefault="00B04AE3">
            <w:pPr>
              <w:pStyle w:val="TableParagraph"/>
              <w:spacing w:before="47"/>
              <w:ind w:left="541" w:right="533"/>
              <w:rPr>
                <w:rFonts w:ascii="Times New Roman"/>
                <w:sz w:val="21"/>
              </w:rPr>
            </w:pPr>
            <w:r>
              <w:rPr>
                <w:rFonts w:ascii="Times New Roman"/>
                <w:sz w:val="21"/>
              </w:rPr>
              <w:t>0.0</w:t>
            </w:r>
          </w:p>
        </w:tc>
        <w:tc>
          <w:tcPr>
            <w:tcW w:w="952" w:type="dxa"/>
          </w:tcPr>
          <w:p w:rsidR="00B04AE3" w:rsidRDefault="00B04AE3">
            <w:pPr>
              <w:pStyle w:val="TableParagraph"/>
              <w:spacing w:before="47"/>
              <w:ind w:left="140" w:right="130"/>
              <w:rPr>
                <w:rFonts w:ascii="Times New Roman"/>
                <w:sz w:val="21"/>
              </w:rPr>
            </w:pPr>
            <w:r>
              <w:rPr>
                <w:rFonts w:ascii="Times New Roman"/>
                <w:sz w:val="21"/>
              </w:rPr>
              <w:t>214.6</w:t>
            </w:r>
          </w:p>
        </w:tc>
        <w:tc>
          <w:tcPr>
            <w:tcW w:w="1018" w:type="dxa"/>
          </w:tcPr>
          <w:p w:rsidR="00B04AE3" w:rsidRDefault="00B04AE3">
            <w:pPr>
              <w:pStyle w:val="TableParagraph"/>
              <w:spacing w:before="47"/>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7"/>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5"/>
              <w:ind w:right="141"/>
              <w:jc w:val="right"/>
              <w:rPr>
                <w:rFonts w:ascii="Times New Roman"/>
                <w:sz w:val="21"/>
              </w:rPr>
            </w:pPr>
            <w:r>
              <w:rPr>
                <w:rFonts w:ascii="Times New Roman"/>
                <w:w w:val="99"/>
                <w:sz w:val="21"/>
              </w:rPr>
              <w:t>2</w:t>
            </w:r>
          </w:p>
        </w:tc>
        <w:tc>
          <w:tcPr>
            <w:tcW w:w="972" w:type="dxa"/>
          </w:tcPr>
          <w:p w:rsidR="00B04AE3" w:rsidRDefault="00B04AE3">
            <w:pPr>
              <w:pStyle w:val="TableParagraph"/>
              <w:spacing w:before="45"/>
              <w:ind w:left="9"/>
              <w:rPr>
                <w:rFonts w:ascii="Times New Roman"/>
                <w:sz w:val="21"/>
              </w:rPr>
            </w:pPr>
            <w:r>
              <w:rPr>
                <w:rFonts w:ascii="Times New Roman"/>
                <w:w w:val="99"/>
                <w:sz w:val="21"/>
              </w:rPr>
              <w:t>1</w:t>
            </w:r>
          </w:p>
        </w:tc>
        <w:tc>
          <w:tcPr>
            <w:tcW w:w="428" w:type="dxa"/>
          </w:tcPr>
          <w:p w:rsidR="00B04AE3" w:rsidRDefault="00B04AE3">
            <w:pPr>
              <w:pStyle w:val="TableParagraph"/>
              <w:spacing w:before="45"/>
              <w:ind w:left="9"/>
              <w:rPr>
                <w:rFonts w:ascii="Times New Roman"/>
                <w:sz w:val="21"/>
              </w:rPr>
            </w:pPr>
            <w:r>
              <w:rPr>
                <w:rFonts w:ascii="Times New Roman"/>
                <w:w w:val="99"/>
                <w:sz w:val="21"/>
              </w:rPr>
              <w:t>D</w:t>
            </w:r>
          </w:p>
        </w:tc>
        <w:tc>
          <w:tcPr>
            <w:tcW w:w="1102" w:type="dxa"/>
          </w:tcPr>
          <w:p w:rsidR="00B04AE3" w:rsidRDefault="00B04AE3">
            <w:pPr>
              <w:pStyle w:val="TableParagraph"/>
              <w:spacing w:before="47"/>
              <w:ind w:left="424" w:right="417"/>
              <w:rPr>
                <w:rFonts w:ascii="Times New Roman"/>
                <w:sz w:val="21"/>
              </w:rPr>
            </w:pPr>
            <w:r>
              <w:rPr>
                <w:rFonts w:ascii="Times New Roman"/>
                <w:sz w:val="21"/>
              </w:rPr>
              <w:t>15</w:t>
            </w:r>
          </w:p>
        </w:tc>
        <w:tc>
          <w:tcPr>
            <w:tcW w:w="1388" w:type="dxa"/>
          </w:tcPr>
          <w:p w:rsidR="00B04AE3" w:rsidRDefault="00B04AE3">
            <w:pPr>
              <w:pStyle w:val="TableParagraph"/>
              <w:spacing w:before="47"/>
              <w:ind w:left="541" w:right="533"/>
              <w:rPr>
                <w:rFonts w:ascii="Times New Roman"/>
                <w:sz w:val="21"/>
              </w:rPr>
            </w:pPr>
            <w:r>
              <w:rPr>
                <w:rFonts w:ascii="Times New Roman"/>
                <w:sz w:val="21"/>
              </w:rPr>
              <w:t>0.3</w:t>
            </w:r>
          </w:p>
        </w:tc>
        <w:tc>
          <w:tcPr>
            <w:tcW w:w="952" w:type="dxa"/>
          </w:tcPr>
          <w:p w:rsidR="00B04AE3" w:rsidRDefault="00B04AE3">
            <w:pPr>
              <w:pStyle w:val="TableParagraph"/>
              <w:spacing w:before="47"/>
              <w:ind w:left="140" w:right="130"/>
              <w:rPr>
                <w:rFonts w:ascii="Times New Roman"/>
                <w:sz w:val="21"/>
              </w:rPr>
            </w:pPr>
            <w:r>
              <w:rPr>
                <w:rFonts w:ascii="Times New Roman"/>
                <w:sz w:val="21"/>
              </w:rPr>
              <w:t>460.1</w:t>
            </w:r>
          </w:p>
        </w:tc>
        <w:tc>
          <w:tcPr>
            <w:tcW w:w="1018" w:type="dxa"/>
          </w:tcPr>
          <w:p w:rsidR="00B04AE3" w:rsidRDefault="00B04AE3">
            <w:pPr>
              <w:pStyle w:val="TableParagraph"/>
              <w:spacing w:before="47"/>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7"/>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5"/>
              <w:ind w:right="141"/>
              <w:jc w:val="right"/>
              <w:rPr>
                <w:rFonts w:ascii="Times New Roman"/>
                <w:sz w:val="21"/>
              </w:rPr>
            </w:pPr>
            <w:r>
              <w:rPr>
                <w:rFonts w:ascii="Times New Roman"/>
                <w:w w:val="99"/>
                <w:sz w:val="21"/>
              </w:rPr>
              <w:t>3</w:t>
            </w:r>
          </w:p>
        </w:tc>
        <w:tc>
          <w:tcPr>
            <w:tcW w:w="972" w:type="dxa"/>
          </w:tcPr>
          <w:p w:rsidR="00B04AE3" w:rsidRDefault="00B04AE3">
            <w:pPr>
              <w:pStyle w:val="TableParagraph"/>
              <w:spacing w:before="45"/>
              <w:ind w:left="9"/>
              <w:rPr>
                <w:rFonts w:ascii="Times New Roman"/>
                <w:sz w:val="21"/>
              </w:rPr>
            </w:pPr>
            <w:r>
              <w:rPr>
                <w:rFonts w:ascii="Times New Roman"/>
                <w:w w:val="99"/>
                <w:sz w:val="21"/>
              </w:rPr>
              <w:t>1</w:t>
            </w:r>
          </w:p>
        </w:tc>
        <w:tc>
          <w:tcPr>
            <w:tcW w:w="428" w:type="dxa"/>
          </w:tcPr>
          <w:p w:rsidR="00B04AE3" w:rsidRDefault="00B04AE3">
            <w:pPr>
              <w:pStyle w:val="TableParagraph"/>
              <w:spacing w:before="45"/>
              <w:ind w:left="9"/>
              <w:rPr>
                <w:rFonts w:ascii="Times New Roman"/>
                <w:sz w:val="21"/>
              </w:rPr>
            </w:pPr>
            <w:r>
              <w:rPr>
                <w:rFonts w:ascii="Times New Roman"/>
                <w:w w:val="99"/>
                <w:sz w:val="21"/>
              </w:rPr>
              <w:t>D</w:t>
            </w:r>
          </w:p>
        </w:tc>
        <w:tc>
          <w:tcPr>
            <w:tcW w:w="1102" w:type="dxa"/>
          </w:tcPr>
          <w:p w:rsidR="00B04AE3" w:rsidRDefault="00B04AE3">
            <w:pPr>
              <w:pStyle w:val="TableParagraph"/>
              <w:spacing w:before="47"/>
              <w:ind w:left="424" w:right="417"/>
              <w:rPr>
                <w:rFonts w:ascii="Times New Roman"/>
                <w:sz w:val="21"/>
              </w:rPr>
            </w:pPr>
            <w:r>
              <w:rPr>
                <w:rFonts w:ascii="Times New Roman"/>
                <w:sz w:val="21"/>
              </w:rPr>
              <w:t>30</w:t>
            </w:r>
          </w:p>
        </w:tc>
        <w:tc>
          <w:tcPr>
            <w:tcW w:w="1388" w:type="dxa"/>
          </w:tcPr>
          <w:p w:rsidR="00B04AE3" w:rsidRDefault="00B04AE3">
            <w:pPr>
              <w:pStyle w:val="TableParagraph"/>
              <w:spacing w:before="47"/>
              <w:ind w:left="541" w:right="533"/>
              <w:rPr>
                <w:rFonts w:ascii="Times New Roman"/>
                <w:sz w:val="21"/>
              </w:rPr>
            </w:pPr>
            <w:r>
              <w:rPr>
                <w:rFonts w:ascii="Times New Roman"/>
                <w:sz w:val="21"/>
              </w:rPr>
              <w:t>0.2</w:t>
            </w:r>
          </w:p>
        </w:tc>
        <w:tc>
          <w:tcPr>
            <w:tcW w:w="952" w:type="dxa"/>
          </w:tcPr>
          <w:p w:rsidR="00B04AE3" w:rsidRDefault="00B04AE3">
            <w:pPr>
              <w:pStyle w:val="TableParagraph"/>
              <w:spacing w:before="47"/>
              <w:ind w:left="140" w:right="132"/>
              <w:rPr>
                <w:rFonts w:ascii="Times New Roman"/>
                <w:sz w:val="21"/>
              </w:rPr>
            </w:pPr>
            <w:r>
              <w:rPr>
                <w:rFonts w:ascii="Times New Roman"/>
                <w:sz w:val="21"/>
              </w:rPr>
              <w:t>1,067.5</w:t>
            </w:r>
          </w:p>
        </w:tc>
        <w:tc>
          <w:tcPr>
            <w:tcW w:w="1018" w:type="dxa"/>
          </w:tcPr>
          <w:p w:rsidR="00B04AE3" w:rsidRDefault="00B04AE3">
            <w:pPr>
              <w:pStyle w:val="TableParagraph"/>
              <w:spacing w:before="47"/>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7"/>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5"/>
              <w:ind w:right="141"/>
              <w:jc w:val="right"/>
              <w:rPr>
                <w:rFonts w:ascii="Times New Roman"/>
                <w:sz w:val="21"/>
              </w:rPr>
            </w:pPr>
            <w:r>
              <w:rPr>
                <w:rFonts w:ascii="Times New Roman"/>
                <w:w w:val="99"/>
                <w:sz w:val="21"/>
              </w:rPr>
              <w:t>4</w:t>
            </w:r>
          </w:p>
        </w:tc>
        <w:tc>
          <w:tcPr>
            <w:tcW w:w="972" w:type="dxa"/>
          </w:tcPr>
          <w:p w:rsidR="00B04AE3" w:rsidRDefault="00B04AE3">
            <w:pPr>
              <w:pStyle w:val="TableParagraph"/>
              <w:spacing w:before="45"/>
              <w:ind w:left="96" w:right="87"/>
              <w:rPr>
                <w:rFonts w:ascii="Times New Roman"/>
                <w:sz w:val="21"/>
              </w:rPr>
            </w:pPr>
            <w:r>
              <w:rPr>
                <w:rFonts w:ascii="Times New Roman"/>
                <w:sz w:val="21"/>
              </w:rPr>
              <w:t>1.5</w:t>
            </w:r>
          </w:p>
        </w:tc>
        <w:tc>
          <w:tcPr>
            <w:tcW w:w="428" w:type="dxa"/>
          </w:tcPr>
          <w:p w:rsidR="00B04AE3" w:rsidRDefault="00B04AE3">
            <w:pPr>
              <w:pStyle w:val="TableParagraph"/>
              <w:spacing w:before="45"/>
              <w:ind w:left="9"/>
              <w:rPr>
                <w:rFonts w:ascii="Times New Roman"/>
                <w:sz w:val="21"/>
              </w:rPr>
            </w:pPr>
            <w:r>
              <w:rPr>
                <w:rFonts w:ascii="Times New Roman"/>
                <w:w w:val="99"/>
                <w:sz w:val="21"/>
              </w:rPr>
              <w:t>D</w:t>
            </w:r>
          </w:p>
        </w:tc>
        <w:tc>
          <w:tcPr>
            <w:tcW w:w="1102" w:type="dxa"/>
          </w:tcPr>
          <w:p w:rsidR="00B04AE3" w:rsidRDefault="00B04AE3">
            <w:pPr>
              <w:pStyle w:val="TableParagraph"/>
              <w:spacing w:before="48"/>
              <w:ind w:left="7"/>
              <w:rPr>
                <w:rFonts w:ascii="Times New Roman"/>
                <w:sz w:val="21"/>
              </w:rPr>
            </w:pPr>
            <w:r>
              <w:rPr>
                <w:rFonts w:ascii="Times New Roman"/>
                <w:w w:val="99"/>
                <w:sz w:val="21"/>
              </w:rPr>
              <w:t>5</w:t>
            </w:r>
          </w:p>
        </w:tc>
        <w:tc>
          <w:tcPr>
            <w:tcW w:w="1388" w:type="dxa"/>
          </w:tcPr>
          <w:p w:rsidR="00B04AE3" w:rsidRDefault="00B04AE3">
            <w:pPr>
              <w:pStyle w:val="TableParagraph"/>
              <w:spacing w:before="48"/>
              <w:ind w:left="541" w:right="533"/>
              <w:rPr>
                <w:rFonts w:ascii="Times New Roman"/>
                <w:sz w:val="21"/>
              </w:rPr>
            </w:pPr>
            <w:r>
              <w:rPr>
                <w:rFonts w:ascii="Times New Roman"/>
                <w:sz w:val="21"/>
              </w:rPr>
              <w:t>0.0</w:t>
            </w:r>
          </w:p>
        </w:tc>
        <w:tc>
          <w:tcPr>
            <w:tcW w:w="952" w:type="dxa"/>
          </w:tcPr>
          <w:p w:rsidR="00B04AE3" w:rsidRDefault="00B04AE3">
            <w:pPr>
              <w:pStyle w:val="TableParagraph"/>
              <w:spacing w:before="48"/>
              <w:ind w:left="140" w:right="130"/>
              <w:rPr>
                <w:rFonts w:ascii="Times New Roman"/>
                <w:sz w:val="21"/>
              </w:rPr>
            </w:pPr>
            <w:r>
              <w:rPr>
                <w:rFonts w:ascii="Times New Roman"/>
                <w:sz w:val="21"/>
              </w:rPr>
              <w:t>714.9</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6"/>
              <w:ind w:right="141"/>
              <w:jc w:val="right"/>
              <w:rPr>
                <w:rFonts w:ascii="Times New Roman"/>
                <w:sz w:val="21"/>
              </w:rPr>
            </w:pPr>
            <w:r>
              <w:rPr>
                <w:rFonts w:ascii="Times New Roman"/>
                <w:w w:val="99"/>
                <w:sz w:val="21"/>
              </w:rPr>
              <w:t>5</w:t>
            </w:r>
          </w:p>
        </w:tc>
        <w:tc>
          <w:tcPr>
            <w:tcW w:w="972" w:type="dxa"/>
          </w:tcPr>
          <w:p w:rsidR="00B04AE3" w:rsidRDefault="00B04AE3">
            <w:pPr>
              <w:pStyle w:val="TableParagraph"/>
              <w:spacing w:before="46"/>
              <w:ind w:left="96" w:right="87"/>
              <w:rPr>
                <w:rFonts w:ascii="Times New Roman"/>
                <w:sz w:val="21"/>
              </w:rPr>
            </w:pPr>
            <w:r>
              <w:rPr>
                <w:rFonts w:ascii="Times New Roman"/>
                <w:sz w:val="21"/>
              </w:rPr>
              <w:t>1.5</w:t>
            </w:r>
          </w:p>
        </w:tc>
        <w:tc>
          <w:tcPr>
            <w:tcW w:w="428" w:type="dxa"/>
          </w:tcPr>
          <w:p w:rsidR="00B04AE3" w:rsidRDefault="00B04AE3">
            <w:pPr>
              <w:pStyle w:val="TableParagraph"/>
              <w:spacing w:before="46"/>
              <w:ind w:left="9"/>
              <w:rPr>
                <w:rFonts w:ascii="Times New Roman"/>
                <w:sz w:val="21"/>
              </w:rPr>
            </w:pPr>
            <w:r>
              <w:rPr>
                <w:rFonts w:ascii="Times New Roman"/>
                <w:w w:val="99"/>
                <w:sz w:val="21"/>
              </w:rPr>
              <w:t>D</w:t>
            </w:r>
          </w:p>
        </w:tc>
        <w:tc>
          <w:tcPr>
            <w:tcW w:w="1102" w:type="dxa"/>
          </w:tcPr>
          <w:p w:rsidR="00B04AE3" w:rsidRDefault="00B04AE3">
            <w:pPr>
              <w:pStyle w:val="TableParagraph"/>
              <w:spacing w:before="48"/>
              <w:ind w:left="424" w:right="417"/>
              <w:rPr>
                <w:rFonts w:ascii="Times New Roman"/>
                <w:sz w:val="21"/>
              </w:rPr>
            </w:pPr>
            <w:r>
              <w:rPr>
                <w:rFonts w:ascii="Times New Roman"/>
                <w:sz w:val="21"/>
              </w:rPr>
              <w:t>15</w:t>
            </w:r>
          </w:p>
        </w:tc>
        <w:tc>
          <w:tcPr>
            <w:tcW w:w="1388" w:type="dxa"/>
          </w:tcPr>
          <w:p w:rsidR="00B04AE3" w:rsidRDefault="00B04AE3">
            <w:pPr>
              <w:pStyle w:val="TableParagraph"/>
              <w:spacing w:before="48"/>
              <w:ind w:left="541" w:right="533"/>
              <w:rPr>
                <w:rFonts w:ascii="Times New Roman"/>
                <w:sz w:val="21"/>
              </w:rPr>
            </w:pPr>
            <w:r>
              <w:rPr>
                <w:rFonts w:ascii="Times New Roman"/>
                <w:sz w:val="21"/>
              </w:rPr>
              <w:t>0.0</w:t>
            </w:r>
          </w:p>
        </w:tc>
        <w:tc>
          <w:tcPr>
            <w:tcW w:w="952" w:type="dxa"/>
          </w:tcPr>
          <w:p w:rsidR="00B04AE3" w:rsidRDefault="00B04AE3">
            <w:pPr>
              <w:pStyle w:val="TableParagraph"/>
              <w:spacing w:before="48"/>
              <w:ind w:left="140" w:right="132"/>
              <w:rPr>
                <w:rFonts w:ascii="Times New Roman"/>
                <w:sz w:val="21"/>
              </w:rPr>
            </w:pPr>
            <w:r>
              <w:rPr>
                <w:rFonts w:ascii="Times New Roman"/>
                <w:sz w:val="21"/>
              </w:rPr>
              <w:t>1,087.5</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4"/>
              <w:ind w:right="141"/>
              <w:jc w:val="right"/>
              <w:rPr>
                <w:rFonts w:ascii="Times New Roman"/>
                <w:sz w:val="21"/>
              </w:rPr>
            </w:pPr>
            <w:r>
              <w:rPr>
                <w:rFonts w:ascii="Times New Roman"/>
                <w:w w:val="99"/>
                <w:sz w:val="21"/>
              </w:rPr>
              <w:t>6</w:t>
            </w:r>
          </w:p>
        </w:tc>
        <w:tc>
          <w:tcPr>
            <w:tcW w:w="972" w:type="dxa"/>
          </w:tcPr>
          <w:p w:rsidR="00B04AE3" w:rsidRDefault="00B04AE3">
            <w:pPr>
              <w:pStyle w:val="TableParagraph"/>
              <w:spacing w:before="44"/>
              <w:ind w:left="96" w:right="87"/>
              <w:rPr>
                <w:rFonts w:ascii="Times New Roman"/>
                <w:sz w:val="21"/>
              </w:rPr>
            </w:pPr>
            <w:r>
              <w:rPr>
                <w:rFonts w:ascii="Times New Roman"/>
                <w:sz w:val="21"/>
              </w:rPr>
              <w:t>1.5</w:t>
            </w:r>
          </w:p>
        </w:tc>
        <w:tc>
          <w:tcPr>
            <w:tcW w:w="428" w:type="dxa"/>
          </w:tcPr>
          <w:p w:rsidR="00B04AE3" w:rsidRDefault="00B04AE3">
            <w:pPr>
              <w:pStyle w:val="TableParagraph"/>
              <w:spacing w:before="44"/>
              <w:ind w:left="9"/>
              <w:rPr>
                <w:rFonts w:ascii="Times New Roman"/>
                <w:sz w:val="21"/>
              </w:rPr>
            </w:pPr>
            <w:r>
              <w:rPr>
                <w:rFonts w:ascii="Times New Roman"/>
                <w:w w:val="99"/>
                <w:sz w:val="21"/>
              </w:rPr>
              <w:t>D</w:t>
            </w:r>
          </w:p>
        </w:tc>
        <w:tc>
          <w:tcPr>
            <w:tcW w:w="1102" w:type="dxa"/>
          </w:tcPr>
          <w:p w:rsidR="00B04AE3" w:rsidRDefault="00B04AE3">
            <w:pPr>
              <w:pStyle w:val="TableParagraph"/>
              <w:spacing w:before="49"/>
              <w:ind w:left="424" w:right="417"/>
              <w:rPr>
                <w:rFonts w:ascii="Times New Roman"/>
                <w:sz w:val="21"/>
              </w:rPr>
            </w:pPr>
            <w:r>
              <w:rPr>
                <w:rFonts w:ascii="Times New Roman"/>
                <w:sz w:val="21"/>
              </w:rPr>
              <w:t>30</w:t>
            </w:r>
          </w:p>
        </w:tc>
        <w:tc>
          <w:tcPr>
            <w:tcW w:w="1388" w:type="dxa"/>
          </w:tcPr>
          <w:p w:rsidR="00B04AE3" w:rsidRDefault="00B04AE3">
            <w:pPr>
              <w:pStyle w:val="TableParagraph"/>
              <w:spacing w:before="49"/>
              <w:ind w:left="541" w:right="533"/>
              <w:rPr>
                <w:rFonts w:ascii="Times New Roman"/>
                <w:sz w:val="21"/>
              </w:rPr>
            </w:pPr>
            <w:r>
              <w:rPr>
                <w:rFonts w:ascii="Times New Roman"/>
                <w:sz w:val="21"/>
              </w:rPr>
              <w:t>0.1</w:t>
            </w:r>
          </w:p>
        </w:tc>
        <w:tc>
          <w:tcPr>
            <w:tcW w:w="952" w:type="dxa"/>
          </w:tcPr>
          <w:p w:rsidR="00B04AE3" w:rsidRDefault="00B04AE3">
            <w:pPr>
              <w:pStyle w:val="TableParagraph"/>
              <w:spacing w:before="49"/>
              <w:ind w:left="140" w:right="132"/>
              <w:rPr>
                <w:rFonts w:ascii="Times New Roman"/>
                <w:sz w:val="21"/>
              </w:rPr>
            </w:pPr>
            <w:r>
              <w:rPr>
                <w:rFonts w:ascii="Times New Roman"/>
                <w:sz w:val="21"/>
              </w:rPr>
              <w:t>1,863.3</w:t>
            </w:r>
          </w:p>
        </w:tc>
        <w:tc>
          <w:tcPr>
            <w:tcW w:w="1018" w:type="dxa"/>
          </w:tcPr>
          <w:p w:rsidR="00B04AE3" w:rsidRDefault="00B04AE3">
            <w:pPr>
              <w:pStyle w:val="TableParagraph"/>
              <w:spacing w:before="49"/>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9"/>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4"/>
              <w:ind w:right="141"/>
              <w:jc w:val="right"/>
              <w:rPr>
                <w:rFonts w:ascii="Times New Roman"/>
                <w:sz w:val="21"/>
              </w:rPr>
            </w:pPr>
            <w:r>
              <w:rPr>
                <w:rFonts w:ascii="Times New Roman"/>
                <w:w w:val="99"/>
                <w:sz w:val="21"/>
              </w:rPr>
              <w:t>7</w:t>
            </w:r>
          </w:p>
        </w:tc>
        <w:tc>
          <w:tcPr>
            <w:tcW w:w="972" w:type="dxa"/>
          </w:tcPr>
          <w:p w:rsidR="00B04AE3" w:rsidRDefault="00B04AE3">
            <w:pPr>
              <w:pStyle w:val="TableParagraph"/>
              <w:spacing w:before="44"/>
              <w:ind w:left="9"/>
              <w:rPr>
                <w:rFonts w:ascii="Times New Roman"/>
                <w:sz w:val="21"/>
              </w:rPr>
            </w:pPr>
            <w:r>
              <w:rPr>
                <w:rFonts w:ascii="Times New Roman"/>
                <w:w w:val="99"/>
                <w:sz w:val="21"/>
              </w:rPr>
              <w:t>3</w:t>
            </w:r>
          </w:p>
        </w:tc>
        <w:tc>
          <w:tcPr>
            <w:tcW w:w="428" w:type="dxa"/>
          </w:tcPr>
          <w:p w:rsidR="00B04AE3" w:rsidRDefault="00B04AE3">
            <w:pPr>
              <w:pStyle w:val="TableParagraph"/>
              <w:spacing w:before="44"/>
              <w:ind w:left="9"/>
              <w:rPr>
                <w:rFonts w:ascii="Times New Roman"/>
                <w:sz w:val="21"/>
              </w:rPr>
            </w:pPr>
            <w:r>
              <w:rPr>
                <w:rFonts w:ascii="Times New Roman"/>
                <w:w w:val="99"/>
                <w:sz w:val="21"/>
              </w:rPr>
              <w:t>D</w:t>
            </w:r>
          </w:p>
        </w:tc>
        <w:tc>
          <w:tcPr>
            <w:tcW w:w="1102" w:type="dxa"/>
          </w:tcPr>
          <w:p w:rsidR="00B04AE3" w:rsidRDefault="00B04AE3">
            <w:pPr>
              <w:pStyle w:val="TableParagraph"/>
              <w:spacing w:before="47"/>
              <w:ind w:left="7"/>
              <w:rPr>
                <w:rFonts w:ascii="Times New Roman"/>
                <w:sz w:val="21"/>
              </w:rPr>
            </w:pPr>
            <w:r>
              <w:rPr>
                <w:rFonts w:ascii="Times New Roman"/>
                <w:w w:val="99"/>
                <w:sz w:val="21"/>
              </w:rPr>
              <w:t>5</w:t>
            </w:r>
          </w:p>
        </w:tc>
        <w:tc>
          <w:tcPr>
            <w:tcW w:w="1388" w:type="dxa"/>
          </w:tcPr>
          <w:p w:rsidR="00B04AE3" w:rsidRDefault="00B04AE3">
            <w:pPr>
              <w:pStyle w:val="TableParagraph"/>
              <w:spacing w:before="47"/>
              <w:ind w:left="541" w:right="533"/>
              <w:rPr>
                <w:rFonts w:ascii="Times New Roman"/>
                <w:sz w:val="21"/>
              </w:rPr>
            </w:pPr>
            <w:r>
              <w:rPr>
                <w:rFonts w:ascii="Times New Roman"/>
                <w:sz w:val="21"/>
              </w:rPr>
              <w:t>0.1</w:t>
            </w:r>
          </w:p>
        </w:tc>
        <w:tc>
          <w:tcPr>
            <w:tcW w:w="952" w:type="dxa"/>
          </w:tcPr>
          <w:p w:rsidR="00B04AE3" w:rsidRDefault="00B04AE3">
            <w:pPr>
              <w:pStyle w:val="TableParagraph"/>
              <w:spacing w:before="47"/>
              <w:ind w:left="140" w:right="130"/>
              <w:rPr>
                <w:rFonts w:ascii="Times New Roman"/>
                <w:sz w:val="21"/>
              </w:rPr>
            </w:pPr>
            <w:r>
              <w:rPr>
                <w:rFonts w:ascii="Times New Roman"/>
                <w:sz w:val="21"/>
              </w:rPr>
              <w:t>662.1</w:t>
            </w:r>
          </w:p>
        </w:tc>
        <w:tc>
          <w:tcPr>
            <w:tcW w:w="1018" w:type="dxa"/>
          </w:tcPr>
          <w:p w:rsidR="00B04AE3" w:rsidRDefault="00B04AE3">
            <w:pPr>
              <w:pStyle w:val="TableParagraph"/>
              <w:spacing w:before="47"/>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7"/>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5"/>
              <w:ind w:right="141"/>
              <w:jc w:val="right"/>
              <w:rPr>
                <w:rFonts w:ascii="Times New Roman"/>
                <w:sz w:val="21"/>
              </w:rPr>
            </w:pPr>
            <w:r>
              <w:rPr>
                <w:rFonts w:ascii="Times New Roman"/>
                <w:w w:val="99"/>
                <w:sz w:val="21"/>
              </w:rPr>
              <w:t>8</w:t>
            </w:r>
          </w:p>
        </w:tc>
        <w:tc>
          <w:tcPr>
            <w:tcW w:w="972" w:type="dxa"/>
          </w:tcPr>
          <w:p w:rsidR="00B04AE3" w:rsidRDefault="00B04AE3">
            <w:pPr>
              <w:pStyle w:val="TableParagraph"/>
              <w:spacing w:before="45"/>
              <w:ind w:left="9"/>
              <w:rPr>
                <w:rFonts w:ascii="Times New Roman"/>
                <w:sz w:val="21"/>
              </w:rPr>
            </w:pPr>
            <w:r>
              <w:rPr>
                <w:rFonts w:ascii="Times New Roman"/>
                <w:w w:val="99"/>
                <w:sz w:val="21"/>
              </w:rPr>
              <w:t>3</w:t>
            </w:r>
          </w:p>
        </w:tc>
        <w:tc>
          <w:tcPr>
            <w:tcW w:w="428" w:type="dxa"/>
          </w:tcPr>
          <w:p w:rsidR="00B04AE3" w:rsidRDefault="00B04AE3">
            <w:pPr>
              <w:pStyle w:val="TableParagraph"/>
              <w:spacing w:before="45"/>
              <w:ind w:left="9"/>
              <w:rPr>
                <w:rFonts w:ascii="Times New Roman"/>
                <w:sz w:val="21"/>
              </w:rPr>
            </w:pPr>
            <w:r>
              <w:rPr>
                <w:rFonts w:ascii="Times New Roman"/>
                <w:w w:val="99"/>
                <w:sz w:val="21"/>
              </w:rPr>
              <w:t>D</w:t>
            </w:r>
          </w:p>
        </w:tc>
        <w:tc>
          <w:tcPr>
            <w:tcW w:w="1102" w:type="dxa"/>
          </w:tcPr>
          <w:p w:rsidR="00B04AE3" w:rsidRDefault="00B04AE3">
            <w:pPr>
              <w:pStyle w:val="TableParagraph"/>
              <w:spacing w:before="47"/>
              <w:ind w:left="424" w:right="417"/>
              <w:rPr>
                <w:rFonts w:ascii="Times New Roman"/>
                <w:sz w:val="21"/>
              </w:rPr>
            </w:pPr>
            <w:r>
              <w:rPr>
                <w:rFonts w:ascii="Times New Roman"/>
                <w:sz w:val="21"/>
              </w:rPr>
              <w:t>15</w:t>
            </w:r>
          </w:p>
        </w:tc>
        <w:tc>
          <w:tcPr>
            <w:tcW w:w="1388" w:type="dxa"/>
          </w:tcPr>
          <w:p w:rsidR="00B04AE3" w:rsidRDefault="00B04AE3">
            <w:pPr>
              <w:pStyle w:val="TableParagraph"/>
              <w:spacing w:before="47"/>
              <w:ind w:left="541" w:right="533"/>
              <w:rPr>
                <w:rFonts w:ascii="Times New Roman"/>
                <w:sz w:val="21"/>
              </w:rPr>
            </w:pPr>
            <w:r>
              <w:rPr>
                <w:rFonts w:ascii="Times New Roman"/>
                <w:sz w:val="21"/>
              </w:rPr>
              <w:t>0.9</w:t>
            </w:r>
          </w:p>
        </w:tc>
        <w:tc>
          <w:tcPr>
            <w:tcW w:w="952" w:type="dxa"/>
          </w:tcPr>
          <w:p w:rsidR="00B04AE3" w:rsidRDefault="00B04AE3">
            <w:pPr>
              <w:pStyle w:val="TableParagraph"/>
              <w:spacing w:before="47"/>
              <w:ind w:left="140" w:right="132"/>
              <w:rPr>
                <w:rFonts w:ascii="Times New Roman"/>
                <w:sz w:val="21"/>
              </w:rPr>
            </w:pPr>
            <w:r>
              <w:rPr>
                <w:rFonts w:ascii="Times New Roman"/>
                <w:sz w:val="21"/>
              </w:rPr>
              <w:t>1,543.7</w:t>
            </w:r>
          </w:p>
        </w:tc>
        <w:tc>
          <w:tcPr>
            <w:tcW w:w="1018" w:type="dxa"/>
          </w:tcPr>
          <w:p w:rsidR="00B04AE3" w:rsidRDefault="00B04AE3">
            <w:pPr>
              <w:pStyle w:val="TableParagraph"/>
              <w:spacing w:before="47"/>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7"/>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5"/>
              <w:ind w:right="141"/>
              <w:jc w:val="right"/>
              <w:rPr>
                <w:rFonts w:ascii="Times New Roman"/>
                <w:sz w:val="21"/>
              </w:rPr>
            </w:pPr>
            <w:r>
              <w:rPr>
                <w:rFonts w:ascii="Times New Roman"/>
                <w:w w:val="99"/>
                <w:sz w:val="21"/>
              </w:rPr>
              <w:t>9</w:t>
            </w:r>
          </w:p>
        </w:tc>
        <w:tc>
          <w:tcPr>
            <w:tcW w:w="972" w:type="dxa"/>
          </w:tcPr>
          <w:p w:rsidR="00B04AE3" w:rsidRDefault="00B04AE3">
            <w:pPr>
              <w:pStyle w:val="TableParagraph"/>
              <w:spacing w:before="45"/>
              <w:ind w:left="9"/>
              <w:rPr>
                <w:rFonts w:ascii="Times New Roman"/>
                <w:sz w:val="21"/>
              </w:rPr>
            </w:pPr>
            <w:r>
              <w:rPr>
                <w:rFonts w:ascii="Times New Roman"/>
                <w:w w:val="99"/>
                <w:sz w:val="21"/>
              </w:rPr>
              <w:t>3</w:t>
            </w:r>
          </w:p>
        </w:tc>
        <w:tc>
          <w:tcPr>
            <w:tcW w:w="428" w:type="dxa"/>
          </w:tcPr>
          <w:p w:rsidR="00B04AE3" w:rsidRDefault="00B04AE3">
            <w:pPr>
              <w:pStyle w:val="TableParagraph"/>
              <w:spacing w:before="45"/>
              <w:ind w:left="9"/>
              <w:rPr>
                <w:rFonts w:ascii="Times New Roman"/>
                <w:sz w:val="21"/>
              </w:rPr>
            </w:pPr>
            <w:r>
              <w:rPr>
                <w:rFonts w:ascii="Times New Roman"/>
                <w:w w:val="99"/>
                <w:sz w:val="21"/>
              </w:rPr>
              <w:t>D</w:t>
            </w:r>
          </w:p>
        </w:tc>
        <w:tc>
          <w:tcPr>
            <w:tcW w:w="1102" w:type="dxa"/>
          </w:tcPr>
          <w:p w:rsidR="00B04AE3" w:rsidRDefault="00B04AE3">
            <w:pPr>
              <w:pStyle w:val="TableParagraph"/>
              <w:spacing w:before="47"/>
              <w:ind w:left="424" w:right="417"/>
              <w:rPr>
                <w:rFonts w:ascii="Times New Roman"/>
                <w:sz w:val="21"/>
              </w:rPr>
            </w:pPr>
            <w:r>
              <w:rPr>
                <w:rFonts w:ascii="Times New Roman"/>
                <w:sz w:val="21"/>
              </w:rPr>
              <w:t>30</w:t>
            </w:r>
          </w:p>
        </w:tc>
        <w:tc>
          <w:tcPr>
            <w:tcW w:w="1388" w:type="dxa"/>
          </w:tcPr>
          <w:p w:rsidR="00B04AE3" w:rsidRDefault="00B04AE3">
            <w:pPr>
              <w:pStyle w:val="TableParagraph"/>
              <w:spacing w:before="47"/>
              <w:ind w:left="541" w:right="533"/>
              <w:rPr>
                <w:rFonts w:ascii="Times New Roman"/>
                <w:sz w:val="21"/>
              </w:rPr>
            </w:pPr>
            <w:r>
              <w:rPr>
                <w:rFonts w:ascii="Times New Roman"/>
                <w:sz w:val="21"/>
              </w:rPr>
              <w:t>0.5</w:t>
            </w:r>
          </w:p>
        </w:tc>
        <w:tc>
          <w:tcPr>
            <w:tcW w:w="952" w:type="dxa"/>
          </w:tcPr>
          <w:p w:rsidR="00B04AE3" w:rsidRDefault="00B04AE3">
            <w:pPr>
              <w:pStyle w:val="TableParagraph"/>
              <w:spacing w:before="47"/>
              <w:ind w:left="140" w:right="132"/>
              <w:rPr>
                <w:rFonts w:ascii="Times New Roman"/>
                <w:sz w:val="21"/>
              </w:rPr>
            </w:pPr>
            <w:r>
              <w:rPr>
                <w:rFonts w:ascii="Times New Roman"/>
                <w:sz w:val="21"/>
              </w:rPr>
              <w:t>3,180.4</w:t>
            </w:r>
          </w:p>
        </w:tc>
        <w:tc>
          <w:tcPr>
            <w:tcW w:w="1018" w:type="dxa"/>
          </w:tcPr>
          <w:p w:rsidR="00B04AE3" w:rsidRDefault="00B04AE3">
            <w:pPr>
              <w:pStyle w:val="TableParagraph"/>
              <w:spacing w:before="47"/>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7"/>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5"/>
              <w:ind w:right="88"/>
              <w:jc w:val="right"/>
              <w:rPr>
                <w:rFonts w:ascii="Times New Roman"/>
                <w:sz w:val="21"/>
              </w:rPr>
            </w:pPr>
            <w:r>
              <w:rPr>
                <w:rFonts w:ascii="Times New Roman"/>
                <w:sz w:val="21"/>
              </w:rPr>
              <w:t>10</w:t>
            </w:r>
          </w:p>
        </w:tc>
        <w:tc>
          <w:tcPr>
            <w:tcW w:w="972" w:type="dxa"/>
          </w:tcPr>
          <w:p w:rsidR="00B04AE3" w:rsidRDefault="00B04AE3">
            <w:pPr>
              <w:pStyle w:val="TableParagraph"/>
              <w:spacing w:before="45"/>
              <w:ind w:left="9"/>
              <w:rPr>
                <w:rFonts w:ascii="Times New Roman"/>
                <w:sz w:val="21"/>
              </w:rPr>
            </w:pPr>
            <w:r>
              <w:rPr>
                <w:rFonts w:ascii="Times New Roman"/>
                <w:w w:val="99"/>
                <w:sz w:val="21"/>
              </w:rPr>
              <w:t>1</w:t>
            </w:r>
          </w:p>
        </w:tc>
        <w:tc>
          <w:tcPr>
            <w:tcW w:w="428" w:type="dxa"/>
          </w:tcPr>
          <w:p w:rsidR="00B04AE3" w:rsidRDefault="00B04AE3">
            <w:pPr>
              <w:pStyle w:val="TableParagraph"/>
              <w:spacing w:before="45"/>
              <w:ind w:left="10"/>
              <w:rPr>
                <w:rFonts w:ascii="Times New Roman"/>
                <w:sz w:val="21"/>
              </w:rPr>
            </w:pPr>
            <w:r>
              <w:rPr>
                <w:rFonts w:ascii="Times New Roman"/>
                <w:w w:val="99"/>
                <w:sz w:val="21"/>
              </w:rPr>
              <w:t>E</w:t>
            </w:r>
          </w:p>
        </w:tc>
        <w:tc>
          <w:tcPr>
            <w:tcW w:w="1102" w:type="dxa"/>
          </w:tcPr>
          <w:p w:rsidR="00B04AE3" w:rsidRDefault="00B04AE3">
            <w:pPr>
              <w:pStyle w:val="TableParagraph"/>
              <w:spacing w:before="48"/>
              <w:ind w:left="7"/>
              <w:rPr>
                <w:rFonts w:ascii="Times New Roman"/>
                <w:sz w:val="21"/>
              </w:rPr>
            </w:pPr>
            <w:r>
              <w:rPr>
                <w:rFonts w:ascii="Times New Roman"/>
                <w:w w:val="99"/>
                <w:sz w:val="21"/>
              </w:rPr>
              <w:t>5</w:t>
            </w:r>
          </w:p>
        </w:tc>
        <w:tc>
          <w:tcPr>
            <w:tcW w:w="1388" w:type="dxa"/>
          </w:tcPr>
          <w:p w:rsidR="00B04AE3" w:rsidRDefault="00B04AE3">
            <w:pPr>
              <w:pStyle w:val="TableParagraph"/>
              <w:spacing w:before="48"/>
              <w:ind w:left="541" w:right="533"/>
              <w:rPr>
                <w:rFonts w:ascii="Times New Roman"/>
                <w:sz w:val="21"/>
              </w:rPr>
            </w:pPr>
            <w:r>
              <w:rPr>
                <w:rFonts w:ascii="Times New Roman"/>
                <w:sz w:val="21"/>
              </w:rPr>
              <w:t>2.3</w:t>
            </w:r>
          </w:p>
        </w:tc>
        <w:tc>
          <w:tcPr>
            <w:tcW w:w="952" w:type="dxa"/>
          </w:tcPr>
          <w:p w:rsidR="00B04AE3" w:rsidRDefault="00B04AE3">
            <w:pPr>
              <w:pStyle w:val="TableParagraph"/>
              <w:spacing w:before="48"/>
              <w:ind w:left="140" w:right="130"/>
              <w:rPr>
                <w:rFonts w:ascii="Times New Roman"/>
                <w:sz w:val="21"/>
              </w:rPr>
            </w:pPr>
            <w:r>
              <w:rPr>
                <w:rFonts w:ascii="Times New Roman"/>
                <w:sz w:val="21"/>
              </w:rPr>
              <w:t>146.2</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37"/>
        </w:trPr>
        <w:tc>
          <w:tcPr>
            <w:tcW w:w="409" w:type="dxa"/>
          </w:tcPr>
          <w:p w:rsidR="00B04AE3" w:rsidRDefault="00B04AE3">
            <w:pPr>
              <w:pStyle w:val="TableParagraph"/>
              <w:spacing w:before="46"/>
              <w:ind w:right="88"/>
              <w:jc w:val="right"/>
              <w:rPr>
                <w:rFonts w:ascii="Times New Roman"/>
                <w:sz w:val="21"/>
              </w:rPr>
            </w:pPr>
            <w:r>
              <w:rPr>
                <w:rFonts w:ascii="Times New Roman"/>
                <w:w w:val="95"/>
                <w:sz w:val="21"/>
              </w:rPr>
              <w:t>11</w:t>
            </w:r>
          </w:p>
        </w:tc>
        <w:tc>
          <w:tcPr>
            <w:tcW w:w="972" w:type="dxa"/>
          </w:tcPr>
          <w:p w:rsidR="00B04AE3" w:rsidRDefault="00B04AE3">
            <w:pPr>
              <w:pStyle w:val="TableParagraph"/>
              <w:spacing w:before="46"/>
              <w:ind w:left="9"/>
              <w:rPr>
                <w:rFonts w:ascii="Times New Roman"/>
                <w:sz w:val="21"/>
              </w:rPr>
            </w:pPr>
            <w:r>
              <w:rPr>
                <w:rFonts w:ascii="Times New Roman"/>
                <w:w w:val="99"/>
                <w:sz w:val="21"/>
              </w:rPr>
              <w:t>1</w:t>
            </w:r>
          </w:p>
        </w:tc>
        <w:tc>
          <w:tcPr>
            <w:tcW w:w="428" w:type="dxa"/>
          </w:tcPr>
          <w:p w:rsidR="00B04AE3" w:rsidRDefault="00B04AE3">
            <w:pPr>
              <w:pStyle w:val="TableParagraph"/>
              <w:spacing w:before="46"/>
              <w:ind w:left="10"/>
              <w:rPr>
                <w:rFonts w:ascii="Times New Roman"/>
                <w:sz w:val="21"/>
              </w:rPr>
            </w:pPr>
            <w:r>
              <w:rPr>
                <w:rFonts w:ascii="Times New Roman"/>
                <w:w w:val="99"/>
                <w:sz w:val="21"/>
              </w:rPr>
              <w:t>E</w:t>
            </w:r>
          </w:p>
        </w:tc>
        <w:tc>
          <w:tcPr>
            <w:tcW w:w="1102" w:type="dxa"/>
          </w:tcPr>
          <w:p w:rsidR="00B04AE3" w:rsidRDefault="00B04AE3">
            <w:pPr>
              <w:pStyle w:val="TableParagraph"/>
              <w:spacing w:before="48"/>
              <w:ind w:left="424" w:right="417"/>
              <w:rPr>
                <w:rFonts w:ascii="Times New Roman"/>
                <w:sz w:val="21"/>
              </w:rPr>
            </w:pPr>
            <w:r>
              <w:rPr>
                <w:rFonts w:ascii="Times New Roman"/>
                <w:sz w:val="21"/>
              </w:rPr>
              <w:t>15</w:t>
            </w:r>
          </w:p>
        </w:tc>
        <w:tc>
          <w:tcPr>
            <w:tcW w:w="1388" w:type="dxa"/>
          </w:tcPr>
          <w:p w:rsidR="00B04AE3" w:rsidRDefault="00B04AE3">
            <w:pPr>
              <w:pStyle w:val="TableParagraph"/>
              <w:spacing w:before="48"/>
              <w:ind w:left="541" w:right="533"/>
              <w:rPr>
                <w:rFonts w:ascii="Times New Roman"/>
                <w:sz w:val="21"/>
              </w:rPr>
            </w:pPr>
            <w:r>
              <w:rPr>
                <w:rFonts w:ascii="Times New Roman"/>
                <w:sz w:val="21"/>
              </w:rPr>
              <w:t>5.5</w:t>
            </w:r>
          </w:p>
        </w:tc>
        <w:tc>
          <w:tcPr>
            <w:tcW w:w="952" w:type="dxa"/>
          </w:tcPr>
          <w:p w:rsidR="00B04AE3" w:rsidRDefault="00B04AE3">
            <w:pPr>
              <w:pStyle w:val="TableParagraph"/>
              <w:spacing w:before="48"/>
              <w:ind w:left="140" w:right="130"/>
              <w:rPr>
                <w:rFonts w:ascii="Times New Roman"/>
                <w:sz w:val="21"/>
              </w:rPr>
            </w:pPr>
            <w:r>
              <w:rPr>
                <w:rFonts w:ascii="Times New Roman"/>
                <w:sz w:val="21"/>
              </w:rPr>
              <w:t>266.1</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513"/>
              <w:jc w:val="left"/>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rPr>
            </w:pPr>
          </w:p>
        </w:tc>
      </w:tr>
      <w:tr w:rsidR="00B04AE3">
        <w:trPr>
          <w:trHeight w:val="340"/>
        </w:trPr>
        <w:tc>
          <w:tcPr>
            <w:tcW w:w="409" w:type="dxa"/>
          </w:tcPr>
          <w:p w:rsidR="00B04AE3" w:rsidRDefault="00B04AE3">
            <w:pPr>
              <w:pStyle w:val="TableParagraph"/>
              <w:spacing w:before="47"/>
              <w:ind w:left="98"/>
              <w:jc w:val="left"/>
              <w:rPr>
                <w:rFonts w:ascii="Times New Roman"/>
                <w:sz w:val="21"/>
              </w:rPr>
            </w:pPr>
            <w:r>
              <w:rPr>
                <w:rFonts w:ascii="Times New Roman"/>
                <w:sz w:val="21"/>
              </w:rPr>
              <w:t>12</w:t>
            </w:r>
          </w:p>
        </w:tc>
        <w:tc>
          <w:tcPr>
            <w:tcW w:w="972" w:type="dxa"/>
          </w:tcPr>
          <w:p w:rsidR="00B04AE3" w:rsidRDefault="00B04AE3">
            <w:pPr>
              <w:pStyle w:val="TableParagraph"/>
              <w:spacing w:before="47"/>
              <w:ind w:left="9"/>
              <w:rPr>
                <w:rFonts w:ascii="Times New Roman"/>
                <w:sz w:val="21"/>
              </w:rPr>
            </w:pPr>
            <w:r>
              <w:rPr>
                <w:rFonts w:ascii="Times New Roman"/>
                <w:w w:val="99"/>
                <w:sz w:val="21"/>
              </w:rPr>
              <w:t>1</w:t>
            </w:r>
          </w:p>
        </w:tc>
        <w:tc>
          <w:tcPr>
            <w:tcW w:w="428" w:type="dxa"/>
          </w:tcPr>
          <w:p w:rsidR="00B04AE3" w:rsidRDefault="00B04AE3">
            <w:pPr>
              <w:pStyle w:val="TableParagraph"/>
              <w:spacing w:before="47"/>
              <w:ind w:left="10"/>
              <w:rPr>
                <w:rFonts w:ascii="Times New Roman"/>
                <w:sz w:val="21"/>
              </w:rPr>
            </w:pPr>
            <w:r>
              <w:rPr>
                <w:rFonts w:ascii="Times New Roman"/>
                <w:w w:val="99"/>
                <w:sz w:val="21"/>
              </w:rPr>
              <w:t>E</w:t>
            </w:r>
          </w:p>
        </w:tc>
        <w:tc>
          <w:tcPr>
            <w:tcW w:w="1102" w:type="dxa"/>
          </w:tcPr>
          <w:p w:rsidR="00B04AE3" w:rsidRDefault="00B04AE3">
            <w:pPr>
              <w:pStyle w:val="TableParagraph"/>
              <w:spacing w:before="49"/>
              <w:ind w:left="424" w:right="417"/>
              <w:rPr>
                <w:rFonts w:ascii="Times New Roman"/>
                <w:sz w:val="21"/>
              </w:rPr>
            </w:pPr>
            <w:r>
              <w:rPr>
                <w:rFonts w:ascii="Times New Roman"/>
                <w:sz w:val="21"/>
              </w:rPr>
              <w:t>30</w:t>
            </w:r>
          </w:p>
        </w:tc>
        <w:tc>
          <w:tcPr>
            <w:tcW w:w="1388" w:type="dxa"/>
          </w:tcPr>
          <w:p w:rsidR="00B04AE3" w:rsidRDefault="00B04AE3">
            <w:pPr>
              <w:pStyle w:val="TableParagraph"/>
              <w:spacing w:before="49"/>
              <w:ind w:left="541" w:right="533"/>
              <w:rPr>
                <w:rFonts w:ascii="Times New Roman"/>
                <w:sz w:val="21"/>
              </w:rPr>
            </w:pPr>
            <w:r>
              <w:rPr>
                <w:rFonts w:ascii="Times New Roman"/>
                <w:sz w:val="21"/>
              </w:rPr>
              <w:t>0.5</w:t>
            </w:r>
          </w:p>
        </w:tc>
        <w:tc>
          <w:tcPr>
            <w:tcW w:w="952" w:type="dxa"/>
          </w:tcPr>
          <w:p w:rsidR="00B04AE3" w:rsidRDefault="00B04AE3">
            <w:pPr>
              <w:pStyle w:val="TableParagraph"/>
              <w:spacing w:before="49"/>
              <w:ind w:left="140" w:right="130"/>
              <w:rPr>
                <w:rFonts w:ascii="Times New Roman"/>
                <w:sz w:val="21"/>
              </w:rPr>
            </w:pPr>
            <w:r>
              <w:rPr>
                <w:rFonts w:ascii="Times New Roman"/>
                <w:sz w:val="21"/>
              </w:rPr>
              <w:t>877.2</w:t>
            </w:r>
          </w:p>
        </w:tc>
        <w:tc>
          <w:tcPr>
            <w:tcW w:w="1018" w:type="dxa"/>
          </w:tcPr>
          <w:p w:rsidR="00B04AE3" w:rsidRDefault="00B04AE3">
            <w:pPr>
              <w:pStyle w:val="TableParagraph"/>
              <w:spacing w:before="49"/>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9"/>
              <w:ind w:left="246" w:right="238"/>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5"/>
              <w:ind w:left="98"/>
              <w:jc w:val="left"/>
              <w:rPr>
                <w:rFonts w:ascii="Times New Roman"/>
                <w:sz w:val="21"/>
              </w:rPr>
            </w:pPr>
            <w:r>
              <w:rPr>
                <w:rFonts w:ascii="Times New Roman"/>
                <w:sz w:val="21"/>
              </w:rPr>
              <w:t>13</w:t>
            </w:r>
          </w:p>
        </w:tc>
        <w:tc>
          <w:tcPr>
            <w:tcW w:w="972" w:type="dxa"/>
          </w:tcPr>
          <w:p w:rsidR="00B04AE3" w:rsidRDefault="00B04AE3">
            <w:pPr>
              <w:pStyle w:val="TableParagraph"/>
              <w:spacing w:before="45"/>
              <w:ind w:left="96" w:right="87"/>
              <w:rPr>
                <w:rFonts w:ascii="Times New Roman"/>
                <w:sz w:val="21"/>
              </w:rPr>
            </w:pPr>
            <w:r>
              <w:rPr>
                <w:rFonts w:ascii="Times New Roman"/>
                <w:sz w:val="21"/>
              </w:rPr>
              <w:t>1.5</w:t>
            </w:r>
          </w:p>
        </w:tc>
        <w:tc>
          <w:tcPr>
            <w:tcW w:w="428" w:type="dxa"/>
          </w:tcPr>
          <w:p w:rsidR="00B04AE3" w:rsidRDefault="00B04AE3">
            <w:pPr>
              <w:pStyle w:val="TableParagraph"/>
              <w:spacing w:before="45"/>
              <w:ind w:left="10"/>
              <w:rPr>
                <w:rFonts w:ascii="Times New Roman"/>
                <w:sz w:val="21"/>
              </w:rPr>
            </w:pPr>
            <w:r>
              <w:rPr>
                <w:rFonts w:ascii="Times New Roman"/>
                <w:w w:val="99"/>
                <w:sz w:val="21"/>
              </w:rPr>
              <w:t>E</w:t>
            </w:r>
          </w:p>
        </w:tc>
        <w:tc>
          <w:tcPr>
            <w:tcW w:w="1102" w:type="dxa"/>
          </w:tcPr>
          <w:p w:rsidR="00B04AE3" w:rsidRDefault="00B04AE3">
            <w:pPr>
              <w:pStyle w:val="TableParagraph"/>
              <w:spacing w:before="50"/>
              <w:ind w:left="7"/>
              <w:rPr>
                <w:rFonts w:ascii="Times New Roman"/>
                <w:sz w:val="21"/>
              </w:rPr>
            </w:pPr>
            <w:r>
              <w:rPr>
                <w:rFonts w:ascii="Times New Roman"/>
                <w:w w:val="99"/>
                <w:sz w:val="21"/>
              </w:rPr>
              <w:t>5</w:t>
            </w:r>
          </w:p>
        </w:tc>
        <w:tc>
          <w:tcPr>
            <w:tcW w:w="1388" w:type="dxa"/>
          </w:tcPr>
          <w:p w:rsidR="00B04AE3" w:rsidRDefault="00B04AE3">
            <w:pPr>
              <w:pStyle w:val="TableParagraph"/>
              <w:spacing w:before="50"/>
              <w:ind w:left="460"/>
              <w:jc w:val="left"/>
              <w:rPr>
                <w:rFonts w:ascii="Times New Roman"/>
                <w:sz w:val="21"/>
              </w:rPr>
            </w:pPr>
            <w:r>
              <w:rPr>
                <w:rFonts w:ascii="Times New Roman"/>
                <w:sz w:val="21"/>
              </w:rPr>
              <w:t>114.6</w:t>
            </w:r>
          </w:p>
        </w:tc>
        <w:tc>
          <w:tcPr>
            <w:tcW w:w="952" w:type="dxa"/>
          </w:tcPr>
          <w:p w:rsidR="00B04AE3" w:rsidRDefault="00B04AE3">
            <w:pPr>
              <w:pStyle w:val="TableParagraph"/>
              <w:spacing w:before="50"/>
              <w:ind w:left="140" w:right="130"/>
              <w:rPr>
                <w:rFonts w:ascii="Times New Roman"/>
                <w:sz w:val="21"/>
              </w:rPr>
            </w:pPr>
            <w:r>
              <w:rPr>
                <w:rFonts w:ascii="Times New Roman"/>
                <w:sz w:val="21"/>
              </w:rPr>
              <w:t>234.6</w:t>
            </w:r>
          </w:p>
        </w:tc>
        <w:tc>
          <w:tcPr>
            <w:tcW w:w="1018" w:type="dxa"/>
          </w:tcPr>
          <w:p w:rsidR="00B04AE3" w:rsidRDefault="00B04AE3">
            <w:pPr>
              <w:pStyle w:val="TableParagraph"/>
              <w:spacing w:before="50"/>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50"/>
              <w:ind w:left="245" w:right="238"/>
              <w:rPr>
                <w:rFonts w:ascii="Times New Roman"/>
                <w:sz w:val="21"/>
              </w:rPr>
            </w:pPr>
            <w:r>
              <w:rPr>
                <w:rFonts w:ascii="Times New Roman"/>
                <w:sz w:val="21"/>
              </w:rPr>
              <w:t>311.4</w:t>
            </w:r>
          </w:p>
        </w:tc>
        <w:tc>
          <w:tcPr>
            <w:tcW w:w="1167" w:type="dxa"/>
          </w:tcPr>
          <w:p w:rsidR="00B04AE3" w:rsidRDefault="00B04AE3">
            <w:pPr>
              <w:pStyle w:val="TableParagraph"/>
              <w:spacing w:before="50"/>
              <w:ind w:left="247" w:right="238"/>
              <w:rPr>
                <w:rFonts w:ascii="Times New Roman"/>
                <w:sz w:val="21"/>
              </w:rPr>
            </w:pPr>
            <w:r>
              <w:rPr>
                <w:rFonts w:ascii="Times New Roman"/>
                <w:sz w:val="21"/>
              </w:rPr>
              <w:t>261.6</w:t>
            </w:r>
          </w:p>
        </w:tc>
      </w:tr>
      <w:tr w:rsidR="00B04AE3">
        <w:trPr>
          <w:trHeight w:val="340"/>
        </w:trPr>
        <w:tc>
          <w:tcPr>
            <w:tcW w:w="409" w:type="dxa"/>
          </w:tcPr>
          <w:p w:rsidR="00B04AE3" w:rsidRDefault="00B04AE3">
            <w:pPr>
              <w:pStyle w:val="TableParagraph"/>
              <w:spacing w:before="45"/>
              <w:ind w:left="98"/>
              <w:jc w:val="left"/>
              <w:rPr>
                <w:rFonts w:ascii="Times New Roman"/>
                <w:sz w:val="21"/>
              </w:rPr>
            </w:pPr>
            <w:r>
              <w:rPr>
                <w:rFonts w:ascii="Times New Roman"/>
                <w:sz w:val="21"/>
              </w:rPr>
              <w:t>14</w:t>
            </w:r>
          </w:p>
        </w:tc>
        <w:tc>
          <w:tcPr>
            <w:tcW w:w="972" w:type="dxa"/>
          </w:tcPr>
          <w:p w:rsidR="00B04AE3" w:rsidRDefault="00B04AE3">
            <w:pPr>
              <w:pStyle w:val="TableParagraph"/>
              <w:spacing w:before="45"/>
              <w:ind w:left="96" w:right="87"/>
              <w:rPr>
                <w:rFonts w:ascii="Times New Roman"/>
                <w:sz w:val="21"/>
              </w:rPr>
            </w:pPr>
            <w:r>
              <w:rPr>
                <w:rFonts w:ascii="Times New Roman"/>
                <w:sz w:val="21"/>
              </w:rPr>
              <w:t>1.5</w:t>
            </w:r>
          </w:p>
        </w:tc>
        <w:tc>
          <w:tcPr>
            <w:tcW w:w="428" w:type="dxa"/>
          </w:tcPr>
          <w:p w:rsidR="00B04AE3" w:rsidRDefault="00B04AE3">
            <w:pPr>
              <w:pStyle w:val="TableParagraph"/>
              <w:spacing w:before="45"/>
              <w:ind w:left="10"/>
              <w:rPr>
                <w:rFonts w:ascii="Times New Roman"/>
                <w:sz w:val="21"/>
              </w:rPr>
            </w:pPr>
            <w:r>
              <w:rPr>
                <w:rFonts w:ascii="Times New Roman"/>
                <w:w w:val="99"/>
                <w:sz w:val="21"/>
              </w:rPr>
              <w:t>E</w:t>
            </w:r>
          </w:p>
        </w:tc>
        <w:tc>
          <w:tcPr>
            <w:tcW w:w="1102" w:type="dxa"/>
          </w:tcPr>
          <w:p w:rsidR="00B04AE3" w:rsidRDefault="00B04AE3">
            <w:pPr>
              <w:pStyle w:val="TableParagraph"/>
              <w:spacing w:before="48"/>
              <w:ind w:left="424" w:right="417"/>
              <w:rPr>
                <w:rFonts w:ascii="Times New Roman"/>
                <w:sz w:val="21"/>
              </w:rPr>
            </w:pPr>
            <w:r>
              <w:rPr>
                <w:rFonts w:ascii="Times New Roman"/>
                <w:sz w:val="21"/>
              </w:rPr>
              <w:t>15</w:t>
            </w:r>
          </w:p>
        </w:tc>
        <w:tc>
          <w:tcPr>
            <w:tcW w:w="1388" w:type="dxa"/>
          </w:tcPr>
          <w:p w:rsidR="00B04AE3" w:rsidRDefault="00B04AE3">
            <w:pPr>
              <w:pStyle w:val="TableParagraph"/>
              <w:spacing w:before="48"/>
              <w:ind w:left="458"/>
              <w:jc w:val="left"/>
              <w:rPr>
                <w:rFonts w:ascii="Times New Roman"/>
                <w:sz w:val="21"/>
              </w:rPr>
            </w:pPr>
            <w:r>
              <w:rPr>
                <w:rFonts w:ascii="Times New Roman"/>
                <w:sz w:val="21"/>
              </w:rPr>
              <w:t>101.8</w:t>
            </w:r>
          </w:p>
        </w:tc>
        <w:tc>
          <w:tcPr>
            <w:tcW w:w="952" w:type="dxa"/>
          </w:tcPr>
          <w:p w:rsidR="00B04AE3" w:rsidRDefault="00B04AE3">
            <w:pPr>
              <w:pStyle w:val="TableParagraph"/>
              <w:spacing w:before="48"/>
              <w:ind w:left="140" w:right="130"/>
              <w:rPr>
                <w:rFonts w:ascii="Times New Roman"/>
                <w:sz w:val="21"/>
              </w:rPr>
            </w:pPr>
            <w:r>
              <w:rPr>
                <w:rFonts w:ascii="Times New Roman"/>
                <w:sz w:val="21"/>
              </w:rPr>
              <w:t>336.7</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248" w:right="238"/>
              <w:rPr>
                <w:rFonts w:ascii="Times New Roman"/>
                <w:sz w:val="21"/>
              </w:rPr>
            </w:pPr>
            <w:r>
              <w:rPr>
                <w:rFonts w:ascii="Times New Roman"/>
                <w:sz w:val="21"/>
              </w:rPr>
              <w:t>857.9</w:t>
            </w:r>
          </w:p>
        </w:tc>
        <w:tc>
          <w:tcPr>
            <w:tcW w:w="1167" w:type="dxa"/>
          </w:tcPr>
          <w:p w:rsidR="00B04AE3" w:rsidRDefault="00B04AE3">
            <w:pPr>
              <w:pStyle w:val="TableParagraph"/>
              <w:spacing w:before="48"/>
              <w:ind w:left="247" w:right="238"/>
              <w:rPr>
                <w:rFonts w:ascii="Times New Roman"/>
                <w:sz w:val="21"/>
              </w:rPr>
            </w:pPr>
            <w:r>
              <w:rPr>
                <w:rFonts w:ascii="Times New Roman"/>
                <w:sz w:val="21"/>
              </w:rPr>
              <w:t>355.5</w:t>
            </w:r>
          </w:p>
        </w:tc>
      </w:tr>
      <w:tr w:rsidR="00B04AE3">
        <w:trPr>
          <w:trHeight w:val="340"/>
        </w:trPr>
        <w:tc>
          <w:tcPr>
            <w:tcW w:w="409" w:type="dxa"/>
          </w:tcPr>
          <w:p w:rsidR="00B04AE3" w:rsidRDefault="00B04AE3">
            <w:pPr>
              <w:pStyle w:val="TableParagraph"/>
              <w:spacing w:before="46"/>
              <w:ind w:left="98"/>
              <w:jc w:val="left"/>
              <w:rPr>
                <w:rFonts w:ascii="Times New Roman"/>
                <w:sz w:val="21"/>
              </w:rPr>
            </w:pPr>
            <w:r>
              <w:rPr>
                <w:rFonts w:ascii="Times New Roman"/>
                <w:sz w:val="21"/>
              </w:rPr>
              <w:t>15</w:t>
            </w:r>
          </w:p>
        </w:tc>
        <w:tc>
          <w:tcPr>
            <w:tcW w:w="972" w:type="dxa"/>
          </w:tcPr>
          <w:p w:rsidR="00B04AE3" w:rsidRDefault="00B04AE3">
            <w:pPr>
              <w:pStyle w:val="TableParagraph"/>
              <w:spacing w:before="46"/>
              <w:ind w:left="96" w:right="87"/>
              <w:rPr>
                <w:rFonts w:ascii="Times New Roman"/>
                <w:sz w:val="21"/>
              </w:rPr>
            </w:pPr>
            <w:r>
              <w:rPr>
                <w:rFonts w:ascii="Times New Roman"/>
                <w:sz w:val="21"/>
              </w:rPr>
              <w:t>1.5</w:t>
            </w:r>
          </w:p>
        </w:tc>
        <w:tc>
          <w:tcPr>
            <w:tcW w:w="428" w:type="dxa"/>
          </w:tcPr>
          <w:p w:rsidR="00B04AE3" w:rsidRDefault="00B04AE3">
            <w:pPr>
              <w:pStyle w:val="TableParagraph"/>
              <w:spacing w:before="46"/>
              <w:ind w:left="10"/>
              <w:rPr>
                <w:rFonts w:ascii="Times New Roman"/>
                <w:sz w:val="21"/>
              </w:rPr>
            </w:pPr>
            <w:r>
              <w:rPr>
                <w:rFonts w:ascii="Times New Roman"/>
                <w:w w:val="99"/>
                <w:sz w:val="21"/>
              </w:rPr>
              <w:t>E</w:t>
            </w:r>
          </w:p>
        </w:tc>
        <w:tc>
          <w:tcPr>
            <w:tcW w:w="1102" w:type="dxa"/>
          </w:tcPr>
          <w:p w:rsidR="00B04AE3" w:rsidRDefault="00B04AE3">
            <w:pPr>
              <w:pStyle w:val="TableParagraph"/>
              <w:spacing w:before="48"/>
              <w:ind w:left="424" w:right="417"/>
              <w:rPr>
                <w:rFonts w:ascii="Times New Roman"/>
                <w:sz w:val="21"/>
              </w:rPr>
            </w:pPr>
            <w:r>
              <w:rPr>
                <w:rFonts w:ascii="Times New Roman"/>
                <w:sz w:val="21"/>
              </w:rPr>
              <w:t>30</w:t>
            </w:r>
          </w:p>
        </w:tc>
        <w:tc>
          <w:tcPr>
            <w:tcW w:w="1388" w:type="dxa"/>
          </w:tcPr>
          <w:p w:rsidR="00B04AE3" w:rsidRDefault="00B04AE3">
            <w:pPr>
              <w:pStyle w:val="TableParagraph"/>
              <w:spacing w:before="48"/>
              <w:ind w:left="508"/>
              <w:jc w:val="left"/>
              <w:rPr>
                <w:rFonts w:ascii="Times New Roman"/>
                <w:sz w:val="21"/>
              </w:rPr>
            </w:pPr>
            <w:r>
              <w:rPr>
                <w:rFonts w:ascii="Times New Roman"/>
                <w:sz w:val="21"/>
              </w:rPr>
              <w:t>18.7</w:t>
            </w:r>
          </w:p>
        </w:tc>
        <w:tc>
          <w:tcPr>
            <w:tcW w:w="952" w:type="dxa"/>
          </w:tcPr>
          <w:p w:rsidR="00B04AE3" w:rsidRDefault="00B04AE3">
            <w:pPr>
              <w:pStyle w:val="TableParagraph"/>
              <w:spacing w:before="48"/>
              <w:ind w:left="140" w:right="132"/>
              <w:rPr>
                <w:rFonts w:ascii="Times New Roman"/>
                <w:sz w:val="21"/>
              </w:rPr>
            </w:pPr>
            <w:r>
              <w:rPr>
                <w:rFonts w:ascii="Times New Roman"/>
                <w:sz w:val="21"/>
              </w:rPr>
              <w:t>1,267.3</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248" w:right="238"/>
              <w:rPr>
                <w:rFonts w:ascii="Times New Roman"/>
                <w:sz w:val="21"/>
              </w:rPr>
            </w:pPr>
            <w:r>
              <w:rPr>
                <w:rFonts w:ascii="Times New Roman"/>
                <w:sz w:val="21"/>
              </w:rPr>
              <w:t>1,489.6</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6"/>
              <w:ind w:left="98"/>
              <w:jc w:val="left"/>
              <w:rPr>
                <w:rFonts w:ascii="Times New Roman"/>
                <w:sz w:val="21"/>
              </w:rPr>
            </w:pPr>
            <w:r>
              <w:rPr>
                <w:rFonts w:ascii="Times New Roman"/>
                <w:sz w:val="21"/>
              </w:rPr>
              <w:t>16</w:t>
            </w:r>
          </w:p>
        </w:tc>
        <w:tc>
          <w:tcPr>
            <w:tcW w:w="972" w:type="dxa"/>
          </w:tcPr>
          <w:p w:rsidR="00B04AE3" w:rsidRDefault="00B04AE3">
            <w:pPr>
              <w:pStyle w:val="TableParagraph"/>
              <w:spacing w:before="46"/>
              <w:ind w:left="9"/>
              <w:rPr>
                <w:rFonts w:ascii="Times New Roman"/>
                <w:sz w:val="21"/>
              </w:rPr>
            </w:pPr>
            <w:r>
              <w:rPr>
                <w:rFonts w:ascii="Times New Roman"/>
                <w:w w:val="99"/>
                <w:sz w:val="21"/>
              </w:rPr>
              <w:t>3</w:t>
            </w:r>
          </w:p>
        </w:tc>
        <w:tc>
          <w:tcPr>
            <w:tcW w:w="428" w:type="dxa"/>
          </w:tcPr>
          <w:p w:rsidR="00B04AE3" w:rsidRDefault="00B04AE3">
            <w:pPr>
              <w:pStyle w:val="TableParagraph"/>
              <w:spacing w:before="46"/>
              <w:ind w:left="10"/>
              <w:rPr>
                <w:rFonts w:ascii="Times New Roman"/>
                <w:sz w:val="21"/>
              </w:rPr>
            </w:pPr>
            <w:r>
              <w:rPr>
                <w:rFonts w:ascii="Times New Roman"/>
                <w:w w:val="99"/>
                <w:sz w:val="21"/>
              </w:rPr>
              <w:t>E</w:t>
            </w:r>
          </w:p>
        </w:tc>
        <w:tc>
          <w:tcPr>
            <w:tcW w:w="1102" w:type="dxa"/>
          </w:tcPr>
          <w:p w:rsidR="00B04AE3" w:rsidRDefault="00B04AE3">
            <w:pPr>
              <w:pStyle w:val="TableParagraph"/>
              <w:spacing w:before="48"/>
              <w:ind w:left="7"/>
              <w:rPr>
                <w:rFonts w:ascii="Times New Roman"/>
                <w:sz w:val="21"/>
              </w:rPr>
            </w:pPr>
            <w:r>
              <w:rPr>
                <w:rFonts w:ascii="Times New Roman"/>
                <w:w w:val="99"/>
                <w:sz w:val="21"/>
              </w:rPr>
              <w:t>5</w:t>
            </w:r>
          </w:p>
        </w:tc>
        <w:tc>
          <w:tcPr>
            <w:tcW w:w="1388" w:type="dxa"/>
          </w:tcPr>
          <w:p w:rsidR="00B04AE3" w:rsidRDefault="00B04AE3">
            <w:pPr>
              <w:pStyle w:val="TableParagraph"/>
              <w:spacing w:before="48"/>
              <w:ind w:left="508"/>
              <w:jc w:val="left"/>
              <w:rPr>
                <w:rFonts w:ascii="Times New Roman"/>
                <w:sz w:val="21"/>
              </w:rPr>
            </w:pPr>
            <w:r>
              <w:rPr>
                <w:rFonts w:ascii="Times New Roman"/>
                <w:sz w:val="21"/>
              </w:rPr>
              <w:t>89.4</w:t>
            </w:r>
          </w:p>
        </w:tc>
        <w:tc>
          <w:tcPr>
            <w:tcW w:w="952" w:type="dxa"/>
          </w:tcPr>
          <w:p w:rsidR="00B04AE3" w:rsidRDefault="00B04AE3">
            <w:pPr>
              <w:pStyle w:val="TableParagraph"/>
              <w:spacing w:before="48"/>
              <w:ind w:left="140" w:right="130"/>
              <w:rPr>
                <w:rFonts w:ascii="Times New Roman"/>
                <w:sz w:val="21"/>
              </w:rPr>
            </w:pPr>
            <w:r>
              <w:rPr>
                <w:rFonts w:ascii="Times New Roman"/>
                <w:sz w:val="21"/>
              </w:rPr>
              <w:t>192.9</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248" w:right="238"/>
              <w:rPr>
                <w:rFonts w:ascii="Times New Roman"/>
                <w:sz w:val="21"/>
              </w:rPr>
            </w:pPr>
            <w:r>
              <w:rPr>
                <w:rFonts w:ascii="Times New Roman"/>
                <w:sz w:val="21"/>
              </w:rPr>
              <w:t>575.8</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6"/>
              <w:ind w:left="98"/>
              <w:jc w:val="left"/>
              <w:rPr>
                <w:rFonts w:ascii="Times New Roman"/>
                <w:sz w:val="21"/>
              </w:rPr>
            </w:pPr>
            <w:r>
              <w:rPr>
                <w:rFonts w:ascii="Times New Roman"/>
                <w:sz w:val="21"/>
              </w:rPr>
              <w:t>17</w:t>
            </w:r>
          </w:p>
        </w:tc>
        <w:tc>
          <w:tcPr>
            <w:tcW w:w="972" w:type="dxa"/>
          </w:tcPr>
          <w:p w:rsidR="00B04AE3" w:rsidRDefault="00B04AE3">
            <w:pPr>
              <w:pStyle w:val="TableParagraph"/>
              <w:spacing w:before="46"/>
              <w:ind w:left="9"/>
              <w:rPr>
                <w:rFonts w:ascii="Times New Roman"/>
                <w:sz w:val="21"/>
              </w:rPr>
            </w:pPr>
            <w:r>
              <w:rPr>
                <w:rFonts w:ascii="Times New Roman"/>
                <w:w w:val="99"/>
                <w:sz w:val="21"/>
              </w:rPr>
              <w:t>3</w:t>
            </w:r>
          </w:p>
        </w:tc>
        <w:tc>
          <w:tcPr>
            <w:tcW w:w="428" w:type="dxa"/>
          </w:tcPr>
          <w:p w:rsidR="00B04AE3" w:rsidRDefault="00B04AE3">
            <w:pPr>
              <w:pStyle w:val="TableParagraph"/>
              <w:spacing w:before="46"/>
              <w:ind w:left="10"/>
              <w:rPr>
                <w:rFonts w:ascii="Times New Roman"/>
                <w:sz w:val="21"/>
              </w:rPr>
            </w:pPr>
            <w:r>
              <w:rPr>
                <w:rFonts w:ascii="Times New Roman"/>
                <w:w w:val="99"/>
                <w:sz w:val="21"/>
              </w:rPr>
              <w:t>E</w:t>
            </w:r>
          </w:p>
        </w:tc>
        <w:tc>
          <w:tcPr>
            <w:tcW w:w="1102" w:type="dxa"/>
          </w:tcPr>
          <w:p w:rsidR="00B04AE3" w:rsidRDefault="00B04AE3">
            <w:pPr>
              <w:pStyle w:val="TableParagraph"/>
              <w:spacing w:before="49"/>
              <w:ind w:left="424" w:right="417"/>
              <w:rPr>
                <w:rFonts w:ascii="Times New Roman"/>
                <w:sz w:val="21"/>
              </w:rPr>
            </w:pPr>
            <w:r>
              <w:rPr>
                <w:rFonts w:ascii="Times New Roman"/>
                <w:sz w:val="21"/>
              </w:rPr>
              <w:t>15</w:t>
            </w:r>
          </w:p>
        </w:tc>
        <w:tc>
          <w:tcPr>
            <w:tcW w:w="1388" w:type="dxa"/>
          </w:tcPr>
          <w:p w:rsidR="00B04AE3" w:rsidRDefault="00B04AE3">
            <w:pPr>
              <w:pStyle w:val="TableParagraph"/>
              <w:spacing w:before="49"/>
              <w:ind w:left="508"/>
              <w:jc w:val="left"/>
              <w:rPr>
                <w:rFonts w:ascii="Times New Roman"/>
                <w:sz w:val="21"/>
              </w:rPr>
            </w:pPr>
            <w:r>
              <w:rPr>
                <w:rFonts w:ascii="Times New Roman"/>
                <w:sz w:val="21"/>
              </w:rPr>
              <w:t>27.3</w:t>
            </w:r>
          </w:p>
        </w:tc>
        <w:tc>
          <w:tcPr>
            <w:tcW w:w="952" w:type="dxa"/>
          </w:tcPr>
          <w:p w:rsidR="00B04AE3" w:rsidRDefault="00B04AE3">
            <w:pPr>
              <w:pStyle w:val="TableParagraph"/>
              <w:spacing w:before="49"/>
              <w:ind w:left="140" w:right="130"/>
              <w:rPr>
                <w:rFonts w:ascii="Times New Roman"/>
                <w:sz w:val="21"/>
              </w:rPr>
            </w:pPr>
            <w:r>
              <w:rPr>
                <w:rFonts w:ascii="Times New Roman"/>
                <w:sz w:val="21"/>
              </w:rPr>
              <w:t>645.4</w:t>
            </w:r>
          </w:p>
        </w:tc>
        <w:tc>
          <w:tcPr>
            <w:tcW w:w="1018" w:type="dxa"/>
          </w:tcPr>
          <w:p w:rsidR="00B04AE3" w:rsidRDefault="00B04AE3">
            <w:pPr>
              <w:pStyle w:val="TableParagraph"/>
              <w:spacing w:before="49"/>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9"/>
              <w:ind w:left="248" w:right="238"/>
              <w:rPr>
                <w:rFonts w:ascii="Times New Roman"/>
                <w:sz w:val="21"/>
              </w:rPr>
            </w:pPr>
            <w:r>
              <w:rPr>
                <w:rFonts w:ascii="Times New Roman"/>
                <w:sz w:val="21"/>
              </w:rPr>
              <w:t>996.9</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7"/>
              <w:ind w:left="98"/>
              <w:jc w:val="left"/>
              <w:rPr>
                <w:rFonts w:ascii="Times New Roman"/>
                <w:sz w:val="21"/>
              </w:rPr>
            </w:pPr>
            <w:r>
              <w:rPr>
                <w:rFonts w:ascii="Times New Roman"/>
                <w:sz w:val="21"/>
              </w:rPr>
              <w:t>18</w:t>
            </w:r>
          </w:p>
        </w:tc>
        <w:tc>
          <w:tcPr>
            <w:tcW w:w="972" w:type="dxa"/>
          </w:tcPr>
          <w:p w:rsidR="00B04AE3" w:rsidRDefault="00B04AE3">
            <w:pPr>
              <w:pStyle w:val="TableParagraph"/>
              <w:spacing w:before="47"/>
              <w:ind w:left="9"/>
              <w:rPr>
                <w:rFonts w:ascii="Times New Roman"/>
                <w:sz w:val="21"/>
              </w:rPr>
            </w:pPr>
            <w:r>
              <w:rPr>
                <w:rFonts w:ascii="Times New Roman"/>
                <w:w w:val="99"/>
                <w:sz w:val="21"/>
              </w:rPr>
              <w:t>3</w:t>
            </w:r>
          </w:p>
        </w:tc>
        <w:tc>
          <w:tcPr>
            <w:tcW w:w="428" w:type="dxa"/>
          </w:tcPr>
          <w:p w:rsidR="00B04AE3" w:rsidRDefault="00B04AE3">
            <w:pPr>
              <w:pStyle w:val="TableParagraph"/>
              <w:spacing w:before="47"/>
              <w:ind w:left="10"/>
              <w:rPr>
                <w:rFonts w:ascii="Times New Roman"/>
                <w:sz w:val="21"/>
              </w:rPr>
            </w:pPr>
            <w:r>
              <w:rPr>
                <w:rFonts w:ascii="Times New Roman"/>
                <w:w w:val="99"/>
                <w:sz w:val="21"/>
              </w:rPr>
              <w:t>E</w:t>
            </w:r>
          </w:p>
        </w:tc>
        <w:tc>
          <w:tcPr>
            <w:tcW w:w="1102" w:type="dxa"/>
          </w:tcPr>
          <w:p w:rsidR="00B04AE3" w:rsidRDefault="00B04AE3">
            <w:pPr>
              <w:pStyle w:val="TableParagraph"/>
              <w:spacing w:before="49"/>
              <w:ind w:left="424" w:right="417"/>
              <w:rPr>
                <w:rFonts w:ascii="Times New Roman"/>
                <w:sz w:val="21"/>
              </w:rPr>
            </w:pPr>
            <w:r>
              <w:rPr>
                <w:rFonts w:ascii="Times New Roman"/>
                <w:sz w:val="21"/>
              </w:rPr>
              <w:t>30</w:t>
            </w:r>
          </w:p>
        </w:tc>
        <w:tc>
          <w:tcPr>
            <w:tcW w:w="1388" w:type="dxa"/>
          </w:tcPr>
          <w:p w:rsidR="00B04AE3" w:rsidRDefault="00B04AE3">
            <w:pPr>
              <w:pStyle w:val="TableParagraph"/>
              <w:spacing w:before="49"/>
              <w:ind w:left="541" w:right="533"/>
              <w:rPr>
                <w:rFonts w:ascii="Times New Roman"/>
                <w:sz w:val="21"/>
              </w:rPr>
            </w:pPr>
            <w:r>
              <w:rPr>
                <w:rFonts w:ascii="Times New Roman"/>
                <w:sz w:val="21"/>
              </w:rPr>
              <w:t>3.3</w:t>
            </w:r>
          </w:p>
        </w:tc>
        <w:tc>
          <w:tcPr>
            <w:tcW w:w="952" w:type="dxa"/>
          </w:tcPr>
          <w:p w:rsidR="00B04AE3" w:rsidRDefault="00B04AE3">
            <w:pPr>
              <w:pStyle w:val="TableParagraph"/>
              <w:spacing w:before="49"/>
              <w:ind w:left="140" w:right="132"/>
              <w:rPr>
                <w:rFonts w:ascii="Times New Roman"/>
                <w:sz w:val="21"/>
              </w:rPr>
            </w:pPr>
            <w:r>
              <w:rPr>
                <w:rFonts w:ascii="Times New Roman"/>
                <w:sz w:val="21"/>
              </w:rPr>
              <w:t>2,527.0</w:t>
            </w:r>
          </w:p>
        </w:tc>
        <w:tc>
          <w:tcPr>
            <w:tcW w:w="1018" w:type="dxa"/>
          </w:tcPr>
          <w:p w:rsidR="00B04AE3" w:rsidRDefault="00B04AE3">
            <w:pPr>
              <w:pStyle w:val="TableParagraph"/>
              <w:spacing w:before="49"/>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9"/>
              <w:ind w:left="246" w:right="238"/>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5"/>
              <w:ind w:left="98"/>
              <w:jc w:val="left"/>
              <w:rPr>
                <w:rFonts w:ascii="Times New Roman"/>
                <w:sz w:val="21"/>
              </w:rPr>
            </w:pPr>
            <w:r>
              <w:rPr>
                <w:rFonts w:ascii="Times New Roman"/>
                <w:sz w:val="21"/>
              </w:rPr>
              <w:t>19</w:t>
            </w:r>
          </w:p>
        </w:tc>
        <w:tc>
          <w:tcPr>
            <w:tcW w:w="972" w:type="dxa"/>
          </w:tcPr>
          <w:p w:rsidR="00B04AE3" w:rsidRDefault="00B04AE3">
            <w:pPr>
              <w:pStyle w:val="TableParagraph"/>
              <w:spacing w:before="45"/>
              <w:ind w:left="9"/>
              <w:rPr>
                <w:rFonts w:ascii="Times New Roman"/>
                <w:sz w:val="21"/>
              </w:rPr>
            </w:pPr>
            <w:r>
              <w:rPr>
                <w:rFonts w:ascii="Times New Roman"/>
                <w:w w:val="99"/>
                <w:sz w:val="21"/>
              </w:rPr>
              <w:t>1</w:t>
            </w:r>
          </w:p>
        </w:tc>
        <w:tc>
          <w:tcPr>
            <w:tcW w:w="428" w:type="dxa"/>
          </w:tcPr>
          <w:p w:rsidR="00B04AE3" w:rsidRDefault="00B04AE3">
            <w:pPr>
              <w:pStyle w:val="TableParagraph"/>
              <w:spacing w:before="45"/>
              <w:ind w:left="8"/>
              <w:rPr>
                <w:rFonts w:ascii="Times New Roman"/>
                <w:sz w:val="21"/>
              </w:rPr>
            </w:pPr>
            <w:r>
              <w:rPr>
                <w:rFonts w:ascii="Times New Roman"/>
                <w:w w:val="99"/>
                <w:sz w:val="21"/>
              </w:rPr>
              <w:t>F</w:t>
            </w:r>
          </w:p>
        </w:tc>
        <w:tc>
          <w:tcPr>
            <w:tcW w:w="1102" w:type="dxa"/>
          </w:tcPr>
          <w:p w:rsidR="00B04AE3" w:rsidRDefault="00B04AE3">
            <w:pPr>
              <w:pStyle w:val="TableParagraph"/>
              <w:spacing w:before="50"/>
              <w:ind w:left="7"/>
              <w:rPr>
                <w:rFonts w:ascii="Times New Roman"/>
                <w:sz w:val="21"/>
              </w:rPr>
            </w:pPr>
            <w:r>
              <w:rPr>
                <w:rFonts w:ascii="Times New Roman"/>
                <w:w w:val="99"/>
                <w:sz w:val="21"/>
              </w:rPr>
              <w:t>5</w:t>
            </w:r>
          </w:p>
        </w:tc>
        <w:tc>
          <w:tcPr>
            <w:tcW w:w="1388" w:type="dxa"/>
          </w:tcPr>
          <w:p w:rsidR="00B04AE3" w:rsidRDefault="00B04AE3">
            <w:pPr>
              <w:pStyle w:val="TableParagraph"/>
              <w:spacing w:before="50"/>
              <w:ind w:left="541" w:right="533"/>
              <w:rPr>
                <w:rFonts w:ascii="Times New Roman"/>
                <w:sz w:val="21"/>
              </w:rPr>
            </w:pPr>
            <w:r>
              <w:rPr>
                <w:rFonts w:ascii="Times New Roman"/>
                <w:sz w:val="21"/>
              </w:rPr>
              <w:t>0.4</w:t>
            </w:r>
          </w:p>
        </w:tc>
        <w:tc>
          <w:tcPr>
            <w:tcW w:w="952" w:type="dxa"/>
          </w:tcPr>
          <w:p w:rsidR="00B04AE3" w:rsidRDefault="00B04AE3">
            <w:pPr>
              <w:pStyle w:val="TableParagraph"/>
              <w:spacing w:before="50"/>
              <w:ind w:left="140" w:right="130"/>
              <w:rPr>
                <w:rFonts w:ascii="Times New Roman"/>
                <w:sz w:val="21"/>
              </w:rPr>
            </w:pPr>
            <w:r>
              <w:rPr>
                <w:rFonts w:ascii="Times New Roman"/>
                <w:sz w:val="21"/>
              </w:rPr>
              <w:t>163.1</w:t>
            </w:r>
          </w:p>
        </w:tc>
        <w:tc>
          <w:tcPr>
            <w:tcW w:w="1018" w:type="dxa"/>
          </w:tcPr>
          <w:p w:rsidR="00B04AE3" w:rsidRDefault="00B04AE3">
            <w:pPr>
              <w:pStyle w:val="TableParagraph"/>
              <w:spacing w:before="50"/>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50"/>
              <w:ind w:left="246" w:right="238"/>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5"/>
              <w:ind w:left="98"/>
              <w:jc w:val="left"/>
              <w:rPr>
                <w:rFonts w:ascii="Times New Roman"/>
                <w:sz w:val="21"/>
              </w:rPr>
            </w:pPr>
            <w:r>
              <w:rPr>
                <w:rFonts w:ascii="Times New Roman"/>
                <w:sz w:val="21"/>
              </w:rPr>
              <w:t>20</w:t>
            </w:r>
          </w:p>
        </w:tc>
        <w:tc>
          <w:tcPr>
            <w:tcW w:w="972" w:type="dxa"/>
          </w:tcPr>
          <w:p w:rsidR="00B04AE3" w:rsidRDefault="00B04AE3">
            <w:pPr>
              <w:pStyle w:val="TableParagraph"/>
              <w:spacing w:before="45"/>
              <w:ind w:left="9"/>
              <w:rPr>
                <w:rFonts w:ascii="Times New Roman"/>
                <w:sz w:val="21"/>
              </w:rPr>
            </w:pPr>
            <w:r>
              <w:rPr>
                <w:rFonts w:ascii="Times New Roman"/>
                <w:w w:val="99"/>
                <w:sz w:val="21"/>
              </w:rPr>
              <w:t>1</w:t>
            </w:r>
          </w:p>
        </w:tc>
        <w:tc>
          <w:tcPr>
            <w:tcW w:w="428" w:type="dxa"/>
          </w:tcPr>
          <w:p w:rsidR="00B04AE3" w:rsidRDefault="00B04AE3">
            <w:pPr>
              <w:pStyle w:val="TableParagraph"/>
              <w:spacing w:before="45"/>
              <w:ind w:left="8"/>
              <w:rPr>
                <w:rFonts w:ascii="Times New Roman"/>
                <w:sz w:val="21"/>
              </w:rPr>
            </w:pPr>
            <w:r>
              <w:rPr>
                <w:rFonts w:ascii="Times New Roman"/>
                <w:w w:val="99"/>
                <w:sz w:val="21"/>
              </w:rPr>
              <w:t>F</w:t>
            </w:r>
          </w:p>
        </w:tc>
        <w:tc>
          <w:tcPr>
            <w:tcW w:w="1102" w:type="dxa"/>
          </w:tcPr>
          <w:p w:rsidR="00B04AE3" w:rsidRDefault="00B04AE3">
            <w:pPr>
              <w:pStyle w:val="TableParagraph"/>
              <w:spacing w:before="48"/>
              <w:ind w:left="424" w:right="417"/>
              <w:rPr>
                <w:rFonts w:ascii="Times New Roman"/>
                <w:sz w:val="21"/>
              </w:rPr>
            </w:pPr>
            <w:r>
              <w:rPr>
                <w:rFonts w:ascii="Times New Roman"/>
                <w:sz w:val="21"/>
              </w:rPr>
              <w:t>15</w:t>
            </w:r>
          </w:p>
        </w:tc>
        <w:tc>
          <w:tcPr>
            <w:tcW w:w="1388" w:type="dxa"/>
          </w:tcPr>
          <w:p w:rsidR="00B04AE3" w:rsidRDefault="00B04AE3">
            <w:pPr>
              <w:pStyle w:val="TableParagraph"/>
              <w:spacing w:before="48"/>
              <w:ind w:left="541" w:right="533"/>
              <w:rPr>
                <w:rFonts w:ascii="Times New Roman"/>
                <w:sz w:val="21"/>
              </w:rPr>
            </w:pPr>
            <w:r>
              <w:rPr>
                <w:rFonts w:ascii="Times New Roman"/>
                <w:sz w:val="21"/>
              </w:rPr>
              <w:t>4.2</w:t>
            </w:r>
          </w:p>
        </w:tc>
        <w:tc>
          <w:tcPr>
            <w:tcW w:w="952" w:type="dxa"/>
          </w:tcPr>
          <w:p w:rsidR="00B04AE3" w:rsidRDefault="00B04AE3">
            <w:pPr>
              <w:pStyle w:val="TableParagraph"/>
              <w:spacing w:before="48"/>
              <w:ind w:left="140" w:right="130"/>
              <w:rPr>
                <w:rFonts w:ascii="Times New Roman"/>
                <w:sz w:val="21"/>
              </w:rPr>
            </w:pPr>
            <w:r>
              <w:rPr>
                <w:rFonts w:ascii="Times New Roman"/>
                <w:sz w:val="21"/>
              </w:rPr>
              <w:t>294.9</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246" w:right="238"/>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6"/>
              <w:ind w:left="98"/>
              <w:jc w:val="left"/>
              <w:rPr>
                <w:rFonts w:ascii="Times New Roman"/>
                <w:sz w:val="21"/>
              </w:rPr>
            </w:pPr>
            <w:r>
              <w:rPr>
                <w:rFonts w:ascii="Times New Roman"/>
                <w:sz w:val="21"/>
              </w:rPr>
              <w:t>21</w:t>
            </w:r>
          </w:p>
        </w:tc>
        <w:tc>
          <w:tcPr>
            <w:tcW w:w="972" w:type="dxa"/>
          </w:tcPr>
          <w:p w:rsidR="00B04AE3" w:rsidRDefault="00B04AE3">
            <w:pPr>
              <w:pStyle w:val="TableParagraph"/>
              <w:spacing w:before="46"/>
              <w:ind w:left="9"/>
              <w:rPr>
                <w:rFonts w:ascii="Times New Roman"/>
                <w:sz w:val="21"/>
              </w:rPr>
            </w:pPr>
            <w:r>
              <w:rPr>
                <w:rFonts w:ascii="Times New Roman"/>
                <w:w w:val="99"/>
                <w:sz w:val="21"/>
              </w:rPr>
              <w:t>1</w:t>
            </w:r>
          </w:p>
        </w:tc>
        <w:tc>
          <w:tcPr>
            <w:tcW w:w="428" w:type="dxa"/>
          </w:tcPr>
          <w:p w:rsidR="00B04AE3" w:rsidRDefault="00B04AE3">
            <w:pPr>
              <w:pStyle w:val="TableParagraph"/>
              <w:spacing w:before="46"/>
              <w:ind w:left="8"/>
              <w:rPr>
                <w:rFonts w:ascii="Times New Roman"/>
                <w:sz w:val="21"/>
              </w:rPr>
            </w:pPr>
            <w:r>
              <w:rPr>
                <w:rFonts w:ascii="Times New Roman"/>
                <w:w w:val="99"/>
                <w:sz w:val="21"/>
              </w:rPr>
              <w:t>F</w:t>
            </w:r>
          </w:p>
        </w:tc>
        <w:tc>
          <w:tcPr>
            <w:tcW w:w="1102" w:type="dxa"/>
          </w:tcPr>
          <w:p w:rsidR="00B04AE3" w:rsidRDefault="00B04AE3">
            <w:pPr>
              <w:pStyle w:val="TableParagraph"/>
              <w:spacing w:before="48"/>
              <w:ind w:left="424" w:right="417"/>
              <w:rPr>
                <w:rFonts w:ascii="Times New Roman"/>
                <w:sz w:val="21"/>
              </w:rPr>
            </w:pPr>
            <w:r>
              <w:rPr>
                <w:rFonts w:ascii="Times New Roman"/>
                <w:sz w:val="21"/>
              </w:rPr>
              <w:t>30</w:t>
            </w:r>
          </w:p>
        </w:tc>
        <w:tc>
          <w:tcPr>
            <w:tcW w:w="1388" w:type="dxa"/>
          </w:tcPr>
          <w:p w:rsidR="00B04AE3" w:rsidRDefault="00B04AE3">
            <w:pPr>
              <w:pStyle w:val="TableParagraph"/>
              <w:spacing w:before="48"/>
              <w:ind w:left="541" w:right="533"/>
              <w:rPr>
                <w:rFonts w:ascii="Times New Roman"/>
                <w:sz w:val="21"/>
              </w:rPr>
            </w:pPr>
            <w:r>
              <w:rPr>
                <w:rFonts w:ascii="Times New Roman"/>
                <w:sz w:val="21"/>
              </w:rPr>
              <w:t>0.6</w:t>
            </w:r>
          </w:p>
        </w:tc>
        <w:tc>
          <w:tcPr>
            <w:tcW w:w="952" w:type="dxa"/>
          </w:tcPr>
          <w:p w:rsidR="00B04AE3" w:rsidRDefault="00B04AE3">
            <w:pPr>
              <w:pStyle w:val="TableParagraph"/>
              <w:spacing w:before="48"/>
              <w:ind w:left="140" w:right="130"/>
              <w:rPr>
                <w:rFonts w:ascii="Times New Roman"/>
                <w:sz w:val="21"/>
              </w:rPr>
            </w:pPr>
            <w:r>
              <w:rPr>
                <w:rFonts w:ascii="Times New Roman"/>
                <w:sz w:val="21"/>
              </w:rPr>
              <w:t>878.7</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246" w:right="238"/>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6"/>
              <w:ind w:left="98"/>
              <w:jc w:val="left"/>
              <w:rPr>
                <w:rFonts w:ascii="Times New Roman"/>
                <w:sz w:val="21"/>
              </w:rPr>
            </w:pPr>
            <w:r>
              <w:rPr>
                <w:rFonts w:ascii="Times New Roman"/>
                <w:sz w:val="21"/>
              </w:rPr>
              <w:t>22</w:t>
            </w:r>
          </w:p>
        </w:tc>
        <w:tc>
          <w:tcPr>
            <w:tcW w:w="972" w:type="dxa"/>
          </w:tcPr>
          <w:p w:rsidR="00B04AE3" w:rsidRDefault="00B04AE3">
            <w:pPr>
              <w:pStyle w:val="TableParagraph"/>
              <w:spacing w:before="46"/>
              <w:ind w:left="96" w:right="87"/>
              <w:rPr>
                <w:rFonts w:ascii="Times New Roman"/>
                <w:sz w:val="21"/>
              </w:rPr>
            </w:pPr>
            <w:r>
              <w:rPr>
                <w:rFonts w:ascii="Times New Roman"/>
                <w:sz w:val="21"/>
              </w:rPr>
              <w:t>1.5</w:t>
            </w:r>
          </w:p>
        </w:tc>
        <w:tc>
          <w:tcPr>
            <w:tcW w:w="428" w:type="dxa"/>
          </w:tcPr>
          <w:p w:rsidR="00B04AE3" w:rsidRDefault="00B04AE3">
            <w:pPr>
              <w:pStyle w:val="TableParagraph"/>
              <w:spacing w:before="46"/>
              <w:ind w:left="8"/>
              <w:rPr>
                <w:rFonts w:ascii="Times New Roman"/>
                <w:sz w:val="21"/>
              </w:rPr>
            </w:pPr>
            <w:r>
              <w:rPr>
                <w:rFonts w:ascii="Times New Roman"/>
                <w:w w:val="99"/>
                <w:sz w:val="21"/>
              </w:rPr>
              <w:t>F</w:t>
            </w:r>
          </w:p>
        </w:tc>
        <w:tc>
          <w:tcPr>
            <w:tcW w:w="1102" w:type="dxa"/>
          </w:tcPr>
          <w:p w:rsidR="00B04AE3" w:rsidRDefault="00B04AE3">
            <w:pPr>
              <w:pStyle w:val="TableParagraph"/>
              <w:spacing w:before="48"/>
              <w:ind w:left="7"/>
              <w:rPr>
                <w:rFonts w:ascii="Times New Roman"/>
                <w:sz w:val="21"/>
              </w:rPr>
            </w:pPr>
            <w:r>
              <w:rPr>
                <w:rFonts w:ascii="Times New Roman"/>
                <w:w w:val="99"/>
                <w:sz w:val="21"/>
              </w:rPr>
              <w:t>5</w:t>
            </w:r>
          </w:p>
        </w:tc>
        <w:tc>
          <w:tcPr>
            <w:tcW w:w="1388" w:type="dxa"/>
          </w:tcPr>
          <w:p w:rsidR="00B04AE3" w:rsidRDefault="00B04AE3">
            <w:pPr>
              <w:pStyle w:val="TableParagraph"/>
              <w:spacing w:before="48"/>
              <w:ind w:left="458"/>
              <w:jc w:val="left"/>
              <w:rPr>
                <w:rFonts w:ascii="Times New Roman"/>
                <w:sz w:val="21"/>
              </w:rPr>
            </w:pPr>
            <w:r>
              <w:rPr>
                <w:rFonts w:ascii="Times New Roman"/>
                <w:sz w:val="21"/>
              </w:rPr>
              <w:t>181.3</w:t>
            </w:r>
          </w:p>
        </w:tc>
        <w:tc>
          <w:tcPr>
            <w:tcW w:w="952" w:type="dxa"/>
          </w:tcPr>
          <w:p w:rsidR="00B04AE3" w:rsidRDefault="00B04AE3">
            <w:pPr>
              <w:pStyle w:val="TableParagraph"/>
              <w:spacing w:before="48"/>
              <w:ind w:left="140" w:right="130"/>
              <w:rPr>
                <w:rFonts w:ascii="Times New Roman"/>
                <w:sz w:val="21"/>
              </w:rPr>
            </w:pPr>
            <w:r>
              <w:rPr>
                <w:rFonts w:ascii="Times New Roman"/>
                <w:sz w:val="21"/>
              </w:rPr>
              <w:t>226.5</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248" w:right="238"/>
              <w:rPr>
                <w:rFonts w:ascii="Times New Roman"/>
                <w:sz w:val="21"/>
              </w:rPr>
            </w:pPr>
            <w:r>
              <w:rPr>
                <w:rFonts w:ascii="Times New Roman"/>
                <w:sz w:val="21"/>
              </w:rPr>
              <w:t>312.4</w:t>
            </w:r>
          </w:p>
        </w:tc>
        <w:tc>
          <w:tcPr>
            <w:tcW w:w="1167" w:type="dxa"/>
          </w:tcPr>
          <w:p w:rsidR="00B04AE3" w:rsidRDefault="00B04AE3">
            <w:pPr>
              <w:pStyle w:val="TableParagraph"/>
              <w:spacing w:before="48"/>
              <w:ind w:left="247" w:right="238"/>
              <w:rPr>
                <w:rFonts w:ascii="Times New Roman"/>
                <w:sz w:val="21"/>
              </w:rPr>
            </w:pPr>
            <w:r>
              <w:rPr>
                <w:rFonts w:ascii="Times New Roman"/>
                <w:sz w:val="21"/>
              </w:rPr>
              <w:t>280.8</w:t>
            </w:r>
          </w:p>
        </w:tc>
      </w:tr>
      <w:tr w:rsidR="00B04AE3">
        <w:trPr>
          <w:trHeight w:val="340"/>
        </w:trPr>
        <w:tc>
          <w:tcPr>
            <w:tcW w:w="409" w:type="dxa"/>
          </w:tcPr>
          <w:p w:rsidR="00B04AE3" w:rsidRDefault="00B04AE3">
            <w:pPr>
              <w:pStyle w:val="TableParagraph"/>
              <w:spacing w:before="46"/>
              <w:ind w:left="98"/>
              <w:jc w:val="left"/>
              <w:rPr>
                <w:rFonts w:ascii="Times New Roman"/>
                <w:sz w:val="21"/>
              </w:rPr>
            </w:pPr>
            <w:r>
              <w:rPr>
                <w:rFonts w:ascii="Times New Roman"/>
                <w:sz w:val="21"/>
              </w:rPr>
              <w:t>23</w:t>
            </w:r>
          </w:p>
        </w:tc>
        <w:tc>
          <w:tcPr>
            <w:tcW w:w="972" w:type="dxa"/>
          </w:tcPr>
          <w:p w:rsidR="00B04AE3" w:rsidRDefault="00B04AE3">
            <w:pPr>
              <w:pStyle w:val="TableParagraph"/>
              <w:spacing w:before="46"/>
              <w:ind w:left="96" w:right="87"/>
              <w:rPr>
                <w:rFonts w:ascii="Times New Roman"/>
                <w:sz w:val="21"/>
              </w:rPr>
            </w:pPr>
            <w:r>
              <w:rPr>
                <w:rFonts w:ascii="Times New Roman"/>
                <w:sz w:val="21"/>
              </w:rPr>
              <w:t>1.5</w:t>
            </w:r>
          </w:p>
        </w:tc>
        <w:tc>
          <w:tcPr>
            <w:tcW w:w="428" w:type="dxa"/>
          </w:tcPr>
          <w:p w:rsidR="00B04AE3" w:rsidRDefault="00B04AE3">
            <w:pPr>
              <w:pStyle w:val="TableParagraph"/>
              <w:spacing w:before="46"/>
              <w:ind w:left="8"/>
              <w:rPr>
                <w:rFonts w:ascii="Times New Roman"/>
                <w:sz w:val="21"/>
              </w:rPr>
            </w:pPr>
            <w:r>
              <w:rPr>
                <w:rFonts w:ascii="Times New Roman"/>
                <w:w w:val="99"/>
                <w:sz w:val="21"/>
              </w:rPr>
              <w:t>F</w:t>
            </w:r>
          </w:p>
        </w:tc>
        <w:tc>
          <w:tcPr>
            <w:tcW w:w="1102" w:type="dxa"/>
          </w:tcPr>
          <w:p w:rsidR="00B04AE3" w:rsidRDefault="00B04AE3">
            <w:pPr>
              <w:pStyle w:val="TableParagraph"/>
              <w:spacing w:before="49"/>
              <w:ind w:left="424" w:right="417"/>
              <w:rPr>
                <w:rFonts w:ascii="Times New Roman"/>
                <w:sz w:val="21"/>
              </w:rPr>
            </w:pPr>
            <w:r>
              <w:rPr>
                <w:rFonts w:ascii="Times New Roman"/>
                <w:sz w:val="21"/>
              </w:rPr>
              <w:t>15</w:t>
            </w:r>
          </w:p>
        </w:tc>
        <w:tc>
          <w:tcPr>
            <w:tcW w:w="1388" w:type="dxa"/>
          </w:tcPr>
          <w:p w:rsidR="00B04AE3" w:rsidRDefault="00B04AE3">
            <w:pPr>
              <w:pStyle w:val="TableParagraph"/>
              <w:spacing w:before="49"/>
              <w:ind w:left="458"/>
              <w:jc w:val="left"/>
              <w:rPr>
                <w:rFonts w:ascii="Times New Roman"/>
                <w:sz w:val="21"/>
              </w:rPr>
            </w:pPr>
            <w:r>
              <w:rPr>
                <w:rFonts w:ascii="Times New Roman"/>
                <w:sz w:val="21"/>
              </w:rPr>
              <w:t>152.0</w:t>
            </w:r>
          </w:p>
        </w:tc>
        <w:tc>
          <w:tcPr>
            <w:tcW w:w="952" w:type="dxa"/>
          </w:tcPr>
          <w:p w:rsidR="00B04AE3" w:rsidRDefault="00B04AE3">
            <w:pPr>
              <w:pStyle w:val="TableParagraph"/>
              <w:spacing w:before="49"/>
              <w:ind w:left="140" w:right="130"/>
              <w:rPr>
                <w:rFonts w:ascii="Times New Roman"/>
                <w:sz w:val="21"/>
              </w:rPr>
            </w:pPr>
            <w:r>
              <w:rPr>
                <w:rFonts w:ascii="Times New Roman"/>
                <w:sz w:val="21"/>
              </w:rPr>
              <w:t>328.1</w:t>
            </w:r>
          </w:p>
        </w:tc>
        <w:tc>
          <w:tcPr>
            <w:tcW w:w="1018" w:type="dxa"/>
          </w:tcPr>
          <w:p w:rsidR="00B04AE3" w:rsidRDefault="00B04AE3">
            <w:pPr>
              <w:pStyle w:val="TableParagraph"/>
              <w:spacing w:before="49"/>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9"/>
              <w:ind w:left="248" w:right="238"/>
              <w:rPr>
                <w:rFonts w:ascii="Times New Roman"/>
                <w:sz w:val="21"/>
              </w:rPr>
            </w:pPr>
            <w:r>
              <w:rPr>
                <w:rFonts w:ascii="Times New Roman"/>
                <w:sz w:val="21"/>
              </w:rPr>
              <w:t>870.6</w:t>
            </w:r>
          </w:p>
        </w:tc>
        <w:tc>
          <w:tcPr>
            <w:tcW w:w="1167" w:type="dxa"/>
          </w:tcPr>
          <w:p w:rsidR="00B04AE3" w:rsidRDefault="00B04AE3">
            <w:pPr>
              <w:pStyle w:val="TableParagraph"/>
              <w:spacing w:before="49"/>
              <w:ind w:left="247" w:right="238"/>
              <w:rPr>
                <w:rFonts w:ascii="Times New Roman"/>
                <w:sz w:val="21"/>
              </w:rPr>
            </w:pPr>
            <w:r>
              <w:rPr>
                <w:rFonts w:ascii="Times New Roman"/>
                <w:sz w:val="21"/>
              </w:rPr>
              <w:t>507.1</w:t>
            </w:r>
          </w:p>
        </w:tc>
      </w:tr>
      <w:tr w:rsidR="00B04AE3">
        <w:trPr>
          <w:trHeight w:val="340"/>
        </w:trPr>
        <w:tc>
          <w:tcPr>
            <w:tcW w:w="409" w:type="dxa"/>
          </w:tcPr>
          <w:p w:rsidR="00B04AE3" w:rsidRDefault="00B04AE3">
            <w:pPr>
              <w:pStyle w:val="TableParagraph"/>
              <w:spacing w:before="47"/>
              <w:ind w:left="98"/>
              <w:jc w:val="left"/>
              <w:rPr>
                <w:rFonts w:ascii="Times New Roman"/>
                <w:sz w:val="21"/>
              </w:rPr>
            </w:pPr>
            <w:r>
              <w:rPr>
                <w:rFonts w:ascii="Times New Roman"/>
                <w:sz w:val="21"/>
              </w:rPr>
              <w:t>24</w:t>
            </w:r>
          </w:p>
        </w:tc>
        <w:tc>
          <w:tcPr>
            <w:tcW w:w="972" w:type="dxa"/>
          </w:tcPr>
          <w:p w:rsidR="00B04AE3" w:rsidRDefault="00B04AE3">
            <w:pPr>
              <w:pStyle w:val="TableParagraph"/>
              <w:spacing w:before="47"/>
              <w:ind w:left="96" w:right="87"/>
              <w:rPr>
                <w:rFonts w:ascii="Times New Roman"/>
                <w:sz w:val="21"/>
              </w:rPr>
            </w:pPr>
            <w:r>
              <w:rPr>
                <w:rFonts w:ascii="Times New Roman"/>
                <w:sz w:val="21"/>
              </w:rPr>
              <w:t>1.5</w:t>
            </w:r>
          </w:p>
        </w:tc>
        <w:tc>
          <w:tcPr>
            <w:tcW w:w="428" w:type="dxa"/>
          </w:tcPr>
          <w:p w:rsidR="00B04AE3" w:rsidRDefault="00B04AE3">
            <w:pPr>
              <w:pStyle w:val="TableParagraph"/>
              <w:spacing w:before="47"/>
              <w:ind w:left="8"/>
              <w:rPr>
                <w:rFonts w:ascii="Times New Roman"/>
                <w:sz w:val="21"/>
              </w:rPr>
            </w:pPr>
            <w:r>
              <w:rPr>
                <w:rFonts w:ascii="Times New Roman"/>
                <w:w w:val="99"/>
                <w:sz w:val="21"/>
              </w:rPr>
              <w:t>F</w:t>
            </w:r>
          </w:p>
        </w:tc>
        <w:tc>
          <w:tcPr>
            <w:tcW w:w="1102" w:type="dxa"/>
          </w:tcPr>
          <w:p w:rsidR="00B04AE3" w:rsidRDefault="00B04AE3">
            <w:pPr>
              <w:pStyle w:val="TableParagraph"/>
              <w:spacing w:before="49"/>
              <w:ind w:left="424" w:right="417"/>
              <w:rPr>
                <w:rFonts w:ascii="Times New Roman"/>
                <w:sz w:val="21"/>
              </w:rPr>
            </w:pPr>
            <w:r>
              <w:rPr>
                <w:rFonts w:ascii="Times New Roman"/>
                <w:sz w:val="21"/>
              </w:rPr>
              <w:t>30</w:t>
            </w:r>
          </w:p>
        </w:tc>
        <w:tc>
          <w:tcPr>
            <w:tcW w:w="1388" w:type="dxa"/>
          </w:tcPr>
          <w:p w:rsidR="00B04AE3" w:rsidRDefault="00B04AE3">
            <w:pPr>
              <w:pStyle w:val="TableParagraph"/>
              <w:spacing w:before="49"/>
              <w:ind w:left="508"/>
              <w:jc w:val="left"/>
              <w:rPr>
                <w:rFonts w:ascii="Times New Roman"/>
                <w:sz w:val="21"/>
              </w:rPr>
            </w:pPr>
            <w:r>
              <w:rPr>
                <w:rFonts w:ascii="Times New Roman"/>
                <w:sz w:val="21"/>
              </w:rPr>
              <w:t>26.9</w:t>
            </w:r>
          </w:p>
        </w:tc>
        <w:tc>
          <w:tcPr>
            <w:tcW w:w="952" w:type="dxa"/>
          </w:tcPr>
          <w:p w:rsidR="00B04AE3" w:rsidRDefault="00B04AE3">
            <w:pPr>
              <w:pStyle w:val="TableParagraph"/>
              <w:spacing w:before="49"/>
              <w:ind w:left="140" w:right="132"/>
              <w:rPr>
                <w:rFonts w:ascii="Times New Roman"/>
                <w:sz w:val="21"/>
              </w:rPr>
            </w:pPr>
            <w:r>
              <w:rPr>
                <w:rFonts w:ascii="Times New Roman"/>
                <w:sz w:val="21"/>
              </w:rPr>
              <w:t>1,256.5</w:t>
            </w:r>
          </w:p>
        </w:tc>
        <w:tc>
          <w:tcPr>
            <w:tcW w:w="1018" w:type="dxa"/>
          </w:tcPr>
          <w:p w:rsidR="00B04AE3" w:rsidRDefault="00B04AE3">
            <w:pPr>
              <w:pStyle w:val="TableParagraph"/>
              <w:spacing w:before="49"/>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9"/>
              <w:ind w:left="248" w:right="238"/>
              <w:rPr>
                <w:rFonts w:ascii="Times New Roman"/>
                <w:sz w:val="21"/>
              </w:rPr>
            </w:pPr>
            <w:r>
              <w:rPr>
                <w:rFonts w:ascii="Times New Roman"/>
                <w:sz w:val="21"/>
              </w:rPr>
              <w:t>1,618.6</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5"/>
              <w:ind w:left="98"/>
              <w:jc w:val="left"/>
              <w:rPr>
                <w:rFonts w:ascii="Times New Roman"/>
                <w:sz w:val="21"/>
              </w:rPr>
            </w:pPr>
            <w:r>
              <w:rPr>
                <w:rFonts w:ascii="Times New Roman"/>
                <w:sz w:val="21"/>
              </w:rPr>
              <w:t>25</w:t>
            </w:r>
          </w:p>
        </w:tc>
        <w:tc>
          <w:tcPr>
            <w:tcW w:w="972" w:type="dxa"/>
          </w:tcPr>
          <w:p w:rsidR="00B04AE3" w:rsidRDefault="00B04AE3">
            <w:pPr>
              <w:pStyle w:val="TableParagraph"/>
              <w:spacing w:before="45"/>
              <w:ind w:left="9"/>
              <w:rPr>
                <w:rFonts w:ascii="Times New Roman"/>
                <w:sz w:val="21"/>
              </w:rPr>
            </w:pPr>
            <w:r>
              <w:rPr>
                <w:rFonts w:ascii="Times New Roman"/>
                <w:w w:val="99"/>
                <w:sz w:val="21"/>
              </w:rPr>
              <w:t>3</w:t>
            </w:r>
          </w:p>
        </w:tc>
        <w:tc>
          <w:tcPr>
            <w:tcW w:w="428" w:type="dxa"/>
          </w:tcPr>
          <w:p w:rsidR="00B04AE3" w:rsidRDefault="00B04AE3">
            <w:pPr>
              <w:pStyle w:val="TableParagraph"/>
              <w:spacing w:before="45"/>
              <w:ind w:left="8"/>
              <w:rPr>
                <w:rFonts w:ascii="Times New Roman"/>
                <w:sz w:val="21"/>
              </w:rPr>
            </w:pPr>
            <w:r>
              <w:rPr>
                <w:rFonts w:ascii="Times New Roman"/>
                <w:w w:val="99"/>
                <w:sz w:val="21"/>
              </w:rPr>
              <w:t>F</w:t>
            </w:r>
          </w:p>
        </w:tc>
        <w:tc>
          <w:tcPr>
            <w:tcW w:w="1102" w:type="dxa"/>
          </w:tcPr>
          <w:p w:rsidR="00B04AE3" w:rsidRDefault="00B04AE3">
            <w:pPr>
              <w:pStyle w:val="TableParagraph"/>
              <w:spacing w:before="50"/>
              <w:ind w:left="7"/>
              <w:rPr>
                <w:rFonts w:ascii="Times New Roman"/>
                <w:sz w:val="21"/>
              </w:rPr>
            </w:pPr>
            <w:r>
              <w:rPr>
                <w:rFonts w:ascii="Times New Roman"/>
                <w:w w:val="99"/>
                <w:sz w:val="21"/>
              </w:rPr>
              <w:t>5</w:t>
            </w:r>
          </w:p>
        </w:tc>
        <w:tc>
          <w:tcPr>
            <w:tcW w:w="1388" w:type="dxa"/>
          </w:tcPr>
          <w:p w:rsidR="00B04AE3" w:rsidRDefault="00B04AE3">
            <w:pPr>
              <w:pStyle w:val="TableParagraph"/>
              <w:spacing w:before="50"/>
              <w:ind w:left="458"/>
              <w:jc w:val="left"/>
              <w:rPr>
                <w:rFonts w:ascii="Times New Roman"/>
                <w:sz w:val="21"/>
              </w:rPr>
            </w:pPr>
            <w:r>
              <w:rPr>
                <w:rFonts w:ascii="Times New Roman"/>
                <w:sz w:val="21"/>
              </w:rPr>
              <w:t>137.5</w:t>
            </w:r>
          </w:p>
        </w:tc>
        <w:tc>
          <w:tcPr>
            <w:tcW w:w="952" w:type="dxa"/>
          </w:tcPr>
          <w:p w:rsidR="00B04AE3" w:rsidRDefault="00B04AE3">
            <w:pPr>
              <w:pStyle w:val="TableParagraph"/>
              <w:spacing w:before="50"/>
              <w:ind w:left="140" w:right="130"/>
              <w:rPr>
                <w:rFonts w:ascii="Times New Roman"/>
                <w:sz w:val="21"/>
              </w:rPr>
            </w:pPr>
            <w:r>
              <w:rPr>
                <w:rFonts w:ascii="Times New Roman"/>
                <w:sz w:val="21"/>
              </w:rPr>
              <w:t>178.5</w:t>
            </w:r>
          </w:p>
        </w:tc>
        <w:tc>
          <w:tcPr>
            <w:tcW w:w="1018" w:type="dxa"/>
          </w:tcPr>
          <w:p w:rsidR="00B04AE3" w:rsidRDefault="00B04AE3">
            <w:pPr>
              <w:pStyle w:val="TableParagraph"/>
              <w:spacing w:before="50"/>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50"/>
              <w:ind w:left="248" w:right="238"/>
              <w:rPr>
                <w:rFonts w:ascii="Times New Roman"/>
                <w:sz w:val="21"/>
              </w:rPr>
            </w:pPr>
            <w:r>
              <w:rPr>
                <w:rFonts w:ascii="Times New Roman"/>
                <w:sz w:val="21"/>
              </w:rPr>
              <w:t>585.4</w:t>
            </w:r>
          </w:p>
        </w:tc>
        <w:tc>
          <w:tcPr>
            <w:tcW w:w="1167" w:type="dxa"/>
          </w:tcPr>
          <w:p w:rsidR="00B04AE3" w:rsidRDefault="00B04AE3">
            <w:pPr>
              <w:pStyle w:val="TableParagraph"/>
              <w:spacing w:before="50"/>
              <w:ind w:left="247" w:right="238"/>
              <w:rPr>
                <w:rFonts w:ascii="Times New Roman"/>
                <w:sz w:val="21"/>
              </w:rPr>
            </w:pPr>
            <w:r>
              <w:rPr>
                <w:rFonts w:ascii="Times New Roman"/>
                <w:sz w:val="21"/>
              </w:rPr>
              <w:t>310.5</w:t>
            </w:r>
          </w:p>
        </w:tc>
      </w:tr>
      <w:tr w:rsidR="00B04AE3">
        <w:trPr>
          <w:trHeight w:val="340"/>
        </w:trPr>
        <w:tc>
          <w:tcPr>
            <w:tcW w:w="409" w:type="dxa"/>
          </w:tcPr>
          <w:p w:rsidR="00B04AE3" w:rsidRDefault="00B04AE3">
            <w:pPr>
              <w:pStyle w:val="TableParagraph"/>
              <w:spacing w:before="45"/>
              <w:ind w:left="98"/>
              <w:jc w:val="left"/>
              <w:rPr>
                <w:rFonts w:ascii="Times New Roman"/>
                <w:sz w:val="21"/>
              </w:rPr>
            </w:pPr>
            <w:r>
              <w:rPr>
                <w:rFonts w:ascii="Times New Roman"/>
                <w:sz w:val="21"/>
              </w:rPr>
              <w:t>26</w:t>
            </w:r>
          </w:p>
        </w:tc>
        <w:tc>
          <w:tcPr>
            <w:tcW w:w="972" w:type="dxa"/>
          </w:tcPr>
          <w:p w:rsidR="00B04AE3" w:rsidRDefault="00B04AE3">
            <w:pPr>
              <w:pStyle w:val="TableParagraph"/>
              <w:spacing w:before="45"/>
              <w:ind w:left="9"/>
              <w:rPr>
                <w:rFonts w:ascii="Times New Roman"/>
                <w:sz w:val="21"/>
              </w:rPr>
            </w:pPr>
            <w:r>
              <w:rPr>
                <w:rFonts w:ascii="Times New Roman"/>
                <w:w w:val="99"/>
                <w:sz w:val="21"/>
              </w:rPr>
              <w:t>3</w:t>
            </w:r>
          </w:p>
        </w:tc>
        <w:tc>
          <w:tcPr>
            <w:tcW w:w="428" w:type="dxa"/>
          </w:tcPr>
          <w:p w:rsidR="00B04AE3" w:rsidRDefault="00B04AE3">
            <w:pPr>
              <w:pStyle w:val="TableParagraph"/>
              <w:spacing w:before="45"/>
              <w:ind w:left="8"/>
              <w:rPr>
                <w:rFonts w:ascii="Times New Roman"/>
                <w:sz w:val="21"/>
              </w:rPr>
            </w:pPr>
            <w:r>
              <w:rPr>
                <w:rFonts w:ascii="Times New Roman"/>
                <w:w w:val="99"/>
                <w:sz w:val="21"/>
              </w:rPr>
              <w:t>F</w:t>
            </w:r>
          </w:p>
        </w:tc>
        <w:tc>
          <w:tcPr>
            <w:tcW w:w="1102" w:type="dxa"/>
          </w:tcPr>
          <w:p w:rsidR="00B04AE3" w:rsidRDefault="00B04AE3">
            <w:pPr>
              <w:pStyle w:val="TableParagraph"/>
              <w:spacing w:before="48"/>
              <w:ind w:left="424" w:right="417"/>
              <w:rPr>
                <w:rFonts w:ascii="Times New Roman"/>
                <w:sz w:val="21"/>
              </w:rPr>
            </w:pPr>
            <w:r>
              <w:rPr>
                <w:rFonts w:ascii="Times New Roman"/>
                <w:sz w:val="21"/>
              </w:rPr>
              <w:t>15</w:t>
            </w:r>
          </w:p>
        </w:tc>
        <w:tc>
          <w:tcPr>
            <w:tcW w:w="1388" w:type="dxa"/>
          </w:tcPr>
          <w:p w:rsidR="00B04AE3" w:rsidRDefault="00B04AE3">
            <w:pPr>
              <w:pStyle w:val="TableParagraph"/>
              <w:spacing w:before="48"/>
              <w:ind w:left="508"/>
              <w:jc w:val="left"/>
              <w:rPr>
                <w:rFonts w:ascii="Times New Roman"/>
                <w:sz w:val="21"/>
              </w:rPr>
            </w:pPr>
            <w:r>
              <w:rPr>
                <w:rFonts w:ascii="Times New Roman"/>
                <w:sz w:val="21"/>
              </w:rPr>
              <w:t>37.9</w:t>
            </w:r>
          </w:p>
        </w:tc>
        <w:tc>
          <w:tcPr>
            <w:tcW w:w="952" w:type="dxa"/>
          </w:tcPr>
          <w:p w:rsidR="00B04AE3" w:rsidRDefault="00B04AE3">
            <w:pPr>
              <w:pStyle w:val="TableParagraph"/>
              <w:spacing w:before="48"/>
              <w:ind w:left="140" w:right="130"/>
              <w:rPr>
                <w:rFonts w:ascii="Times New Roman"/>
                <w:sz w:val="21"/>
              </w:rPr>
            </w:pPr>
            <w:r>
              <w:rPr>
                <w:rFonts w:ascii="Times New Roman"/>
                <w:sz w:val="21"/>
              </w:rPr>
              <w:t>636.7</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248" w:right="238"/>
              <w:rPr>
                <w:rFonts w:ascii="Times New Roman"/>
                <w:sz w:val="21"/>
              </w:rPr>
            </w:pPr>
            <w:r>
              <w:rPr>
                <w:rFonts w:ascii="Times New Roman"/>
                <w:sz w:val="21"/>
              </w:rPr>
              <w:t>1,220.8</w:t>
            </w:r>
          </w:p>
        </w:tc>
        <w:tc>
          <w:tcPr>
            <w:tcW w:w="1167" w:type="dxa"/>
          </w:tcPr>
          <w:p w:rsidR="00B04AE3" w:rsidRDefault="00B04AE3">
            <w:pPr>
              <w:pStyle w:val="TableParagraph"/>
              <w:jc w:val="left"/>
              <w:rPr>
                <w:rFonts w:ascii="Times New Roman"/>
                <w:sz w:val="20"/>
              </w:rPr>
            </w:pPr>
          </w:p>
        </w:tc>
      </w:tr>
      <w:tr w:rsidR="00B04AE3">
        <w:trPr>
          <w:trHeight w:val="340"/>
        </w:trPr>
        <w:tc>
          <w:tcPr>
            <w:tcW w:w="409" w:type="dxa"/>
          </w:tcPr>
          <w:p w:rsidR="00B04AE3" w:rsidRDefault="00B04AE3">
            <w:pPr>
              <w:pStyle w:val="TableParagraph"/>
              <w:spacing w:before="46"/>
              <w:ind w:left="98"/>
              <w:jc w:val="left"/>
              <w:rPr>
                <w:rFonts w:ascii="Times New Roman"/>
                <w:sz w:val="21"/>
              </w:rPr>
            </w:pPr>
            <w:r>
              <w:rPr>
                <w:rFonts w:ascii="Times New Roman"/>
                <w:sz w:val="21"/>
              </w:rPr>
              <w:t>27</w:t>
            </w:r>
          </w:p>
        </w:tc>
        <w:tc>
          <w:tcPr>
            <w:tcW w:w="972" w:type="dxa"/>
          </w:tcPr>
          <w:p w:rsidR="00B04AE3" w:rsidRDefault="00B04AE3">
            <w:pPr>
              <w:pStyle w:val="TableParagraph"/>
              <w:spacing w:before="46"/>
              <w:ind w:left="9"/>
              <w:rPr>
                <w:rFonts w:ascii="Times New Roman"/>
                <w:sz w:val="21"/>
              </w:rPr>
            </w:pPr>
            <w:r>
              <w:rPr>
                <w:rFonts w:ascii="Times New Roman"/>
                <w:w w:val="99"/>
                <w:sz w:val="21"/>
              </w:rPr>
              <w:t>3</w:t>
            </w:r>
          </w:p>
        </w:tc>
        <w:tc>
          <w:tcPr>
            <w:tcW w:w="428" w:type="dxa"/>
          </w:tcPr>
          <w:p w:rsidR="00B04AE3" w:rsidRDefault="00B04AE3">
            <w:pPr>
              <w:pStyle w:val="TableParagraph"/>
              <w:spacing w:before="46"/>
              <w:ind w:left="8"/>
              <w:rPr>
                <w:rFonts w:ascii="Times New Roman"/>
                <w:sz w:val="21"/>
              </w:rPr>
            </w:pPr>
            <w:r>
              <w:rPr>
                <w:rFonts w:ascii="Times New Roman"/>
                <w:w w:val="99"/>
                <w:sz w:val="21"/>
              </w:rPr>
              <w:t>F</w:t>
            </w:r>
          </w:p>
        </w:tc>
        <w:tc>
          <w:tcPr>
            <w:tcW w:w="1102" w:type="dxa"/>
          </w:tcPr>
          <w:p w:rsidR="00B04AE3" w:rsidRDefault="00B04AE3">
            <w:pPr>
              <w:pStyle w:val="TableParagraph"/>
              <w:spacing w:before="48"/>
              <w:ind w:left="424" w:right="417"/>
              <w:rPr>
                <w:rFonts w:ascii="Times New Roman"/>
                <w:sz w:val="21"/>
              </w:rPr>
            </w:pPr>
            <w:r>
              <w:rPr>
                <w:rFonts w:ascii="Times New Roman"/>
                <w:sz w:val="21"/>
              </w:rPr>
              <w:t>30</w:t>
            </w:r>
          </w:p>
        </w:tc>
        <w:tc>
          <w:tcPr>
            <w:tcW w:w="1388" w:type="dxa"/>
          </w:tcPr>
          <w:p w:rsidR="00B04AE3" w:rsidRDefault="00B04AE3">
            <w:pPr>
              <w:pStyle w:val="TableParagraph"/>
              <w:spacing w:before="48"/>
              <w:ind w:left="541" w:right="533"/>
              <w:rPr>
                <w:rFonts w:ascii="Times New Roman"/>
                <w:sz w:val="21"/>
              </w:rPr>
            </w:pPr>
            <w:r>
              <w:rPr>
                <w:rFonts w:ascii="Times New Roman"/>
                <w:sz w:val="21"/>
              </w:rPr>
              <w:t>5.2</w:t>
            </w:r>
          </w:p>
        </w:tc>
        <w:tc>
          <w:tcPr>
            <w:tcW w:w="952" w:type="dxa"/>
          </w:tcPr>
          <w:p w:rsidR="00B04AE3" w:rsidRDefault="00B04AE3">
            <w:pPr>
              <w:pStyle w:val="TableParagraph"/>
              <w:spacing w:before="48"/>
              <w:ind w:left="140" w:right="132"/>
              <w:rPr>
                <w:rFonts w:ascii="Times New Roman"/>
                <w:sz w:val="21"/>
              </w:rPr>
            </w:pPr>
            <w:r>
              <w:rPr>
                <w:rFonts w:ascii="Times New Roman"/>
                <w:sz w:val="21"/>
              </w:rPr>
              <w:t>2,495.8</w:t>
            </w:r>
          </w:p>
        </w:tc>
        <w:tc>
          <w:tcPr>
            <w:tcW w:w="1018" w:type="dxa"/>
          </w:tcPr>
          <w:p w:rsidR="00B04AE3" w:rsidRDefault="00B04AE3">
            <w:pPr>
              <w:pStyle w:val="TableParagraph"/>
              <w:spacing w:before="48"/>
              <w:ind w:right="427"/>
              <w:jc w:val="right"/>
              <w:rPr>
                <w:rFonts w:ascii="Times New Roman"/>
                <w:sz w:val="21"/>
              </w:rPr>
            </w:pPr>
            <w:r>
              <w:rPr>
                <w:rFonts w:ascii="Times New Roman"/>
                <w:w w:val="95"/>
                <w:sz w:val="21"/>
              </w:rPr>
              <w:t>--</w:t>
            </w:r>
          </w:p>
        </w:tc>
        <w:tc>
          <w:tcPr>
            <w:tcW w:w="1167" w:type="dxa"/>
          </w:tcPr>
          <w:p w:rsidR="00B04AE3" w:rsidRDefault="00B04AE3">
            <w:pPr>
              <w:pStyle w:val="TableParagraph"/>
              <w:spacing w:before="48"/>
              <w:ind w:left="246" w:right="238"/>
              <w:rPr>
                <w:rFonts w:ascii="Times New Roman"/>
                <w:sz w:val="21"/>
              </w:rPr>
            </w:pPr>
            <w:r>
              <w:rPr>
                <w:rFonts w:ascii="Times New Roman"/>
                <w:sz w:val="21"/>
              </w:rPr>
              <w:t>--</w:t>
            </w:r>
          </w:p>
        </w:tc>
        <w:tc>
          <w:tcPr>
            <w:tcW w:w="1167" w:type="dxa"/>
          </w:tcPr>
          <w:p w:rsidR="00B04AE3" w:rsidRDefault="00B04AE3">
            <w:pPr>
              <w:pStyle w:val="TableParagraph"/>
              <w:jc w:val="left"/>
              <w:rPr>
                <w:rFonts w:ascii="Times New Roman"/>
                <w:sz w:val="20"/>
              </w:rPr>
            </w:pPr>
          </w:p>
        </w:tc>
      </w:tr>
    </w:tbl>
    <w:p w:rsidR="00B04AE3" w:rsidRDefault="00B04AE3">
      <w:pPr>
        <w:spacing w:before="3"/>
        <w:ind w:left="1356"/>
        <w:rPr>
          <w:sz w:val="24"/>
        </w:rPr>
      </w:pPr>
      <w:r>
        <w:rPr>
          <w:rFonts w:hint="eastAsia"/>
          <w:b/>
          <w:sz w:val="24"/>
        </w:rPr>
        <w:t>（</w:t>
      </w:r>
      <w:r>
        <w:rPr>
          <w:rFonts w:ascii="Times New Roman" w:eastAsia="Times New Roman"/>
          <w:b/>
          <w:sz w:val="24"/>
        </w:rPr>
        <w:t>2</w:t>
      </w:r>
      <w:r>
        <w:rPr>
          <w:rFonts w:hint="eastAsia"/>
          <w:b/>
          <w:sz w:val="24"/>
        </w:rPr>
        <w:t>）液氮泄漏事故</w:t>
      </w:r>
      <w:r>
        <w:rPr>
          <w:rFonts w:hint="eastAsia"/>
          <w:sz w:val="24"/>
        </w:rPr>
        <w:t>：</w:t>
      </w:r>
    </w:p>
    <w:p w:rsidR="00B04AE3" w:rsidRDefault="00B04AE3">
      <w:pPr>
        <w:pStyle w:val="BodyText"/>
        <w:spacing w:before="64" w:line="364" w:lineRule="auto"/>
        <w:ind w:left="797" w:right="792" w:firstLine="463"/>
        <w:jc w:val="both"/>
        <w:rPr>
          <w:spacing w:val="-6"/>
          <w:szCs w:val="22"/>
        </w:rPr>
      </w:pPr>
      <w:r>
        <w:rPr>
          <w:rFonts w:hint="eastAsia"/>
          <w:spacing w:val="-6"/>
          <w:szCs w:val="22"/>
        </w:rPr>
        <w:t>根据项目所在地气象条件分析各泄漏物质在大气中的扩散规律，确定本次评价采用以下预测模式：</w:t>
      </w:r>
    </w:p>
    <w:p w:rsidR="00B04AE3" w:rsidRDefault="00B04AE3">
      <w:pPr>
        <w:pStyle w:val="BodyText"/>
        <w:spacing w:before="64" w:line="364" w:lineRule="auto"/>
        <w:ind w:left="797" w:right="792" w:firstLine="463"/>
        <w:jc w:val="both"/>
        <w:rPr>
          <w:spacing w:val="-6"/>
          <w:szCs w:val="22"/>
        </w:rPr>
      </w:pPr>
      <w:r>
        <w:rPr>
          <w:rFonts w:hint="eastAsia"/>
          <w:spacing w:val="-6"/>
          <w:szCs w:val="22"/>
        </w:rPr>
        <w:t>在事故发生在有限时间（</w:t>
      </w:r>
      <w:r>
        <w:rPr>
          <w:spacing w:val="-6"/>
          <w:szCs w:val="22"/>
        </w:rPr>
        <w:t>T</w:t>
      </w:r>
      <w:r>
        <w:rPr>
          <w:rFonts w:hint="eastAsia"/>
          <w:spacing w:val="-6"/>
          <w:szCs w:val="22"/>
        </w:rPr>
        <w:t>）内。以瞬时单烟团正态扩散式，对</w:t>
      </w:r>
      <w:r>
        <w:rPr>
          <w:spacing w:val="-6"/>
          <w:szCs w:val="22"/>
        </w:rPr>
        <w:t xml:space="preserve"> t0 </w:t>
      </w:r>
      <w:r>
        <w:rPr>
          <w:rFonts w:hint="eastAsia"/>
          <w:spacing w:val="-6"/>
          <w:szCs w:val="22"/>
        </w:rPr>
        <w:t>在有限时间</w:t>
      </w:r>
      <w:r>
        <w:rPr>
          <w:spacing w:val="-6"/>
          <w:szCs w:val="22"/>
        </w:rPr>
        <w:t xml:space="preserve"> T </w:t>
      </w:r>
      <w:r>
        <w:rPr>
          <w:rFonts w:hint="eastAsia"/>
          <w:spacing w:val="-6"/>
          <w:szCs w:val="22"/>
        </w:rPr>
        <w:t>内积分，经整理后可得非正常排放模式。</w:t>
      </w:r>
    </w:p>
    <w:p w:rsidR="00B04AE3" w:rsidRDefault="00B04AE3">
      <w:pPr>
        <w:pStyle w:val="BodyText"/>
        <w:spacing w:before="64" w:line="364" w:lineRule="auto"/>
        <w:ind w:left="797" w:right="792" w:firstLine="463"/>
        <w:jc w:val="both"/>
        <w:rPr>
          <w:spacing w:val="-6"/>
          <w:szCs w:val="22"/>
        </w:rPr>
      </w:pPr>
      <w:r>
        <w:rPr>
          <w:rFonts w:hint="eastAsia"/>
          <w:spacing w:val="-6"/>
          <w:szCs w:val="22"/>
        </w:rPr>
        <w:t>以排气筒地面位置为原点</w:t>
      </w:r>
      <w:r>
        <w:rPr>
          <w:spacing w:val="-6"/>
          <w:szCs w:val="22"/>
        </w:rPr>
        <w:t>,</w:t>
      </w:r>
      <w:r>
        <w:rPr>
          <w:rFonts w:hint="eastAsia"/>
          <w:spacing w:val="-6"/>
          <w:szCs w:val="22"/>
        </w:rPr>
        <w:t>有效源高为</w:t>
      </w:r>
      <w:r>
        <w:rPr>
          <w:spacing w:val="-6"/>
          <w:szCs w:val="22"/>
        </w:rPr>
        <w:t xml:space="preserve"> He</w:t>
      </w:r>
      <w:r>
        <w:rPr>
          <w:rFonts w:hint="eastAsia"/>
          <w:spacing w:val="-6"/>
          <w:szCs w:val="22"/>
        </w:rPr>
        <w:t>，平均风向轴为</w:t>
      </w:r>
      <w:r>
        <w:rPr>
          <w:spacing w:val="-6"/>
          <w:szCs w:val="22"/>
        </w:rPr>
        <w:t xml:space="preserve"> X </w:t>
      </w:r>
      <w:r>
        <w:rPr>
          <w:rFonts w:hint="eastAsia"/>
          <w:spacing w:val="-6"/>
          <w:szCs w:val="22"/>
        </w:rPr>
        <w:t>轴，源强为</w:t>
      </w:r>
      <w:r>
        <w:rPr>
          <w:spacing w:val="-6"/>
          <w:szCs w:val="22"/>
        </w:rPr>
        <w:t xml:space="preserve"> Q</w:t>
      </w:r>
    </w:p>
    <w:p w:rsidR="00B04AE3" w:rsidRDefault="00B04AE3">
      <w:pPr>
        <w:pStyle w:val="BodyText"/>
        <w:spacing w:before="64" w:line="364" w:lineRule="auto"/>
        <w:ind w:left="797" w:right="792" w:firstLine="463"/>
        <w:jc w:val="both"/>
        <w:rPr>
          <w:spacing w:val="-6"/>
          <w:szCs w:val="22"/>
        </w:rPr>
      </w:pPr>
      <w:r>
        <w:rPr>
          <w:rFonts w:hint="eastAsia"/>
          <w:spacing w:val="-6"/>
          <w:szCs w:val="22"/>
        </w:rPr>
        <w:t>（</w:t>
      </w:r>
      <w:r>
        <w:rPr>
          <w:spacing w:val="-6"/>
          <w:szCs w:val="22"/>
        </w:rPr>
        <w:t>mg/s</w:t>
      </w:r>
      <w:r>
        <w:rPr>
          <w:rFonts w:hint="eastAsia"/>
          <w:spacing w:val="-6"/>
          <w:szCs w:val="22"/>
        </w:rPr>
        <w:t>），开始非正常排放时的时间为</w:t>
      </w:r>
      <w:r>
        <w:rPr>
          <w:spacing w:val="-6"/>
          <w:szCs w:val="22"/>
        </w:rPr>
        <w:t xml:space="preserve"> t'</w:t>
      </w:r>
      <w:r>
        <w:rPr>
          <w:rFonts w:hint="eastAsia"/>
          <w:spacing w:val="-6"/>
          <w:szCs w:val="22"/>
        </w:rPr>
        <w:t>，非正常排放持续时间为</w:t>
      </w:r>
      <w:r>
        <w:rPr>
          <w:spacing w:val="-6"/>
          <w:szCs w:val="22"/>
        </w:rPr>
        <w:t xml:space="preserve"> T</w:t>
      </w:r>
      <w:r>
        <w:rPr>
          <w:rFonts w:hint="eastAsia"/>
          <w:spacing w:val="-6"/>
          <w:szCs w:val="22"/>
        </w:rPr>
        <w:t>，预测时刻的时间为</w:t>
      </w:r>
      <w:r>
        <w:rPr>
          <w:spacing w:val="-6"/>
          <w:szCs w:val="22"/>
        </w:rPr>
        <w:t xml:space="preserve"> t</w:t>
      </w:r>
      <w:r>
        <w:rPr>
          <w:rFonts w:hint="eastAsia"/>
          <w:spacing w:val="-6"/>
          <w:szCs w:val="22"/>
        </w:rPr>
        <w:t>。</w:t>
      </w:r>
    </w:p>
    <w:p w:rsidR="00B04AE3" w:rsidRDefault="00B04AE3">
      <w:pPr>
        <w:pStyle w:val="BodyText"/>
        <w:spacing w:before="64" w:line="364" w:lineRule="auto"/>
        <w:ind w:left="797" w:right="792" w:firstLine="463"/>
        <w:jc w:val="both"/>
        <w:rPr>
          <w:spacing w:val="-6"/>
          <w:szCs w:val="22"/>
        </w:rPr>
      </w:pPr>
      <w:r>
        <w:rPr>
          <w:spacing w:val="-6"/>
          <w:szCs w:val="22"/>
        </w:rPr>
        <w:t>1.</w:t>
      </w:r>
      <w:r>
        <w:rPr>
          <w:rFonts w:hint="eastAsia"/>
          <w:spacing w:val="-6"/>
          <w:szCs w:val="22"/>
        </w:rPr>
        <w:t>有风情况（</w:t>
      </w:r>
      <w:r>
        <w:rPr>
          <w:spacing w:val="-6"/>
          <w:szCs w:val="22"/>
        </w:rPr>
        <w:t>U10</w:t>
      </w:r>
      <w:r>
        <w:rPr>
          <w:rFonts w:hint="eastAsia"/>
          <w:spacing w:val="-6"/>
          <w:szCs w:val="22"/>
        </w:rPr>
        <w:t>≥</w:t>
      </w:r>
      <w:r>
        <w:rPr>
          <w:spacing w:val="-6"/>
          <w:szCs w:val="22"/>
        </w:rPr>
        <w:t>1.5m/s</w:t>
      </w:r>
      <w:r>
        <w:rPr>
          <w:rFonts w:hint="eastAsia"/>
          <w:spacing w:val="-6"/>
          <w:szCs w:val="22"/>
        </w:rPr>
        <w:t>）</w:t>
      </w:r>
    </w:p>
    <w:p w:rsidR="00B04AE3" w:rsidRDefault="00B04AE3">
      <w:pPr>
        <w:pStyle w:val="BodyText"/>
        <w:spacing w:before="64" w:line="364" w:lineRule="auto"/>
        <w:ind w:left="797" w:right="792" w:firstLine="463"/>
        <w:jc w:val="both"/>
      </w:pPr>
      <w:r>
        <w:rPr>
          <w:spacing w:val="-6"/>
          <w:szCs w:val="22"/>
        </w:rPr>
        <w:t xml:space="preserve">t </w:t>
      </w:r>
      <w:r>
        <w:rPr>
          <w:rFonts w:hint="eastAsia"/>
          <w:spacing w:val="-6"/>
          <w:szCs w:val="22"/>
        </w:rPr>
        <w:t>时刻任一点（</w:t>
      </w:r>
      <w:r>
        <w:rPr>
          <w:spacing w:val="-6"/>
          <w:szCs w:val="22"/>
        </w:rPr>
        <w:t>x,y,z</w:t>
      </w:r>
      <w:r>
        <w:rPr>
          <w:rFonts w:hint="eastAsia"/>
          <w:spacing w:val="-6"/>
          <w:szCs w:val="22"/>
        </w:rPr>
        <w:t>）的浓度，以持续排放源模式为基础，乘上一个系数</w:t>
      </w:r>
      <w:r>
        <w:rPr>
          <w:spacing w:val="-6"/>
          <w:szCs w:val="22"/>
        </w:rPr>
        <w:t xml:space="preserve"> G1</w:t>
      </w:r>
      <w:r>
        <w:rPr>
          <w:rFonts w:hint="eastAsia"/>
          <w:spacing w:val="-6"/>
          <w:szCs w:val="22"/>
        </w:rPr>
        <w:t>，</w:t>
      </w:r>
      <w:r>
        <w:rPr>
          <w:spacing w:val="-6"/>
          <w:szCs w:val="22"/>
        </w:rPr>
        <w:t xml:space="preserve"> </w:t>
      </w:r>
      <w:r>
        <w:rPr>
          <w:rFonts w:hint="eastAsia"/>
          <w:spacing w:val="-6"/>
          <w:szCs w:val="22"/>
        </w:rPr>
        <w:t>按下式计算：</w:t>
      </w:r>
      <w:r w:rsidRPr="00E43F4D">
        <w:rPr>
          <w:noProof/>
          <w:lang w:val="en-US"/>
        </w:rPr>
        <w:pict>
          <v:shape id="图片 6" o:spid="_x0000_i1062" type="#_x0000_t75" alt="5" style="width:415.5pt;height:133.5pt;visibility:visible">
            <v:imagedata r:id="rId76" o:title=""/>
          </v:shape>
        </w:pict>
      </w:r>
    </w:p>
    <w:p w:rsidR="00B04AE3" w:rsidRDefault="00B04AE3">
      <w:pPr>
        <w:pStyle w:val="BodyText"/>
        <w:tabs>
          <w:tab w:val="left" w:pos="1997"/>
          <w:tab w:val="left" w:leader="hyphen" w:pos="2448"/>
        </w:tabs>
        <w:spacing w:before="151"/>
        <w:ind w:left="1277"/>
      </w:pPr>
      <w:r w:rsidRPr="00E43F4D">
        <w:rPr>
          <w:noProof/>
          <w:lang w:val="en-US"/>
        </w:rPr>
        <w:pict>
          <v:shape id="图片 7" o:spid="_x0000_i1063" type="#_x0000_t75" alt="6" style="width:286.5pt;height:103.5pt;visibility:visible">
            <v:imagedata r:id="rId77" o:title=""/>
          </v:shape>
        </w:pict>
      </w:r>
    </w:p>
    <w:p w:rsidR="00B04AE3" w:rsidRDefault="00B04AE3" w:rsidP="003446E2">
      <w:pPr>
        <w:pStyle w:val="BodyText"/>
        <w:tabs>
          <w:tab w:val="left" w:pos="1997"/>
          <w:tab w:val="left" w:leader="hyphen" w:pos="2448"/>
        </w:tabs>
        <w:spacing w:before="151"/>
        <w:ind w:left="1277" w:firstLineChars="100" w:firstLine="31680"/>
      </w:pPr>
      <w:r>
        <w:rPr>
          <w:rFonts w:hint="eastAsia"/>
        </w:rPr>
        <w:t>式中</w:t>
      </w:r>
      <w:r>
        <w:tab/>
      </w:r>
      <w:r>
        <w:rPr>
          <w:rFonts w:ascii="Times New Roman" w:eastAsia="Times New Roman"/>
        </w:rPr>
        <w:t>F</w:t>
      </w:r>
      <w:r>
        <w:rPr>
          <w:rFonts w:ascii="Times New Roman" w:eastAsia="Times New Roman"/>
        </w:rPr>
        <w:tab/>
      </w:r>
      <w:r>
        <w:rPr>
          <w:rFonts w:hint="eastAsia"/>
        </w:rPr>
        <w:t>混合层反射项；</w:t>
      </w:r>
    </w:p>
    <w:p w:rsidR="00B04AE3" w:rsidRDefault="00B04AE3">
      <w:pPr>
        <w:pStyle w:val="BodyText"/>
        <w:tabs>
          <w:tab w:val="left" w:leader="hyphen" w:pos="2566"/>
        </w:tabs>
        <w:spacing w:before="157"/>
        <w:ind w:left="1997"/>
      </w:pPr>
      <w:r>
        <w:rPr>
          <w:rFonts w:ascii="Times New Roman" w:eastAsia="Times New Roman"/>
          <w:position w:val="2"/>
        </w:rPr>
        <w:t>G</w:t>
      </w:r>
      <w:r>
        <w:rPr>
          <w:rFonts w:ascii="Times New Roman" w:eastAsia="Times New Roman"/>
          <w:position w:val="2"/>
          <w:vertAlign w:val="subscript"/>
        </w:rPr>
        <w:t>1</w:t>
      </w:r>
      <w:r>
        <w:rPr>
          <w:rFonts w:ascii="Times New Roman" w:eastAsia="Times New Roman"/>
        </w:rPr>
        <w:tab/>
      </w:r>
      <w:r>
        <w:rPr>
          <w:rFonts w:hint="eastAsia"/>
          <w:position w:val="2"/>
        </w:rPr>
        <w:t>非正常排放项；</w:t>
      </w:r>
    </w:p>
    <w:p w:rsidR="00B04AE3" w:rsidRDefault="00B04AE3">
      <w:pPr>
        <w:pStyle w:val="BodyText"/>
        <w:tabs>
          <w:tab w:val="left" w:leader="hyphen" w:pos="2436"/>
        </w:tabs>
        <w:spacing w:before="157"/>
        <w:ind w:left="1997"/>
      </w:pPr>
      <w:r>
        <w:rPr>
          <w:rFonts w:ascii="Times New Roman" w:eastAsia="Times New Roman"/>
        </w:rPr>
        <w:t>h</w:t>
      </w:r>
      <w:r>
        <w:rPr>
          <w:rFonts w:ascii="Times New Roman" w:eastAsia="Times New Roman"/>
        </w:rPr>
        <w:tab/>
      </w:r>
      <w:r>
        <w:rPr>
          <w:rFonts w:hint="eastAsia"/>
        </w:rPr>
        <w:t>混合层高度；</w:t>
      </w:r>
    </w:p>
    <w:p w:rsidR="00B04AE3" w:rsidRDefault="00B04AE3" w:rsidP="003446E2">
      <w:pPr>
        <w:pStyle w:val="BodyText"/>
        <w:tabs>
          <w:tab w:val="left" w:leader="hyphen" w:pos="1716"/>
        </w:tabs>
        <w:spacing w:before="161"/>
        <w:ind w:left="1277" w:firstLineChars="200" w:firstLine="31680"/>
      </w:pPr>
      <w:r>
        <w:rPr>
          <w:rFonts w:ascii="Times New Roman" w:eastAsia="Times New Roman"/>
        </w:rPr>
        <w:t>k</w:t>
      </w:r>
      <w:r>
        <w:rPr>
          <w:rFonts w:ascii="Times New Roman" w:eastAsia="Times New Roman"/>
        </w:rPr>
        <w:tab/>
      </w:r>
      <w:r>
        <w:rPr>
          <w:rFonts w:hint="eastAsia"/>
          <w:spacing w:val="-5"/>
        </w:rPr>
        <w:t>反射次数，一、二级项目取</w:t>
      </w:r>
      <w:r>
        <w:rPr>
          <w:spacing w:val="-5"/>
        </w:rPr>
        <w:t xml:space="preserve"> </w:t>
      </w:r>
      <w:r>
        <w:rPr>
          <w:rFonts w:ascii="Times New Roman" w:eastAsia="Times New Roman"/>
        </w:rPr>
        <w:t>k=4</w:t>
      </w:r>
      <w:r>
        <w:rPr>
          <w:rFonts w:ascii="Times New Roman" w:eastAsia="Times New Roman"/>
          <w:spacing w:val="-1"/>
        </w:rPr>
        <w:t xml:space="preserve"> </w:t>
      </w:r>
      <w:r>
        <w:rPr>
          <w:rFonts w:hint="eastAsia"/>
        </w:rPr>
        <w:t>已足够。</w:t>
      </w:r>
    </w:p>
    <w:p w:rsidR="00B04AE3" w:rsidRDefault="00B04AE3">
      <w:pPr>
        <w:pStyle w:val="BodyText"/>
        <w:spacing w:before="155"/>
        <w:ind w:left="1277"/>
      </w:pPr>
      <w:r>
        <w:rPr>
          <w:rFonts w:ascii="Times New Roman" w:eastAsia="Times New Roman"/>
          <w:position w:val="2"/>
        </w:rPr>
        <w:t>2.</w:t>
      </w:r>
      <w:r>
        <w:rPr>
          <w:rFonts w:hint="eastAsia"/>
          <w:position w:val="2"/>
        </w:rPr>
        <w:t>小风静风（</w:t>
      </w:r>
      <w:r>
        <w:rPr>
          <w:rFonts w:ascii="Times New Roman" w:eastAsia="Times New Roman"/>
          <w:position w:val="2"/>
        </w:rPr>
        <w:t>U</w:t>
      </w:r>
      <w:r>
        <w:rPr>
          <w:rFonts w:ascii="Times New Roman" w:eastAsia="Times New Roman"/>
          <w:position w:val="2"/>
          <w:vertAlign w:val="subscript"/>
        </w:rPr>
        <w:t>10</w:t>
      </w:r>
      <w:r>
        <w:rPr>
          <w:rFonts w:ascii="Times New Roman" w:eastAsia="Times New Roman"/>
          <w:position w:val="2"/>
        </w:rPr>
        <w:t>&lt;1.5m/s</w:t>
      </w:r>
      <w:r>
        <w:rPr>
          <w:rFonts w:hint="eastAsia"/>
          <w:position w:val="2"/>
        </w:rPr>
        <w:t>）</w:t>
      </w:r>
    </w:p>
    <w:p w:rsidR="00B04AE3" w:rsidRDefault="00B04AE3">
      <w:pPr>
        <w:pStyle w:val="BodyText"/>
        <w:spacing w:before="156"/>
        <w:ind w:left="1277"/>
      </w:pPr>
      <w:r>
        <w:rPr>
          <w:rFonts w:hint="eastAsia"/>
          <w:position w:val="2"/>
        </w:rPr>
        <w:t>小风（</w:t>
      </w:r>
      <w:r>
        <w:rPr>
          <w:rFonts w:ascii="Times New Roman" w:hAnsi="Times New Roman"/>
          <w:position w:val="2"/>
        </w:rPr>
        <w:t>1.5m/s</w:t>
      </w:r>
      <w:r>
        <w:rPr>
          <w:rFonts w:hint="eastAsia"/>
          <w:position w:val="2"/>
        </w:rPr>
        <w:t>＞</w:t>
      </w:r>
      <w:r>
        <w:rPr>
          <w:rFonts w:ascii="Times New Roman" w:hAnsi="Times New Roman"/>
          <w:i/>
          <w:position w:val="2"/>
        </w:rPr>
        <w:t>U</w:t>
      </w:r>
      <w:r>
        <w:rPr>
          <w:rFonts w:ascii="Times New Roman" w:hAnsi="Times New Roman"/>
          <w:sz w:val="15"/>
        </w:rPr>
        <w:t>10</w:t>
      </w:r>
      <w:r>
        <w:rPr>
          <w:rFonts w:ascii="Times New Roman" w:hAnsi="Times New Roman"/>
          <w:position w:val="2"/>
        </w:rPr>
        <w:t>≥0.5m/s</w:t>
      </w:r>
      <w:r>
        <w:rPr>
          <w:rFonts w:hint="eastAsia"/>
          <w:position w:val="2"/>
        </w:rPr>
        <w:t>）和静风</w:t>
      </w:r>
      <w:r>
        <w:rPr>
          <w:rFonts w:ascii="Times New Roman" w:hAnsi="Times New Roman"/>
          <w:position w:val="2"/>
        </w:rPr>
        <w:t>(</w:t>
      </w:r>
      <w:r>
        <w:rPr>
          <w:rFonts w:ascii="Times New Roman" w:hAnsi="Times New Roman"/>
          <w:i/>
          <w:position w:val="2"/>
        </w:rPr>
        <w:t>U</w:t>
      </w:r>
      <w:r>
        <w:rPr>
          <w:rFonts w:ascii="Times New Roman" w:hAnsi="Times New Roman"/>
          <w:i/>
          <w:position w:val="2"/>
          <w:vertAlign w:val="subscript"/>
        </w:rPr>
        <w:t>10</w:t>
      </w:r>
      <w:r>
        <w:rPr>
          <w:rFonts w:hint="eastAsia"/>
          <w:position w:val="2"/>
        </w:rPr>
        <w:t>＜</w:t>
      </w:r>
      <w:r>
        <w:rPr>
          <w:rFonts w:ascii="Times New Roman" w:hAnsi="Times New Roman"/>
          <w:position w:val="2"/>
        </w:rPr>
        <w:t>0.5m/s)</w:t>
      </w:r>
      <w:r>
        <w:rPr>
          <w:rFonts w:hint="eastAsia"/>
          <w:position w:val="2"/>
        </w:rPr>
        <w:t>情况，</w:t>
      </w:r>
      <w:r>
        <w:rPr>
          <w:rFonts w:ascii="Times New Roman" w:hAnsi="Times New Roman"/>
          <w:i/>
          <w:position w:val="2"/>
        </w:rPr>
        <w:t xml:space="preserve">t </w:t>
      </w:r>
      <w:r>
        <w:rPr>
          <w:rFonts w:hint="eastAsia"/>
          <w:position w:val="2"/>
        </w:rPr>
        <w:t>时刻地面任何一点</w:t>
      </w:r>
    </w:p>
    <w:p w:rsidR="00B04AE3" w:rsidRDefault="00B04AE3">
      <w:pPr>
        <w:pStyle w:val="BodyText"/>
        <w:spacing w:before="157"/>
        <w:ind w:left="797"/>
      </w:pPr>
      <w:r>
        <w:rPr>
          <w:rFonts w:ascii="Times New Roman" w:eastAsia="Times New Roman"/>
        </w:rPr>
        <w:t>(x,y,0)</w:t>
      </w:r>
      <w:r>
        <w:rPr>
          <w:rFonts w:hint="eastAsia"/>
        </w:rPr>
        <w:t>的浓度为：</w:t>
      </w:r>
      <w:r w:rsidRPr="00E43F4D">
        <w:rPr>
          <w:noProof/>
          <w:lang w:val="en-US"/>
        </w:rPr>
        <w:pict>
          <v:shape id="图片 8" o:spid="_x0000_i1064" type="#_x0000_t75" alt="7" style="width:364.5pt;height:332.25pt;visibility:visible">
            <v:imagedata r:id="rId78" o:title=""/>
          </v:shape>
        </w:pict>
      </w:r>
    </w:p>
    <w:p w:rsidR="00B04AE3" w:rsidRDefault="00B04AE3">
      <w:pPr>
        <w:pStyle w:val="BodyText"/>
        <w:tabs>
          <w:tab w:val="left" w:leader="hyphen" w:pos="2616"/>
        </w:tabs>
        <w:spacing w:before="171"/>
        <w:ind w:left="1277"/>
      </w:pPr>
      <w:r>
        <w:rPr>
          <w:rFonts w:hint="eastAsia"/>
        </w:rPr>
        <w:t>式中，</w:t>
      </w:r>
      <w:r>
        <w:rPr>
          <w:rFonts w:ascii="Times New Roman" w:eastAsia="Times New Roman"/>
        </w:rPr>
        <w:t>u,v</w:t>
      </w:r>
      <w:r>
        <w:rPr>
          <w:rFonts w:ascii="Times New Roman" w:eastAsia="Times New Roman"/>
        </w:rPr>
        <w:tab/>
      </w:r>
      <w:r>
        <w:rPr>
          <w:rFonts w:hint="eastAsia"/>
        </w:rPr>
        <w:t>分别为</w:t>
      </w:r>
      <w:r>
        <w:rPr>
          <w:spacing w:val="-60"/>
        </w:rPr>
        <w:t xml:space="preserve"> </w:t>
      </w:r>
      <w:r>
        <w:rPr>
          <w:rFonts w:ascii="Times New Roman" w:eastAsia="Times New Roman"/>
        </w:rPr>
        <w:t xml:space="preserve">x,y </w:t>
      </w:r>
      <w:r>
        <w:rPr>
          <w:rFonts w:hint="eastAsia"/>
        </w:rPr>
        <w:t>方向的风速；</w:t>
      </w:r>
    </w:p>
    <w:p w:rsidR="00B04AE3" w:rsidRDefault="00B04AE3">
      <w:pPr>
        <w:pStyle w:val="BodyText"/>
        <w:tabs>
          <w:tab w:val="left" w:leader="hyphen" w:pos="2357"/>
        </w:tabs>
        <w:spacing w:before="157"/>
        <w:ind w:left="1277"/>
        <w:rPr>
          <w:position w:val="2"/>
        </w:rPr>
      </w:pPr>
      <w:r>
        <w:rPr>
          <w:rFonts w:ascii="Times New Roman" w:hAnsi="Times New Roman"/>
          <w:position w:val="2"/>
        </w:rPr>
        <w:t>γ</w:t>
      </w:r>
      <w:r>
        <w:rPr>
          <w:rFonts w:ascii="Times New Roman" w:hAnsi="Times New Roman"/>
          <w:position w:val="2"/>
          <w:vertAlign w:val="subscript"/>
        </w:rPr>
        <w:t>01</w:t>
      </w:r>
      <w:r>
        <w:rPr>
          <w:rFonts w:hint="eastAsia"/>
          <w:position w:val="2"/>
        </w:rPr>
        <w:t>、</w:t>
      </w:r>
      <w:r>
        <w:rPr>
          <w:rFonts w:ascii="Times New Roman" w:hAnsi="Times New Roman"/>
          <w:position w:val="2"/>
        </w:rPr>
        <w:t>γ</w:t>
      </w:r>
      <w:r>
        <w:rPr>
          <w:rFonts w:ascii="Times New Roman" w:hAnsi="Times New Roman"/>
          <w:position w:val="2"/>
          <w:vertAlign w:val="subscript"/>
        </w:rPr>
        <w:t>02</w:t>
      </w:r>
      <w:r>
        <w:rPr>
          <w:rFonts w:ascii="Times New Roman" w:hAnsi="Times New Roman"/>
        </w:rPr>
        <w:tab/>
      </w:r>
      <w:r>
        <w:rPr>
          <w:rFonts w:hint="eastAsia"/>
          <w:position w:val="2"/>
        </w:rPr>
        <w:t>是小风静风扩散参数的回归系数，按导则附录</w:t>
      </w:r>
      <w:r>
        <w:rPr>
          <w:spacing w:val="-60"/>
          <w:position w:val="2"/>
        </w:rPr>
        <w:t xml:space="preserve"> </w:t>
      </w:r>
      <w:r>
        <w:rPr>
          <w:rFonts w:ascii="Times New Roman" w:hAnsi="Times New Roman"/>
          <w:position w:val="2"/>
        </w:rPr>
        <w:t xml:space="preserve">B </w:t>
      </w:r>
      <w:r>
        <w:rPr>
          <w:rFonts w:hint="eastAsia"/>
          <w:position w:val="2"/>
        </w:rPr>
        <w:t>选取，</w:t>
      </w:r>
      <w:r>
        <w:rPr>
          <w:rFonts w:ascii="Times New Roman" w:hAnsi="Times New Roman"/>
          <w:position w:val="2"/>
        </w:rPr>
        <w:t>σ</w:t>
      </w:r>
      <w:r>
        <w:rPr>
          <w:rFonts w:ascii="Times New Roman" w:hAnsi="Times New Roman"/>
          <w:position w:val="2"/>
          <w:vertAlign w:val="subscript"/>
        </w:rPr>
        <w:t>x</w:t>
      </w:r>
      <w:r>
        <w:rPr>
          <w:rFonts w:ascii="Times New Roman" w:hAnsi="Times New Roman"/>
          <w:position w:val="2"/>
        </w:rPr>
        <w:t>=σ</w:t>
      </w:r>
      <w:r>
        <w:rPr>
          <w:rFonts w:ascii="Times New Roman" w:hAnsi="Times New Roman"/>
          <w:position w:val="2"/>
          <w:vertAlign w:val="subscript"/>
        </w:rPr>
        <w:t>y</w:t>
      </w:r>
      <w:r>
        <w:rPr>
          <w:rFonts w:ascii="Times New Roman" w:hAnsi="Times New Roman"/>
          <w:position w:val="2"/>
        </w:rPr>
        <w:t>=γ</w:t>
      </w:r>
      <w:r>
        <w:rPr>
          <w:rFonts w:ascii="Times New Roman" w:hAnsi="Times New Roman"/>
          <w:position w:val="2"/>
          <w:vertAlign w:val="subscript"/>
        </w:rPr>
        <w:t>01</w:t>
      </w:r>
      <w:r>
        <w:rPr>
          <w:rFonts w:ascii="Times New Roman" w:hAnsi="Times New Roman"/>
          <w:position w:val="2"/>
        </w:rPr>
        <w:t>(t-t')</w:t>
      </w:r>
      <w:r>
        <w:rPr>
          <w:rFonts w:hint="eastAsia"/>
          <w:position w:val="2"/>
        </w:rPr>
        <w:t>，</w:t>
      </w:r>
      <w:r>
        <w:rPr>
          <w:rFonts w:ascii="Times New Roman" w:hAnsi="Times New Roman"/>
          <w:position w:val="2"/>
        </w:rPr>
        <w:t>σ</w:t>
      </w:r>
      <w:r>
        <w:rPr>
          <w:rFonts w:ascii="Times New Roman" w:hAnsi="Times New Roman"/>
          <w:position w:val="2"/>
          <w:vertAlign w:val="subscript"/>
        </w:rPr>
        <w:t>z</w:t>
      </w:r>
      <w:r>
        <w:rPr>
          <w:rFonts w:ascii="Times New Roman" w:hAnsi="Times New Roman"/>
          <w:position w:val="2"/>
        </w:rPr>
        <w:t>=γ</w:t>
      </w:r>
      <w:r>
        <w:rPr>
          <w:rFonts w:ascii="Times New Roman" w:hAnsi="Times New Roman"/>
          <w:position w:val="2"/>
          <w:vertAlign w:val="subscript"/>
        </w:rPr>
        <w:t>02</w:t>
      </w:r>
      <w:r>
        <w:rPr>
          <w:rFonts w:ascii="Times New Roman" w:hAnsi="Times New Roman"/>
          <w:position w:val="2"/>
        </w:rPr>
        <w:t>(t-t')</w:t>
      </w:r>
      <w:r>
        <w:rPr>
          <w:rFonts w:hint="eastAsia"/>
          <w:position w:val="2"/>
        </w:rPr>
        <w:t>。</w:t>
      </w:r>
    </w:p>
    <w:p w:rsidR="00B04AE3" w:rsidRDefault="00B04AE3">
      <w:pPr>
        <w:pStyle w:val="BodyText"/>
        <w:spacing w:before="64" w:line="364" w:lineRule="auto"/>
        <w:ind w:left="797" w:right="792" w:firstLine="463"/>
        <w:jc w:val="both"/>
        <w:rPr>
          <w:spacing w:val="-6"/>
          <w:szCs w:val="22"/>
        </w:rPr>
      </w:pPr>
      <w:r>
        <w:rPr>
          <w:rFonts w:hint="eastAsia"/>
          <w:spacing w:val="-6"/>
          <w:szCs w:val="22"/>
        </w:rPr>
        <w:t>非地面点时，按</w:t>
      </w:r>
      <w:r>
        <w:rPr>
          <w:spacing w:val="-6"/>
          <w:szCs w:val="22"/>
        </w:rPr>
        <w:t xml:space="preserve"> He=He-z </w:t>
      </w:r>
      <w:r>
        <w:rPr>
          <w:rFonts w:hint="eastAsia"/>
          <w:spacing w:val="-6"/>
          <w:szCs w:val="22"/>
        </w:rPr>
        <w:t>进行计算。</w:t>
      </w:r>
    </w:p>
    <w:p w:rsidR="00B04AE3" w:rsidRDefault="00B04AE3">
      <w:pPr>
        <w:pStyle w:val="BodyText"/>
        <w:spacing w:before="64" w:line="364" w:lineRule="auto"/>
        <w:ind w:left="797" w:right="792" w:firstLine="463"/>
        <w:jc w:val="both"/>
        <w:rPr>
          <w:spacing w:val="-6"/>
          <w:szCs w:val="22"/>
        </w:rPr>
      </w:pPr>
      <w:r>
        <w:rPr>
          <w:rFonts w:hint="eastAsia"/>
          <w:spacing w:val="-6"/>
          <w:szCs w:val="22"/>
        </w:rPr>
        <w:t>本次对氨气泄漏到大气的预测，选取</w:t>
      </w:r>
      <w:r>
        <w:rPr>
          <w:spacing w:val="-6"/>
          <w:szCs w:val="22"/>
        </w:rPr>
        <w:t xml:space="preserve"> D </w:t>
      </w:r>
      <w:r>
        <w:rPr>
          <w:rFonts w:hint="eastAsia"/>
          <w:spacing w:val="-6"/>
          <w:szCs w:val="22"/>
        </w:rPr>
        <w:t>类稳定度下有风天气条件，有风时取全年平均风速</w:t>
      </w:r>
      <w:r>
        <w:rPr>
          <w:spacing w:val="-6"/>
          <w:szCs w:val="22"/>
        </w:rPr>
        <w:t xml:space="preserve"> 2.0m/s</w:t>
      </w:r>
      <w:r>
        <w:rPr>
          <w:rFonts w:hint="eastAsia"/>
          <w:spacing w:val="-6"/>
          <w:szCs w:val="22"/>
        </w:rPr>
        <w:t>。利用环评导则推荐的非正常排放模式对氨气泄漏的环境大气影响后果进行了预测。</w:t>
      </w:r>
    </w:p>
    <w:p w:rsidR="00B04AE3" w:rsidRDefault="00B04AE3">
      <w:pPr>
        <w:pStyle w:val="BodyText"/>
        <w:spacing w:before="64" w:line="364" w:lineRule="auto"/>
        <w:ind w:left="797" w:right="792" w:firstLine="463"/>
        <w:jc w:val="both"/>
        <w:rPr>
          <w:spacing w:val="-6"/>
          <w:szCs w:val="22"/>
        </w:rPr>
      </w:pPr>
      <w:r>
        <w:rPr>
          <w:rFonts w:hint="eastAsia"/>
          <w:spacing w:val="-6"/>
          <w:szCs w:val="22"/>
        </w:rPr>
        <w:t>当液氮钢瓶发生破裂时，泄漏氨气进入环境大气，泄漏时间为</w:t>
      </w:r>
      <w:r>
        <w:rPr>
          <w:spacing w:val="-6"/>
          <w:szCs w:val="22"/>
        </w:rPr>
        <w:t xml:space="preserve"> 10min</w:t>
      </w:r>
      <w:r>
        <w:rPr>
          <w:rFonts w:hint="eastAsia"/>
          <w:spacing w:val="-6"/>
          <w:szCs w:val="22"/>
        </w:rPr>
        <w:t>。在有风天气条件下氨气瓶发生泄漏的预测结果见表</w:t>
      </w:r>
      <w:r>
        <w:rPr>
          <w:spacing w:val="-6"/>
          <w:szCs w:val="22"/>
        </w:rPr>
        <w:t xml:space="preserve"> 3.3-1</w:t>
      </w:r>
      <w:r>
        <w:rPr>
          <w:rFonts w:hint="eastAsia"/>
          <w:spacing w:val="-6"/>
          <w:szCs w:val="22"/>
        </w:rPr>
        <w:t>。</w:t>
      </w:r>
    </w:p>
    <w:p w:rsidR="00B04AE3" w:rsidRDefault="00B04AE3">
      <w:pPr>
        <w:tabs>
          <w:tab w:val="left" w:pos="3552"/>
        </w:tabs>
        <w:spacing w:before="5" w:after="2"/>
        <w:ind w:left="2513"/>
        <w:rPr>
          <w:b/>
          <w:sz w:val="24"/>
        </w:rPr>
      </w:pPr>
      <w:r>
        <w:rPr>
          <w:rFonts w:hint="eastAsia"/>
          <w:b/>
          <w:sz w:val="24"/>
        </w:rPr>
        <w:t>表</w:t>
      </w:r>
      <w:r>
        <w:rPr>
          <w:b/>
          <w:spacing w:val="-62"/>
          <w:sz w:val="24"/>
        </w:rPr>
        <w:t xml:space="preserve"> </w:t>
      </w:r>
      <w:r>
        <w:rPr>
          <w:rFonts w:ascii="Times New Roman" w:eastAsia="Times New Roman"/>
          <w:b/>
          <w:sz w:val="24"/>
        </w:rPr>
        <w:t>3.3-1</w:t>
      </w:r>
      <w:r>
        <w:rPr>
          <w:rFonts w:ascii="Times New Roman" w:eastAsia="Times New Roman"/>
          <w:b/>
          <w:sz w:val="24"/>
        </w:rPr>
        <w:tab/>
      </w:r>
      <w:r>
        <w:rPr>
          <w:rFonts w:hint="eastAsia"/>
          <w:b/>
          <w:sz w:val="24"/>
        </w:rPr>
        <w:t>有风条件下氨气泄漏事故预测一览表</w:t>
      </w:r>
    </w:p>
    <w:tbl>
      <w:tblPr>
        <w:tblW w:w="7999" w:type="dxa"/>
        <w:tblInd w:w="9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3165"/>
        <w:gridCol w:w="801"/>
        <w:gridCol w:w="800"/>
        <w:gridCol w:w="800"/>
        <w:gridCol w:w="800"/>
        <w:gridCol w:w="800"/>
        <w:gridCol w:w="833"/>
      </w:tblGrid>
      <w:tr w:rsidR="00B04AE3">
        <w:trPr>
          <w:trHeight w:val="396"/>
        </w:trPr>
        <w:tc>
          <w:tcPr>
            <w:tcW w:w="3165" w:type="dxa"/>
            <w:vMerge w:val="restart"/>
          </w:tcPr>
          <w:p w:rsidR="00B04AE3" w:rsidRDefault="00B04AE3">
            <w:pPr>
              <w:pStyle w:val="TableParagraph"/>
              <w:jc w:val="left"/>
              <w:rPr>
                <w:rFonts w:ascii="Times New Roman"/>
              </w:rPr>
            </w:pPr>
          </w:p>
        </w:tc>
        <w:tc>
          <w:tcPr>
            <w:tcW w:w="4834" w:type="dxa"/>
            <w:gridSpan w:val="6"/>
          </w:tcPr>
          <w:p w:rsidR="00B04AE3" w:rsidRDefault="00B04AE3">
            <w:pPr>
              <w:pStyle w:val="TableParagraph"/>
              <w:spacing w:before="61"/>
              <w:ind w:left="994"/>
              <w:jc w:val="left"/>
              <w:rPr>
                <w:sz w:val="21"/>
              </w:rPr>
            </w:pPr>
            <w:r>
              <w:rPr>
                <w:rFonts w:hint="eastAsia"/>
                <w:sz w:val="21"/>
              </w:rPr>
              <w:t>事故发生后的不同时段（</w:t>
            </w:r>
            <w:r>
              <w:rPr>
                <w:rFonts w:ascii="Times New Roman" w:eastAsia="Times New Roman"/>
                <w:sz w:val="21"/>
              </w:rPr>
              <w:t>min</w:t>
            </w:r>
            <w:r>
              <w:rPr>
                <w:rFonts w:hint="eastAsia"/>
                <w:sz w:val="21"/>
              </w:rPr>
              <w:t>）</w:t>
            </w:r>
          </w:p>
        </w:tc>
      </w:tr>
      <w:tr w:rsidR="00B04AE3">
        <w:trPr>
          <w:trHeight w:val="397"/>
        </w:trPr>
        <w:tc>
          <w:tcPr>
            <w:tcW w:w="3165" w:type="dxa"/>
            <w:vMerge/>
            <w:tcBorders>
              <w:top w:val="nil"/>
            </w:tcBorders>
          </w:tcPr>
          <w:p w:rsidR="00B04AE3" w:rsidRDefault="00B04AE3">
            <w:pPr>
              <w:rPr>
                <w:sz w:val="2"/>
                <w:szCs w:val="2"/>
              </w:rPr>
            </w:pPr>
          </w:p>
        </w:tc>
        <w:tc>
          <w:tcPr>
            <w:tcW w:w="801" w:type="dxa"/>
          </w:tcPr>
          <w:p w:rsidR="00B04AE3" w:rsidRDefault="00B04AE3">
            <w:pPr>
              <w:pStyle w:val="TableParagraph"/>
              <w:spacing w:before="76"/>
              <w:ind w:left="88" w:right="82"/>
              <w:rPr>
                <w:rFonts w:ascii="Times New Roman"/>
                <w:sz w:val="21"/>
              </w:rPr>
            </w:pPr>
            <w:r>
              <w:rPr>
                <w:rFonts w:ascii="Times New Roman"/>
                <w:sz w:val="21"/>
              </w:rPr>
              <w:t>10</w:t>
            </w:r>
          </w:p>
        </w:tc>
        <w:tc>
          <w:tcPr>
            <w:tcW w:w="800" w:type="dxa"/>
          </w:tcPr>
          <w:p w:rsidR="00B04AE3" w:rsidRDefault="00B04AE3">
            <w:pPr>
              <w:pStyle w:val="TableParagraph"/>
              <w:spacing w:before="76"/>
              <w:ind w:left="89" w:right="81"/>
              <w:rPr>
                <w:rFonts w:ascii="Times New Roman"/>
                <w:sz w:val="21"/>
              </w:rPr>
            </w:pPr>
            <w:r>
              <w:rPr>
                <w:rFonts w:ascii="Times New Roman"/>
                <w:sz w:val="21"/>
              </w:rPr>
              <w:t>20</w:t>
            </w:r>
          </w:p>
        </w:tc>
        <w:tc>
          <w:tcPr>
            <w:tcW w:w="800" w:type="dxa"/>
          </w:tcPr>
          <w:p w:rsidR="00B04AE3" w:rsidRDefault="00B04AE3">
            <w:pPr>
              <w:pStyle w:val="TableParagraph"/>
              <w:spacing w:before="76"/>
              <w:ind w:left="89" w:right="82"/>
              <w:rPr>
                <w:rFonts w:ascii="Times New Roman"/>
                <w:sz w:val="21"/>
              </w:rPr>
            </w:pPr>
            <w:r>
              <w:rPr>
                <w:rFonts w:ascii="Times New Roman"/>
                <w:sz w:val="21"/>
              </w:rPr>
              <w:t>30</w:t>
            </w:r>
          </w:p>
        </w:tc>
        <w:tc>
          <w:tcPr>
            <w:tcW w:w="800" w:type="dxa"/>
          </w:tcPr>
          <w:p w:rsidR="00B04AE3" w:rsidRDefault="00B04AE3">
            <w:pPr>
              <w:pStyle w:val="TableParagraph"/>
              <w:spacing w:before="76"/>
              <w:ind w:left="89" w:right="79"/>
              <w:rPr>
                <w:rFonts w:ascii="Times New Roman"/>
                <w:sz w:val="21"/>
              </w:rPr>
            </w:pPr>
            <w:r>
              <w:rPr>
                <w:rFonts w:ascii="Times New Roman"/>
                <w:sz w:val="21"/>
              </w:rPr>
              <w:t>40</w:t>
            </w:r>
          </w:p>
        </w:tc>
        <w:tc>
          <w:tcPr>
            <w:tcW w:w="800" w:type="dxa"/>
          </w:tcPr>
          <w:p w:rsidR="00B04AE3" w:rsidRDefault="00B04AE3">
            <w:pPr>
              <w:pStyle w:val="TableParagraph"/>
              <w:spacing w:before="76"/>
              <w:ind w:left="89" w:right="81"/>
              <w:rPr>
                <w:rFonts w:ascii="Times New Roman"/>
                <w:sz w:val="21"/>
              </w:rPr>
            </w:pPr>
            <w:r>
              <w:rPr>
                <w:rFonts w:ascii="Times New Roman"/>
                <w:sz w:val="21"/>
              </w:rPr>
              <w:t>50</w:t>
            </w:r>
          </w:p>
        </w:tc>
        <w:tc>
          <w:tcPr>
            <w:tcW w:w="833" w:type="dxa"/>
          </w:tcPr>
          <w:p w:rsidR="00B04AE3" w:rsidRDefault="00B04AE3">
            <w:pPr>
              <w:pStyle w:val="TableParagraph"/>
              <w:spacing w:before="76"/>
              <w:ind w:left="185" w:right="178"/>
              <w:rPr>
                <w:rFonts w:ascii="Times New Roman"/>
                <w:sz w:val="21"/>
              </w:rPr>
            </w:pPr>
            <w:r>
              <w:rPr>
                <w:rFonts w:ascii="Times New Roman"/>
                <w:sz w:val="21"/>
              </w:rPr>
              <w:t>60</w:t>
            </w:r>
          </w:p>
        </w:tc>
      </w:tr>
      <w:tr w:rsidR="00B04AE3">
        <w:trPr>
          <w:trHeight w:val="397"/>
        </w:trPr>
        <w:tc>
          <w:tcPr>
            <w:tcW w:w="3165" w:type="dxa"/>
          </w:tcPr>
          <w:p w:rsidR="00B04AE3" w:rsidRDefault="00B04AE3">
            <w:pPr>
              <w:pStyle w:val="TableParagraph"/>
              <w:spacing w:before="63"/>
              <w:ind w:left="444" w:right="435"/>
              <w:rPr>
                <w:sz w:val="21"/>
              </w:rPr>
            </w:pPr>
            <w:r>
              <w:rPr>
                <w:rFonts w:hint="eastAsia"/>
                <w:sz w:val="21"/>
              </w:rPr>
              <w:t>最大地面浓度（</w:t>
            </w:r>
            <w:r>
              <w:rPr>
                <w:rFonts w:ascii="Times New Roman" w:eastAsia="Times New Roman"/>
                <w:sz w:val="21"/>
              </w:rPr>
              <w:t>mg/m</w:t>
            </w:r>
            <w:r>
              <w:rPr>
                <w:rFonts w:ascii="Times New Roman" w:eastAsia="Times New Roman"/>
                <w:position w:val="7"/>
                <w:sz w:val="13"/>
              </w:rPr>
              <w:t>3</w:t>
            </w:r>
            <w:r>
              <w:rPr>
                <w:rFonts w:hint="eastAsia"/>
                <w:sz w:val="21"/>
              </w:rPr>
              <w:t>）</w:t>
            </w:r>
          </w:p>
        </w:tc>
        <w:tc>
          <w:tcPr>
            <w:tcW w:w="801" w:type="dxa"/>
          </w:tcPr>
          <w:p w:rsidR="00B04AE3" w:rsidRDefault="00B04AE3">
            <w:pPr>
              <w:pStyle w:val="TableParagraph"/>
              <w:spacing w:before="77"/>
              <w:ind w:left="91" w:right="82"/>
              <w:rPr>
                <w:rFonts w:ascii="Times New Roman"/>
                <w:sz w:val="21"/>
              </w:rPr>
            </w:pPr>
            <w:r>
              <w:rPr>
                <w:rFonts w:ascii="Times New Roman"/>
                <w:sz w:val="21"/>
              </w:rPr>
              <w:t>4139.2</w:t>
            </w:r>
          </w:p>
        </w:tc>
        <w:tc>
          <w:tcPr>
            <w:tcW w:w="800" w:type="dxa"/>
          </w:tcPr>
          <w:p w:rsidR="00B04AE3" w:rsidRDefault="00B04AE3">
            <w:pPr>
              <w:pStyle w:val="TableParagraph"/>
              <w:spacing w:before="77"/>
              <w:ind w:left="89" w:right="83"/>
              <w:rPr>
                <w:rFonts w:ascii="Times New Roman"/>
                <w:sz w:val="21"/>
              </w:rPr>
            </w:pPr>
            <w:r>
              <w:rPr>
                <w:rFonts w:ascii="Times New Roman"/>
                <w:sz w:val="21"/>
              </w:rPr>
              <w:t>4139.2</w:t>
            </w:r>
          </w:p>
        </w:tc>
        <w:tc>
          <w:tcPr>
            <w:tcW w:w="800" w:type="dxa"/>
          </w:tcPr>
          <w:p w:rsidR="00B04AE3" w:rsidRDefault="00B04AE3">
            <w:pPr>
              <w:pStyle w:val="TableParagraph"/>
              <w:spacing w:before="77"/>
              <w:ind w:right="205"/>
              <w:jc w:val="right"/>
              <w:rPr>
                <w:rFonts w:ascii="Times New Roman"/>
                <w:sz w:val="21"/>
              </w:rPr>
            </w:pPr>
            <w:r>
              <w:rPr>
                <w:rFonts w:ascii="Times New Roman"/>
                <w:sz w:val="21"/>
              </w:rPr>
              <w:t>7.57</w:t>
            </w:r>
          </w:p>
        </w:tc>
        <w:tc>
          <w:tcPr>
            <w:tcW w:w="800" w:type="dxa"/>
          </w:tcPr>
          <w:p w:rsidR="00B04AE3" w:rsidRDefault="00B04AE3">
            <w:pPr>
              <w:pStyle w:val="TableParagraph"/>
              <w:spacing w:before="77"/>
              <w:ind w:left="89" w:right="79"/>
              <w:rPr>
                <w:rFonts w:ascii="Times New Roman"/>
                <w:sz w:val="21"/>
              </w:rPr>
            </w:pPr>
            <w:r>
              <w:rPr>
                <w:rFonts w:ascii="Times New Roman"/>
                <w:sz w:val="21"/>
              </w:rPr>
              <w:t>2.40</w:t>
            </w:r>
          </w:p>
        </w:tc>
        <w:tc>
          <w:tcPr>
            <w:tcW w:w="800" w:type="dxa"/>
          </w:tcPr>
          <w:p w:rsidR="00B04AE3" w:rsidRDefault="00B04AE3">
            <w:pPr>
              <w:pStyle w:val="TableParagraph"/>
              <w:spacing w:before="77"/>
              <w:ind w:left="89" w:right="81"/>
              <w:rPr>
                <w:rFonts w:ascii="Times New Roman"/>
                <w:sz w:val="21"/>
              </w:rPr>
            </w:pPr>
            <w:r>
              <w:rPr>
                <w:rFonts w:ascii="Times New Roman"/>
                <w:sz w:val="21"/>
              </w:rPr>
              <w:t>1.12</w:t>
            </w:r>
          </w:p>
        </w:tc>
        <w:tc>
          <w:tcPr>
            <w:tcW w:w="833" w:type="dxa"/>
          </w:tcPr>
          <w:p w:rsidR="00B04AE3" w:rsidRDefault="00B04AE3">
            <w:pPr>
              <w:pStyle w:val="TableParagraph"/>
              <w:spacing w:before="77"/>
              <w:ind w:left="185" w:right="173"/>
              <w:rPr>
                <w:rFonts w:ascii="Times New Roman"/>
                <w:sz w:val="21"/>
              </w:rPr>
            </w:pPr>
            <w:r>
              <w:rPr>
                <w:rFonts w:ascii="Times New Roman"/>
                <w:sz w:val="21"/>
              </w:rPr>
              <w:t>0.71</w:t>
            </w:r>
          </w:p>
        </w:tc>
      </w:tr>
      <w:tr w:rsidR="00B04AE3">
        <w:trPr>
          <w:trHeight w:val="397"/>
        </w:trPr>
        <w:tc>
          <w:tcPr>
            <w:tcW w:w="3165" w:type="dxa"/>
          </w:tcPr>
          <w:p w:rsidR="00B04AE3" w:rsidRDefault="00B04AE3">
            <w:pPr>
              <w:pStyle w:val="TableParagraph"/>
              <w:spacing w:before="62"/>
              <w:ind w:left="441" w:right="435"/>
              <w:rPr>
                <w:sz w:val="21"/>
              </w:rPr>
            </w:pPr>
            <w:r>
              <w:rPr>
                <w:rFonts w:hint="eastAsia"/>
                <w:sz w:val="21"/>
              </w:rPr>
              <w:t>最大浓度处距离（</w:t>
            </w:r>
            <w:r>
              <w:rPr>
                <w:rFonts w:ascii="Times New Roman" w:eastAsia="Times New Roman"/>
                <w:sz w:val="21"/>
              </w:rPr>
              <w:t>m</w:t>
            </w:r>
            <w:r>
              <w:rPr>
                <w:rFonts w:hint="eastAsia"/>
                <w:sz w:val="21"/>
              </w:rPr>
              <w:t>）</w:t>
            </w:r>
          </w:p>
        </w:tc>
        <w:tc>
          <w:tcPr>
            <w:tcW w:w="801" w:type="dxa"/>
          </w:tcPr>
          <w:p w:rsidR="00B04AE3" w:rsidRDefault="00B04AE3">
            <w:pPr>
              <w:pStyle w:val="TableParagraph"/>
              <w:spacing w:before="75"/>
              <w:ind w:left="6"/>
              <w:rPr>
                <w:rFonts w:ascii="Times New Roman"/>
                <w:sz w:val="21"/>
              </w:rPr>
            </w:pPr>
            <w:r>
              <w:rPr>
                <w:rFonts w:ascii="Times New Roman"/>
                <w:w w:val="99"/>
                <w:sz w:val="21"/>
              </w:rPr>
              <w:t>1</w:t>
            </w:r>
          </w:p>
        </w:tc>
        <w:tc>
          <w:tcPr>
            <w:tcW w:w="800" w:type="dxa"/>
          </w:tcPr>
          <w:p w:rsidR="00B04AE3" w:rsidRDefault="00B04AE3">
            <w:pPr>
              <w:pStyle w:val="TableParagraph"/>
              <w:spacing w:before="75"/>
              <w:ind w:left="8"/>
              <w:rPr>
                <w:rFonts w:ascii="Times New Roman"/>
                <w:sz w:val="21"/>
              </w:rPr>
            </w:pPr>
            <w:r>
              <w:rPr>
                <w:rFonts w:ascii="Times New Roman"/>
                <w:w w:val="99"/>
                <w:sz w:val="21"/>
              </w:rPr>
              <w:t>1</w:t>
            </w:r>
          </w:p>
        </w:tc>
        <w:tc>
          <w:tcPr>
            <w:tcW w:w="800" w:type="dxa"/>
          </w:tcPr>
          <w:p w:rsidR="00B04AE3" w:rsidRDefault="00B04AE3">
            <w:pPr>
              <w:pStyle w:val="TableParagraph"/>
              <w:spacing w:before="75"/>
              <w:ind w:right="231"/>
              <w:jc w:val="right"/>
              <w:rPr>
                <w:rFonts w:ascii="Times New Roman"/>
                <w:sz w:val="21"/>
              </w:rPr>
            </w:pPr>
            <w:r>
              <w:rPr>
                <w:rFonts w:ascii="Times New Roman"/>
                <w:sz w:val="21"/>
              </w:rPr>
              <w:t>888</w:t>
            </w:r>
          </w:p>
        </w:tc>
        <w:tc>
          <w:tcPr>
            <w:tcW w:w="800" w:type="dxa"/>
          </w:tcPr>
          <w:p w:rsidR="00B04AE3" w:rsidRDefault="00B04AE3">
            <w:pPr>
              <w:pStyle w:val="TableParagraph"/>
              <w:spacing w:before="75"/>
              <w:ind w:left="89" w:right="79"/>
              <w:rPr>
                <w:rFonts w:ascii="Times New Roman"/>
                <w:sz w:val="21"/>
              </w:rPr>
            </w:pPr>
            <w:r>
              <w:rPr>
                <w:rFonts w:ascii="Times New Roman"/>
                <w:sz w:val="21"/>
              </w:rPr>
              <w:t>1768</w:t>
            </w:r>
          </w:p>
        </w:tc>
        <w:tc>
          <w:tcPr>
            <w:tcW w:w="800" w:type="dxa"/>
          </w:tcPr>
          <w:p w:rsidR="00B04AE3" w:rsidRDefault="00B04AE3">
            <w:pPr>
              <w:pStyle w:val="TableParagraph"/>
              <w:spacing w:before="75"/>
              <w:ind w:left="89" w:right="81"/>
              <w:rPr>
                <w:rFonts w:ascii="Times New Roman"/>
                <w:sz w:val="21"/>
              </w:rPr>
            </w:pPr>
            <w:r>
              <w:rPr>
                <w:rFonts w:ascii="Times New Roman"/>
                <w:sz w:val="21"/>
              </w:rPr>
              <w:t>2768</w:t>
            </w:r>
          </w:p>
        </w:tc>
        <w:tc>
          <w:tcPr>
            <w:tcW w:w="833" w:type="dxa"/>
          </w:tcPr>
          <w:p w:rsidR="00B04AE3" w:rsidRDefault="00B04AE3">
            <w:pPr>
              <w:pStyle w:val="TableParagraph"/>
              <w:spacing w:before="75"/>
              <w:ind w:left="185" w:right="178"/>
              <w:rPr>
                <w:rFonts w:ascii="Times New Roman"/>
                <w:sz w:val="21"/>
              </w:rPr>
            </w:pPr>
            <w:r>
              <w:rPr>
                <w:rFonts w:ascii="Times New Roman"/>
                <w:sz w:val="21"/>
              </w:rPr>
              <w:t>3680</w:t>
            </w:r>
          </w:p>
        </w:tc>
      </w:tr>
      <w:tr w:rsidR="00B04AE3">
        <w:trPr>
          <w:trHeight w:val="397"/>
        </w:trPr>
        <w:tc>
          <w:tcPr>
            <w:tcW w:w="3165" w:type="dxa"/>
          </w:tcPr>
          <w:p w:rsidR="00B04AE3" w:rsidRDefault="00B04AE3">
            <w:pPr>
              <w:pStyle w:val="TableParagraph"/>
              <w:spacing w:before="62"/>
              <w:ind w:left="444" w:right="435"/>
              <w:rPr>
                <w:sz w:val="21"/>
              </w:rPr>
            </w:pPr>
            <w:r>
              <w:rPr>
                <w:rFonts w:hint="eastAsia"/>
                <w:sz w:val="21"/>
              </w:rPr>
              <w:t>致死浓度距离（</w:t>
            </w:r>
            <w:r>
              <w:rPr>
                <w:rFonts w:ascii="Times New Roman" w:eastAsia="Times New Roman"/>
                <w:sz w:val="21"/>
              </w:rPr>
              <w:t>m</w:t>
            </w:r>
            <w:r>
              <w:rPr>
                <w:rFonts w:hint="eastAsia"/>
                <w:sz w:val="21"/>
              </w:rPr>
              <w:t>）</w:t>
            </w:r>
          </w:p>
        </w:tc>
        <w:tc>
          <w:tcPr>
            <w:tcW w:w="801" w:type="dxa"/>
          </w:tcPr>
          <w:p w:rsidR="00B04AE3" w:rsidRDefault="00B04AE3">
            <w:pPr>
              <w:pStyle w:val="TableParagraph"/>
              <w:spacing w:before="76"/>
              <w:ind w:left="91" w:right="80"/>
              <w:rPr>
                <w:rFonts w:ascii="Times New Roman"/>
                <w:sz w:val="21"/>
              </w:rPr>
            </w:pPr>
            <w:r>
              <w:rPr>
                <w:rFonts w:ascii="Times New Roman"/>
                <w:sz w:val="21"/>
              </w:rPr>
              <w:t>340</w:t>
            </w:r>
          </w:p>
        </w:tc>
        <w:tc>
          <w:tcPr>
            <w:tcW w:w="800" w:type="dxa"/>
          </w:tcPr>
          <w:p w:rsidR="00B04AE3" w:rsidRDefault="00B04AE3">
            <w:pPr>
              <w:pStyle w:val="TableParagraph"/>
              <w:spacing w:before="76"/>
              <w:ind w:left="89" w:right="81"/>
              <w:rPr>
                <w:rFonts w:ascii="Times New Roman"/>
                <w:sz w:val="21"/>
              </w:rPr>
            </w:pPr>
            <w:r>
              <w:rPr>
                <w:rFonts w:ascii="Times New Roman"/>
                <w:sz w:val="21"/>
              </w:rPr>
              <w:t>340</w:t>
            </w:r>
          </w:p>
        </w:tc>
        <w:tc>
          <w:tcPr>
            <w:tcW w:w="800" w:type="dxa"/>
          </w:tcPr>
          <w:p w:rsidR="00B04AE3" w:rsidRDefault="00B04AE3">
            <w:pPr>
              <w:pStyle w:val="TableParagraph"/>
              <w:spacing w:before="76"/>
              <w:ind w:left="7"/>
              <w:rPr>
                <w:rFonts w:ascii="Times New Roman"/>
                <w:sz w:val="21"/>
              </w:rPr>
            </w:pPr>
            <w:r>
              <w:rPr>
                <w:rFonts w:ascii="Times New Roman"/>
                <w:w w:val="99"/>
                <w:sz w:val="21"/>
              </w:rPr>
              <w:t>0</w:t>
            </w:r>
          </w:p>
        </w:tc>
        <w:tc>
          <w:tcPr>
            <w:tcW w:w="800" w:type="dxa"/>
          </w:tcPr>
          <w:p w:rsidR="00B04AE3" w:rsidRDefault="00B04AE3">
            <w:pPr>
              <w:pStyle w:val="TableParagraph"/>
              <w:spacing w:before="76"/>
              <w:ind w:left="5"/>
              <w:rPr>
                <w:rFonts w:ascii="Times New Roman"/>
                <w:sz w:val="21"/>
              </w:rPr>
            </w:pPr>
            <w:r>
              <w:rPr>
                <w:rFonts w:ascii="Times New Roman"/>
                <w:w w:val="99"/>
                <w:sz w:val="21"/>
              </w:rPr>
              <w:t>0</w:t>
            </w:r>
          </w:p>
        </w:tc>
        <w:tc>
          <w:tcPr>
            <w:tcW w:w="800" w:type="dxa"/>
          </w:tcPr>
          <w:p w:rsidR="00B04AE3" w:rsidRDefault="00B04AE3">
            <w:pPr>
              <w:pStyle w:val="TableParagraph"/>
              <w:spacing w:before="76"/>
              <w:ind w:left="8"/>
              <w:rPr>
                <w:rFonts w:ascii="Times New Roman"/>
                <w:sz w:val="21"/>
              </w:rPr>
            </w:pPr>
            <w:r>
              <w:rPr>
                <w:rFonts w:ascii="Times New Roman"/>
                <w:w w:val="99"/>
                <w:sz w:val="21"/>
              </w:rPr>
              <w:t>0</w:t>
            </w:r>
          </w:p>
        </w:tc>
        <w:tc>
          <w:tcPr>
            <w:tcW w:w="833" w:type="dxa"/>
          </w:tcPr>
          <w:p w:rsidR="00B04AE3" w:rsidRDefault="00B04AE3">
            <w:pPr>
              <w:pStyle w:val="TableParagraph"/>
              <w:spacing w:before="76"/>
              <w:ind w:left="7"/>
              <w:rPr>
                <w:rFonts w:ascii="Times New Roman"/>
                <w:sz w:val="21"/>
              </w:rPr>
            </w:pPr>
            <w:r>
              <w:rPr>
                <w:rFonts w:ascii="Times New Roman"/>
                <w:w w:val="99"/>
                <w:sz w:val="21"/>
              </w:rPr>
              <w:t>0</w:t>
            </w:r>
          </w:p>
        </w:tc>
      </w:tr>
      <w:tr w:rsidR="00B04AE3">
        <w:trPr>
          <w:trHeight w:val="396"/>
        </w:trPr>
        <w:tc>
          <w:tcPr>
            <w:tcW w:w="3165" w:type="dxa"/>
          </w:tcPr>
          <w:p w:rsidR="00B04AE3" w:rsidRDefault="00B04AE3">
            <w:pPr>
              <w:pStyle w:val="TableParagraph"/>
              <w:spacing w:before="61"/>
              <w:ind w:left="441" w:right="435"/>
              <w:rPr>
                <w:sz w:val="21"/>
              </w:rPr>
            </w:pPr>
            <w:r>
              <w:rPr>
                <w:rFonts w:hint="eastAsia"/>
                <w:sz w:val="21"/>
              </w:rPr>
              <w:t>致重病浓度距离（</w:t>
            </w:r>
            <w:r>
              <w:rPr>
                <w:rFonts w:ascii="Times New Roman" w:eastAsia="Times New Roman"/>
                <w:sz w:val="21"/>
              </w:rPr>
              <w:t>m</w:t>
            </w:r>
            <w:r>
              <w:rPr>
                <w:rFonts w:hint="eastAsia"/>
                <w:sz w:val="21"/>
              </w:rPr>
              <w:t>）</w:t>
            </w:r>
          </w:p>
        </w:tc>
        <w:tc>
          <w:tcPr>
            <w:tcW w:w="801" w:type="dxa"/>
          </w:tcPr>
          <w:p w:rsidR="00B04AE3" w:rsidRDefault="00B04AE3">
            <w:pPr>
              <w:pStyle w:val="TableParagraph"/>
              <w:spacing w:before="75"/>
              <w:ind w:left="91" w:right="80"/>
              <w:rPr>
                <w:rFonts w:ascii="Times New Roman"/>
                <w:sz w:val="21"/>
              </w:rPr>
            </w:pPr>
            <w:r>
              <w:rPr>
                <w:rFonts w:ascii="Times New Roman"/>
                <w:sz w:val="21"/>
              </w:rPr>
              <w:t>460</w:t>
            </w:r>
          </w:p>
        </w:tc>
        <w:tc>
          <w:tcPr>
            <w:tcW w:w="800" w:type="dxa"/>
          </w:tcPr>
          <w:p w:rsidR="00B04AE3" w:rsidRDefault="00B04AE3">
            <w:pPr>
              <w:pStyle w:val="TableParagraph"/>
              <w:spacing w:before="75"/>
              <w:ind w:left="89" w:right="81"/>
              <w:rPr>
                <w:rFonts w:ascii="Times New Roman"/>
                <w:sz w:val="21"/>
              </w:rPr>
            </w:pPr>
            <w:r>
              <w:rPr>
                <w:rFonts w:ascii="Times New Roman"/>
                <w:sz w:val="21"/>
              </w:rPr>
              <w:t>490</w:t>
            </w:r>
          </w:p>
        </w:tc>
        <w:tc>
          <w:tcPr>
            <w:tcW w:w="800" w:type="dxa"/>
          </w:tcPr>
          <w:p w:rsidR="00B04AE3" w:rsidRDefault="00B04AE3">
            <w:pPr>
              <w:pStyle w:val="TableParagraph"/>
              <w:spacing w:before="75"/>
              <w:ind w:left="7"/>
              <w:rPr>
                <w:rFonts w:ascii="Times New Roman"/>
                <w:sz w:val="21"/>
              </w:rPr>
            </w:pPr>
            <w:r>
              <w:rPr>
                <w:rFonts w:ascii="Times New Roman"/>
                <w:w w:val="99"/>
                <w:sz w:val="21"/>
              </w:rPr>
              <w:t>0</w:t>
            </w:r>
          </w:p>
        </w:tc>
        <w:tc>
          <w:tcPr>
            <w:tcW w:w="800" w:type="dxa"/>
          </w:tcPr>
          <w:p w:rsidR="00B04AE3" w:rsidRDefault="00B04AE3">
            <w:pPr>
              <w:pStyle w:val="TableParagraph"/>
              <w:spacing w:before="75"/>
              <w:ind w:left="5"/>
              <w:rPr>
                <w:rFonts w:ascii="Times New Roman"/>
                <w:sz w:val="21"/>
              </w:rPr>
            </w:pPr>
            <w:r>
              <w:rPr>
                <w:rFonts w:ascii="Times New Roman"/>
                <w:w w:val="99"/>
                <w:sz w:val="21"/>
              </w:rPr>
              <w:t>0</w:t>
            </w:r>
          </w:p>
        </w:tc>
        <w:tc>
          <w:tcPr>
            <w:tcW w:w="800" w:type="dxa"/>
          </w:tcPr>
          <w:p w:rsidR="00B04AE3" w:rsidRDefault="00B04AE3">
            <w:pPr>
              <w:pStyle w:val="TableParagraph"/>
              <w:spacing w:before="75"/>
              <w:ind w:left="8"/>
              <w:rPr>
                <w:rFonts w:ascii="Times New Roman"/>
                <w:sz w:val="21"/>
              </w:rPr>
            </w:pPr>
            <w:r>
              <w:rPr>
                <w:rFonts w:ascii="Times New Roman"/>
                <w:w w:val="99"/>
                <w:sz w:val="21"/>
              </w:rPr>
              <w:t>0</w:t>
            </w:r>
          </w:p>
        </w:tc>
        <w:tc>
          <w:tcPr>
            <w:tcW w:w="833" w:type="dxa"/>
          </w:tcPr>
          <w:p w:rsidR="00B04AE3" w:rsidRDefault="00B04AE3">
            <w:pPr>
              <w:pStyle w:val="TableParagraph"/>
              <w:spacing w:before="75"/>
              <w:ind w:left="7"/>
              <w:rPr>
                <w:rFonts w:ascii="Times New Roman"/>
                <w:sz w:val="21"/>
              </w:rPr>
            </w:pPr>
            <w:r>
              <w:rPr>
                <w:rFonts w:ascii="Times New Roman"/>
                <w:w w:val="99"/>
                <w:sz w:val="21"/>
              </w:rPr>
              <w:t>0</w:t>
            </w:r>
          </w:p>
        </w:tc>
      </w:tr>
      <w:tr w:rsidR="00B04AE3">
        <w:trPr>
          <w:trHeight w:val="397"/>
        </w:trPr>
        <w:tc>
          <w:tcPr>
            <w:tcW w:w="3165" w:type="dxa"/>
          </w:tcPr>
          <w:p w:rsidR="00B04AE3" w:rsidRDefault="00B04AE3">
            <w:pPr>
              <w:pStyle w:val="TableParagraph"/>
              <w:spacing w:before="62"/>
              <w:ind w:left="444" w:right="433"/>
              <w:rPr>
                <w:sz w:val="21"/>
              </w:rPr>
            </w:pPr>
            <w:r>
              <w:rPr>
                <w:rFonts w:hint="eastAsia"/>
                <w:sz w:val="21"/>
              </w:rPr>
              <w:t>超</w:t>
            </w:r>
            <w:r>
              <w:rPr>
                <w:sz w:val="21"/>
              </w:rPr>
              <w:t xml:space="preserve"> </w:t>
            </w:r>
            <w:r>
              <w:rPr>
                <w:rFonts w:ascii="Times New Roman" w:eastAsia="Times New Roman"/>
                <w:sz w:val="21"/>
              </w:rPr>
              <w:t xml:space="preserve">STEL </w:t>
            </w:r>
            <w:r>
              <w:rPr>
                <w:rFonts w:hint="eastAsia"/>
                <w:sz w:val="21"/>
              </w:rPr>
              <w:t>范围（</w:t>
            </w:r>
            <w:r>
              <w:rPr>
                <w:rFonts w:ascii="Times New Roman" w:eastAsia="Times New Roman"/>
                <w:sz w:val="21"/>
              </w:rPr>
              <w:t>m</w:t>
            </w:r>
            <w:r>
              <w:rPr>
                <w:rFonts w:hint="eastAsia"/>
                <w:sz w:val="21"/>
              </w:rPr>
              <w:t>）</w:t>
            </w:r>
          </w:p>
        </w:tc>
        <w:tc>
          <w:tcPr>
            <w:tcW w:w="801" w:type="dxa"/>
          </w:tcPr>
          <w:p w:rsidR="00B04AE3" w:rsidRDefault="00B04AE3">
            <w:pPr>
              <w:pStyle w:val="TableParagraph"/>
              <w:spacing w:before="76"/>
              <w:ind w:left="91" w:right="80"/>
              <w:rPr>
                <w:rFonts w:ascii="Times New Roman"/>
                <w:sz w:val="21"/>
              </w:rPr>
            </w:pPr>
            <w:r>
              <w:rPr>
                <w:rFonts w:ascii="Times New Roman"/>
                <w:sz w:val="21"/>
              </w:rPr>
              <w:t>820</w:t>
            </w:r>
          </w:p>
        </w:tc>
        <w:tc>
          <w:tcPr>
            <w:tcW w:w="800" w:type="dxa"/>
          </w:tcPr>
          <w:p w:rsidR="00B04AE3" w:rsidRDefault="00B04AE3">
            <w:pPr>
              <w:pStyle w:val="TableParagraph"/>
              <w:spacing w:before="76"/>
              <w:ind w:left="89" w:right="81"/>
              <w:rPr>
                <w:rFonts w:ascii="Times New Roman"/>
                <w:sz w:val="21"/>
              </w:rPr>
            </w:pPr>
            <w:r>
              <w:rPr>
                <w:rFonts w:ascii="Times New Roman"/>
                <w:sz w:val="21"/>
              </w:rPr>
              <w:t>1620</w:t>
            </w:r>
          </w:p>
        </w:tc>
        <w:tc>
          <w:tcPr>
            <w:tcW w:w="800" w:type="dxa"/>
          </w:tcPr>
          <w:p w:rsidR="00B04AE3" w:rsidRDefault="00B04AE3">
            <w:pPr>
              <w:pStyle w:val="TableParagraph"/>
              <w:spacing w:before="76"/>
              <w:ind w:right="178"/>
              <w:jc w:val="right"/>
              <w:rPr>
                <w:rFonts w:ascii="Times New Roman"/>
                <w:sz w:val="21"/>
              </w:rPr>
            </w:pPr>
            <w:r>
              <w:rPr>
                <w:rFonts w:ascii="Times New Roman"/>
                <w:w w:val="95"/>
                <w:sz w:val="21"/>
              </w:rPr>
              <w:t>2280</w:t>
            </w:r>
          </w:p>
        </w:tc>
        <w:tc>
          <w:tcPr>
            <w:tcW w:w="800" w:type="dxa"/>
          </w:tcPr>
          <w:p w:rsidR="00B04AE3" w:rsidRDefault="00B04AE3">
            <w:pPr>
              <w:pStyle w:val="TableParagraph"/>
              <w:spacing w:before="76"/>
              <w:ind w:left="89" w:right="79"/>
              <w:rPr>
                <w:rFonts w:ascii="Times New Roman"/>
                <w:sz w:val="21"/>
              </w:rPr>
            </w:pPr>
            <w:r>
              <w:rPr>
                <w:rFonts w:ascii="Times New Roman"/>
                <w:sz w:val="21"/>
              </w:rPr>
              <w:t>2900</w:t>
            </w:r>
          </w:p>
        </w:tc>
        <w:tc>
          <w:tcPr>
            <w:tcW w:w="800" w:type="dxa"/>
          </w:tcPr>
          <w:p w:rsidR="00B04AE3" w:rsidRDefault="00B04AE3">
            <w:pPr>
              <w:pStyle w:val="TableParagraph"/>
              <w:spacing w:before="76"/>
              <w:ind w:left="89" w:right="81"/>
              <w:rPr>
                <w:rFonts w:ascii="Times New Roman"/>
                <w:sz w:val="21"/>
              </w:rPr>
            </w:pPr>
            <w:r>
              <w:rPr>
                <w:rFonts w:ascii="Times New Roman"/>
                <w:sz w:val="21"/>
              </w:rPr>
              <w:t>3150</w:t>
            </w:r>
          </w:p>
        </w:tc>
        <w:tc>
          <w:tcPr>
            <w:tcW w:w="833" w:type="dxa"/>
          </w:tcPr>
          <w:p w:rsidR="00B04AE3" w:rsidRDefault="00B04AE3">
            <w:pPr>
              <w:pStyle w:val="TableParagraph"/>
              <w:spacing w:before="76"/>
              <w:ind w:left="7"/>
              <w:rPr>
                <w:rFonts w:ascii="Times New Roman"/>
                <w:sz w:val="21"/>
              </w:rPr>
            </w:pPr>
            <w:r>
              <w:rPr>
                <w:rFonts w:ascii="Times New Roman"/>
                <w:w w:val="99"/>
                <w:sz w:val="21"/>
              </w:rPr>
              <w:t>0</w:t>
            </w:r>
          </w:p>
        </w:tc>
      </w:tr>
    </w:tbl>
    <w:p w:rsidR="00B04AE3" w:rsidRDefault="00B04AE3">
      <w:pPr>
        <w:pStyle w:val="BodyText"/>
        <w:spacing w:before="2"/>
        <w:ind w:left="1277"/>
      </w:pPr>
      <w:r>
        <w:rPr>
          <w:rFonts w:hint="eastAsia"/>
        </w:rPr>
        <w:t>由表</w:t>
      </w:r>
      <w:r>
        <w:t xml:space="preserve"> </w:t>
      </w:r>
      <w:r>
        <w:rPr>
          <w:rFonts w:ascii="Times New Roman" w:eastAsia="Times New Roman"/>
        </w:rPr>
        <w:t xml:space="preserve">3.3-1 </w:t>
      </w:r>
      <w:r>
        <w:rPr>
          <w:rFonts w:hint="eastAsia"/>
        </w:rPr>
        <w:t>可知：当氨气瓶发生泄漏时，在</w:t>
      </w:r>
      <w:r>
        <w:rPr>
          <w:rFonts w:ascii="Times New Roman" w:eastAsia="Times New Roman"/>
        </w:rPr>
        <w:t>D</w:t>
      </w:r>
      <w:r>
        <w:rPr>
          <w:rFonts w:hint="eastAsia"/>
        </w:rPr>
        <w:t>类稳定度有风条件下：</w:t>
      </w:r>
    </w:p>
    <w:p w:rsidR="00B04AE3" w:rsidRDefault="00B04AE3">
      <w:pPr>
        <w:pStyle w:val="BodyText"/>
        <w:spacing w:before="64" w:line="364" w:lineRule="auto"/>
        <w:ind w:left="797" w:right="792" w:firstLine="463"/>
        <w:jc w:val="both"/>
        <w:rPr>
          <w:spacing w:val="-6"/>
          <w:szCs w:val="22"/>
        </w:rPr>
      </w:pPr>
      <w:r>
        <w:rPr>
          <w:rFonts w:hint="eastAsia"/>
          <w:spacing w:val="-6"/>
          <w:szCs w:val="22"/>
        </w:rPr>
        <w:t>⑴出现的最大地面浓度为</w:t>
      </w:r>
      <w:r>
        <w:rPr>
          <w:spacing w:val="-6"/>
          <w:szCs w:val="22"/>
        </w:rPr>
        <w:t xml:space="preserve"> 4139.2mg/m3</w:t>
      </w:r>
      <w:r>
        <w:rPr>
          <w:rFonts w:hint="eastAsia"/>
          <w:spacing w:val="-6"/>
          <w:szCs w:val="22"/>
        </w:rPr>
        <w:t>，在事故时下风向距离风险源</w:t>
      </w:r>
      <w:r>
        <w:rPr>
          <w:spacing w:val="-6"/>
          <w:szCs w:val="22"/>
        </w:rPr>
        <w:t xml:space="preserve"> 1m </w:t>
      </w:r>
      <w:r>
        <w:rPr>
          <w:rFonts w:hint="eastAsia"/>
          <w:spacing w:val="-6"/>
          <w:szCs w:val="22"/>
        </w:rPr>
        <w:t>处，出现在事故发生后</w:t>
      </w:r>
      <w:r>
        <w:rPr>
          <w:spacing w:val="-6"/>
          <w:szCs w:val="22"/>
        </w:rPr>
        <w:t xml:space="preserve"> 10-20min </w:t>
      </w:r>
      <w:r>
        <w:rPr>
          <w:rFonts w:hint="eastAsia"/>
          <w:spacing w:val="-6"/>
          <w:szCs w:val="22"/>
        </w:rPr>
        <w:t>左右；</w:t>
      </w:r>
    </w:p>
    <w:p w:rsidR="00B04AE3" w:rsidRDefault="00B04AE3">
      <w:pPr>
        <w:pStyle w:val="BodyText"/>
        <w:spacing w:before="64" w:line="364" w:lineRule="auto"/>
        <w:ind w:left="797" w:right="792" w:firstLine="463"/>
        <w:jc w:val="both"/>
        <w:rPr>
          <w:spacing w:val="-6"/>
          <w:szCs w:val="22"/>
        </w:rPr>
      </w:pPr>
      <w:r>
        <w:rPr>
          <w:rFonts w:hint="eastAsia"/>
          <w:spacing w:val="-6"/>
          <w:szCs w:val="22"/>
        </w:rPr>
        <w:t>⑵泄漏后产生的致死浓度范围为事故时下风向距离风险源</w:t>
      </w:r>
      <w:r>
        <w:rPr>
          <w:spacing w:val="-6"/>
          <w:szCs w:val="22"/>
        </w:rPr>
        <w:t xml:space="preserve"> 340m </w:t>
      </w:r>
      <w:r>
        <w:rPr>
          <w:rFonts w:hint="eastAsia"/>
          <w:spacing w:val="-6"/>
          <w:szCs w:val="22"/>
        </w:rPr>
        <w:t>内；至重病浓度范围为事故时下风向的</w:t>
      </w:r>
      <w:r>
        <w:rPr>
          <w:spacing w:val="-6"/>
          <w:szCs w:val="22"/>
        </w:rPr>
        <w:t xml:space="preserve"> 490m </w:t>
      </w:r>
      <w:r>
        <w:rPr>
          <w:rFonts w:hint="eastAsia"/>
          <w:spacing w:val="-6"/>
          <w:szCs w:val="22"/>
        </w:rPr>
        <w:t>范围内。</w:t>
      </w:r>
    </w:p>
    <w:p w:rsidR="00B04AE3" w:rsidRDefault="00B04AE3">
      <w:pPr>
        <w:pStyle w:val="BodyText"/>
        <w:spacing w:before="64" w:line="364" w:lineRule="auto"/>
        <w:ind w:left="797" w:right="792" w:firstLine="463"/>
        <w:jc w:val="both"/>
      </w:pPr>
      <w:r>
        <w:rPr>
          <w:rFonts w:hint="eastAsia"/>
          <w:spacing w:val="-6"/>
          <w:szCs w:val="22"/>
        </w:rPr>
        <w:t>⑶泄漏后超过工作场所短时间接触容许浓度限值</w:t>
      </w:r>
      <w:r>
        <w:rPr>
          <w:spacing w:val="-6"/>
          <w:szCs w:val="22"/>
        </w:rPr>
        <w:t xml:space="preserve">STEL1.0mg/m3 </w:t>
      </w:r>
      <w:r>
        <w:rPr>
          <w:rFonts w:hint="eastAsia"/>
          <w:spacing w:val="-6"/>
          <w:szCs w:val="22"/>
        </w:rPr>
        <w:t>的标准的直线距离</w:t>
      </w:r>
      <w:r>
        <w:rPr>
          <w:spacing w:val="-6"/>
          <w:szCs w:val="22"/>
        </w:rPr>
        <w:t xml:space="preserve"> 3150m</w:t>
      </w:r>
      <w:r>
        <w:rPr>
          <w:rFonts w:hint="eastAsia"/>
        </w:rPr>
        <w:t>；</w:t>
      </w:r>
    </w:p>
    <w:p w:rsidR="00B04AE3" w:rsidRDefault="00B04AE3">
      <w:pPr>
        <w:ind w:left="797"/>
        <w:rPr>
          <w:b/>
          <w:sz w:val="24"/>
        </w:rPr>
      </w:pPr>
      <w:bookmarkStart w:id="327" w:name="3.3.2环境风险防控与应急措施分析"/>
      <w:bookmarkStart w:id="328" w:name="_bookmark112"/>
      <w:bookmarkEnd w:id="327"/>
      <w:bookmarkEnd w:id="328"/>
      <w:r>
        <w:rPr>
          <w:rFonts w:ascii="Times New Roman" w:eastAsia="Times New Roman"/>
          <w:b/>
          <w:sz w:val="24"/>
        </w:rPr>
        <w:t xml:space="preserve">3.3.2 </w:t>
      </w:r>
      <w:r>
        <w:rPr>
          <w:rFonts w:hint="eastAsia"/>
          <w:b/>
          <w:sz w:val="24"/>
        </w:rPr>
        <w:t>环境风险防控与应急措施分析</w:t>
      </w:r>
    </w:p>
    <w:p w:rsidR="00B04AE3" w:rsidRDefault="00B04AE3">
      <w:pPr>
        <w:pStyle w:val="BodyText"/>
        <w:spacing w:line="364" w:lineRule="auto"/>
        <w:ind w:left="797" w:right="795" w:firstLine="480"/>
        <w:jc w:val="both"/>
      </w:pPr>
      <w:r>
        <w:rPr>
          <w:rFonts w:hint="eastAsia"/>
          <w:spacing w:val="-6"/>
          <w:szCs w:val="22"/>
        </w:rPr>
        <w:t>近年来，南昌海立电器有限公司在安全环保方面做了大量的工作，取得了显著的成效，建立了比较完善的生产安全管理体系。现有环境风险防控和应急措施情况见第二章节</w:t>
      </w:r>
      <w:r>
        <w:rPr>
          <w:spacing w:val="-6"/>
          <w:szCs w:val="22"/>
        </w:rPr>
        <w:t xml:space="preserve"> 2.8 </w:t>
      </w:r>
      <w:r>
        <w:rPr>
          <w:rFonts w:hint="eastAsia"/>
          <w:spacing w:val="-6"/>
          <w:szCs w:val="22"/>
        </w:rPr>
        <w:t>部分</w:t>
      </w:r>
      <w:r>
        <w:rPr>
          <w:rFonts w:hint="eastAsia"/>
        </w:rPr>
        <w:t>。</w:t>
      </w:r>
    </w:p>
    <w:p w:rsidR="00B04AE3" w:rsidRDefault="00B04AE3">
      <w:pPr>
        <w:ind w:left="797"/>
        <w:rPr>
          <w:b/>
          <w:sz w:val="24"/>
        </w:rPr>
      </w:pPr>
      <w:bookmarkStart w:id="329" w:name="4.3.3应急资源情况分析"/>
      <w:bookmarkEnd w:id="329"/>
      <w:r>
        <w:rPr>
          <w:rFonts w:ascii="Times New Roman" w:eastAsia="Times New Roman"/>
          <w:b/>
          <w:sz w:val="24"/>
        </w:rPr>
        <w:t xml:space="preserve">4.3.3 </w:t>
      </w:r>
      <w:r>
        <w:rPr>
          <w:rFonts w:hint="eastAsia"/>
          <w:b/>
          <w:sz w:val="24"/>
        </w:rPr>
        <w:t>应急资源情况分析</w:t>
      </w:r>
    </w:p>
    <w:p w:rsidR="00B04AE3" w:rsidRDefault="00B04AE3">
      <w:pPr>
        <w:pStyle w:val="BodyText"/>
        <w:spacing w:line="364" w:lineRule="auto"/>
        <w:ind w:left="797" w:right="795" w:firstLine="480"/>
        <w:jc w:val="both"/>
        <w:rPr>
          <w:spacing w:val="-6"/>
          <w:szCs w:val="22"/>
        </w:rPr>
      </w:pPr>
      <w:r>
        <w:rPr>
          <w:rFonts w:hint="eastAsia"/>
          <w:spacing w:val="-6"/>
          <w:szCs w:val="22"/>
        </w:rPr>
        <w:t>在发生突发环境事件时，企业内部设有应急监测组，并配备水质分析仪等，在突发环境事件时。可以应急监测废水、周围环境空气质量。自身应急监测的能力不足，需向南昌市环境监测站请求援助。具体应急能力情况详见企业突发环境事件应急预案中第二章节。</w:t>
      </w:r>
    </w:p>
    <w:p w:rsidR="00B04AE3" w:rsidRDefault="00B04AE3">
      <w:pPr>
        <w:pStyle w:val="Heading2"/>
        <w:numPr>
          <w:ilvl w:val="1"/>
          <w:numId w:val="45"/>
        </w:numPr>
        <w:tabs>
          <w:tab w:val="left" w:pos="1357"/>
        </w:tabs>
        <w:spacing w:before="65"/>
        <w:ind w:hanging="559"/>
      </w:pPr>
      <w:bookmarkStart w:id="330" w:name="3.4_突发环境事件危害后果分析"/>
      <w:bookmarkEnd w:id="330"/>
      <w:r>
        <w:rPr>
          <w:rFonts w:hint="eastAsia"/>
        </w:rPr>
        <w:t>突发环境事件危害后果分析</w:t>
      </w:r>
    </w:p>
    <w:p w:rsidR="00B04AE3" w:rsidRDefault="00B04AE3">
      <w:pPr>
        <w:pStyle w:val="BodyText"/>
        <w:spacing w:line="364" w:lineRule="auto"/>
        <w:ind w:left="797" w:right="795" w:firstLine="480"/>
        <w:jc w:val="both"/>
        <w:rPr>
          <w:b/>
          <w:spacing w:val="-5"/>
        </w:rPr>
      </w:pPr>
      <w:bookmarkStart w:id="331" w:name="3.4.1__评价标准"/>
      <w:bookmarkStart w:id="332" w:name="_bookmark113"/>
      <w:bookmarkEnd w:id="331"/>
      <w:bookmarkEnd w:id="332"/>
      <w:r>
        <w:rPr>
          <w:b/>
          <w:spacing w:val="-5"/>
          <w:lang w:val="en-US"/>
        </w:rPr>
        <w:t>3.4.1</w:t>
      </w:r>
      <w:r>
        <w:rPr>
          <w:rFonts w:hint="eastAsia"/>
          <w:b/>
          <w:spacing w:val="-5"/>
        </w:rPr>
        <w:t>评价标准</w:t>
      </w:r>
    </w:p>
    <w:p w:rsidR="00B04AE3" w:rsidRDefault="00B04AE3">
      <w:pPr>
        <w:pStyle w:val="BodyText"/>
        <w:spacing w:line="364" w:lineRule="auto"/>
        <w:ind w:left="797" w:right="795" w:firstLine="480"/>
        <w:jc w:val="both"/>
        <w:rPr>
          <w:spacing w:val="-6"/>
          <w:szCs w:val="22"/>
        </w:rPr>
      </w:pPr>
      <w:r>
        <w:rPr>
          <w:rFonts w:hint="eastAsia"/>
          <w:spacing w:val="-6"/>
          <w:szCs w:val="22"/>
        </w:rPr>
        <w:t>设立</w:t>
      </w:r>
      <w:r>
        <w:rPr>
          <w:spacing w:val="-6"/>
          <w:szCs w:val="22"/>
        </w:rPr>
        <w:t xml:space="preserve"> 3 </w:t>
      </w:r>
      <w:r>
        <w:rPr>
          <w:rFonts w:hint="eastAsia"/>
          <w:spacing w:val="-6"/>
          <w:szCs w:val="22"/>
        </w:rPr>
        <w:t>级标准：</w:t>
      </w:r>
    </w:p>
    <w:p w:rsidR="00B04AE3" w:rsidRDefault="00B04AE3">
      <w:pPr>
        <w:pStyle w:val="BodyText"/>
        <w:spacing w:line="364" w:lineRule="auto"/>
        <w:ind w:left="797" w:right="795" w:firstLine="480"/>
        <w:jc w:val="both"/>
        <w:rPr>
          <w:spacing w:val="-6"/>
          <w:szCs w:val="22"/>
        </w:rPr>
      </w:pPr>
      <w:r>
        <w:rPr>
          <w:rFonts w:hint="eastAsia"/>
          <w:spacing w:val="-6"/>
          <w:szCs w:val="22"/>
        </w:rPr>
        <w:t>一级：以半致死浓度为标准。对于位于半致死浓度范围的居民、有条件的能搬迁最好，人数较多、没有条件的（如临近企业的员工）应归于事故时最先紧急撤离的人群。</w:t>
      </w:r>
    </w:p>
    <w:p w:rsidR="00B04AE3" w:rsidRDefault="00B04AE3">
      <w:pPr>
        <w:pStyle w:val="BodyText"/>
        <w:spacing w:line="364" w:lineRule="auto"/>
        <w:ind w:left="797" w:right="795" w:firstLine="480"/>
        <w:jc w:val="both"/>
        <w:rPr>
          <w:spacing w:val="-6"/>
          <w:szCs w:val="22"/>
        </w:rPr>
      </w:pPr>
      <w:r>
        <w:rPr>
          <w:rFonts w:hint="eastAsia"/>
          <w:spacing w:val="-6"/>
          <w:szCs w:val="22"/>
        </w:rPr>
        <w:t>二级：以美国国家职业安全与健康研究所给出的</w:t>
      </w:r>
      <w:r>
        <w:rPr>
          <w:spacing w:val="-6"/>
          <w:szCs w:val="22"/>
        </w:rPr>
        <w:t xml:space="preserve"> IDLH </w:t>
      </w:r>
      <w:r>
        <w:rPr>
          <w:rFonts w:hint="eastAsia"/>
          <w:spacing w:val="-6"/>
          <w:szCs w:val="22"/>
        </w:rPr>
        <w:t>限值为伤害浓度评价标准。对于此范围内的人员，也属于事故紧急撤离人员，应想方设法保证在</w:t>
      </w:r>
      <w:r>
        <w:rPr>
          <w:spacing w:val="-6"/>
          <w:szCs w:val="22"/>
        </w:rPr>
        <w:t xml:space="preserve"> 30min </w:t>
      </w:r>
      <w:r>
        <w:rPr>
          <w:rFonts w:hint="eastAsia"/>
          <w:spacing w:val="-6"/>
          <w:szCs w:val="22"/>
        </w:rPr>
        <w:t>内撤走该范围内的人员。</w:t>
      </w:r>
    </w:p>
    <w:p w:rsidR="00B04AE3" w:rsidRDefault="00B04AE3">
      <w:pPr>
        <w:pStyle w:val="BodyText"/>
        <w:spacing w:line="364" w:lineRule="auto"/>
        <w:ind w:left="797" w:right="795" w:firstLine="480"/>
        <w:jc w:val="both"/>
        <w:rPr>
          <w:spacing w:val="-6"/>
          <w:szCs w:val="22"/>
        </w:rPr>
      </w:pPr>
      <w:r>
        <w:rPr>
          <w:rFonts w:hint="eastAsia"/>
          <w:spacing w:val="-6"/>
          <w:szCs w:val="22"/>
        </w:rPr>
        <w:t>三级：以《工作场所有害因素职业接触限值</w:t>
      </w:r>
      <w:r>
        <w:rPr>
          <w:spacing w:val="-6"/>
          <w:szCs w:val="22"/>
        </w:rPr>
        <w:t>-</w:t>
      </w:r>
      <w:r>
        <w:rPr>
          <w:rFonts w:hint="eastAsia"/>
          <w:spacing w:val="-6"/>
          <w:szCs w:val="22"/>
        </w:rPr>
        <w:t>化学有害因素》（</w:t>
      </w:r>
      <w:r>
        <w:rPr>
          <w:spacing w:val="-6"/>
          <w:szCs w:val="22"/>
        </w:rPr>
        <w:t>GBZ2.1-2007</w:t>
      </w:r>
      <w:r>
        <w:rPr>
          <w:rFonts w:hint="eastAsia"/>
          <w:spacing w:val="-6"/>
          <w:szCs w:val="22"/>
        </w:rPr>
        <w:t>）</w:t>
      </w:r>
      <w:r>
        <w:rPr>
          <w:spacing w:val="-6"/>
          <w:szCs w:val="22"/>
        </w:rPr>
        <w:t xml:space="preserve"> </w:t>
      </w:r>
      <w:r>
        <w:rPr>
          <w:rFonts w:hint="eastAsia"/>
          <w:spacing w:val="-6"/>
          <w:szCs w:val="22"/>
        </w:rPr>
        <w:t>中短时间接触容许浓度（</w:t>
      </w:r>
      <w:r>
        <w:rPr>
          <w:spacing w:val="-6"/>
          <w:szCs w:val="22"/>
        </w:rPr>
        <w:t>PC-STEL</w:t>
      </w:r>
      <w:r>
        <w:rPr>
          <w:rFonts w:hint="eastAsia"/>
          <w:spacing w:val="-6"/>
          <w:szCs w:val="22"/>
        </w:rPr>
        <w:t>）或最高容许浓度（</w:t>
      </w:r>
      <w:r>
        <w:rPr>
          <w:spacing w:val="-6"/>
          <w:szCs w:val="22"/>
        </w:rPr>
        <w:t>MAC</w:t>
      </w:r>
      <w:r>
        <w:rPr>
          <w:rFonts w:hint="eastAsia"/>
          <w:spacing w:val="-6"/>
          <w:szCs w:val="22"/>
        </w:rPr>
        <w:t>）为评价标准。在此范围内应进行紧急监测，留作以后进行评估等应用。</w:t>
      </w:r>
    </w:p>
    <w:p w:rsidR="00B04AE3" w:rsidRDefault="00B04AE3">
      <w:pPr>
        <w:pStyle w:val="BodyText"/>
        <w:spacing w:line="307" w:lineRule="exact"/>
        <w:ind w:left="1277"/>
      </w:pPr>
      <w:r>
        <w:rPr>
          <w:rFonts w:hint="eastAsia"/>
        </w:rPr>
        <w:t>具体限值详见下表。</w:t>
      </w:r>
    </w:p>
    <w:p w:rsidR="00B04AE3" w:rsidRDefault="00B04AE3">
      <w:pPr>
        <w:spacing w:before="156"/>
        <w:ind w:left="3173"/>
        <w:rPr>
          <w:b/>
          <w:sz w:val="24"/>
        </w:rPr>
      </w:pPr>
      <w:r>
        <w:rPr>
          <w:rFonts w:hint="eastAsia"/>
          <w:b/>
          <w:sz w:val="24"/>
        </w:rPr>
        <w:t>表</w:t>
      </w:r>
      <w:r>
        <w:rPr>
          <w:b/>
          <w:sz w:val="24"/>
        </w:rPr>
        <w:t xml:space="preserve"> </w:t>
      </w:r>
      <w:r>
        <w:rPr>
          <w:rFonts w:ascii="Times New Roman" w:eastAsia="Times New Roman"/>
          <w:b/>
          <w:sz w:val="24"/>
        </w:rPr>
        <w:t xml:space="preserve">3.4-1  </w:t>
      </w:r>
      <w:r>
        <w:rPr>
          <w:rFonts w:hint="eastAsia"/>
          <w:b/>
          <w:sz w:val="24"/>
        </w:rPr>
        <w:t>风险评价标准限值一览表</w:t>
      </w:r>
    </w:p>
    <w:tbl>
      <w:tblPr>
        <w:tblW w:w="8524" w:type="dxa"/>
        <w:tblInd w:w="69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A0"/>
      </w:tblPr>
      <w:tblGrid>
        <w:gridCol w:w="4114"/>
        <w:gridCol w:w="2206"/>
        <w:gridCol w:w="2204"/>
      </w:tblGrid>
      <w:tr w:rsidR="00B04AE3">
        <w:trPr>
          <w:trHeight w:val="340"/>
        </w:trPr>
        <w:tc>
          <w:tcPr>
            <w:tcW w:w="4114" w:type="dxa"/>
            <w:shd w:val="clear" w:color="auto" w:fill="DFDFDF"/>
          </w:tcPr>
          <w:p w:rsidR="00B04AE3" w:rsidRDefault="00B04AE3">
            <w:pPr>
              <w:pStyle w:val="TableParagraph"/>
              <w:spacing w:before="33"/>
              <w:ind w:left="1091" w:right="1075"/>
              <w:rPr>
                <w:b/>
                <w:sz w:val="21"/>
              </w:rPr>
            </w:pPr>
            <w:bookmarkStart w:id="333" w:name="_bookmark114"/>
            <w:bookmarkEnd w:id="333"/>
            <w:r>
              <w:rPr>
                <w:rFonts w:hint="eastAsia"/>
                <w:b/>
                <w:sz w:val="21"/>
              </w:rPr>
              <w:t>标准值名称</w:t>
            </w:r>
          </w:p>
        </w:tc>
        <w:tc>
          <w:tcPr>
            <w:tcW w:w="2206" w:type="dxa"/>
            <w:shd w:val="clear" w:color="auto" w:fill="DFDFDF"/>
          </w:tcPr>
          <w:p w:rsidR="00B04AE3" w:rsidRDefault="00B04AE3">
            <w:pPr>
              <w:pStyle w:val="TableParagraph"/>
              <w:spacing w:before="32"/>
              <w:ind w:left="389" w:right="374"/>
              <w:rPr>
                <w:b/>
                <w:sz w:val="21"/>
              </w:rPr>
            </w:pPr>
            <w:r>
              <w:rPr>
                <w:rFonts w:ascii="Times New Roman" w:eastAsia="Times New Roman"/>
                <w:b/>
                <w:position w:val="2"/>
                <w:sz w:val="21"/>
              </w:rPr>
              <w:t>NH</w:t>
            </w:r>
            <w:r>
              <w:rPr>
                <w:rFonts w:ascii="Times New Roman" w:eastAsia="Times New Roman"/>
                <w:b/>
                <w:position w:val="2"/>
                <w:sz w:val="21"/>
                <w:vertAlign w:val="subscript"/>
              </w:rPr>
              <w:t>3</w:t>
            </w:r>
            <w:r>
              <w:rPr>
                <w:rFonts w:hint="eastAsia"/>
                <w:b/>
                <w:position w:val="2"/>
                <w:sz w:val="21"/>
              </w:rPr>
              <w:t>（</w:t>
            </w:r>
            <w:r>
              <w:rPr>
                <w:rFonts w:ascii="Times New Roman" w:eastAsia="Times New Roman"/>
                <w:b/>
                <w:position w:val="2"/>
                <w:sz w:val="21"/>
              </w:rPr>
              <w:t>mg/m</w:t>
            </w:r>
            <w:r>
              <w:rPr>
                <w:rFonts w:ascii="Times New Roman" w:eastAsia="Times New Roman"/>
                <w:b/>
                <w:position w:val="2"/>
                <w:sz w:val="21"/>
                <w:vertAlign w:val="superscript"/>
              </w:rPr>
              <w:t>3</w:t>
            </w:r>
            <w:r>
              <w:rPr>
                <w:rFonts w:hint="eastAsia"/>
                <w:b/>
                <w:position w:val="2"/>
                <w:sz w:val="21"/>
              </w:rPr>
              <w:t>）</w:t>
            </w:r>
          </w:p>
        </w:tc>
        <w:tc>
          <w:tcPr>
            <w:tcW w:w="2204" w:type="dxa"/>
            <w:tcBorders>
              <w:right w:val="single" w:sz="4" w:space="0" w:color="000000"/>
            </w:tcBorders>
            <w:shd w:val="clear" w:color="auto" w:fill="DFDFDF"/>
          </w:tcPr>
          <w:p w:rsidR="00B04AE3" w:rsidRDefault="00B04AE3">
            <w:pPr>
              <w:pStyle w:val="TableParagraph"/>
              <w:spacing w:before="33"/>
              <w:ind w:left="372" w:right="358"/>
              <w:rPr>
                <w:b/>
                <w:sz w:val="21"/>
              </w:rPr>
            </w:pPr>
            <w:r>
              <w:rPr>
                <w:rFonts w:hint="eastAsia"/>
                <w:b/>
                <w:sz w:val="21"/>
              </w:rPr>
              <w:t>硫酸（</w:t>
            </w:r>
            <w:r>
              <w:rPr>
                <w:rFonts w:ascii="Times New Roman" w:eastAsia="Times New Roman"/>
                <w:b/>
                <w:sz w:val="21"/>
              </w:rPr>
              <w:t>mg/m</w:t>
            </w:r>
            <w:r>
              <w:rPr>
                <w:rFonts w:ascii="Times New Roman" w:eastAsia="Times New Roman"/>
                <w:b/>
                <w:position w:val="7"/>
                <w:sz w:val="13"/>
              </w:rPr>
              <w:t>3</w:t>
            </w:r>
            <w:r>
              <w:rPr>
                <w:rFonts w:hint="eastAsia"/>
                <w:b/>
                <w:sz w:val="21"/>
              </w:rPr>
              <w:t>）</w:t>
            </w:r>
          </w:p>
        </w:tc>
      </w:tr>
      <w:tr w:rsidR="00B04AE3">
        <w:trPr>
          <w:trHeight w:val="340"/>
        </w:trPr>
        <w:tc>
          <w:tcPr>
            <w:tcW w:w="4114" w:type="dxa"/>
          </w:tcPr>
          <w:p w:rsidR="00B04AE3" w:rsidRDefault="00B04AE3">
            <w:pPr>
              <w:pStyle w:val="TableParagraph"/>
              <w:spacing w:before="30"/>
              <w:ind w:left="1091" w:right="1078"/>
              <w:rPr>
                <w:sz w:val="21"/>
              </w:rPr>
            </w:pPr>
            <w:r>
              <w:rPr>
                <w:rFonts w:hint="eastAsia"/>
                <w:position w:val="2"/>
                <w:sz w:val="21"/>
              </w:rPr>
              <w:t>半致死浓度（</w:t>
            </w:r>
            <w:r>
              <w:rPr>
                <w:rFonts w:ascii="Times New Roman" w:eastAsia="Times New Roman"/>
                <w:position w:val="2"/>
                <w:sz w:val="21"/>
              </w:rPr>
              <w:t>LC</w:t>
            </w:r>
            <w:r>
              <w:rPr>
                <w:rFonts w:ascii="Times New Roman" w:eastAsia="Times New Roman"/>
                <w:position w:val="2"/>
                <w:sz w:val="21"/>
                <w:vertAlign w:val="subscript"/>
              </w:rPr>
              <w:t>50</w:t>
            </w:r>
            <w:r>
              <w:rPr>
                <w:rFonts w:hint="eastAsia"/>
                <w:position w:val="2"/>
                <w:sz w:val="21"/>
              </w:rPr>
              <w:t>）</w:t>
            </w:r>
          </w:p>
        </w:tc>
        <w:tc>
          <w:tcPr>
            <w:tcW w:w="2206" w:type="dxa"/>
          </w:tcPr>
          <w:p w:rsidR="00B04AE3" w:rsidRDefault="00B04AE3">
            <w:pPr>
              <w:pStyle w:val="TableParagraph"/>
              <w:spacing w:before="49"/>
              <w:ind w:left="389" w:right="373"/>
              <w:rPr>
                <w:rFonts w:ascii="Times New Roman"/>
                <w:sz w:val="21"/>
              </w:rPr>
            </w:pPr>
            <w:r>
              <w:rPr>
                <w:rFonts w:ascii="Times New Roman"/>
                <w:sz w:val="21"/>
              </w:rPr>
              <w:t>1390</w:t>
            </w:r>
          </w:p>
        </w:tc>
        <w:tc>
          <w:tcPr>
            <w:tcW w:w="2204" w:type="dxa"/>
            <w:tcBorders>
              <w:right w:val="single" w:sz="4" w:space="0" w:color="000000"/>
            </w:tcBorders>
          </w:tcPr>
          <w:p w:rsidR="00B04AE3" w:rsidRDefault="00B04AE3">
            <w:pPr>
              <w:pStyle w:val="TableParagraph"/>
              <w:spacing w:before="49"/>
              <w:ind w:left="368" w:right="358"/>
              <w:rPr>
                <w:rFonts w:ascii="Times New Roman"/>
                <w:sz w:val="21"/>
              </w:rPr>
            </w:pPr>
            <w:r>
              <w:rPr>
                <w:rFonts w:ascii="Times New Roman"/>
                <w:sz w:val="21"/>
              </w:rPr>
              <w:t>510</w:t>
            </w:r>
          </w:p>
        </w:tc>
      </w:tr>
      <w:tr w:rsidR="00B04AE3">
        <w:trPr>
          <w:trHeight w:val="340"/>
        </w:trPr>
        <w:tc>
          <w:tcPr>
            <w:tcW w:w="4114" w:type="dxa"/>
          </w:tcPr>
          <w:p w:rsidR="00B04AE3" w:rsidRDefault="00B04AE3">
            <w:pPr>
              <w:pStyle w:val="TableParagraph"/>
              <w:spacing w:before="33"/>
              <w:ind w:left="1091" w:right="1078"/>
              <w:rPr>
                <w:sz w:val="21"/>
              </w:rPr>
            </w:pPr>
            <w:r>
              <w:rPr>
                <w:rFonts w:hint="eastAsia"/>
                <w:sz w:val="21"/>
              </w:rPr>
              <w:t>伤害浓度（</w:t>
            </w:r>
            <w:r>
              <w:rPr>
                <w:rFonts w:ascii="Times New Roman" w:eastAsia="Times New Roman"/>
                <w:sz w:val="21"/>
              </w:rPr>
              <w:t>IDLH</w:t>
            </w:r>
            <w:r>
              <w:rPr>
                <w:rFonts w:hint="eastAsia"/>
                <w:sz w:val="21"/>
              </w:rPr>
              <w:t>）</w:t>
            </w:r>
          </w:p>
        </w:tc>
        <w:tc>
          <w:tcPr>
            <w:tcW w:w="2206" w:type="dxa"/>
          </w:tcPr>
          <w:p w:rsidR="00B04AE3" w:rsidRDefault="00B04AE3">
            <w:pPr>
              <w:pStyle w:val="TableParagraph"/>
              <w:spacing w:before="50"/>
              <w:ind w:left="385" w:right="374"/>
              <w:rPr>
                <w:rFonts w:ascii="Times New Roman"/>
                <w:sz w:val="21"/>
              </w:rPr>
            </w:pPr>
            <w:r>
              <w:rPr>
                <w:rFonts w:ascii="Times New Roman"/>
                <w:sz w:val="21"/>
              </w:rPr>
              <w:t>395</w:t>
            </w:r>
          </w:p>
        </w:tc>
        <w:tc>
          <w:tcPr>
            <w:tcW w:w="2204" w:type="dxa"/>
            <w:tcBorders>
              <w:right w:val="single" w:sz="4" w:space="0" w:color="000000"/>
            </w:tcBorders>
          </w:tcPr>
          <w:p w:rsidR="00B04AE3" w:rsidRDefault="00B04AE3">
            <w:pPr>
              <w:pStyle w:val="TableParagraph"/>
              <w:spacing w:before="50"/>
              <w:ind w:left="368" w:right="358"/>
              <w:rPr>
                <w:rFonts w:ascii="Times New Roman"/>
                <w:sz w:val="21"/>
              </w:rPr>
            </w:pPr>
            <w:r>
              <w:rPr>
                <w:rFonts w:ascii="Times New Roman"/>
                <w:sz w:val="21"/>
              </w:rPr>
              <w:t>320</w:t>
            </w:r>
          </w:p>
        </w:tc>
      </w:tr>
      <w:tr w:rsidR="00B04AE3">
        <w:trPr>
          <w:trHeight w:val="340"/>
        </w:trPr>
        <w:tc>
          <w:tcPr>
            <w:tcW w:w="4114" w:type="dxa"/>
          </w:tcPr>
          <w:p w:rsidR="00B04AE3" w:rsidRDefault="00B04AE3">
            <w:pPr>
              <w:pStyle w:val="TableParagraph"/>
              <w:spacing w:before="33"/>
              <w:ind w:left="1091" w:right="1078"/>
              <w:rPr>
                <w:sz w:val="21"/>
              </w:rPr>
            </w:pPr>
            <w:r>
              <w:rPr>
                <w:rFonts w:hint="eastAsia"/>
                <w:sz w:val="21"/>
              </w:rPr>
              <w:t>短时间接触允许浓度</w:t>
            </w:r>
          </w:p>
        </w:tc>
        <w:tc>
          <w:tcPr>
            <w:tcW w:w="2206" w:type="dxa"/>
          </w:tcPr>
          <w:p w:rsidR="00B04AE3" w:rsidRDefault="00B04AE3">
            <w:pPr>
              <w:pStyle w:val="TableParagraph"/>
              <w:spacing w:before="50"/>
              <w:ind w:left="389" w:right="373"/>
              <w:rPr>
                <w:rFonts w:ascii="Times New Roman"/>
                <w:sz w:val="21"/>
              </w:rPr>
            </w:pPr>
            <w:r>
              <w:rPr>
                <w:rFonts w:ascii="Times New Roman"/>
                <w:sz w:val="21"/>
              </w:rPr>
              <w:t>30</w:t>
            </w:r>
          </w:p>
        </w:tc>
        <w:tc>
          <w:tcPr>
            <w:tcW w:w="2204" w:type="dxa"/>
            <w:tcBorders>
              <w:right w:val="single" w:sz="4" w:space="0" w:color="000000"/>
            </w:tcBorders>
          </w:tcPr>
          <w:p w:rsidR="00B04AE3" w:rsidRDefault="00B04AE3">
            <w:pPr>
              <w:pStyle w:val="TableParagraph"/>
              <w:spacing w:before="50"/>
              <w:ind w:left="368" w:right="358"/>
              <w:rPr>
                <w:rFonts w:ascii="Times New Roman"/>
                <w:sz w:val="21"/>
              </w:rPr>
            </w:pPr>
            <w:r>
              <w:rPr>
                <w:rFonts w:ascii="Times New Roman"/>
                <w:sz w:val="21"/>
              </w:rPr>
              <w:t>2.0</w:t>
            </w:r>
          </w:p>
        </w:tc>
      </w:tr>
    </w:tbl>
    <w:p w:rsidR="00B04AE3" w:rsidRDefault="00B04AE3">
      <w:pPr>
        <w:pStyle w:val="Heading3"/>
        <w:tabs>
          <w:tab w:val="left" w:pos="1398"/>
        </w:tabs>
        <w:spacing w:before="23"/>
        <w:ind w:left="797"/>
        <w:jc w:val="both"/>
      </w:pPr>
      <w:bookmarkStart w:id="334" w:name="3.4.2_泄漏事故后果分析"/>
      <w:bookmarkEnd w:id="334"/>
      <w:r>
        <w:rPr>
          <w:lang w:val="en-US"/>
        </w:rPr>
        <w:t>3.4.2</w:t>
      </w:r>
      <w:r>
        <w:rPr>
          <w:rFonts w:hint="eastAsia"/>
        </w:rPr>
        <w:t>泄漏事故后果分析</w:t>
      </w:r>
    </w:p>
    <w:p w:rsidR="00B04AE3" w:rsidRDefault="00B04AE3">
      <w:pPr>
        <w:pStyle w:val="BodyText"/>
        <w:spacing w:line="364" w:lineRule="auto"/>
        <w:ind w:left="797" w:right="795" w:firstLine="480"/>
        <w:jc w:val="both"/>
        <w:rPr>
          <w:spacing w:val="-6"/>
          <w:szCs w:val="22"/>
        </w:rPr>
      </w:pPr>
      <w:bookmarkStart w:id="335" w:name="_bookmark115"/>
      <w:bookmarkEnd w:id="335"/>
      <w:r>
        <w:rPr>
          <w:rFonts w:hint="eastAsia"/>
          <w:spacing w:val="-6"/>
          <w:szCs w:val="22"/>
        </w:rPr>
        <w:t>⑴液氮泄漏事故</w:t>
      </w:r>
    </w:p>
    <w:p w:rsidR="00B04AE3" w:rsidRDefault="00B04AE3">
      <w:pPr>
        <w:pStyle w:val="BodyText"/>
        <w:spacing w:line="364" w:lineRule="auto"/>
        <w:ind w:left="797" w:right="795" w:firstLine="480"/>
        <w:jc w:val="both"/>
        <w:rPr>
          <w:spacing w:val="-6"/>
          <w:szCs w:val="22"/>
        </w:rPr>
      </w:pPr>
      <w:r>
        <w:rPr>
          <w:rFonts w:hint="eastAsia"/>
          <w:spacing w:val="-6"/>
          <w:szCs w:val="22"/>
        </w:rPr>
        <w:t>根据液氮储罐爆炸预测结果，在半径</w:t>
      </w:r>
      <w:r>
        <w:rPr>
          <w:spacing w:val="-6"/>
          <w:szCs w:val="22"/>
        </w:rPr>
        <w:t xml:space="preserve"> 1392m </w:t>
      </w:r>
      <w:r>
        <w:rPr>
          <w:rFonts w:hint="eastAsia"/>
          <w:spacing w:val="-6"/>
          <w:szCs w:val="22"/>
        </w:rPr>
        <w:t>范围内有死亡的危险，在半径</w:t>
      </w:r>
      <w:r>
        <w:rPr>
          <w:spacing w:val="-6"/>
          <w:szCs w:val="22"/>
        </w:rPr>
        <w:t xml:space="preserve">1868m </w:t>
      </w:r>
      <w:r>
        <w:rPr>
          <w:rFonts w:hint="eastAsia"/>
          <w:spacing w:val="-6"/>
          <w:szCs w:val="22"/>
        </w:rPr>
        <w:t>的范围内有重伤危险，在半径</w:t>
      </w:r>
      <w:r>
        <w:rPr>
          <w:spacing w:val="-6"/>
          <w:szCs w:val="22"/>
        </w:rPr>
        <w:t xml:space="preserve"> 1996m </w:t>
      </w:r>
      <w:r>
        <w:rPr>
          <w:rFonts w:hint="eastAsia"/>
          <w:spacing w:val="-6"/>
          <w:szCs w:val="22"/>
        </w:rPr>
        <w:t>的范围内有轻伤损害危险。在发生火灾爆炸的同时，毒物会扩散，其影响范围远超过火灾爆炸的直接影响范围，但程度小于火灾爆炸事故。从厂图布置及周边环境分析，发生事故时，该范围内居民居住和其他企业员工会受到一定影响。发生爆炸事故时，会对周边道路路过的行人造成重伤，对行驶的车辆造成损坏。</w:t>
      </w:r>
    </w:p>
    <w:p w:rsidR="00B04AE3" w:rsidRDefault="00B04AE3">
      <w:pPr>
        <w:pStyle w:val="BodyText"/>
        <w:spacing w:line="364" w:lineRule="auto"/>
        <w:ind w:left="797" w:right="795" w:firstLine="480"/>
        <w:jc w:val="both"/>
        <w:rPr>
          <w:spacing w:val="-6"/>
          <w:szCs w:val="22"/>
        </w:rPr>
      </w:pPr>
      <w:r>
        <w:rPr>
          <w:rFonts w:hint="eastAsia"/>
          <w:spacing w:val="-6"/>
          <w:szCs w:val="22"/>
        </w:rPr>
        <w:t>⑵液氮泄漏事故</w:t>
      </w:r>
    </w:p>
    <w:p w:rsidR="00B04AE3" w:rsidRDefault="00B04AE3">
      <w:pPr>
        <w:pStyle w:val="BodyText"/>
        <w:spacing w:line="364" w:lineRule="auto"/>
        <w:ind w:left="797" w:right="795" w:firstLine="480"/>
        <w:jc w:val="both"/>
        <w:rPr>
          <w:spacing w:val="-6"/>
          <w:szCs w:val="22"/>
        </w:rPr>
      </w:pPr>
      <w:r>
        <w:rPr>
          <w:rFonts w:hint="eastAsia"/>
          <w:spacing w:val="-6"/>
          <w:szCs w:val="22"/>
        </w:rPr>
        <w:t>由表</w:t>
      </w:r>
      <w:r>
        <w:rPr>
          <w:spacing w:val="-6"/>
          <w:szCs w:val="22"/>
        </w:rPr>
        <w:t xml:space="preserve"> 3.2-4 </w:t>
      </w:r>
      <w:r>
        <w:rPr>
          <w:rFonts w:hint="eastAsia"/>
          <w:spacing w:val="-6"/>
          <w:szCs w:val="22"/>
        </w:rPr>
        <w:t>可知，发生液氮泄漏事故发生时，在半径</w:t>
      </w:r>
      <w:r>
        <w:rPr>
          <w:spacing w:val="-6"/>
          <w:szCs w:val="22"/>
        </w:rPr>
        <w:t>354m</w:t>
      </w:r>
      <w:r>
        <w:rPr>
          <w:rFonts w:hint="eastAsia"/>
          <w:spacing w:val="-6"/>
          <w:szCs w:val="22"/>
        </w:rPr>
        <w:t>范围内有死亡的危险，在半径</w:t>
      </w:r>
      <w:r>
        <w:rPr>
          <w:spacing w:val="-6"/>
          <w:szCs w:val="22"/>
        </w:rPr>
        <w:t>428m</w:t>
      </w:r>
      <w:r>
        <w:rPr>
          <w:rFonts w:hint="eastAsia"/>
          <w:spacing w:val="-6"/>
          <w:szCs w:val="22"/>
        </w:rPr>
        <w:t>的范围内有重伤危险，在半径</w:t>
      </w:r>
      <w:r>
        <w:rPr>
          <w:spacing w:val="-6"/>
          <w:szCs w:val="22"/>
        </w:rPr>
        <w:t xml:space="preserve"> 510m </w:t>
      </w:r>
      <w:r>
        <w:rPr>
          <w:rFonts w:hint="eastAsia"/>
          <w:spacing w:val="-6"/>
          <w:szCs w:val="22"/>
        </w:rPr>
        <w:t>的范围内有轻伤损害危险。在发生火灾爆炸的同时，毒物会扩散，其影响范围远超过火灾爆炸的直接影响范围，但程度小于火灾爆炸事故。发生液氮爆炸事故时，会对周边道路路过的行人造成重伤，对行驶的车辆造成损坏。</w:t>
      </w:r>
    </w:p>
    <w:p w:rsidR="00B04AE3" w:rsidRDefault="00B04AE3">
      <w:pPr>
        <w:pStyle w:val="BodyText"/>
        <w:spacing w:line="364" w:lineRule="auto"/>
        <w:ind w:left="797" w:right="795" w:firstLine="480"/>
        <w:jc w:val="both"/>
        <w:rPr>
          <w:spacing w:val="-6"/>
          <w:szCs w:val="22"/>
        </w:rPr>
      </w:pPr>
      <w:r>
        <w:rPr>
          <w:rFonts w:hint="eastAsia"/>
          <w:spacing w:val="-6"/>
          <w:szCs w:val="22"/>
        </w:rPr>
        <w:t>同时会对周围的企业员工带来一定的影响。</w:t>
      </w:r>
    </w:p>
    <w:p w:rsidR="00B04AE3" w:rsidRDefault="00B04AE3">
      <w:pPr>
        <w:pStyle w:val="BodyText"/>
        <w:spacing w:line="364" w:lineRule="auto"/>
        <w:ind w:left="797" w:right="795" w:firstLine="480"/>
        <w:jc w:val="both"/>
        <w:rPr>
          <w:spacing w:val="-6"/>
          <w:szCs w:val="22"/>
        </w:rPr>
      </w:pPr>
      <w:r>
        <w:rPr>
          <w:rFonts w:hint="eastAsia"/>
          <w:spacing w:val="-6"/>
          <w:szCs w:val="22"/>
        </w:rPr>
        <w:t>⑶液氮泄漏引发的火灾爆炸事故</w:t>
      </w:r>
    </w:p>
    <w:p w:rsidR="00B04AE3" w:rsidRDefault="00B04AE3">
      <w:pPr>
        <w:pStyle w:val="BodyText"/>
        <w:spacing w:line="364" w:lineRule="auto"/>
        <w:ind w:left="797" w:right="795" w:firstLine="480"/>
        <w:jc w:val="both"/>
        <w:rPr>
          <w:spacing w:val="-6"/>
          <w:szCs w:val="22"/>
        </w:rPr>
      </w:pPr>
      <w:r>
        <w:rPr>
          <w:rFonts w:hint="eastAsia"/>
          <w:spacing w:val="-6"/>
          <w:szCs w:val="22"/>
        </w:rPr>
        <w:t>根据液氮储罐爆炸预测结果，在半径</w:t>
      </w:r>
      <w:r>
        <w:rPr>
          <w:spacing w:val="-6"/>
          <w:szCs w:val="22"/>
        </w:rPr>
        <w:t xml:space="preserve"> 604m </w:t>
      </w:r>
      <w:r>
        <w:rPr>
          <w:rFonts w:hint="eastAsia"/>
          <w:spacing w:val="-6"/>
          <w:szCs w:val="22"/>
        </w:rPr>
        <w:t>范围内有死亡的危险，在半径</w:t>
      </w:r>
    </w:p>
    <w:p w:rsidR="00B04AE3" w:rsidRDefault="00B04AE3">
      <w:pPr>
        <w:pStyle w:val="BodyText"/>
        <w:spacing w:line="364" w:lineRule="auto"/>
        <w:ind w:left="797" w:right="795" w:firstLine="480"/>
        <w:jc w:val="both"/>
        <w:rPr>
          <w:spacing w:val="-6"/>
          <w:szCs w:val="22"/>
        </w:rPr>
      </w:pPr>
      <w:r>
        <w:rPr>
          <w:spacing w:val="-6"/>
          <w:szCs w:val="22"/>
        </w:rPr>
        <w:t xml:space="preserve">744m </w:t>
      </w:r>
      <w:r>
        <w:rPr>
          <w:rFonts w:hint="eastAsia"/>
          <w:spacing w:val="-6"/>
          <w:szCs w:val="22"/>
        </w:rPr>
        <w:t>的范围内有重伤危险，在半径</w:t>
      </w:r>
      <w:r>
        <w:rPr>
          <w:spacing w:val="-6"/>
          <w:szCs w:val="22"/>
        </w:rPr>
        <w:t xml:space="preserve"> 886m </w:t>
      </w:r>
      <w:r>
        <w:rPr>
          <w:rFonts w:hint="eastAsia"/>
          <w:spacing w:val="-6"/>
          <w:szCs w:val="22"/>
        </w:rPr>
        <w:t>的范围内有轻伤损害危险。在发生火灾爆炸的同时，毒物会扩散，其影响范围远超过火灾爆炸的直接影响范围，但程度小于火灾爆炸事故。从厂区平面布置及周边环境分析，发生事故时，会对周边道路路过的行人造成重伤，对行驶的车辆造成损坏。</w:t>
      </w:r>
    </w:p>
    <w:p w:rsidR="00B04AE3" w:rsidRDefault="00B04AE3">
      <w:pPr>
        <w:pStyle w:val="BodyText"/>
        <w:spacing w:line="364" w:lineRule="auto"/>
        <w:ind w:left="797" w:right="795" w:firstLine="480"/>
        <w:jc w:val="both"/>
        <w:rPr>
          <w:spacing w:val="-6"/>
          <w:szCs w:val="22"/>
        </w:rPr>
      </w:pPr>
      <w:r>
        <w:rPr>
          <w:rFonts w:hint="eastAsia"/>
          <w:spacing w:val="-6"/>
          <w:szCs w:val="22"/>
        </w:rPr>
        <w:t>同时会对周围的企业员工带来一定的影响。</w:t>
      </w:r>
    </w:p>
    <w:p w:rsidR="00B04AE3" w:rsidRDefault="00B04AE3">
      <w:pPr>
        <w:pStyle w:val="BodyText"/>
        <w:spacing w:line="364" w:lineRule="auto"/>
        <w:ind w:left="797" w:right="795" w:firstLine="480"/>
        <w:jc w:val="both"/>
        <w:rPr>
          <w:spacing w:val="-6"/>
          <w:szCs w:val="22"/>
        </w:rPr>
      </w:pPr>
      <w:r>
        <w:rPr>
          <w:rFonts w:hint="eastAsia"/>
          <w:spacing w:val="-6"/>
          <w:szCs w:val="22"/>
        </w:rPr>
        <w:t>当实际发生火灾爆炸、应急救援不及时，会引发厂区的其他易燃物料发生火灾、爆炸事故，事故后果将大于计算结果。</w:t>
      </w:r>
    </w:p>
    <w:p w:rsidR="00B04AE3" w:rsidRDefault="00B04AE3">
      <w:pPr>
        <w:pStyle w:val="BodyText"/>
        <w:spacing w:line="364" w:lineRule="auto"/>
        <w:ind w:left="797" w:right="795" w:firstLine="480"/>
        <w:jc w:val="both"/>
        <w:rPr>
          <w:spacing w:val="-6"/>
          <w:szCs w:val="22"/>
        </w:rPr>
      </w:pPr>
      <w:r>
        <w:rPr>
          <w:rFonts w:hint="eastAsia"/>
          <w:spacing w:val="-6"/>
          <w:szCs w:val="22"/>
        </w:rPr>
        <w:t>另外，物料泄露后，发生火灾对环境的污染影响主要来自燃烧释放的大量的有害气体导致的次生污染，由于燃烧产生的有害气体释放量难以定量，本次评价主要定性分析火灾发生时产生的有害气体对周围环境的影响。在正常情况下，空气的组成主要有氮气、氧气、氩气、二氧化碳及氢、氖、臭氧、氪、氙和尘等，而火灾所产生烟雾的成分主要为二氧化碳和水蒸汽，这两种物质约占所有烟雾的</w:t>
      </w:r>
      <w:r>
        <w:rPr>
          <w:spacing w:val="-6"/>
          <w:szCs w:val="22"/>
        </w:rPr>
        <w:t>90%~95%</w:t>
      </w:r>
      <w:r>
        <w:rPr>
          <w:rFonts w:hint="eastAsia"/>
          <w:spacing w:val="-6"/>
          <w:szCs w:val="22"/>
        </w:rPr>
        <w:t>；另外还有一氧化碳、碳氢化合物、氯化氢、硫化物、氮氧化物及微粒物（氧化硅）</w:t>
      </w:r>
      <w:r>
        <w:rPr>
          <w:rFonts w:hint="eastAsia"/>
          <w:spacing w:val="-6"/>
        </w:rPr>
        <w:t>质等，约占</w:t>
      </w:r>
      <w:r>
        <w:rPr>
          <w:spacing w:val="-6"/>
        </w:rPr>
        <w:t xml:space="preserve"> </w:t>
      </w:r>
      <w:r>
        <w:rPr>
          <w:rFonts w:ascii="Times New Roman" w:eastAsia="Times New Roman"/>
        </w:rPr>
        <w:t>5%~l0%</w:t>
      </w:r>
      <w:r>
        <w:rPr>
          <w:rFonts w:hint="eastAsia"/>
          <w:spacing w:val="-3"/>
        </w:rPr>
        <w:t>，对环境和人体健康产生较大危害是</w:t>
      </w:r>
      <w:r>
        <w:rPr>
          <w:spacing w:val="-3"/>
        </w:rPr>
        <w:t xml:space="preserve"> </w:t>
      </w:r>
      <w:r>
        <w:rPr>
          <w:rFonts w:ascii="Times New Roman" w:eastAsia="Times New Roman"/>
        </w:rPr>
        <w:t>CO</w:t>
      </w:r>
      <w:r>
        <w:rPr>
          <w:rFonts w:hint="eastAsia"/>
        </w:rPr>
        <w:t>、</w:t>
      </w:r>
      <w:r>
        <w:rPr>
          <w:rFonts w:ascii="Times New Roman" w:eastAsia="Times New Roman"/>
        </w:rPr>
        <w:t>NOx</w:t>
      </w:r>
      <w:r>
        <w:rPr>
          <w:rFonts w:hint="eastAsia"/>
          <w:spacing w:val="-9"/>
        </w:rPr>
        <w:t>、硫化物、烟尘等有害物质。一氧化碳产生量相对较大，危害也较大，一氧</w:t>
      </w:r>
      <w:r>
        <w:rPr>
          <w:rFonts w:hint="eastAsia"/>
          <w:spacing w:val="-13"/>
        </w:rPr>
        <w:t>化</w:t>
      </w:r>
      <w:r>
        <w:rPr>
          <w:rFonts w:hint="eastAsia"/>
          <w:spacing w:val="-6"/>
          <w:szCs w:val="22"/>
        </w:rPr>
        <w:t>碳的浓度过高或持续时间过长都会使人窒息或死亡。一般情况下，火场附近的一氧化碳的浓度较高（浓度可达</w:t>
      </w:r>
      <w:r>
        <w:rPr>
          <w:spacing w:val="-6"/>
          <w:szCs w:val="22"/>
        </w:rPr>
        <w:t xml:space="preserve"> 0.02%</w:t>
      </w:r>
      <w:r>
        <w:rPr>
          <w:rFonts w:hint="eastAsia"/>
          <w:spacing w:val="-6"/>
          <w:szCs w:val="22"/>
        </w:rPr>
        <w:t>），而距火场</w:t>
      </w:r>
      <w:r>
        <w:rPr>
          <w:spacing w:val="-6"/>
          <w:szCs w:val="22"/>
        </w:rPr>
        <w:t xml:space="preserve"> 30m </w:t>
      </w:r>
      <w:r>
        <w:rPr>
          <w:rFonts w:hint="eastAsia"/>
          <w:spacing w:val="-6"/>
          <w:szCs w:val="22"/>
        </w:rPr>
        <w:t>处，一氧化碳的浓度逐渐降低（</w:t>
      </w:r>
      <w:r>
        <w:rPr>
          <w:spacing w:val="-6"/>
          <w:szCs w:val="22"/>
        </w:rPr>
        <w:t>0.001%</w:t>
      </w:r>
      <w:r>
        <w:rPr>
          <w:rFonts w:hint="eastAsia"/>
          <w:spacing w:val="-6"/>
          <w:szCs w:val="22"/>
        </w:rPr>
        <w:t>）。因此，近距离靠近火场会有造成一氧化碳中毒的危险。据以往报道，在火灾而造成的人员死亡中，</w:t>
      </w:r>
      <w:r>
        <w:rPr>
          <w:spacing w:val="-6"/>
          <w:szCs w:val="22"/>
        </w:rPr>
        <w:t xml:space="preserve">3/4 </w:t>
      </w:r>
      <w:r>
        <w:rPr>
          <w:rFonts w:hint="eastAsia"/>
          <w:spacing w:val="-6"/>
          <w:szCs w:val="22"/>
        </w:rPr>
        <w:t>的人死于有害气体，而且有害气体中一氧化碳是主要的有毒物质。空气中含有大量的氮气，无论对植物还是对人类均没有危害作用。但是，当空气中的氮被转化成氮氧化物和氮氢化物（如二氧化氮、一氧化氮、氨等）时，其危害作用显著增加。二氧化氮具有强烈的刺激性，能引起哮喘、支气管炎、肺水肿等多种疾病。当空气中二氧化氮浓度达</w:t>
      </w:r>
      <w:r>
        <w:rPr>
          <w:spacing w:val="-6"/>
          <w:szCs w:val="22"/>
        </w:rPr>
        <w:t xml:space="preserve"> 0.05%</w:t>
      </w:r>
      <w:r>
        <w:rPr>
          <w:rFonts w:hint="eastAsia"/>
          <w:spacing w:val="-6"/>
          <w:szCs w:val="22"/>
        </w:rPr>
        <w:t>时，就会使人致死。在火场之外的开阔的空间内，由于烟雾扩散，二氧化氮的浓度被迅速稀释，不会对人体健康造成危害。</w:t>
      </w:r>
    </w:p>
    <w:p w:rsidR="00B04AE3" w:rsidRDefault="00B04AE3">
      <w:pPr>
        <w:pStyle w:val="BodyText"/>
        <w:spacing w:line="364" w:lineRule="auto"/>
        <w:ind w:left="797" w:right="795" w:firstLine="480"/>
        <w:jc w:val="both"/>
        <w:rPr>
          <w:spacing w:val="-6"/>
          <w:szCs w:val="22"/>
        </w:rPr>
      </w:pPr>
      <w:r>
        <w:rPr>
          <w:rFonts w:hint="eastAsia"/>
          <w:spacing w:val="-6"/>
          <w:szCs w:val="22"/>
        </w:rPr>
        <w:t>烟尘是燃烧的主要排放物，烟尘对空气污染的影响主要取决于颗粒的大小，颗粒越小危害越大。烟尘可使大气能见度显著下降，据测算，火灾通常微粒的释放量很大，约</w:t>
      </w:r>
      <w:r>
        <w:rPr>
          <w:spacing w:val="-6"/>
          <w:szCs w:val="22"/>
        </w:rPr>
        <w:t xml:space="preserve"> 6kg/t</w:t>
      </w:r>
      <w:r>
        <w:rPr>
          <w:rFonts w:hint="eastAsia"/>
          <w:spacing w:val="-6"/>
          <w:szCs w:val="22"/>
        </w:rPr>
        <w:t>。烟尘对人体的影响主要体现在吸入效应上。烟尘微粒可吸附有害气体，引起人的呼吸疾病。在火场之外的空间内，由于新鲜空气与烟雾之间的对流，烟的浓度被稀释，对人体的伤害较小。</w:t>
      </w:r>
    </w:p>
    <w:p w:rsidR="00B04AE3" w:rsidRDefault="00B04AE3">
      <w:pPr>
        <w:pStyle w:val="BodyText"/>
        <w:spacing w:line="364" w:lineRule="auto"/>
        <w:ind w:left="797" w:right="795" w:firstLine="480"/>
        <w:jc w:val="both"/>
        <w:rPr>
          <w:spacing w:val="-6"/>
          <w:szCs w:val="22"/>
        </w:rPr>
      </w:pPr>
      <w:r>
        <w:rPr>
          <w:rFonts w:hint="eastAsia"/>
          <w:spacing w:val="-6"/>
          <w:szCs w:val="22"/>
        </w:rPr>
        <w:t>因此，火灾发生时将不可避免的对厂区内人员安全与生产设施产生不利影响。</w:t>
      </w:r>
    </w:p>
    <w:p w:rsidR="00B04AE3" w:rsidRDefault="00B04AE3">
      <w:pPr>
        <w:tabs>
          <w:tab w:val="left" w:pos="3792"/>
        </w:tabs>
        <w:spacing w:before="160" w:after="2"/>
        <w:ind w:left="2753"/>
        <w:rPr>
          <w:b/>
          <w:sz w:val="24"/>
        </w:rPr>
      </w:pPr>
      <w:r>
        <w:rPr>
          <w:rFonts w:hint="eastAsia"/>
          <w:b/>
          <w:sz w:val="24"/>
        </w:rPr>
        <w:t>表</w:t>
      </w:r>
      <w:r>
        <w:rPr>
          <w:b/>
          <w:spacing w:val="-62"/>
          <w:sz w:val="24"/>
        </w:rPr>
        <w:t xml:space="preserve"> </w:t>
      </w:r>
      <w:r>
        <w:rPr>
          <w:rFonts w:ascii="Times New Roman" w:eastAsia="Times New Roman"/>
          <w:b/>
          <w:sz w:val="24"/>
        </w:rPr>
        <w:t>3.4-2</w:t>
      </w:r>
      <w:r>
        <w:rPr>
          <w:rFonts w:ascii="Times New Roman" w:eastAsia="Times New Roman"/>
          <w:b/>
          <w:sz w:val="24"/>
        </w:rPr>
        <w:tab/>
      </w:r>
      <w:r>
        <w:rPr>
          <w:rFonts w:hint="eastAsia"/>
          <w:b/>
          <w:sz w:val="24"/>
        </w:rPr>
        <w:t>风险事故发生后可能波及的范围</w:t>
      </w:r>
    </w:p>
    <w:tbl>
      <w:tblPr>
        <w:tblW w:w="8528" w:type="dxa"/>
        <w:tblInd w:w="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910"/>
        <w:gridCol w:w="2037"/>
        <w:gridCol w:w="1585"/>
        <w:gridCol w:w="1509"/>
        <w:gridCol w:w="2487"/>
      </w:tblGrid>
      <w:tr w:rsidR="00B04AE3">
        <w:trPr>
          <w:trHeight w:val="360"/>
        </w:trPr>
        <w:tc>
          <w:tcPr>
            <w:tcW w:w="910" w:type="dxa"/>
            <w:vAlign w:val="center"/>
          </w:tcPr>
          <w:p w:rsidR="00B04AE3" w:rsidRDefault="00B04AE3">
            <w:pPr>
              <w:pStyle w:val="TableParagraph"/>
              <w:spacing w:before="42"/>
              <w:ind w:left="119" w:right="111"/>
              <w:rPr>
                <w:sz w:val="21"/>
              </w:rPr>
            </w:pPr>
            <w:r>
              <w:rPr>
                <w:rFonts w:hint="eastAsia"/>
                <w:sz w:val="21"/>
              </w:rPr>
              <w:t>方</w:t>
            </w:r>
            <w:r>
              <w:rPr>
                <w:sz w:val="21"/>
              </w:rPr>
              <w:t xml:space="preserve"> </w:t>
            </w:r>
            <w:r>
              <w:rPr>
                <w:rFonts w:hint="eastAsia"/>
                <w:sz w:val="21"/>
              </w:rPr>
              <w:t>位</w:t>
            </w:r>
          </w:p>
        </w:tc>
        <w:tc>
          <w:tcPr>
            <w:tcW w:w="2037" w:type="dxa"/>
            <w:vAlign w:val="center"/>
          </w:tcPr>
          <w:p w:rsidR="00B04AE3" w:rsidRDefault="00B04AE3">
            <w:pPr>
              <w:pStyle w:val="TableParagraph"/>
              <w:spacing w:before="42"/>
              <w:ind w:left="156" w:right="151"/>
              <w:rPr>
                <w:sz w:val="21"/>
              </w:rPr>
            </w:pPr>
            <w:r>
              <w:rPr>
                <w:rFonts w:hint="eastAsia"/>
                <w:sz w:val="21"/>
              </w:rPr>
              <w:t>村庄或单位</w:t>
            </w:r>
          </w:p>
        </w:tc>
        <w:tc>
          <w:tcPr>
            <w:tcW w:w="1585" w:type="dxa"/>
            <w:vAlign w:val="center"/>
          </w:tcPr>
          <w:p w:rsidR="00B04AE3" w:rsidRDefault="00B04AE3">
            <w:pPr>
              <w:pStyle w:val="TableParagraph"/>
              <w:spacing w:before="78" w:line="262" w:lineRule="exact"/>
              <w:ind w:left="140" w:right="135"/>
              <w:rPr>
                <w:sz w:val="21"/>
              </w:rPr>
            </w:pPr>
            <w:r>
              <w:rPr>
                <w:rFonts w:hint="eastAsia"/>
                <w:sz w:val="21"/>
              </w:rPr>
              <w:t>性质</w:t>
            </w:r>
          </w:p>
        </w:tc>
        <w:tc>
          <w:tcPr>
            <w:tcW w:w="1509" w:type="dxa"/>
            <w:vAlign w:val="center"/>
          </w:tcPr>
          <w:p w:rsidR="00B04AE3" w:rsidRDefault="00B04AE3">
            <w:pPr>
              <w:pStyle w:val="TableParagraph"/>
              <w:spacing w:before="78" w:line="262" w:lineRule="exact"/>
              <w:ind w:left="139" w:right="130"/>
              <w:rPr>
                <w:rFonts w:ascii="Times New Roman" w:eastAsia="Times New Roman"/>
                <w:sz w:val="21"/>
              </w:rPr>
            </w:pPr>
            <w:r>
              <w:rPr>
                <w:rFonts w:hint="eastAsia"/>
                <w:sz w:val="21"/>
              </w:rPr>
              <w:t>居民人数</w:t>
            </w:r>
            <w:r>
              <w:rPr>
                <w:rFonts w:ascii="Times New Roman" w:eastAsia="Times New Roman"/>
                <w:sz w:val="21"/>
              </w:rPr>
              <w:t>(</w:t>
            </w:r>
            <w:r>
              <w:rPr>
                <w:rFonts w:hint="eastAsia"/>
                <w:sz w:val="21"/>
              </w:rPr>
              <w:t>人</w:t>
            </w:r>
            <w:r>
              <w:rPr>
                <w:rFonts w:ascii="Times New Roman" w:eastAsia="Times New Roman"/>
                <w:sz w:val="21"/>
              </w:rPr>
              <w:t>)</w:t>
            </w:r>
          </w:p>
        </w:tc>
        <w:tc>
          <w:tcPr>
            <w:tcW w:w="2487" w:type="dxa"/>
            <w:vAlign w:val="center"/>
          </w:tcPr>
          <w:p w:rsidR="00B04AE3" w:rsidRDefault="00B04AE3">
            <w:pPr>
              <w:pStyle w:val="TableParagraph"/>
              <w:spacing w:before="78" w:line="262" w:lineRule="exact"/>
              <w:ind w:left="171" w:right="164"/>
              <w:rPr>
                <w:sz w:val="21"/>
              </w:rPr>
            </w:pPr>
            <w:r>
              <w:rPr>
                <w:rFonts w:hint="eastAsia"/>
                <w:sz w:val="21"/>
              </w:rPr>
              <w:t>受影响程度</w:t>
            </w:r>
          </w:p>
        </w:tc>
      </w:tr>
      <w:tr w:rsidR="00B04AE3">
        <w:trPr>
          <w:trHeight w:val="340"/>
        </w:trPr>
        <w:tc>
          <w:tcPr>
            <w:tcW w:w="910" w:type="dxa"/>
            <w:vAlign w:val="center"/>
          </w:tcPr>
          <w:p w:rsidR="00B04AE3" w:rsidRDefault="00B04AE3">
            <w:pPr>
              <w:pStyle w:val="TableParagraph"/>
              <w:spacing w:before="34"/>
              <w:ind w:left="119" w:right="111"/>
              <w:rPr>
                <w:sz w:val="21"/>
              </w:rPr>
            </w:pPr>
            <w:r>
              <w:rPr>
                <w:rFonts w:hint="eastAsia"/>
                <w:sz w:val="21"/>
              </w:rPr>
              <w:t>围墙外</w:t>
            </w:r>
          </w:p>
        </w:tc>
        <w:tc>
          <w:tcPr>
            <w:tcW w:w="2037" w:type="dxa"/>
            <w:vAlign w:val="center"/>
          </w:tcPr>
          <w:p w:rsidR="00B04AE3" w:rsidRDefault="00B04AE3">
            <w:pPr>
              <w:pStyle w:val="TableParagraph"/>
              <w:spacing w:before="34"/>
              <w:ind w:left="156" w:right="151"/>
              <w:rPr>
                <w:sz w:val="21"/>
              </w:rPr>
            </w:pPr>
            <w:r>
              <w:rPr>
                <w:rFonts w:hint="eastAsia"/>
                <w:sz w:val="21"/>
              </w:rPr>
              <w:t>厂生活区</w:t>
            </w:r>
          </w:p>
        </w:tc>
        <w:tc>
          <w:tcPr>
            <w:tcW w:w="1585" w:type="dxa"/>
            <w:vAlign w:val="center"/>
          </w:tcPr>
          <w:p w:rsidR="00B04AE3" w:rsidRDefault="00B04AE3">
            <w:pPr>
              <w:pStyle w:val="TableParagraph"/>
              <w:spacing w:before="34"/>
              <w:ind w:left="140" w:right="135"/>
              <w:rPr>
                <w:sz w:val="21"/>
              </w:rPr>
            </w:pPr>
            <w:r>
              <w:rPr>
                <w:rFonts w:hint="eastAsia"/>
                <w:sz w:val="21"/>
              </w:rPr>
              <w:t>倒班人员休息</w:t>
            </w:r>
          </w:p>
        </w:tc>
        <w:tc>
          <w:tcPr>
            <w:tcW w:w="1509" w:type="dxa"/>
            <w:vAlign w:val="center"/>
          </w:tcPr>
          <w:p w:rsidR="00B04AE3" w:rsidRDefault="00B04AE3">
            <w:pPr>
              <w:pStyle w:val="TableParagraph"/>
              <w:rPr>
                <w:rFonts w:ascii="Times New Roman"/>
              </w:rPr>
            </w:pPr>
          </w:p>
        </w:tc>
        <w:tc>
          <w:tcPr>
            <w:tcW w:w="2487" w:type="dxa"/>
            <w:vAlign w:val="center"/>
          </w:tcPr>
          <w:p w:rsidR="00B04AE3" w:rsidRDefault="00B04AE3">
            <w:pPr>
              <w:pStyle w:val="TableParagraph"/>
              <w:spacing w:before="34"/>
              <w:ind w:left="171" w:right="164"/>
              <w:rPr>
                <w:sz w:val="21"/>
              </w:rPr>
            </w:pPr>
            <w:r>
              <w:rPr>
                <w:rFonts w:hint="eastAsia"/>
                <w:sz w:val="21"/>
              </w:rPr>
              <w:t>小、风险容许范围内</w:t>
            </w:r>
          </w:p>
        </w:tc>
      </w:tr>
      <w:tr w:rsidR="00B04AE3">
        <w:trPr>
          <w:trHeight w:val="340"/>
        </w:trPr>
        <w:tc>
          <w:tcPr>
            <w:tcW w:w="910" w:type="dxa"/>
            <w:vAlign w:val="center"/>
          </w:tcPr>
          <w:p w:rsidR="00B04AE3" w:rsidRDefault="00B04AE3">
            <w:pPr>
              <w:widowControl/>
              <w:jc w:val="center"/>
              <w:rPr>
                <w:sz w:val="21"/>
              </w:rPr>
            </w:pPr>
            <w:r>
              <w:rPr>
                <w:rFonts w:hint="eastAsia"/>
              </w:rPr>
              <w:t>西南</w:t>
            </w:r>
          </w:p>
        </w:tc>
        <w:tc>
          <w:tcPr>
            <w:tcW w:w="2037" w:type="dxa"/>
            <w:vAlign w:val="center"/>
          </w:tcPr>
          <w:p w:rsidR="00B04AE3" w:rsidRDefault="00B04AE3">
            <w:pPr>
              <w:widowControl/>
              <w:jc w:val="center"/>
              <w:rPr>
                <w:sz w:val="21"/>
              </w:rPr>
            </w:pPr>
            <w:r>
              <w:rPr>
                <w:rFonts w:hint="eastAsia"/>
              </w:rPr>
              <w:t>江西水利职业学院</w:t>
            </w:r>
          </w:p>
        </w:tc>
        <w:tc>
          <w:tcPr>
            <w:tcW w:w="1585" w:type="dxa"/>
            <w:vAlign w:val="center"/>
          </w:tcPr>
          <w:p w:rsidR="00B04AE3" w:rsidRDefault="00B04AE3">
            <w:pPr>
              <w:pStyle w:val="TableParagraph"/>
              <w:spacing w:before="35"/>
              <w:ind w:left="140" w:right="135"/>
              <w:rPr>
                <w:sz w:val="21"/>
                <w:lang w:val="en-US"/>
              </w:rPr>
            </w:pPr>
            <w:r>
              <w:rPr>
                <w:rFonts w:hint="eastAsia"/>
                <w:sz w:val="21"/>
                <w:lang w:val="en-US"/>
              </w:rPr>
              <w:t>学校</w:t>
            </w:r>
          </w:p>
        </w:tc>
        <w:tc>
          <w:tcPr>
            <w:tcW w:w="1509" w:type="dxa"/>
            <w:vAlign w:val="center"/>
          </w:tcPr>
          <w:p w:rsidR="00B04AE3" w:rsidRDefault="00B04AE3">
            <w:pPr>
              <w:widowControl/>
              <w:jc w:val="center"/>
              <w:rPr>
                <w:rFonts w:ascii="Times New Roman"/>
                <w:sz w:val="21"/>
              </w:rPr>
            </w:pPr>
            <w:r>
              <w:rPr>
                <w:rFonts w:hint="eastAsia"/>
              </w:rPr>
              <w:t>约</w:t>
            </w:r>
            <w:r>
              <w:t>5000</w:t>
            </w:r>
            <w:r>
              <w:rPr>
                <w:rFonts w:hint="eastAsia"/>
              </w:rPr>
              <w:t>人</w:t>
            </w:r>
          </w:p>
        </w:tc>
        <w:tc>
          <w:tcPr>
            <w:tcW w:w="2487" w:type="dxa"/>
            <w:vAlign w:val="center"/>
          </w:tcPr>
          <w:p w:rsidR="00B04AE3" w:rsidRDefault="00B04AE3">
            <w:pPr>
              <w:pStyle w:val="TableParagraph"/>
              <w:spacing w:before="35"/>
              <w:ind w:left="171" w:right="164"/>
              <w:rPr>
                <w:sz w:val="21"/>
              </w:rPr>
            </w:pPr>
            <w:r>
              <w:rPr>
                <w:rFonts w:hint="eastAsia"/>
                <w:sz w:val="21"/>
              </w:rPr>
              <w:t>小，风险容许范围内</w:t>
            </w:r>
          </w:p>
        </w:tc>
      </w:tr>
      <w:tr w:rsidR="00B04AE3">
        <w:trPr>
          <w:trHeight w:val="340"/>
        </w:trPr>
        <w:tc>
          <w:tcPr>
            <w:tcW w:w="910" w:type="dxa"/>
            <w:vAlign w:val="center"/>
          </w:tcPr>
          <w:p w:rsidR="00B04AE3" w:rsidRDefault="00B04AE3">
            <w:pPr>
              <w:widowControl/>
              <w:jc w:val="center"/>
              <w:rPr>
                <w:sz w:val="21"/>
              </w:rPr>
            </w:pPr>
            <w:r>
              <w:rPr>
                <w:rFonts w:hint="eastAsia"/>
              </w:rPr>
              <w:t>西南</w:t>
            </w:r>
          </w:p>
        </w:tc>
        <w:tc>
          <w:tcPr>
            <w:tcW w:w="2037" w:type="dxa"/>
            <w:vAlign w:val="center"/>
          </w:tcPr>
          <w:p w:rsidR="00B04AE3" w:rsidRDefault="00B04AE3">
            <w:pPr>
              <w:widowControl/>
              <w:jc w:val="center"/>
              <w:rPr>
                <w:sz w:val="21"/>
              </w:rPr>
            </w:pPr>
            <w:r>
              <w:rPr>
                <w:rFonts w:hint="eastAsia"/>
              </w:rPr>
              <w:t>华东交通大学北区</w:t>
            </w:r>
          </w:p>
        </w:tc>
        <w:tc>
          <w:tcPr>
            <w:tcW w:w="1585" w:type="dxa"/>
            <w:vAlign w:val="center"/>
          </w:tcPr>
          <w:p w:rsidR="00B04AE3" w:rsidRDefault="00B04AE3">
            <w:pPr>
              <w:pStyle w:val="TableParagraph"/>
              <w:spacing w:before="33"/>
              <w:ind w:left="140" w:right="135"/>
              <w:rPr>
                <w:sz w:val="21"/>
              </w:rPr>
            </w:pPr>
            <w:r>
              <w:rPr>
                <w:rFonts w:hint="eastAsia"/>
                <w:sz w:val="21"/>
              </w:rPr>
              <w:t>学校</w:t>
            </w:r>
          </w:p>
        </w:tc>
        <w:tc>
          <w:tcPr>
            <w:tcW w:w="1509" w:type="dxa"/>
            <w:vAlign w:val="center"/>
          </w:tcPr>
          <w:p w:rsidR="00B04AE3" w:rsidRDefault="00B04AE3">
            <w:pPr>
              <w:widowControl/>
              <w:jc w:val="center"/>
              <w:rPr>
                <w:rFonts w:ascii="Times New Roman"/>
                <w:sz w:val="21"/>
              </w:rPr>
            </w:pPr>
            <w:r>
              <w:rPr>
                <w:rFonts w:hint="eastAsia"/>
              </w:rPr>
              <w:t>约</w:t>
            </w:r>
            <w:r>
              <w:t>15000</w:t>
            </w:r>
            <w:r>
              <w:rPr>
                <w:rFonts w:hint="eastAsia"/>
              </w:rPr>
              <w:t>人</w:t>
            </w:r>
          </w:p>
        </w:tc>
        <w:tc>
          <w:tcPr>
            <w:tcW w:w="2487" w:type="dxa"/>
            <w:vAlign w:val="center"/>
          </w:tcPr>
          <w:p w:rsidR="00B04AE3" w:rsidRDefault="00B04AE3">
            <w:pPr>
              <w:pStyle w:val="TableParagraph"/>
              <w:spacing w:before="33"/>
              <w:ind w:left="171" w:right="164"/>
              <w:rPr>
                <w:sz w:val="21"/>
              </w:rPr>
            </w:pPr>
            <w:r>
              <w:rPr>
                <w:rFonts w:hint="eastAsia"/>
                <w:sz w:val="21"/>
              </w:rPr>
              <w:t>小，风险容许范围内</w:t>
            </w:r>
          </w:p>
        </w:tc>
      </w:tr>
      <w:tr w:rsidR="00B04AE3">
        <w:trPr>
          <w:trHeight w:val="340"/>
        </w:trPr>
        <w:tc>
          <w:tcPr>
            <w:tcW w:w="910" w:type="dxa"/>
            <w:vAlign w:val="center"/>
          </w:tcPr>
          <w:p w:rsidR="00B04AE3" w:rsidRDefault="00B04AE3">
            <w:pPr>
              <w:widowControl/>
              <w:jc w:val="center"/>
              <w:rPr>
                <w:sz w:val="21"/>
              </w:rPr>
            </w:pPr>
            <w:r>
              <w:rPr>
                <w:rFonts w:hint="eastAsia"/>
              </w:rPr>
              <w:t>东南</w:t>
            </w:r>
          </w:p>
        </w:tc>
        <w:tc>
          <w:tcPr>
            <w:tcW w:w="2037" w:type="dxa"/>
            <w:vAlign w:val="center"/>
          </w:tcPr>
          <w:p w:rsidR="00B04AE3" w:rsidRDefault="00B04AE3">
            <w:pPr>
              <w:widowControl/>
              <w:jc w:val="center"/>
              <w:rPr>
                <w:sz w:val="21"/>
              </w:rPr>
            </w:pPr>
            <w:r>
              <w:rPr>
                <w:rFonts w:hint="eastAsia"/>
              </w:rPr>
              <w:t>汪家村</w:t>
            </w:r>
          </w:p>
        </w:tc>
        <w:tc>
          <w:tcPr>
            <w:tcW w:w="1585" w:type="dxa"/>
            <w:vAlign w:val="center"/>
          </w:tcPr>
          <w:p w:rsidR="00B04AE3" w:rsidRDefault="00B04AE3">
            <w:pPr>
              <w:pStyle w:val="TableParagraph"/>
              <w:spacing w:before="33"/>
              <w:ind w:left="140" w:right="135"/>
              <w:rPr>
                <w:sz w:val="21"/>
              </w:rPr>
            </w:pPr>
            <w:r>
              <w:rPr>
                <w:rFonts w:hint="eastAsia"/>
                <w:sz w:val="21"/>
              </w:rPr>
              <w:t>村庄</w:t>
            </w:r>
          </w:p>
        </w:tc>
        <w:tc>
          <w:tcPr>
            <w:tcW w:w="1509" w:type="dxa"/>
            <w:vAlign w:val="center"/>
          </w:tcPr>
          <w:p w:rsidR="00B04AE3" w:rsidRDefault="00B04AE3">
            <w:pPr>
              <w:widowControl/>
              <w:jc w:val="center"/>
              <w:rPr>
                <w:rFonts w:ascii="Times New Roman"/>
                <w:sz w:val="21"/>
              </w:rPr>
            </w:pPr>
            <w:r>
              <w:rPr>
                <w:rFonts w:hint="eastAsia"/>
              </w:rPr>
              <w:t>约</w:t>
            </w:r>
            <w:r>
              <w:t>1500</w:t>
            </w:r>
            <w:r>
              <w:rPr>
                <w:rFonts w:hint="eastAsia"/>
              </w:rPr>
              <w:t>人</w:t>
            </w:r>
          </w:p>
        </w:tc>
        <w:tc>
          <w:tcPr>
            <w:tcW w:w="2487" w:type="dxa"/>
            <w:vAlign w:val="center"/>
          </w:tcPr>
          <w:p w:rsidR="00B04AE3" w:rsidRDefault="00B04AE3">
            <w:pPr>
              <w:pStyle w:val="TableParagraph"/>
              <w:spacing w:before="33"/>
              <w:ind w:left="171" w:right="164"/>
              <w:rPr>
                <w:sz w:val="21"/>
              </w:rPr>
            </w:pPr>
            <w:r>
              <w:rPr>
                <w:rFonts w:hint="eastAsia"/>
                <w:sz w:val="21"/>
              </w:rPr>
              <w:t>小，风险容许范围内</w:t>
            </w:r>
          </w:p>
        </w:tc>
      </w:tr>
      <w:tr w:rsidR="00B04AE3">
        <w:trPr>
          <w:trHeight w:val="340"/>
        </w:trPr>
        <w:tc>
          <w:tcPr>
            <w:tcW w:w="910" w:type="dxa"/>
            <w:vAlign w:val="center"/>
          </w:tcPr>
          <w:p w:rsidR="00B04AE3" w:rsidRDefault="00B04AE3">
            <w:pPr>
              <w:widowControl/>
              <w:jc w:val="center"/>
              <w:rPr>
                <w:sz w:val="21"/>
              </w:rPr>
            </w:pPr>
            <w:r>
              <w:rPr>
                <w:rFonts w:hint="eastAsia"/>
              </w:rPr>
              <w:t>东</w:t>
            </w:r>
          </w:p>
        </w:tc>
        <w:tc>
          <w:tcPr>
            <w:tcW w:w="2037" w:type="dxa"/>
            <w:vAlign w:val="center"/>
          </w:tcPr>
          <w:p w:rsidR="00B04AE3" w:rsidRDefault="00B04AE3">
            <w:pPr>
              <w:widowControl/>
              <w:jc w:val="center"/>
              <w:rPr>
                <w:sz w:val="21"/>
              </w:rPr>
            </w:pPr>
            <w:r>
              <w:rPr>
                <w:rFonts w:hint="eastAsia"/>
              </w:rPr>
              <w:t>吉都居</w:t>
            </w:r>
          </w:p>
        </w:tc>
        <w:tc>
          <w:tcPr>
            <w:tcW w:w="1585" w:type="dxa"/>
            <w:vAlign w:val="center"/>
          </w:tcPr>
          <w:p w:rsidR="00B04AE3" w:rsidRDefault="00B04AE3">
            <w:pPr>
              <w:pStyle w:val="TableParagraph"/>
              <w:spacing w:before="34"/>
              <w:ind w:left="140" w:right="135"/>
              <w:rPr>
                <w:sz w:val="21"/>
              </w:rPr>
            </w:pPr>
            <w:r>
              <w:rPr>
                <w:rFonts w:hint="eastAsia"/>
                <w:sz w:val="21"/>
              </w:rPr>
              <w:t>村庄</w:t>
            </w:r>
          </w:p>
        </w:tc>
        <w:tc>
          <w:tcPr>
            <w:tcW w:w="1509" w:type="dxa"/>
            <w:vAlign w:val="center"/>
          </w:tcPr>
          <w:p w:rsidR="00B04AE3" w:rsidRDefault="00B04AE3">
            <w:pPr>
              <w:widowControl/>
              <w:jc w:val="center"/>
              <w:rPr>
                <w:rFonts w:ascii="Times New Roman"/>
                <w:sz w:val="21"/>
              </w:rPr>
            </w:pPr>
            <w:r>
              <w:rPr>
                <w:rFonts w:hint="eastAsia"/>
              </w:rPr>
              <w:t>约</w:t>
            </w:r>
            <w:r>
              <w:t>2000</w:t>
            </w:r>
            <w:r>
              <w:rPr>
                <w:rFonts w:hint="eastAsia"/>
              </w:rPr>
              <w:t>人</w:t>
            </w:r>
          </w:p>
        </w:tc>
        <w:tc>
          <w:tcPr>
            <w:tcW w:w="2487" w:type="dxa"/>
            <w:vAlign w:val="center"/>
          </w:tcPr>
          <w:p w:rsidR="00B04AE3" w:rsidRDefault="00B04AE3">
            <w:pPr>
              <w:pStyle w:val="TableParagraph"/>
              <w:spacing w:before="34"/>
              <w:ind w:left="171" w:right="164"/>
              <w:rPr>
                <w:sz w:val="21"/>
              </w:rPr>
            </w:pPr>
            <w:r>
              <w:rPr>
                <w:rFonts w:hint="eastAsia"/>
                <w:sz w:val="21"/>
              </w:rPr>
              <w:t>小，风险容许范围内</w:t>
            </w:r>
          </w:p>
        </w:tc>
      </w:tr>
      <w:tr w:rsidR="00B04AE3">
        <w:trPr>
          <w:trHeight w:val="340"/>
        </w:trPr>
        <w:tc>
          <w:tcPr>
            <w:tcW w:w="910" w:type="dxa"/>
            <w:vAlign w:val="center"/>
          </w:tcPr>
          <w:p w:rsidR="00B04AE3" w:rsidRDefault="00B04AE3">
            <w:pPr>
              <w:widowControl/>
              <w:jc w:val="center"/>
              <w:rPr>
                <w:sz w:val="21"/>
              </w:rPr>
            </w:pPr>
            <w:r>
              <w:rPr>
                <w:rFonts w:hint="eastAsia"/>
              </w:rPr>
              <w:t>东北</w:t>
            </w:r>
          </w:p>
        </w:tc>
        <w:tc>
          <w:tcPr>
            <w:tcW w:w="2037" w:type="dxa"/>
            <w:vAlign w:val="center"/>
          </w:tcPr>
          <w:p w:rsidR="00B04AE3" w:rsidRDefault="00B04AE3">
            <w:pPr>
              <w:widowControl/>
              <w:jc w:val="center"/>
              <w:rPr>
                <w:sz w:val="21"/>
              </w:rPr>
            </w:pPr>
            <w:r>
              <w:rPr>
                <w:rFonts w:hint="eastAsia"/>
              </w:rPr>
              <w:t>凯梦仙缘</w:t>
            </w:r>
          </w:p>
        </w:tc>
        <w:tc>
          <w:tcPr>
            <w:tcW w:w="1585" w:type="dxa"/>
            <w:vAlign w:val="center"/>
          </w:tcPr>
          <w:p w:rsidR="00B04AE3" w:rsidRDefault="00B04AE3">
            <w:pPr>
              <w:pStyle w:val="TableParagraph"/>
              <w:spacing w:before="34"/>
              <w:ind w:left="140" w:right="135"/>
              <w:rPr>
                <w:sz w:val="21"/>
              </w:rPr>
            </w:pPr>
            <w:r>
              <w:rPr>
                <w:rFonts w:hint="eastAsia"/>
                <w:sz w:val="21"/>
              </w:rPr>
              <w:t>村庄</w:t>
            </w:r>
          </w:p>
        </w:tc>
        <w:tc>
          <w:tcPr>
            <w:tcW w:w="1509" w:type="dxa"/>
            <w:vAlign w:val="center"/>
          </w:tcPr>
          <w:p w:rsidR="00B04AE3" w:rsidRDefault="00B04AE3">
            <w:pPr>
              <w:widowControl/>
              <w:jc w:val="center"/>
              <w:rPr>
                <w:rFonts w:ascii="Times New Roman"/>
                <w:sz w:val="21"/>
              </w:rPr>
            </w:pPr>
            <w:r>
              <w:rPr>
                <w:rFonts w:hint="eastAsia"/>
              </w:rPr>
              <w:t>约</w:t>
            </w:r>
            <w:r>
              <w:t>4500</w:t>
            </w:r>
            <w:r>
              <w:rPr>
                <w:rFonts w:hint="eastAsia"/>
              </w:rPr>
              <w:t>人</w:t>
            </w:r>
          </w:p>
        </w:tc>
        <w:tc>
          <w:tcPr>
            <w:tcW w:w="2487" w:type="dxa"/>
            <w:vAlign w:val="center"/>
          </w:tcPr>
          <w:p w:rsidR="00B04AE3" w:rsidRDefault="00B04AE3">
            <w:pPr>
              <w:pStyle w:val="TableParagraph"/>
              <w:spacing w:before="34"/>
              <w:ind w:left="171" w:right="166"/>
              <w:rPr>
                <w:sz w:val="21"/>
              </w:rPr>
            </w:pPr>
            <w:r>
              <w:rPr>
                <w:rFonts w:hint="eastAsia"/>
                <w:sz w:val="21"/>
              </w:rPr>
              <w:t>很小、风险容许范围内</w:t>
            </w:r>
          </w:p>
        </w:tc>
      </w:tr>
      <w:tr w:rsidR="00B04AE3">
        <w:trPr>
          <w:trHeight w:val="205"/>
        </w:trPr>
        <w:tc>
          <w:tcPr>
            <w:tcW w:w="910" w:type="dxa"/>
            <w:vAlign w:val="center"/>
          </w:tcPr>
          <w:p w:rsidR="00B04AE3" w:rsidRDefault="00B04AE3">
            <w:pPr>
              <w:widowControl/>
              <w:jc w:val="center"/>
              <w:rPr>
                <w:sz w:val="21"/>
              </w:rPr>
            </w:pPr>
            <w:r>
              <w:rPr>
                <w:rFonts w:hint="eastAsia"/>
              </w:rPr>
              <w:t>西北</w:t>
            </w:r>
          </w:p>
        </w:tc>
        <w:tc>
          <w:tcPr>
            <w:tcW w:w="2037" w:type="dxa"/>
            <w:vAlign w:val="center"/>
          </w:tcPr>
          <w:p w:rsidR="00B04AE3" w:rsidRDefault="00B04AE3">
            <w:pPr>
              <w:widowControl/>
              <w:jc w:val="center"/>
              <w:rPr>
                <w:sz w:val="21"/>
              </w:rPr>
            </w:pPr>
            <w:r>
              <w:rPr>
                <w:rFonts w:hint="eastAsia"/>
              </w:rPr>
              <w:t>棚上</w:t>
            </w:r>
          </w:p>
        </w:tc>
        <w:tc>
          <w:tcPr>
            <w:tcW w:w="1585" w:type="dxa"/>
            <w:vAlign w:val="center"/>
          </w:tcPr>
          <w:p w:rsidR="00B04AE3" w:rsidRDefault="00B04AE3">
            <w:pPr>
              <w:spacing w:before="135"/>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300</w:t>
            </w:r>
            <w:r>
              <w:rPr>
                <w:rFonts w:hint="eastAsia"/>
              </w:rPr>
              <w:t>人</w:t>
            </w:r>
          </w:p>
        </w:tc>
        <w:tc>
          <w:tcPr>
            <w:tcW w:w="2487" w:type="dxa"/>
            <w:vAlign w:val="center"/>
          </w:tcPr>
          <w:p w:rsidR="00B04AE3" w:rsidRDefault="00B04AE3">
            <w:pPr>
              <w:pStyle w:val="TableParagraph"/>
              <w:spacing w:before="135"/>
              <w:ind w:left="171" w:right="166"/>
              <w:rPr>
                <w:sz w:val="21"/>
              </w:rPr>
            </w:pPr>
            <w:r>
              <w:rPr>
                <w:rFonts w:hint="eastAsia"/>
                <w:sz w:val="21"/>
              </w:rPr>
              <w:t>很小、风险容许范围内</w:t>
            </w:r>
          </w:p>
        </w:tc>
      </w:tr>
      <w:tr w:rsidR="00B04AE3">
        <w:trPr>
          <w:trHeight w:val="340"/>
        </w:trPr>
        <w:tc>
          <w:tcPr>
            <w:tcW w:w="910" w:type="dxa"/>
            <w:vAlign w:val="center"/>
          </w:tcPr>
          <w:p w:rsidR="00B04AE3" w:rsidRDefault="00B04AE3">
            <w:pPr>
              <w:widowControl/>
              <w:jc w:val="center"/>
              <w:rPr>
                <w:sz w:val="21"/>
              </w:rPr>
            </w:pPr>
            <w:r>
              <w:rPr>
                <w:rFonts w:hint="eastAsia"/>
              </w:rPr>
              <w:t>南</w:t>
            </w:r>
          </w:p>
        </w:tc>
        <w:tc>
          <w:tcPr>
            <w:tcW w:w="2037" w:type="dxa"/>
            <w:vAlign w:val="center"/>
          </w:tcPr>
          <w:p w:rsidR="00B04AE3" w:rsidRDefault="00B04AE3">
            <w:pPr>
              <w:widowControl/>
              <w:jc w:val="center"/>
              <w:rPr>
                <w:sz w:val="21"/>
              </w:rPr>
            </w:pPr>
            <w:r>
              <w:rPr>
                <w:rFonts w:hint="eastAsia"/>
              </w:rPr>
              <w:t>双港新村</w:t>
            </w:r>
          </w:p>
        </w:tc>
        <w:tc>
          <w:tcPr>
            <w:tcW w:w="1585" w:type="dxa"/>
            <w:vAlign w:val="center"/>
          </w:tcPr>
          <w:p w:rsidR="00B04AE3" w:rsidRDefault="00B04AE3">
            <w:pPr>
              <w:spacing w:before="34"/>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400</w:t>
            </w:r>
            <w:r>
              <w:rPr>
                <w:rFonts w:hint="eastAsia"/>
              </w:rPr>
              <w:t>人</w:t>
            </w:r>
          </w:p>
        </w:tc>
        <w:tc>
          <w:tcPr>
            <w:tcW w:w="2487" w:type="dxa"/>
            <w:vAlign w:val="center"/>
          </w:tcPr>
          <w:p w:rsidR="00B04AE3" w:rsidRDefault="00B04AE3">
            <w:pPr>
              <w:pStyle w:val="TableParagraph"/>
              <w:spacing w:before="34"/>
              <w:ind w:left="171" w:right="166"/>
              <w:rPr>
                <w:sz w:val="21"/>
              </w:rPr>
            </w:pPr>
            <w:r>
              <w:rPr>
                <w:rFonts w:hint="eastAsia"/>
                <w:sz w:val="21"/>
              </w:rPr>
              <w:t>很小、风险容许范围内</w:t>
            </w:r>
          </w:p>
        </w:tc>
      </w:tr>
      <w:tr w:rsidR="00B04AE3">
        <w:trPr>
          <w:trHeight w:val="545"/>
        </w:trPr>
        <w:tc>
          <w:tcPr>
            <w:tcW w:w="910" w:type="dxa"/>
            <w:vAlign w:val="center"/>
          </w:tcPr>
          <w:p w:rsidR="00B04AE3" w:rsidRDefault="00B04AE3">
            <w:pPr>
              <w:widowControl/>
              <w:jc w:val="center"/>
              <w:rPr>
                <w:sz w:val="21"/>
              </w:rPr>
            </w:pPr>
            <w:r>
              <w:rPr>
                <w:rFonts w:hint="eastAsia"/>
              </w:rPr>
              <w:t>东南</w:t>
            </w:r>
          </w:p>
        </w:tc>
        <w:tc>
          <w:tcPr>
            <w:tcW w:w="2037" w:type="dxa"/>
            <w:vAlign w:val="center"/>
          </w:tcPr>
          <w:p w:rsidR="00B04AE3" w:rsidRDefault="00B04AE3">
            <w:pPr>
              <w:widowControl/>
              <w:jc w:val="center"/>
              <w:rPr>
                <w:sz w:val="21"/>
              </w:rPr>
            </w:pPr>
            <w:r>
              <w:rPr>
                <w:rFonts w:hint="eastAsia"/>
              </w:rPr>
              <w:t>双港</w:t>
            </w:r>
          </w:p>
        </w:tc>
        <w:tc>
          <w:tcPr>
            <w:tcW w:w="1585" w:type="dxa"/>
            <w:vAlign w:val="center"/>
          </w:tcPr>
          <w:p w:rsidR="00B04AE3" w:rsidRDefault="00B04AE3">
            <w:pPr>
              <w:spacing w:before="135"/>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300</w:t>
            </w:r>
            <w:r>
              <w:rPr>
                <w:rFonts w:hint="eastAsia"/>
              </w:rPr>
              <w:t>人</w:t>
            </w:r>
          </w:p>
        </w:tc>
        <w:tc>
          <w:tcPr>
            <w:tcW w:w="2487" w:type="dxa"/>
            <w:vAlign w:val="center"/>
          </w:tcPr>
          <w:p w:rsidR="00B04AE3" w:rsidRDefault="00B04AE3">
            <w:pPr>
              <w:pStyle w:val="TableParagraph"/>
              <w:spacing w:before="135"/>
              <w:ind w:left="171" w:right="166"/>
              <w:rPr>
                <w:sz w:val="21"/>
              </w:rPr>
            </w:pPr>
            <w:r>
              <w:rPr>
                <w:rFonts w:hint="eastAsia"/>
                <w:sz w:val="21"/>
              </w:rPr>
              <w:t>很小、风险容许范围内</w:t>
            </w:r>
          </w:p>
        </w:tc>
      </w:tr>
      <w:tr w:rsidR="00B04AE3">
        <w:trPr>
          <w:trHeight w:val="543"/>
        </w:trPr>
        <w:tc>
          <w:tcPr>
            <w:tcW w:w="910" w:type="dxa"/>
            <w:vAlign w:val="center"/>
          </w:tcPr>
          <w:p w:rsidR="00B04AE3" w:rsidRDefault="00B04AE3">
            <w:pPr>
              <w:widowControl/>
              <w:jc w:val="center"/>
              <w:rPr>
                <w:sz w:val="21"/>
              </w:rPr>
            </w:pPr>
            <w:r>
              <w:rPr>
                <w:rFonts w:hint="eastAsia"/>
              </w:rPr>
              <w:t>西北</w:t>
            </w:r>
          </w:p>
        </w:tc>
        <w:tc>
          <w:tcPr>
            <w:tcW w:w="2037" w:type="dxa"/>
            <w:vAlign w:val="center"/>
          </w:tcPr>
          <w:p w:rsidR="00B04AE3" w:rsidRDefault="00B04AE3">
            <w:pPr>
              <w:widowControl/>
              <w:jc w:val="center"/>
              <w:rPr>
                <w:sz w:val="21"/>
              </w:rPr>
            </w:pPr>
            <w:r>
              <w:rPr>
                <w:rFonts w:hint="eastAsia"/>
              </w:rPr>
              <w:t>三叉角</w:t>
            </w:r>
          </w:p>
        </w:tc>
        <w:tc>
          <w:tcPr>
            <w:tcW w:w="1585" w:type="dxa"/>
            <w:vAlign w:val="center"/>
          </w:tcPr>
          <w:p w:rsidR="00B04AE3" w:rsidRDefault="00B04AE3">
            <w:pPr>
              <w:spacing w:before="134"/>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200</w:t>
            </w:r>
            <w:r>
              <w:rPr>
                <w:rFonts w:hint="eastAsia"/>
              </w:rPr>
              <w:t>人</w:t>
            </w:r>
          </w:p>
        </w:tc>
        <w:tc>
          <w:tcPr>
            <w:tcW w:w="2487" w:type="dxa"/>
            <w:vAlign w:val="center"/>
          </w:tcPr>
          <w:p w:rsidR="00B04AE3" w:rsidRDefault="00B04AE3">
            <w:pPr>
              <w:pStyle w:val="TableParagraph"/>
              <w:spacing w:before="134"/>
              <w:ind w:left="171" w:right="166"/>
              <w:rPr>
                <w:sz w:val="21"/>
              </w:rPr>
            </w:pPr>
            <w:r>
              <w:rPr>
                <w:rFonts w:hint="eastAsia"/>
                <w:sz w:val="21"/>
              </w:rPr>
              <w:t>很小、风险容许范围内</w:t>
            </w:r>
          </w:p>
        </w:tc>
      </w:tr>
      <w:tr w:rsidR="00B04AE3">
        <w:trPr>
          <w:trHeight w:val="545"/>
        </w:trPr>
        <w:tc>
          <w:tcPr>
            <w:tcW w:w="910" w:type="dxa"/>
            <w:vAlign w:val="center"/>
          </w:tcPr>
          <w:p w:rsidR="00B04AE3" w:rsidRDefault="00B04AE3">
            <w:pPr>
              <w:widowControl/>
              <w:jc w:val="center"/>
              <w:rPr>
                <w:sz w:val="21"/>
              </w:rPr>
            </w:pPr>
            <w:r>
              <w:rPr>
                <w:rFonts w:hint="eastAsia"/>
              </w:rPr>
              <w:t>西北</w:t>
            </w:r>
          </w:p>
        </w:tc>
        <w:tc>
          <w:tcPr>
            <w:tcW w:w="2037" w:type="dxa"/>
            <w:vAlign w:val="center"/>
          </w:tcPr>
          <w:p w:rsidR="00B04AE3" w:rsidRDefault="00B04AE3">
            <w:pPr>
              <w:widowControl/>
              <w:jc w:val="center"/>
              <w:rPr>
                <w:sz w:val="21"/>
              </w:rPr>
            </w:pPr>
            <w:r>
              <w:rPr>
                <w:rFonts w:hint="eastAsia"/>
              </w:rPr>
              <w:t>吴家山</w:t>
            </w:r>
          </w:p>
        </w:tc>
        <w:tc>
          <w:tcPr>
            <w:tcW w:w="1585" w:type="dxa"/>
            <w:vAlign w:val="center"/>
          </w:tcPr>
          <w:p w:rsidR="00B04AE3" w:rsidRDefault="00B04AE3">
            <w:pPr>
              <w:spacing w:before="135"/>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250</w:t>
            </w:r>
            <w:r>
              <w:rPr>
                <w:rFonts w:hint="eastAsia"/>
              </w:rPr>
              <w:t>人</w:t>
            </w:r>
          </w:p>
        </w:tc>
        <w:tc>
          <w:tcPr>
            <w:tcW w:w="2487" w:type="dxa"/>
            <w:vAlign w:val="center"/>
          </w:tcPr>
          <w:p w:rsidR="00B04AE3" w:rsidRDefault="00B04AE3">
            <w:pPr>
              <w:pStyle w:val="TableParagraph"/>
              <w:spacing w:before="135"/>
              <w:ind w:left="171" w:right="166"/>
              <w:rPr>
                <w:sz w:val="21"/>
              </w:rPr>
            </w:pPr>
            <w:r>
              <w:rPr>
                <w:rFonts w:hint="eastAsia"/>
                <w:sz w:val="21"/>
              </w:rPr>
              <w:t>很小、风险容许范围内</w:t>
            </w:r>
          </w:p>
        </w:tc>
      </w:tr>
      <w:tr w:rsidR="00B04AE3">
        <w:trPr>
          <w:trHeight w:val="545"/>
        </w:trPr>
        <w:tc>
          <w:tcPr>
            <w:tcW w:w="910" w:type="dxa"/>
            <w:vAlign w:val="center"/>
          </w:tcPr>
          <w:p w:rsidR="00B04AE3" w:rsidRDefault="00B04AE3">
            <w:pPr>
              <w:widowControl/>
              <w:jc w:val="center"/>
            </w:pPr>
            <w:r>
              <w:rPr>
                <w:rFonts w:hint="eastAsia"/>
              </w:rPr>
              <w:t>东北</w:t>
            </w:r>
          </w:p>
        </w:tc>
        <w:tc>
          <w:tcPr>
            <w:tcW w:w="2037" w:type="dxa"/>
            <w:vAlign w:val="center"/>
          </w:tcPr>
          <w:p w:rsidR="00B04AE3" w:rsidRDefault="00B04AE3">
            <w:pPr>
              <w:widowControl/>
              <w:jc w:val="center"/>
              <w:rPr>
                <w:sz w:val="21"/>
              </w:rPr>
            </w:pPr>
            <w:r>
              <w:rPr>
                <w:rFonts w:hint="eastAsia"/>
              </w:rPr>
              <w:t>邹家村</w:t>
            </w:r>
          </w:p>
        </w:tc>
        <w:tc>
          <w:tcPr>
            <w:tcW w:w="1585" w:type="dxa"/>
            <w:vAlign w:val="center"/>
          </w:tcPr>
          <w:p w:rsidR="00B04AE3" w:rsidRDefault="00B04AE3">
            <w:pPr>
              <w:spacing w:before="135"/>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250</w:t>
            </w:r>
            <w:r>
              <w:rPr>
                <w:rFonts w:hint="eastAsia"/>
              </w:rPr>
              <w:t>人</w:t>
            </w:r>
          </w:p>
        </w:tc>
        <w:tc>
          <w:tcPr>
            <w:tcW w:w="2487" w:type="dxa"/>
            <w:vAlign w:val="center"/>
          </w:tcPr>
          <w:p w:rsidR="00B04AE3" w:rsidRDefault="00B04AE3">
            <w:pPr>
              <w:spacing w:before="135"/>
              <w:jc w:val="center"/>
              <w:rPr>
                <w:sz w:val="21"/>
              </w:rPr>
            </w:pPr>
            <w:r>
              <w:rPr>
                <w:rFonts w:hint="eastAsia"/>
                <w:sz w:val="21"/>
              </w:rPr>
              <w:t>很小、风险容许范围内</w:t>
            </w:r>
          </w:p>
        </w:tc>
      </w:tr>
      <w:tr w:rsidR="00B04AE3">
        <w:trPr>
          <w:trHeight w:val="545"/>
        </w:trPr>
        <w:tc>
          <w:tcPr>
            <w:tcW w:w="910" w:type="dxa"/>
            <w:vAlign w:val="center"/>
          </w:tcPr>
          <w:p w:rsidR="00B04AE3" w:rsidRDefault="00B04AE3">
            <w:pPr>
              <w:widowControl/>
              <w:jc w:val="center"/>
            </w:pPr>
            <w:r>
              <w:rPr>
                <w:rFonts w:hint="eastAsia"/>
              </w:rPr>
              <w:t>东南</w:t>
            </w:r>
          </w:p>
        </w:tc>
        <w:tc>
          <w:tcPr>
            <w:tcW w:w="2037" w:type="dxa"/>
            <w:vAlign w:val="center"/>
          </w:tcPr>
          <w:p w:rsidR="00B04AE3" w:rsidRDefault="00B04AE3">
            <w:pPr>
              <w:widowControl/>
              <w:jc w:val="center"/>
              <w:rPr>
                <w:sz w:val="21"/>
              </w:rPr>
            </w:pPr>
            <w:r>
              <w:rPr>
                <w:rFonts w:hint="eastAsia"/>
              </w:rPr>
              <w:t>港口村</w:t>
            </w:r>
          </w:p>
        </w:tc>
        <w:tc>
          <w:tcPr>
            <w:tcW w:w="1585" w:type="dxa"/>
            <w:vAlign w:val="center"/>
          </w:tcPr>
          <w:p w:rsidR="00B04AE3" w:rsidRDefault="00B04AE3">
            <w:pPr>
              <w:spacing w:before="135"/>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1500</w:t>
            </w:r>
            <w:r>
              <w:rPr>
                <w:rFonts w:hint="eastAsia"/>
              </w:rPr>
              <w:t>人</w:t>
            </w:r>
          </w:p>
        </w:tc>
        <w:tc>
          <w:tcPr>
            <w:tcW w:w="2487" w:type="dxa"/>
            <w:vAlign w:val="center"/>
          </w:tcPr>
          <w:p w:rsidR="00B04AE3" w:rsidRDefault="00B04AE3">
            <w:pPr>
              <w:spacing w:before="135"/>
              <w:jc w:val="center"/>
              <w:rPr>
                <w:sz w:val="21"/>
              </w:rPr>
            </w:pPr>
            <w:r>
              <w:rPr>
                <w:rFonts w:hint="eastAsia"/>
                <w:sz w:val="21"/>
              </w:rPr>
              <w:t>很小、风险容许范围内</w:t>
            </w:r>
          </w:p>
        </w:tc>
      </w:tr>
      <w:tr w:rsidR="00B04AE3">
        <w:trPr>
          <w:trHeight w:val="545"/>
        </w:trPr>
        <w:tc>
          <w:tcPr>
            <w:tcW w:w="910" w:type="dxa"/>
            <w:vAlign w:val="center"/>
          </w:tcPr>
          <w:p w:rsidR="00B04AE3" w:rsidRDefault="00B04AE3">
            <w:pPr>
              <w:widowControl/>
              <w:jc w:val="center"/>
            </w:pPr>
            <w:r>
              <w:rPr>
                <w:rFonts w:hint="eastAsia"/>
              </w:rPr>
              <w:t>东南</w:t>
            </w:r>
          </w:p>
        </w:tc>
        <w:tc>
          <w:tcPr>
            <w:tcW w:w="2037" w:type="dxa"/>
            <w:vAlign w:val="center"/>
          </w:tcPr>
          <w:p w:rsidR="00B04AE3" w:rsidRDefault="00B04AE3">
            <w:pPr>
              <w:widowControl/>
              <w:jc w:val="center"/>
              <w:rPr>
                <w:sz w:val="21"/>
              </w:rPr>
            </w:pPr>
            <w:r>
              <w:rPr>
                <w:rFonts w:hint="eastAsia"/>
              </w:rPr>
              <w:t>排头裘家</w:t>
            </w:r>
          </w:p>
        </w:tc>
        <w:tc>
          <w:tcPr>
            <w:tcW w:w="1585" w:type="dxa"/>
            <w:vAlign w:val="center"/>
          </w:tcPr>
          <w:p w:rsidR="00B04AE3" w:rsidRDefault="00B04AE3">
            <w:pPr>
              <w:spacing w:before="135"/>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600</w:t>
            </w:r>
            <w:r>
              <w:rPr>
                <w:rFonts w:hint="eastAsia"/>
              </w:rPr>
              <w:t>人</w:t>
            </w:r>
          </w:p>
        </w:tc>
        <w:tc>
          <w:tcPr>
            <w:tcW w:w="2487" w:type="dxa"/>
            <w:vAlign w:val="center"/>
          </w:tcPr>
          <w:p w:rsidR="00B04AE3" w:rsidRDefault="00B04AE3">
            <w:pPr>
              <w:spacing w:before="135"/>
              <w:jc w:val="center"/>
              <w:rPr>
                <w:sz w:val="21"/>
              </w:rPr>
            </w:pPr>
            <w:r>
              <w:rPr>
                <w:rFonts w:hint="eastAsia"/>
                <w:sz w:val="21"/>
              </w:rPr>
              <w:t>很小、风险容许范围内</w:t>
            </w:r>
          </w:p>
        </w:tc>
      </w:tr>
      <w:tr w:rsidR="00B04AE3">
        <w:trPr>
          <w:trHeight w:val="545"/>
        </w:trPr>
        <w:tc>
          <w:tcPr>
            <w:tcW w:w="910" w:type="dxa"/>
            <w:vAlign w:val="center"/>
          </w:tcPr>
          <w:p w:rsidR="00B04AE3" w:rsidRDefault="00B04AE3">
            <w:pPr>
              <w:widowControl/>
              <w:jc w:val="center"/>
            </w:pPr>
            <w:r>
              <w:rPr>
                <w:rFonts w:hint="eastAsia"/>
              </w:rPr>
              <w:t>南</w:t>
            </w:r>
          </w:p>
        </w:tc>
        <w:tc>
          <w:tcPr>
            <w:tcW w:w="2037" w:type="dxa"/>
            <w:vAlign w:val="center"/>
          </w:tcPr>
          <w:p w:rsidR="00B04AE3" w:rsidRDefault="00B04AE3">
            <w:pPr>
              <w:widowControl/>
              <w:jc w:val="center"/>
              <w:rPr>
                <w:sz w:val="21"/>
              </w:rPr>
            </w:pPr>
            <w:r>
              <w:rPr>
                <w:rFonts w:hint="eastAsia"/>
              </w:rPr>
              <w:t>江西理工大学南昌校区</w:t>
            </w:r>
          </w:p>
        </w:tc>
        <w:tc>
          <w:tcPr>
            <w:tcW w:w="1585" w:type="dxa"/>
            <w:vAlign w:val="center"/>
          </w:tcPr>
          <w:p w:rsidR="00B04AE3" w:rsidRDefault="00B04AE3">
            <w:pPr>
              <w:pStyle w:val="TableParagraph"/>
              <w:spacing w:before="135"/>
              <w:ind w:left="140" w:right="133"/>
              <w:rPr>
                <w:sz w:val="21"/>
              </w:rPr>
            </w:pPr>
            <w:r>
              <w:rPr>
                <w:rFonts w:hint="eastAsia"/>
                <w:sz w:val="21"/>
              </w:rPr>
              <w:t>学校</w:t>
            </w:r>
          </w:p>
        </w:tc>
        <w:tc>
          <w:tcPr>
            <w:tcW w:w="1509" w:type="dxa"/>
            <w:vAlign w:val="center"/>
          </w:tcPr>
          <w:p w:rsidR="00B04AE3" w:rsidRDefault="00B04AE3">
            <w:pPr>
              <w:widowControl/>
              <w:jc w:val="center"/>
              <w:rPr>
                <w:rFonts w:ascii="Times New Roman"/>
              </w:rPr>
            </w:pPr>
            <w:r>
              <w:rPr>
                <w:rFonts w:hint="eastAsia"/>
              </w:rPr>
              <w:t>约</w:t>
            </w:r>
            <w:r>
              <w:t>8000</w:t>
            </w:r>
            <w:r>
              <w:rPr>
                <w:rFonts w:hint="eastAsia"/>
              </w:rPr>
              <w:t>人</w:t>
            </w:r>
          </w:p>
        </w:tc>
        <w:tc>
          <w:tcPr>
            <w:tcW w:w="2487" w:type="dxa"/>
            <w:vAlign w:val="center"/>
          </w:tcPr>
          <w:p w:rsidR="00B04AE3" w:rsidRDefault="00B04AE3">
            <w:pPr>
              <w:spacing w:before="135"/>
              <w:jc w:val="center"/>
              <w:rPr>
                <w:sz w:val="21"/>
              </w:rPr>
            </w:pPr>
            <w:r>
              <w:rPr>
                <w:rFonts w:hint="eastAsia"/>
                <w:sz w:val="21"/>
              </w:rPr>
              <w:t>很小、风险容许范围内</w:t>
            </w:r>
          </w:p>
        </w:tc>
      </w:tr>
      <w:tr w:rsidR="00B04AE3">
        <w:trPr>
          <w:trHeight w:val="545"/>
        </w:trPr>
        <w:tc>
          <w:tcPr>
            <w:tcW w:w="910" w:type="dxa"/>
            <w:vAlign w:val="center"/>
          </w:tcPr>
          <w:p w:rsidR="00B04AE3" w:rsidRDefault="00B04AE3">
            <w:pPr>
              <w:widowControl/>
              <w:jc w:val="center"/>
            </w:pPr>
            <w:r>
              <w:rPr>
                <w:rFonts w:hint="eastAsia"/>
              </w:rPr>
              <w:t>东北</w:t>
            </w:r>
          </w:p>
        </w:tc>
        <w:tc>
          <w:tcPr>
            <w:tcW w:w="2037" w:type="dxa"/>
            <w:vAlign w:val="center"/>
          </w:tcPr>
          <w:p w:rsidR="00B04AE3" w:rsidRDefault="00B04AE3">
            <w:pPr>
              <w:widowControl/>
              <w:jc w:val="center"/>
              <w:rPr>
                <w:sz w:val="21"/>
              </w:rPr>
            </w:pPr>
            <w:r>
              <w:rPr>
                <w:rFonts w:hint="eastAsia"/>
              </w:rPr>
              <w:t>曹家村</w:t>
            </w:r>
          </w:p>
        </w:tc>
        <w:tc>
          <w:tcPr>
            <w:tcW w:w="1585" w:type="dxa"/>
            <w:vAlign w:val="center"/>
          </w:tcPr>
          <w:p w:rsidR="00B04AE3" w:rsidRDefault="00B04AE3">
            <w:pPr>
              <w:spacing w:before="135"/>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550</w:t>
            </w:r>
            <w:r>
              <w:rPr>
                <w:rFonts w:hint="eastAsia"/>
              </w:rPr>
              <w:t>人</w:t>
            </w:r>
          </w:p>
        </w:tc>
        <w:tc>
          <w:tcPr>
            <w:tcW w:w="2487" w:type="dxa"/>
            <w:vAlign w:val="center"/>
          </w:tcPr>
          <w:p w:rsidR="00B04AE3" w:rsidRDefault="00B04AE3">
            <w:pPr>
              <w:spacing w:before="135"/>
              <w:jc w:val="center"/>
              <w:rPr>
                <w:sz w:val="21"/>
              </w:rPr>
            </w:pPr>
            <w:r>
              <w:rPr>
                <w:rFonts w:hint="eastAsia"/>
                <w:sz w:val="21"/>
              </w:rPr>
              <w:t>很小、风险容许范围内</w:t>
            </w:r>
          </w:p>
        </w:tc>
      </w:tr>
      <w:tr w:rsidR="00B04AE3">
        <w:trPr>
          <w:trHeight w:val="545"/>
        </w:trPr>
        <w:tc>
          <w:tcPr>
            <w:tcW w:w="910" w:type="dxa"/>
            <w:vAlign w:val="center"/>
          </w:tcPr>
          <w:p w:rsidR="00B04AE3" w:rsidRDefault="00B04AE3">
            <w:pPr>
              <w:widowControl/>
              <w:jc w:val="center"/>
            </w:pPr>
            <w:r>
              <w:rPr>
                <w:rFonts w:hint="eastAsia"/>
              </w:rPr>
              <w:t>西北</w:t>
            </w:r>
          </w:p>
        </w:tc>
        <w:tc>
          <w:tcPr>
            <w:tcW w:w="2037" w:type="dxa"/>
            <w:vAlign w:val="center"/>
          </w:tcPr>
          <w:p w:rsidR="00B04AE3" w:rsidRDefault="00B04AE3">
            <w:pPr>
              <w:widowControl/>
              <w:jc w:val="center"/>
              <w:rPr>
                <w:sz w:val="21"/>
              </w:rPr>
            </w:pPr>
            <w:r>
              <w:rPr>
                <w:rFonts w:hint="eastAsia"/>
              </w:rPr>
              <w:t>吴家山</w:t>
            </w:r>
          </w:p>
        </w:tc>
        <w:tc>
          <w:tcPr>
            <w:tcW w:w="1585" w:type="dxa"/>
            <w:vAlign w:val="center"/>
          </w:tcPr>
          <w:p w:rsidR="00B04AE3" w:rsidRDefault="00B04AE3">
            <w:pPr>
              <w:spacing w:before="135"/>
              <w:jc w:val="center"/>
              <w:rPr>
                <w:sz w:val="21"/>
              </w:rPr>
            </w:pPr>
            <w:r>
              <w:rPr>
                <w:rFonts w:hint="eastAsia"/>
                <w:sz w:val="21"/>
              </w:rPr>
              <w:t>村庄</w:t>
            </w:r>
          </w:p>
        </w:tc>
        <w:tc>
          <w:tcPr>
            <w:tcW w:w="1509" w:type="dxa"/>
            <w:vAlign w:val="center"/>
          </w:tcPr>
          <w:p w:rsidR="00B04AE3" w:rsidRDefault="00B04AE3">
            <w:pPr>
              <w:widowControl/>
              <w:jc w:val="center"/>
              <w:rPr>
                <w:rFonts w:ascii="Times New Roman"/>
              </w:rPr>
            </w:pPr>
            <w:r>
              <w:rPr>
                <w:rFonts w:hint="eastAsia"/>
              </w:rPr>
              <w:t>约</w:t>
            </w:r>
            <w:r>
              <w:t>100</w:t>
            </w:r>
            <w:r>
              <w:rPr>
                <w:rFonts w:hint="eastAsia"/>
              </w:rPr>
              <w:t>人</w:t>
            </w:r>
          </w:p>
        </w:tc>
        <w:tc>
          <w:tcPr>
            <w:tcW w:w="2487" w:type="dxa"/>
            <w:vAlign w:val="center"/>
          </w:tcPr>
          <w:p w:rsidR="00B04AE3" w:rsidRDefault="00B04AE3">
            <w:pPr>
              <w:spacing w:before="135"/>
              <w:jc w:val="center"/>
              <w:rPr>
                <w:sz w:val="21"/>
              </w:rPr>
            </w:pPr>
            <w:r>
              <w:rPr>
                <w:rFonts w:hint="eastAsia"/>
                <w:sz w:val="21"/>
              </w:rPr>
              <w:t>很小、风险容许范围内</w:t>
            </w:r>
          </w:p>
        </w:tc>
      </w:tr>
    </w:tbl>
    <w:p w:rsidR="00B04AE3" w:rsidRDefault="00B04AE3">
      <w:pPr>
        <w:pStyle w:val="Heading3"/>
        <w:tabs>
          <w:tab w:val="left" w:pos="1398"/>
        </w:tabs>
        <w:spacing w:before="23"/>
        <w:ind w:left="797"/>
      </w:pPr>
      <w:bookmarkStart w:id="336" w:name="3.4.3_非正常工况后果分析"/>
      <w:bookmarkEnd w:id="336"/>
      <w:r>
        <w:rPr>
          <w:lang w:val="en-US"/>
        </w:rPr>
        <w:t>3.4.3</w:t>
      </w:r>
      <w:r>
        <w:rPr>
          <w:rFonts w:hint="eastAsia"/>
        </w:rPr>
        <w:t>非正常工况后果分析</w:t>
      </w:r>
    </w:p>
    <w:p w:rsidR="00B04AE3" w:rsidRDefault="00B04AE3">
      <w:pPr>
        <w:pStyle w:val="BodyText"/>
        <w:spacing w:line="364" w:lineRule="auto"/>
        <w:ind w:left="797" w:right="795" w:firstLine="480"/>
        <w:jc w:val="both"/>
        <w:rPr>
          <w:spacing w:val="-6"/>
          <w:szCs w:val="22"/>
        </w:rPr>
      </w:pPr>
      <w:r>
        <w:rPr>
          <w:rFonts w:hint="eastAsia"/>
          <w:spacing w:val="-6"/>
          <w:szCs w:val="22"/>
        </w:rPr>
        <w:t>南昌海立电器有限公司非正常工况主要考虑废气处理设备故障和废水处理设施故障；废气处理设备导致废气超标排放会对周围环境造成一定影响；废水处理设施故障导致废水超标排放会对下游水体带来一定的影响。</w:t>
      </w:r>
    </w:p>
    <w:p w:rsidR="00B04AE3" w:rsidRDefault="00B04AE3">
      <w:pPr>
        <w:pStyle w:val="BodyText"/>
        <w:spacing w:line="364" w:lineRule="auto"/>
        <w:ind w:left="797" w:right="795" w:firstLine="480"/>
        <w:jc w:val="both"/>
        <w:rPr>
          <w:spacing w:val="-6"/>
          <w:szCs w:val="22"/>
        </w:rPr>
      </w:pPr>
      <w:r>
        <w:rPr>
          <w:rFonts w:hint="eastAsia"/>
          <w:spacing w:val="-6"/>
          <w:szCs w:val="22"/>
        </w:rPr>
        <w:t>出现非正常工况时，公司应立即安排停产，并对发生故障的环保设施进行检修，待环保设施恢复正常后再开始生产。</w:t>
      </w:r>
    </w:p>
    <w:p w:rsidR="00B04AE3" w:rsidRDefault="00B04AE3">
      <w:pPr>
        <w:rPr>
          <w:rFonts w:ascii="Times New Roman"/>
          <w:sz w:val="21"/>
        </w:rPr>
        <w:sectPr w:rsidR="00B04AE3">
          <w:footerReference w:type="default" r:id="rId79"/>
          <w:pgSz w:w="11910" w:h="16840"/>
          <w:pgMar w:top="1360" w:right="1000" w:bottom="900" w:left="1000" w:header="746" w:footer="720" w:gutter="0"/>
          <w:cols w:space="720"/>
        </w:sectPr>
      </w:pPr>
    </w:p>
    <w:p w:rsidR="00B04AE3" w:rsidRDefault="00B04AE3">
      <w:pPr>
        <w:pStyle w:val="Heading1"/>
        <w:numPr>
          <w:ilvl w:val="0"/>
          <w:numId w:val="45"/>
        </w:numPr>
        <w:tabs>
          <w:tab w:val="left" w:pos="1237"/>
        </w:tabs>
        <w:ind w:left="1236" w:hanging="439"/>
        <w:rPr>
          <w:rFonts w:ascii="Times New Roman" w:eastAsia="Times New Roman"/>
        </w:rPr>
      </w:pPr>
      <w:bookmarkStart w:id="337" w:name="4_现有环境风险防控和应急措施差距分析"/>
      <w:bookmarkStart w:id="338" w:name="_bookmark116"/>
      <w:bookmarkEnd w:id="337"/>
      <w:bookmarkEnd w:id="338"/>
      <w:r>
        <w:rPr>
          <w:rFonts w:hint="eastAsia"/>
        </w:rPr>
        <w:t>现有环境风险防控和应急措施差距分析</w:t>
      </w:r>
    </w:p>
    <w:p w:rsidR="00B04AE3" w:rsidRDefault="00B04AE3">
      <w:pPr>
        <w:pStyle w:val="BodyText"/>
        <w:spacing w:line="364" w:lineRule="auto"/>
        <w:ind w:left="797" w:right="795" w:firstLine="480"/>
        <w:jc w:val="both"/>
        <w:rPr>
          <w:spacing w:val="-6"/>
          <w:szCs w:val="22"/>
        </w:rPr>
      </w:pPr>
      <w:r>
        <w:rPr>
          <w:rFonts w:hint="eastAsia"/>
          <w:spacing w:val="-6"/>
          <w:szCs w:val="22"/>
        </w:rPr>
        <w:t>从环境风险管理制度、环境风险防控与应急措施、环境应急资源、历史经验教训总结等几方面对现有环境风险防控与应急措施的完备性、可靠性和有效性进行分析论证，找出差距、问题，提出需要整改的短期、中期和长期项目内容。</w:t>
      </w:r>
    </w:p>
    <w:p w:rsidR="00B04AE3" w:rsidRDefault="00B04AE3">
      <w:pPr>
        <w:pStyle w:val="Heading2"/>
        <w:numPr>
          <w:ilvl w:val="1"/>
          <w:numId w:val="46"/>
        </w:numPr>
        <w:tabs>
          <w:tab w:val="left" w:pos="1357"/>
        </w:tabs>
        <w:spacing w:before="159"/>
        <w:ind w:hanging="559"/>
      </w:pPr>
      <w:bookmarkStart w:id="339" w:name="4.1_环境风险管理制度"/>
      <w:bookmarkStart w:id="340" w:name="_bookmark117"/>
      <w:bookmarkEnd w:id="339"/>
      <w:bookmarkEnd w:id="340"/>
      <w:r>
        <w:rPr>
          <w:rFonts w:hint="eastAsia"/>
        </w:rPr>
        <w:t>环境风险管理制度</w:t>
      </w:r>
    </w:p>
    <w:p w:rsidR="00B04AE3" w:rsidRDefault="00B04AE3">
      <w:pPr>
        <w:pStyle w:val="BodyText"/>
        <w:spacing w:line="364" w:lineRule="auto"/>
        <w:ind w:left="797" w:right="795" w:firstLine="480"/>
        <w:jc w:val="both"/>
        <w:rPr>
          <w:spacing w:val="-6"/>
          <w:szCs w:val="22"/>
        </w:rPr>
      </w:pPr>
      <w:r>
        <w:rPr>
          <w:rFonts w:hint="eastAsia"/>
          <w:spacing w:val="-6"/>
          <w:szCs w:val="22"/>
        </w:rPr>
        <w:t>⑴环境风险管理制度不完善。</w:t>
      </w:r>
    </w:p>
    <w:p w:rsidR="00B04AE3" w:rsidRDefault="00B04AE3">
      <w:pPr>
        <w:pStyle w:val="BodyText"/>
        <w:spacing w:line="364" w:lineRule="auto"/>
        <w:ind w:left="797" w:right="795" w:firstLine="480"/>
        <w:jc w:val="both"/>
        <w:rPr>
          <w:spacing w:val="-6"/>
          <w:szCs w:val="22"/>
        </w:rPr>
      </w:pPr>
      <w:r>
        <w:rPr>
          <w:rFonts w:hint="eastAsia"/>
          <w:spacing w:val="-6"/>
          <w:szCs w:val="22"/>
        </w:rPr>
        <w:t>现有环境管理制度主要是针对安全生产、消防等建立起来的，针对环境风险管理的制度欠缺，尚不能满足企业环境风险管理的需求，主要表现为：对自身环境风险问题认识不足，针对环境风险隐患排查治理、评估、监测、预警、信息报告等的相关制度缺失，缺少环境风险自我评估制度。</w:t>
      </w:r>
    </w:p>
    <w:p w:rsidR="00B04AE3" w:rsidRDefault="00B04AE3">
      <w:pPr>
        <w:pStyle w:val="BodyText"/>
        <w:spacing w:line="364" w:lineRule="auto"/>
        <w:ind w:left="797" w:right="795" w:firstLine="480"/>
        <w:jc w:val="both"/>
        <w:rPr>
          <w:spacing w:val="-6"/>
          <w:szCs w:val="22"/>
        </w:rPr>
      </w:pPr>
      <w:r>
        <w:rPr>
          <w:rFonts w:hint="eastAsia"/>
          <w:spacing w:val="-6"/>
          <w:szCs w:val="22"/>
        </w:rPr>
        <w:t>⑵缺乏有针对性的突发环境污染事故演练。已开展的应急演练多为消防或安全生产事故演练，有针对性的突发环境污染事故演练欠缺，特别是缺少与周边企业、居民的联合环境应急演练等问题。</w:t>
      </w:r>
    </w:p>
    <w:p w:rsidR="00B04AE3" w:rsidRDefault="00B04AE3">
      <w:pPr>
        <w:pStyle w:val="BodyText"/>
        <w:spacing w:line="364" w:lineRule="auto"/>
        <w:ind w:left="797" w:right="795" w:firstLine="480"/>
        <w:jc w:val="both"/>
        <w:rPr>
          <w:spacing w:val="-6"/>
          <w:szCs w:val="22"/>
        </w:rPr>
      </w:pPr>
      <w:r>
        <w:rPr>
          <w:rFonts w:hint="eastAsia"/>
          <w:spacing w:val="-6"/>
          <w:szCs w:val="22"/>
        </w:rPr>
        <w:t>⑶对员工开展环境风险和应急管理方面的宣传和培训力度不足。</w:t>
      </w:r>
    </w:p>
    <w:p w:rsidR="00B04AE3" w:rsidRDefault="00B04AE3">
      <w:pPr>
        <w:pStyle w:val="Heading2"/>
        <w:numPr>
          <w:ilvl w:val="1"/>
          <w:numId w:val="46"/>
        </w:numPr>
        <w:tabs>
          <w:tab w:val="left" w:pos="1357"/>
        </w:tabs>
        <w:ind w:hanging="559"/>
      </w:pPr>
      <w:bookmarkStart w:id="341" w:name="4.2_环境风险防控与应急措施"/>
      <w:bookmarkStart w:id="342" w:name="_bookmark118"/>
      <w:bookmarkEnd w:id="341"/>
      <w:bookmarkEnd w:id="342"/>
      <w:r>
        <w:rPr>
          <w:rFonts w:hint="eastAsia"/>
        </w:rPr>
        <w:t>环境风险防控与应急措施</w:t>
      </w:r>
    </w:p>
    <w:p w:rsidR="00B04AE3" w:rsidRDefault="00B04AE3">
      <w:pPr>
        <w:ind w:left="1277"/>
        <w:rPr>
          <w:b/>
          <w:sz w:val="24"/>
        </w:rPr>
      </w:pPr>
      <w:r>
        <w:rPr>
          <w:rFonts w:hint="eastAsia"/>
          <w:b/>
          <w:sz w:val="24"/>
        </w:rPr>
        <w:t>一、企业现有风险防控及应急措施</w:t>
      </w:r>
    </w:p>
    <w:p w:rsidR="00B04AE3" w:rsidRDefault="00B04AE3">
      <w:pPr>
        <w:pStyle w:val="BodyText"/>
        <w:spacing w:line="364" w:lineRule="auto"/>
        <w:ind w:left="797" w:right="795" w:firstLine="480"/>
        <w:jc w:val="both"/>
        <w:rPr>
          <w:spacing w:val="-6"/>
          <w:szCs w:val="22"/>
        </w:rPr>
      </w:pPr>
      <w:r>
        <w:rPr>
          <w:rFonts w:hint="eastAsia"/>
          <w:spacing w:val="-6"/>
          <w:szCs w:val="22"/>
        </w:rPr>
        <w:t>近年来，南昌海立电器有限公司在安全环保方面做了大量的工作，取得了显著的成效，建立了比较完善的生产安全管理体系。现有环境风险防控和应急措施情况见第二章节</w:t>
      </w:r>
      <w:r>
        <w:rPr>
          <w:spacing w:val="-6"/>
          <w:szCs w:val="22"/>
        </w:rPr>
        <w:t xml:space="preserve"> 2.8 </w:t>
      </w:r>
      <w:r>
        <w:rPr>
          <w:rFonts w:hint="eastAsia"/>
          <w:spacing w:val="-6"/>
          <w:szCs w:val="22"/>
        </w:rPr>
        <w:t>部分。</w:t>
      </w:r>
    </w:p>
    <w:p w:rsidR="00B04AE3" w:rsidRDefault="00B04AE3">
      <w:pPr>
        <w:spacing w:line="307" w:lineRule="exact"/>
        <w:ind w:left="1280"/>
        <w:rPr>
          <w:b/>
          <w:sz w:val="24"/>
        </w:rPr>
      </w:pPr>
      <w:r>
        <w:rPr>
          <w:rFonts w:hint="eastAsia"/>
          <w:b/>
          <w:sz w:val="24"/>
        </w:rPr>
        <w:t>二、企业需完善风险防控及应急措施</w:t>
      </w:r>
    </w:p>
    <w:p w:rsidR="00B04AE3" w:rsidRDefault="00B04AE3">
      <w:pPr>
        <w:pStyle w:val="BodyText"/>
        <w:spacing w:line="364" w:lineRule="auto"/>
        <w:ind w:left="797" w:right="795" w:firstLine="480"/>
        <w:jc w:val="both"/>
        <w:rPr>
          <w:spacing w:val="-6"/>
          <w:szCs w:val="22"/>
        </w:rPr>
      </w:pPr>
      <w:r>
        <w:rPr>
          <w:rFonts w:hint="eastAsia"/>
          <w:spacing w:val="-6"/>
          <w:szCs w:val="22"/>
        </w:rPr>
        <w:t>⑴全厂事故水导流系统不完善，三级防控体系不健全；应完善全厂导流系统，建立健全三级防控体系。</w:t>
      </w:r>
    </w:p>
    <w:p w:rsidR="00B04AE3" w:rsidRDefault="00B04AE3">
      <w:pPr>
        <w:pStyle w:val="BodyText"/>
        <w:spacing w:line="364" w:lineRule="auto"/>
        <w:ind w:left="797" w:right="795" w:firstLine="480"/>
        <w:jc w:val="both"/>
        <w:rPr>
          <w:spacing w:val="-6"/>
          <w:szCs w:val="22"/>
        </w:rPr>
      </w:pPr>
      <w:r>
        <w:rPr>
          <w:rFonts w:hint="eastAsia"/>
          <w:spacing w:val="-6"/>
          <w:szCs w:val="22"/>
        </w:rPr>
        <w:t>⑵雨水管网总排口应设置截止阀。</w:t>
      </w:r>
    </w:p>
    <w:p w:rsidR="00B04AE3" w:rsidRDefault="00B04AE3">
      <w:pPr>
        <w:pStyle w:val="BodyText"/>
        <w:spacing w:line="364" w:lineRule="auto"/>
        <w:ind w:left="797" w:right="795" w:firstLine="480"/>
        <w:jc w:val="both"/>
        <w:rPr>
          <w:spacing w:val="-6"/>
          <w:szCs w:val="22"/>
        </w:rPr>
      </w:pPr>
      <w:r>
        <w:rPr>
          <w:rFonts w:hint="eastAsia"/>
          <w:spacing w:val="-6"/>
          <w:szCs w:val="22"/>
        </w:rPr>
        <w:t>⑶危废库导流系统应与全厂事故池相连。</w:t>
      </w:r>
    </w:p>
    <w:p w:rsidR="00B04AE3" w:rsidRDefault="00B04AE3">
      <w:pPr>
        <w:pStyle w:val="BodyText"/>
        <w:spacing w:line="364" w:lineRule="auto"/>
        <w:ind w:left="797" w:right="795" w:firstLine="480"/>
        <w:jc w:val="both"/>
        <w:rPr>
          <w:spacing w:val="-6"/>
          <w:szCs w:val="22"/>
        </w:rPr>
      </w:pPr>
      <w:r>
        <w:rPr>
          <w:rFonts w:hint="eastAsia"/>
          <w:spacing w:val="-6"/>
          <w:szCs w:val="22"/>
        </w:rPr>
        <w:t>⑷管道气体、液体流向设置指示标志等，设置应急疏散路线标识。</w:t>
      </w:r>
    </w:p>
    <w:p w:rsidR="00B04AE3" w:rsidRDefault="00B04AE3">
      <w:pPr>
        <w:pStyle w:val="BodyText"/>
        <w:spacing w:line="364" w:lineRule="auto"/>
        <w:ind w:left="797" w:right="795" w:firstLine="480"/>
        <w:jc w:val="both"/>
        <w:rPr>
          <w:spacing w:val="-6"/>
          <w:szCs w:val="22"/>
        </w:rPr>
      </w:pPr>
      <w:r>
        <w:rPr>
          <w:rFonts w:hint="eastAsia"/>
          <w:spacing w:val="-6"/>
          <w:szCs w:val="22"/>
        </w:rPr>
        <w:t>⑸环境风险防范及应急所需的监测、预警等所需的基本装备及物资配备需进一步完善；针对公司罐区堵漏器材较少的问题，公司应尽快配备必要的堵漏密封器材，如：木条、橡胶塞等。</w:t>
      </w:r>
    </w:p>
    <w:p w:rsidR="00B04AE3" w:rsidRDefault="00B04AE3">
      <w:pPr>
        <w:pStyle w:val="BodyText"/>
        <w:spacing w:line="364" w:lineRule="auto"/>
        <w:ind w:left="797" w:right="795" w:firstLine="480"/>
        <w:jc w:val="both"/>
        <w:rPr>
          <w:spacing w:val="-6"/>
          <w:szCs w:val="22"/>
        </w:rPr>
      </w:pPr>
      <w:r>
        <w:rPr>
          <w:rFonts w:hint="eastAsia"/>
          <w:spacing w:val="-6"/>
          <w:szCs w:val="22"/>
        </w:rPr>
        <w:t>⑹补充环境应急物资。</w:t>
      </w:r>
    </w:p>
    <w:p w:rsidR="00B04AE3" w:rsidRDefault="00B04AE3">
      <w:pPr>
        <w:pStyle w:val="BodyText"/>
        <w:spacing w:line="364" w:lineRule="auto"/>
        <w:ind w:left="797" w:right="795" w:firstLine="480"/>
        <w:jc w:val="both"/>
        <w:rPr>
          <w:spacing w:val="-6"/>
          <w:szCs w:val="22"/>
        </w:rPr>
      </w:pPr>
      <w:r>
        <w:rPr>
          <w:rFonts w:hint="eastAsia"/>
          <w:spacing w:val="-6"/>
          <w:szCs w:val="22"/>
        </w:rPr>
        <w:t>⑺定期开展环境风险管理宣传和定期组织员工进行专题培训，形式有内部专家培训讲座及外部培训班等；向周边企业、村落提供本单位有关危险物质特性、应急措施、救援知识等，提醒周边公众紧急疏散事项；加强相关演习。</w:t>
      </w:r>
    </w:p>
    <w:p w:rsidR="00B04AE3" w:rsidRDefault="00B04AE3">
      <w:pPr>
        <w:pStyle w:val="BodyText"/>
        <w:spacing w:line="364" w:lineRule="auto"/>
        <w:ind w:left="797" w:right="795" w:firstLine="480"/>
        <w:jc w:val="both"/>
        <w:rPr>
          <w:spacing w:val="-6"/>
          <w:szCs w:val="22"/>
        </w:rPr>
      </w:pPr>
      <w:r>
        <w:rPr>
          <w:rFonts w:hint="eastAsia"/>
          <w:spacing w:val="-6"/>
          <w:szCs w:val="22"/>
        </w:rPr>
        <w:t>⑻环境风险防范及应急所需的监测、预警等所需的基本装备及物资配备需进一步完善；针对公司氨水罐区未配备堵漏器材问题。公司应尽快配备必要的堵漏密封器材，如：木条、橡胶塞等。</w:t>
      </w:r>
    </w:p>
    <w:p w:rsidR="00B04AE3" w:rsidRDefault="00B04AE3">
      <w:pPr>
        <w:pStyle w:val="BodyText"/>
        <w:spacing w:line="364" w:lineRule="auto"/>
        <w:ind w:left="797" w:right="795" w:firstLine="480"/>
        <w:jc w:val="both"/>
        <w:rPr>
          <w:spacing w:val="-6"/>
          <w:szCs w:val="22"/>
        </w:rPr>
      </w:pPr>
      <w:r>
        <w:rPr>
          <w:rFonts w:hint="eastAsia"/>
          <w:spacing w:val="-6"/>
          <w:szCs w:val="22"/>
        </w:rPr>
        <w:t>⑼按照环评中所涉及的危险物料性质配备相应的监测仪器，保证公司在发生事故后具备一定的自主监测能力；公司突发环境事件需要及时向南昌市经济技术开发区环保局寻求支援。</w:t>
      </w:r>
    </w:p>
    <w:p w:rsidR="00B04AE3" w:rsidRDefault="00B04AE3">
      <w:pPr>
        <w:pStyle w:val="Heading2"/>
        <w:numPr>
          <w:ilvl w:val="1"/>
          <w:numId w:val="46"/>
        </w:numPr>
        <w:tabs>
          <w:tab w:val="left" w:pos="1357"/>
        </w:tabs>
        <w:spacing w:before="165"/>
        <w:ind w:hanging="559"/>
      </w:pPr>
      <w:bookmarkStart w:id="343" w:name="4.3_环境应急资源"/>
      <w:bookmarkStart w:id="344" w:name="_bookmark119"/>
      <w:bookmarkEnd w:id="343"/>
      <w:bookmarkEnd w:id="344"/>
      <w:r>
        <w:rPr>
          <w:rFonts w:hint="eastAsia"/>
        </w:rPr>
        <w:t>环境应急资源</w:t>
      </w:r>
    </w:p>
    <w:p w:rsidR="00B04AE3" w:rsidRDefault="00B04AE3">
      <w:pPr>
        <w:pStyle w:val="BodyText"/>
        <w:spacing w:line="364" w:lineRule="auto"/>
        <w:ind w:left="797" w:right="675" w:firstLine="480"/>
        <w:jc w:val="both"/>
      </w:pPr>
      <w:r>
        <w:rPr>
          <w:rFonts w:hint="eastAsia"/>
        </w:rPr>
        <w:t>目前南昌海立电器有限公司已经基本建立起了包括环境污染应急预案在内的重特大事件应急预案体系，储备了基本应急物资，并设立了</w:t>
      </w:r>
      <w:r>
        <w:rPr>
          <w:rFonts w:ascii="Times New Roman" w:hAnsi="Times New Roman"/>
        </w:rPr>
        <w:t>“</w:t>
      </w:r>
      <w:r>
        <w:rPr>
          <w:rFonts w:hint="eastAsia"/>
        </w:rPr>
        <w:t>南昌海立电器有限公司环境污染事件应急救援指挥领导小组</w:t>
      </w:r>
      <w:r>
        <w:rPr>
          <w:rFonts w:ascii="Times New Roman" w:hAnsi="Times New Roman"/>
        </w:rPr>
        <w:t>”</w:t>
      </w:r>
      <w:r>
        <w:rPr>
          <w:rFonts w:hint="eastAsia"/>
        </w:rPr>
        <w:t>，指挥部设在安全环保部。</w:t>
      </w:r>
    </w:p>
    <w:p w:rsidR="00B04AE3" w:rsidRDefault="00B04AE3">
      <w:pPr>
        <w:pStyle w:val="BodyText"/>
        <w:spacing w:line="364" w:lineRule="auto"/>
        <w:ind w:left="797" w:right="706" w:firstLine="480"/>
      </w:pPr>
      <w:r>
        <w:rPr>
          <w:rFonts w:hint="eastAsia"/>
          <w:spacing w:val="-1"/>
        </w:rPr>
        <w:t>为保障应急需要，企业在各装置区适当部位设置应急器材，指定专人管理，</w:t>
      </w:r>
      <w:r>
        <w:rPr>
          <w:spacing w:val="-1"/>
        </w:rPr>
        <w:t xml:space="preserve"> </w:t>
      </w:r>
      <w:r>
        <w:rPr>
          <w:rFonts w:hint="eastAsia"/>
          <w:spacing w:val="-9"/>
        </w:rPr>
        <w:t>定期检查，确保应急物资种类、数量、性能、存放位置符合应急需要，在需要时及时获取并有效使用。企业的应急储备包括应急物资和应急装备。</w:t>
      </w:r>
    </w:p>
    <w:p w:rsidR="00B04AE3" w:rsidRDefault="00B04AE3">
      <w:pPr>
        <w:pStyle w:val="BodyText"/>
        <w:spacing w:line="364" w:lineRule="auto"/>
        <w:ind w:left="797" w:right="795" w:firstLine="480"/>
        <w:jc w:val="both"/>
      </w:pPr>
      <w:r>
        <w:rPr>
          <w:rFonts w:hint="eastAsia"/>
          <w:spacing w:val="-7"/>
        </w:rPr>
        <w:t>公司现有一定的环境应急资源，但仍需进一步补充完善。详见应急资源调查</w:t>
      </w:r>
      <w:r>
        <w:rPr>
          <w:rFonts w:hint="eastAsia"/>
        </w:rPr>
        <w:t>报告。</w:t>
      </w:r>
    </w:p>
    <w:p w:rsidR="00B04AE3" w:rsidRDefault="00B04AE3">
      <w:pPr>
        <w:pStyle w:val="Heading2"/>
        <w:numPr>
          <w:ilvl w:val="1"/>
          <w:numId w:val="46"/>
        </w:numPr>
        <w:tabs>
          <w:tab w:val="left" w:pos="1357"/>
        </w:tabs>
        <w:spacing w:before="157"/>
        <w:ind w:hanging="559"/>
      </w:pPr>
      <w:bookmarkStart w:id="345" w:name="4.4_历史经验总结教训"/>
      <w:bookmarkStart w:id="346" w:name="_bookmark120"/>
      <w:bookmarkEnd w:id="345"/>
      <w:bookmarkEnd w:id="346"/>
      <w:r>
        <w:rPr>
          <w:rFonts w:hint="eastAsia"/>
        </w:rPr>
        <w:t>历史经验总结教训</w:t>
      </w:r>
    </w:p>
    <w:p w:rsidR="00B04AE3" w:rsidRDefault="00B04AE3">
      <w:pPr>
        <w:pStyle w:val="BodyText"/>
        <w:spacing w:line="364" w:lineRule="auto"/>
        <w:ind w:left="797" w:right="675" w:firstLine="480"/>
        <w:jc w:val="both"/>
      </w:pPr>
      <w:r>
        <w:rPr>
          <w:rFonts w:hint="eastAsia"/>
        </w:rPr>
        <w:t>对前文收集的国内同类企业突发环境事件案例进行分析、总结，案例中企业生产装置区及储罐区泄漏、火灾、爆炸事故发生的主要原因有：高危操作单元监控措施不到位；使用违规、落后设备从事生产；员工违规违章操作。</w:t>
      </w:r>
    </w:p>
    <w:p w:rsidR="00B04AE3" w:rsidRDefault="00B04AE3">
      <w:pPr>
        <w:pStyle w:val="BodyText"/>
        <w:spacing w:line="364" w:lineRule="auto"/>
        <w:ind w:left="797" w:right="675" w:firstLine="480"/>
        <w:jc w:val="both"/>
      </w:pPr>
      <w:r>
        <w:rPr>
          <w:rFonts w:hint="eastAsia"/>
        </w:rPr>
        <w:t>本公司引以为戒、吸取历史经验教训，针对上述酿成事故的原因，采取了如下相应对策：</w:t>
      </w:r>
    </w:p>
    <w:p w:rsidR="00B04AE3" w:rsidRDefault="00B04AE3">
      <w:pPr>
        <w:pStyle w:val="BodyText"/>
        <w:spacing w:line="364" w:lineRule="auto"/>
        <w:ind w:left="797" w:right="675" w:firstLine="480"/>
        <w:jc w:val="both"/>
      </w:pPr>
      <w:r>
        <w:rPr>
          <w:rFonts w:hint="eastAsia"/>
        </w:rPr>
        <w:t>⑴强化环境安全责任主体的意识。企业要切实加强环境风险防范意识，平时加强环境安全隐患排查治理，将事故消除在萌芽状态。在发生安全生产事故后，应及时采取有效措施，严防泄漏物排入外环境。</w:t>
      </w:r>
    </w:p>
    <w:p w:rsidR="00B04AE3" w:rsidRDefault="00B04AE3">
      <w:pPr>
        <w:pStyle w:val="BodyText"/>
        <w:spacing w:line="364" w:lineRule="auto"/>
        <w:ind w:left="797" w:right="675" w:firstLine="480"/>
        <w:jc w:val="both"/>
      </w:pPr>
      <w:r>
        <w:rPr>
          <w:rFonts w:hint="eastAsia"/>
        </w:rPr>
        <w:t>⑵加强环境风险管理，提高应急管理水平。环境风险防范工作是预防突发环境事件发生的根本。企业应当开展经常性的风险隐患排查，在此基础上开展环境风险评估，根据评估结果有针对性的采取有效的环境风险防范措施。制订可操作性强的企业应急预案，及时上报与准确发布事故信息。企业应当加强厂区及厂界事故池与缓冲池、厂界雨污水排放口建设完善与监管，把厂界作为一个大围堰，防止极端情况下再次发生溢流出厂界污染情况发生。企业应当提高安全生产水平，从源头减少突发环境事件的发生概率。快速断源并切断环境风险传播途径是事件处置的关键所在，安全生产事故发生后，企业应当及时有效部署、快速阻断污染源，对总排口实施关闭、封堵等补救措施，避免事态进一步扩大。企业应当积极采取措施，加强对环境风险受体的防护，切实保护周边群众的大气环境安全。</w:t>
      </w:r>
    </w:p>
    <w:p w:rsidR="00B04AE3" w:rsidRDefault="00B04AE3">
      <w:pPr>
        <w:pStyle w:val="BodyText"/>
        <w:spacing w:line="364" w:lineRule="auto"/>
        <w:ind w:left="797" w:right="675" w:firstLine="480"/>
        <w:jc w:val="both"/>
      </w:pPr>
      <w:r>
        <w:rPr>
          <w:rFonts w:hint="eastAsia"/>
        </w:rPr>
        <w:t>⑶加强环境应急能力建设。企业应当加强有毒有害气体防泄漏的预警监测设施建设，早发现、早预警、早撤离，防止周边及企业职工中毒情况的发生。企业应当加强装置区泄漏物料收集、导流、储存等事故池、厂区与厂界事故拦截系统、事故池的建设。企业应当储备必要的环境应急物资和装备，经常性开展对员工环境安全培训，对环境应急预案进行有效演练，提高应急队伍应急水平。</w:t>
      </w:r>
    </w:p>
    <w:p w:rsidR="00B04AE3" w:rsidRDefault="00B04AE3">
      <w:pPr>
        <w:pStyle w:val="Heading2"/>
        <w:numPr>
          <w:ilvl w:val="1"/>
          <w:numId w:val="46"/>
        </w:numPr>
        <w:tabs>
          <w:tab w:val="left" w:pos="1357"/>
        </w:tabs>
        <w:spacing w:before="150"/>
        <w:ind w:hanging="559"/>
      </w:pPr>
      <w:bookmarkStart w:id="347" w:name="4.5_需要整改的短期、中期和长期项目内容"/>
      <w:bookmarkStart w:id="348" w:name="_bookmark121"/>
      <w:bookmarkEnd w:id="347"/>
      <w:bookmarkEnd w:id="348"/>
      <w:r>
        <w:rPr>
          <w:rFonts w:hint="eastAsia"/>
        </w:rPr>
        <w:t>需要整改的短期、中期和长期项目内容</w:t>
      </w:r>
    </w:p>
    <w:p w:rsidR="00B04AE3" w:rsidRDefault="00B04AE3">
      <w:pPr>
        <w:pStyle w:val="BodyText"/>
        <w:spacing w:line="364" w:lineRule="auto"/>
        <w:ind w:left="797" w:right="675" w:firstLine="480"/>
        <w:jc w:val="both"/>
      </w:pPr>
      <w:r>
        <w:rPr>
          <w:rFonts w:hint="eastAsia"/>
        </w:rPr>
        <w:t>针对上述排查的每一项差距和隐患，根据其危害性、紧迫性和治理时间的长短，提出需要完成整改的期限，分别按短期（</w:t>
      </w:r>
      <w:r>
        <w:t>3</w:t>
      </w:r>
      <w:r>
        <w:rPr>
          <w:rFonts w:hint="eastAsia"/>
        </w:rPr>
        <w:t>个月以内）、中期（</w:t>
      </w:r>
      <w:r>
        <w:t>3-6</w:t>
      </w:r>
      <w:r>
        <w:rPr>
          <w:rFonts w:hint="eastAsia"/>
        </w:rPr>
        <w:t>个月）和长期（</w:t>
      </w:r>
      <w:r>
        <w:t xml:space="preserve">6 </w:t>
      </w:r>
      <w:r>
        <w:rPr>
          <w:rFonts w:hint="eastAsia"/>
        </w:rPr>
        <w:t>个月以上）给出，如表</w:t>
      </w:r>
      <w:r>
        <w:t xml:space="preserve"> 4.5-1 </w:t>
      </w:r>
      <w:r>
        <w:rPr>
          <w:rFonts w:hint="eastAsia"/>
        </w:rPr>
        <w:t>所示：</w:t>
      </w:r>
    </w:p>
    <w:p w:rsidR="00B04AE3" w:rsidRDefault="00B04AE3">
      <w:pPr>
        <w:tabs>
          <w:tab w:val="left" w:pos="4267"/>
        </w:tabs>
        <w:spacing w:line="307" w:lineRule="exact"/>
        <w:ind w:left="3238"/>
        <w:rPr>
          <w:b/>
          <w:sz w:val="24"/>
        </w:rPr>
      </w:pPr>
      <w:r>
        <w:rPr>
          <w:rFonts w:hint="eastAsia"/>
          <w:b/>
          <w:sz w:val="24"/>
        </w:rPr>
        <w:t>表</w:t>
      </w:r>
      <w:r>
        <w:rPr>
          <w:b/>
          <w:spacing w:val="-64"/>
          <w:sz w:val="24"/>
        </w:rPr>
        <w:t xml:space="preserve"> </w:t>
      </w:r>
      <w:r>
        <w:rPr>
          <w:rFonts w:ascii="Times New Roman" w:eastAsia="Times New Roman"/>
          <w:b/>
          <w:sz w:val="24"/>
        </w:rPr>
        <w:t>4.5-1</w:t>
      </w:r>
      <w:r>
        <w:rPr>
          <w:rFonts w:ascii="Times New Roman" w:eastAsia="Times New Roman"/>
          <w:b/>
          <w:sz w:val="24"/>
        </w:rPr>
        <w:tab/>
      </w:r>
      <w:r>
        <w:rPr>
          <w:rFonts w:hint="eastAsia"/>
          <w:b/>
          <w:sz w:val="24"/>
        </w:rPr>
        <w:t>存在问题及整改内容和期限</w:t>
      </w:r>
    </w:p>
    <w:tbl>
      <w:tblPr>
        <w:tblW w:w="8528" w:type="dxa"/>
        <w:tblInd w:w="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742"/>
        <w:gridCol w:w="2067"/>
        <w:gridCol w:w="4141"/>
        <w:gridCol w:w="1578"/>
      </w:tblGrid>
      <w:tr w:rsidR="00B04AE3">
        <w:trPr>
          <w:trHeight w:val="397"/>
        </w:trPr>
        <w:tc>
          <w:tcPr>
            <w:tcW w:w="742" w:type="dxa"/>
            <w:shd w:val="clear" w:color="auto" w:fill="DFDFDF"/>
          </w:tcPr>
          <w:p w:rsidR="00B04AE3" w:rsidRDefault="00B04AE3">
            <w:pPr>
              <w:pStyle w:val="TableParagraph"/>
              <w:spacing w:before="62"/>
              <w:ind w:left="140" w:right="130"/>
              <w:rPr>
                <w:b/>
                <w:sz w:val="21"/>
              </w:rPr>
            </w:pPr>
            <w:r>
              <w:rPr>
                <w:rFonts w:hint="eastAsia"/>
                <w:b/>
                <w:sz w:val="21"/>
              </w:rPr>
              <w:t>序号</w:t>
            </w:r>
          </w:p>
        </w:tc>
        <w:tc>
          <w:tcPr>
            <w:tcW w:w="2067" w:type="dxa"/>
            <w:shd w:val="clear" w:color="auto" w:fill="DFDFDF"/>
          </w:tcPr>
          <w:p w:rsidR="00B04AE3" w:rsidRDefault="00B04AE3">
            <w:pPr>
              <w:pStyle w:val="TableParagraph"/>
              <w:spacing w:before="62"/>
              <w:ind w:left="77" w:right="61"/>
              <w:rPr>
                <w:b/>
                <w:sz w:val="21"/>
              </w:rPr>
            </w:pPr>
            <w:r>
              <w:rPr>
                <w:rFonts w:hint="eastAsia"/>
                <w:b/>
                <w:sz w:val="21"/>
              </w:rPr>
              <w:t>存在的问题</w:t>
            </w:r>
          </w:p>
        </w:tc>
        <w:tc>
          <w:tcPr>
            <w:tcW w:w="4141" w:type="dxa"/>
            <w:shd w:val="clear" w:color="auto" w:fill="DFDFDF"/>
          </w:tcPr>
          <w:p w:rsidR="00B04AE3" w:rsidRDefault="00B04AE3">
            <w:pPr>
              <w:pStyle w:val="TableParagraph"/>
              <w:spacing w:before="62"/>
              <w:ind w:left="54" w:right="39"/>
              <w:rPr>
                <w:b/>
                <w:sz w:val="21"/>
              </w:rPr>
            </w:pPr>
            <w:r>
              <w:rPr>
                <w:rFonts w:hint="eastAsia"/>
                <w:b/>
                <w:sz w:val="21"/>
              </w:rPr>
              <w:t>整改的内容</w:t>
            </w:r>
          </w:p>
        </w:tc>
        <w:tc>
          <w:tcPr>
            <w:tcW w:w="1578" w:type="dxa"/>
            <w:shd w:val="clear" w:color="auto" w:fill="DFDFDF"/>
          </w:tcPr>
          <w:p w:rsidR="00B04AE3" w:rsidRDefault="00B04AE3">
            <w:pPr>
              <w:pStyle w:val="TableParagraph"/>
              <w:spacing w:before="62"/>
              <w:ind w:left="171"/>
              <w:jc w:val="left"/>
              <w:rPr>
                <w:b/>
                <w:sz w:val="21"/>
              </w:rPr>
            </w:pPr>
            <w:r>
              <w:rPr>
                <w:rFonts w:hint="eastAsia"/>
                <w:b/>
                <w:sz w:val="21"/>
              </w:rPr>
              <w:t>整改完成期限</w:t>
            </w:r>
          </w:p>
        </w:tc>
      </w:tr>
      <w:tr w:rsidR="00B04AE3">
        <w:trPr>
          <w:trHeight w:val="1907"/>
        </w:trPr>
        <w:tc>
          <w:tcPr>
            <w:tcW w:w="742" w:type="dxa"/>
          </w:tcPr>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r>
              <w:rPr>
                <w:spacing w:val="-5"/>
                <w:sz w:val="21"/>
              </w:rPr>
              <w:t>1</w:t>
            </w:r>
          </w:p>
        </w:tc>
        <w:tc>
          <w:tcPr>
            <w:tcW w:w="2067" w:type="dxa"/>
          </w:tcPr>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r>
              <w:rPr>
                <w:rFonts w:hint="eastAsia"/>
                <w:spacing w:val="-5"/>
                <w:sz w:val="21"/>
              </w:rPr>
              <w:t>全厂导流沟应完善，</w:t>
            </w:r>
            <w:r>
              <w:rPr>
                <w:spacing w:val="-5"/>
                <w:sz w:val="21"/>
              </w:rPr>
              <w:t xml:space="preserve"> </w:t>
            </w:r>
            <w:r>
              <w:rPr>
                <w:rFonts w:hint="eastAsia"/>
                <w:spacing w:val="-5"/>
                <w:sz w:val="21"/>
              </w:rPr>
              <w:t>三级防控措施未建立健全</w:t>
            </w:r>
          </w:p>
        </w:tc>
        <w:tc>
          <w:tcPr>
            <w:tcW w:w="4141" w:type="dxa"/>
          </w:tcPr>
          <w:p w:rsidR="00B04AE3" w:rsidRDefault="00B04AE3">
            <w:pPr>
              <w:pStyle w:val="TableParagraph"/>
              <w:spacing w:line="242" w:lineRule="auto"/>
              <w:ind w:left="107" w:right="32"/>
              <w:jc w:val="left"/>
              <w:rPr>
                <w:spacing w:val="-5"/>
                <w:sz w:val="21"/>
              </w:rPr>
            </w:pPr>
            <w:r>
              <w:rPr>
                <w:rFonts w:hint="eastAsia"/>
                <w:spacing w:val="-5"/>
                <w:sz w:val="21"/>
              </w:rPr>
              <w:t>完善全厂导流沟等，保证事故废水能够自流进入。按照要求应建立健全三级防控体系，</w:t>
            </w:r>
            <w:r>
              <w:rPr>
                <w:spacing w:val="-5"/>
                <w:sz w:val="21"/>
              </w:rPr>
              <w:t xml:space="preserve"> </w:t>
            </w:r>
            <w:r>
              <w:rPr>
                <w:rFonts w:hint="eastAsia"/>
                <w:spacing w:val="-5"/>
                <w:sz w:val="21"/>
              </w:rPr>
              <w:t>实现雨污分流，并将厂区初期雨水、消防废水及泄漏事故废水进行收集。因此公司应围绕生产区及物料贮存区设置导流沟槽，建设规范的事故池，对事故水进行收集，并满足</w:t>
            </w:r>
          </w:p>
          <w:p w:rsidR="00B04AE3" w:rsidRDefault="00B04AE3">
            <w:pPr>
              <w:pStyle w:val="TableParagraph"/>
              <w:spacing w:line="242" w:lineRule="auto"/>
              <w:ind w:left="107" w:right="32"/>
              <w:jc w:val="left"/>
              <w:rPr>
                <w:spacing w:val="-5"/>
                <w:sz w:val="21"/>
              </w:rPr>
            </w:pPr>
            <w:r>
              <w:rPr>
                <w:rFonts w:hint="eastAsia"/>
                <w:spacing w:val="-5"/>
                <w:sz w:val="21"/>
              </w:rPr>
              <w:t>储水要求；设立雨水总排口及截断措施</w:t>
            </w:r>
          </w:p>
        </w:tc>
        <w:tc>
          <w:tcPr>
            <w:tcW w:w="1578" w:type="dxa"/>
            <w:vMerge w:val="restart"/>
          </w:tcPr>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r>
              <w:rPr>
                <w:rFonts w:hint="eastAsia"/>
                <w:spacing w:val="-5"/>
                <w:sz w:val="21"/>
              </w:rPr>
              <w:t>短期</w:t>
            </w:r>
          </w:p>
          <w:p w:rsidR="00B04AE3" w:rsidRDefault="00B04AE3">
            <w:pPr>
              <w:pStyle w:val="TableParagraph"/>
              <w:spacing w:line="242" w:lineRule="auto"/>
              <w:ind w:left="107" w:right="32"/>
              <w:jc w:val="left"/>
              <w:rPr>
                <w:spacing w:val="-5"/>
                <w:sz w:val="21"/>
              </w:rPr>
            </w:pPr>
            <w:r>
              <w:rPr>
                <w:rFonts w:hint="eastAsia"/>
                <w:spacing w:val="-5"/>
                <w:sz w:val="21"/>
              </w:rPr>
              <w:t>（</w:t>
            </w:r>
            <w:r>
              <w:rPr>
                <w:spacing w:val="-5"/>
                <w:sz w:val="21"/>
              </w:rPr>
              <w:t>3</w:t>
            </w:r>
            <w:r>
              <w:rPr>
                <w:rFonts w:hint="eastAsia"/>
                <w:spacing w:val="-5"/>
                <w:sz w:val="21"/>
              </w:rPr>
              <w:t>个月以内）</w:t>
            </w:r>
          </w:p>
        </w:tc>
      </w:tr>
      <w:tr w:rsidR="00B04AE3">
        <w:trPr>
          <w:trHeight w:val="544"/>
        </w:trPr>
        <w:tc>
          <w:tcPr>
            <w:tcW w:w="742" w:type="dxa"/>
          </w:tcPr>
          <w:p w:rsidR="00B04AE3" w:rsidRDefault="00B04AE3">
            <w:pPr>
              <w:pStyle w:val="TableParagraph"/>
              <w:spacing w:line="242" w:lineRule="auto"/>
              <w:ind w:left="107" w:right="32"/>
              <w:jc w:val="left"/>
              <w:rPr>
                <w:spacing w:val="-5"/>
                <w:sz w:val="21"/>
              </w:rPr>
            </w:pPr>
            <w:r>
              <w:rPr>
                <w:spacing w:val="-5"/>
                <w:sz w:val="21"/>
              </w:rPr>
              <w:t>2</w:t>
            </w:r>
          </w:p>
        </w:tc>
        <w:tc>
          <w:tcPr>
            <w:tcW w:w="2067" w:type="dxa"/>
          </w:tcPr>
          <w:p w:rsidR="00B04AE3" w:rsidRDefault="00B04AE3">
            <w:pPr>
              <w:pStyle w:val="TableParagraph"/>
              <w:spacing w:line="242" w:lineRule="auto"/>
              <w:ind w:left="107" w:right="32"/>
              <w:jc w:val="left"/>
              <w:rPr>
                <w:spacing w:val="-5"/>
                <w:sz w:val="21"/>
              </w:rPr>
            </w:pPr>
            <w:r>
              <w:rPr>
                <w:rFonts w:hint="eastAsia"/>
                <w:spacing w:val="-5"/>
                <w:sz w:val="21"/>
              </w:rPr>
              <w:t>雨水管网总排口未</w:t>
            </w:r>
          </w:p>
          <w:p w:rsidR="00B04AE3" w:rsidRDefault="00B04AE3">
            <w:pPr>
              <w:pStyle w:val="TableParagraph"/>
              <w:spacing w:line="242" w:lineRule="auto"/>
              <w:ind w:left="107" w:right="32"/>
              <w:jc w:val="left"/>
              <w:rPr>
                <w:spacing w:val="-5"/>
                <w:sz w:val="21"/>
              </w:rPr>
            </w:pPr>
            <w:r>
              <w:rPr>
                <w:rFonts w:hint="eastAsia"/>
                <w:spacing w:val="-5"/>
                <w:sz w:val="21"/>
              </w:rPr>
              <w:t>设置截止阀</w:t>
            </w:r>
          </w:p>
        </w:tc>
        <w:tc>
          <w:tcPr>
            <w:tcW w:w="4141" w:type="dxa"/>
          </w:tcPr>
          <w:p w:rsidR="00B04AE3" w:rsidRDefault="00B04AE3">
            <w:pPr>
              <w:pStyle w:val="TableParagraph"/>
              <w:spacing w:line="242" w:lineRule="auto"/>
              <w:ind w:left="107" w:right="32"/>
              <w:jc w:val="left"/>
              <w:rPr>
                <w:spacing w:val="-5"/>
                <w:sz w:val="21"/>
              </w:rPr>
            </w:pPr>
            <w:r>
              <w:rPr>
                <w:rFonts w:hint="eastAsia"/>
                <w:spacing w:val="-5"/>
                <w:sz w:val="21"/>
              </w:rPr>
              <w:t>雨水管网总排口应设置截止阀</w:t>
            </w:r>
          </w:p>
        </w:tc>
        <w:tc>
          <w:tcPr>
            <w:tcW w:w="1578" w:type="dxa"/>
            <w:vMerge/>
          </w:tcPr>
          <w:p w:rsidR="00B04AE3" w:rsidRDefault="00B04AE3">
            <w:pPr>
              <w:pStyle w:val="TableParagraph"/>
              <w:spacing w:line="242" w:lineRule="auto"/>
              <w:ind w:left="107" w:right="32"/>
              <w:jc w:val="left"/>
              <w:rPr>
                <w:spacing w:val="-5"/>
                <w:sz w:val="21"/>
              </w:rPr>
            </w:pPr>
          </w:p>
        </w:tc>
      </w:tr>
      <w:tr w:rsidR="00B04AE3">
        <w:trPr>
          <w:trHeight w:val="395"/>
        </w:trPr>
        <w:tc>
          <w:tcPr>
            <w:tcW w:w="742" w:type="dxa"/>
          </w:tcPr>
          <w:p w:rsidR="00B04AE3" w:rsidRDefault="00B04AE3">
            <w:pPr>
              <w:pStyle w:val="TableParagraph"/>
              <w:spacing w:line="242" w:lineRule="auto"/>
              <w:ind w:left="107" w:right="32"/>
              <w:jc w:val="left"/>
              <w:rPr>
                <w:spacing w:val="-5"/>
                <w:sz w:val="21"/>
              </w:rPr>
            </w:pPr>
            <w:r>
              <w:rPr>
                <w:spacing w:val="-5"/>
                <w:sz w:val="21"/>
              </w:rPr>
              <w:t>3</w:t>
            </w:r>
          </w:p>
        </w:tc>
        <w:tc>
          <w:tcPr>
            <w:tcW w:w="2067" w:type="dxa"/>
          </w:tcPr>
          <w:p w:rsidR="00B04AE3" w:rsidRDefault="00B04AE3">
            <w:pPr>
              <w:pStyle w:val="TableParagraph"/>
              <w:spacing w:line="242" w:lineRule="auto"/>
              <w:ind w:left="107" w:right="32"/>
              <w:jc w:val="left"/>
              <w:rPr>
                <w:spacing w:val="-5"/>
                <w:sz w:val="21"/>
              </w:rPr>
            </w:pPr>
            <w:r>
              <w:rPr>
                <w:rFonts w:hint="eastAsia"/>
                <w:spacing w:val="-5"/>
                <w:sz w:val="21"/>
              </w:rPr>
              <w:t>危废库导流系统与</w:t>
            </w:r>
          </w:p>
          <w:p w:rsidR="00B04AE3" w:rsidRDefault="00B04AE3">
            <w:pPr>
              <w:pStyle w:val="TableParagraph"/>
              <w:spacing w:line="242" w:lineRule="auto"/>
              <w:ind w:left="107" w:right="32"/>
              <w:jc w:val="left"/>
              <w:rPr>
                <w:spacing w:val="-5"/>
                <w:sz w:val="21"/>
              </w:rPr>
            </w:pPr>
            <w:r>
              <w:rPr>
                <w:rFonts w:hint="eastAsia"/>
                <w:spacing w:val="-5"/>
                <w:sz w:val="21"/>
              </w:rPr>
              <w:t>事故池设置不完善</w:t>
            </w:r>
          </w:p>
        </w:tc>
        <w:tc>
          <w:tcPr>
            <w:tcW w:w="4141" w:type="dxa"/>
          </w:tcPr>
          <w:p w:rsidR="00B04AE3" w:rsidRDefault="00B04AE3">
            <w:pPr>
              <w:pStyle w:val="TableParagraph"/>
              <w:spacing w:line="242" w:lineRule="auto"/>
              <w:ind w:left="107" w:right="32"/>
              <w:jc w:val="left"/>
              <w:rPr>
                <w:spacing w:val="-5"/>
                <w:sz w:val="21"/>
              </w:rPr>
            </w:pPr>
            <w:r>
              <w:rPr>
                <w:rFonts w:hint="eastAsia"/>
                <w:spacing w:val="-5"/>
                <w:sz w:val="21"/>
              </w:rPr>
              <w:t>设置分区和围堰，建立导流沟与全厂事故池</w:t>
            </w:r>
          </w:p>
          <w:p w:rsidR="00B04AE3" w:rsidRDefault="00B04AE3">
            <w:pPr>
              <w:pStyle w:val="TableParagraph"/>
              <w:spacing w:line="242" w:lineRule="auto"/>
              <w:ind w:left="107" w:right="32"/>
              <w:jc w:val="left"/>
              <w:rPr>
                <w:spacing w:val="-5"/>
                <w:sz w:val="21"/>
              </w:rPr>
            </w:pPr>
            <w:r>
              <w:rPr>
                <w:rFonts w:hint="eastAsia"/>
                <w:spacing w:val="-5"/>
                <w:sz w:val="21"/>
              </w:rPr>
              <w:t>相连</w:t>
            </w:r>
          </w:p>
        </w:tc>
        <w:tc>
          <w:tcPr>
            <w:tcW w:w="1578" w:type="dxa"/>
            <w:vMerge/>
          </w:tcPr>
          <w:p w:rsidR="00B04AE3" w:rsidRDefault="00B04AE3">
            <w:pPr>
              <w:pStyle w:val="TableParagraph"/>
              <w:spacing w:line="242" w:lineRule="auto"/>
              <w:ind w:left="107" w:right="32"/>
              <w:jc w:val="left"/>
              <w:rPr>
                <w:spacing w:val="-5"/>
                <w:sz w:val="21"/>
              </w:rPr>
            </w:pPr>
          </w:p>
        </w:tc>
      </w:tr>
      <w:tr w:rsidR="00B04AE3">
        <w:trPr>
          <w:trHeight w:val="545"/>
        </w:trPr>
        <w:tc>
          <w:tcPr>
            <w:tcW w:w="742" w:type="dxa"/>
          </w:tcPr>
          <w:p w:rsidR="00B04AE3" w:rsidRDefault="00B04AE3">
            <w:pPr>
              <w:pStyle w:val="TableParagraph"/>
              <w:spacing w:line="242" w:lineRule="auto"/>
              <w:ind w:left="107" w:right="32"/>
              <w:jc w:val="left"/>
              <w:rPr>
                <w:spacing w:val="-5"/>
                <w:sz w:val="21"/>
              </w:rPr>
            </w:pPr>
            <w:r>
              <w:rPr>
                <w:spacing w:val="-5"/>
                <w:sz w:val="21"/>
              </w:rPr>
              <w:t>4</w:t>
            </w:r>
          </w:p>
        </w:tc>
        <w:tc>
          <w:tcPr>
            <w:tcW w:w="2067" w:type="dxa"/>
          </w:tcPr>
          <w:p w:rsidR="00B04AE3" w:rsidRDefault="00B04AE3">
            <w:pPr>
              <w:pStyle w:val="TableParagraph"/>
              <w:spacing w:line="242" w:lineRule="auto"/>
              <w:ind w:left="107" w:right="32"/>
              <w:jc w:val="left"/>
              <w:rPr>
                <w:spacing w:val="-5"/>
                <w:sz w:val="21"/>
              </w:rPr>
            </w:pPr>
            <w:r>
              <w:rPr>
                <w:rFonts w:hint="eastAsia"/>
                <w:spacing w:val="-5"/>
                <w:sz w:val="21"/>
              </w:rPr>
              <w:t>厂区内应急标识不</w:t>
            </w:r>
          </w:p>
          <w:p w:rsidR="00B04AE3" w:rsidRDefault="00B04AE3">
            <w:pPr>
              <w:pStyle w:val="TableParagraph"/>
              <w:spacing w:line="242" w:lineRule="auto"/>
              <w:ind w:left="107" w:right="32"/>
              <w:jc w:val="left"/>
              <w:rPr>
                <w:spacing w:val="-5"/>
                <w:sz w:val="21"/>
              </w:rPr>
            </w:pPr>
            <w:r>
              <w:rPr>
                <w:rFonts w:hint="eastAsia"/>
                <w:spacing w:val="-5"/>
                <w:sz w:val="21"/>
              </w:rPr>
              <w:t>完善</w:t>
            </w:r>
          </w:p>
        </w:tc>
        <w:tc>
          <w:tcPr>
            <w:tcW w:w="4141" w:type="dxa"/>
          </w:tcPr>
          <w:p w:rsidR="00B04AE3" w:rsidRDefault="00B04AE3">
            <w:pPr>
              <w:pStyle w:val="TableParagraph"/>
              <w:spacing w:line="242" w:lineRule="auto"/>
              <w:ind w:left="107" w:right="32"/>
              <w:jc w:val="left"/>
              <w:rPr>
                <w:spacing w:val="-5"/>
                <w:sz w:val="21"/>
              </w:rPr>
            </w:pPr>
            <w:r>
              <w:rPr>
                <w:rFonts w:hint="eastAsia"/>
                <w:spacing w:val="-5"/>
                <w:sz w:val="21"/>
              </w:rPr>
              <w:t>管道气体、液体流向设置指示标志等，设置</w:t>
            </w:r>
          </w:p>
          <w:p w:rsidR="00B04AE3" w:rsidRDefault="00B04AE3">
            <w:pPr>
              <w:pStyle w:val="TableParagraph"/>
              <w:spacing w:line="242" w:lineRule="auto"/>
              <w:ind w:left="107" w:right="32"/>
              <w:jc w:val="left"/>
              <w:rPr>
                <w:spacing w:val="-5"/>
                <w:sz w:val="21"/>
              </w:rPr>
            </w:pPr>
            <w:r>
              <w:rPr>
                <w:rFonts w:hint="eastAsia"/>
                <w:spacing w:val="-5"/>
                <w:sz w:val="21"/>
              </w:rPr>
              <w:t>应急疏散路线标识</w:t>
            </w:r>
          </w:p>
        </w:tc>
        <w:tc>
          <w:tcPr>
            <w:tcW w:w="1578" w:type="dxa"/>
            <w:vMerge/>
          </w:tcPr>
          <w:p w:rsidR="00B04AE3" w:rsidRDefault="00B04AE3">
            <w:pPr>
              <w:pStyle w:val="TableParagraph"/>
              <w:spacing w:line="242" w:lineRule="auto"/>
              <w:ind w:left="107" w:right="32"/>
              <w:jc w:val="left"/>
              <w:rPr>
                <w:spacing w:val="-5"/>
                <w:sz w:val="21"/>
              </w:rPr>
            </w:pPr>
          </w:p>
        </w:tc>
      </w:tr>
      <w:tr w:rsidR="00B04AE3">
        <w:trPr>
          <w:trHeight w:val="396"/>
        </w:trPr>
        <w:tc>
          <w:tcPr>
            <w:tcW w:w="742" w:type="dxa"/>
          </w:tcPr>
          <w:p w:rsidR="00B04AE3" w:rsidRDefault="00B04AE3">
            <w:pPr>
              <w:pStyle w:val="TableParagraph"/>
              <w:spacing w:line="242" w:lineRule="auto"/>
              <w:ind w:left="107" w:right="32"/>
              <w:jc w:val="left"/>
              <w:rPr>
                <w:spacing w:val="-5"/>
                <w:sz w:val="21"/>
              </w:rPr>
            </w:pPr>
            <w:r>
              <w:rPr>
                <w:spacing w:val="-5"/>
                <w:sz w:val="21"/>
              </w:rPr>
              <w:t>5</w:t>
            </w:r>
          </w:p>
        </w:tc>
        <w:tc>
          <w:tcPr>
            <w:tcW w:w="2067" w:type="dxa"/>
          </w:tcPr>
          <w:p w:rsidR="00B04AE3" w:rsidRDefault="00B04AE3">
            <w:pPr>
              <w:pStyle w:val="TableParagraph"/>
              <w:spacing w:line="242" w:lineRule="auto"/>
              <w:ind w:left="107" w:right="32"/>
              <w:jc w:val="left"/>
              <w:rPr>
                <w:spacing w:val="-5"/>
                <w:sz w:val="21"/>
              </w:rPr>
            </w:pPr>
            <w:r>
              <w:rPr>
                <w:rFonts w:hint="eastAsia"/>
                <w:spacing w:val="-5"/>
                <w:sz w:val="21"/>
              </w:rPr>
              <w:t>现有应急物资不足</w:t>
            </w:r>
          </w:p>
        </w:tc>
        <w:tc>
          <w:tcPr>
            <w:tcW w:w="4141" w:type="dxa"/>
          </w:tcPr>
          <w:p w:rsidR="00B04AE3" w:rsidRDefault="00B04AE3">
            <w:pPr>
              <w:pStyle w:val="TableParagraph"/>
              <w:spacing w:line="242" w:lineRule="auto"/>
              <w:ind w:left="107" w:right="32"/>
              <w:jc w:val="left"/>
              <w:rPr>
                <w:spacing w:val="-5"/>
                <w:sz w:val="21"/>
              </w:rPr>
            </w:pPr>
            <w:r>
              <w:rPr>
                <w:rFonts w:hint="eastAsia"/>
                <w:spacing w:val="-5"/>
                <w:sz w:val="21"/>
              </w:rPr>
              <w:t>补充环境应急物资</w:t>
            </w:r>
          </w:p>
        </w:tc>
        <w:tc>
          <w:tcPr>
            <w:tcW w:w="1578" w:type="dxa"/>
            <w:vMerge/>
          </w:tcPr>
          <w:p w:rsidR="00B04AE3" w:rsidRDefault="00B04AE3">
            <w:pPr>
              <w:pStyle w:val="TableParagraph"/>
              <w:spacing w:line="242" w:lineRule="auto"/>
              <w:ind w:left="107" w:right="32"/>
              <w:jc w:val="left"/>
              <w:rPr>
                <w:spacing w:val="-5"/>
                <w:sz w:val="21"/>
              </w:rPr>
            </w:pPr>
          </w:p>
        </w:tc>
      </w:tr>
      <w:tr w:rsidR="00B04AE3">
        <w:trPr>
          <w:trHeight w:val="1361"/>
        </w:trPr>
        <w:tc>
          <w:tcPr>
            <w:tcW w:w="742" w:type="dxa"/>
          </w:tcPr>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r>
              <w:rPr>
                <w:spacing w:val="-5"/>
                <w:sz w:val="21"/>
              </w:rPr>
              <w:t>6</w:t>
            </w:r>
          </w:p>
        </w:tc>
        <w:tc>
          <w:tcPr>
            <w:tcW w:w="2067" w:type="dxa"/>
          </w:tcPr>
          <w:p w:rsidR="00B04AE3" w:rsidRDefault="00B04AE3">
            <w:pPr>
              <w:pStyle w:val="TableParagraph"/>
              <w:spacing w:line="242" w:lineRule="auto"/>
              <w:ind w:left="107" w:right="32"/>
              <w:jc w:val="left"/>
              <w:rPr>
                <w:spacing w:val="-5"/>
                <w:sz w:val="21"/>
              </w:rPr>
            </w:pPr>
            <w:r>
              <w:rPr>
                <w:rFonts w:hint="eastAsia"/>
                <w:spacing w:val="-5"/>
                <w:sz w:val="21"/>
              </w:rPr>
              <w:t>环境风险防范及应</w:t>
            </w:r>
            <w:r>
              <w:rPr>
                <w:spacing w:val="-5"/>
                <w:sz w:val="21"/>
              </w:rPr>
              <w:t xml:space="preserve"> </w:t>
            </w:r>
            <w:r>
              <w:rPr>
                <w:rFonts w:hint="eastAsia"/>
                <w:spacing w:val="-5"/>
                <w:sz w:val="21"/>
              </w:rPr>
              <w:t>急所需的监测、预警等基本装备及物资配备不完善</w:t>
            </w:r>
          </w:p>
        </w:tc>
        <w:tc>
          <w:tcPr>
            <w:tcW w:w="4141" w:type="dxa"/>
          </w:tcPr>
          <w:p w:rsidR="00B04AE3" w:rsidRDefault="00B04AE3">
            <w:pPr>
              <w:pStyle w:val="TableParagraph"/>
              <w:spacing w:line="242" w:lineRule="auto"/>
              <w:ind w:left="107" w:right="32"/>
              <w:jc w:val="left"/>
              <w:rPr>
                <w:spacing w:val="-5"/>
                <w:sz w:val="21"/>
              </w:rPr>
            </w:pPr>
            <w:r>
              <w:rPr>
                <w:rFonts w:hint="eastAsia"/>
                <w:spacing w:val="-5"/>
                <w:sz w:val="21"/>
              </w:rPr>
              <w:t>环境风险防范及应急所需的监测、预警等所</w:t>
            </w:r>
            <w:r>
              <w:rPr>
                <w:spacing w:val="-5"/>
                <w:sz w:val="21"/>
              </w:rPr>
              <w:t xml:space="preserve"> </w:t>
            </w:r>
            <w:r>
              <w:rPr>
                <w:rFonts w:hint="eastAsia"/>
                <w:spacing w:val="-5"/>
                <w:sz w:val="21"/>
              </w:rPr>
              <w:t>需的基本装备及物资配备需进一步完善；针</w:t>
            </w:r>
            <w:r>
              <w:rPr>
                <w:spacing w:val="-5"/>
                <w:sz w:val="21"/>
              </w:rPr>
              <w:t xml:space="preserve"> </w:t>
            </w:r>
            <w:r>
              <w:rPr>
                <w:rFonts w:hint="eastAsia"/>
                <w:spacing w:val="-5"/>
                <w:sz w:val="21"/>
              </w:rPr>
              <w:t>对公司罐区堵漏器材较少的问题。公司应尽</w:t>
            </w:r>
            <w:r>
              <w:rPr>
                <w:spacing w:val="-5"/>
                <w:sz w:val="21"/>
              </w:rPr>
              <w:t xml:space="preserve"> </w:t>
            </w:r>
            <w:r>
              <w:rPr>
                <w:rFonts w:hint="eastAsia"/>
                <w:spacing w:val="-5"/>
                <w:sz w:val="21"/>
              </w:rPr>
              <w:t>快配备必要的堵漏密封器材，如：木条、橡</w:t>
            </w:r>
          </w:p>
          <w:p w:rsidR="00B04AE3" w:rsidRDefault="00B04AE3">
            <w:pPr>
              <w:pStyle w:val="TableParagraph"/>
              <w:spacing w:line="242" w:lineRule="auto"/>
              <w:ind w:left="107" w:right="32"/>
              <w:jc w:val="left"/>
              <w:rPr>
                <w:spacing w:val="-5"/>
                <w:sz w:val="21"/>
              </w:rPr>
            </w:pPr>
            <w:r>
              <w:rPr>
                <w:rFonts w:hint="eastAsia"/>
                <w:spacing w:val="-5"/>
                <w:sz w:val="21"/>
              </w:rPr>
              <w:t>胶塞等。</w:t>
            </w:r>
          </w:p>
        </w:tc>
        <w:tc>
          <w:tcPr>
            <w:tcW w:w="1578" w:type="dxa"/>
          </w:tcPr>
          <w:p w:rsidR="00B04AE3" w:rsidRDefault="00B04AE3">
            <w:pPr>
              <w:pStyle w:val="TableParagraph"/>
              <w:spacing w:line="242" w:lineRule="auto"/>
              <w:ind w:left="107" w:right="32"/>
              <w:jc w:val="left"/>
              <w:rPr>
                <w:spacing w:val="-5"/>
                <w:sz w:val="21"/>
              </w:rPr>
            </w:pPr>
          </w:p>
          <w:p w:rsidR="00B04AE3" w:rsidRDefault="00B04AE3">
            <w:pPr>
              <w:pStyle w:val="TableParagraph"/>
              <w:spacing w:line="242" w:lineRule="auto"/>
              <w:ind w:left="107" w:right="32"/>
              <w:jc w:val="left"/>
              <w:rPr>
                <w:spacing w:val="-5"/>
                <w:sz w:val="21"/>
              </w:rPr>
            </w:pPr>
            <w:r>
              <w:rPr>
                <w:rFonts w:hint="eastAsia"/>
                <w:spacing w:val="-5"/>
                <w:sz w:val="21"/>
              </w:rPr>
              <w:t>中期</w:t>
            </w:r>
          </w:p>
          <w:p w:rsidR="00B04AE3" w:rsidRDefault="00B04AE3">
            <w:pPr>
              <w:pStyle w:val="TableParagraph"/>
              <w:spacing w:line="242" w:lineRule="auto"/>
              <w:ind w:left="107" w:right="32"/>
              <w:jc w:val="left"/>
              <w:rPr>
                <w:spacing w:val="-5"/>
                <w:sz w:val="21"/>
              </w:rPr>
            </w:pPr>
            <w:r>
              <w:rPr>
                <w:rFonts w:hint="eastAsia"/>
                <w:spacing w:val="-5"/>
                <w:sz w:val="21"/>
              </w:rPr>
              <w:t>（</w:t>
            </w:r>
            <w:r>
              <w:rPr>
                <w:spacing w:val="-5"/>
                <w:sz w:val="21"/>
              </w:rPr>
              <w:t xml:space="preserve">3-6 </w:t>
            </w:r>
            <w:r>
              <w:rPr>
                <w:rFonts w:hint="eastAsia"/>
                <w:spacing w:val="-5"/>
                <w:sz w:val="21"/>
              </w:rPr>
              <w:t>个月）</w:t>
            </w:r>
          </w:p>
        </w:tc>
      </w:tr>
      <w:tr w:rsidR="00B04AE3">
        <w:trPr>
          <w:trHeight w:val="1505"/>
        </w:trPr>
        <w:tc>
          <w:tcPr>
            <w:tcW w:w="742" w:type="dxa"/>
          </w:tcPr>
          <w:p w:rsidR="00B04AE3" w:rsidRDefault="00B04AE3">
            <w:pPr>
              <w:pStyle w:val="TableParagraph"/>
              <w:spacing w:line="242" w:lineRule="auto"/>
              <w:ind w:left="107" w:right="32"/>
              <w:jc w:val="left"/>
              <w:rPr>
                <w:spacing w:val="-5"/>
                <w:sz w:val="21"/>
              </w:rPr>
            </w:pPr>
            <w:r>
              <w:rPr>
                <w:spacing w:val="-5"/>
                <w:sz w:val="21"/>
              </w:rPr>
              <w:t>7</w:t>
            </w:r>
          </w:p>
        </w:tc>
        <w:tc>
          <w:tcPr>
            <w:tcW w:w="2067" w:type="dxa"/>
          </w:tcPr>
          <w:p w:rsidR="00B04AE3" w:rsidRDefault="00B04AE3">
            <w:pPr>
              <w:pStyle w:val="TableParagraph"/>
              <w:spacing w:line="242" w:lineRule="auto"/>
              <w:ind w:left="107" w:right="32"/>
              <w:jc w:val="left"/>
              <w:rPr>
                <w:spacing w:val="-5"/>
                <w:sz w:val="21"/>
              </w:rPr>
            </w:pPr>
            <w:r>
              <w:rPr>
                <w:rFonts w:hint="eastAsia"/>
                <w:spacing w:val="-5"/>
                <w:sz w:val="21"/>
              </w:rPr>
              <w:t>与周边可能受废气</w:t>
            </w:r>
          </w:p>
          <w:p w:rsidR="00B04AE3" w:rsidRDefault="00B04AE3">
            <w:pPr>
              <w:pStyle w:val="TableParagraph"/>
              <w:spacing w:line="242" w:lineRule="auto"/>
              <w:ind w:left="107" w:right="32"/>
              <w:jc w:val="left"/>
              <w:rPr>
                <w:spacing w:val="-5"/>
                <w:sz w:val="21"/>
              </w:rPr>
            </w:pPr>
            <w:r>
              <w:rPr>
                <w:rFonts w:hint="eastAsia"/>
                <w:spacing w:val="-5"/>
                <w:sz w:val="21"/>
              </w:rPr>
              <w:t>非正常排放影响范</w:t>
            </w:r>
          </w:p>
          <w:p w:rsidR="00B04AE3" w:rsidRDefault="00B04AE3">
            <w:pPr>
              <w:pStyle w:val="TableParagraph"/>
              <w:spacing w:line="242" w:lineRule="auto"/>
              <w:ind w:left="107" w:right="32"/>
              <w:jc w:val="left"/>
              <w:rPr>
                <w:spacing w:val="-5"/>
                <w:sz w:val="21"/>
              </w:rPr>
            </w:pPr>
            <w:r>
              <w:rPr>
                <w:rFonts w:hint="eastAsia"/>
                <w:spacing w:val="-5"/>
                <w:sz w:val="21"/>
              </w:rPr>
              <w:t>围的人群的沟通机</w:t>
            </w:r>
          </w:p>
          <w:p w:rsidR="00B04AE3" w:rsidRDefault="00B04AE3">
            <w:pPr>
              <w:pStyle w:val="TableParagraph"/>
              <w:spacing w:line="242" w:lineRule="auto"/>
              <w:ind w:left="107" w:right="32"/>
              <w:jc w:val="left"/>
              <w:rPr>
                <w:spacing w:val="-5"/>
                <w:sz w:val="21"/>
              </w:rPr>
            </w:pPr>
            <w:r>
              <w:rPr>
                <w:rFonts w:hint="eastAsia"/>
                <w:spacing w:val="-5"/>
                <w:sz w:val="21"/>
              </w:rPr>
              <w:t>制不完善，相关演习不足</w:t>
            </w:r>
          </w:p>
        </w:tc>
        <w:tc>
          <w:tcPr>
            <w:tcW w:w="4141" w:type="dxa"/>
          </w:tcPr>
          <w:p w:rsidR="00B04AE3" w:rsidRDefault="00B04AE3">
            <w:pPr>
              <w:pStyle w:val="TableParagraph"/>
              <w:spacing w:line="242" w:lineRule="auto"/>
              <w:ind w:left="107" w:right="32"/>
              <w:jc w:val="left"/>
              <w:rPr>
                <w:spacing w:val="-5"/>
                <w:sz w:val="21"/>
              </w:rPr>
            </w:pPr>
            <w:r>
              <w:rPr>
                <w:rFonts w:hint="eastAsia"/>
                <w:spacing w:val="-5"/>
                <w:sz w:val="21"/>
              </w:rPr>
              <w:t>定期开展环境风险管理宣传和定期组织员工进行专题培训，形式有内部专家培训讲座</w:t>
            </w:r>
            <w:r>
              <w:rPr>
                <w:spacing w:val="-5"/>
                <w:sz w:val="21"/>
              </w:rPr>
              <w:t xml:space="preserve"> </w:t>
            </w:r>
            <w:r>
              <w:rPr>
                <w:rFonts w:hint="eastAsia"/>
                <w:spacing w:val="-5"/>
                <w:sz w:val="21"/>
              </w:rPr>
              <w:t>及外部培训班等；向周边企业、村落提供本</w:t>
            </w:r>
            <w:r>
              <w:rPr>
                <w:spacing w:val="-5"/>
                <w:sz w:val="21"/>
              </w:rPr>
              <w:t xml:space="preserve"> </w:t>
            </w:r>
            <w:r>
              <w:rPr>
                <w:rFonts w:hint="eastAsia"/>
                <w:spacing w:val="-5"/>
                <w:sz w:val="21"/>
              </w:rPr>
              <w:t>单位有关危险物质特性、应急措施、救援知</w:t>
            </w:r>
          </w:p>
          <w:p w:rsidR="00B04AE3" w:rsidRDefault="00B04AE3">
            <w:pPr>
              <w:pStyle w:val="TableParagraph"/>
              <w:spacing w:line="242" w:lineRule="auto"/>
              <w:ind w:left="107" w:right="32"/>
              <w:jc w:val="left"/>
              <w:rPr>
                <w:spacing w:val="-5"/>
                <w:sz w:val="21"/>
              </w:rPr>
            </w:pPr>
            <w:r>
              <w:rPr>
                <w:rFonts w:hint="eastAsia"/>
                <w:spacing w:val="-5"/>
                <w:sz w:val="21"/>
              </w:rPr>
              <w:t>识等，提醒周边公众紧急疏散事项；加强相关演习。</w:t>
            </w:r>
          </w:p>
        </w:tc>
        <w:tc>
          <w:tcPr>
            <w:tcW w:w="1578" w:type="dxa"/>
            <w:vMerge w:val="restart"/>
          </w:tcPr>
          <w:p w:rsidR="00B04AE3" w:rsidRDefault="00B04AE3">
            <w:pPr>
              <w:pStyle w:val="TableParagraph"/>
              <w:spacing w:line="242" w:lineRule="auto"/>
              <w:ind w:left="107" w:right="32"/>
              <w:jc w:val="left"/>
              <w:rPr>
                <w:spacing w:val="-5"/>
                <w:sz w:val="21"/>
              </w:rPr>
            </w:pPr>
            <w:r>
              <w:rPr>
                <w:rFonts w:hint="eastAsia"/>
                <w:spacing w:val="-5"/>
                <w:sz w:val="21"/>
              </w:rPr>
              <w:t>长期</w:t>
            </w:r>
          </w:p>
          <w:p w:rsidR="00B04AE3" w:rsidRDefault="00B04AE3">
            <w:pPr>
              <w:pStyle w:val="TableParagraph"/>
              <w:spacing w:line="242" w:lineRule="auto"/>
              <w:ind w:left="107" w:right="32"/>
              <w:jc w:val="left"/>
              <w:rPr>
                <w:spacing w:val="-5"/>
                <w:sz w:val="21"/>
              </w:rPr>
            </w:pPr>
            <w:r>
              <w:rPr>
                <w:rFonts w:hint="eastAsia"/>
                <w:spacing w:val="-5"/>
                <w:sz w:val="21"/>
              </w:rPr>
              <w:t>（</w:t>
            </w:r>
            <w:r>
              <w:rPr>
                <w:spacing w:val="-5"/>
                <w:sz w:val="21"/>
              </w:rPr>
              <w:t xml:space="preserve">6 </w:t>
            </w:r>
            <w:r>
              <w:rPr>
                <w:rFonts w:hint="eastAsia"/>
                <w:spacing w:val="-5"/>
                <w:sz w:val="21"/>
              </w:rPr>
              <w:t>个月以上）</w:t>
            </w:r>
          </w:p>
        </w:tc>
      </w:tr>
      <w:tr w:rsidR="00B04AE3">
        <w:trPr>
          <w:trHeight w:val="272"/>
        </w:trPr>
        <w:tc>
          <w:tcPr>
            <w:tcW w:w="742" w:type="dxa"/>
            <w:vMerge w:val="restart"/>
          </w:tcPr>
          <w:p w:rsidR="00B04AE3" w:rsidRDefault="00B04AE3">
            <w:pPr>
              <w:pStyle w:val="TableParagraph"/>
              <w:spacing w:line="242" w:lineRule="auto"/>
              <w:ind w:left="107" w:right="32"/>
              <w:jc w:val="left"/>
              <w:rPr>
                <w:spacing w:val="-5"/>
                <w:sz w:val="21"/>
              </w:rPr>
            </w:pPr>
            <w:r>
              <w:rPr>
                <w:spacing w:val="-5"/>
                <w:sz w:val="21"/>
              </w:rPr>
              <w:t>8</w:t>
            </w:r>
          </w:p>
        </w:tc>
        <w:tc>
          <w:tcPr>
            <w:tcW w:w="2067" w:type="dxa"/>
            <w:vMerge w:val="restart"/>
          </w:tcPr>
          <w:p w:rsidR="00B04AE3" w:rsidRDefault="00B04AE3">
            <w:pPr>
              <w:pStyle w:val="TableParagraph"/>
              <w:spacing w:line="242" w:lineRule="auto"/>
              <w:ind w:left="107" w:right="32"/>
              <w:jc w:val="left"/>
              <w:rPr>
                <w:spacing w:val="-5"/>
                <w:sz w:val="21"/>
              </w:rPr>
            </w:pPr>
            <w:r>
              <w:rPr>
                <w:rFonts w:hint="eastAsia"/>
                <w:spacing w:val="-5"/>
                <w:sz w:val="21"/>
              </w:rPr>
              <w:t>公司尚不具备应急</w:t>
            </w:r>
          </w:p>
          <w:p w:rsidR="00B04AE3" w:rsidRDefault="00B04AE3">
            <w:pPr>
              <w:pStyle w:val="TableParagraph"/>
              <w:spacing w:line="242" w:lineRule="auto"/>
              <w:ind w:left="107" w:right="32"/>
              <w:jc w:val="left"/>
              <w:rPr>
                <w:spacing w:val="-5"/>
                <w:sz w:val="21"/>
              </w:rPr>
            </w:pPr>
            <w:r>
              <w:rPr>
                <w:rFonts w:hint="eastAsia"/>
                <w:spacing w:val="-5"/>
                <w:sz w:val="21"/>
              </w:rPr>
              <w:t>监测的能力</w:t>
            </w:r>
          </w:p>
        </w:tc>
        <w:tc>
          <w:tcPr>
            <w:tcW w:w="4141" w:type="dxa"/>
            <w:tcBorders>
              <w:bottom w:val="nil"/>
            </w:tcBorders>
          </w:tcPr>
          <w:p w:rsidR="00B04AE3" w:rsidRDefault="00B04AE3">
            <w:pPr>
              <w:pStyle w:val="TableParagraph"/>
              <w:spacing w:line="242" w:lineRule="auto"/>
              <w:ind w:left="107" w:right="32"/>
              <w:jc w:val="left"/>
              <w:rPr>
                <w:spacing w:val="-5"/>
                <w:sz w:val="21"/>
              </w:rPr>
            </w:pPr>
            <w:r>
              <w:rPr>
                <w:rFonts w:hint="eastAsia"/>
                <w:spacing w:val="-5"/>
                <w:sz w:val="21"/>
              </w:rPr>
              <w:t>按照环评中所涉及的危险物料性质配备相</w:t>
            </w:r>
          </w:p>
        </w:tc>
        <w:tc>
          <w:tcPr>
            <w:tcW w:w="1578" w:type="dxa"/>
            <w:vMerge/>
          </w:tcPr>
          <w:p w:rsidR="00B04AE3" w:rsidRDefault="00B04AE3">
            <w:pPr>
              <w:pStyle w:val="TableParagraph"/>
              <w:spacing w:line="242" w:lineRule="auto"/>
              <w:ind w:left="107" w:right="32"/>
              <w:jc w:val="left"/>
              <w:rPr>
                <w:spacing w:val="-5"/>
                <w:sz w:val="21"/>
              </w:rPr>
            </w:pPr>
          </w:p>
        </w:tc>
      </w:tr>
      <w:tr w:rsidR="00B04AE3">
        <w:trPr>
          <w:trHeight w:val="937"/>
        </w:trPr>
        <w:tc>
          <w:tcPr>
            <w:tcW w:w="742" w:type="dxa"/>
            <w:vMerge/>
          </w:tcPr>
          <w:p w:rsidR="00B04AE3" w:rsidRDefault="00B04AE3">
            <w:pPr>
              <w:pStyle w:val="TableParagraph"/>
              <w:spacing w:line="242" w:lineRule="auto"/>
              <w:ind w:left="107" w:right="32"/>
              <w:jc w:val="left"/>
              <w:rPr>
                <w:spacing w:val="-5"/>
                <w:sz w:val="21"/>
              </w:rPr>
            </w:pPr>
          </w:p>
        </w:tc>
        <w:tc>
          <w:tcPr>
            <w:tcW w:w="2067" w:type="dxa"/>
            <w:vMerge/>
          </w:tcPr>
          <w:p w:rsidR="00B04AE3" w:rsidRDefault="00B04AE3">
            <w:pPr>
              <w:pStyle w:val="TableParagraph"/>
              <w:spacing w:line="242" w:lineRule="auto"/>
              <w:ind w:left="107" w:right="32"/>
              <w:jc w:val="left"/>
              <w:rPr>
                <w:spacing w:val="-5"/>
                <w:sz w:val="21"/>
              </w:rPr>
            </w:pPr>
          </w:p>
        </w:tc>
        <w:tc>
          <w:tcPr>
            <w:tcW w:w="4141" w:type="dxa"/>
            <w:tcBorders>
              <w:top w:val="nil"/>
            </w:tcBorders>
          </w:tcPr>
          <w:p w:rsidR="00B04AE3" w:rsidRDefault="00B04AE3">
            <w:pPr>
              <w:pStyle w:val="TableParagraph"/>
              <w:spacing w:line="242" w:lineRule="auto"/>
              <w:ind w:left="107" w:right="32"/>
              <w:jc w:val="left"/>
              <w:rPr>
                <w:spacing w:val="-5"/>
                <w:sz w:val="21"/>
              </w:rPr>
            </w:pPr>
            <w:r>
              <w:rPr>
                <w:rFonts w:hint="eastAsia"/>
                <w:spacing w:val="-5"/>
                <w:sz w:val="21"/>
              </w:rPr>
              <w:t>应的监测仪器，保证公司在发生事故后具备</w:t>
            </w:r>
          </w:p>
          <w:p w:rsidR="00B04AE3" w:rsidRDefault="00B04AE3">
            <w:pPr>
              <w:pStyle w:val="TableParagraph"/>
              <w:spacing w:line="242" w:lineRule="auto"/>
              <w:ind w:left="107" w:right="32"/>
              <w:jc w:val="left"/>
              <w:rPr>
                <w:spacing w:val="-5"/>
                <w:sz w:val="21"/>
              </w:rPr>
            </w:pPr>
            <w:r>
              <w:rPr>
                <w:rFonts w:hint="eastAsia"/>
                <w:spacing w:val="-5"/>
                <w:sz w:val="21"/>
              </w:rPr>
              <w:t>一定的自主监测能力；公司突发环境事件需</w:t>
            </w:r>
          </w:p>
          <w:p w:rsidR="00B04AE3" w:rsidRDefault="00B04AE3">
            <w:pPr>
              <w:pStyle w:val="TableParagraph"/>
              <w:spacing w:line="242" w:lineRule="auto"/>
              <w:ind w:left="107" w:right="32"/>
              <w:jc w:val="left"/>
              <w:rPr>
                <w:spacing w:val="-5"/>
                <w:sz w:val="21"/>
              </w:rPr>
            </w:pPr>
            <w:r>
              <w:rPr>
                <w:rFonts w:hint="eastAsia"/>
                <w:spacing w:val="-5"/>
                <w:sz w:val="21"/>
              </w:rPr>
              <w:t>要及时向南昌市经济技术开发区环保局寻求支援。</w:t>
            </w:r>
          </w:p>
        </w:tc>
        <w:tc>
          <w:tcPr>
            <w:tcW w:w="1578" w:type="dxa"/>
            <w:vMerge/>
          </w:tcPr>
          <w:p w:rsidR="00B04AE3" w:rsidRDefault="00B04AE3">
            <w:pPr>
              <w:pStyle w:val="TableParagraph"/>
              <w:spacing w:line="242" w:lineRule="auto"/>
              <w:ind w:left="107" w:right="32"/>
              <w:jc w:val="left"/>
              <w:rPr>
                <w:spacing w:val="-5"/>
                <w:sz w:val="21"/>
              </w:rPr>
            </w:pPr>
          </w:p>
        </w:tc>
      </w:tr>
    </w:tbl>
    <w:p w:rsidR="00B04AE3" w:rsidRDefault="00B04AE3">
      <w:pPr>
        <w:tabs>
          <w:tab w:val="left" w:pos="3787"/>
        </w:tabs>
        <w:spacing w:before="74" w:after="3"/>
        <w:ind w:left="2758"/>
        <w:rPr>
          <w:b/>
          <w:sz w:val="24"/>
        </w:rPr>
      </w:pPr>
      <w:r>
        <w:rPr>
          <w:rFonts w:hint="eastAsia"/>
          <w:b/>
          <w:sz w:val="24"/>
        </w:rPr>
        <w:t>表</w:t>
      </w:r>
      <w:r>
        <w:rPr>
          <w:b/>
          <w:spacing w:val="-64"/>
          <w:sz w:val="24"/>
        </w:rPr>
        <w:t xml:space="preserve"> </w:t>
      </w:r>
      <w:r>
        <w:rPr>
          <w:rFonts w:ascii="Times New Roman" w:eastAsia="Times New Roman"/>
          <w:b/>
          <w:sz w:val="24"/>
        </w:rPr>
        <w:t>5.5-2</w:t>
      </w:r>
      <w:r>
        <w:rPr>
          <w:rFonts w:ascii="Times New Roman" w:eastAsia="Times New Roman"/>
          <w:b/>
          <w:sz w:val="24"/>
        </w:rPr>
        <w:tab/>
      </w:r>
      <w:r>
        <w:rPr>
          <w:rFonts w:hint="eastAsia"/>
          <w:b/>
          <w:sz w:val="24"/>
        </w:rPr>
        <w:t>需补充、完善应急物资及装备明细表</w:t>
      </w:r>
    </w:p>
    <w:tbl>
      <w:tblPr>
        <w:tblW w:w="104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49"/>
        <w:gridCol w:w="1127"/>
        <w:gridCol w:w="985"/>
        <w:gridCol w:w="1127"/>
        <w:gridCol w:w="2002"/>
        <w:gridCol w:w="1439"/>
        <w:gridCol w:w="1691"/>
      </w:tblGrid>
      <w:tr w:rsidR="00B04AE3">
        <w:trPr>
          <w:trHeight w:val="467"/>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名称</w:t>
            </w:r>
          </w:p>
        </w:tc>
        <w:tc>
          <w:tcPr>
            <w:tcW w:w="1127"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规格</w:t>
            </w:r>
          </w:p>
        </w:tc>
        <w:tc>
          <w:tcPr>
            <w:tcW w:w="985" w:type="dxa"/>
            <w:vAlign w:val="center"/>
          </w:tcPr>
          <w:p w:rsidR="00B04AE3" w:rsidRDefault="00B04AE3">
            <w:pPr>
              <w:tabs>
                <w:tab w:val="left" w:pos="1410"/>
                <w:tab w:val="center" w:pos="5040"/>
              </w:tabs>
              <w:snapToGrid w:val="0"/>
              <w:contextualSpacing/>
              <w:jc w:val="center"/>
              <w:rPr>
                <w:bCs/>
                <w:sz w:val="21"/>
                <w:szCs w:val="21"/>
              </w:rPr>
            </w:pPr>
            <w:r>
              <w:rPr>
                <w:rFonts w:hint="eastAsia"/>
                <w:bCs/>
                <w:sz w:val="21"/>
                <w:szCs w:val="21"/>
              </w:rPr>
              <w:t>单位</w:t>
            </w:r>
          </w:p>
        </w:tc>
        <w:tc>
          <w:tcPr>
            <w:tcW w:w="1127" w:type="dxa"/>
            <w:vAlign w:val="center"/>
          </w:tcPr>
          <w:p w:rsidR="00B04AE3" w:rsidRDefault="00B04AE3">
            <w:pPr>
              <w:tabs>
                <w:tab w:val="left" w:pos="1410"/>
                <w:tab w:val="center" w:pos="5040"/>
              </w:tabs>
              <w:jc w:val="center"/>
              <w:rPr>
                <w:bCs/>
                <w:sz w:val="21"/>
                <w:szCs w:val="21"/>
              </w:rPr>
            </w:pPr>
            <w:r>
              <w:rPr>
                <w:rFonts w:hint="eastAsia"/>
                <w:bCs/>
                <w:sz w:val="21"/>
                <w:szCs w:val="21"/>
              </w:rPr>
              <w:t>数量</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储存分布地点</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保管人</w:t>
            </w:r>
          </w:p>
        </w:tc>
        <w:tc>
          <w:tcPr>
            <w:tcW w:w="1691"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联系电话</w:t>
            </w:r>
          </w:p>
        </w:tc>
      </w:tr>
      <w:tr w:rsidR="00B04AE3">
        <w:trPr>
          <w:trHeight w:val="411"/>
          <w:jc w:val="center"/>
        </w:trPr>
        <w:tc>
          <w:tcPr>
            <w:tcW w:w="2049" w:type="dxa"/>
            <w:vAlign w:val="center"/>
          </w:tcPr>
          <w:p w:rsidR="00B04AE3" w:rsidRDefault="00B04AE3">
            <w:pPr>
              <w:tabs>
                <w:tab w:val="left" w:pos="1410"/>
                <w:tab w:val="center" w:pos="5040"/>
              </w:tabs>
              <w:jc w:val="center"/>
              <w:rPr>
                <w:bCs/>
                <w:sz w:val="21"/>
                <w:szCs w:val="21"/>
              </w:rPr>
            </w:pPr>
            <w:r>
              <w:rPr>
                <w:rFonts w:hint="eastAsia"/>
                <w:bCs/>
                <w:sz w:val="21"/>
                <w:szCs w:val="21"/>
              </w:rPr>
              <w:t>安全帽</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3M</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65</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现场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龚贵彬</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13576134568</w:t>
            </w:r>
          </w:p>
        </w:tc>
      </w:tr>
      <w:tr w:rsidR="00B04AE3">
        <w:trPr>
          <w:trHeight w:val="600"/>
          <w:jc w:val="center"/>
        </w:trPr>
        <w:tc>
          <w:tcPr>
            <w:tcW w:w="2049" w:type="dxa"/>
            <w:vAlign w:val="center"/>
          </w:tcPr>
          <w:p w:rsidR="00B04AE3" w:rsidRDefault="00B04AE3">
            <w:pPr>
              <w:tabs>
                <w:tab w:val="left" w:pos="1410"/>
                <w:tab w:val="center" w:pos="5040"/>
              </w:tabs>
              <w:jc w:val="center"/>
              <w:rPr>
                <w:bCs/>
                <w:sz w:val="21"/>
                <w:szCs w:val="21"/>
              </w:rPr>
            </w:pPr>
            <w:r>
              <w:rPr>
                <w:rFonts w:hint="eastAsia"/>
                <w:bCs/>
                <w:sz w:val="21"/>
                <w:szCs w:val="21"/>
              </w:rPr>
              <w:t>耐酸碱手套、靴</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3M</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套</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12</w:t>
            </w:r>
          </w:p>
        </w:tc>
        <w:tc>
          <w:tcPr>
            <w:tcW w:w="2002" w:type="dxa"/>
            <w:vAlign w:val="center"/>
          </w:tcPr>
          <w:p w:rsidR="00B04AE3" w:rsidRDefault="00B04AE3">
            <w:pPr>
              <w:tabs>
                <w:tab w:val="left" w:pos="1410"/>
                <w:tab w:val="center" w:pos="5040"/>
              </w:tabs>
              <w:jc w:val="center"/>
              <w:rPr>
                <w:bCs/>
                <w:sz w:val="21"/>
                <w:szCs w:val="21"/>
              </w:rPr>
            </w:pPr>
            <w:r>
              <w:rPr>
                <w:rFonts w:hint="eastAsia"/>
                <w:bCs/>
                <w:sz w:val="21"/>
                <w:szCs w:val="21"/>
              </w:rPr>
              <w:t>门岗</w:t>
            </w:r>
            <w:r>
              <w:rPr>
                <w:bCs/>
                <w:sz w:val="21"/>
                <w:szCs w:val="21"/>
              </w:rPr>
              <w:t>/</w:t>
            </w:r>
            <w:r>
              <w:rPr>
                <w:rFonts w:hint="eastAsia"/>
                <w:bCs/>
                <w:sz w:val="21"/>
                <w:szCs w:val="21"/>
              </w:rPr>
              <w:t>现场</w:t>
            </w:r>
          </w:p>
        </w:tc>
        <w:tc>
          <w:tcPr>
            <w:tcW w:w="1439" w:type="dxa"/>
            <w:vAlign w:val="center"/>
          </w:tcPr>
          <w:p w:rsidR="00B04AE3" w:rsidRDefault="00B04AE3">
            <w:pPr>
              <w:tabs>
                <w:tab w:val="left" w:pos="1410"/>
                <w:tab w:val="center" w:pos="5040"/>
              </w:tabs>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jc w:val="center"/>
              <w:rPr>
                <w:bCs/>
                <w:sz w:val="21"/>
                <w:szCs w:val="21"/>
              </w:rPr>
            </w:pPr>
            <w:r>
              <w:rPr>
                <w:sz w:val="21"/>
                <w:szCs w:val="21"/>
              </w:rPr>
              <w:t>13755774497</w:t>
            </w:r>
          </w:p>
        </w:tc>
      </w:tr>
      <w:tr w:rsidR="00B04AE3">
        <w:trPr>
          <w:trHeight w:val="600"/>
          <w:jc w:val="center"/>
        </w:trPr>
        <w:tc>
          <w:tcPr>
            <w:tcW w:w="2049" w:type="dxa"/>
            <w:vAlign w:val="center"/>
          </w:tcPr>
          <w:p w:rsidR="00B04AE3" w:rsidRDefault="00B04AE3">
            <w:pPr>
              <w:tabs>
                <w:tab w:val="left" w:pos="1410"/>
                <w:tab w:val="center" w:pos="5040"/>
              </w:tabs>
              <w:jc w:val="center"/>
              <w:rPr>
                <w:bCs/>
                <w:sz w:val="21"/>
                <w:szCs w:val="21"/>
              </w:rPr>
            </w:pPr>
            <w:r>
              <w:rPr>
                <w:rFonts w:hint="eastAsia"/>
                <w:bCs/>
                <w:sz w:val="21"/>
                <w:szCs w:val="21"/>
              </w:rPr>
              <w:t>防腐蚀液护目镜</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3M</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副</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20</w:t>
            </w:r>
          </w:p>
        </w:tc>
        <w:tc>
          <w:tcPr>
            <w:tcW w:w="2002" w:type="dxa"/>
            <w:vAlign w:val="center"/>
          </w:tcPr>
          <w:p w:rsidR="00B04AE3" w:rsidRDefault="00B04AE3">
            <w:pPr>
              <w:tabs>
                <w:tab w:val="left" w:pos="1410"/>
                <w:tab w:val="center" w:pos="5040"/>
              </w:tabs>
              <w:jc w:val="center"/>
              <w:rPr>
                <w:bCs/>
                <w:sz w:val="21"/>
                <w:szCs w:val="21"/>
              </w:rPr>
            </w:pPr>
            <w:r>
              <w:rPr>
                <w:rFonts w:hint="eastAsia"/>
                <w:bCs/>
                <w:sz w:val="21"/>
                <w:szCs w:val="21"/>
              </w:rPr>
              <w:t>现场</w:t>
            </w:r>
          </w:p>
        </w:tc>
        <w:tc>
          <w:tcPr>
            <w:tcW w:w="1439" w:type="dxa"/>
            <w:vAlign w:val="center"/>
          </w:tcPr>
          <w:p w:rsidR="00B04AE3" w:rsidRDefault="00B04AE3">
            <w:pPr>
              <w:tabs>
                <w:tab w:val="left" w:pos="1410"/>
                <w:tab w:val="center" w:pos="5040"/>
              </w:tabs>
              <w:jc w:val="center"/>
              <w:rPr>
                <w:bCs/>
                <w:sz w:val="21"/>
                <w:szCs w:val="21"/>
              </w:rPr>
            </w:pPr>
            <w:r>
              <w:rPr>
                <w:rFonts w:hint="eastAsia"/>
                <w:bCs/>
                <w:sz w:val="21"/>
                <w:szCs w:val="21"/>
              </w:rPr>
              <w:t>李青</w:t>
            </w:r>
          </w:p>
        </w:tc>
        <w:tc>
          <w:tcPr>
            <w:tcW w:w="1691" w:type="dxa"/>
            <w:vAlign w:val="center"/>
          </w:tcPr>
          <w:p w:rsidR="00B04AE3" w:rsidRDefault="00B04AE3">
            <w:pPr>
              <w:tabs>
                <w:tab w:val="left" w:pos="1410"/>
                <w:tab w:val="center" w:pos="5040"/>
              </w:tabs>
              <w:jc w:val="center"/>
              <w:rPr>
                <w:bCs/>
                <w:sz w:val="21"/>
                <w:szCs w:val="21"/>
              </w:rPr>
            </w:pPr>
            <w:r>
              <w:rPr>
                <w:sz w:val="21"/>
                <w:szCs w:val="21"/>
              </w:rPr>
              <w:t>15070806806</w:t>
            </w:r>
          </w:p>
        </w:tc>
      </w:tr>
      <w:tr w:rsidR="00B04AE3">
        <w:trPr>
          <w:trHeight w:val="546"/>
          <w:jc w:val="center"/>
        </w:trPr>
        <w:tc>
          <w:tcPr>
            <w:tcW w:w="2049" w:type="dxa"/>
            <w:vAlign w:val="center"/>
          </w:tcPr>
          <w:p w:rsidR="00B04AE3" w:rsidRDefault="00B04AE3">
            <w:pPr>
              <w:tabs>
                <w:tab w:val="left" w:pos="1410"/>
                <w:tab w:val="center" w:pos="5040"/>
              </w:tabs>
              <w:jc w:val="center"/>
              <w:rPr>
                <w:bCs/>
                <w:sz w:val="21"/>
                <w:szCs w:val="21"/>
              </w:rPr>
            </w:pPr>
            <w:r>
              <w:rPr>
                <w:rFonts w:hint="eastAsia"/>
                <w:bCs/>
                <w:sz w:val="21"/>
                <w:szCs w:val="21"/>
              </w:rPr>
              <w:t>正压式空气呼吸器</w:t>
            </w:r>
          </w:p>
        </w:tc>
        <w:tc>
          <w:tcPr>
            <w:tcW w:w="1127"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施密茨</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套</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1</w:t>
            </w:r>
          </w:p>
        </w:tc>
        <w:tc>
          <w:tcPr>
            <w:tcW w:w="2002" w:type="dxa"/>
            <w:vAlign w:val="center"/>
          </w:tcPr>
          <w:p w:rsidR="00B04AE3" w:rsidRDefault="00B04AE3">
            <w:pPr>
              <w:tabs>
                <w:tab w:val="left" w:pos="1410"/>
                <w:tab w:val="center" w:pos="5040"/>
              </w:tabs>
              <w:jc w:val="center"/>
              <w:rPr>
                <w:bCs/>
                <w:sz w:val="21"/>
                <w:szCs w:val="21"/>
              </w:rPr>
            </w:pPr>
            <w:r>
              <w:rPr>
                <w:rFonts w:hint="eastAsia"/>
                <w:bCs/>
                <w:sz w:val="21"/>
                <w:szCs w:val="21"/>
              </w:rPr>
              <w:t>危化品仓库</w:t>
            </w:r>
          </w:p>
        </w:tc>
        <w:tc>
          <w:tcPr>
            <w:tcW w:w="1439" w:type="dxa"/>
            <w:vAlign w:val="center"/>
          </w:tcPr>
          <w:p w:rsidR="00B04AE3" w:rsidRDefault="00B04AE3">
            <w:pPr>
              <w:tabs>
                <w:tab w:val="left" w:pos="1410"/>
                <w:tab w:val="center" w:pos="5040"/>
              </w:tabs>
              <w:jc w:val="center"/>
              <w:rPr>
                <w:bCs/>
                <w:sz w:val="21"/>
                <w:szCs w:val="21"/>
              </w:rPr>
            </w:pPr>
            <w:r>
              <w:rPr>
                <w:rFonts w:hint="eastAsia"/>
                <w:bCs/>
                <w:sz w:val="21"/>
                <w:szCs w:val="21"/>
              </w:rPr>
              <w:t>夏四华</w:t>
            </w:r>
          </w:p>
        </w:tc>
        <w:tc>
          <w:tcPr>
            <w:tcW w:w="1691" w:type="dxa"/>
            <w:vAlign w:val="center"/>
          </w:tcPr>
          <w:p w:rsidR="00B04AE3" w:rsidRDefault="00B04AE3">
            <w:pPr>
              <w:tabs>
                <w:tab w:val="left" w:pos="1410"/>
                <w:tab w:val="center" w:pos="5040"/>
              </w:tabs>
              <w:jc w:val="center"/>
              <w:rPr>
                <w:bCs/>
                <w:sz w:val="21"/>
                <w:szCs w:val="21"/>
              </w:rPr>
            </w:pPr>
          </w:p>
        </w:tc>
      </w:tr>
      <w:tr w:rsidR="00B04AE3">
        <w:trPr>
          <w:trHeight w:val="512"/>
          <w:jc w:val="center"/>
        </w:trPr>
        <w:tc>
          <w:tcPr>
            <w:tcW w:w="2049" w:type="dxa"/>
            <w:vAlign w:val="center"/>
          </w:tcPr>
          <w:p w:rsidR="00B04AE3" w:rsidRDefault="00B04AE3">
            <w:pPr>
              <w:tabs>
                <w:tab w:val="left" w:pos="1410"/>
                <w:tab w:val="center" w:pos="5040"/>
              </w:tabs>
              <w:jc w:val="center"/>
              <w:rPr>
                <w:bCs/>
                <w:sz w:val="21"/>
                <w:szCs w:val="21"/>
              </w:rPr>
            </w:pPr>
            <w:r>
              <w:rPr>
                <w:rFonts w:hint="eastAsia"/>
                <w:bCs/>
                <w:sz w:val="21"/>
                <w:szCs w:val="21"/>
              </w:rPr>
              <w:t>过滤式防毒面具</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12</w:t>
            </w:r>
          </w:p>
        </w:tc>
        <w:tc>
          <w:tcPr>
            <w:tcW w:w="2002" w:type="dxa"/>
            <w:vAlign w:val="center"/>
          </w:tcPr>
          <w:p w:rsidR="00B04AE3" w:rsidRDefault="00B04AE3">
            <w:pPr>
              <w:tabs>
                <w:tab w:val="left" w:pos="1410"/>
                <w:tab w:val="center" w:pos="5040"/>
              </w:tabs>
              <w:jc w:val="center"/>
              <w:rPr>
                <w:bCs/>
                <w:sz w:val="21"/>
                <w:szCs w:val="21"/>
              </w:rPr>
            </w:pPr>
            <w:r>
              <w:rPr>
                <w:rFonts w:hint="eastAsia"/>
                <w:bCs/>
                <w:sz w:val="21"/>
                <w:szCs w:val="21"/>
              </w:rPr>
              <w:t>门岗</w:t>
            </w:r>
          </w:p>
        </w:tc>
        <w:tc>
          <w:tcPr>
            <w:tcW w:w="1439" w:type="dxa"/>
            <w:vAlign w:val="center"/>
          </w:tcPr>
          <w:p w:rsidR="00B04AE3" w:rsidRDefault="00B04AE3">
            <w:pPr>
              <w:tabs>
                <w:tab w:val="left" w:pos="1410"/>
                <w:tab w:val="center" w:pos="5040"/>
              </w:tabs>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jc w:val="center"/>
              <w:rPr>
                <w:bCs/>
                <w:sz w:val="21"/>
                <w:szCs w:val="21"/>
              </w:rPr>
            </w:pPr>
            <w:r>
              <w:rPr>
                <w:sz w:val="21"/>
                <w:szCs w:val="21"/>
              </w:rPr>
              <w:t>13755774497</w:t>
            </w:r>
          </w:p>
        </w:tc>
      </w:tr>
      <w:tr w:rsidR="00B04AE3">
        <w:trPr>
          <w:trHeight w:val="512"/>
          <w:jc w:val="center"/>
        </w:trPr>
        <w:tc>
          <w:tcPr>
            <w:tcW w:w="2049" w:type="dxa"/>
            <w:vAlign w:val="center"/>
          </w:tcPr>
          <w:p w:rsidR="00B04AE3" w:rsidRDefault="00B04AE3">
            <w:pPr>
              <w:tabs>
                <w:tab w:val="left" w:pos="1410"/>
                <w:tab w:val="center" w:pos="5040"/>
              </w:tabs>
              <w:jc w:val="center"/>
              <w:rPr>
                <w:bCs/>
                <w:sz w:val="21"/>
                <w:szCs w:val="21"/>
              </w:rPr>
            </w:pPr>
            <w:r>
              <w:rPr>
                <w:rFonts w:hint="eastAsia"/>
                <w:bCs/>
                <w:sz w:val="21"/>
                <w:szCs w:val="21"/>
              </w:rPr>
              <w:t>化学品防护服</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套</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1</w:t>
            </w:r>
          </w:p>
        </w:tc>
        <w:tc>
          <w:tcPr>
            <w:tcW w:w="2002" w:type="dxa"/>
            <w:vAlign w:val="center"/>
          </w:tcPr>
          <w:p w:rsidR="00B04AE3" w:rsidRDefault="00B04AE3">
            <w:pPr>
              <w:tabs>
                <w:tab w:val="left" w:pos="1410"/>
                <w:tab w:val="center" w:pos="5040"/>
              </w:tabs>
              <w:jc w:val="center"/>
              <w:rPr>
                <w:bCs/>
                <w:sz w:val="21"/>
                <w:szCs w:val="21"/>
              </w:rPr>
            </w:pPr>
            <w:r>
              <w:rPr>
                <w:rFonts w:hint="eastAsia"/>
                <w:bCs/>
                <w:sz w:val="21"/>
                <w:szCs w:val="21"/>
              </w:rPr>
              <w:t>危化品仓库</w:t>
            </w:r>
          </w:p>
        </w:tc>
        <w:tc>
          <w:tcPr>
            <w:tcW w:w="1439" w:type="dxa"/>
            <w:vAlign w:val="center"/>
          </w:tcPr>
          <w:p w:rsidR="00B04AE3" w:rsidRDefault="00B04AE3">
            <w:pPr>
              <w:tabs>
                <w:tab w:val="left" w:pos="1410"/>
                <w:tab w:val="center" w:pos="5040"/>
              </w:tabs>
              <w:jc w:val="center"/>
              <w:rPr>
                <w:bCs/>
                <w:sz w:val="21"/>
                <w:szCs w:val="21"/>
              </w:rPr>
            </w:pPr>
            <w:r>
              <w:rPr>
                <w:rFonts w:hint="eastAsia"/>
                <w:bCs/>
                <w:sz w:val="21"/>
                <w:szCs w:val="21"/>
              </w:rPr>
              <w:t>夏四华</w:t>
            </w:r>
          </w:p>
        </w:tc>
        <w:tc>
          <w:tcPr>
            <w:tcW w:w="1691" w:type="dxa"/>
            <w:vAlign w:val="center"/>
          </w:tcPr>
          <w:p w:rsidR="00B04AE3" w:rsidRDefault="00B04AE3">
            <w:pPr>
              <w:tabs>
                <w:tab w:val="left" w:pos="1410"/>
                <w:tab w:val="center" w:pos="5040"/>
              </w:tabs>
              <w:jc w:val="center"/>
              <w:rPr>
                <w:bCs/>
                <w:sz w:val="21"/>
                <w:szCs w:val="21"/>
              </w:rPr>
            </w:pPr>
          </w:p>
        </w:tc>
      </w:tr>
      <w:tr w:rsidR="00B04AE3">
        <w:trPr>
          <w:trHeight w:val="499"/>
          <w:jc w:val="center"/>
        </w:trPr>
        <w:tc>
          <w:tcPr>
            <w:tcW w:w="2049" w:type="dxa"/>
            <w:vAlign w:val="center"/>
          </w:tcPr>
          <w:p w:rsidR="00B04AE3" w:rsidRDefault="00B04AE3">
            <w:pPr>
              <w:tabs>
                <w:tab w:val="left" w:pos="1410"/>
                <w:tab w:val="center" w:pos="5040"/>
              </w:tabs>
              <w:jc w:val="center"/>
              <w:rPr>
                <w:bCs/>
                <w:sz w:val="21"/>
                <w:szCs w:val="21"/>
              </w:rPr>
            </w:pPr>
            <w:r>
              <w:rPr>
                <w:rFonts w:hint="eastAsia"/>
                <w:bCs/>
                <w:sz w:val="21"/>
                <w:szCs w:val="21"/>
              </w:rPr>
              <w:t>急救箱</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套</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17</w:t>
            </w:r>
          </w:p>
        </w:tc>
        <w:tc>
          <w:tcPr>
            <w:tcW w:w="2002" w:type="dxa"/>
            <w:vAlign w:val="center"/>
          </w:tcPr>
          <w:p w:rsidR="00B04AE3" w:rsidRDefault="00B04AE3">
            <w:pPr>
              <w:tabs>
                <w:tab w:val="left" w:pos="1410"/>
                <w:tab w:val="center" w:pos="5040"/>
              </w:tabs>
              <w:jc w:val="center"/>
              <w:rPr>
                <w:bCs/>
                <w:sz w:val="21"/>
                <w:szCs w:val="21"/>
              </w:rPr>
            </w:pPr>
            <w:r>
              <w:rPr>
                <w:rFonts w:hint="eastAsia"/>
                <w:bCs/>
                <w:sz w:val="21"/>
                <w:szCs w:val="21"/>
              </w:rPr>
              <w:t>现场</w:t>
            </w:r>
            <w:r>
              <w:rPr>
                <w:bCs/>
                <w:sz w:val="21"/>
                <w:szCs w:val="21"/>
              </w:rPr>
              <w:t>/</w:t>
            </w:r>
            <w:r>
              <w:rPr>
                <w:rFonts w:hint="eastAsia"/>
                <w:bCs/>
                <w:sz w:val="21"/>
                <w:szCs w:val="21"/>
              </w:rPr>
              <w:t>各部门</w:t>
            </w:r>
          </w:p>
        </w:tc>
        <w:tc>
          <w:tcPr>
            <w:tcW w:w="1439" w:type="dxa"/>
            <w:vAlign w:val="center"/>
          </w:tcPr>
          <w:p w:rsidR="00B04AE3" w:rsidRDefault="00B04AE3">
            <w:pPr>
              <w:tabs>
                <w:tab w:val="left" w:pos="1410"/>
                <w:tab w:val="center" w:pos="5040"/>
              </w:tabs>
              <w:jc w:val="center"/>
              <w:rPr>
                <w:bCs/>
                <w:sz w:val="21"/>
                <w:szCs w:val="21"/>
              </w:rPr>
            </w:pPr>
            <w:r>
              <w:rPr>
                <w:rFonts w:hint="eastAsia"/>
                <w:bCs/>
                <w:sz w:val="21"/>
                <w:szCs w:val="21"/>
              </w:rPr>
              <w:t>夏志亮</w:t>
            </w:r>
          </w:p>
        </w:tc>
        <w:tc>
          <w:tcPr>
            <w:tcW w:w="1691" w:type="dxa"/>
            <w:vAlign w:val="center"/>
          </w:tcPr>
          <w:p w:rsidR="00B04AE3" w:rsidRDefault="00B04AE3">
            <w:pPr>
              <w:tabs>
                <w:tab w:val="left" w:pos="1410"/>
                <w:tab w:val="center" w:pos="5040"/>
              </w:tabs>
              <w:jc w:val="center"/>
              <w:rPr>
                <w:bCs/>
                <w:sz w:val="21"/>
                <w:szCs w:val="21"/>
              </w:rPr>
            </w:pPr>
            <w:r>
              <w:rPr>
                <w:sz w:val="21"/>
                <w:szCs w:val="21"/>
              </w:rPr>
              <w:t>15879135422</w:t>
            </w:r>
          </w:p>
        </w:tc>
      </w:tr>
      <w:tr w:rsidR="00B04AE3">
        <w:trPr>
          <w:trHeight w:val="467"/>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防爆手电筒</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4</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中控室</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13755774497</w:t>
            </w:r>
          </w:p>
        </w:tc>
      </w:tr>
      <w:tr w:rsidR="00B04AE3">
        <w:trPr>
          <w:trHeight w:val="443"/>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警戒绳</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30m</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卷</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4</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中控室</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13755774497</w:t>
            </w:r>
          </w:p>
        </w:tc>
      </w:tr>
      <w:tr w:rsidR="00B04AE3">
        <w:trPr>
          <w:trHeight w:val="505"/>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安全带</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1.5m</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根</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30</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现场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胡火平</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13767093403</w:t>
            </w:r>
          </w:p>
        </w:tc>
      </w:tr>
      <w:tr w:rsidR="00B04AE3">
        <w:trPr>
          <w:trHeight w:val="546"/>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灭火毯</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napToGrid w:val="0"/>
              <w:contextualSpacing/>
              <w:jc w:val="center"/>
              <w:rPr>
                <w:bCs/>
                <w:sz w:val="21"/>
                <w:szCs w:val="21"/>
              </w:rPr>
            </w:pPr>
            <w:r>
              <w:rPr>
                <w:bCs/>
                <w:sz w:val="21"/>
                <w:szCs w:val="21"/>
              </w:rPr>
              <w:t>1</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门岗</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13755774497</w:t>
            </w:r>
          </w:p>
        </w:tc>
      </w:tr>
      <w:tr w:rsidR="00B04AE3">
        <w:trPr>
          <w:trHeight w:val="489"/>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灭火器</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4KG</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1600</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全厂区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13755774497</w:t>
            </w:r>
          </w:p>
        </w:tc>
      </w:tr>
      <w:tr w:rsidR="00B04AE3">
        <w:trPr>
          <w:trHeight w:val="458"/>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消火栓</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350</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全厂区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13755774497</w:t>
            </w:r>
          </w:p>
        </w:tc>
      </w:tr>
      <w:tr w:rsidR="00B04AE3">
        <w:trPr>
          <w:trHeight w:val="489"/>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洗眼器</w:t>
            </w:r>
          </w:p>
        </w:tc>
        <w:tc>
          <w:tcPr>
            <w:tcW w:w="1127"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双头</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套</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5</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危化品仓库及现场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胡火平</w:t>
            </w:r>
          </w:p>
        </w:tc>
        <w:tc>
          <w:tcPr>
            <w:tcW w:w="1691" w:type="dxa"/>
            <w:vAlign w:val="center"/>
          </w:tcPr>
          <w:p w:rsidR="00B04AE3" w:rsidRDefault="00B04AE3">
            <w:pPr>
              <w:tabs>
                <w:tab w:val="left" w:pos="1410"/>
                <w:tab w:val="center" w:pos="5040"/>
              </w:tabs>
              <w:spacing w:line="540" w:lineRule="exact"/>
              <w:jc w:val="center"/>
              <w:rPr>
                <w:bCs/>
                <w:sz w:val="21"/>
                <w:szCs w:val="21"/>
              </w:rPr>
            </w:pPr>
          </w:p>
        </w:tc>
      </w:tr>
      <w:tr w:rsidR="00B04AE3">
        <w:trPr>
          <w:trHeight w:val="458"/>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感烟探测器</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645</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全厂区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13755774497</w:t>
            </w:r>
          </w:p>
        </w:tc>
      </w:tr>
      <w:tr w:rsidR="00B04AE3">
        <w:trPr>
          <w:trHeight w:val="489"/>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感温探测器</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27</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全厂区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13755774497</w:t>
            </w:r>
          </w:p>
        </w:tc>
      </w:tr>
      <w:tr w:rsidR="00B04AE3">
        <w:trPr>
          <w:trHeight w:val="546"/>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手动火灾报警按钮</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103</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全厂区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13755774497</w:t>
            </w:r>
          </w:p>
        </w:tc>
      </w:tr>
      <w:tr w:rsidR="00B04AE3">
        <w:trPr>
          <w:trHeight w:val="546"/>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声光报警器</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103</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全厂区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张磊磊</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13755774497</w:t>
            </w:r>
          </w:p>
        </w:tc>
      </w:tr>
      <w:tr w:rsidR="00B04AE3">
        <w:trPr>
          <w:trHeight w:val="458"/>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闭式喷头</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0</w:t>
            </w:r>
          </w:p>
        </w:tc>
        <w:tc>
          <w:tcPr>
            <w:tcW w:w="2002" w:type="dxa"/>
            <w:vAlign w:val="center"/>
          </w:tcPr>
          <w:p w:rsidR="00B04AE3" w:rsidRDefault="00B04AE3">
            <w:pPr>
              <w:tabs>
                <w:tab w:val="left" w:pos="1410"/>
                <w:tab w:val="center" w:pos="5040"/>
              </w:tabs>
              <w:spacing w:line="540" w:lineRule="exact"/>
              <w:jc w:val="center"/>
              <w:rPr>
                <w:bCs/>
                <w:sz w:val="21"/>
                <w:szCs w:val="21"/>
              </w:rPr>
            </w:pPr>
          </w:p>
        </w:tc>
        <w:tc>
          <w:tcPr>
            <w:tcW w:w="1439" w:type="dxa"/>
            <w:vAlign w:val="center"/>
          </w:tcPr>
          <w:p w:rsidR="00B04AE3" w:rsidRDefault="00B04AE3">
            <w:pPr>
              <w:tabs>
                <w:tab w:val="left" w:pos="1410"/>
                <w:tab w:val="center" w:pos="5040"/>
              </w:tabs>
              <w:spacing w:line="540" w:lineRule="exact"/>
              <w:jc w:val="center"/>
              <w:rPr>
                <w:bCs/>
                <w:sz w:val="21"/>
                <w:szCs w:val="21"/>
              </w:rPr>
            </w:pPr>
          </w:p>
        </w:tc>
        <w:tc>
          <w:tcPr>
            <w:tcW w:w="1691" w:type="dxa"/>
            <w:vAlign w:val="center"/>
          </w:tcPr>
          <w:p w:rsidR="00B04AE3" w:rsidRDefault="00B04AE3">
            <w:pPr>
              <w:tabs>
                <w:tab w:val="left" w:pos="1410"/>
                <w:tab w:val="center" w:pos="5040"/>
              </w:tabs>
              <w:spacing w:line="540" w:lineRule="exact"/>
              <w:jc w:val="center"/>
              <w:rPr>
                <w:sz w:val="21"/>
                <w:szCs w:val="21"/>
              </w:rPr>
            </w:pPr>
          </w:p>
        </w:tc>
      </w:tr>
      <w:tr w:rsidR="00B04AE3">
        <w:trPr>
          <w:trHeight w:val="458"/>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开式喷头</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个</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0</w:t>
            </w:r>
          </w:p>
        </w:tc>
        <w:tc>
          <w:tcPr>
            <w:tcW w:w="2002" w:type="dxa"/>
            <w:vAlign w:val="center"/>
          </w:tcPr>
          <w:p w:rsidR="00B04AE3" w:rsidRDefault="00B04AE3">
            <w:pPr>
              <w:tabs>
                <w:tab w:val="left" w:pos="1410"/>
                <w:tab w:val="center" w:pos="5040"/>
              </w:tabs>
              <w:spacing w:line="540" w:lineRule="exact"/>
              <w:jc w:val="center"/>
              <w:rPr>
                <w:bCs/>
                <w:sz w:val="21"/>
                <w:szCs w:val="21"/>
              </w:rPr>
            </w:pPr>
          </w:p>
        </w:tc>
        <w:tc>
          <w:tcPr>
            <w:tcW w:w="1439" w:type="dxa"/>
            <w:vAlign w:val="center"/>
          </w:tcPr>
          <w:p w:rsidR="00B04AE3" w:rsidRDefault="00B04AE3">
            <w:pPr>
              <w:tabs>
                <w:tab w:val="left" w:pos="1410"/>
                <w:tab w:val="center" w:pos="5040"/>
              </w:tabs>
              <w:spacing w:line="540" w:lineRule="exact"/>
              <w:jc w:val="center"/>
              <w:rPr>
                <w:bCs/>
                <w:sz w:val="21"/>
                <w:szCs w:val="21"/>
              </w:rPr>
            </w:pPr>
          </w:p>
        </w:tc>
        <w:tc>
          <w:tcPr>
            <w:tcW w:w="1691" w:type="dxa"/>
            <w:vAlign w:val="center"/>
          </w:tcPr>
          <w:p w:rsidR="00B04AE3" w:rsidRDefault="00B04AE3">
            <w:pPr>
              <w:tabs>
                <w:tab w:val="left" w:pos="1410"/>
                <w:tab w:val="center" w:pos="5040"/>
              </w:tabs>
              <w:spacing w:line="540" w:lineRule="exact"/>
              <w:jc w:val="center"/>
              <w:rPr>
                <w:sz w:val="21"/>
                <w:szCs w:val="21"/>
              </w:rPr>
            </w:pPr>
          </w:p>
        </w:tc>
      </w:tr>
      <w:tr w:rsidR="00B04AE3">
        <w:trPr>
          <w:trHeight w:val="483"/>
          <w:jc w:val="center"/>
        </w:trPr>
        <w:tc>
          <w:tcPr>
            <w:tcW w:w="204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可燃气体报警</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RNKYI</w:t>
            </w:r>
          </w:p>
        </w:tc>
        <w:tc>
          <w:tcPr>
            <w:tcW w:w="985"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套</w:t>
            </w:r>
          </w:p>
        </w:tc>
        <w:tc>
          <w:tcPr>
            <w:tcW w:w="1127" w:type="dxa"/>
            <w:vAlign w:val="center"/>
          </w:tcPr>
          <w:p w:rsidR="00B04AE3" w:rsidRDefault="00B04AE3">
            <w:pPr>
              <w:tabs>
                <w:tab w:val="left" w:pos="1410"/>
                <w:tab w:val="center" w:pos="5040"/>
              </w:tabs>
              <w:spacing w:line="540" w:lineRule="exact"/>
              <w:jc w:val="center"/>
              <w:rPr>
                <w:bCs/>
                <w:sz w:val="21"/>
                <w:szCs w:val="21"/>
              </w:rPr>
            </w:pPr>
            <w:r>
              <w:rPr>
                <w:bCs/>
                <w:sz w:val="21"/>
                <w:szCs w:val="21"/>
              </w:rPr>
              <w:t>22</w:t>
            </w:r>
          </w:p>
        </w:tc>
        <w:tc>
          <w:tcPr>
            <w:tcW w:w="2002"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全厂区</w:t>
            </w:r>
          </w:p>
        </w:tc>
        <w:tc>
          <w:tcPr>
            <w:tcW w:w="1439" w:type="dxa"/>
            <w:vAlign w:val="center"/>
          </w:tcPr>
          <w:p w:rsidR="00B04AE3" w:rsidRDefault="00B04AE3">
            <w:pPr>
              <w:tabs>
                <w:tab w:val="left" w:pos="1410"/>
                <w:tab w:val="center" w:pos="5040"/>
              </w:tabs>
              <w:spacing w:line="540" w:lineRule="exact"/>
              <w:jc w:val="center"/>
              <w:rPr>
                <w:bCs/>
                <w:sz w:val="21"/>
                <w:szCs w:val="21"/>
              </w:rPr>
            </w:pPr>
            <w:r>
              <w:rPr>
                <w:rFonts w:hint="eastAsia"/>
                <w:bCs/>
                <w:sz w:val="21"/>
                <w:szCs w:val="21"/>
              </w:rPr>
              <w:t>陈小灵</w:t>
            </w:r>
          </w:p>
        </w:tc>
        <w:tc>
          <w:tcPr>
            <w:tcW w:w="1691" w:type="dxa"/>
            <w:vAlign w:val="center"/>
          </w:tcPr>
          <w:p w:rsidR="00B04AE3" w:rsidRDefault="00B04AE3">
            <w:pPr>
              <w:tabs>
                <w:tab w:val="left" w:pos="1410"/>
                <w:tab w:val="center" w:pos="5040"/>
              </w:tabs>
              <w:spacing w:line="540" w:lineRule="exact"/>
              <w:jc w:val="center"/>
              <w:rPr>
                <w:bCs/>
                <w:sz w:val="21"/>
                <w:szCs w:val="21"/>
              </w:rPr>
            </w:pPr>
            <w:r>
              <w:rPr>
                <w:sz w:val="21"/>
                <w:szCs w:val="21"/>
              </w:rPr>
              <w:t>159 7043 9835</w:t>
            </w:r>
          </w:p>
        </w:tc>
      </w:tr>
    </w:tbl>
    <w:p w:rsidR="00B04AE3" w:rsidRDefault="00B04AE3">
      <w:pPr>
        <w:pStyle w:val="Default"/>
        <w:sectPr w:rsidR="00B04AE3">
          <w:footerReference w:type="default" r:id="rId80"/>
          <w:pgSz w:w="11910" w:h="16840"/>
          <w:pgMar w:top="1360" w:right="1000" w:bottom="900" w:left="1000" w:header="746" w:footer="720" w:gutter="0"/>
          <w:cols w:space="720"/>
        </w:sectPr>
      </w:pPr>
    </w:p>
    <w:p w:rsidR="00B04AE3" w:rsidRDefault="00B04AE3">
      <w:pPr>
        <w:pStyle w:val="ListParagraph"/>
        <w:numPr>
          <w:ilvl w:val="0"/>
          <w:numId w:val="46"/>
        </w:numPr>
        <w:tabs>
          <w:tab w:val="left" w:pos="1158"/>
        </w:tabs>
        <w:spacing w:before="64"/>
        <w:ind w:left="1157" w:hanging="360"/>
        <w:rPr>
          <w:rFonts w:ascii="Times New Roman" w:eastAsia="Times New Roman"/>
          <w:b/>
          <w:sz w:val="36"/>
        </w:rPr>
      </w:pPr>
      <w:bookmarkStart w:id="349" w:name="5_完善环境风险防控和应急措施的建议与实施计划"/>
      <w:bookmarkStart w:id="350" w:name="_bookmark122"/>
      <w:bookmarkEnd w:id="349"/>
      <w:bookmarkEnd w:id="350"/>
      <w:r>
        <w:rPr>
          <w:rFonts w:hint="eastAsia"/>
          <w:b/>
          <w:sz w:val="36"/>
        </w:rPr>
        <w:t>完善环境风险防控和应急措施的建议与实施计划</w:t>
      </w:r>
    </w:p>
    <w:p w:rsidR="00B04AE3" w:rsidRDefault="00B04AE3">
      <w:pPr>
        <w:pStyle w:val="BodyText"/>
        <w:spacing w:line="364" w:lineRule="auto"/>
        <w:ind w:left="797" w:right="675" w:firstLine="480"/>
        <w:jc w:val="both"/>
      </w:pPr>
      <w:r>
        <w:rPr>
          <w:rFonts w:hint="eastAsia"/>
        </w:rPr>
        <w:t>根据评估结果，在系统分析南昌海立电器有限公司环境风险防控现状的基础上，针对企业环境风险防控与应急措施的差距和存在问题，重点从加强源头控制、增强环境应急综合能力、健全企业环境风险管理体系等方面制订环境风险防控与应急措施差距与问题整改计划，详见表</w:t>
      </w:r>
      <w:r>
        <w:t>5-1</w:t>
      </w:r>
      <w:r>
        <w:rPr>
          <w:rFonts w:hint="eastAsia"/>
        </w:rPr>
        <w:t>。企业应在规定时限内完成各计划，切实提高企业的环境风险防控能力。企业每完成一次实施计划，都应将计划完成情况登记建档备查。</w:t>
      </w:r>
    </w:p>
    <w:p w:rsidR="00B04AE3" w:rsidRDefault="00B04AE3">
      <w:pPr>
        <w:tabs>
          <w:tab w:val="left" w:pos="3072"/>
        </w:tabs>
        <w:spacing w:after="3" w:line="304" w:lineRule="exact"/>
        <w:ind w:left="2033"/>
        <w:rPr>
          <w:b/>
          <w:sz w:val="24"/>
        </w:rPr>
      </w:pPr>
      <w:r>
        <w:rPr>
          <w:rFonts w:hint="eastAsia"/>
          <w:b/>
          <w:sz w:val="24"/>
        </w:rPr>
        <w:t>表</w:t>
      </w:r>
      <w:r>
        <w:rPr>
          <w:b/>
          <w:spacing w:val="-62"/>
          <w:sz w:val="24"/>
        </w:rPr>
        <w:t xml:space="preserve"> </w:t>
      </w:r>
      <w:r>
        <w:rPr>
          <w:rFonts w:ascii="Times New Roman" w:eastAsia="Times New Roman"/>
          <w:b/>
          <w:sz w:val="24"/>
        </w:rPr>
        <w:t>5.1-1</w:t>
      </w:r>
      <w:r>
        <w:rPr>
          <w:rFonts w:ascii="Times New Roman" w:eastAsia="Times New Roman"/>
          <w:b/>
          <w:sz w:val="24"/>
        </w:rPr>
        <w:tab/>
      </w:r>
      <w:r>
        <w:rPr>
          <w:rFonts w:hint="eastAsia"/>
          <w:b/>
          <w:sz w:val="24"/>
        </w:rPr>
        <w:t>环境风险防控与应急措施差距与问题整改计划</w:t>
      </w:r>
    </w:p>
    <w:tbl>
      <w:tblPr>
        <w:tblW w:w="8528" w:type="dxa"/>
        <w:tblInd w:w="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435"/>
        <w:gridCol w:w="4905"/>
        <w:gridCol w:w="2328"/>
        <w:gridCol w:w="860"/>
      </w:tblGrid>
      <w:tr w:rsidR="00B04AE3">
        <w:trPr>
          <w:trHeight w:val="545"/>
        </w:trPr>
        <w:tc>
          <w:tcPr>
            <w:tcW w:w="435" w:type="dxa"/>
            <w:shd w:val="clear" w:color="auto" w:fill="DFDFDF"/>
          </w:tcPr>
          <w:p w:rsidR="00B04AE3" w:rsidRDefault="00B04AE3">
            <w:pPr>
              <w:pStyle w:val="TableParagraph"/>
              <w:ind w:left="110"/>
              <w:jc w:val="left"/>
              <w:rPr>
                <w:b/>
                <w:sz w:val="21"/>
              </w:rPr>
            </w:pPr>
            <w:r>
              <w:rPr>
                <w:rFonts w:hint="eastAsia"/>
                <w:b/>
                <w:w w:val="99"/>
                <w:sz w:val="21"/>
              </w:rPr>
              <w:t>序</w:t>
            </w:r>
          </w:p>
          <w:p w:rsidR="00B04AE3" w:rsidRDefault="00B04AE3">
            <w:pPr>
              <w:pStyle w:val="TableParagraph"/>
              <w:spacing w:before="2" w:line="254" w:lineRule="exact"/>
              <w:ind w:left="110"/>
              <w:jc w:val="left"/>
              <w:rPr>
                <w:b/>
                <w:sz w:val="21"/>
              </w:rPr>
            </w:pPr>
            <w:r>
              <w:rPr>
                <w:rFonts w:hint="eastAsia"/>
                <w:b/>
                <w:w w:val="99"/>
                <w:sz w:val="21"/>
              </w:rPr>
              <w:t>号</w:t>
            </w:r>
          </w:p>
        </w:tc>
        <w:tc>
          <w:tcPr>
            <w:tcW w:w="4905" w:type="dxa"/>
            <w:shd w:val="clear" w:color="auto" w:fill="DFDFDF"/>
          </w:tcPr>
          <w:p w:rsidR="00B04AE3" w:rsidRDefault="00B04AE3">
            <w:pPr>
              <w:pStyle w:val="TableParagraph"/>
              <w:spacing w:before="134"/>
              <w:ind w:left="1800" w:right="1790"/>
              <w:rPr>
                <w:b/>
                <w:sz w:val="21"/>
              </w:rPr>
            </w:pPr>
            <w:r>
              <w:rPr>
                <w:rFonts w:hint="eastAsia"/>
                <w:b/>
                <w:sz w:val="21"/>
              </w:rPr>
              <w:t>具体防控措施</w:t>
            </w:r>
          </w:p>
        </w:tc>
        <w:tc>
          <w:tcPr>
            <w:tcW w:w="2328" w:type="dxa"/>
            <w:shd w:val="clear" w:color="auto" w:fill="DFDFDF"/>
          </w:tcPr>
          <w:p w:rsidR="00B04AE3" w:rsidRDefault="00B04AE3">
            <w:pPr>
              <w:pStyle w:val="TableParagraph"/>
              <w:spacing w:before="134"/>
              <w:ind w:left="113" w:right="100"/>
              <w:rPr>
                <w:b/>
                <w:sz w:val="21"/>
              </w:rPr>
            </w:pPr>
            <w:r>
              <w:rPr>
                <w:rFonts w:hint="eastAsia"/>
                <w:b/>
                <w:sz w:val="21"/>
              </w:rPr>
              <w:t>实施效果</w:t>
            </w:r>
          </w:p>
        </w:tc>
        <w:tc>
          <w:tcPr>
            <w:tcW w:w="860" w:type="dxa"/>
            <w:shd w:val="clear" w:color="auto" w:fill="DFDFDF"/>
          </w:tcPr>
          <w:p w:rsidR="00B04AE3" w:rsidRDefault="00B04AE3">
            <w:pPr>
              <w:pStyle w:val="TableParagraph"/>
              <w:ind w:left="94" w:right="82"/>
              <w:rPr>
                <w:b/>
                <w:sz w:val="21"/>
              </w:rPr>
            </w:pPr>
            <w:r>
              <w:rPr>
                <w:rFonts w:hint="eastAsia"/>
                <w:b/>
                <w:sz w:val="21"/>
              </w:rPr>
              <w:t>完成时</w:t>
            </w:r>
          </w:p>
          <w:p w:rsidR="00B04AE3" w:rsidRDefault="00B04AE3">
            <w:pPr>
              <w:pStyle w:val="TableParagraph"/>
              <w:spacing w:before="2" w:line="254" w:lineRule="exact"/>
              <w:ind w:left="7"/>
              <w:rPr>
                <w:b/>
                <w:sz w:val="21"/>
              </w:rPr>
            </w:pPr>
            <w:r>
              <w:rPr>
                <w:rFonts w:hint="eastAsia"/>
                <w:b/>
                <w:w w:val="99"/>
                <w:sz w:val="21"/>
              </w:rPr>
              <w:t>限</w:t>
            </w:r>
          </w:p>
        </w:tc>
      </w:tr>
      <w:tr w:rsidR="00B04AE3">
        <w:trPr>
          <w:trHeight w:val="340"/>
        </w:trPr>
        <w:tc>
          <w:tcPr>
            <w:tcW w:w="8528" w:type="dxa"/>
            <w:gridSpan w:val="4"/>
          </w:tcPr>
          <w:p w:rsidR="00B04AE3" w:rsidRDefault="00B04AE3">
            <w:pPr>
              <w:pStyle w:val="TableParagraph"/>
              <w:spacing w:before="33"/>
              <w:ind w:left="2979" w:right="2967"/>
              <w:rPr>
                <w:b/>
                <w:sz w:val="21"/>
              </w:rPr>
            </w:pPr>
            <w:r>
              <w:rPr>
                <w:rFonts w:hint="eastAsia"/>
                <w:b/>
                <w:sz w:val="21"/>
              </w:rPr>
              <w:t>一、加强源头控制</w:t>
            </w:r>
          </w:p>
        </w:tc>
      </w:tr>
      <w:tr w:rsidR="00B04AE3">
        <w:trPr>
          <w:trHeight w:val="1088"/>
        </w:trPr>
        <w:tc>
          <w:tcPr>
            <w:tcW w:w="435" w:type="dxa"/>
          </w:tcPr>
          <w:p w:rsidR="00B04AE3" w:rsidRDefault="00B04AE3">
            <w:pPr>
              <w:pStyle w:val="TableParagraph"/>
              <w:spacing w:before="11"/>
              <w:jc w:val="left"/>
              <w:rPr>
                <w:b/>
                <w:sz w:val="32"/>
              </w:rPr>
            </w:pPr>
          </w:p>
          <w:p w:rsidR="00B04AE3" w:rsidRDefault="00B04AE3">
            <w:pPr>
              <w:pStyle w:val="TableParagraph"/>
              <w:spacing w:before="1"/>
              <w:ind w:left="163"/>
              <w:jc w:val="left"/>
              <w:rPr>
                <w:rFonts w:ascii="Times New Roman"/>
                <w:sz w:val="21"/>
              </w:rPr>
            </w:pPr>
            <w:r>
              <w:rPr>
                <w:rFonts w:ascii="Times New Roman"/>
                <w:w w:val="99"/>
                <w:sz w:val="21"/>
              </w:rPr>
              <w:t>1</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建立生产装置定期检测制度：重点对机泵机封压盖、管线盲板、接头、法兰、丝堵、控制阀门等管线连接处进行定期检查，及时采取堵漏、更换装置部件</w:t>
            </w:r>
          </w:p>
          <w:p w:rsidR="00B04AE3" w:rsidRDefault="00B04AE3">
            <w:pPr>
              <w:pStyle w:val="TableParagraph"/>
              <w:spacing w:line="242" w:lineRule="auto"/>
              <w:ind w:left="107" w:right="-15"/>
              <w:jc w:val="left"/>
              <w:rPr>
                <w:spacing w:val="-3"/>
                <w:sz w:val="21"/>
              </w:rPr>
            </w:pPr>
            <w:r>
              <w:rPr>
                <w:rFonts w:hint="eastAsia"/>
                <w:spacing w:val="-3"/>
                <w:sz w:val="21"/>
              </w:rPr>
              <w:t>等措施。</w:t>
            </w:r>
          </w:p>
        </w:tc>
        <w:tc>
          <w:tcPr>
            <w:tcW w:w="2328" w:type="dxa"/>
          </w:tcPr>
          <w:p w:rsidR="00B04AE3" w:rsidRDefault="00B04AE3">
            <w:pPr>
              <w:pStyle w:val="TableParagraph"/>
              <w:spacing w:line="242" w:lineRule="auto"/>
              <w:ind w:left="107" w:right="-15"/>
              <w:jc w:val="left"/>
              <w:rPr>
                <w:spacing w:val="-3"/>
                <w:sz w:val="21"/>
              </w:rPr>
            </w:pPr>
            <w:r>
              <w:rPr>
                <w:rFonts w:hint="eastAsia"/>
                <w:spacing w:val="-3"/>
                <w:sz w:val="21"/>
              </w:rPr>
              <w:t>降低装置设备损坏、老化等造成的危险事件</w:t>
            </w:r>
          </w:p>
        </w:tc>
        <w:tc>
          <w:tcPr>
            <w:tcW w:w="860" w:type="dxa"/>
          </w:tcPr>
          <w:p w:rsidR="00B04AE3" w:rsidRDefault="00B04AE3">
            <w:pPr>
              <w:pStyle w:val="TableParagraph"/>
              <w:jc w:val="left"/>
              <w:rPr>
                <w:b/>
                <w:sz w:val="20"/>
              </w:rPr>
            </w:pPr>
          </w:p>
          <w:p w:rsidR="00B04AE3" w:rsidRDefault="00B04AE3">
            <w:pPr>
              <w:pStyle w:val="TableParagraph"/>
              <w:spacing w:before="151"/>
              <w:ind w:left="87" w:right="82"/>
              <w:rPr>
                <w:sz w:val="21"/>
              </w:rPr>
            </w:pPr>
            <w:r>
              <w:rPr>
                <w:rFonts w:hint="eastAsia"/>
                <w:sz w:val="21"/>
              </w:rPr>
              <w:t>长期</w:t>
            </w:r>
          </w:p>
        </w:tc>
      </w:tr>
      <w:tr w:rsidR="00B04AE3">
        <w:trPr>
          <w:trHeight w:val="545"/>
        </w:trPr>
        <w:tc>
          <w:tcPr>
            <w:tcW w:w="435" w:type="dxa"/>
          </w:tcPr>
          <w:p w:rsidR="00B04AE3" w:rsidRDefault="00B04AE3">
            <w:pPr>
              <w:pStyle w:val="TableParagraph"/>
              <w:spacing w:before="151"/>
              <w:ind w:left="163"/>
              <w:jc w:val="left"/>
              <w:rPr>
                <w:rFonts w:ascii="Times New Roman"/>
                <w:sz w:val="21"/>
              </w:rPr>
            </w:pPr>
            <w:r>
              <w:rPr>
                <w:rFonts w:ascii="Times New Roman"/>
                <w:w w:val="99"/>
                <w:sz w:val="21"/>
              </w:rPr>
              <w:t>2</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提高操作水平，长周期运行；减少开停车次数和非</w:t>
            </w:r>
          </w:p>
          <w:p w:rsidR="00B04AE3" w:rsidRDefault="00B04AE3">
            <w:pPr>
              <w:pStyle w:val="TableParagraph"/>
              <w:spacing w:line="242" w:lineRule="auto"/>
              <w:ind w:left="107" w:right="-15"/>
              <w:jc w:val="left"/>
              <w:rPr>
                <w:spacing w:val="-3"/>
                <w:sz w:val="21"/>
              </w:rPr>
            </w:pPr>
            <w:r>
              <w:rPr>
                <w:rFonts w:hint="eastAsia"/>
                <w:spacing w:val="-3"/>
                <w:sz w:val="21"/>
              </w:rPr>
              <w:t>正常工况排放；严格劳动纪律，杜绝人为忽视排放。</w:t>
            </w:r>
          </w:p>
        </w:tc>
        <w:tc>
          <w:tcPr>
            <w:tcW w:w="2328" w:type="dxa"/>
          </w:tcPr>
          <w:p w:rsidR="00B04AE3" w:rsidRDefault="00B04AE3">
            <w:pPr>
              <w:pStyle w:val="TableParagraph"/>
              <w:spacing w:line="242" w:lineRule="auto"/>
              <w:ind w:left="107" w:right="-15"/>
              <w:jc w:val="left"/>
              <w:rPr>
                <w:spacing w:val="-3"/>
                <w:sz w:val="21"/>
              </w:rPr>
            </w:pPr>
            <w:r>
              <w:rPr>
                <w:rFonts w:hint="eastAsia"/>
                <w:spacing w:val="-3"/>
                <w:sz w:val="21"/>
              </w:rPr>
              <w:t>有效控制紧急情况下污</w:t>
            </w:r>
          </w:p>
          <w:p w:rsidR="00B04AE3" w:rsidRDefault="00B04AE3">
            <w:pPr>
              <w:pStyle w:val="TableParagraph"/>
              <w:spacing w:line="242" w:lineRule="auto"/>
              <w:ind w:left="107" w:right="-15"/>
              <w:jc w:val="left"/>
              <w:rPr>
                <w:spacing w:val="-3"/>
                <w:sz w:val="21"/>
              </w:rPr>
            </w:pPr>
            <w:r>
              <w:rPr>
                <w:rFonts w:hint="eastAsia"/>
                <w:spacing w:val="-3"/>
                <w:sz w:val="21"/>
              </w:rPr>
              <w:t>染物排放水平</w:t>
            </w:r>
          </w:p>
        </w:tc>
        <w:tc>
          <w:tcPr>
            <w:tcW w:w="860" w:type="dxa"/>
          </w:tcPr>
          <w:p w:rsidR="00B04AE3" w:rsidRDefault="00B04AE3">
            <w:pPr>
              <w:pStyle w:val="TableParagraph"/>
              <w:spacing w:before="134"/>
              <w:ind w:left="87" w:right="82"/>
              <w:rPr>
                <w:sz w:val="21"/>
              </w:rPr>
            </w:pPr>
            <w:r>
              <w:rPr>
                <w:rFonts w:hint="eastAsia"/>
                <w:sz w:val="21"/>
              </w:rPr>
              <w:t>长期</w:t>
            </w:r>
          </w:p>
        </w:tc>
      </w:tr>
      <w:tr w:rsidR="00B04AE3">
        <w:trPr>
          <w:trHeight w:val="340"/>
        </w:trPr>
        <w:tc>
          <w:tcPr>
            <w:tcW w:w="8528" w:type="dxa"/>
            <w:gridSpan w:val="4"/>
          </w:tcPr>
          <w:p w:rsidR="00B04AE3" w:rsidRDefault="00B04AE3">
            <w:pPr>
              <w:pStyle w:val="TableParagraph"/>
              <w:spacing w:line="242" w:lineRule="auto"/>
              <w:ind w:left="107" w:right="-15"/>
              <w:jc w:val="left"/>
              <w:rPr>
                <w:spacing w:val="-3"/>
                <w:sz w:val="21"/>
              </w:rPr>
            </w:pPr>
            <w:r>
              <w:rPr>
                <w:rFonts w:hint="eastAsia"/>
                <w:spacing w:val="-3"/>
                <w:sz w:val="21"/>
              </w:rPr>
              <w:t>二、增强环境应急综合能力</w:t>
            </w:r>
          </w:p>
        </w:tc>
      </w:tr>
      <w:tr w:rsidR="00B04AE3">
        <w:trPr>
          <w:trHeight w:val="1089"/>
        </w:trPr>
        <w:tc>
          <w:tcPr>
            <w:tcW w:w="435" w:type="dxa"/>
          </w:tcPr>
          <w:p w:rsidR="00B04AE3" w:rsidRDefault="00B04AE3">
            <w:pPr>
              <w:pStyle w:val="TableParagraph"/>
              <w:spacing w:before="11"/>
              <w:jc w:val="left"/>
              <w:rPr>
                <w:b/>
                <w:sz w:val="32"/>
              </w:rPr>
            </w:pPr>
          </w:p>
          <w:p w:rsidR="00B04AE3" w:rsidRDefault="00B04AE3">
            <w:pPr>
              <w:pStyle w:val="TableParagraph"/>
              <w:spacing w:before="1"/>
              <w:ind w:left="163"/>
              <w:jc w:val="left"/>
              <w:rPr>
                <w:rFonts w:ascii="Times New Roman"/>
                <w:sz w:val="21"/>
              </w:rPr>
            </w:pPr>
            <w:r>
              <w:rPr>
                <w:rFonts w:ascii="Times New Roman"/>
                <w:w w:val="99"/>
                <w:sz w:val="21"/>
              </w:rPr>
              <w:t>3</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完善环境应急预案体系：针对氨水泄漏等突发环境</w:t>
            </w:r>
            <w:r>
              <w:rPr>
                <w:spacing w:val="-3"/>
                <w:sz w:val="21"/>
              </w:rPr>
              <w:t xml:space="preserve"> </w:t>
            </w:r>
            <w:r>
              <w:rPr>
                <w:rFonts w:hint="eastAsia"/>
                <w:spacing w:val="-3"/>
                <w:sz w:val="21"/>
              </w:rPr>
              <w:t>事件，进一步明确监测预警、应急处置与救援的职</w:t>
            </w:r>
            <w:r>
              <w:rPr>
                <w:spacing w:val="-3"/>
                <w:sz w:val="21"/>
              </w:rPr>
              <w:t xml:space="preserve"> </w:t>
            </w:r>
            <w:r>
              <w:rPr>
                <w:rFonts w:hint="eastAsia"/>
                <w:spacing w:val="-3"/>
                <w:sz w:val="21"/>
              </w:rPr>
              <w:t>责分工、操作流程等内容；组织实施环境应急预案</w:t>
            </w:r>
          </w:p>
          <w:p w:rsidR="00B04AE3" w:rsidRDefault="00B04AE3">
            <w:pPr>
              <w:pStyle w:val="TableParagraph"/>
              <w:spacing w:line="242" w:lineRule="auto"/>
              <w:ind w:left="107" w:right="-15"/>
              <w:jc w:val="left"/>
              <w:rPr>
                <w:spacing w:val="-3"/>
                <w:sz w:val="21"/>
              </w:rPr>
            </w:pPr>
            <w:r>
              <w:rPr>
                <w:rFonts w:hint="eastAsia"/>
                <w:spacing w:val="-3"/>
                <w:sz w:val="21"/>
              </w:rPr>
              <w:t>评审备案。</w:t>
            </w:r>
          </w:p>
        </w:tc>
        <w:tc>
          <w:tcPr>
            <w:tcW w:w="2328" w:type="dxa"/>
          </w:tcPr>
          <w:p w:rsidR="00B04AE3" w:rsidRDefault="00B04AE3">
            <w:pPr>
              <w:pStyle w:val="TableParagraph"/>
              <w:spacing w:line="242" w:lineRule="auto"/>
              <w:ind w:left="107" w:right="-15"/>
              <w:jc w:val="left"/>
              <w:rPr>
                <w:spacing w:val="-3"/>
                <w:sz w:val="21"/>
              </w:rPr>
            </w:pPr>
            <w:r>
              <w:rPr>
                <w:rFonts w:hint="eastAsia"/>
                <w:spacing w:val="-3"/>
                <w:sz w:val="21"/>
              </w:rPr>
              <w:t>形成全面、有针对性、可操作的环境应急预案体系，有效预防、应对</w:t>
            </w:r>
          </w:p>
          <w:p w:rsidR="00B04AE3" w:rsidRDefault="00B04AE3">
            <w:pPr>
              <w:pStyle w:val="TableParagraph"/>
              <w:spacing w:line="242" w:lineRule="auto"/>
              <w:ind w:left="107" w:right="-15"/>
              <w:jc w:val="left"/>
              <w:rPr>
                <w:spacing w:val="-3"/>
                <w:sz w:val="21"/>
              </w:rPr>
            </w:pPr>
            <w:r>
              <w:rPr>
                <w:rFonts w:hint="eastAsia"/>
                <w:spacing w:val="-3"/>
                <w:sz w:val="21"/>
              </w:rPr>
              <w:t>突发环境污染事件。</w:t>
            </w:r>
          </w:p>
        </w:tc>
        <w:tc>
          <w:tcPr>
            <w:tcW w:w="860" w:type="dxa"/>
          </w:tcPr>
          <w:p w:rsidR="00B04AE3" w:rsidRDefault="00B04AE3">
            <w:pPr>
              <w:pStyle w:val="TableParagraph"/>
              <w:jc w:val="left"/>
              <w:rPr>
                <w:b/>
                <w:sz w:val="20"/>
              </w:rPr>
            </w:pPr>
          </w:p>
          <w:p w:rsidR="00B04AE3" w:rsidRDefault="00B04AE3">
            <w:pPr>
              <w:pStyle w:val="TableParagraph"/>
              <w:spacing w:before="151"/>
              <w:ind w:left="87" w:right="82"/>
              <w:rPr>
                <w:sz w:val="21"/>
              </w:rPr>
            </w:pPr>
            <w:r>
              <w:rPr>
                <w:rFonts w:hint="eastAsia"/>
                <w:sz w:val="21"/>
              </w:rPr>
              <w:t>中期</w:t>
            </w:r>
          </w:p>
        </w:tc>
      </w:tr>
      <w:tr w:rsidR="00B04AE3">
        <w:trPr>
          <w:trHeight w:val="1633"/>
        </w:trPr>
        <w:tc>
          <w:tcPr>
            <w:tcW w:w="435" w:type="dxa"/>
          </w:tcPr>
          <w:p w:rsidR="00B04AE3" w:rsidRDefault="00B04AE3">
            <w:pPr>
              <w:pStyle w:val="TableParagraph"/>
              <w:jc w:val="left"/>
              <w:rPr>
                <w:b/>
              </w:rPr>
            </w:pPr>
          </w:p>
          <w:p w:rsidR="00B04AE3" w:rsidRDefault="00B04AE3">
            <w:pPr>
              <w:pStyle w:val="TableParagraph"/>
              <w:spacing w:before="3"/>
              <w:jc w:val="left"/>
              <w:rPr>
                <w:b/>
                <w:sz w:val="32"/>
              </w:rPr>
            </w:pPr>
          </w:p>
          <w:p w:rsidR="00B04AE3" w:rsidRDefault="00B04AE3">
            <w:pPr>
              <w:pStyle w:val="TableParagraph"/>
              <w:spacing w:before="1"/>
              <w:ind w:left="163"/>
              <w:jc w:val="left"/>
              <w:rPr>
                <w:rFonts w:ascii="Times New Roman"/>
                <w:sz w:val="21"/>
              </w:rPr>
            </w:pPr>
            <w:r>
              <w:rPr>
                <w:rFonts w:ascii="Times New Roman"/>
                <w:w w:val="99"/>
                <w:sz w:val="21"/>
              </w:rPr>
              <w:t>4</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强化应急物资储备与设施建设：编制完善的江西金</w:t>
            </w:r>
            <w:r>
              <w:rPr>
                <w:spacing w:val="-3"/>
                <w:sz w:val="21"/>
              </w:rPr>
              <w:t xml:space="preserve"> </w:t>
            </w:r>
            <w:r>
              <w:rPr>
                <w:rFonts w:hint="eastAsia"/>
                <w:spacing w:val="-3"/>
                <w:sz w:val="21"/>
              </w:rPr>
              <w:t>品铜业科技有限公司常备应急储备物资目录；配备</w:t>
            </w:r>
            <w:r>
              <w:rPr>
                <w:spacing w:val="-3"/>
                <w:sz w:val="21"/>
              </w:rPr>
              <w:t xml:space="preserve"> </w:t>
            </w:r>
            <w:r>
              <w:rPr>
                <w:rFonts w:hint="eastAsia"/>
                <w:spacing w:val="-3"/>
                <w:sz w:val="21"/>
              </w:rPr>
              <w:t>必须的环境应急物资、装备；环境风险防范及应急所</w:t>
            </w:r>
            <w:r>
              <w:rPr>
                <w:spacing w:val="-3"/>
                <w:sz w:val="21"/>
              </w:rPr>
              <w:t xml:space="preserve"> </w:t>
            </w:r>
            <w:r>
              <w:rPr>
                <w:rFonts w:hint="eastAsia"/>
                <w:spacing w:val="-3"/>
                <w:sz w:val="21"/>
              </w:rPr>
              <w:t>需的监测、预警等所需的基本装备及物资配备需进一</w:t>
            </w:r>
            <w:r>
              <w:rPr>
                <w:spacing w:val="-3"/>
                <w:sz w:val="21"/>
              </w:rPr>
              <w:t xml:space="preserve"> </w:t>
            </w:r>
            <w:r>
              <w:rPr>
                <w:rFonts w:hint="eastAsia"/>
                <w:spacing w:val="-3"/>
                <w:sz w:val="21"/>
              </w:rPr>
              <w:t>步完善；针对公司罐区未配备堵漏器材问题。公司应</w:t>
            </w:r>
          </w:p>
          <w:p w:rsidR="00B04AE3" w:rsidRDefault="00B04AE3">
            <w:pPr>
              <w:pStyle w:val="TableParagraph"/>
              <w:spacing w:line="242" w:lineRule="auto"/>
              <w:ind w:left="107" w:right="-15"/>
              <w:jc w:val="left"/>
              <w:rPr>
                <w:spacing w:val="-3"/>
                <w:sz w:val="21"/>
              </w:rPr>
            </w:pPr>
            <w:r>
              <w:rPr>
                <w:rFonts w:hint="eastAsia"/>
                <w:spacing w:val="-3"/>
                <w:sz w:val="21"/>
              </w:rPr>
              <w:t>尽快配备必要的堵漏密封器材，如：木条、橡胶塞等。</w:t>
            </w:r>
          </w:p>
        </w:tc>
        <w:tc>
          <w:tcPr>
            <w:tcW w:w="2328" w:type="dxa"/>
          </w:tcPr>
          <w:p w:rsidR="00B04AE3" w:rsidRDefault="00B04AE3">
            <w:pPr>
              <w:pStyle w:val="TableParagraph"/>
              <w:spacing w:line="242" w:lineRule="auto"/>
              <w:ind w:left="107" w:right="-15"/>
              <w:jc w:val="left"/>
              <w:rPr>
                <w:spacing w:val="-3"/>
                <w:sz w:val="21"/>
              </w:rPr>
            </w:pPr>
            <w:r>
              <w:rPr>
                <w:rFonts w:hint="eastAsia"/>
                <w:spacing w:val="-3"/>
                <w:sz w:val="21"/>
              </w:rPr>
              <w:t>实现应急物资储备管理标准化、信息化，提高应急物资储备管理水</w:t>
            </w:r>
            <w:r>
              <w:rPr>
                <w:spacing w:val="-3"/>
                <w:sz w:val="21"/>
              </w:rPr>
              <w:t xml:space="preserve"> </w:t>
            </w:r>
            <w:r>
              <w:rPr>
                <w:rFonts w:hint="eastAsia"/>
                <w:spacing w:val="-3"/>
                <w:sz w:val="21"/>
              </w:rPr>
              <w:t>平，确保事故应急池专用、够用。</w:t>
            </w:r>
          </w:p>
        </w:tc>
        <w:tc>
          <w:tcPr>
            <w:tcW w:w="860" w:type="dxa"/>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167"/>
              <w:ind w:left="87" w:right="82"/>
              <w:rPr>
                <w:sz w:val="21"/>
              </w:rPr>
            </w:pPr>
            <w:r>
              <w:rPr>
                <w:rFonts w:hint="eastAsia"/>
                <w:sz w:val="21"/>
              </w:rPr>
              <w:t>中期</w:t>
            </w:r>
          </w:p>
        </w:tc>
      </w:tr>
      <w:tr w:rsidR="00B04AE3">
        <w:trPr>
          <w:trHeight w:val="3267"/>
        </w:trPr>
        <w:tc>
          <w:tcPr>
            <w:tcW w:w="435" w:type="dxa"/>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2"/>
              <w:jc w:val="left"/>
              <w:rPr>
                <w:b/>
                <w:sz w:val="30"/>
              </w:rPr>
            </w:pPr>
          </w:p>
          <w:p w:rsidR="00B04AE3" w:rsidRDefault="00B04AE3">
            <w:pPr>
              <w:pStyle w:val="TableParagraph"/>
              <w:ind w:left="163"/>
              <w:jc w:val="left"/>
              <w:rPr>
                <w:rFonts w:ascii="Times New Roman"/>
                <w:sz w:val="21"/>
              </w:rPr>
            </w:pPr>
            <w:r>
              <w:rPr>
                <w:rFonts w:ascii="Times New Roman"/>
                <w:w w:val="99"/>
                <w:sz w:val="21"/>
              </w:rPr>
              <w:t>5</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加强罐区围堰内地面防腐措施；厂区原辅材料全部</w:t>
            </w:r>
            <w:r>
              <w:rPr>
                <w:spacing w:val="-3"/>
                <w:sz w:val="21"/>
              </w:rPr>
              <w:t xml:space="preserve"> </w:t>
            </w:r>
            <w:r>
              <w:rPr>
                <w:rFonts w:hint="eastAsia"/>
                <w:spacing w:val="-3"/>
                <w:sz w:val="21"/>
              </w:rPr>
              <w:t>入库存放；储罐区围堰外收集池设置导流系统，使</w:t>
            </w:r>
            <w:r>
              <w:rPr>
                <w:spacing w:val="-3"/>
                <w:sz w:val="21"/>
              </w:rPr>
              <w:t xml:space="preserve"> </w:t>
            </w:r>
            <w:r>
              <w:rPr>
                <w:rFonts w:hint="eastAsia"/>
                <w:spacing w:val="-3"/>
                <w:sz w:val="21"/>
              </w:rPr>
              <w:t>事故废水导入厂区事故池；加强生产区域浓碱围堰</w:t>
            </w:r>
            <w:r>
              <w:rPr>
                <w:spacing w:val="-3"/>
                <w:sz w:val="21"/>
              </w:rPr>
              <w:t xml:space="preserve"> </w:t>
            </w:r>
            <w:r>
              <w:rPr>
                <w:rFonts w:hint="eastAsia"/>
                <w:spacing w:val="-3"/>
                <w:sz w:val="21"/>
              </w:rPr>
              <w:t>内的地面防腐措施，并设置围堰区事故收集池，完</w:t>
            </w:r>
            <w:r>
              <w:rPr>
                <w:spacing w:val="-3"/>
                <w:sz w:val="21"/>
              </w:rPr>
              <w:t xml:space="preserve"> </w:t>
            </w:r>
            <w:r>
              <w:rPr>
                <w:rFonts w:hint="eastAsia"/>
                <w:spacing w:val="-3"/>
                <w:sz w:val="21"/>
              </w:rPr>
              <w:t>善导流系统，使事故废水导入厂区事故池；罐区围</w:t>
            </w:r>
            <w:r>
              <w:rPr>
                <w:spacing w:val="-3"/>
                <w:sz w:val="21"/>
              </w:rPr>
              <w:t xml:space="preserve"> </w:t>
            </w:r>
            <w:r>
              <w:rPr>
                <w:rFonts w:hint="eastAsia"/>
                <w:spacing w:val="-3"/>
                <w:sz w:val="21"/>
              </w:rPr>
              <w:t>堰容积不小于储罐最大储存量，地面需进行防腐防</w:t>
            </w:r>
            <w:r>
              <w:rPr>
                <w:spacing w:val="-3"/>
                <w:sz w:val="21"/>
              </w:rPr>
              <w:t xml:space="preserve"> </w:t>
            </w:r>
            <w:r>
              <w:rPr>
                <w:rFonts w:hint="eastAsia"/>
                <w:spacing w:val="-3"/>
                <w:sz w:val="21"/>
              </w:rPr>
              <w:t>渗处理，并完善导排系统；按照要求应建立健全三</w:t>
            </w:r>
            <w:r>
              <w:rPr>
                <w:spacing w:val="-3"/>
                <w:sz w:val="21"/>
              </w:rPr>
              <w:t xml:space="preserve"> </w:t>
            </w:r>
            <w:r>
              <w:rPr>
                <w:rFonts w:hint="eastAsia"/>
                <w:spacing w:val="-3"/>
                <w:sz w:val="21"/>
              </w:rPr>
              <w:t>级防控体系，实现雨污分流，并将厂区初期雨水、</w:t>
            </w:r>
            <w:r>
              <w:rPr>
                <w:spacing w:val="-3"/>
                <w:sz w:val="21"/>
              </w:rPr>
              <w:t xml:space="preserve"> </w:t>
            </w:r>
            <w:r>
              <w:rPr>
                <w:rFonts w:hint="eastAsia"/>
                <w:spacing w:val="-3"/>
                <w:sz w:val="21"/>
              </w:rPr>
              <w:t>消防废水及泄漏事故废水进行收集。因此公司应围绕</w:t>
            </w:r>
            <w:r>
              <w:rPr>
                <w:spacing w:val="-3"/>
                <w:sz w:val="21"/>
              </w:rPr>
              <w:t xml:space="preserve"> </w:t>
            </w:r>
            <w:r>
              <w:rPr>
                <w:rFonts w:hint="eastAsia"/>
                <w:spacing w:val="-3"/>
                <w:sz w:val="21"/>
              </w:rPr>
              <w:t>生产区及物料贮存区设置导流沟槽，建设规范的事故</w:t>
            </w:r>
          </w:p>
          <w:p w:rsidR="00B04AE3" w:rsidRDefault="00B04AE3">
            <w:pPr>
              <w:pStyle w:val="TableParagraph"/>
              <w:spacing w:line="242" w:lineRule="auto"/>
              <w:ind w:left="107" w:right="-15"/>
              <w:jc w:val="left"/>
              <w:rPr>
                <w:spacing w:val="-3"/>
                <w:sz w:val="21"/>
              </w:rPr>
            </w:pPr>
            <w:r>
              <w:rPr>
                <w:rFonts w:hint="eastAsia"/>
                <w:spacing w:val="-3"/>
                <w:sz w:val="21"/>
              </w:rPr>
              <w:t>池，对事故水进行收集，并满足储水要求；设立雨水</w:t>
            </w:r>
            <w:r>
              <w:rPr>
                <w:spacing w:val="-3"/>
                <w:sz w:val="21"/>
              </w:rPr>
              <w:t xml:space="preserve"> </w:t>
            </w:r>
            <w:r>
              <w:rPr>
                <w:rFonts w:hint="eastAsia"/>
                <w:spacing w:val="-3"/>
                <w:sz w:val="21"/>
              </w:rPr>
              <w:t>总排口及截断措施</w:t>
            </w:r>
          </w:p>
        </w:tc>
        <w:tc>
          <w:tcPr>
            <w:tcW w:w="2328" w:type="dxa"/>
          </w:tcPr>
          <w:p w:rsidR="00B04AE3" w:rsidRDefault="00B04AE3">
            <w:pPr>
              <w:pStyle w:val="TableParagraph"/>
              <w:spacing w:line="242" w:lineRule="auto"/>
              <w:ind w:left="107" w:right="-15"/>
              <w:jc w:val="left"/>
              <w:rPr>
                <w:spacing w:val="-3"/>
                <w:sz w:val="21"/>
              </w:rPr>
            </w:pPr>
          </w:p>
          <w:p w:rsidR="00B04AE3" w:rsidRDefault="00B04AE3">
            <w:pPr>
              <w:pStyle w:val="TableParagraph"/>
              <w:spacing w:line="242" w:lineRule="auto"/>
              <w:ind w:left="107" w:right="-15"/>
              <w:jc w:val="left"/>
              <w:rPr>
                <w:spacing w:val="-3"/>
                <w:sz w:val="21"/>
              </w:rPr>
            </w:pPr>
          </w:p>
          <w:p w:rsidR="00B04AE3" w:rsidRDefault="00B04AE3">
            <w:pPr>
              <w:pStyle w:val="TableParagraph"/>
              <w:spacing w:line="242" w:lineRule="auto"/>
              <w:ind w:left="107" w:right="-15"/>
              <w:jc w:val="left"/>
              <w:rPr>
                <w:spacing w:val="-3"/>
                <w:sz w:val="21"/>
              </w:rPr>
            </w:pPr>
          </w:p>
          <w:p w:rsidR="00B04AE3" w:rsidRDefault="00B04AE3">
            <w:pPr>
              <w:pStyle w:val="TableParagraph"/>
              <w:spacing w:line="242" w:lineRule="auto"/>
              <w:ind w:left="107" w:right="-15"/>
              <w:jc w:val="left"/>
              <w:rPr>
                <w:spacing w:val="-3"/>
                <w:sz w:val="21"/>
              </w:rPr>
            </w:pPr>
          </w:p>
          <w:p w:rsidR="00B04AE3" w:rsidRDefault="00B04AE3">
            <w:pPr>
              <w:pStyle w:val="TableParagraph"/>
              <w:spacing w:line="242" w:lineRule="auto"/>
              <w:ind w:left="107" w:right="-15"/>
              <w:jc w:val="left"/>
              <w:rPr>
                <w:spacing w:val="-3"/>
                <w:sz w:val="21"/>
              </w:rPr>
            </w:pPr>
          </w:p>
          <w:p w:rsidR="00B04AE3" w:rsidRDefault="00B04AE3">
            <w:pPr>
              <w:pStyle w:val="TableParagraph"/>
              <w:spacing w:line="242" w:lineRule="auto"/>
              <w:ind w:left="107" w:right="-15"/>
              <w:jc w:val="left"/>
              <w:rPr>
                <w:spacing w:val="-3"/>
                <w:sz w:val="21"/>
              </w:rPr>
            </w:pPr>
          </w:p>
          <w:p w:rsidR="00B04AE3" w:rsidRDefault="00B04AE3">
            <w:pPr>
              <w:pStyle w:val="TableParagraph"/>
              <w:spacing w:line="242" w:lineRule="auto"/>
              <w:ind w:left="107" w:right="-15"/>
              <w:jc w:val="left"/>
              <w:rPr>
                <w:spacing w:val="-3"/>
                <w:sz w:val="21"/>
              </w:rPr>
            </w:pPr>
            <w:r>
              <w:rPr>
                <w:rFonts w:hint="eastAsia"/>
                <w:spacing w:val="-3"/>
                <w:sz w:val="21"/>
              </w:rPr>
              <w:t>消除环境安全隐患</w:t>
            </w:r>
          </w:p>
        </w:tc>
        <w:tc>
          <w:tcPr>
            <w:tcW w:w="860" w:type="dxa"/>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11"/>
              <w:jc w:val="left"/>
              <w:rPr>
                <w:b/>
                <w:sz w:val="16"/>
              </w:rPr>
            </w:pPr>
          </w:p>
          <w:p w:rsidR="00B04AE3" w:rsidRDefault="00B04AE3">
            <w:pPr>
              <w:pStyle w:val="TableParagraph"/>
              <w:ind w:left="87" w:right="82"/>
              <w:rPr>
                <w:sz w:val="21"/>
              </w:rPr>
            </w:pPr>
            <w:r>
              <w:rPr>
                <w:rFonts w:hint="eastAsia"/>
                <w:sz w:val="21"/>
              </w:rPr>
              <w:t>短期</w:t>
            </w:r>
          </w:p>
        </w:tc>
      </w:tr>
      <w:tr w:rsidR="00B04AE3">
        <w:trPr>
          <w:trHeight w:val="1087"/>
        </w:trPr>
        <w:tc>
          <w:tcPr>
            <w:tcW w:w="435" w:type="dxa"/>
          </w:tcPr>
          <w:p w:rsidR="00B04AE3" w:rsidRDefault="00B04AE3">
            <w:pPr>
              <w:pStyle w:val="TableParagraph"/>
              <w:spacing w:before="12"/>
              <w:jc w:val="left"/>
              <w:rPr>
                <w:b/>
                <w:sz w:val="32"/>
              </w:rPr>
            </w:pPr>
          </w:p>
          <w:p w:rsidR="00B04AE3" w:rsidRDefault="00B04AE3">
            <w:pPr>
              <w:pStyle w:val="TableParagraph"/>
              <w:ind w:left="163"/>
              <w:jc w:val="left"/>
              <w:rPr>
                <w:rFonts w:ascii="Times New Roman"/>
                <w:sz w:val="21"/>
              </w:rPr>
            </w:pPr>
            <w:r>
              <w:rPr>
                <w:rFonts w:ascii="Times New Roman"/>
                <w:w w:val="99"/>
                <w:sz w:val="21"/>
              </w:rPr>
              <w:t>6</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定期开展环境风险管理宣传和定期组织员工进行专题培训，形式有内部专家培训讲座及外部培训班等；</w:t>
            </w:r>
            <w:r>
              <w:rPr>
                <w:spacing w:val="-3"/>
                <w:sz w:val="21"/>
              </w:rPr>
              <w:t xml:space="preserve"> </w:t>
            </w:r>
            <w:r>
              <w:rPr>
                <w:rFonts w:hint="eastAsia"/>
                <w:spacing w:val="-3"/>
                <w:sz w:val="21"/>
              </w:rPr>
              <w:t>向周边企业、村落提供本单位有关危险物质特性、</w:t>
            </w:r>
          </w:p>
          <w:p w:rsidR="00B04AE3" w:rsidRDefault="00B04AE3">
            <w:pPr>
              <w:pStyle w:val="TableParagraph"/>
              <w:spacing w:line="242" w:lineRule="auto"/>
              <w:ind w:left="107" w:right="-15"/>
              <w:jc w:val="left"/>
              <w:rPr>
                <w:spacing w:val="-3"/>
                <w:sz w:val="21"/>
              </w:rPr>
            </w:pPr>
            <w:r>
              <w:rPr>
                <w:rFonts w:hint="eastAsia"/>
                <w:spacing w:val="-3"/>
                <w:sz w:val="21"/>
              </w:rPr>
              <w:t>应急措施、救援知识等，提醒周边公众紧急疏散事</w:t>
            </w:r>
          </w:p>
        </w:tc>
        <w:tc>
          <w:tcPr>
            <w:tcW w:w="2328" w:type="dxa"/>
          </w:tcPr>
          <w:p w:rsidR="00B04AE3" w:rsidRDefault="00B04AE3">
            <w:pPr>
              <w:pStyle w:val="TableParagraph"/>
              <w:spacing w:line="242" w:lineRule="auto"/>
              <w:ind w:left="107" w:right="-15"/>
              <w:jc w:val="left"/>
              <w:rPr>
                <w:spacing w:val="-3"/>
                <w:sz w:val="21"/>
              </w:rPr>
            </w:pPr>
          </w:p>
          <w:p w:rsidR="00B04AE3" w:rsidRDefault="00B04AE3">
            <w:pPr>
              <w:pStyle w:val="TableParagraph"/>
              <w:spacing w:line="242" w:lineRule="auto"/>
              <w:ind w:left="107" w:right="-15"/>
              <w:jc w:val="left"/>
              <w:rPr>
                <w:spacing w:val="-3"/>
                <w:sz w:val="21"/>
              </w:rPr>
            </w:pPr>
            <w:r>
              <w:rPr>
                <w:rFonts w:hint="eastAsia"/>
                <w:spacing w:val="-3"/>
                <w:sz w:val="21"/>
              </w:rPr>
              <w:t>增加应急联动能力</w:t>
            </w:r>
          </w:p>
        </w:tc>
        <w:tc>
          <w:tcPr>
            <w:tcW w:w="860" w:type="dxa"/>
          </w:tcPr>
          <w:p w:rsidR="00B04AE3" w:rsidRDefault="00B04AE3">
            <w:pPr>
              <w:pStyle w:val="TableParagraph"/>
              <w:jc w:val="left"/>
              <w:rPr>
                <w:b/>
                <w:sz w:val="20"/>
              </w:rPr>
            </w:pPr>
          </w:p>
          <w:p w:rsidR="00B04AE3" w:rsidRDefault="00B04AE3">
            <w:pPr>
              <w:pStyle w:val="TableParagraph"/>
              <w:spacing w:before="152"/>
              <w:ind w:left="87" w:right="82"/>
              <w:rPr>
                <w:sz w:val="21"/>
              </w:rPr>
            </w:pPr>
            <w:r>
              <w:rPr>
                <w:rFonts w:hint="eastAsia"/>
                <w:sz w:val="21"/>
              </w:rPr>
              <w:t>长期</w:t>
            </w:r>
          </w:p>
        </w:tc>
      </w:tr>
      <w:tr w:rsidR="00B04AE3">
        <w:trPr>
          <w:trHeight w:val="1088"/>
        </w:trPr>
        <w:tc>
          <w:tcPr>
            <w:tcW w:w="435" w:type="dxa"/>
          </w:tcPr>
          <w:p w:rsidR="00B04AE3" w:rsidRDefault="00B04AE3">
            <w:pPr>
              <w:pStyle w:val="TableParagraph"/>
              <w:jc w:val="left"/>
              <w:rPr>
                <w:rFonts w:ascii="Times New Roman"/>
                <w:sz w:val="20"/>
              </w:rPr>
            </w:pP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项；加强相关演习；按照环评中所涉及的危险物料</w:t>
            </w:r>
            <w:r>
              <w:rPr>
                <w:spacing w:val="-3"/>
                <w:sz w:val="21"/>
              </w:rPr>
              <w:t xml:space="preserve"> </w:t>
            </w:r>
            <w:r>
              <w:rPr>
                <w:rFonts w:hint="eastAsia"/>
                <w:spacing w:val="-3"/>
                <w:sz w:val="21"/>
              </w:rPr>
              <w:t>性质配备相应的监测仪器，保证公司在发生事故后</w:t>
            </w:r>
            <w:r>
              <w:rPr>
                <w:spacing w:val="-3"/>
                <w:sz w:val="21"/>
              </w:rPr>
              <w:t xml:space="preserve"> </w:t>
            </w:r>
            <w:r>
              <w:rPr>
                <w:rFonts w:hint="eastAsia"/>
                <w:spacing w:val="-3"/>
                <w:sz w:val="21"/>
              </w:rPr>
              <w:t>具备一定的自主监测能力；公司突发环境事件需要</w:t>
            </w:r>
          </w:p>
          <w:p w:rsidR="00B04AE3" w:rsidRDefault="00B04AE3">
            <w:pPr>
              <w:pStyle w:val="TableParagraph"/>
              <w:spacing w:line="242" w:lineRule="auto"/>
              <w:ind w:left="107" w:right="-15"/>
              <w:jc w:val="left"/>
              <w:rPr>
                <w:spacing w:val="-3"/>
                <w:sz w:val="21"/>
              </w:rPr>
            </w:pPr>
            <w:r>
              <w:rPr>
                <w:rFonts w:hint="eastAsia"/>
                <w:spacing w:val="-3"/>
                <w:sz w:val="21"/>
              </w:rPr>
              <w:t>及时向南昌市环保局寻求支援。</w:t>
            </w:r>
          </w:p>
        </w:tc>
        <w:tc>
          <w:tcPr>
            <w:tcW w:w="2328" w:type="dxa"/>
          </w:tcPr>
          <w:p w:rsidR="00B04AE3" w:rsidRDefault="00B04AE3">
            <w:pPr>
              <w:pStyle w:val="TableParagraph"/>
              <w:spacing w:line="242" w:lineRule="auto"/>
              <w:ind w:left="107" w:right="-15"/>
              <w:jc w:val="left"/>
              <w:rPr>
                <w:spacing w:val="-3"/>
                <w:sz w:val="21"/>
              </w:rPr>
            </w:pPr>
          </w:p>
        </w:tc>
        <w:tc>
          <w:tcPr>
            <w:tcW w:w="860" w:type="dxa"/>
          </w:tcPr>
          <w:p w:rsidR="00B04AE3" w:rsidRDefault="00B04AE3">
            <w:pPr>
              <w:pStyle w:val="TableParagraph"/>
              <w:jc w:val="left"/>
              <w:rPr>
                <w:rFonts w:ascii="Times New Roman"/>
                <w:sz w:val="20"/>
              </w:rPr>
            </w:pPr>
          </w:p>
        </w:tc>
      </w:tr>
      <w:tr w:rsidR="00B04AE3">
        <w:trPr>
          <w:trHeight w:val="340"/>
        </w:trPr>
        <w:tc>
          <w:tcPr>
            <w:tcW w:w="8528" w:type="dxa"/>
            <w:gridSpan w:val="4"/>
          </w:tcPr>
          <w:p w:rsidR="00B04AE3" w:rsidRDefault="00B04AE3">
            <w:pPr>
              <w:pStyle w:val="TableParagraph"/>
              <w:spacing w:line="242" w:lineRule="auto"/>
              <w:ind w:left="107" w:right="-15"/>
              <w:jc w:val="left"/>
              <w:rPr>
                <w:spacing w:val="-3"/>
                <w:sz w:val="21"/>
              </w:rPr>
            </w:pPr>
            <w:r>
              <w:rPr>
                <w:rFonts w:hint="eastAsia"/>
                <w:spacing w:val="-3"/>
                <w:sz w:val="21"/>
              </w:rPr>
              <w:t>三、健全企业环境风险管理体系</w:t>
            </w:r>
          </w:p>
        </w:tc>
      </w:tr>
      <w:tr w:rsidR="00B04AE3">
        <w:trPr>
          <w:trHeight w:val="1090"/>
        </w:trPr>
        <w:tc>
          <w:tcPr>
            <w:tcW w:w="435" w:type="dxa"/>
          </w:tcPr>
          <w:p w:rsidR="00B04AE3" w:rsidRDefault="00B04AE3">
            <w:pPr>
              <w:pStyle w:val="TableParagraph"/>
              <w:jc w:val="left"/>
              <w:rPr>
                <w:rFonts w:ascii="Times New Roman"/>
              </w:rPr>
            </w:pPr>
          </w:p>
          <w:p w:rsidR="00B04AE3" w:rsidRDefault="00B04AE3">
            <w:pPr>
              <w:pStyle w:val="TableParagraph"/>
              <w:spacing w:before="169"/>
              <w:ind w:left="6"/>
              <w:rPr>
                <w:rFonts w:ascii="Times New Roman"/>
                <w:sz w:val="21"/>
              </w:rPr>
            </w:pPr>
            <w:r>
              <w:rPr>
                <w:rFonts w:ascii="Times New Roman"/>
                <w:w w:val="99"/>
                <w:sz w:val="21"/>
              </w:rPr>
              <w:t>7</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完善环境风险隐患自查自纠制度：定期开展企业环</w:t>
            </w:r>
            <w:r>
              <w:rPr>
                <w:spacing w:val="-3"/>
                <w:sz w:val="21"/>
              </w:rPr>
              <w:t xml:space="preserve"> </w:t>
            </w:r>
            <w:r>
              <w:rPr>
                <w:rFonts w:hint="eastAsia"/>
                <w:spacing w:val="-3"/>
                <w:sz w:val="21"/>
              </w:rPr>
              <w:t>境风险隐患自检、自查；建立自查自纠台账，通过</w:t>
            </w:r>
            <w:r>
              <w:rPr>
                <w:spacing w:val="-3"/>
                <w:sz w:val="21"/>
              </w:rPr>
              <w:t xml:space="preserve"> </w:t>
            </w:r>
            <w:r>
              <w:rPr>
                <w:rFonts w:hint="eastAsia"/>
                <w:spacing w:val="-3"/>
                <w:sz w:val="21"/>
              </w:rPr>
              <w:t>台账审查、培训等多种形式提高责任人自查自纠能</w:t>
            </w:r>
          </w:p>
          <w:p w:rsidR="00B04AE3" w:rsidRDefault="00B04AE3">
            <w:pPr>
              <w:pStyle w:val="TableParagraph"/>
              <w:spacing w:line="242" w:lineRule="auto"/>
              <w:ind w:left="107" w:right="-15"/>
              <w:jc w:val="left"/>
              <w:rPr>
                <w:spacing w:val="-3"/>
                <w:sz w:val="21"/>
              </w:rPr>
            </w:pPr>
            <w:r>
              <w:rPr>
                <w:rFonts w:hint="eastAsia"/>
                <w:spacing w:val="-3"/>
                <w:sz w:val="21"/>
              </w:rPr>
              <w:t>力。</w:t>
            </w:r>
          </w:p>
        </w:tc>
        <w:tc>
          <w:tcPr>
            <w:tcW w:w="2328" w:type="dxa"/>
          </w:tcPr>
          <w:p w:rsidR="00B04AE3" w:rsidRDefault="00B04AE3">
            <w:pPr>
              <w:pStyle w:val="TableParagraph"/>
              <w:spacing w:line="242" w:lineRule="auto"/>
              <w:ind w:left="107" w:right="-15"/>
              <w:jc w:val="left"/>
              <w:rPr>
                <w:spacing w:val="-3"/>
                <w:sz w:val="21"/>
              </w:rPr>
            </w:pPr>
            <w:r>
              <w:rPr>
                <w:rFonts w:hint="eastAsia"/>
                <w:spacing w:val="-3"/>
                <w:sz w:val="21"/>
              </w:rPr>
              <w:t>提高企业自我发现、自我整改环境风险隐患能力，防患于未然。</w:t>
            </w:r>
          </w:p>
        </w:tc>
        <w:tc>
          <w:tcPr>
            <w:tcW w:w="860" w:type="dxa"/>
          </w:tcPr>
          <w:p w:rsidR="00B04AE3" w:rsidRDefault="00B04AE3">
            <w:pPr>
              <w:pStyle w:val="TableParagraph"/>
              <w:jc w:val="left"/>
              <w:rPr>
                <w:rFonts w:ascii="Times New Roman"/>
                <w:sz w:val="20"/>
              </w:rPr>
            </w:pPr>
          </w:p>
          <w:p w:rsidR="00B04AE3" w:rsidRDefault="00B04AE3">
            <w:pPr>
              <w:pStyle w:val="TableParagraph"/>
              <w:spacing w:before="178"/>
              <w:ind w:left="87" w:right="82"/>
              <w:rPr>
                <w:sz w:val="21"/>
              </w:rPr>
            </w:pPr>
            <w:r>
              <w:rPr>
                <w:rFonts w:hint="eastAsia"/>
                <w:sz w:val="21"/>
              </w:rPr>
              <w:t>中期</w:t>
            </w:r>
          </w:p>
        </w:tc>
      </w:tr>
      <w:tr w:rsidR="00B04AE3">
        <w:trPr>
          <w:trHeight w:val="817"/>
        </w:trPr>
        <w:tc>
          <w:tcPr>
            <w:tcW w:w="435" w:type="dxa"/>
          </w:tcPr>
          <w:p w:rsidR="00B04AE3" w:rsidRDefault="00B04AE3">
            <w:pPr>
              <w:pStyle w:val="TableParagraph"/>
              <w:spacing w:before="10"/>
              <w:jc w:val="left"/>
              <w:rPr>
                <w:rFonts w:ascii="Times New Roman"/>
                <w:sz w:val="24"/>
              </w:rPr>
            </w:pPr>
          </w:p>
          <w:p w:rsidR="00B04AE3" w:rsidRDefault="00B04AE3">
            <w:pPr>
              <w:pStyle w:val="TableParagraph"/>
              <w:spacing w:before="1"/>
              <w:ind w:left="6"/>
              <w:rPr>
                <w:rFonts w:ascii="Times New Roman"/>
                <w:sz w:val="21"/>
              </w:rPr>
            </w:pPr>
            <w:r>
              <w:rPr>
                <w:rFonts w:ascii="Times New Roman"/>
                <w:w w:val="99"/>
                <w:sz w:val="21"/>
              </w:rPr>
              <w:t>8</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建立环境风险自我评估制度：制定《江西金品铜业</w:t>
            </w:r>
          </w:p>
          <w:p w:rsidR="00B04AE3" w:rsidRDefault="00B04AE3">
            <w:pPr>
              <w:pStyle w:val="TableParagraph"/>
              <w:spacing w:line="242" w:lineRule="auto"/>
              <w:ind w:left="107" w:right="-15"/>
              <w:jc w:val="left"/>
              <w:rPr>
                <w:spacing w:val="-3"/>
                <w:sz w:val="21"/>
              </w:rPr>
            </w:pPr>
            <w:r>
              <w:rPr>
                <w:rFonts w:hint="eastAsia"/>
                <w:spacing w:val="-3"/>
                <w:sz w:val="21"/>
              </w:rPr>
              <w:t>科技有限公司环境风险评估办法》；在重点风险装</w:t>
            </w:r>
            <w:r>
              <w:rPr>
                <w:spacing w:val="-3"/>
                <w:sz w:val="21"/>
              </w:rPr>
              <w:t xml:space="preserve"> </w:t>
            </w:r>
            <w:r>
              <w:rPr>
                <w:rFonts w:hint="eastAsia"/>
                <w:spacing w:val="-3"/>
                <w:sz w:val="21"/>
              </w:rPr>
              <w:t>置布设特征污染物监控点位。</w:t>
            </w:r>
          </w:p>
        </w:tc>
        <w:tc>
          <w:tcPr>
            <w:tcW w:w="2328" w:type="dxa"/>
          </w:tcPr>
          <w:p w:rsidR="00B04AE3" w:rsidRDefault="00B04AE3">
            <w:pPr>
              <w:pStyle w:val="TableParagraph"/>
              <w:spacing w:line="242" w:lineRule="auto"/>
              <w:ind w:left="107" w:right="-15"/>
              <w:jc w:val="left"/>
              <w:rPr>
                <w:spacing w:val="-3"/>
                <w:sz w:val="21"/>
              </w:rPr>
            </w:pPr>
            <w:r>
              <w:rPr>
                <w:rFonts w:hint="eastAsia"/>
                <w:spacing w:val="-3"/>
                <w:sz w:val="21"/>
              </w:rPr>
              <w:t>总体把握企业环境风险</w:t>
            </w:r>
          </w:p>
          <w:p w:rsidR="00B04AE3" w:rsidRDefault="00B04AE3">
            <w:pPr>
              <w:pStyle w:val="TableParagraph"/>
              <w:spacing w:line="242" w:lineRule="auto"/>
              <w:ind w:left="107" w:right="-15"/>
              <w:jc w:val="left"/>
              <w:rPr>
                <w:spacing w:val="-3"/>
                <w:sz w:val="21"/>
              </w:rPr>
            </w:pPr>
            <w:r>
              <w:rPr>
                <w:rFonts w:hint="eastAsia"/>
                <w:spacing w:val="-3"/>
                <w:sz w:val="21"/>
              </w:rPr>
              <w:t>问题，提高企业环境风险管理效率、效果。</w:t>
            </w:r>
          </w:p>
        </w:tc>
        <w:tc>
          <w:tcPr>
            <w:tcW w:w="860" w:type="dxa"/>
          </w:tcPr>
          <w:p w:rsidR="00B04AE3" w:rsidRDefault="00B04AE3">
            <w:pPr>
              <w:pStyle w:val="TableParagraph"/>
              <w:spacing w:before="8"/>
              <w:jc w:val="left"/>
              <w:rPr>
                <w:rFonts w:ascii="Times New Roman"/>
                <w:sz w:val="23"/>
              </w:rPr>
            </w:pPr>
          </w:p>
          <w:p w:rsidR="00B04AE3" w:rsidRDefault="00B04AE3">
            <w:pPr>
              <w:pStyle w:val="TableParagraph"/>
              <w:ind w:left="87" w:right="82"/>
              <w:rPr>
                <w:sz w:val="21"/>
              </w:rPr>
            </w:pPr>
            <w:r>
              <w:rPr>
                <w:rFonts w:hint="eastAsia"/>
                <w:sz w:val="21"/>
              </w:rPr>
              <w:t>短期</w:t>
            </w:r>
          </w:p>
        </w:tc>
      </w:tr>
      <w:tr w:rsidR="00B04AE3">
        <w:trPr>
          <w:trHeight w:val="817"/>
        </w:trPr>
        <w:tc>
          <w:tcPr>
            <w:tcW w:w="435" w:type="dxa"/>
          </w:tcPr>
          <w:p w:rsidR="00B04AE3" w:rsidRDefault="00B04AE3">
            <w:pPr>
              <w:pStyle w:val="TableParagraph"/>
              <w:spacing w:before="9"/>
              <w:jc w:val="left"/>
              <w:rPr>
                <w:rFonts w:ascii="Times New Roman"/>
                <w:sz w:val="24"/>
              </w:rPr>
            </w:pPr>
          </w:p>
          <w:p w:rsidR="00B04AE3" w:rsidRDefault="00B04AE3">
            <w:pPr>
              <w:pStyle w:val="TableParagraph"/>
              <w:ind w:left="6"/>
              <w:rPr>
                <w:rFonts w:ascii="Times New Roman"/>
                <w:sz w:val="21"/>
              </w:rPr>
            </w:pPr>
            <w:r>
              <w:rPr>
                <w:rFonts w:ascii="Times New Roman"/>
                <w:w w:val="99"/>
                <w:sz w:val="21"/>
              </w:rPr>
              <w:t>9</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加强污染物动态监控：在关键装置区、厂界等区域</w:t>
            </w:r>
            <w:r>
              <w:rPr>
                <w:spacing w:val="-3"/>
                <w:sz w:val="21"/>
              </w:rPr>
              <w:t xml:space="preserve"> </w:t>
            </w:r>
            <w:r>
              <w:rPr>
                <w:rFonts w:hint="eastAsia"/>
                <w:spacing w:val="-3"/>
                <w:sz w:val="21"/>
              </w:rPr>
              <w:t>内设置固定监测点；</w:t>
            </w:r>
          </w:p>
        </w:tc>
        <w:tc>
          <w:tcPr>
            <w:tcW w:w="2328" w:type="dxa"/>
          </w:tcPr>
          <w:p w:rsidR="00B04AE3" w:rsidRDefault="00B04AE3">
            <w:pPr>
              <w:pStyle w:val="TableParagraph"/>
              <w:spacing w:line="242" w:lineRule="auto"/>
              <w:ind w:left="107" w:right="-15"/>
              <w:jc w:val="left"/>
              <w:rPr>
                <w:spacing w:val="-3"/>
                <w:sz w:val="21"/>
              </w:rPr>
            </w:pPr>
            <w:r>
              <w:rPr>
                <w:rFonts w:hint="eastAsia"/>
                <w:spacing w:val="-3"/>
                <w:sz w:val="21"/>
              </w:rPr>
              <w:t>及时发现超标排放与事故排放的情况，防微杜</w:t>
            </w:r>
          </w:p>
          <w:p w:rsidR="00B04AE3" w:rsidRDefault="00B04AE3">
            <w:pPr>
              <w:pStyle w:val="TableParagraph"/>
              <w:spacing w:line="242" w:lineRule="auto"/>
              <w:ind w:left="107" w:right="-15"/>
              <w:jc w:val="left"/>
              <w:rPr>
                <w:spacing w:val="-3"/>
                <w:sz w:val="21"/>
              </w:rPr>
            </w:pPr>
            <w:r>
              <w:rPr>
                <w:rFonts w:hint="eastAsia"/>
                <w:spacing w:val="-3"/>
                <w:sz w:val="21"/>
              </w:rPr>
              <w:t>渐，降低环境影响。</w:t>
            </w:r>
          </w:p>
        </w:tc>
        <w:tc>
          <w:tcPr>
            <w:tcW w:w="860" w:type="dxa"/>
          </w:tcPr>
          <w:p w:rsidR="00B04AE3" w:rsidRDefault="00B04AE3">
            <w:pPr>
              <w:pStyle w:val="TableParagraph"/>
              <w:spacing w:before="7"/>
              <w:jc w:val="left"/>
              <w:rPr>
                <w:rFonts w:ascii="Times New Roman"/>
                <w:sz w:val="23"/>
              </w:rPr>
            </w:pPr>
          </w:p>
          <w:p w:rsidR="00B04AE3" w:rsidRDefault="00B04AE3">
            <w:pPr>
              <w:pStyle w:val="TableParagraph"/>
              <w:ind w:left="87" w:right="82"/>
              <w:rPr>
                <w:sz w:val="21"/>
              </w:rPr>
            </w:pPr>
            <w:r>
              <w:rPr>
                <w:rFonts w:hint="eastAsia"/>
                <w:sz w:val="21"/>
              </w:rPr>
              <w:t>中期</w:t>
            </w:r>
          </w:p>
        </w:tc>
      </w:tr>
      <w:tr w:rsidR="00B04AE3">
        <w:trPr>
          <w:trHeight w:val="1362"/>
        </w:trPr>
        <w:tc>
          <w:tcPr>
            <w:tcW w:w="435" w:type="dxa"/>
          </w:tcPr>
          <w:p w:rsidR="00B04AE3" w:rsidRDefault="00B04AE3">
            <w:pPr>
              <w:pStyle w:val="TableParagraph"/>
              <w:jc w:val="left"/>
              <w:rPr>
                <w:rFonts w:ascii="Times New Roman"/>
              </w:rPr>
            </w:pPr>
          </w:p>
          <w:p w:rsidR="00B04AE3" w:rsidRDefault="00B04AE3">
            <w:pPr>
              <w:pStyle w:val="TableParagraph"/>
              <w:spacing w:before="5"/>
              <w:jc w:val="left"/>
              <w:rPr>
                <w:rFonts w:ascii="Times New Roman"/>
                <w:sz w:val="26"/>
              </w:rPr>
            </w:pPr>
          </w:p>
          <w:p w:rsidR="00B04AE3" w:rsidRDefault="00B04AE3">
            <w:pPr>
              <w:pStyle w:val="TableParagraph"/>
              <w:ind w:left="90" w:right="84"/>
              <w:rPr>
                <w:rFonts w:ascii="Times New Roman"/>
                <w:sz w:val="21"/>
              </w:rPr>
            </w:pPr>
            <w:r>
              <w:rPr>
                <w:rFonts w:ascii="Times New Roman"/>
                <w:sz w:val="21"/>
              </w:rPr>
              <w:t>10</w:t>
            </w:r>
          </w:p>
        </w:tc>
        <w:tc>
          <w:tcPr>
            <w:tcW w:w="4905" w:type="dxa"/>
          </w:tcPr>
          <w:p w:rsidR="00B04AE3" w:rsidRDefault="00B04AE3">
            <w:pPr>
              <w:pStyle w:val="TableParagraph"/>
              <w:spacing w:line="242" w:lineRule="auto"/>
              <w:ind w:left="107" w:right="-15"/>
              <w:jc w:val="left"/>
              <w:rPr>
                <w:spacing w:val="-3"/>
                <w:sz w:val="21"/>
              </w:rPr>
            </w:pPr>
            <w:r>
              <w:rPr>
                <w:rFonts w:hint="eastAsia"/>
                <w:spacing w:val="-3"/>
                <w:sz w:val="21"/>
              </w:rPr>
              <w:t>实施环境风险预测预警：编制《江西金品铜业科技</w:t>
            </w:r>
            <w:r>
              <w:rPr>
                <w:spacing w:val="-3"/>
                <w:sz w:val="21"/>
              </w:rPr>
              <w:t xml:space="preserve"> </w:t>
            </w:r>
            <w:r>
              <w:rPr>
                <w:rFonts w:hint="eastAsia"/>
                <w:spacing w:val="-3"/>
                <w:sz w:val="21"/>
              </w:rPr>
              <w:t>有限公司环境风险预测预警方案》；建立预测预警</w:t>
            </w:r>
            <w:r>
              <w:rPr>
                <w:spacing w:val="-3"/>
                <w:sz w:val="21"/>
              </w:rPr>
              <w:t xml:space="preserve"> </w:t>
            </w:r>
            <w:r>
              <w:rPr>
                <w:rFonts w:hint="eastAsia"/>
                <w:spacing w:val="-3"/>
                <w:sz w:val="21"/>
              </w:rPr>
              <w:t>系统；根据需要及时对企业员工、周边企业、村民</w:t>
            </w:r>
          </w:p>
          <w:p w:rsidR="00B04AE3" w:rsidRDefault="00B04AE3">
            <w:pPr>
              <w:pStyle w:val="TableParagraph"/>
              <w:spacing w:line="242" w:lineRule="auto"/>
              <w:ind w:left="107" w:right="-15"/>
              <w:jc w:val="left"/>
              <w:rPr>
                <w:spacing w:val="-3"/>
                <w:sz w:val="21"/>
              </w:rPr>
            </w:pPr>
            <w:r>
              <w:rPr>
                <w:rFonts w:hint="eastAsia"/>
                <w:spacing w:val="-3"/>
                <w:sz w:val="21"/>
              </w:rPr>
              <w:t>实施预警；提高与政府有关部门、周边企业的联合</w:t>
            </w:r>
            <w:r>
              <w:rPr>
                <w:spacing w:val="-3"/>
                <w:sz w:val="21"/>
              </w:rPr>
              <w:t xml:space="preserve"> </w:t>
            </w:r>
            <w:r>
              <w:rPr>
                <w:rFonts w:hint="eastAsia"/>
                <w:spacing w:val="-3"/>
                <w:sz w:val="21"/>
              </w:rPr>
              <w:t>预测预警能力。</w:t>
            </w:r>
          </w:p>
        </w:tc>
        <w:tc>
          <w:tcPr>
            <w:tcW w:w="2328" w:type="dxa"/>
          </w:tcPr>
          <w:p w:rsidR="00B04AE3" w:rsidRDefault="00B04AE3">
            <w:pPr>
              <w:pStyle w:val="TableParagraph"/>
              <w:spacing w:line="242" w:lineRule="auto"/>
              <w:ind w:left="107" w:right="-15"/>
              <w:jc w:val="left"/>
              <w:rPr>
                <w:spacing w:val="-3"/>
                <w:sz w:val="21"/>
              </w:rPr>
            </w:pPr>
            <w:r>
              <w:rPr>
                <w:rFonts w:hint="eastAsia"/>
                <w:spacing w:val="-3"/>
                <w:sz w:val="21"/>
              </w:rPr>
              <w:t>提高环境风险预测预警能力，有效预防环境风险事件发生，降低影响程度。</w:t>
            </w:r>
          </w:p>
        </w:tc>
        <w:tc>
          <w:tcPr>
            <w:tcW w:w="860" w:type="dxa"/>
          </w:tcPr>
          <w:p w:rsidR="00B04AE3" w:rsidRDefault="00B04AE3">
            <w:pPr>
              <w:pStyle w:val="TableParagraph"/>
              <w:jc w:val="left"/>
              <w:rPr>
                <w:rFonts w:ascii="Times New Roman"/>
                <w:sz w:val="20"/>
              </w:rPr>
            </w:pPr>
          </w:p>
          <w:p w:rsidR="00B04AE3" w:rsidRDefault="00B04AE3">
            <w:pPr>
              <w:pStyle w:val="TableParagraph"/>
              <w:spacing w:before="3"/>
              <w:jc w:val="left"/>
              <w:rPr>
                <w:rFonts w:ascii="Times New Roman"/>
                <w:sz w:val="27"/>
              </w:rPr>
            </w:pPr>
          </w:p>
          <w:p w:rsidR="00B04AE3" w:rsidRDefault="00B04AE3">
            <w:pPr>
              <w:pStyle w:val="TableParagraph"/>
              <w:ind w:left="87" w:right="82"/>
              <w:rPr>
                <w:sz w:val="21"/>
              </w:rPr>
            </w:pPr>
            <w:r>
              <w:rPr>
                <w:rFonts w:hint="eastAsia"/>
                <w:sz w:val="21"/>
              </w:rPr>
              <w:t>中期</w:t>
            </w:r>
          </w:p>
        </w:tc>
      </w:tr>
    </w:tbl>
    <w:p w:rsidR="00B04AE3" w:rsidRDefault="00B04AE3">
      <w:pPr>
        <w:rPr>
          <w:sz w:val="21"/>
        </w:rPr>
        <w:sectPr w:rsidR="00B04AE3">
          <w:pgSz w:w="11910" w:h="16840"/>
          <w:pgMar w:top="1360" w:right="1000" w:bottom="900" w:left="1000" w:header="746" w:footer="720" w:gutter="0"/>
          <w:cols w:space="720"/>
        </w:sectPr>
      </w:pPr>
    </w:p>
    <w:p w:rsidR="00B04AE3" w:rsidRDefault="00B04AE3">
      <w:pPr>
        <w:pStyle w:val="Heading1"/>
        <w:numPr>
          <w:ilvl w:val="0"/>
          <w:numId w:val="46"/>
        </w:numPr>
        <w:tabs>
          <w:tab w:val="left" w:pos="1458"/>
        </w:tabs>
        <w:ind w:left="1457" w:hanging="660"/>
        <w:rPr>
          <w:rFonts w:ascii="Times New Roman" w:eastAsia="Times New Roman"/>
        </w:rPr>
      </w:pPr>
      <w:bookmarkStart w:id="351" w:name="6__企业突发环境事件风险等级"/>
      <w:bookmarkStart w:id="352" w:name="_bookmark123"/>
      <w:bookmarkEnd w:id="351"/>
      <w:bookmarkEnd w:id="352"/>
      <w:r>
        <w:rPr>
          <w:rFonts w:hint="eastAsia"/>
        </w:rPr>
        <w:t>企业突发环境事件风险等级</w:t>
      </w:r>
    </w:p>
    <w:p w:rsidR="00B04AE3" w:rsidRDefault="00B04AE3">
      <w:pPr>
        <w:pStyle w:val="BodyText"/>
        <w:spacing w:line="364" w:lineRule="auto"/>
        <w:ind w:left="797" w:right="675" w:firstLine="480"/>
        <w:jc w:val="both"/>
      </w:pPr>
      <w:r>
        <w:rPr>
          <w:rFonts w:hint="eastAsia"/>
        </w:rPr>
        <w:t>根据中华人民共和国国家环境保护部《企业突发环境事件风险分级办法（</w:t>
      </w:r>
      <w:r>
        <w:t>HJ941-2018</w:t>
      </w:r>
      <w:r>
        <w:rPr>
          <w:rFonts w:hint="eastAsia"/>
        </w:rPr>
        <w:t>）》要求，根据企业生产、使用、存储和释放的突发环境事件风险物质数量与其临界量的比值（</w:t>
      </w:r>
      <w:r>
        <w:t>Q</w:t>
      </w:r>
      <w:r>
        <w:rPr>
          <w:rFonts w:hint="eastAsia"/>
        </w:rPr>
        <w:t>），评估生产工艺过程与环境风险控制水平（</w:t>
      </w:r>
      <w:r>
        <w:t>M</w:t>
      </w:r>
      <w:r>
        <w:rPr>
          <w:rFonts w:hint="eastAsia"/>
        </w:rPr>
        <w:t>）</w:t>
      </w:r>
      <w:r>
        <w:t xml:space="preserve"> </w:t>
      </w:r>
      <w:r>
        <w:rPr>
          <w:rFonts w:hint="eastAsia"/>
        </w:rPr>
        <w:t>以及环境风险受体敏感程度（</w:t>
      </w:r>
      <w:r>
        <w:t>E</w:t>
      </w:r>
      <w:r>
        <w:rPr>
          <w:rFonts w:hint="eastAsia"/>
        </w:rPr>
        <w:t>）的评估分析结果，分别评估企业突发大气环境事件风险和突发水环境事件风险，将企业突发大气或水环境风险事件等级划分为一般环境风险、较大环境风险和重大环境风险三级，分别用蓝色、黄色和红色标识。同时涉及突发大气和水环境事件风险的企业，以等级高者确定企业突发环境事件风险等级。</w:t>
      </w:r>
    </w:p>
    <w:p w:rsidR="00B04AE3" w:rsidRDefault="00B04AE3">
      <w:pPr>
        <w:pStyle w:val="BodyText"/>
        <w:spacing w:before="2"/>
        <w:ind w:left="1277"/>
      </w:pPr>
      <w:r>
        <w:rPr>
          <w:rFonts w:hint="eastAsia"/>
        </w:rPr>
        <w:t>评估程序见图</w:t>
      </w:r>
      <w:r>
        <w:t xml:space="preserve"> </w:t>
      </w:r>
      <w:r>
        <w:rPr>
          <w:rFonts w:ascii="Times New Roman" w:eastAsia="Times New Roman"/>
        </w:rPr>
        <w:t>6.1-1</w:t>
      </w:r>
      <w:r>
        <w:rPr>
          <w:rFonts w:hint="eastAsia"/>
        </w:rPr>
        <w:t>。</w:t>
      </w:r>
    </w:p>
    <w:p w:rsidR="00B04AE3" w:rsidRDefault="00B04AE3">
      <w:pPr>
        <w:pStyle w:val="BodyText"/>
        <w:spacing w:before="4"/>
        <w:rPr>
          <w:sz w:val="18"/>
        </w:rPr>
      </w:pPr>
      <w:r w:rsidRPr="00E43F4D">
        <w:rPr>
          <w:noProof/>
          <w:sz w:val="18"/>
          <w:lang w:val="en-US"/>
        </w:rPr>
        <w:pict>
          <v:shape id="图片 9" o:spid="_x0000_i1065" type="#_x0000_t75" alt="8" style="width:493.5pt;height:412.5pt;visibility:visible">
            <v:imagedata r:id="rId81" o:title=""/>
          </v:shape>
        </w:pict>
      </w:r>
    </w:p>
    <w:p w:rsidR="00B04AE3" w:rsidRDefault="00B04AE3">
      <w:pPr>
        <w:tabs>
          <w:tab w:val="left" w:pos="1056"/>
        </w:tabs>
        <w:spacing w:before="1"/>
        <w:ind w:left="17"/>
        <w:jc w:val="center"/>
        <w:rPr>
          <w:b/>
          <w:sz w:val="24"/>
        </w:rPr>
      </w:pPr>
      <w:r>
        <w:rPr>
          <w:rFonts w:hint="eastAsia"/>
          <w:b/>
          <w:sz w:val="24"/>
        </w:rPr>
        <w:t>图</w:t>
      </w:r>
      <w:r>
        <w:rPr>
          <w:b/>
          <w:spacing w:val="-62"/>
          <w:sz w:val="24"/>
        </w:rPr>
        <w:t xml:space="preserve"> </w:t>
      </w:r>
      <w:r>
        <w:rPr>
          <w:rFonts w:ascii="Times New Roman" w:eastAsia="Times New Roman"/>
          <w:b/>
          <w:sz w:val="24"/>
        </w:rPr>
        <w:t>6.1-1</w:t>
      </w:r>
      <w:r>
        <w:rPr>
          <w:rFonts w:ascii="Times New Roman" w:eastAsia="Times New Roman"/>
          <w:b/>
          <w:sz w:val="24"/>
        </w:rPr>
        <w:tab/>
      </w:r>
      <w:r>
        <w:rPr>
          <w:rFonts w:hint="eastAsia"/>
          <w:b/>
          <w:sz w:val="24"/>
        </w:rPr>
        <w:t>企业突发环境事件风险等级划分流程示意图</w:t>
      </w:r>
    </w:p>
    <w:p w:rsidR="00B04AE3" w:rsidRDefault="00B04AE3">
      <w:pPr>
        <w:jc w:val="center"/>
        <w:rPr>
          <w:sz w:val="24"/>
        </w:rPr>
        <w:sectPr w:rsidR="00B04AE3">
          <w:headerReference w:type="default" r:id="rId82"/>
          <w:footerReference w:type="default" r:id="rId83"/>
          <w:pgSz w:w="11910" w:h="16840"/>
          <w:pgMar w:top="1360" w:right="1000" w:bottom="1180" w:left="1000" w:header="878" w:footer="993" w:gutter="0"/>
          <w:pgNumType w:start="54"/>
          <w:cols w:space="720"/>
        </w:sectPr>
      </w:pPr>
    </w:p>
    <w:p w:rsidR="00B04AE3" w:rsidRDefault="00B04AE3">
      <w:pPr>
        <w:pStyle w:val="Heading2"/>
        <w:numPr>
          <w:ilvl w:val="1"/>
          <w:numId w:val="46"/>
        </w:numPr>
        <w:tabs>
          <w:tab w:val="left" w:pos="1357"/>
        </w:tabs>
        <w:spacing w:before="65"/>
        <w:ind w:hanging="559"/>
      </w:pPr>
      <w:bookmarkStart w:id="353" w:name="6.1_突发大气环境事件风险分级"/>
      <w:bookmarkStart w:id="354" w:name="_bookmark124"/>
      <w:bookmarkEnd w:id="353"/>
      <w:bookmarkEnd w:id="354"/>
      <w:r>
        <w:rPr>
          <w:rFonts w:hint="eastAsia"/>
        </w:rPr>
        <w:t>突发大气环境事件风险分级</w:t>
      </w:r>
    </w:p>
    <w:p w:rsidR="00B04AE3" w:rsidRDefault="00B04AE3">
      <w:pPr>
        <w:pStyle w:val="Heading3"/>
        <w:numPr>
          <w:ilvl w:val="2"/>
          <w:numId w:val="47"/>
        </w:numPr>
        <w:tabs>
          <w:tab w:val="left" w:pos="1338"/>
        </w:tabs>
        <w:spacing w:before="1"/>
      </w:pPr>
      <w:bookmarkStart w:id="355" w:name="6.1.1计算涉气风险物质数量与临界量比值（Q）"/>
      <w:bookmarkStart w:id="356" w:name="_bookmark125"/>
      <w:bookmarkEnd w:id="355"/>
      <w:bookmarkEnd w:id="356"/>
      <w:r>
        <w:rPr>
          <w:rFonts w:hint="eastAsia"/>
        </w:rPr>
        <w:t>计算涉气风险物质数量与临界量比值（</w:t>
      </w:r>
      <w:r>
        <w:rPr>
          <w:rFonts w:ascii="Times New Roman" w:eastAsia="Times New Roman"/>
        </w:rPr>
        <w:t>Q</w:t>
      </w:r>
      <w:r>
        <w:rPr>
          <w:rFonts w:hint="eastAsia"/>
        </w:rPr>
        <w:t>）</w:t>
      </w:r>
    </w:p>
    <w:p w:rsidR="00B04AE3" w:rsidRDefault="00B04AE3">
      <w:pPr>
        <w:pStyle w:val="BodyText"/>
        <w:spacing w:line="364" w:lineRule="auto"/>
        <w:ind w:left="797" w:right="675" w:firstLine="480"/>
        <w:jc w:val="both"/>
      </w:pPr>
      <w:r>
        <w:rPr>
          <w:rFonts w:hint="eastAsia"/>
        </w:rPr>
        <w:t>涉气风险物质包括附录</w:t>
      </w:r>
      <w:r>
        <w:t xml:space="preserve"> A </w:t>
      </w:r>
      <w:r>
        <w:rPr>
          <w:rFonts w:hint="eastAsia"/>
        </w:rPr>
        <w:t>中的第一、第二、第三、第四、第六部分全部风险物质以及第八部分中除</w:t>
      </w:r>
      <w:r>
        <w:t xml:space="preserve">NH3-N </w:t>
      </w:r>
      <w:r>
        <w:rPr>
          <w:rFonts w:hint="eastAsia"/>
        </w:rPr>
        <w:t>浓度≥</w:t>
      </w:r>
      <w:r>
        <w:t xml:space="preserve">2000mg/L </w:t>
      </w:r>
      <w:r>
        <w:rPr>
          <w:rFonts w:hint="eastAsia"/>
        </w:rPr>
        <w:t>的废液、</w:t>
      </w:r>
      <w:r>
        <w:t xml:space="preserve">CODCr </w:t>
      </w:r>
      <w:r>
        <w:rPr>
          <w:rFonts w:hint="eastAsia"/>
        </w:rPr>
        <w:t>浓度≥</w:t>
      </w:r>
      <w:r>
        <w:t xml:space="preserve">10000mg/L </w:t>
      </w:r>
      <w:r>
        <w:rPr>
          <w:rFonts w:hint="eastAsia"/>
        </w:rPr>
        <w:t>的有机废液之外的气态和可挥发造成突发大气环境事件的固态、液态风险物质。</w:t>
      </w:r>
    </w:p>
    <w:p w:rsidR="00B04AE3" w:rsidRDefault="00B04AE3">
      <w:pPr>
        <w:pStyle w:val="BodyText"/>
        <w:spacing w:line="364" w:lineRule="auto"/>
        <w:ind w:left="797" w:right="675" w:firstLine="480"/>
        <w:jc w:val="both"/>
      </w:pPr>
      <w:r>
        <w:rPr>
          <w:rFonts w:hint="eastAsia"/>
        </w:rPr>
        <w:t>判断企业生产原料、产品、中间产品、副产品、催化剂、辅助生产物料、燃料、“三废”</w:t>
      </w:r>
      <w:r>
        <w:t xml:space="preserve"> </w:t>
      </w:r>
      <w:r>
        <w:rPr>
          <w:rFonts w:hint="eastAsia"/>
        </w:rPr>
        <w:t>污染物等是否涉及大气环境风险物质（混合或稀释的风险物质按其组分比例折算成纯物质），计算涉气风险物质在厂界内的存在量（如存在量呈动态变化，则按年度内最大存在量计算）</w:t>
      </w:r>
      <w:r>
        <w:t xml:space="preserve"> </w:t>
      </w:r>
      <w:r>
        <w:rPr>
          <w:rFonts w:hint="eastAsia"/>
        </w:rPr>
        <w:t>与其在附录</w:t>
      </w:r>
      <w:r>
        <w:t xml:space="preserve"> A </w:t>
      </w:r>
      <w:r>
        <w:rPr>
          <w:rFonts w:hint="eastAsia"/>
        </w:rPr>
        <w:t>中临界量的比值</w:t>
      </w:r>
      <w:r>
        <w:t xml:space="preserve"> Q</w:t>
      </w:r>
      <w:r>
        <w:rPr>
          <w:rFonts w:hint="eastAsia"/>
        </w:rPr>
        <w:t>：</w:t>
      </w:r>
    </w:p>
    <w:p w:rsidR="00B04AE3" w:rsidRDefault="00B04AE3">
      <w:pPr>
        <w:pStyle w:val="BodyText"/>
        <w:spacing w:line="364" w:lineRule="auto"/>
        <w:ind w:left="797" w:right="675" w:firstLine="480"/>
        <w:jc w:val="both"/>
      </w:pPr>
      <w:r>
        <w:rPr>
          <w:rFonts w:hint="eastAsia"/>
        </w:rPr>
        <w:t>当企业只涉及一种风险物质时，该物质的数量与其临界量比值，即为</w:t>
      </w:r>
      <w:r>
        <w:t xml:space="preserve"> Q</w:t>
      </w:r>
      <w:r>
        <w:rPr>
          <w:rFonts w:hint="eastAsia"/>
        </w:rPr>
        <w:t>。</w:t>
      </w:r>
    </w:p>
    <w:p w:rsidR="00B04AE3" w:rsidRDefault="00B04AE3">
      <w:pPr>
        <w:pStyle w:val="BodyText"/>
        <w:spacing w:line="364" w:lineRule="auto"/>
        <w:ind w:left="797" w:right="675" w:firstLine="480"/>
        <w:jc w:val="both"/>
      </w:pPr>
      <w:r>
        <w:rPr>
          <w:rFonts w:hint="eastAsia"/>
        </w:rPr>
        <w:t>当企业存在多种风险物质时，则按式（</w:t>
      </w:r>
      <w:r>
        <w:t>1</w:t>
      </w:r>
      <w:r>
        <w:rPr>
          <w:rFonts w:hint="eastAsia"/>
        </w:rPr>
        <w:t>）计算：</w:t>
      </w:r>
    </w:p>
    <w:p w:rsidR="00B04AE3" w:rsidRDefault="00B04AE3">
      <w:pPr>
        <w:pStyle w:val="BodyText"/>
        <w:rPr>
          <w:sz w:val="20"/>
        </w:rPr>
      </w:pPr>
    </w:p>
    <w:p w:rsidR="00B04AE3" w:rsidRDefault="00B04AE3">
      <w:pPr>
        <w:pStyle w:val="BodyText"/>
        <w:spacing w:before="1"/>
        <w:rPr>
          <w:sz w:val="27"/>
        </w:rPr>
      </w:pPr>
    </w:p>
    <w:p w:rsidR="00B04AE3" w:rsidRDefault="00B04AE3">
      <w:pPr>
        <w:spacing w:before="76"/>
        <w:ind w:right="797"/>
        <w:jc w:val="right"/>
        <w:rPr>
          <w:b/>
          <w:sz w:val="21"/>
        </w:rPr>
      </w:pPr>
      <w:r>
        <w:rPr>
          <w:noProof/>
          <w:lang w:val="en-US"/>
        </w:rPr>
        <w:pict>
          <v:shape id="image56.png" o:spid="_x0000_s1467" type="#_x0000_t75" style="position:absolute;left:0;text-align:left;margin-left:227.35pt;margin-top:-20.05pt;width:120.5pt;height:29.5pt;z-index:251662848;visibility:visible;mso-wrap-distance-left:0;mso-wrap-distance-right:0;mso-position-horizontal-relative:page">
            <v:imagedata r:id="rId84" o:title=""/>
            <w10:wrap anchorx="page"/>
          </v:shape>
        </w:pict>
      </w:r>
      <w:r>
        <w:rPr>
          <w:rFonts w:hint="eastAsia"/>
          <w:b/>
          <w:w w:val="90"/>
          <w:sz w:val="21"/>
        </w:rPr>
        <w:t>（</w:t>
      </w:r>
      <w:r>
        <w:rPr>
          <w:rFonts w:ascii="Times New Roman" w:eastAsia="Times New Roman"/>
          <w:b/>
          <w:w w:val="90"/>
          <w:sz w:val="21"/>
        </w:rPr>
        <w:t>1</w:t>
      </w:r>
      <w:r>
        <w:rPr>
          <w:rFonts w:hint="eastAsia"/>
          <w:b/>
          <w:w w:val="90"/>
          <w:sz w:val="21"/>
        </w:rPr>
        <w:t>）</w:t>
      </w:r>
    </w:p>
    <w:p w:rsidR="00B04AE3" w:rsidRDefault="00B04AE3">
      <w:pPr>
        <w:pStyle w:val="BodyText"/>
        <w:spacing w:before="184" w:line="374" w:lineRule="auto"/>
        <w:ind w:left="1997" w:right="2901" w:hanging="720"/>
      </w:pPr>
      <w:r>
        <w:rPr>
          <w:rFonts w:hint="eastAsia"/>
        </w:rPr>
        <w:t>式中：</w:t>
      </w:r>
      <w:r>
        <w:rPr>
          <w:rFonts w:ascii="Times New Roman" w:hAnsi="Times New Roman"/>
        </w:rPr>
        <w:t>w1, w2, ..., wn——</w:t>
      </w:r>
      <w:r>
        <w:rPr>
          <w:rFonts w:hint="eastAsia"/>
        </w:rPr>
        <w:t>每种风险物质的存在量，</w:t>
      </w:r>
      <w:r>
        <w:rPr>
          <w:rFonts w:ascii="Times New Roman" w:hAnsi="Times New Roman"/>
        </w:rPr>
        <w:t>t</w:t>
      </w:r>
      <w:r>
        <w:rPr>
          <w:rFonts w:hint="eastAsia"/>
        </w:rPr>
        <w:t>；</w:t>
      </w:r>
      <w:r>
        <w:t xml:space="preserve"> </w:t>
      </w:r>
      <w:r>
        <w:rPr>
          <w:rFonts w:ascii="Times New Roman" w:hAnsi="Times New Roman"/>
        </w:rPr>
        <w:t>W1, W2, ..., Wn——</w:t>
      </w:r>
      <w:r>
        <w:rPr>
          <w:rFonts w:hint="eastAsia"/>
        </w:rPr>
        <w:t>每种风险物质的临界量，</w:t>
      </w:r>
      <w:r>
        <w:rPr>
          <w:rFonts w:ascii="Times New Roman" w:hAnsi="Times New Roman"/>
        </w:rPr>
        <w:t>t</w:t>
      </w:r>
      <w:r>
        <w:rPr>
          <w:rFonts w:hint="eastAsia"/>
        </w:rPr>
        <w:t>。</w:t>
      </w:r>
    </w:p>
    <w:p w:rsidR="00B04AE3" w:rsidRDefault="00B04AE3">
      <w:pPr>
        <w:pStyle w:val="BodyText"/>
        <w:ind w:left="1277"/>
      </w:pPr>
      <w:r>
        <w:rPr>
          <w:rFonts w:hint="eastAsia"/>
        </w:rPr>
        <w:t>按照数值大小，将</w:t>
      </w:r>
      <w:r>
        <w:t xml:space="preserve"> </w:t>
      </w:r>
      <w:r>
        <w:rPr>
          <w:rFonts w:ascii="Times New Roman" w:eastAsia="Times New Roman"/>
        </w:rPr>
        <w:t>Q</w:t>
      </w:r>
      <w:r>
        <w:rPr>
          <w:rFonts w:ascii="Times New Roman" w:eastAsia="Times New Roman"/>
          <w:spacing w:val="59"/>
        </w:rPr>
        <w:t xml:space="preserve"> </w:t>
      </w:r>
      <w:r>
        <w:rPr>
          <w:rFonts w:hint="eastAsia"/>
        </w:rPr>
        <w:t>划分为</w:t>
      </w:r>
      <w:r>
        <w:t xml:space="preserve"> </w:t>
      </w:r>
      <w:r>
        <w:rPr>
          <w:rFonts w:ascii="Times New Roman" w:eastAsia="Times New Roman"/>
        </w:rPr>
        <w:t xml:space="preserve">4 </w:t>
      </w:r>
      <w:r>
        <w:rPr>
          <w:rFonts w:hint="eastAsia"/>
        </w:rPr>
        <w:t>个水平：</w:t>
      </w:r>
    </w:p>
    <w:p w:rsidR="00B04AE3" w:rsidRDefault="00B04AE3">
      <w:pPr>
        <w:pStyle w:val="BodyText"/>
        <w:spacing w:before="173"/>
        <w:ind w:left="1277"/>
      </w:pPr>
      <w:r>
        <w:rPr>
          <w:rFonts w:hint="eastAsia"/>
        </w:rPr>
        <w:t>（</w:t>
      </w:r>
      <w:r>
        <w:rPr>
          <w:rFonts w:ascii="Times New Roman" w:eastAsia="Times New Roman"/>
        </w:rPr>
        <w:t>1</w:t>
      </w:r>
      <w:r>
        <w:rPr>
          <w:rFonts w:hint="eastAsia"/>
        </w:rPr>
        <w:t>）</w:t>
      </w:r>
      <w:r>
        <w:rPr>
          <w:rFonts w:ascii="Times New Roman" w:eastAsia="Times New Roman"/>
        </w:rPr>
        <w:t>Q</w:t>
      </w:r>
      <w:r>
        <w:rPr>
          <w:rFonts w:hint="eastAsia"/>
        </w:rPr>
        <w:t>＜</w:t>
      </w:r>
      <w:r>
        <w:rPr>
          <w:rFonts w:ascii="Times New Roman" w:eastAsia="Times New Roman"/>
        </w:rPr>
        <w:t>1</w:t>
      </w:r>
      <w:r>
        <w:rPr>
          <w:rFonts w:hint="eastAsia"/>
          <w:spacing w:val="-1"/>
        </w:rPr>
        <w:t>，以</w:t>
      </w:r>
      <w:r>
        <w:rPr>
          <w:spacing w:val="-1"/>
        </w:rPr>
        <w:t xml:space="preserve"> </w:t>
      </w:r>
      <w:r>
        <w:rPr>
          <w:rFonts w:ascii="Times New Roman" w:eastAsia="Times New Roman"/>
        </w:rPr>
        <w:t>Q0</w:t>
      </w:r>
      <w:r>
        <w:rPr>
          <w:rFonts w:ascii="Times New Roman" w:eastAsia="Times New Roman"/>
          <w:spacing w:val="59"/>
        </w:rPr>
        <w:t xml:space="preserve"> </w:t>
      </w:r>
      <w:r>
        <w:rPr>
          <w:rFonts w:hint="eastAsia"/>
        </w:rPr>
        <w:t>表示，企业直接评为一般环境风险等级；</w:t>
      </w:r>
    </w:p>
    <w:p w:rsidR="00B04AE3" w:rsidRDefault="00B04AE3">
      <w:pPr>
        <w:pStyle w:val="BodyText"/>
        <w:spacing w:before="172"/>
        <w:ind w:left="1277"/>
      </w:pPr>
      <w:r>
        <w:rPr>
          <w:rFonts w:hint="eastAsia"/>
        </w:rPr>
        <w:t>（</w:t>
      </w:r>
      <w:r>
        <w:rPr>
          <w:rFonts w:ascii="Times New Roman" w:hAnsi="Times New Roman"/>
        </w:rPr>
        <w:t>2</w:t>
      </w:r>
      <w:r>
        <w:rPr>
          <w:rFonts w:hint="eastAsia"/>
        </w:rPr>
        <w:t>）</w:t>
      </w:r>
      <w:r>
        <w:rPr>
          <w:rFonts w:ascii="Times New Roman" w:hAnsi="Times New Roman"/>
        </w:rPr>
        <w:t>1≤Q</w:t>
      </w:r>
      <w:r>
        <w:rPr>
          <w:rFonts w:hint="eastAsia"/>
        </w:rPr>
        <w:t>＜</w:t>
      </w:r>
      <w:r>
        <w:rPr>
          <w:rFonts w:ascii="Times New Roman" w:hAnsi="Times New Roman"/>
        </w:rPr>
        <w:t>10</w:t>
      </w:r>
      <w:r>
        <w:rPr>
          <w:rFonts w:hint="eastAsia"/>
          <w:spacing w:val="-1"/>
        </w:rPr>
        <w:t>，以</w:t>
      </w:r>
      <w:r>
        <w:rPr>
          <w:spacing w:val="-1"/>
        </w:rPr>
        <w:t xml:space="preserve"> </w:t>
      </w:r>
      <w:r>
        <w:rPr>
          <w:rFonts w:ascii="Times New Roman" w:hAnsi="Times New Roman"/>
        </w:rPr>
        <w:t>Q1</w:t>
      </w:r>
      <w:r>
        <w:rPr>
          <w:rFonts w:ascii="Times New Roman" w:hAnsi="Times New Roman"/>
          <w:spacing w:val="59"/>
        </w:rPr>
        <w:t xml:space="preserve"> </w:t>
      </w:r>
      <w:r>
        <w:rPr>
          <w:rFonts w:hint="eastAsia"/>
        </w:rPr>
        <w:t>表示；</w:t>
      </w:r>
    </w:p>
    <w:p w:rsidR="00B04AE3" w:rsidRDefault="00B04AE3">
      <w:pPr>
        <w:pStyle w:val="BodyText"/>
        <w:spacing w:before="173"/>
        <w:ind w:left="1277"/>
      </w:pPr>
      <w:r>
        <w:rPr>
          <w:rFonts w:hint="eastAsia"/>
        </w:rPr>
        <w:t>（</w:t>
      </w:r>
      <w:r>
        <w:rPr>
          <w:rFonts w:ascii="Times New Roman" w:hAnsi="Times New Roman"/>
        </w:rPr>
        <w:t>3</w:t>
      </w:r>
      <w:r>
        <w:rPr>
          <w:rFonts w:hint="eastAsia"/>
        </w:rPr>
        <w:t>）</w:t>
      </w:r>
      <w:r>
        <w:rPr>
          <w:rFonts w:ascii="Times New Roman" w:hAnsi="Times New Roman"/>
        </w:rPr>
        <w:t>10≤Q</w:t>
      </w:r>
      <w:r>
        <w:rPr>
          <w:rFonts w:hint="eastAsia"/>
        </w:rPr>
        <w:t>＜</w:t>
      </w:r>
      <w:r>
        <w:rPr>
          <w:rFonts w:ascii="Times New Roman" w:hAnsi="Times New Roman"/>
        </w:rPr>
        <w:t>100</w:t>
      </w:r>
      <w:r>
        <w:rPr>
          <w:rFonts w:hint="eastAsia"/>
          <w:spacing w:val="-1"/>
        </w:rPr>
        <w:t>，以</w:t>
      </w:r>
      <w:r>
        <w:rPr>
          <w:spacing w:val="-1"/>
        </w:rPr>
        <w:t xml:space="preserve"> </w:t>
      </w:r>
      <w:r>
        <w:rPr>
          <w:rFonts w:ascii="Times New Roman" w:hAnsi="Times New Roman"/>
        </w:rPr>
        <w:t>Q2</w:t>
      </w:r>
      <w:r>
        <w:rPr>
          <w:rFonts w:ascii="Times New Roman" w:hAnsi="Times New Roman"/>
          <w:spacing w:val="59"/>
        </w:rPr>
        <w:t xml:space="preserve"> </w:t>
      </w:r>
      <w:r>
        <w:rPr>
          <w:rFonts w:hint="eastAsia"/>
        </w:rPr>
        <w:t>表示；</w:t>
      </w:r>
    </w:p>
    <w:p w:rsidR="00B04AE3" w:rsidRDefault="00B04AE3">
      <w:pPr>
        <w:pStyle w:val="BodyText"/>
        <w:spacing w:before="172"/>
        <w:ind w:left="1277"/>
      </w:pPr>
      <w:r>
        <w:rPr>
          <w:rFonts w:hint="eastAsia"/>
        </w:rPr>
        <w:t>（</w:t>
      </w:r>
      <w:r>
        <w:rPr>
          <w:rFonts w:ascii="Times New Roman" w:hAnsi="Times New Roman"/>
        </w:rPr>
        <w:t>4</w:t>
      </w:r>
      <w:r>
        <w:rPr>
          <w:rFonts w:hint="eastAsia"/>
        </w:rPr>
        <w:t>）</w:t>
      </w:r>
      <w:r>
        <w:rPr>
          <w:rFonts w:ascii="Times New Roman" w:hAnsi="Times New Roman"/>
        </w:rPr>
        <w:t>Q≥100</w:t>
      </w:r>
      <w:r>
        <w:rPr>
          <w:rFonts w:hint="eastAsia"/>
          <w:spacing w:val="-1"/>
        </w:rPr>
        <w:t>，以</w:t>
      </w:r>
      <w:r>
        <w:rPr>
          <w:spacing w:val="-1"/>
        </w:rPr>
        <w:t xml:space="preserve"> </w:t>
      </w:r>
      <w:r>
        <w:rPr>
          <w:rFonts w:ascii="Times New Roman" w:hAnsi="Times New Roman"/>
        </w:rPr>
        <w:t>Q3</w:t>
      </w:r>
      <w:r>
        <w:rPr>
          <w:rFonts w:ascii="Times New Roman" w:hAnsi="Times New Roman"/>
          <w:spacing w:val="59"/>
        </w:rPr>
        <w:t xml:space="preserve"> </w:t>
      </w:r>
      <w:r>
        <w:rPr>
          <w:rFonts w:hint="eastAsia"/>
        </w:rPr>
        <w:t>表示。</w:t>
      </w:r>
    </w:p>
    <w:p w:rsidR="00B04AE3" w:rsidRDefault="00B04AE3">
      <w:pPr>
        <w:pStyle w:val="BodyText"/>
        <w:spacing w:before="4"/>
        <w:rPr>
          <w:sz w:val="8"/>
        </w:rPr>
      </w:pPr>
    </w:p>
    <w:p w:rsidR="00B04AE3" w:rsidRDefault="00B04AE3">
      <w:pPr>
        <w:pStyle w:val="BodyText"/>
        <w:spacing w:line="364" w:lineRule="auto"/>
        <w:ind w:left="797" w:right="675" w:firstLine="480"/>
        <w:jc w:val="both"/>
      </w:pPr>
      <w:r>
        <w:rPr>
          <w:rFonts w:hint="eastAsia"/>
        </w:rPr>
        <w:t>判断企业的生产原料、产品、中间产品、副产品、催化剂、辅助生产物料、燃料、“三废”污染物等，对照“突发环境事件风险物质及临界量清单”筛选环境风险物质，计算涉气风险物质在厂界内的临界量，南昌海立电器有限公司涉气风险物质列表具体见表</w:t>
      </w:r>
      <w:r>
        <w:t xml:space="preserve"> 6.1-1</w:t>
      </w:r>
      <w:r>
        <w:rPr>
          <w:rFonts w:hint="eastAsia"/>
        </w:rPr>
        <w:t>。</w:t>
      </w:r>
    </w:p>
    <w:p w:rsidR="00B04AE3" w:rsidRDefault="00B04AE3">
      <w:pPr>
        <w:spacing w:before="2" w:after="28"/>
        <w:ind w:left="1880"/>
        <w:rPr>
          <w:b/>
          <w:sz w:val="24"/>
        </w:rPr>
      </w:pPr>
      <w:r>
        <w:rPr>
          <w:rFonts w:hint="eastAsia"/>
          <w:b/>
          <w:sz w:val="24"/>
        </w:rPr>
        <w:t>表</w:t>
      </w:r>
      <w:r>
        <w:rPr>
          <w:b/>
          <w:sz w:val="24"/>
        </w:rPr>
        <w:t xml:space="preserve"> </w:t>
      </w:r>
      <w:r>
        <w:rPr>
          <w:rFonts w:ascii="Times New Roman" w:eastAsia="Times New Roman"/>
          <w:b/>
          <w:sz w:val="24"/>
        </w:rPr>
        <w:t xml:space="preserve">6.1-1  </w:t>
      </w:r>
      <w:r>
        <w:rPr>
          <w:rFonts w:hint="eastAsia"/>
          <w:b/>
          <w:sz w:val="24"/>
        </w:rPr>
        <w:t>涉气风险物质数量与临界量比值（</w:t>
      </w:r>
      <w:r>
        <w:rPr>
          <w:rFonts w:ascii="Times New Roman" w:eastAsia="Times New Roman"/>
          <w:b/>
          <w:sz w:val="24"/>
        </w:rPr>
        <w:t>Q</w:t>
      </w:r>
      <w:r>
        <w:rPr>
          <w:rFonts w:hint="eastAsia"/>
          <w:b/>
          <w:sz w:val="24"/>
        </w:rPr>
        <w:t>）汇总计算表</w:t>
      </w:r>
    </w:p>
    <w:tbl>
      <w:tblPr>
        <w:tblW w:w="8600" w:type="dxa"/>
        <w:jc w:val="center"/>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16"/>
        <w:gridCol w:w="1326"/>
        <w:gridCol w:w="1296"/>
        <w:gridCol w:w="750"/>
        <w:gridCol w:w="1788"/>
        <w:gridCol w:w="1023"/>
        <w:gridCol w:w="1068"/>
        <w:gridCol w:w="733"/>
      </w:tblGrid>
      <w:tr w:rsidR="00B04AE3">
        <w:trPr>
          <w:trHeight w:val="554"/>
          <w:jc w:val="center"/>
        </w:trPr>
        <w:tc>
          <w:tcPr>
            <w:tcW w:w="616" w:type="dxa"/>
            <w:shd w:val="clear" w:color="auto" w:fill="DFDFDF"/>
          </w:tcPr>
          <w:p w:rsidR="00B04AE3" w:rsidRDefault="00B04AE3">
            <w:pPr>
              <w:pStyle w:val="TableParagraph"/>
              <w:spacing w:before="140"/>
              <w:ind w:left="77" w:right="66"/>
              <w:rPr>
                <w:b/>
                <w:sz w:val="21"/>
              </w:rPr>
            </w:pPr>
            <w:r>
              <w:rPr>
                <w:rFonts w:hint="eastAsia"/>
                <w:b/>
                <w:sz w:val="21"/>
              </w:rPr>
              <w:t>序号</w:t>
            </w:r>
          </w:p>
        </w:tc>
        <w:tc>
          <w:tcPr>
            <w:tcW w:w="1326" w:type="dxa"/>
            <w:shd w:val="clear" w:color="auto" w:fill="DFDFDF"/>
          </w:tcPr>
          <w:p w:rsidR="00B04AE3" w:rsidRDefault="00B04AE3">
            <w:pPr>
              <w:pStyle w:val="TableParagraph"/>
              <w:spacing w:before="140"/>
              <w:ind w:left="326" w:right="318"/>
              <w:rPr>
                <w:b/>
                <w:sz w:val="21"/>
              </w:rPr>
            </w:pPr>
            <w:r>
              <w:rPr>
                <w:rFonts w:hint="eastAsia"/>
                <w:b/>
                <w:sz w:val="21"/>
              </w:rPr>
              <w:t>名称</w:t>
            </w:r>
          </w:p>
        </w:tc>
        <w:tc>
          <w:tcPr>
            <w:tcW w:w="1296" w:type="dxa"/>
            <w:shd w:val="clear" w:color="auto" w:fill="DFDFDF"/>
          </w:tcPr>
          <w:p w:rsidR="00B04AE3" w:rsidRDefault="00B04AE3">
            <w:pPr>
              <w:pStyle w:val="TableParagraph"/>
              <w:spacing w:before="140"/>
              <w:ind w:left="188" w:right="181"/>
              <w:rPr>
                <w:b/>
                <w:sz w:val="21"/>
              </w:rPr>
            </w:pPr>
            <w:r>
              <w:rPr>
                <w:rFonts w:ascii="Times New Roman" w:eastAsia="Times New Roman"/>
                <w:b/>
                <w:sz w:val="21"/>
              </w:rPr>
              <w:t xml:space="preserve">CAS </w:t>
            </w:r>
            <w:r>
              <w:rPr>
                <w:rFonts w:hint="eastAsia"/>
                <w:b/>
                <w:sz w:val="21"/>
              </w:rPr>
              <w:t>号</w:t>
            </w:r>
          </w:p>
        </w:tc>
        <w:tc>
          <w:tcPr>
            <w:tcW w:w="750" w:type="dxa"/>
            <w:shd w:val="clear" w:color="auto" w:fill="DFDFDF"/>
          </w:tcPr>
          <w:p w:rsidR="00B04AE3" w:rsidRDefault="00B04AE3">
            <w:pPr>
              <w:pStyle w:val="TableParagraph"/>
              <w:spacing w:before="3"/>
              <w:ind w:left="165"/>
              <w:jc w:val="left"/>
              <w:rPr>
                <w:b/>
                <w:sz w:val="21"/>
              </w:rPr>
            </w:pPr>
            <w:r>
              <w:rPr>
                <w:rFonts w:hint="eastAsia"/>
                <w:b/>
                <w:w w:val="95"/>
                <w:sz w:val="21"/>
              </w:rPr>
              <w:t>理化</w:t>
            </w:r>
          </w:p>
          <w:p w:rsidR="00B04AE3" w:rsidRDefault="00B04AE3">
            <w:pPr>
              <w:pStyle w:val="TableParagraph"/>
              <w:spacing w:before="5" w:line="257" w:lineRule="exact"/>
              <w:ind w:left="165"/>
              <w:jc w:val="left"/>
              <w:rPr>
                <w:b/>
                <w:sz w:val="21"/>
              </w:rPr>
            </w:pPr>
            <w:r>
              <w:rPr>
                <w:rFonts w:hint="eastAsia"/>
                <w:b/>
                <w:w w:val="95"/>
                <w:sz w:val="21"/>
              </w:rPr>
              <w:t>性质</w:t>
            </w:r>
          </w:p>
        </w:tc>
        <w:tc>
          <w:tcPr>
            <w:tcW w:w="1788" w:type="dxa"/>
            <w:shd w:val="clear" w:color="auto" w:fill="DFDFDF"/>
          </w:tcPr>
          <w:p w:rsidR="00B04AE3" w:rsidRDefault="00B04AE3">
            <w:pPr>
              <w:pStyle w:val="TableParagraph"/>
              <w:spacing w:before="3"/>
              <w:ind w:left="346" w:right="336"/>
              <w:rPr>
                <w:b/>
                <w:sz w:val="21"/>
              </w:rPr>
            </w:pPr>
            <w:r>
              <w:rPr>
                <w:rFonts w:hint="eastAsia"/>
                <w:b/>
                <w:sz w:val="21"/>
              </w:rPr>
              <w:t>最大贮存量</w:t>
            </w:r>
          </w:p>
          <w:p w:rsidR="00B04AE3" w:rsidRDefault="00B04AE3">
            <w:pPr>
              <w:pStyle w:val="TableParagraph"/>
              <w:spacing w:before="5" w:line="257" w:lineRule="exact"/>
              <w:ind w:left="346" w:right="336"/>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023" w:type="dxa"/>
            <w:shd w:val="clear" w:color="auto" w:fill="DFDFDF"/>
          </w:tcPr>
          <w:p w:rsidR="00B04AE3" w:rsidRDefault="00B04AE3">
            <w:pPr>
              <w:pStyle w:val="TableParagraph"/>
              <w:spacing w:before="3"/>
              <w:ind w:left="195"/>
              <w:jc w:val="left"/>
              <w:rPr>
                <w:b/>
                <w:sz w:val="21"/>
              </w:rPr>
            </w:pPr>
            <w:r>
              <w:rPr>
                <w:rFonts w:hint="eastAsia"/>
                <w:b/>
                <w:w w:val="95"/>
                <w:sz w:val="21"/>
              </w:rPr>
              <w:t>临界量</w:t>
            </w:r>
          </w:p>
          <w:p w:rsidR="00B04AE3" w:rsidRDefault="00B04AE3">
            <w:pPr>
              <w:pStyle w:val="TableParagraph"/>
              <w:spacing w:before="5" w:line="257" w:lineRule="exact"/>
              <w:ind w:left="207"/>
              <w:jc w:val="left"/>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068" w:type="dxa"/>
            <w:shd w:val="clear" w:color="auto" w:fill="DFDFDF"/>
          </w:tcPr>
          <w:p w:rsidR="00B04AE3" w:rsidRDefault="00B04AE3">
            <w:pPr>
              <w:pStyle w:val="TableParagraph"/>
              <w:spacing w:before="154"/>
              <w:ind w:left="118" w:right="110"/>
              <w:rPr>
                <w:rFonts w:ascii="Times New Roman"/>
                <w:b/>
                <w:sz w:val="21"/>
              </w:rPr>
            </w:pPr>
            <w:r>
              <w:rPr>
                <w:rFonts w:ascii="Times New Roman"/>
                <w:b/>
                <w:sz w:val="21"/>
              </w:rPr>
              <w:t>q/Q</w:t>
            </w:r>
          </w:p>
        </w:tc>
        <w:tc>
          <w:tcPr>
            <w:tcW w:w="733" w:type="dxa"/>
            <w:shd w:val="clear" w:color="auto" w:fill="DFDFDF"/>
          </w:tcPr>
          <w:p w:rsidR="00B04AE3" w:rsidRDefault="00B04AE3">
            <w:pPr>
              <w:pStyle w:val="TableParagraph"/>
              <w:spacing w:before="3"/>
              <w:ind w:left="156"/>
              <w:jc w:val="left"/>
              <w:rPr>
                <w:b/>
                <w:sz w:val="21"/>
              </w:rPr>
            </w:pPr>
            <w:r>
              <w:rPr>
                <w:rFonts w:hint="eastAsia"/>
                <w:b/>
                <w:w w:val="95"/>
                <w:sz w:val="21"/>
              </w:rPr>
              <w:t>储存</w:t>
            </w:r>
          </w:p>
          <w:p w:rsidR="00B04AE3" w:rsidRDefault="00B04AE3">
            <w:pPr>
              <w:pStyle w:val="TableParagraph"/>
              <w:spacing w:before="5" w:line="257" w:lineRule="exact"/>
              <w:ind w:left="156"/>
              <w:jc w:val="left"/>
              <w:rPr>
                <w:b/>
                <w:sz w:val="21"/>
              </w:rPr>
            </w:pPr>
            <w:r>
              <w:rPr>
                <w:rFonts w:hint="eastAsia"/>
                <w:b/>
                <w:w w:val="95"/>
                <w:sz w:val="21"/>
              </w:rPr>
              <w:t>方式</w:t>
            </w:r>
          </w:p>
        </w:tc>
      </w:tr>
      <w:tr w:rsidR="00B04AE3">
        <w:trPr>
          <w:trHeight w:val="817"/>
          <w:jc w:val="center"/>
        </w:trPr>
        <w:tc>
          <w:tcPr>
            <w:tcW w:w="616" w:type="dxa"/>
          </w:tcPr>
          <w:p w:rsidR="00B04AE3" w:rsidRDefault="00B04AE3">
            <w:pPr>
              <w:pStyle w:val="TableParagraph"/>
              <w:spacing w:before="4"/>
              <w:jc w:val="left"/>
              <w:rPr>
                <w:b/>
              </w:rPr>
            </w:pPr>
          </w:p>
          <w:p w:rsidR="00B04AE3" w:rsidRDefault="00B04AE3">
            <w:pPr>
              <w:pStyle w:val="TableParagraph"/>
              <w:ind w:left="8"/>
              <w:rPr>
                <w:rFonts w:ascii="Times New Roman"/>
                <w:sz w:val="21"/>
              </w:rPr>
            </w:pPr>
            <w:r>
              <w:rPr>
                <w:rFonts w:ascii="Times New Roman"/>
                <w:w w:val="99"/>
                <w:sz w:val="21"/>
              </w:rPr>
              <w:t>1</w:t>
            </w:r>
          </w:p>
        </w:tc>
        <w:tc>
          <w:tcPr>
            <w:tcW w:w="1326" w:type="dxa"/>
          </w:tcPr>
          <w:p w:rsidR="00B04AE3" w:rsidRDefault="00B04AE3">
            <w:pPr>
              <w:pStyle w:val="TableParagraph"/>
              <w:spacing w:before="3"/>
              <w:jc w:val="left"/>
              <w:rPr>
                <w:b/>
                <w:sz w:val="21"/>
              </w:rPr>
            </w:pPr>
          </w:p>
          <w:p w:rsidR="00B04AE3" w:rsidRDefault="00B04AE3">
            <w:pPr>
              <w:pStyle w:val="TableParagraph"/>
              <w:ind w:left="326" w:right="320"/>
              <w:rPr>
                <w:sz w:val="21"/>
              </w:rPr>
            </w:pPr>
            <w:r>
              <w:rPr>
                <w:rFonts w:hint="eastAsia"/>
                <w:sz w:val="21"/>
              </w:rPr>
              <w:t>液氮</w:t>
            </w:r>
          </w:p>
        </w:tc>
        <w:tc>
          <w:tcPr>
            <w:tcW w:w="1296" w:type="dxa"/>
          </w:tcPr>
          <w:p w:rsidR="00B04AE3" w:rsidRDefault="00B04AE3">
            <w:pPr>
              <w:pStyle w:val="TableParagraph"/>
              <w:spacing w:before="4"/>
              <w:jc w:val="left"/>
              <w:rPr>
                <w:b/>
              </w:rPr>
            </w:pPr>
          </w:p>
          <w:p w:rsidR="00B04AE3" w:rsidRDefault="00B04AE3">
            <w:pPr>
              <w:pStyle w:val="TableParagraph"/>
              <w:ind w:left="189" w:right="181"/>
              <w:rPr>
                <w:rFonts w:ascii="Times New Roman"/>
                <w:sz w:val="21"/>
              </w:rPr>
            </w:pPr>
            <w:r>
              <w:rPr>
                <w:rFonts w:ascii="Arial" w:hAnsi="Arial" w:cs="Arial"/>
                <w:color w:val="000000"/>
                <w:sz w:val="18"/>
                <w:szCs w:val="18"/>
                <w:shd w:val="clear" w:color="auto" w:fill="FFFFFF"/>
              </w:rPr>
              <w:t>7727-37-9</w:t>
            </w:r>
          </w:p>
        </w:tc>
        <w:tc>
          <w:tcPr>
            <w:tcW w:w="750" w:type="dxa"/>
          </w:tcPr>
          <w:p w:rsidR="00B04AE3" w:rsidRDefault="00B04AE3">
            <w:pPr>
              <w:pStyle w:val="TableParagraph"/>
              <w:spacing w:before="1" w:line="242" w:lineRule="auto"/>
              <w:ind w:left="107" w:right="97"/>
              <w:rPr>
                <w:sz w:val="21"/>
              </w:rPr>
            </w:pPr>
            <w:r>
              <w:rPr>
                <w:rFonts w:hint="eastAsia"/>
                <w:spacing w:val="-37"/>
                <w:sz w:val="21"/>
              </w:rPr>
              <w:t>有</w:t>
            </w:r>
          </w:p>
          <w:p w:rsidR="00B04AE3" w:rsidRDefault="00B04AE3">
            <w:pPr>
              <w:pStyle w:val="TableParagraph"/>
              <w:spacing w:line="252" w:lineRule="exact"/>
              <w:ind w:left="6"/>
              <w:rPr>
                <w:sz w:val="21"/>
              </w:rPr>
            </w:pPr>
            <w:r>
              <w:rPr>
                <w:rFonts w:hint="eastAsia"/>
                <w:w w:val="99"/>
                <w:sz w:val="21"/>
              </w:rPr>
              <w:t>毒</w:t>
            </w:r>
          </w:p>
        </w:tc>
        <w:tc>
          <w:tcPr>
            <w:tcW w:w="1788" w:type="dxa"/>
          </w:tcPr>
          <w:p w:rsidR="00B04AE3" w:rsidRDefault="00B04AE3">
            <w:pPr>
              <w:pStyle w:val="TableParagraph"/>
              <w:spacing w:before="4"/>
              <w:jc w:val="left"/>
              <w:rPr>
                <w:b/>
              </w:rPr>
            </w:pPr>
          </w:p>
          <w:p w:rsidR="00B04AE3" w:rsidRDefault="00B04AE3">
            <w:pPr>
              <w:pStyle w:val="TableParagraph"/>
              <w:ind w:left="344" w:right="336"/>
              <w:rPr>
                <w:rFonts w:ascii="Times New Roman"/>
                <w:sz w:val="21"/>
                <w:lang w:val="en-US"/>
              </w:rPr>
            </w:pPr>
            <w:r>
              <w:rPr>
                <w:rFonts w:ascii="Times New Roman"/>
                <w:sz w:val="21"/>
                <w:lang w:val="en-US"/>
              </w:rPr>
              <w:t>65</w:t>
            </w:r>
          </w:p>
        </w:tc>
        <w:tc>
          <w:tcPr>
            <w:tcW w:w="1023" w:type="dxa"/>
          </w:tcPr>
          <w:p w:rsidR="00B04AE3" w:rsidRDefault="00B04AE3">
            <w:pPr>
              <w:pStyle w:val="TableParagraph"/>
              <w:spacing w:before="2"/>
              <w:jc w:val="left"/>
              <w:rPr>
                <w:b/>
              </w:rPr>
            </w:pPr>
          </w:p>
          <w:p w:rsidR="00B04AE3" w:rsidRDefault="00B04AE3">
            <w:pPr>
              <w:pStyle w:val="TableParagraph"/>
              <w:ind w:left="10"/>
              <w:rPr>
                <w:rFonts w:ascii="Times New Roman"/>
                <w:sz w:val="21"/>
                <w:lang w:val="en-US"/>
              </w:rPr>
            </w:pPr>
            <w:r>
              <w:rPr>
                <w:rFonts w:ascii="Times New Roman"/>
                <w:sz w:val="21"/>
                <w:lang w:val="en-US"/>
              </w:rPr>
              <w:t>200</w:t>
            </w:r>
          </w:p>
        </w:tc>
        <w:tc>
          <w:tcPr>
            <w:tcW w:w="1068" w:type="dxa"/>
          </w:tcPr>
          <w:p w:rsidR="00B04AE3" w:rsidRDefault="00B04AE3">
            <w:pPr>
              <w:pStyle w:val="TableParagraph"/>
              <w:spacing w:before="4"/>
              <w:jc w:val="left"/>
              <w:rPr>
                <w:b/>
              </w:rPr>
            </w:pPr>
          </w:p>
          <w:p w:rsidR="00B04AE3" w:rsidRDefault="00B04AE3">
            <w:pPr>
              <w:pStyle w:val="TableParagraph"/>
              <w:ind w:left="117" w:right="110"/>
              <w:rPr>
                <w:rFonts w:ascii="Times New Roman"/>
                <w:sz w:val="21"/>
                <w:lang w:val="en-US"/>
              </w:rPr>
            </w:pPr>
            <w:r>
              <w:rPr>
                <w:rFonts w:ascii="Times New Roman"/>
                <w:sz w:val="21"/>
              </w:rPr>
              <w:t>0.</w:t>
            </w:r>
            <w:r>
              <w:rPr>
                <w:rFonts w:ascii="Times New Roman"/>
                <w:sz w:val="21"/>
                <w:lang w:val="en-US"/>
              </w:rPr>
              <w:t>32</w:t>
            </w:r>
          </w:p>
        </w:tc>
        <w:tc>
          <w:tcPr>
            <w:tcW w:w="733" w:type="dxa"/>
          </w:tcPr>
          <w:p w:rsidR="00B04AE3" w:rsidRDefault="00B04AE3">
            <w:pPr>
              <w:pStyle w:val="TableParagraph"/>
              <w:spacing w:before="135" w:line="244" w:lineRule="auto"/>
              <w:ind w:left="259" w:right="146" w:hanging="104"/>
              <w:jc w:val="left"/>
              <w:rPr>
                <w:sz w:val="21"/>
              </w:rPr>
            </w:pPr>
            <w:r>
              <w:rPr>
                <w:rFonts w:hint="eastAsia"/>
                <w:sz w:val="21"/>
              </w:rPr>
              <w:t>储罐装</w:t>
            </w:r>
          </w:p>
        </w:tc>
      </w:tr>
      <w:tr w:rsidR="00B04AE3">
        <w:trPr>
          <w:trHeight w:val="553"/>
          <w:jc w:val="center"/>
        </w:trPr>
        <w:tc>
          <w:tcPr>
            <w:tcW w:w="616" w:type="dxa"/>
          </w:tcPr>
          <w:p w:rsidR="00B04AE3" w:rsidRDefault="00B04AE3">
            <w:pPr>
              <w:pStyle w:val="TableParagraph"/>
              <w:spacing w:before="155"/>
              <w:ind w:left="8"/>
              <w:rPr>
                <w:rFonts w:ascii="Times New Roman"/>
                <w:sz w:val="21"/>
              </w:rPr>
            </w:pPr>
            <w:r>
              <w:rPr>
                <w:rFonts w:ascii="Times New Roman"/>
                <w:w w:val="99"/>
                <w:sz w:val="21"/>
              </w:rPr>
              <w:t>2</w:t>
            </w:r>
          </w:p>
        </w:tc>
        <w:tc>
          <w:tcPr>
            <w:tcW w:w="1326" w:type="dxa"/>
          </w:tcPr>
          <w:p w:rsidR="00B04AE3" w:rsidRDefault="00B04AE3">
            <w:pPr>
              <w:pStyle w:val="TableParagraph"/>
              <w:spacing w:before="139"/>
              <w:ind w:left="326" w:right="320"/>
              <w:rPr>
                <w:sz w:val="21"/>
              </w:rPr>
            </w:pPr>
            <w:r>
              <w:rPr>
                <w:rFonts w:hint="eastAsia"/>
                <w:sz w:val="21"/>
              </w:rPr>
              <w:t>硫酸</w:t>
            </w:r>
          </w:p>
        </w:tc>
        <w:tc>
          <w:tcPr>
            <w:tcW w:w="1296" w:type="dxa"/>
          </w:tcPr>
          <w:p w:rsidR="00B04AE3" w:rsidRDefault="00B04AE3">
            <w:pPr>
              <w:pStyle w:val="TableParagraph"/>
              <w:spacing w:before="155"/>
              <w:ind w:left="189" w:right="181"/>
              <w:rPr>
                <w:rFonts w:ascii="Times New Roman"/>
                <w:sz w:val="21"/>
              </w:rPr>
            </w:pPr>
            <w:r>
              <w:rPr>
                <w:rFonts w:ascii="Times New Roman"/>
                <w:sz w:val="21"/>
              </w:rPr>
              <w:t>7664-93-9</w:t>
            </w:r>
          </w:p>
        </w:tc>
        <w:tc>
          <w:tcPr>
            <w:tcW w:w="750" w:type="dxa"/>
          </w:tcPr>
          <w:p w:rsidR="00B04AE3" w:rsidRDefault="00B04AE3">
            <w:pPr>
              <w:pStyle w:val="TableParagraph"/>
              <w:spacing w:before="3" w:line="270" w:lineRule="atLeast"/>
              <w:ind w:left="268" w:right="154" w:hanging="104"/>
              <w:jc w:val="left"/>
              <w:rPr>
                <w:sz w:val="21"/>
              </w:rPr>
            </w:pPr>
            <w:r>
              <w:rPr>
                <w:rFonts w:hint="eastAsia"/>
                <w:sz w:val="21"/>
              </w:rPr>
              <w:t>腐蚀性</w:t>
            </w:r>
          </w:p>
        </w:tc>
        <w:tc>
          <w:tcPr>
            <w:tcW w:w="1788" w:type="dxa"/>
          </w:tcPr>
          <w:p w:rsidR="00B04AE3" w:rsidRDefault="00B04AE3">
            <w:pPr>
              <w:pStyle w:val="TableParagraph"/>
              <w:spacing w:before="155"/>
              <w:ind w:left="8"/>
              <w:rPr>
                <w:rFonts w:ascii="Times New Roman"/>
                <w:sz w:val="21"/>
              </w:rPr>
            </w:pPr>
            <w:r>
              <w:rPr>
                <w:rFonts w:ascii="Times New Roman"/>
                <w:w w:val="99"/>
                <w:sz w:val="21"/>
                <w:lang w:val="en-US"/>
              </w:rPr>
              <w:t>5</w:t>
            </w:r>
          </w:p>
        </w:tc>
        <w:tc>
          <w:tcPr>
            <w:tcW w:w="1023" w:type="dxa"/>
          </w:tcPr>
          <w:p w:rsidR="00B04AE3" w:rsidRDefault="00B04AE3">
            <w:pPr>
              <w:pStyle w:val="TableParagraph"/>
              <w:spacing w:before="153"/>
              <w:ind w:left="386" w:right="376"/>
              <w:rPr>
                <w:rFonts w:ascii="Times New Roman"/>
                <w:sz w:val="21"/>
                <w:lang w:val="en-US"/>
              </w:rPr>
            </w:pPr>
            <w:r>
              <w:rPr>
                <w:rFonts w:ascii="Times New Roman"/>
                <w:sz w:val="21"/>
                <w:lang w:val="en-US"/>
              </w:rPr>
              <w:t>50</w:t>
            </w:r>
          </w:p>
        </w:tc>
        <w:tc>
          <w:tcPr>
            <w:tcW w:w="1068" w:type="dxa"/>
          </w:tcPr>
          <w:p w:rsidR="00B04AE3" w:rsidRDefault="00B04AE3">
            <w:pPr>
              <w:pStyle w:val="TableParagraph"/>
              <w:spacing w:before="155"/>
              <w:ind w:left="120" w:right="108"/>
              <w:rPr>
                <w:rFonts w:ascii="Times New Roman"/>
                <w:sz w:val="21"/>
              </w:rPr>
            </w:pPr>
            <w:r>
              <w:rPr>
                <w:rFonts w:ascii="Times New Roman"/>
                <w:sz w:val="21"/>
              </w:rPr>
              <w:t>0.</w:t>
            </w:r>
            <w:r>
              <w:rPr>
                <w:rFonts w:ascii="Times New Roman"/>
                <w:sz w:val="21"/>
                <w:lang w:val="en-US"/>
              </w:rPr>
              <w:t>1</w:t>
            </w:r>
          </w:p>
        </w:tc>
        <w:tc>
          <w:tcPr>
            <w:tcW w:w="733" w:type="dxa"/>
          </w:tcPr>
          <w:p w:rsidR="00B04AE3" w:rsidRDefault="00B04AE3">
            <w:pPr>
              <w:pStyle w:val="TableParagraph"/>
              <w:spacing w:before="3" w:line="270" w:lineRule="atLeast"/>
              <w:ind w:left="156" w:right="146"/>
              <w:jc w:val="left"/>
              <w:rPr>
                <w:sz w:val="21"/>
              </w:rPr>
            </w:pPr>
            <w:r>
              <w:rPr>
                <w:rFonts w:hint="eastAsia"/>
                <w:sz w:val="21"/>
              </w:rPr>
              <w:t>钢瓶包装</w:t>
            </w:r>
          </w:p>
        </w:tc>
      </w:tr>
      <w:tr w:rsidR="00B04AE3">
        <w:trPr>
          <w:trHeight w:val="553"/>
          <w:jc w:val="center"/>
        </w:trPr>
        <w:tc>
          <w:tcPr>
            <w:tcW w:w="616" w:type="dxa"/>
          </w:tcPr>
          <w:p w:rsidR="00B04AE3" w:rsidRDefault="00B04AE3">
            <w:pPr>
              <w:pStyle w:val="TableParagraph"/>
              <w:spacing w:before="155"/>
              <w:ind w:left="8"/>
              <w:rPr>
                <w:rFonts w:ascii="Times New Roman"/>
                <w:w w:val="99"/>
                <w:sz w:val="21"/>
                <w:lang w:val="en-US"/>
              </w:rPr>
            </w:pPr>
            <w:r>
              <w:rPr>
                <w:rFonts w:ascii="Times New Roman"/>
                <w:w w:val="99"/>
                <w:sz w:val="21"/>
                <w:lang w:val="en-US"/>
              </w:rPr>
              <w:t>4</w:t>
            </w:r>
          </w:p>
        </w:tc>
        <w:tc>
          <w:tcPr>
            <w:tcW w:w="1326" w:type="dxa"/>
          </w:tcPr>
          <w:p w:rsidR="00B04AE3" w:rsidRDefault="00B04AE3">
            <w:pPr>
              <w:pStyle w:val="TableParagraph"/>
              <w:spacing w:before="139"/>
              <w:ind w:right="320"/>
              <w:jc w:val="both"/>
              <w:rPr>
                <w:sz w:val="21"/>
              </w:rPr>
            </w:pPr>
            <w:r>
              <w:rPr>
                <w:rFonts w:hint="eastAsia"/>
                <w:sz w:val="21"/>
              </w:rPr>
              <w:t>氢氧化钠</w:t>
            </w:r>
          </w:p>
        </w:tc>
        <w:tc>
          <w:tcPr>
            <w:tcW w:w="1296" w:type="dxa"/>
          </w:tcPr>
          <w:p w:rsidR="00B04AE3" w:rsidRDefault="00B04AE3">
            <w:pPr>
              <w:pStyle w:val="TableParagraph"/>
              <w:spacing w:before="155"/>
              <w:ind w:right="181"/>
              <w:jc w:val="both"/>
              <w:rPr>
                <w:rFonts w:ascii="Times New Roman"/>
                <w:sz w:val="21"/>
              </w:rPr>
            </w:pPr>
            <w:r>
              <w:rPr>
                <w:color w:val="000000"/>
                <w:sz w:val="21"/>
                <w:szCs w:val="21"/>
              </w:rPr>
              <w:t>1310-73-2</w:t>
            </w:r>
          </w:p>
        </w:tc>
        <w:tc>
          <w:tcPr>
            <w:tcW w:w="750" w:type="dxa"/>
          </w:tcPr>
          <w:p w:rsidR="00B04AE3" w:rsidRDefault="00B04AE3">
            <w:pPr>
              <w:pStyle w:val="TableParagraph"/>
              <w:spacing w:before="3" w:line="270" w:lineRule="atLeast"/>
              <w:ind w:left="268" w:right="154" w:hanging="104"/>
              <w:jc w:val="left"/>
              <w:rPr>
                <w:sz w:val="21"/>
              </w:rPr>
            </w:pPr>
            <w:r>
              <w:rPr>
                <w:rFonts w:hint="eastAsia"/>
                <w:sz w:val="21"/>
              </w:rPr>
              <w:t>腐蚀性</w:t>
            </w:r>
          </w:p>
        </w:tc>
        <w:tc>
          <w:tcPr>
            <w:tcW w:w="1788" w:type="dxa"/>
          </w:tcPr>
          <w:p w:rsidR="00B04AE3" w:rsidRDefault="00B04AE3">
            <w:pPr>
              <w:pStyle w:val="TableParagraph"/>
              <w:spacing w:before="155"/>
              <w:ind w:left="8"/>
              <w:rPr>
                <w:rFonts w:ascii="Times New Roman"/>
                <w:w w:val="99"/>
                <w:sz w:val="21"/>
                <w:lang w:val="en-US"/>
              </w:rPr>
            </w:pPr>
            <w:r>
              <w:rPr>
                <w:rFonts w:ascii="Times New Roman"/>
                <w:w w:val="99"/>
                <w:sz w:val="21"/>
                <w:lang w:val="en-US"/>
              </w:rPr>
              <w:t>5</w:t>
            </w:r>
          </w:p>
        </w:tc>
        <w:tc>
          <w:tcPr>
            <w:tcW w:w="1023" w:type="dxa"/>
          </w:tcPr>
          <w:p w:rsidR="00B04AE3" w:rsidRDefault="00B04AE3">
            <w:pPr>
              <w:pStyle w:val="TableParagraph"/>
              <w:spacing w:before="153"/>
              <w:ind w:left="386" w:right="376"/>
              <w:rPr>
                <w:rFonts w:ascii="Times New Roman"/>
                <w:sz w:val="21"/>
                <w:lang w:val="en-US"/>
              </w:rPr>
            </w:pPr>
            <w:r>
              <w:rPr>
                <w:rFonts w:ascii="Times New Roman"/>
                <w:sz w:val="21"/>
                <w:lang w:val="en-US"/>
              </w:rPr>
              <w:t>50</w:t>
            </w:r>
          </w:p>
        </w:tc>
        <w:tc>
          <w:tcPr>
            <w:tcW w:w="1068" w:type="dxa"/>
          </w:tcPr>
          <w:p w:rsidR="00B04AE3" w:rsidRDefault="00B04AE3">
            <w:pPr>
              <w:pStyle w:val="TableParagraph"/>
              <w:spacing w:before="155"/>
              <w:ind w:left="120" w:right="108"/>
              <w:rPr>
                <w:rFonts w:ascii="Times New Roman"/>
                <w:sz w:val="21"/>
                <w:lang w:val="en-US"/>
              </w:rPr>
            </w:pPr>
            <w:r>
              <w:rPr>
                <w:rFonts w:ascii="Times New Roman"/>
                <w:sz w:val="21"/>
                <w:lang w:val="en-US"/>
              </w:rPr>
              <w:t>0.1</w:t>
            </w:r>
          </w:p>
        </w:tc>
        <w:tc>
          <w:tcPr>
            <w:tcW w:w="733" w:type="dxa"/>
          </w:tcPr>
          <w:p w:rsidR="00B04AE3" w:rsidRDefault="00B04AE3">
            <w:pPr>
              <w:pStyle w:val="TableParagraph"/>
              <w:spacing w:before="3" w:line="270" w:lineRule="atLeast"/>
              <w:ind w:left="156" w:right="146"/>
              <w:jc w:val="left"/>
              <w:rPr>
                <w:sz w:val="21"/>
              </w:rPr>
            </w:pPr>
          </w:p>
        </w:tc>
      </w:tr>
      <w:tr w:rsidR="00B04AE3">
        <w:trPr>
          <w:trHeight w:val="432"/>
          <w:jc w:val="center"/>
        </w:trPr>
        <w:tc>
          <w:tcPr>
            <w:tcW w:w="616" w:type="dxa"/>
          </w:tcPr>
          <w:p w:rsidR="00B04AE3" w:rsidRDefault="00B04AE3">
            <w:pPr>
              <w:pStyle w:val="TableParagraph"/>
              <w:spacing w:before="93"/>
              <w:ind w:left="8"/>
              <w:rPr>
                <w:rFonts w:ascii="Times New Roman"/>
                <w:sz w:val="21"/>
              </w:rPr>
            </w:pPr>
            <w:r>
              <w:rPr>
                <w:rFonts w:ascii="Times New Roman"/>
                <w:w w:val="99"/>
                <w:sz w:val="21"/>
              </w:rPr>
              <w:t>3</w:t>
            </w:r>
          </w:p>
        </w:tc>
        <w:tc>
          <w:tcPr>
            <w:tcW w:w="1326" w:type="dxa"/>
          </w:tcPr>
          <w:p w:rsidR="00B04AE3" w:rsidRDefault="00B04AE3">
            <w:pPr>
              <w:pStyle w:val="TableParagraph"/>
              <w:spacing w:before="79"/>
              <w:ind w:left="326" w:right="320"/>
              <w:rPr>
                <w:sz w:val="21"/>
              </w:rPr>
            </w:pPr>
            <w:r>
              <w:rPr>
                <w:rFonts w:hint="eastAsia"/>
                <w:sz w:val="21"/>
              </w:rPr>
              <w:t>天然气</w:t>
            </w:r>
          </w:p>
        </w:tc>
        <w:tc>
          <w:tcPr>
            <w:tcW w:w="1296" w:type="dxa"/>
          </w:tcPr>
          <w:p w:rsidR="00B04AE3" w:rsidRDefault="00B04AE3">
            <w:pPr>
              <w:pStyle w:val="TableParagraph"/>
              <w:spacing w:before="93"/>
              <w:ind w:left="189" w:right="181"/>
              <w:rPr>
                <w:rFonts w:ascii="Times New Roman"/>
                <w:sz w:val="21"/>
              </w:rPr>
            </w:pPr>
            <w:r>
              <w:rPr>
                <w:rFonts w:ascii="Times New Roman"/>
                <w:sz w:val="21"/>
              </w:rPr>
              <w:t>74-82-8</w:t>
            </w:r>
          </w:p>
        </w:tc>
        <w:tc>
          <w:tcPr>
            <w:tcW w:w="750" w:type="dxa"/>
          </w:tcPr>
          <w:p w:rsidR="00B04AE3" w:rsidRDefault="00B04AE3">
            <w:pPr>
              <w:pStyle w:val="TableParagraph"/>
              <w:spacing w:before="79"/>
              <w:ind w:left="165"/>
              <w:jc w:val="left"/>
              <w:rPr>
                <w:sz w:val="21"/>
              </w:rPr>
            </w:pPr>
            <w:r>
              <w:rPr>
                <w:rFonts w:hint="eastAsia"/>
                <w:sz w:val="21"/>
              </w:rPr>
              <w:t>易燃</w:t>
            </w:r>
          </w:p>
        </w:tc>
        <w:tc>
          <w:tcPr>
            <w:tcW w:w="1788" w:type="dxa"/>
          </w:tcPr>
          <w:p w:rsidR="00B04AE3" w:rsidRDefault="00B04AE3">
            <w:pPr>
              <w:pStyle w:val="TableParagraph"/>
              <w:spacing w:before="93"/>
              <w:ind w:left="342" w:right="336"/>
              <w:rPr>
                <w:rFonts w:ascii="Times New Roman"/>
                <w:sz w:val="21"/>
              </w:rPr>
            </w:pPr>
            <w:r>
              <w:rPr>
                <w:rFonts w:ascii="Times New Roman"/>
                <w:sz w:val="21"/>
              </w:rPr>
              <w:t>0.0109</w:t>
            </w:r>
          </w:p>
        </w:tc>
        <w:tc>
          <w:tcPr>
            <w:tcW w:w="1023" w:type="dxa"/>
          </w:tcPr>
          <w:p w:rsidR="00B04AE3" w:rsidRDefault="00B04AE3">
            <w:pPr>
              <w:pStyle w:val="TableParagraph"/>
              <w:spacing w:before="90"/>
              <w:ind w:left="386" w:right="376"/>
              <w:rPr>
                <w:rFonts w:ascii="Times New Roman"/>
                <w:sz w:val="21"/>
              </w:rPr>
            </w:pPr>
            <w:r>
              <w:rPr>
                <w:rFonts w:ascii="Times New Roman"/>
                <w:sz w:val="21"/>
              </w:rPr>
              <w:t>50</w:t>
            </w:r>
          </w:p>
        </w:tc>
        <w:tc>
          <w:tcPr>
            <w:tcW w:w="1068" w:type="dxa"/>
          </w:tcPr>
          <w:p w:rsidR="00B04AE3" w:rsidRDefault="00B04AE3">
            <w:pPr>
              <w:pStyle w:val="TableParagraph"/>
              <w:spacing w:before="93"/>
              <w:ind w:left="120" w:right="110"/>
              <w:rPr>
                <w:rFonts w:ascii="Times New Roman"/>
                <w:sz w:val="21"/>
              </w:rPr>
            </w:pPr>
            <w:r>
              <w:rPr>
                <w:rFonts w:ascii="Times New Roman"/>
                <w:sz w:val="21"/>
              </w:rPr>
              <w:t>0.000218</w:t>
            </w:r>
          </w:p>
        </w:tc>
        <w:tc>
          <w:tcPr>
            <w:tcW w:w="733" w:type="dxa"/>
          </w:tcPr>
          <w:p w:rsidR="00B04AE3" w:rsidRDefault="00B04AE3">
            <w:pPr>
              <w:pStyle w:val="TableParagraph"/>
              <w:spacing w:before="79"/>
              <w:ind w:left="135" w:right="128"/>
              <w:rPr>
                <w:sz w:val="21"/>
              </w:rPr>
            </w:pPr>
            <w:r>
              <w:rPr>
                <w:rFonts w:hint="eastAsia"/>
                <w:sz w:val="21"/>
              </w:rPr>
              <w:t>管道</w:t>
            </w:r>
          </w:p>
        </w:tc>
      </w:tr>
      <w:tr w:rsidR="00B04AE3">
        <w:trPr>
          <w:trHeight w:val="452"/>
          <w:jc w:val="center"/>
        </w:trPr>
        <w:tc>
          <w:tcPr>
            <w:tcW w:w="1942" w:type="dxa"/>
            <w:gridSpan w:val="2"/>
          </w:tcPr>
          <w:p w:rsidR="00B04AE3" w:rsidRDefault="00B04AE3">
            <w:pPr>
              <w:pStyle w:val="TableParagraph"/>
              <w:spacing w:before="88"/>
              <w:ind w:left="740" w:right="732"/>
              <w:rPr>
                <w:sz w:val="21"/>
              </w:rPr>
            </w:pPr>
            <w:r>
              <w:rPr>
                <w:rFonts w:hint="eastAsia"/>
                <w:sz w:val="21"/>
              </w:rPr>
              <w:t>合计</w:t>
            </w:r>
          </w:p>
        </w:tc>
        <w:tc>
          <w:tcPr>
            <w:tcW w:w="1296" w:type="dxa"/>
          </w:tcPr>
          <w:p w:rsidR="00B04AE3" w:rsidRDefault="00B04AE3">
            <w:pPr>
              <w:pStyle w:val="TableParagraph"/>
              <w:spacing w:before="104"/>
              <w:ind w:left="189" w:right="180"/>
              <w:rPr>
                <w:rFonts w:ascii="Times New Roman"/>
                <w:sz w:val="21"/>
              </w:rPr>
            </w:pPr>
            <w:r>
              <w:rPr>
                <w:rFonts w:ascii="Times New Roman"/>
                <w:sz w:val="21"/>
              </w:rPr>
              <w:t>--</w:t>
            </w:r>
          </w:p>
        </w:tc>
        <w:tc>
          <w:tcPr>
            <w:tcW w:w="750" w:type="dxa"/>
          </w:tcPr>
          <w:p w:rsidR="00B04AE3" w:rsidRDefault="00B04AE3">
            <w:pPr>
              <w:pStyle w:val="TableParagraph"/>
              <w:jc w:val="left"/>
              <w:rPr>
                <w:rFonts w:ascii="Times New Roman"/>
                <w:sz w:val="20"/>
              </w:rPr>
            </w:pPr>
          </w:p>
        </w:tc>
        <w:tc>
          <w:tcPr>
            <w:tcW w:w="1788" w:type="dxa"/>
          </w:tcPr>
          <w:p w:rsidR="00B04AE3" w:rsidRDefault="00B04AE3">
            <w:pPr>
              <w:pStyle w:val="TableParagraph"/>
              <w:spacing w:before="104"/>
              <w:ind w:left="345" w:right="336"/>
              <w:rPr>
                <w:rFonts w:ascii="Times New Roman"/>
                <w:sz w:val="21"/>
              </w:rPr>
            </w:pPr>
            <w:r>
              <w:rPr>
                <w:rFonts w:ascii="Times New Roman"/>
                <w:sz w:val="21"/>
              </w:rPr>
              <w:t>--</w:t>
            </w:r>
          </w:p>
        </w:tc>
        <w:tc>
          <w:tcPr>
            <w:tcW w:w="1023" w:type="dxa"/>
          </w:tcPr>
          <w:p w:rsidR="00B04AE3" w:rsidRDefault="00B04AE3">
            <w:pPr>
              <w:pStyle w:val="TableParagraph"/>
              <w:spacing w:before="104"/>
              <w:ind w:left="385" w:right="376"/>
              <w:rPr>
                <w:rFonts w:ascii="Times New Roman"/>
                <w:sz w:val="21"/>
              </w:rPr>
            </w:pPr>
            <w:r>
              <w:rPr>
                <w:rFonts w:ascii="Times New Roman"/>
                <w:sz w:val="21"/>
              </w:rPr>
              <w:t>--</w:t>
            </w:r>
          </w:p>
        </w:tc>
        <w:tc>
          <w:tcPr>
            <w:tcW w:w="1068" w:type="dxa"/>
          </w:tcPr>
          <w:p w:rsidR="00B04AE3" w:rsidRDefault="00B04AE3">
            <w:pPr>
              <w:pStyle w:val="TableParagraph"/>
              <w:spacing w:before="104"/>
              <w:ind w:left="120" w:right="110"/>
              <w:rPr>
                <w:rFonts w:ascii="Times New Roman"/>
                <w:sz w:val="21"/>
              </w:rPr>
            </w:pPr>
            <w:r>
              <w:rPr>
                <w:rFonts w:ascii="Times New Roman"/>
                <w:sz w:val="21"/>
              </w:rPr>
              <w:t>0.</w:t>
            </w:r>
            <w:r>
              <w:rPr>
                <w:rFonts w:ascii="Times New Roman"/>
                <w:sz w:val="21"/>
                <w:lang w:val="en-US"/>
              </w:rPr>
              <w:t>52</w:t>
            </w:r>
            <w:r>
              <w:rPr>
                <w:rFonts w:ascii="Times New Roman"/>
                <w:sz w:val="21"/>
              </w:rPr>
              <w:t>0218</w:t>
            </w:r>
          </w:p>
        </w:tc>
        <w:tc>
          <w:tcPr>
            <w:tcW w:w="733" w:type="dxa"/>
          </w:tcPr>
          <w:p w:rsidR="00B04AE3" w:rsidRDefault="00B04AE3">
            <w:pPr>
              <w:pStyle w:val="TableParagraph"/>
              <w:spacing w:before="104"/>
              <w:ind w:left="135" w:right="128"/>
              <w:rPr>
                <w:rFonts w:ascii="Times New Roman"/>
                <w:sz w:val="21"/>
              </w:rPr>
            </w:pPr>
            <w:r>
              <w:rPr>
                <w:rFonts w:ascii="Times New Roman"/>
                <w:sz w:val="21"/>
              </w:rPr>
              <w:t>--</w:t>
            </w:r>
          </w:p>
        </w:tc>
      </w:tr>
    </w:tbl>
    <w:p w:rsidR="00B04AE3" w:rsidRDefault="00B04AE3">
      <w:pPr>
        <w:pStyle w:val="BodyText"/>
        <w:spacing w:before="11"/>
        <w:rPr>
          <w:b/>
          <w:sz w:val="4"/>
        </w:rPr>
      </w:pPr>
    </w:p>
    <w:p w:rsidR="00B04AE3" w:rsidRDefault="00B04AE3">
      <w:pPr>
        <w:pStyle w:val="BodyText"/>
        <w:spacing w:before="6"/>
        <w:rPr>
          <w:b/>
          <w:sz w:val="5"/>
        </w:rPr>
      </w:pPr>
    </w:p>
    <w:p w:rsidR="00B04AE3" w:rsidRDefault="00B04AE3">
      <w:pPr>
        <w:pStyle w:val="BodyText"/>
        <w:spacing w:before="76"/>
        <w:ind w:left="1277"/>
      </w:pPr>
      <w:r>
        <w:rPr>
          <w:rFonts w:hint="eastAsia"/>
        </w:rPr>
        <w:t>经计算，大气环境风险物质数量与临界量比值（</w:t>
      </w:r>
      <w:r>
        <w:rPr>
          <w:rFonts w:ascii="Times New Roman" w:eastAsia="Times New Roman"/>
        </w:rPr>
        <w:t>Q</w:t>
      </w:r>
      <w:r>
        <w:rPr>
          <w:rFonts w:hint="eastAsia"/>
        </w:rPr>
        <w:t>）为</w:t>
      </w:r>
      <w:r>
        <w:t xml:space="preserve"> </w:t>
      </w:r>
      <w:r>
        <w:rPr>
          <w:rFonts w:ascii="Times New Roman" w:eastAsia="Times New Roman"/>
        </w:rPr>
        <w:t>0.</w:t>
      </w:r>
      <w:r>
        <w:rPr>
          <w:rFonts w:ascii="Times New Roman"/>
          <w:lang w:val="en-US"/>
        </w:rPr>
        <w:t>52</w:t>
      </w:r>
      <w:r>
        <w:rPr>
          <w:rFonts w:ascii="Times New Roman" w:eastAsia="Times New Roman"/>
        </w:rPr>
        <w:t>0218</w:t>
      </w:r>
      <w:r>
        <w:rPr>
          <w:rFonts w:hint="eastAsia"/>
        </w:rPr>
        <w:t>＜</w:t>
      </w:r>
      <w:r>
        <w:rPr>
          <w:rFonts w:ascii="Times New Roman" w:eastAsia="Times New Roman"/>
        </w:rPr>
        <w:t>1</w:t>
      </w:r>
      <w:r>
        <w:rPr>
          <w:rFonts w:hint="eastAsia"/>
        </w:rPr>
        <w:t>。</w:t>
      </w:r>
    </w:p>
    <w:p w:rsidR="00B04AE3" w:rsidRDefault="00B04AE3">
      <w:pPr>
        <w:pStyle w:val="Heading3"/>
        <w:numPr>
          <w:ilvl w:val="2"/>
          <w:numId w:val="47"/>
        </w:numPr>
        <w:tabs>
          <w:tab w:val="left" w:pos="1338"/>
        </w:tabs>
        <w:spacing w:before="173"/>
      </w:pPr>
      <w:bookmarkStart w:id="357" w:name="6.1.2生产工艺过程与大气环境风险控制水平（M）评估"/>
      <w:bookmarkStart w:id="358" w:name="_bookmark126"/>
      <w:bookmarkEnd w:id="357"/>
      <w:bookmarkEnd w:id="358"/>
      <w:r>
        <w:rPr>
          <w:rFonts w:hint="eastAsia"/>
        </w:rPr>
        <w:t>生产工艺过程与大气环境风险控制水平（</w:t>
      </w:r>
      <w:r>
        <w:rPr>
          <w:rFonts w:ascii="Times New Roman" w:eastAsia="Times New Roman"/>
        </w:rPr>
        <w:t>M</w:t>
      </w:r>
      <w:r>
        <w:rPr>
          <w:rFonts w:hint="eastAsia"/>
        </w:rPr>
        <w:t>）评估</w:t>
      </w:r>
    </w:p>
    <w:p w:rsidR="00B04AE3" w:rsidRDefault="00B04AE3">
      <w:pPr>
        <w:pStyle w:val="BodyText"/>
        <w:spacing w:line="364" w:lineRule="auto"/>
        <w:ind w:left="797" w:right="675" w:firstLine="480"/>
        <w:jc w:val="both"/>
      </w:pPr>
      <w:r>
        <w:rPr>
          <w:rFonts w:hint="eastAsia"/>
        </w:rPr>
        <w:t>采用评分法对企业生产工艺过程、大气环境风险防控措施及突发大气环境事件发生情况进行评估，将各项指标分值累加，确定企业生产工艺过程与大气环境风险控制水平（</w:t>
      </w:r>
      <w:r>
        <w:t>M</w:t>
      </w:r>
      <w:r>
        <w:rPr>
          <w:rFonts w:hint="eastAsia"/>
        </w:rPr>
        <w:t>）。</w:t>
      </w:r>
    </w:p>
    <w:p w:rsidR="00B04AE3" w:rsidRDefault="00B04AE3">
      <w:pPr>
        <w:spacing w:before="1"/>
        <w:ind w:left="1277"/>
        <w:rPr>
          <w:b/>
          <w:sz w:val="24"/>
        </w:rPr>
      </w:pPr>
      <w:r>
        <w:rPr>
          <w:rFonts w:ascii="Times New Roman" w:eastAsia="Times New Roman"/>
          <w:b/>
          <w:sz w:val="24"/>
        </w:rPr>
        <w:t>1</w:t>
      </w:r>
      <w:r>
        <w:rPr>
          <w:rFonts w:hint="eastAsia"/>
          <w:b/>
          <w:sz w:val="24"/>
        </w:rPr>
        <w:t>、生产工艺过程含有风险工艺和设备情况</w:t>
      </w:r>
    </w:p>
    <w:p w:rsidR="00B04AE3" w:rsidRDefault="00B04AE3">
      <w:pPr>
        <w:pStyle w:val="BodyText"/>
        <w:spacing w:line="364" w:lineRule="auto"/>
        <w:ind w:left="797" w:right="675" w:firstLine="480"/>
        <w:jc w:val="both"/>
      </w:pPr>
      <w:r>
        <w:rPr>
          <w:rFonts w:hint="eastAsia"/>
        </w:rPr>
        <w:t>对企业生产工艺过程含有风险工艺和设备情况的评估按照工艺单元进行，具有多套工艺单元的企业，对每套工艺单元分别评分并求和，该指标分值最高为</w:t>
      </w:r>
      <w:r>
        <w:t xml:space="preserve">30 </w:t>
      </w:r>
      <w:r>
        <w:rPr>
          <w:rFonts w:hint="eastAsia"/>
        </w:rPr>
        <w:t>分。</w:t>
      </w:r>
    </w:p>
    <w:p w:rsidR="00B04AE3" w:rsidRDefault="00B04AE3">
      <w:pPr>
        <w:spacing w:before="173"/>
        <w:ind w:left="489"/>
        <w:jc w:val="center"/>
        <w:rPr>
          <w:b/>
          <w:sz w:val="24"/>
        </w:rPr>
      </w:pPr>
      <w:r>
        <w:rPr>
          <w:noProof/>
          <w:lang w:val="en-US"/>
        </w:rPr>
        <w:pict>
          <v:shape id="_x0000_s1468" type="#_x0000_t202" style="position:absolute;left:0;text-align:left;margin-left:88.85pt;margin-top:25.35pt;width:418.05pt;height:185.3pt;z-index:251661824;mso-position-horizontal-relative:page" filled="f" stroked="f">
            <v:textbox inset="0,0,0,0">
              <w:txbxContent>
                <w:tbl>
                  <w:tblPr>
                    <w:tblW w:w="833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6530"/>
                    <w:gridCol w:w="1135"/>
                    <w:gridCol w:w="667"/>
                  </w:tblGrid>
                  <w:tr w:rsidR="00B04AE3">
                    <w:trPr>
                      <w:trHeight w:val="340"/>
                    </w:trPr>
                    <w:tc>
                      <w:tcPr>
                        <w:tcW w:w="6530" w:type="dxa"/>
                        <w:tcBorders>
                          <w:bottom w:val="single" w:sz="4" w:space="0" w:color="000000"/>
                          <w:right w:val="single" w:sz="4" w:space="0" w:color="000000"/>
                        </w:tcBorders>
                      </w:tcPr>
                      <w:p w:rsidR="00B04AE3" w:rsidRDefault="00B04AE3">
                        <w:pPr>
                          <w:pStyle w:val="TableParagraph"/>
                          <w:spacing w:before="33"/>
                          <w:ind w:left="800" w:right="784"/>
                          <w:rPr>
                            <w:sz w:val="21"/>
                          </w:rPr>
                        </w:pPr>
                        <w:r>
                          <w:rPr>
                            <w:rFonts w:hint="eastAsia"/>
                            <w:sz w:val="21"/>
                          </w:rPr>
                          <w:t>评估依据</w:t>
                        </w:r>
                      </w:p>
                    </w:tc>
                    <w:tc>
                      <w:tcPr>
                        <w:tcW w:w="1135" w:type="dxa"/>
                        <w:tcBorders>
                          <w:left w:val="single" w:sz="4" w:space="0" w:color="000000"/>
                          <w:bottom w:val="single" w:sz="4" w:space="0" w:color="000000"/>
                          <w:right w:val="single" w:sz="4" w:space="0" w:color="000000"/>
                        </w:tcBorders>
                      </w:tcPr>
                      <w:p w:rsidR="00B04AE3" w:rsidRDefault="00B04AE3">
                        <w:pPr>
                          <w:pStyle w:val="TableParagraph"/>
                          <w:spacing w:before="33"/>
                          <w:ind w:left="205" w:right="190"/>
                          <w:rPr>
                            <w:sz w:val="21"/>
                          </w:rPr>
                        </w:pPr>
                        <w:r>
                          <w:rPr>
                            <w:rFonts w:hint="eastAsia"/>
                            <w:sz w:val="21"/>
                          </w:rPr>
                          <w:t>分值</w:t>
                        </w:r>
                      </w:p>
                    </w:tc>
                    <w:tc>
                      <w:tcPr>
                        <w:tcW w:w="667" w:type="dxa"/>
                        <w:tcBorders>
                          <w:left w:val="single" w:sz="4" w:space="0" w:color="000000"/>
                          <w:bottom w:val="single" w:sz="4" w:space="0" w:color="000000"/>
                        </w:tcBorders>
                      </w:tcPr>
                      <w:p w:rsidR="00B04AE3" w:rsidRDefault="00B04AE3">
                        <w:pPr>
                          <w:pStyle w:val="TableParagraph"/>
                          <w:spacing w:before="33"/>
                          <w:ind w:left="105" w:right="87"/>
                          <w:rPr>
                            <w:sz w:val="21"/>
                          </w:rPr>
                        </w:pPr>
                        <w:r>
                          <w:rPr>
                            <w:rFonts w:hint="eastAsia"/>
                            <w:sz w:val="21"/>
                          </w:rPr>
                          <w:t>得分</w:t>
                        </w:r>
                      </w:p>
                    </w:tc>
                  </w:tr>
                  <w:tr w:rsidR="00B04AE3">
                    <w:trPr>
                      <w:trHeight w:val="1088"/>
                    </w:trPr>
                    <w:tc>
                      <w:tcPr>
                        <w:tcW w:w="6530" w:type="dxa"/>
                        <w:tcBorders>
                          <w:top w:val="single" w:sz="4" w:space="0" w:color="000000"/>
                          <w:bottom w:val="single" w:sz="4" w:space="0" w:color="000000"/>
                          <w:right w:val="single" w:sz="4" w:space="0" w:color="000000"/>
                        </w:tcBorders>
                      </w:tcPr>
                      <w:p w:rsidR="00B04AE3" w:rsidRDefault="00B04AE3">
                        <w:pPr>
                          <w:pStyle w:val="TableParagraph"/>
                          <w:spacing w:before="34"/>
                          <w:ind w:right="781"/>
                          <w:jc w:val="both"/>
                          <w:rPr>
                            <w:sz w:val="21"/>
                          </w:rPr>
                        </w:pPr>
                        <w:r>
                          <w:rPr>
                            <w:rFonts w:hint="eastAsia"/>
                            <w:sz w:val="21"/>
                          </w:rPr>
                          <w:t>涉及光气及光气化工艺、电解工艺（氯碱）、氯化工艺、硝化艺、合成</w:t>
                        </w:r>
                        <w:r>
                          <w:rPr>
                            <w:sz w:val="21"/>
                          </w:rPr>
                          <w:t xml:space="preserve">  </w:t>
                        </w:r>
                        <w:r>
                          <w:rPr>
                            <w:rFonts w:hint="eastAsia"/>
                            <w:sz w:val="21"/>
                          </w:rPr>
                          <w:t>氨工艺、裂解（裂化）工艺、氟化工艺、加氢工艺、重氮化工艺、氧化工艺、过氧化工艺、胺基化工艺、磺化工艺、聚合工艺、烷基化工艺、新</w:t>
                        </w:r>
                      </w:p>
                      <w:p w:rsidR="00B04AE3" w:rsidRDefault="00B04AE3">
                        <w:pPr>
                          <w:pStyle w:val="TableParagraph"/>
                          <w:spacing w:before="34"/>
                          <w:ind w:left="800" w:right="781"/>
                          <w:rPr>
                            <w:sz w:val="21"/>
                          </w:rPr>
                        </w:pPr>
                        <w:r>
                          <w:rPr>
                            <w:rFonts w:hint="eastAsia"/>
                            <w:sz w:val="21"/>
                          </w:rPr>
                          <w:t>型煤化工工艺、电石生产工艺、偶氮化工艺</w:t>
                        </w:r>
                      </w:p>
                    </w:tc>
                    <w:tc>
                      <w:tcPr>
                        <w:tcW w:w="1135"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10"/>
                          <w:jc w:val="left"/>
                          <w:rPr>
                            <w:b/>
                            <w:sz w:val="31"/>
                          </w:rPr>
                        </w:pPr>
                      </w:p>
                      <w:p w:rsidR="00B04AE3" w:rsidRDefault="00B04AE3">
                        <w:pPr>
                          <w:pStyle w:val="TableParagraph"/>
                          <w:spacing w:before="1"/>
                          <w:ind w:left="205" w:right="190"/>
                          <w:rPr>
                            <w:sz w:val="21"/>
                          </w:rPr>
                        </w:pPr>
                        <w:r>
                          <w:rPr>
                            <w:rFonts w:ascii="Times New Roman" w:eastAsia="Times New Roman"/>
                            <w:sz w:val="21"/>
                          </w:rPr>
                          <w:t>10/</w:t>
                        </w:r>
                        <w:r>
                          <w:rPr>
                            <w:rFonts w:hint="eastAsia"/>
                            <w:sz w:val="21"/>
                          </w:rPr>
                          <w:t>每套</w:t>
                        </w:r>
                      </w:p>
                    </w:tc>
                    <w:tc>
                      <w:tcPr>
                        <w:tcW w:w="667" w:type="dxa"/>
                        <w:tcBorders>
                          <w:top w:val="single" w:sz="4" w:space="0" w:color="000000"/>
                          <w:left w:val="single" w:sz="4" w:space="0" w:color="000000"/>
                          <w:bottom w:val="single" w:sz="4" w:space="0" w:color="000000"/>
                        </w:tcBorders>
                      </w:tcPr>
                      <w:p w:rsidR="00B04AE3" w:rsidRDefault="00B04AE3">
                        <w:pPr>
                          <w:pStyle w:val="TableParagraph"/>
                          <w:spacing w:before="11"/>
                          <w:jc w:val="left"/>
                          <w:rPr>
                            <w:b/>
                            <w:sz w:val="32"/>
                          </w:rPr>
                        </w:pPr>
                      </w:p>
                      <w:p w:rsidR="00B04AE3" w:rsidRDefault="00B04AE3">
                        <w:pPr>
                          <w:pStyle w:val="TableParagraph"/>
                          <w:spacing w:before="1"/>
                          <w:ind w:left="16"/>
                          <w:rPr>
                            <w:rFonts w:ascii="Times New Roman"/>
                            <w:sz w:val="21"/>
                          </w:rPr>
                        </w:pPr>
                        <w:r>
                          <w:rPr>
                            <w:rFonts w:ascii="Times New Roman"/>
                            <w:w w:val="99"/>
                            <w:sz w:val="21"/>
                          </w:rPr>
                          <w:t>0</w:t>
                        </w:r>
                      </w:p>
                    </w:tc>
                  </w:tr>
                  <w:tr w:rsidR="00B04AE3">
                    <w:trPr>
                      <w:trHeight w:val="340"/>
                    </w:trPr>
                    <w:tc>
                      <w:tcPr>
                        <w:tcW w:w="6530" w:type="dxa"/>
                        <w:tcBorders>
                          <w:top w:val="single" w:sz="4" w:space="0" w:color="000000"/>
                          <w:bottom w:val="single" w:sz="4" w:space="0" w:color="000000"/>
                          <w:right w:val="single" w:sz="4" w:space="0" w:color="000000"/>
                        </w:tcBorders>
                      </w:tcPr>
                      <w:p w:rsidR="00B04AE3" w:rsidRDefault="00B04AE3">
                        <w:pPr>
                          <w:pStyle w:val="TableParagraph"/>
                          <w:spacing w:before="34"/>
                          <w:ind w:left="800" w:right="781"/>
                          <w:rPr>
                            <w:rFonts w:ascii="Times New Roman" w:eastAsia="Times New Roman"/>
                            <w:sz w:val="13"/>
                          </w:rPr>
                        </w:pPr>
                        <w:r>
                          <w:rPr>
                            <w:rFonts w:hint="eastAsia"/>
                            <w:sz w:val="21"/>
                          </w:rPr>
                          <w:t>其他高温或高压、涉及易燃易爆等物质的工艺过程</w:t>
                        </w:r>
                        <w:r>
                          <w:rPr>
                            <w:rFonts w:ascii="Times New Roman" w:eastAsia="Times New Roman"/>
                            <w:position w:val="7"/>
                            <w:sz w:val="13"/>
                          </w:rPr>
                          <w:t>a</w:t>
                        </w:r>
                      </w:p>
                    </w:tc>
                    <w:tc>
                      <w:tcPr>
                        <w:tcW w:w="1135"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205" w:right="190"/>
                          <w:rPr>
                            <w:sz w:val="21"/>
                          </w:rPr>
                        </w:pPr>
                        <w:r>
                          <w:rPr>
                            <w:rFonts w:ascii="Times New Roman" w:eastAsia="Times New Roman"/>
                            <w:sz w:val="21"/>
                          </w:rPr>
                          <w:t>5/</w:t>
                        </w:r>
                        <w:r>
                          <w:rPr>
                            <w:rFonts w:hint="eastAsia"/>
                            <w:sz w:val="21"/>
                          </w:rPr>
                          <w:t>每套</w:t>
                        </w:r>
                      </w:p>
                    </w:tc>
                    <w:tc>
                      <w:tcPr>
                        <w:tcW w:w="667" w:type="dxa"/>
                        <w:tcBorders>
                          <w:top w:val="single" w:sz="4" w:space="0" w:color="000000"/>
                          <w:left w:val="single" w:sz="4" w:space="0" w:color="000000"/>
                          <w:bottom w:val="single" w:sz="4" w:space="0" w:color="000000"/>
                        </w:tcBorders>
                      </w:tcPr>
                      <w:p w:rsidR="00B04AE3" w:rsidRDefault="00B04AE3">
                        <w:pPr>
                          <w:pStyle w:val="TableParagraph"/>
                          <w:spacing w:before="50"/>
                          <w:ind w:left="16"/>
                          <w:rPr>
                            <w:rFonts w:ascii="Times New Roman"/>
                            <w:sz w:val="21"/>
                          </w:rPr>
                        </w:pPr>
                        <w:r>
                          <w:rPr>
                            <w:rFonts w:ascii="Times New Roman"/>
                            <w:w w:val="99"/>
                            <w:sz w:val="21"/>
                          </w:rPr>
                          <w:t>5</w:t>
                        </w:r>
                      </w:p>
                    </w:tc>
                  </w:tr>
                  <w:tr w:rsidR="00B04AE3">
                    <w:trPr>
                      <w:trHeight w:val="340"/>
                    </w:trPr>
                    <w:tc>
                      <w:tcPr>
                        <w:tcW w:w="6530" w:type="dxa"/>
                        <w:tcBorders>
                          <w:top w:val="single" w:sz="4" w:space="0" w:color="000000"/>
                          <w:bottom w:val="single" w:sz="4" w:space="0" w:color="000000"/>
                          <w:right w:val="single" w:sz="4" w:space="0" w:color="000000"/>
                        </w:tcBorders>
                      </w:tcPr>
                      <w:p w:rsidR="00B04AE3" w:rsidRDefault="00B04AE3">
                        <w:pPr>
                          <w:pStyle w:val="TableParagraph"/>
                          <w:spacing w:before="34"/>
                          <w:ind w:left="800" w:right="783"/>
                          <w:rPr>
                            <w:rFonts w:ascii="Times New Roman" w:eastAsia="Times New Roman"/>
                            <w:sz w:val="13"/>
                          </w:rPr>
                        </w:pPr>
                        <w:r>
                          <w:rPr>
                            <w:rFonts w:hint="eastAsia"/>
                            <w:sz w:val="21"/>
                          </w:rPr>
                          <w:t>具有国家规定限期淘汰的工艺名录和设备</w:t>
                        </w:r>
                        <w:r>
                          <w:rPr>
                            <w:rFonts w:ascii="Times New Roman" w:eastAsia="Times New Roman"/>
                            <w:position w:val="7"/>
                            <w:sz w:val="13"/>
                          </w:rPr>
                          <w:t>b</w:t>
                        </w:r>
                      </w:p>
                    </w:tc>
                    <w:tc>
                      <w:tcPr>
                        <w:tcW w:w="1135"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205" w:right="190"/>
                          <w:rPr>
                            <w:sz w:val="21"/>
                          </w:rPr>
                        </w:pPr>
                        <w:r>
                          <w:rPr>
                            <w:rFonts w:ascii="Times New Roman" w:eastAsia="Times New Roman"/>
                            <w:sz w:val="21"/>
                          </w:rPr>
                          <w:t>5/</w:t>
                        </w:r>
                        <w:r>
                          <w:rPr>
                            <w:rFonts w:hint="eastAsia"/>
                            <w:sz w:val="21"/>
                          </w:rPr>
                          <w:t>每套</w:t>
                        </w:r>
                      </w:p>
                    </w:tc>
                    <w:tc>
                      <w:tcPr>
                        <w:tcW w:w="667" w:type="dxa"/>
                        <w:tcBorders>
                          <w:top w:val="single" w:sz="4" w:space="0" w:color="000000"/>
                          <w:left w:val="single" w:sz="4" w:space="0" w:color="000000"/>
                          <w:bottom w:val="single" w:sz="4" w:space="0" w:color="000000"/>
                        </w:tcBorders>
                      </w:tcPr>
                      <w:p w:rsidR="00B04AE3" w:rsidRDefault="00B04AE3">
                        <w:pPr>
                          <w:pStyle w:val="TableParagraph"/>
                          <w:spacing w:before="48"/>
                          <w:ind w:left="16"/>
                          <w:rPr>
                            <w:rFonts w:ascii="Times New Roman"/>
                            <w:sz w:val="21"/>
                          </w:rPr>
                        </w:pPr>
                        <w:r>
                          <w:rPr>
                            <w:rFonts w:ascii="Times New Roman"/>
                            <w:w w:val="99"/>
                            <w:sz w:val="21"/>
                          </w:rPr>
                          <w:t>0</w:t>
                        </w:r>
                      </w:p>
                    </w:tc>
                  </w:tr>
                  <w:tr w:rsidR="00B04AE3">
                    <w:trPr>
                      <w:trHeight w:val="340"/>
                    </w:trPr>
                    <w:tc>
                      <w:tcPr>
                        <w:tcW w:w="6530" w:type="dxa"/>
                        <w:tcBorders>
                          <w:top w:val="single" w:sz="4" w:space="0" w:color="000000"/>
                          <w:bottom w:val="single" w:sz="4" w:space="0" w:color="000000"/>
                          <w:right w:val="single" w:sz="4" w:space="0" w:color="000000"/>
                        </w:tcBorders>
                      </w:tcPr>
                      <w:p w:rsidR="00B04AE3" w:rsidRDefault="00B04AE3">
                        <w:pPr>
                          <w:pStyle w:val="TableParagraph"/>
                          <w:spacing w:before="34"/>
                          <w:ind w:left="800" w:right="786"/>
                          <w:rPr>
                            <w:sz w:val="21"/>
                          </w:rPr>
                        </w:pPr>
                        <w:r>
                          <w:rPr>
                            <w:rFonts w:hint="eastAsia"/>
                            <w:sz w:val="21"/>
                          </w:rPr>
                          <w:t>不涉及以上危险工艺过程或国家规定的禁用工艺</w:t>
                        </w:r>
                        <w:r>
                          <w:rPr>
                            <w:rFonts w:ascii="Times New Roman" w:eastAsia="Times New Roman"/>
                            <w:sz w:val="21"/>
                          </w:rPr>
                          <w:t>/</w:t>
                        </w:r>
                        <w:r>
                          <w:rPr>
                            <w:rFonts w:hint="eastAsia"/>
                            <w:sz w:val="21"/>
                          </w:rPr>
                          <w:t>设备</w:t>
                        </w:r>
                      </w:p>
                    </w:tc>
                    <w:tc>
                      <w:tcPr>
                        <w:tcW w:w="1135"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48"/>
                          <w:ind w:left="18"/>
                          <w:rPr>
                            <w:rFonts w:ascii="Times New Roman"/>
                            <w:sz w:val="21"/>
                          </w:rPr>
                        </w:pPr>
                        <w:r>
                          <w:rPr>
                            <w:rFonts w:ascii="Times New Roman"/>
                            <w:w w:val="99"/>
                            <w:sz w:val="21"/>
                          </w:rPr>
                          <w:t>0</w:t>
                        </w:r>
                      </w:p>
                    </w:tc>
                    <w:tc>
                      <w:tcPr>
                        <w:tcW w:w="667" w:type="dxa"/>
                        <w:tcBorders>
                          <w:top w:val="single" w:sz="4" w:space="0" w:color="000000"/>
                          <w:left w:val="single" w:sz="4" w:space="0" w:color="000000"/>
                          <w:bottom w:val="single" w:sz="4" w:space="0" w:color="000000"/>
                        </w:tcBorders>
                      </w:tcPr>
                      <w:p w:rsidR="00B04AE3" w:rsidRDefault="00B04AE3">
                        <w:pPr>
                          <w:pStyle w:val="TableParagraph"/>
                          <w:spacing w:before="48"/>
                          <w:ind w:left="16"/>
                          <w:rPr>
                            <w:rFonts w:ascii="Times New Roman"/>
                            <w:sz w:val="21"/>
                          </w:rPr>
                        </w:pPr>
                        <w:r>
                          <w:rPr>
                            <w:rFonts w:ascii="Times New Roman"/>
                            <w:w w:val="99"/>
                            <w:sz w:val="21"/>
                          </w:rPr>
                          <w:t>0</w:t>
                        </w:r>
                      </w:p>
                    </w:tc>
                  </w:tr>
                  <w:tr w:rsidR="00B04AE3">
                    <w:trPr>
                      <w:trHeight w:val="817"/>
                    </w:trPr>
                    <w:tc>
                      <w:tcPr>
                        <w:tcW w:w="8332" w:type="dxa"/>
                        <w:gridSpan w:val="3"/>
                        <w:tcBorders>
                          <w:top w:val="single" w:sz="4" w:space="0" w:color="000000"/>
                          <w:bottom w:val="single" w:sz="4" w:space="0" w:color="000000"/>
                        </w:tcBorders>
                      </w:tcPr>
                      <w:p w:rsidR="00B04AE3" w:rsidRDefault="00B04AE3">
                        <w:pPr>
                          <w:pStyle w:val="TableParagraph"/>
                          <w:spacing w:before="1" w:line="242" w:lineRule="auto"/>
                          <w:ind w:left="12" w:right="-15"/>
                          <w:rPr>
                            <w:sz w:val="21"/>
                          </w:rPr>
                        </w:pPr>
                        <w:r>
                          <w:rPr>
                            <w:rFonts w:hint="eastAsia"/>
                            <w:sz w:val="21"/>
                          </w:rPr>
                          <w:t>注：</w:t>
                        </w:r>
                        <w:r>
                          <w:rPr>
                            <w:rFonts w:ascii="Times New Roman" w:hAnsi="Times New Roman"/>
                            <w:sz w:val="21"/>
                          </w:rPr>
                          <w:t>a</w:t>
                        </w:r>
                        <w:r>
                          <w:rPr>
                            <w:rFonts w:ascii="Times New Roman" w:hAnsi="Times New Roman"/>
                            <w:spacing w:val="14"/>
                            <w:sz w:val="21"/>
                          </w:rPr>
                          <w:t xml:space="preserve"> </w:t>
                        </w:r>
                        <w:r>
                          <w:rPr>
                            <w:rFonts w:hint="eastAsia"/>
                            <w:sz w:val="21"/>
                          </w:rPr>
                          <w:t>高温指工艺温度</w:t>
                        </w:r>
                        <w:r>
                          <w:rPr>
                            <w:rFonts w:ascii="Times New Roman" w:hAnsi="Times New Roman"/>
                            <w:sz w:val="21"/>
                          </w:rPr>
                          <w:t>≥300</w:t>
                        </w:r>
                        <w:r>
                          <w:rPr>
                            <w:rFonts w:hint="eastAsia"/>
                            <w:spacing w:val="-1"/>
                            <w:sz w:val="21"/>
                          </w:rPr>
                          <w:t>℃，高压指压力容器的设计压力</w:t>
                        </w:r>
                        <w:r>
                          <w:rPr>
                            <w:rFonts w:hint="eastAsia"/>
                            <w:sz w:val="21"/>
                          </w:rPr>
                          <w:t>（</w:t>
                        </w:r>
                        <w:r>
                          <w:rPr>
                            <w:rFonts w:ascii="Times New Roman" w:hAnsi="Times New Roman"/>
                            <w:sz w:val="21"/>
                          </w:rPr>
                          <w:t>p</w:t>
                        </w:r>
                        <w:r>
                          <w:rPr>
                            <w:rFonts w:hint="eastAsia"/>
                            <w:sz w:val="21"/>
                          </w:rPr>
                          <w:t>）</w:t>
                        </w:r>
                        <w:r>
                          <w:rPr>
                            <w:rFonts w:ascii="Times New Roman" w:hAnsi="Times New Roman"/>
                            <w:sz w:val="21"/>
                          </w:rPr>
                          <w:t>≥10.0MPa</w:t>
                        </w:r>
                        <w:r>
                          <w:rPr>
                            <w:rFonts w:hint="eastAsia"/>
                            <w:sz w:val="21"/>
                          </w:rPr>
                          <w:t>，易燃易爆等物</w:t>
                        </w:r>
                        <w:r>
                          <w:rPr>
                            <w:rFonts w:hint="eastAsia"/>
                            <w:spacing w:val="-1"/>
                            <w:sz w:val="21"/>
                          </w:rPr>
                          <w:t>质是指按照</w:t>
                        </w:r>
                        <w:r>
                          <w:rPr>
                            <w:spacing w:val="-1"/>
                            <w:sz w:val="21"/>
                          </w:rPr>
                          <w:t xml:space="preserve"> </w:t>
                        </w:r>
                        <w:r>
                          <w:rPr>
                            <w:rFonts w:ascii="Times New Roman" w:hAnsi="Times New Roman"/>
                            <w:sz w:val="21"/>
                          </w:rPr>
                          <w:t>GB30000.2</w:t>
                        </w:r>
                        <w:r>
                          <w:rPr>
                            <w:rFonts w:ascii="Times New Roman" w:hAnsi="Times New Roman"/>
                            <w:spacing w:val="44"/>
                            <w:sz w:val="21"/>
                          </w:rPr>
                          <w:t xml:space="preserve"> </w:t>
                        </w:r>
                        <w:r>
                          <w:rPr>
                            <w:rFonts w:hint="eastAsia"/>
                            <w:spacing w:val="-1"/>
                            <w:sz w:val="21"/>
                          </w:rPr>
                          <w:t>至</w:t>
                        </w:r>
                        <w:r>
                          <w:rPr>
                            <w:spacing w:val="-1"/>
                            <w:sz w:val="21"/>
                          </w:rPr>
                          <w:t xml:space="preserve"> </w:t>
                        </w:r>
                        <w:r>
                          <w:rPr>
                            <w:rFonts w:ascii="Times New Roman" w:hAnsi="Times New Roman"/>
                            <w:sz w:val="21"/>
                          </w:rPr>
                          <w:t>GB30000.13</w:t>
                        </w:r>
                        <w:r>
                          <w:rPr>
                            <w:rFonts w:ascii="Times New Roman" w:hAnsi="Times New Roman"/>
                            <w:spacing w:val="48"/>
                            <w:sz w:val="21"/>
                          </w:rPr>
                          <w:t xml:space="preserve"> </w:t>
                        </w:r>
                        <w:r>
                          <w:rPr>
                            <w:rFonts w:hint="eastAsia"/>
                            <w:spacing w:val="-5"/>
                            <w:sz w:val="21"/>
                          </w:rPr>
                          <w:t>所确定的化学物质；</w:t>
                        </w:r>
                        <w:r>
                          <w:rPr>
                            <w:rFonts w:ascii="Times New Roman" w:hAnsi="Times New Roman"/>
                            <w:spacing w:val="-37"/>
                            <w:sz w:val="21"/>
                          </w:rPr>
                          <w:t>b</w:t>
                        </w:r>
                        <w:r>
                          <w:rPr>
                            <w:rFonts w:ascii="Times New Roman" w:hAnsi="Times New Roman"/>
                            <w:spacing w:val="-28"/>
                            <w:sz w:val="21"/>
                          </w:rPr>
                          <w:t xml:space="preserve"> </w:t>
                        </w:r>
                        <w:r>
                          <w:rPr>
                            <w:rFonts w:hint="eastAsia"/>
                            <w:spacing w:val="-9"/>
                            <w:sz w:val="21"/>
                          </w:rPr>
                          <w:t>指《产业结构调整指导目录</w:t>
                        </w:r>
                      </w:p>
                      <w:p w:rsidR="00B04AE3" w:rsidRDefault="00B04AE3">
                        <w:pPr>
                          <w:pStyle w:val="TableParagraph"/>
                          <w:spacing w:before="1" w:line="251" w:lineRule="exact"/>
                          <w:ind w:left="2254" w:right="2237"/>
                          <w:rPr>
                            <w:sz w:val="21"/>
                          </w:rPr>
                        </w:pPr>
                        <w:r>
                          <w:rPr>
                            <w:rFonts w:hint="eastAsia"/>
                            <w:sz w:val="21"/>
                          </w:rPr>
                          <w:t>中有淘汰期限的淘汰类落后生产工艺装备</w:t>
                        </w:r>
                      </w:p>
                    </w:tc>
                  </w:tr>
                  <w:tr w:rsidR="00B04AE3">
                    <w:trPr>
                      <w:trHeight w:val="339"/>
                    </w:trPr>
                    <w:tc>
                      <w:tcPr>
                        <w:tcW w:w="6530" w:type="dxa"/>
                        <w:tcBorders>
                          <w:top w:val="single" w:sz="4" w:space="0" w:color="000000"/>
                          <w:right w:val="single" w:sz="4" w:space="0" w:color="000000"/>
                        </w:tcBorders>
                      </w:tcPr>
                      <w:p w:rsidR="00B04AE3" w:rsidRDefault="00B04AE3">
                        <w:pPr>
                          <w:pStyle w:val="TableParagraph"/>
                          <w:spacing w:before="33"/>
                          <w:ind w:left="800" w:right="786"/>
                          <w:rPr>
                            <w:sz w:val="21"/>
                          </w:rPr>
                        </w:pPr>
                        <w:r>
                          <w:rPr>
                            <w:rFonts w:hint="eastAsia"/>
                            <w:sz w:val="21"/>
                          </w:rPr>
                          <w:t>合计</w:t>
                        </w:r>
                      </w:p>
                    </w:tc>
                    <w:tc>
                      <w:tcPr>
                        <w:tcW w:w="1802" w:type="dxa"/>
                        <w:gridSpan w:val="2"/>
                        <w:tcBorders>
                          <w:top w:val="single" w:sz="4" w:space="0" w:color="000000"/>
                          <w:left w:val="single" w:sz="4" w:space="0" w:color="000000"/>
                        </w:tcBorders>
                      </w:tcPr>
                      <w:p w:rsidR="00B04AE3" w:rsidRDefault="00B04AE3">
                        <w:pPr>
                          <w:pStyle w:val="TableParagraph"/>
                          <w:spacing w:before="50"/>
                          <w:ind w:left="19"/>
                          <w:rPr>
                            <w:rFonts w:ascii="Times New Roman"/>
                            <w:sz w:val="21"/>
                          </w:rPr>
                        </w:pPr>
                        <w:r>
                          <w:rPr>
                            <w:rFonts w:ascii="Times New Roman"/>
                            <w:w w:val="99"/>
                            <w:sz w:val="21"/>
                          </w:rPr>
                          <w:t>5</w:t>
                        </w:r>
                      </w:p>
                    </w:tc>
                  </w:tr>
                </w:tbl>
                <w:p w:rsidR="00B04AE3" w:rsidRDefault="00B04AE3">
                  <w:pPr>
                    <w:pStyle w:val="BodyText"/>
                  </w:pPr>
                </w:p>
              </w:txbxContent>
            </v:textbox>
            <w10:wrap anchorx="page"/>
          </v:shape>
        </w:pict>
      </w:r>
      <w:r>
        <w:rPr>
          <w:rFonts w:hint="eastAsia"/>
          <w:b/>
          <w:sz w:val="24"/>
        </w:rPr>
        <w:t>表</w:t>
      </w:r>
      <w:r>
        <w:rPr>
          <w:b/>
          <w:sz w:val="24"/>
        </w:rPr>
        <w:t xml:space="preserve"> </w:t>
      </w:r>
      <w:r>
        <w:rPr>
          <w:rFonts w:ascii="Times New Roman" w:eastAsia="Times New Roman"/>
          <w:b/>
          <w:sz w:val="24"/>
        </w:rPr>
        <w:t xml:space="preserve">6.1-2  </w:t>
      </w:r>
      <w:r>
        <w:rPr>
          <w:rFonts w:hint="eastAsia"/>
          <w:b/>
          <w:sz w:val="24"/>
        </w:rPr>
        <w:t>企业生产工艺过程评估</w:t>
      </w: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rPr>
          <w:b/>
          <w:sz w:val="26"/>
        </w:rPr>
      </w:pPr>
    </w:p>
    <w:p w:rsidR="00B04AE3" w:rsidRDefault="00B04AE3">
      <w:pPr>
        <w:pStyle w:val="BodyText"/>
        <w:spacing w:before="12"/>
        <w:rPr>
          <w:b/>
          <w:sz w:val="37"/>
        </w:rPr>
      </w:pPr>
    </w:p>
    <w:p w:rsidR="00B04AE3" w:rsidRDefault="00B04AE3">
      <w:pPr>
        <w:ind w:left="9005"/>
        <w:rPr>
          <w:sz w:val="21"/>
        </w:rPr>
      </w:pPr>
      <w:r>
        <w:rPr>
          <w:rFonts w:hint="eastAsia"/>
          <w:w w:val="99"/>
          <w:sz w:val="21"/>
        </w:rPr>
        <w:t>》</w:t>
      </w:r>
    </w:p>
    <w:p w:rsidR="00B04AE3" w:rsidRDefault="00B04AE3">
      <w:pPr>
        <w:pStyle w:val="BodyText"/>
        <w:rPr>
          <w:sz w:val="20"/>
        </w:rPr>
      </w:pPr>
    </w:p>
    <w:p w:rsidR="00B04AE3" w:rsidRDefault="00B04AE3">
      <w:pPr>
        <w:pStyle w:val="BodyText"/>
        <w:rPr>
          <w:sz w:val="20"/>
        </w:rPr>
      </w:pPr>
    </w:p>
    <w:p w:rsidR="00B04AE3" w:rsidRDefault="00B04AE3">
      <w:pPr>
        <w:spacing w:before="133" w:line="244" w:lineRule="auto"/>
        <w:ind w:left="797" w:right="688"/>
        <w:rPr>
          <w:sz w:val="21"/>
        </w:rPr>
      </w:pPr>
      <w:r>
        <w:rPr>
          <w:rFonts w:hint="eastAsia"/>
          <w:sz w:val="21"/>
        </w:rPr>
        <w:t>注：</w:t>
      </w:r>
      <w:r>
        <w:rPr>
          <w:rFonts w:ascii="Times New Roman" w:hAnsi="Times New Roman"/>
          <w:sz w:val="21"/>
        </w:rPr>
        <w:t xml:space="preserve">a </w:t>
      </w:r>
      <w:r>
        <w:rPr>
          <w:rFonts w:hint="eastAsia"/>
          <w:sz w:val="21"/>
        </w:rPr>
        <w:t>高温指工艺温度</w:t>
      </w:r>
      <w:r>
        <w:rPr>
          <w:rFonts w:ascii="Times New Roman" w:hAnsi="Times New Roman"/>
          <w:sz w:val="21"/>
        </w:rPr>
        <w:t>≥300</w:t>
      </w:r>
      <w:r>
        <w:rPr>
          <w:rFonts w:hint="eastAsia"/>
          <w:sz w:val="21"/>
        </w:rPr>
        <w:t>℃，高压指压力容器的设计压力（</w:t>
      </w:r>
      <w:r>
        <w:rPr>
          <w:rFonts w:ascii="Times New Roman" w:hAnsi="Times New Roman"/>
          <w:sz w:val="21"/>
        </w:rPr>
        <w:t>p</w:t>
      </w:r>
      <w:r>
        <w:rPr>
          <w:rFonts w:hint="eastAsia"/>
          <w:sz w:val="21"/>
        </w:rPr>
        <w:t>）</w:t>
      </w:r>
      <w:r>
        <w:rPr>
          <w:rFonts w:ascii="Times New Roman" w:hAnsi="Times New Roman"/>
          <w:sz w:val="21"/>
        </w:rPr>
        <w:t>≥10.0MPa</w:t>
      </w:r>
      <w:r>
        <w:rPr>
          <w:rFonts w:hint="eastAsia"/>
          <w:sz w:val="21"/>
        </w:rPr>
        <w:t>，易燃易爆等物</w:t>
      </w:r>
      <w:r>
        <w:rPr>
          <w:rFonts w:hint="eastAsia"/>
          <w:spacing w:val="-1"/>
          <w:sz w:val="21"/>
        </w:rPr>
        <w:t>质是指按照</w:t>
      </w:r>
      <w:r>
        <w:rPr>
          <w:spacing w:val="-1"/>
          <w:sz w:val="21"/>
        </w:rPr>
        <w:t xml:space="preserve"> </w:t>
      </w:r>
      <w:r>
        <w:rPr>
          <w:rFonts w:ascii="Times New Roman" w:hAnsi="Times New Roman"/>
          <w:sz w:val="21"/>
        </w:rPr>
        <w:t xml:space="preserve">GB30000.2 </w:t>
      </w:r>
      <w:r>
        <w:rPr>
          <w:rFonts w:hint="eastAsia"/>
          <w:spacing w:val="-2"/>
          <w:sz w:val="21"/>
        </w:rPr>
        <w:t>至</w:t>
      </w:r>
      <w:r>
        <w:rPr>
          <w:spacing w:val="-2"/>
          <w:sz w:val="21"/>
        </w:rPr>
        <w:t xml:space="preserve"> </w:t>
      </w:r>
      <w:r>
        <w:rPr>
          <w:rFonts w:ascii="Times New Roman" w:hAnsi="Times New Roman"/>
          <w:sz w:val="21"/>
        </w:rPr>
        <w:t xml:space="preserve">GB30000.13 </w:t>
      </w:r>
      <w:r>
        <w:rPr>
          <w:rFonts w:hint="eastAsia"/>
          <w:spacing w:val="-5"/>
          <w:sz w:val="21"/>
        </w:rPr>
        <w:t>所确定的化学物质；</w:t>
      </w:r>
      <w:r>
        <w:rPr>
          <w:rFonts w:ascii="Times New Roman" w:hAnsi="Times New Roman"/>
          <w:spacing w:val="-37"/>
          <w:sz w:val="21"/>
        </w:rPr>
        <w:t xml:space="preserve">b </w:t>
      </w:r>
      <w:r>
        <w:rPr>
          <w:rFonts w:hint="eastAsia"/>
          <w:spacing w:val="-9"/>
          <w:sz w:val="21"/>
        </w:rPr>
        <w:t>指《产业结构调整指导目录》中有淘汰期限的淘汰类落后生产工艺装备。</w:t>
      </w:r>
    </w:p>
    <w:p w:rsidR="00B04AE3" w:rsidRDefault="00B04AE3">
      <w:pPr>
        <w:spacing w:before="138"/>
        <w:ind w:left="1277"/>
        <w:rPr>
          <w:b/>
          <w:sz w:val="24"/>
        </w:rPr>
      </w:pPr>
      <w:r>
        <w:rPr>
          <w:rFonts w:ascii="Times New Roman" w:eastAsia="Times New Roman"/>
          <w:b/>
          <w:sz w:val="24"/>
        </w:rPr>
        <w:t>2</w:t>
      </w:r>
      <w:r>
        <w:rPr>
          <w:rFonts w:hint="eastAsia"/>
          <w:b/>
          <w:sz w:val="24"/>
        </w:rPr>
        <w:t>、大气环境风险防控措施及突发大气环境事件发生情况</w:t>
      </w:r>
    </w:p>
    <w:p w:rsidR="00B04AE3" w:rsidRDefault="00B04AE3">
      <w:pPr>
        <w:pStyle w:val="BodyText"/>
        <w:spacing w:line="364" w:lineRule="auto"/>
        <w:ind w:left="797" w:right="675" w:firstLine="480"/>
        <w:jc w:val="both"/>
      </w:pPr>
      <w:r>
        <w:rPr>
          <w:rFonts w:hint="eastAsia"/>
        </w:rPr>
        <w:t>企业大气环境风险防控措施及突发大气环境事件发生情况评估指标见表</w:t>
      </w:r>
      <w:r>
        <w:t>6.1-3</w:t>
      </w:r>
      <w:r>
        <w:rPr>
          <w:rFonts w:hint="eastAsia"/>
        </w:rPr>
        <w:t>。对各项评估指标分别评分、计算总和，各项指标分值合计最高为</w:t>
      </w:r>
      <w:r>
        <w:t xml:space="preserve"> 70 </w:t>
      </w:r>
      <w:r>
        <w:rPr>
          <w:rFonts w:hint="eastAsia"/>
        </w:rPr>
        <w:t>分。</w:t>
      </w:r>
    </w:p>
    <w:p w:rsidR="00B04AE3" w:rsidRDefault="00B04AE3">
      <w:pPr>
        <w:spacing w:before="172" w:after="29"/>
        <w:ind w:left="504"/>
        <w:jc w:val="center"/>
        <w:rPr>
          <w:b/>
          <w:sz w:val="24"/>
        </w:rPr>
      </w:pPr>
      <w:r>
        <w:rPr>
          <w:rFonts w:hint="eastAsia"/>
          <w:b/>
          <w:spacing w:val="-31"/>
          <w:sz w:val="24"/>
        </w:rPr>
        <w:t>表</w:t>
      </w:r>
      <w:r>
        <w:rPr>
          <w:b/>
          <w:spacing w:val="-31"/>
          <w:sz w:val="24"/>
        </w:rPr>
        <w:t xml:space="preserve"> </w:t>
      </w:r>
      <w:r>
        <w:rPr>
          <w:rFonts w:ascii="Times New Roman" w:eastAsia="Times New Roman"/>
          <w:b/>
          <w:sz w:val="24"/>
        </w:rPr>
        <w:t>6.1-3</w:t>
      </w:r>
      <w:r>
        <w:rPr>
          <w:rFonts w:ascii="Times New Roman" w:eastAsia="Times New Roman"/>
          <w:b/>
          <w:spacing w:val="59"/>
          <w:sz w:val="24"/>
        </w:rPr>
        <w:t xml:space="preserve"> </w:t>
      </w:r>
      <w:r>
        <w:rPr>
          <w:rFonts w:hint="eastAsia"/>
          <w:b/>
          <w:sz w:val="24"/>
        </w:rPr>
        <w:t>企业大气环境风险防控措施与突发大气环境事件发生情况评估</w:t>
      </w:r>
    </w:p>
    <w:tbl>
      <w:tblPr>
        <w:tblW w:w="8456" w:type="dxa"/>
        <w:tblInd w:w="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307"/>
        <w:gridCol w:w="3695"/>
        <w:gridCol w:w="819"/>
        <w:gridCol w:w="830"/>
        <w:gridCol w:w="1805"/>
      </w:tblGrid>
      <w:tr w:rsidR="00B04AE3">
        <w:trPr>
          <w:trHeight w:val="545"/>
        </w:trPr>
        <w:tc>
          <w:tcPr>
            <w:tcW w:w="1307" w:type="dxa"/>
            <w:shd w:val="clear" w:color="auto" w:fill="D9D9D9"/>
          </w:tcPr>
          <w:p w:rsidR="00B04AE3" w:rsidRDefault="00B04AE3">
            <w:pPr>
              <w:pStyle w:val="TableParagraph"/>
              <w:spacing w:before="135"/>
              <w:ind w:left="233"/>
              <w:jc w:val="left"/>
              <w:rPr>
                <w:b/>
                <w:sz w:val="21"/>
              </w:rPr>
            </w:pPr>
            <w:r>
              <w:rPr>
                <w:rFonts w:hint="eastAsia"/>
                <w:b/>
                <w:sz w:val="21"/>
              </w:rPr>
              <w:t>评估指标</w:t>
            </w:r>
          </w:p>
        </w:tc>
        <w:tc>
          <w:tcPr>
            <w:tcW w:w="3695" w:type="dxa"/>
            <w:shd w:val="clear" w:color="auto" w:fill="D9D9D9"/>
          </w:tcPr>
          <w:p w:rsidR="00B04AE3" w:rsidRDefault="00B04AE3">
            <w:pPr>
              <w:pStyle w:val="TableParagraph"/>
              <w:spacing w:before="135"/>
              <w:ind w:left="1406" w:right="1395"/>
              <w:rPr>
                <w:b/>
                <w:sz w:val="21"/>
              </w:rPr>
            </w:pPr>
            <w:r>
              <w:rPr>
                <w:rFonts w:hint="eastAsia"/>
                <w:b/>
                <w:sz w:val="21"/>
              </w:rPr>
              <w:t>评估依据</w:t>
            </w:r>
          </w:p>
        </w:tc>
        <w:tc>
          <w:tcPr>
            <w:tcW w:w="819" w:type="dxa"/>
            <w:shd w:val="clear" w:color="auto" w:fill="D9D9D9"/>
          </w:tcPr>
          <w:p w:rsidR="00B04AE3" w:rsidRDefault="00B04AE3">
            <w:pPr>
              <w:pStyle w:val="TableParagraph"/>
              <w:spacing w:before="135"/>
              <w:ind w:left="178" w:right="169"/>
              <w:rPr>
                <w:b/>
                <w:sz w:val="21"/>
              </w:rPr>
            </w:pPr>
            <w:r>
              <w:rPr>
                <w:rFonts w:hint="eastAsia"/>
                <w:b/>
                <w:sz w:val="21"/>
              </w:rPr>
              <w:t>分值</w:t>
            </w:r>
          </w:p>
        </w:tc>
        <w:tc>
          <w:tcPr>
            <w:tcW w:w="830" w:type="dxa"/>
            <w:shd w:val="clear" w:color="auto" w:fill="D9D9D9"/>
          </w:tcPr>
          <w:p w:rsidR="00B04AE3" w:rsidRDefault="00B04AE3">
            <w:pPr>
              <w:pStyle w:val="TableParagraph"/>
              <w:spacing w:before="1"/>
              <w:ind w:left="205"/>
              <w:jc w:val="left"/>
              <w:rPr>
                <w:b/>
                <w:sz w:val="21"/>
              </w:rPr>
            </w:pPr>
            <w:r>
              <w:rPr>
                <w:rFonts w:hint="eastAsia"/>
                <w:b/>
                <w:w w:val="95"/>
                <w:sz w:val="21"/>
              </w:rPr>
              <w:t>企业</w:t>
            </w:r>
          </w:p>
          <w:p w:rsidR="00B04AE3" w:rsidRDefault="00B04AE3">
            <w:pPr>
              <w:pStyle w:val="TableParagraph"/>
              <w:spacing w:before="2" w:line="253" w:lineRule="exact"/>
              <w:ind w:left="205"/>
              <w:jc w:val="left"/>
              <w:rPr>
                <w:b/>
                <w:sz w:val="21"/>
              </w:rPr>
            </w:pPr>
            <w:r>
              <w:rPr>
                <w:rFonts w:hint="eastAsia"/>
                <w:b/>
                <w:w w:val="95"/>
                <w:sz w:val="21"/>
              </w:rPr>
              <w:t>得分</w:t>
            </w:r>
          </w:p>
        </w:tc>
        <w:tc>
          <w:tcPr>
            <w:tcW w:w="1805" w:type="dxa"/>
            <w:shd w:val="clear" w:color="auto" w:fill="D9D9D9"/>
          </w:tcPr>
          <w:p w:rsidR="00B04AE3" w:rsidRDefault="00B04AE3">
            <w:pPr>
              <w:pStyle w:val="TableParagraph"/>
              <w:spacing w:before="135"/>
              <w:ind w:left="130" w:right="123"/>
              <w:rPr>
                <w:b/>
                <w:sz w:val="21"/>
              </w:rPr>
            </w:pPr>
            <w:r>
              <w:rPr>
                <w:rFonts w:hint="eastAsia"/>
                <w:b/>
                <w:sz w:val="21"/>
              </w:rPr>
              <w:t>备注</w:t>
            </w:r>
          </w:p>
        </w:tc>
      </w:tr>
      <w:tr w:rsidR="00B04AE3">
        <w:trPr>
          <w:trHeight w:val="543"/>
        </w:trPr>
        <w:tc>
          <w:tcPr>
            <w:tcW w:w="1307" w:type="dxa"/>
          </w:tcPr>
          <w:p w:rsidR="00B04AE3" w:rsidRDefault="00B04AE3">
            <w:pPr>
              <w:pStyle w:val="TableParagraph"/>
              <w:spacing w:before="1" w:line="250" w:lineRule="exact"/>
              <w:ind w:left="106"/>
              <w:jc w:val="left"/>
              <w:rPr>
                <w:sz w:val="21"/>
              </w:rPr>
            </w:pPr>
            <w:r>
              <w:rPr>
                <w:rFonts w:hint="eastAsia"/>
                <w:sz w:val="21"/>
              </w:rPr>
              <w:t>毒性气体泄</w:t>
            </w:r>
          </w:p>
          <w:p w:rsidR="00B04AE3" w:rsidRDefault="00B04AE3">
            <w:pPr>
              <w:pStyle w:val="TableParagraph"/>
              <w:spacing w:before="1" w:line="250" w:lineRule="exact"/>
              <w:ind w:left="106"/>
              <w:jc w:val="left"/>
              <w:rPr>
                <w:sz w:val="21"/>
              </w:rPr>
            </w:pPr>
            <w:r>
              <w:rPr>
                <w:rFonts w:hint="eastAsia"/>
                <w:sz w:val="21"/>
              </w:rPr>
              <w:t>漏监控预警</w:t>
            </w:r>
          </w:p>
        </w:tc>
        <w:tc>
          <w:tcPr>
            <w:tcW w:w="3695" w:type="dxa"/>
          </w:tcPr>
          <w:p w:rsidR="00B04AE3" w:rsidRDefault="00B04AE3">
            <w:pPr>
              <w:pStyle w:val="TableParagraph"/>
              <w:spacing w:before="1" w:line="250" w:lineRule="exact"/>
              <w:ind w:left="106"/>
              <w:jc w:val="left"/>
              <w:rPr>
                <w:sz w:val="21"/>
              </w:rPr>
            </w:pPr>
            <w:r>
              <w:rPr>
                <w:rFonts w:hint="eastAsia"/>
                <w:sz w:val="21"/>
              </w:rPr>
              <w:t>（</w:t>
            </w:r>
            <w:r>
              <w:rPr>
                <w:sz w:val="21"/>
              </w:rPr>
              <w:t>1</w:t>
            </w:r>
            <w:r>
              <w:rPr>
                <w:rFonts w:hint="eastAsia"/>
                <w:sz w:val="21"/>
              </w:rPr>
              <w:t>）不涉及附录</w:t>
            </w:r>
            <w:r>
              <w:rPr>
                <w:sz w:val="21"/>
              </w:rPr>
              <w:t xml:space="preserve"> A </w:t>
            </w:r>
            <w:r>
              <w:rPr>
                <w:rFonts w:hint="eastAsia"/>
                <w:sz w:val="21"/>
              </w:rPr>
              <w:t>中有毒有害气体的；</w:t>
            </w:r>
          </w:p>
          <w:p w:rsidR="00B04AE3" w:rsidRDefault="00B04AE3">
            <w:pPr>
              <w:pStyle w:val="TableParagraph"/>
              <w:spacing w:before="1" w:line="250" w:lineRule="exact"/>
              <w:ind w:left="106"/>
              <w:jc w:val="left"/>
              <w:rPr>
                <w:sz w:val="21"/>
              </w:rPr>
            </w:pPr>
            <w:r>
              <w:rPr>
                <w:rFonts w:hint="eastAsia"/>
                <w:sz w:val="21"/>
              </w:rPr>
              <w:t>或</w:t>
            </w:r>
          </w:p>
        </w:tc>
        <w:tc>
          <w:tcPr>
            <w:tcW w:w="819" w:type="dxa"/>
          </w:tcPr>
          <w:p w:rsidR="00B04AE3" w:rsidRDefault="00B04AE3">
            <w:pPr>
              <w:pStyle w:val="TableParagraph"/>
              <w:spacing w:before="91"/>
              <w:ind w:left="10"/>
              <w:rPr>
                <w:rFonts w:ascii="Times New Roman"/>
                <w:sz w:val="21"/>
              </w:rPr>
            </w:pPr>
            <w:r>
              <w:rPr>
                <w:rFonts w:ascii="Times New Roman"/>
                <w:w w:val="99"/>
                <w:sz w:val="21"/>
              </w:rPr>
              <w:t>0</w:t>
            </w:r>
          </w:p>
        </w:tc>
        <w:tc>
          <w:tcPr>
            <w:tcW w:w="830" w:type="dxa"/>
          </w:tcPr>
          <w:p w:rsidR="00B04AE3" w:rsidRDefault="00B04AE3">
            <w:pPr>
              <w:pStyle w:val="TableParagraph"/>
              <w:spacing w:before="91"/>
              <w:ind w:left="8"/>
              <w:rPr>
                <w:rFonts w:ascii="Times New Roman"/>
                <w:sz w:val="21"/>
              </w:rPr>
            </w:pPr>
            <w:r>
              <w:rPr>
                <w:rFonts w:ascii="Times New Roman"/>
                <w:w w:val="99"/>
                <w:sz w:val="21"/>
              </w:rPr>
              <w:t>0</w:t>
            </w:r>
          </w:p>
        </w:tc>
        <w:tc>
          <w:tcPr>
            <w:tcW w:w="1805" w:type="dxa"/>
          </w:tcPr>
          <w:p w:rsidR="00B04AE3" w:rsidRDefault="00B04AE3">
            <w:pPr>
              <w:pStyle w:val="TableParagraph"/>
              <w:ind w:left="167"/>
              <w:jc w:val="left"/>
              <w:rPr>
                <w:sz w:val="21"/>
              </w:rPr>
            </w:pPr>
            <w:r>
              <w:rPr>
                <w:rFonts w:hint="eastAsia"/>
                <w:w w:val="95"/>
                <w:sz w:val="21"/>
              </w:rPr>
              <w:t>企业配套氨气泄</w:t>
            </w:r>
          </w:p>
          <w:p w:rsidR="00B04AE3" w:rsidRDefault="00B04AE3">
            <w:pPr>
              <w:pStyle w:val="TableParagraph"/>
              <w:spacing w:before="5" w:line="249" w:lineRule="exact"/>
              <w:ind w:left="167"/>
              <w:jc w:val="left"/>
              <w:rPr>
                <w:sz w:val="21"/>
              </w:rPr>
            </w:pPr>
            <w:r>
              <w:rPr>
                <w:rFonts w:hint="eastAsia"/>
                <w:w w:val="95"/>
                <w:sz w:val="21"/>
              </w:rPr>
              <w:t>露监控预警系统</w:t>
            </w:r>
          </w:p>
        </w:tc>
      </w:tr>
      <w:tr w:rsidR="00B04AE3">
        <w:trPr>
          <w:trHeight w:val="1088"/>
        </w:trPr>
        <w:tc>
          <w:tcPr>
            <w:tcW w:w="1307" w:type="dxa"/>
            <w:vMerge w:val="restart"/>
          </w:tcPr>
          <w:p w:rsidR="00B04AE3" w:rsidRDefault="00B04AE3">
            <w:pPr>
              <w:pStyle w:val="TableParagraph"/>
              <w:spacing w:before="1" w:line="250" w:lineRule="exact"/>
              <w:ind w:left="106"/>
              <w:jc w:val="left"/>
              <w:rPr>
                <w:sz w:val="21"/>
              </w:rPr>
            </w:pPr>
            <w:r>
              <w:rPr>
                <w:rFonts w:hint="eastAsia"/>
                <w:sz w:val="21"/>
              </w:rPr>
              <w:t>措施</w:t>
            </w:r>
          </w:p>
        </w:tc>
        <w:tc>
          <w:tcPr>
            <w:tcW w:w="3695" w:type="dxa"/>
          </w:tcPr>
          <w:p w:rsidR="00B04AE3" w:rsidRDefault="00B04AE3">
            <w:pPr>
              <w:pStyle w:val="TableParagraph"/>
              <w:spacing w:before="1" w:line="250" w:lineRule="exact"/>
              <w:ind w:left="106"/>
              <w:jc w:val="left"/>
              <w:rPr>
                <w:sz w:val="21"/>
              </w:rPr>
            </w:pPr>
            <w:r>
              <w:rPr>
                <w:rFonts w:hint="eastAsia"/>
                <w:sz w:val="21"/>
              </w:rPr>
              <w:t>（</w:t>
            </w:r>
            <w:r>
              <w:rPr>
                <w:sz w:val="21"/>
              </w:rPr>
              <w:t>2</w:t>
            </w:r>
            <w:r>
              <w:rPr>
                <w:rFonts w:hint="eastAsia"/>
                <w:sz w:val="21"/>
              </w:rPr>
              <w:t>）根据实际情况，具备有毒有害气体（如硫化氢、氰化氢、氯化氢、光气、氯气、氨气、苯等）厂界泄漏监控预警</w:t>
            </w:r>
          </w:p>
          <w:p w:rsidR="00B04AE3" w:rsidRDefault="00B04AE3">
            <w:pPr>
              <w:pStyle w:val="TableParagraph"/>
              <w:spacing w:before="1" w:line="250" w:lineRule="exact"/>
              <w:ind w:left="106"/>
              <w:jc w:val="left"/>
              <w:rPr>
                <w:sz w:val="21"/>
              </w:rPr>
            </w:pPr>
            <w:r>
              <w:rPr>
                <w:rFonts w:hint="eastAsia"/>
                <w:sz w:val="21"/>
              </w:rPr>
              <w:t>系统的</w:t>
            </w:r>
          </w:p>
        </w:tc>
        <w:tc>
          <w:tcPr>
            <w:tcW w:w="819" w:type="dxa"/>
          </w:tcPr>
          <w:p w:rsidR="00B04AE3" w:rsidRDefault="00B04AE3">
            <w:pPr>
              <w:pStyle w:val="TableParagraph"/>
              <w:jc w:val="left"/>
              <w:rPr>
                <w:rFonts w:ascii="Times New Roman"/>
              </w:rPr>
            </w:pPr>
          </w:p>
        </w:tc>
        <w:tc>
          <w:tcPr>
            <w:tcW w:w="830" w:type="dxa"/>
            <w:vMerge w:val="restart"/>
          </w:tcPr>
          <w:p w:rsidR="00B04AE3" w:rsidRDefault="00B04AE3">
            <w:pPr>
              <w:pStyle w:val="TableParagraph"/>
              <w:jc w:val="left"/>
              <w:rPr>
                <w:rFonts w:ascii="Times New Roman"/>
              </w:rPr>
            </w:pPr>
          </w:p>
        </w:tc>
        <w:tc>
          <w:tcPr>
            <w:tcW w:w="1805" w:type="dxa"/>
            <w:vMerge w:val="restart"/>
          </w:tcPr>
          <w:p w:rsidR="00B04AE3" w:rsidRDefault="00B04AE3">
            <w:pPr>
              <w:pStyle w:val="TableParagraph"/>
              <w:jc w:val="left"/>
              <w:rPr>
                <w:rFonts w:ascii="Times New Roman"/>
              </w:rPr>
            </w:pPr>
          </w:p>
        </w:tc>
      </w:tr>
      <w:tr w:rsidR="00B04AE3">
        <w:trPr>
          <w:trHeight w:val="545"/>
        </w:trPr>
        <w:tc>
          <w:tcPr>
            <w:tcW w:w="1307" w:type="dxa"/>
            <w:vMerge/>
            <w:tcBorders>
              <w:top w:val="nil"/>
            </w:tcBorders>
          </w:tcPr>
          <w:p w:rsidR="00B04AE3" w:rsidRDefault="00B04AE3">
            <w:pPr>
              <w:rPr>
                <w:sz w:val="21"/>
              </w:rPr>
            </w:pPr>
          </w:p>
        </w:tc>
        <w:tc>
          <w:tcPr>
            <w:tcW w:w="3695" w:type="dxa"/>
          </w:tcPr>
          <w:p w:rsidR="00B04AE3" w:rsidRDefault="00B04AE3">
            <w:pPr>
              <w:pStyle w:val="TableParagraph"/>
              <w:spacing w:before="1" w:line="270" w:lineRule="atLeast"/>
              <w:ind w:left="106" w:right="98"/>
              <w:jc w:val="left"/>
              <w:rPr>
                <w:sz w:val="21"/>
              </w:rPr>
            </w:pPr>
            <w:r>
              <w:rPr>
                <w:rFonts w:hint="eastAsia"/>
                <w:sz w:val="21"/>
              </w:rPr>
              <w:t>不具备厂界有毒有害气体泄漏监控预警系统的</w:t>
            </w:r>
          </w:p>
        </w:tc>
        <w:tc>
          <w:tcPr>
            <w:tcW w:w="819" w:type="dxa"/>
          </w:tcPr>
          <w:p w:rsidR="00B04AE3" w:rsidRDefault="00B04AE3">
            <w:pPr>
              <w:pStyle w:val="TableParagraph"/>
              <w:spacing w:before="90"/>
              <w:ind w:left="178" w:right="168"/>
              <w:rPr>
                <w:rFonts w:ascii="Times New Roman"/>
                <w:sz w:val="21"/>
              </w:rPr>
            </w:pPr>
            <w:r>
              <w:rPr>
                <w:rFonts w:ascii="Times New Roman"/>
                <w:sz w:val="21"/>
              </w:rPr>
              <w:t>25</w:t>
            </w:r>
          </w:p>
        </w:tc>
        <w:tc>
          <w:tcPr>
            <w:tcW w:w="830" w:type="dxa"/>
            <w:vMerge/>
            <w:tcBorders>
              <w:top w:val="nil"/>
            </w:tcBorders>
          </w:tcPr>
          <w:p w:rsidR="00B04AE3" w:rsidRDefault="00B04AE3">
            <w:pPr>
              <w:rPr>
                <w:sz w:val="2"/>
                <w:szCs w:val="2"/>
              </w:rPr>
            </w:pPr>
          </w:p>
        </w:tc>
        <w:tc>
          <w:tcPr>
            <w:tcW w:w="1805" w:type="dxa"/>
            <w:vMerge/>
            <w:tcBorders>
              <w:top w:val="nil"/>
            </w:tcBorders>
          </w:tcPr>
          <w:p w:rsidR="00B04AE3" w:rsidRDefault="00B04AE3">
            <w:pPr>
              <w:rPr>
                <w:sz w:val="2"/>
                <w:szCs w:val="2"/>
              </w:rPr>
            </w:pPr>
          </w:p>
        </w:tc>
      </w:tr>
      <w:tr w:rsidR="00B04AE3">
        <w:trPr>
          <w:trHeight w:val="272"/>
        </w:trPr>
        <w:tc>
          <w:tcPr>
            <w:tcW w:w="1307" w:type="dxa"/>
            <w:vMerge w:val="restart"/>
          </w:tcPr>
          <w:p w:rsidR="00B04AE3" w:rsidRDefault="00B04AE3">
            <w:pPr>
              <w:pStyle w:val="TableParagraph"/>
              <w:spacing w:before="1" w:line="250" w:lineRule="exact"/>
              <w:ind w:left="106"/>
              <w:jc w:val="left"/>
              <w:rPr>
                <w:sz w:val="21"/>
              </w:rPr>
            </w:pPr>
            <w:r>
              <w:rPr>
                <w:rFonts w:hint="eastAsia"/>
                <w:sz w:val="21"/>
              </w:rPr>
              <w:t>符合防护距离情况</w:t>
            </w:r>
          </w:p>
        </w:tc>
        <w:tc>
          <w:tcPr>
            <w:tcW w:w="3695" w:type="dxa"/>
          </w:tcPr>
          <w:p w:rsidR="00B04AE3" w:rsidRDefault="00B04AE3">
            <w:pPr>
              <w:pStyle w:val="TableParagraph"/>
              <w:spacing w:before="1" w:line="250" w:lineRule="exact"/>
              <w:ind w:left="106"/>
              <w:jc w:val="left"/>
              <w:rPr>
                <w:sz w:val="21"/>
              </w:rPr>
            </w:pPr>
            <w:r>
              <w:rPr>
                <w:rFonts w:hint="eastAsia"/>
                <w:sz w:val="21"/>
              </w:rPr>
              <w:t>符合环评及批复文件防护距离要求的</w:t>
            </w:r>
          </w:p>
        </w:tc>
        <w:tc>
          <w:tcPr>
            <w:tcW w:w="819" w:type="dxa"/>
          </w:tcPr>
          <w:p w:rsidR="00B04AE3" w:rsidRDefault="00B04AE3">
            <w:pPr>
              <w:pStyle w:val="TableParagraph"/>
              <w:spacing w:before="15" w:line="236" w:lineRule="exact"/>
              <w:ind w:left="10"/>
              <w:rPr>
                <w:rFonts w:ascii="Times New Roman"/>
                <w:sz w:val="21"/>
              </w:rPr>
            </w:pPr>
            <w:r>
              <w:rPr>
                <w:rFonts w:ascii="Times New Roman"/>
                <w:w w:val="99"/>
                <w:sz w:val="21"/>
              </w:rPr>
              <w:t>0</w:t>
            </w:r>
          </w:p>
        </w:tc>
        <w:tc>
          <w:tcPr>
            <w:tcW w:w="830" w:type="dxa"/>
            <w:vMerge w:val="restart"/>
          </w:tcPr>
          <w:p w:rsidR="00B04AE3" w:rsidRDefault="00B04AE3">
            <w:pPr>
              <w:pStyle w:val="TableParagraph"/>
              <w:jc w:val="left"/>
              <w:rPr>
                <w:b/>
                <w:sz w:val="18"/>
              </w:rPr>
            </w:pPr>
          </w:p>
          <w:p w:rsidR="00B04AE3" w:rsidRDefault="00B04AE3">
            <w:pPr>
              <w:pStyle w:val="TableParagraph"/>
              <w:spacing w:before="1"/>
              <w:ind w:left="8"/>
              <w:rPr>
                <w:rFonts w:ascii="Times New Roman"/>
                <w:sz w:val="21"/>
              </w:rPr>
            </w:pPr>
            <w:r>
              <w:rPr>
                <w:rFonts w:ascii="Times New Roman"/>
                <w:w w:val="99"/>
                <w:sz w:val="21"/>
              </w:rPr>
              <w:t>0</w:t>
            </w:r>
          </w:p>
        </w:tc>
        <w:tc>
          <w:tcPr>
            <w:tcW w:w="1805" w:type="dxa"/>
            <w:vMerge w:val="restart"/>
          </w:tcPr>
          <w:p w:rsidR="00B04AE3" w:rsidRDefault="00B04AE3">
            <w:pPr>
              <w:pStyle w:val="TableParagraph"/>
              <w:spacing w:before="4"/>
              <w:ind w:left="167"/>
              <w:jc w:val="left"/>
              <w:rPr>
                <w:sz w:val="21"/>
              </w:rPr>
            </w:pPr>
            <w:r>
              <w:rPr>
                <w:rFonts w:hint="eastAsia"/>
                <w:sz w:val="21"/>
              </w:rPr>
              <w:t>符合环评及批复</w:t>
            </w:r>
          </w:p>
          <w:p w:rsidR="00B04AE3" w:rsidRDefault="00B04AE3">
            <w:pPr>
              <w:pStyle w:val="TableParagraph"/>
              <w:spacing w:before="3" w:line="270" w:lineRule="atLeast"/>
              <w:ind w:left="796" w:right="156" w:hanging="629"/>
              <w:jc w:val="left"/>
              <w:rPr>
                <w:sz w:val="21"/>
              </w:rPr>
            </w:pPr>
            <w:r>
              <w:rPr>
                <w:rFonts w:hint="eastAsia"/>
                <w:sz w:val="21"/>
              </w:rPr>
              <w:t>文件防护距离要求</w:t>
            </w:r>
          </w:p>
        </w:tc>
      </w:tr>
      <w:tr w:rsidR="00B04AE3">
        <w:trPr>
          <w:trHeight w:val="545"/>
        </w:trPr>
        <w:tc>
          <w:tcPr>
            <w:tcW w:w="1307" w:type="dxa"/>
            <w:vMerge/>
            <w:tcBorders>
              <w:top w:val="nil"/>
            </w:tcBorders>
          </w:tcPr>
          <w:p w:rsidR="00B04AE3" w:rsidRDefault="00B04AE3">
            <w:pPr>
              <w:rPr>
                <w:sz w:val="21"/>
              </w:rPr>
            </w:pPr>
          </w:p>
        </w:tc>
        <w:tc>
          <w:tcPr>
            <w:tcW w:w="3695" w:type="dxa"/>
          </w:tcPr>
          <w:p w:rsidR="00B04AE3" w:rsidRDefault="00B04AE3">
            <w:pPr>
              <w:pStyle w:val="TableParagraph"/>
              <w:ind w:left="106"/>
              <w:jc w:val="left"/>
              <w:rPr>
                <w:sz w:val="21"/>
              </w:rPr>
            </w:pPr>
            <w:r>
              <w:rPr>
                <w:rFonts w:hint="eastAsia"/>
                <w:sz w:val="21"/>
              </w:rPr>
              <w:t>不符合环评及批复文件防护距离要求</w:t>
            </w:r>
          </w:p>
          <w:p w:rsidR="00B04AE3" w:rsidRDefault="00B04AE3">
            <w:pPr>
              <w:pStyle w:val="TableParagraph"/>
              <w:spacing w:before="5" w:line="251" w:lineRule="exact"/>
              <w:ind w:left="106"/>
              <w:jc w:val="left"/>
              <w:rPr>
                <w:sz w:val="21"/>
              </w:rPr>
            </w:pPr>
            <w:r>
              <w:rPr>
                <w:rFonts w:hint="eastAsia"/>
                <w:sz w:val="21"/>
              </w:rPr>
              <w:t>的</w:t>
            </w:r>
          </w:p>
        </w:tc>
        <w:tc>
          <w:tcPr>
            <w:tcW w:w="819" w:type="dxa"/>
          </w:tcPr>
          <w:p w:rsidR="00B04AE3" w:rsidRDefault="00B04AE3">
            <w:pPr>
              <w:pStyle w:val="TableParagraph"/>
              <w:spacing w:before="151"/>
              <w:ind w:left="178" w:right="168"/>
              <w:rPr>
                <w:rFonts w:ascii="Times New Roman"/>
                <w:sz w:val="21"/>
              </w:rPr>
            </w:pPr>
            <w:r>
              <w:rPr>
                <w:rFonts w:ascii="Times New Roman"/>
                <w:sz w:val="21"/>
              </w:rPr>
              <w:t>25</w:t>
            </w:r>
          </w:p>
        </w:tc>
        <w:tc>
          <w:tcPr>
            <w:tcW w:w="830" w:type="dxa"/>
            <w:vMerge/>
            <w:tcBorders>
              <w:top w:val="nil"/>
            </w:tcBorders>
          </w:tcPr>
          <w:p w:rsidR="00B04AE3" w:rsidRDefault="00B04AE3">
            <w:pPr>
              <w:rPr>
                <w:sz w:val="2"/>
                <w:szCs w:val="2"/>
              </w:rPr>
            </w:pPr>
          </w:p>
        </w:tc>
        <w:tc>
          <w:tcPr>
            <w:tcW w:w="1805" w:type="dxa"/>
            <w:vMerge/>
            <w:tcBorders>
              <w:top w:val="nil"/>
            </w:tcBorders>
          </w:tcPr>
          <w:p w:rsidR="00B04AE3" w:rsidRDefault="00B04AE3">
            <w:pPr>
              <w:rPr>
                <w:sz w:val="2"/>
                <w:szCs w:val="2"/>
              </w:rPr>
            </w:pPr>
          </w:p>
        </w:tc>
      </w:tr>
      <w:tr w:rsidR="00B04AE3">
        <w:trPr>
          <w:trHeight w:val="545"/>
        </w:trPr>
        <w:tc>
          <w:tcPr>
            <w:tcW w:w="1307" w:type="dxa"/>
            <w:vMerge w:val="restart"/>
          </w:tcPr>
          <w:p w:rsidR="00B04AE3" w:rsidRDefault="00B04AE3">
            <w:pPr>
              <w:pStyle w:val="TableParagraph"/>
              <w:spacing w:before="1" w:line="250" w:lineRule="exact"/>
              <w:ind w:left="106"/>
              <w:jc w:val="left"/>
              <w:rPr>
                <w:sz w:val="21"/>
              </w:rPr>
            </w:pPr>
            <w:r>
              <w:rPr>
                <w:rFonts w:hint="eastAsia"/>
                <w:sz w:val="21"/>
              </w:rPr>
              <w:t>近</w:t>
            </w:r>
            <w:r>
              <w:rPr>
                <w:sz w:val="21"/>
              </w:rPr>
              <w:t xml:space="preserve"> 3 </w:t>
            </w:r>
            <w:r>
              <w:rPr>
                <w:rFonts w:hint="eastAsia"/>
                <w:sz w:val="21"/>
              </w:rPr>
              <w:t>年内突发大气环境事件发生情况</w:t>
            </w:r>
          </w:p>
        </w:tc>
        <w:tc>
          <w:tcPr>
            <w:tcW w:w="3695" w:type="dxa"/>
          </w:tcPr>
          <w:p w:rsidR="00B04AE3" w:rsidRDefault="00B04AE3">
            <w:pPr>
              <w:pStyle w:val="TableParagraph"/>
              <w:spacing w:before="1" w:line="250" w:lineRule="exact"/>
              <w:ind w:left="106"/>
              <w:jc w:val="left"/>
              <w:rPr>
                <w:sz w:val="21"/>
              </w:rPr>
            </w:pPr>
            <w:r>
              <w:rPr>
                <w:rFonts w:hint="eastAsia"/>
                <w:sz w:val="21"/>
              </w:rPr>
              <w:t>发生过特别重大或重大等级突发大气环境事件的</w:t>
            </w:r>
          </w:p>
        </w:tc>
        <w:tc>
          <w:tcPr>
            <w:tcW w:w="819" w:type="dxa"/>
          </w:tcPr>
          <w:p w:rsidR="00B04AE3" w:rsidRDefault="00B04AE3">
            <w:pPr>
              <w:pStyle w:val="TableParagraph"/>
              <w:spacing w:before="150"/>
              <w:ind w:left="178" w:right="168"/>
              <w:rPr>
                <w:rFonts w:ascii="Times New Roman"/>
                <w:sz w:val="21"/>
              </w:rPr>
            </w:pPr>
            <w:r>
              <w:rPr>
                <w:rFonts w:ascii="Times New Roman"/>
                <w:sz w:val="21"/>
              </w:rPr>
              <w:t>20</w:t>
            </w:r>
          </w:p>
        </w:tc>
        <w:tc>
          <w:tcPr>
            <w:tcW w:w="830" w:type="dxa"/>
            <w:vMerge w:val="restart"/>
          </w:tcPr>
          <w:p w:rsidR="00B04AE3" w:rsidRDefault="00B04AE3">
            <w:pPr>
              <w:pStyle w:val="TableParagraph"/>
              <w:jc w:val="left"/>
              <w:rPr>
                <w:b/>
              </w:rPr>
            </w:pPr>
          </w:p>
          <w:p w:rsidR="00B04AE3" w:rsidRDefault="00B04AE3">
            <w:pPr>
              <w:pStyle w:val="TableParagraph"/>
              <w:jc w:val="left"/>
              <w:rPr>
                <w:b/>
                <w:sz w:val="18"/>
              </w:rPr>
            </w:pPr>
          </w:p>
          <w:p w:rsidR="00B04AE3" w:rsidRDefault="00B04AE3">
            <w:pPr>
              <w:pStyle w:val="TableParagraph"/>
              <w:ind w:left="8"/>
              <w:rPr>
                <w:rFonts w:ascii="Times New Roman"/>
                <w:sz w:val="21"/>
              </w:rPr>
            </w:pPr>
            <w:r>
              <w:rPr>
                <w:rFonts w:ascii="Times New Roman"/>
                <w:w w:val="99"/>
                <w:sz w:val="21"/>
              </w:rPr>
              <w:t>0</w:t>
            </w:r>
          </w:p>
        </w:tc>
        <w:tc>
          <w:tcPr>
            <w:tcW w:w="1805" w:type="dxa"/>
            <w:vMerge w:val="restart"/>
          </w:tcPr>
          <w:p w:rsidR="00B04AE3" w:rsidRDefault="00B04AE3">
            <w:pPr>
              <w:pStyle w:val="TableParagraph"/>
              <w:spacing w:before="5"/>
              <w:jc w:val="left"/>
              <w:rPr>
                <w:b/>
              </w:rPr>
            </w:pPr>
          </w:p>
          <w:p w:rsidR="00B04AE3" w:rsidRDefault="00B04AE3">
            <w:pPr>
              <w:pStyle w:val="TableParagraph"/>
              <w:spacing w:before="1" w:line="242" w:lineRule="auto"/>
              <w:ind w:left="134" w:right="123"/>
              <w:rPr>
                <w:sz w:val="21"/>
              </w:rPr>
            </w:pPr>
            <w:r>
              <w:rPr>
                <w:rFonts w:hint="eastAsia"/>
                <w:sz w:val="21"/>
              </w:rPr>
              <w:t>企业近</w:t>
            </w:r>
            <w:r>
              <w:rPr>
                <w:sz w:val="21"/>
              </w:rPr>
              <w:t xml:space="preserve"> </w:t>
            </w:r>
            <w:r>
              <w:rPr>
                <w:rFonts w:ascii="Times New Roman" w:eastAsia="Times New Roman"/>
                <w:sz w:val="21"/>
              </w:rPr>
              <w:t xml:space="preserve">3 </w:t>
            </w:r>
            <w:r>
              <w:rPr>
                <w:rFonts w:hint="eastAsia"/>
                <w:sz w:val="21"/>
              </w:rPr>
              <w:t>年内未发生突发大气环境事件</w:t>
            </w:r>
          </w:p>
        </w:tc>
      </w:tr>
      <w:tr w:rsidR="00B04AE3">
        <w:trPr>
          <w:trHeight w:val="272"/>
        </w:trPr>
        <w:tc>
          <w:tcPr>
            <w:tcW w:w="1307" w:type="dxa"/>
            <w:vMerge/>
            <w:tcBorders>
              <w:top w:val="nil"/>
            </w:tcBorders>
          </w:tcPr>
          <w:p w:rsidR="00B04AE3" w:rsidRDefault="00B04AE3">
            <w:pPr>
              <w:rPr>
                <w:sz w:val="21"/>
              </w:rPr>
            </w:pPr>
          </w:p>
        </w:tc>
        <w:tc>
          <w:tcPr>
            <w:tcW w:w="3695" w:type="dxa"/>
          </w:tcPr>
          <w:p w:rsidR="00B04AE3" w:rsidRDefault="00B04AE3">
            <w:pPr>
              <w:pStyle w:val="TableParagraph"/>
              <w:spacing w:line="252" w:lineRule="exact"/>
              <w:ind w:left="106"/>
              <w:jc w:val="left"/>
              <w:rPr>
                <w:sz w:val="21"/>
              </w:rPr>
            </w:pPr>
            <w:r>
              <w:rPr>
                <w:rFonts w:hint="eastAsia"/>
                <w:sz w:val="21"/>
              </w:rPr>
              <w:t>发生过较大等级突发大气环境事件的</w:t>
            </w:r>
          </w:p>
        </w:tc>
        <w:tc>
          <w:tcPr>
            <w:tcW w:w="819" w:type="dxa"/>
          </w:tcPr>
          <w:p w:rsidR="00B04AE3" w:rsidRDefault="00B04AE3">
            <w:pPr>
              <w:pStyle w:val="TableParagraph"/>
              <w:spacing w:before="13" w:line="239" w:lineRule="exact"/>
              <w:ind w:left="178" w:right="168"/>
              <w:rPr>
                <w:rFonts w:ascii="Times New Roman"/>
                <w:sz w:val="21"/>
              </w:rPr>
            </w:pPr>
            <w:r>
              <w:rPr>
                <w:rFonts w:ascii="Times New Roman"/>
                <w:sz w:val="21"/>
              </w:rPr>
              <w:t>15</w:t>
            </w:r>
          </w:p>
        </w:tc>
        <w:tc>
          <w:tcPr>
            <w:tcW w:w="830" w:type="dxa"/>
            <w:vMerge/>
            <w:tcBorders>
              <w:top w:val="nil"/>
            </w:tcBorders>
          </w:tcPr>
          <w:p w:rsidR="00B04AE3" w:rsidRDefault="00B04AE3">
            <w:pPr>
              <w:rPr>
                <w:sz w:val="2"/>
                <w:szCs w:val="2"/>
              </w:rPr>
            </w:pPr>
          </w:p>
        </w:tc>
        <w:tc>
          <w:tcPr>
            <w:tcW w:w="1805" w:type="dxa"/>
            <w:vMerge/>
            <w:tcBorders>
              <w:top w:val="nil"/>
            </w:tcBorders>
          </w:tcPr>
          <w:p w:rsidR="00B04AE3" w:rsidRDefault="00B04AE3">
            <w:pPr>
              <w:rPr>
                <w:sz w:val="2"/>
                <w:szCs w:val="2"/>
              </w:rPr>
            </w:pPr>
          </w:p>
        </w:tc>
      </w:tr>
      <w:tr w:rsidR="00B04AE3">
        <w:trPr>
          <w:trHeight w:val="272"/>
        </w:trPr>
        <w:tc>
          <w:tcPr>
            <w:tcW w:w="1307" w:type="dxa"/>
            <w:vMerge/>
            <w:tcBorders>
              <w:top w:val="nil"/>
            </w:tcBorders>
          </w:tcPr>
          <w:p w:rsidR="00B04AE3" w:rsidRDefault="00B04AE3">
            <w:pPr>
              <w:rPr>
                <w:sz w:val="21"/>
              </w:rPr>
            </w:pPr>
          </w:p>
        </w:tc>
        <w:tc>
          <w:tcPr>
            <w:tcW w:w="3695" w:type="dxa"/>
          </w:tcPr>
          <w:p w:rsidR="00B04AE3" w:rsidRDefault="00B04AE3">
            <w:pPr>
              <w:pStyle w:val="TableParagraph"/>
              <w:spacing w:line="252" w:lineRule="exact"/>
              <w:ind w:left="106"/>
              <w:jc w:val="left"/>
              <w:rPr>
                <w:sz w:val="21"/>
              </w:rPr>
            </w:pPr>
            <w:r>
              <w:rPr>
                <w:rFonts w:hint="eastAsia"/>
                <w:sz w:val="21"/>
              </w:rPr>
              <w:t>发生过一般等级突发大气环境事件的</w:t>
            </w:r>
          </w:p>
        </w:tc>
        <w:tc>
          <w:tcPr>
            <w:tcW w:w="819" w:type="dxa"/>
          </w:tcPr>
          <w:p w:rsidR="00B04AE3" w:rsidRDefault="00B04AE3">
            <w:pPr>
              <w:pStyle w:val="TableParagraph"/>
              <w:spacing w:before="14" w:line="238" w:lineRule="exact"/>
              <w:ind w:left="178" w:right="168"/>
              <w:rPr>
                <w:rFonts w:ascii="Times New Roman"/>
                <w:sz w:val="21"/>
              </w:rPr>
            </w:pPr>
            <w:r>
              <w:rPr>
                <w:rFonts w:ascii="Times New Roman"/>
                <w:sz w:val="21"/>
              </w:rPr>
              <w:t>10</w:t>
            </w:r>
          </w:p>
        </w:tc>
        <w:tc>
          <w:tcPr>
            <w:tcW w:w="830" w:type="dxa"/>
            <w:vMerge/>
            <w:tcBorders>
              <w:top w:val="nil"/>
            </w:tcBorders>
          </w:tcPr>
          <w:p w:rsidR="00B04AE3" w:rsidRDefault="00B04AE3">
            <w:pPr>
              <w:rPr>
                <w:sz w:val="2"/>
                <w:szCs w:val="2"/>
              </w:rPr>
            </w:pPr>
          </w:p>
        </w:tc>
        <w:tc>
          <w:tcPr>
            <w:tcW w:w="1805" w:type="dxa"/>
            <w:vMerge/>
            <w:tcBorders>
              <w:top w:val="nil"/>
            </w:tcBorders>
          </w:tcPr>
          <w:p w:rsidR="00B04AE3" w:rsidRDefault="00B04AE3">
            <w:pPr>
              <w:rPr>
                <w:sz w:val="2"/>
                <w:szCs w:val="2"/>
              </w:rPr>
            </w:pPr>
          </w:p>
        </w:tc>
      </w:tr>
      <w:tr w:rsidR="00B04AE3">
        <w:trPr>
          <w:trHeight w:val="272"/>
        </w:trPr>
        <w:tc>
          <w:tcPr>
            <w:tcW w:w="1307" w:type="dxa"/>
            <w:vMerge/>
            <w:tcBorders>
              <w:top w:val="nil"/>
            </w:tcBorders>
          </w:tcPr>
          <w:p w:rsidR="00B04AE3" w:rsidRDefault="00B04AE3">
            <w:pPr>
              <w:rPr>
                <w:sz w:val="21"/>
              </w:rPr>
            </w:pPr>
          </w:p>
        </w:tc>
        <w:tc>
          <w:tcPr>
            <w:tcW w:w="3695" w:type="dxa"/>
          </w:tcPr>
          <w:p w:rsidR="00B04AE3" w:rsidRDefault="00B04AE3">
            <w:pPr>
              <w:pStyle w:val="TableParagraph"/>
              <w:spacing w:before="1" w:line="251" w:lineRule="exact"/>
              <w:ind w:left="106"/>
              <w:jc w:val="left"/>
              <w:rPr>
                <w:sz w:val="21"/>
              </w:rPr>
            </w:pPr>
            <w:r>
              <w:rPr>
                <w:rFonts w:hint="eastAsia"/>
                <w:sz w:val="21"/>
              </w:rPr>
              <w:t>未发生突发大气环境事件的</w:t>
            </w:r>
          </w:p>
        </w:tc>
        <w:tc>
          <w:tcPr>
            <w:tcW w:w="819" w:type="dxa"/>
          </w:tcPr>
          <w:p w:rsidR="00B04AE3" w:rsidRDefault="00B04AE3">
            <w:pPr>
              <w:pStyle w:val="TableParagraph"/>
              <w:spacing w:before="15" w:line="237" w:lineRule="exact"/>
              <w:ind w:left="10"/>
              <w:rPr>
                <w:rFonts w:ascii="Times New Roman"/>
                <w:sz w:val="21"/>
              </w:rPr>
            </w:pPr>
            <w:r>
              <w:rPr>
                <w:rFonts w:ascii="Times New Roman"/>
                <w:w w:val="99"/>
                <w:sz w:val="21"/>
              </w:rPr>
              <w:t>0</w:t>
            </w:r>
          </w:p>
        </w:tc>
        <w:tc>
          <w:tcPr>
            <w:tcW w:w="830" w:type="dxa"/>
            <w:vMerge/>
            <w:tcBorders>
              <w:top w:val="nil"/>
            </w:tcBorders>
          </w:tcPr>
          <w:p w:rsidR="00B04AE3" w:rsidRDefault="00B04AE3">
            <w:pPr>
              <w:rPr>
                <w:sz w:val="2"/>
                <w:szCs w:val="2"/>
              </w:rPr>
            </w:pPr>
          </w:p>
        </w:tc>
        <w:tc>
          <w:tcPr>
            <w:tcW w:w="1805" w:type="dxa"/>
            <w:vMerge/>
            <w:tcBorders>
              <w:top w:val="nil"/>
            </w:tcBorders>
          </w:tcPr>
          <w:p w:rsidR="00B04AE3" w:rsidRDefault="00B04AE3">
            <w:pPr>
              <w:rPr>
                <w:sz w:val="2"/>
                <w:szCs w:val="2"/>
              </w:rPr>
            </w:pPr>
          </w:p>
        </w:tc>
      </w:tr>
      <w:tr w:rsidR="00B04AE3">
        <w:trPr>
          <w:trHeight w:val="408"/>
        </w:trPr>
        <w:tc>
          <w:tcPr>
            <w:tcW w:w="5002" w:type="dxa"/>
            <w:gridSpan w:val="2"/>
          </w:tcPr>
          <w:p w:rsidR="00B04AE3" w:rsidRDefault="00B04AE3">
            <w:pPr>
              <w:pStyle w:val="TableParagraph"/>
              <w:spacing w:line="268" w:lineRule="exact"/>
              <w:ind w:left="2268" w:right="2263"/>
              <w:rPr>
                <w:sz w:val="21"/>
              </w:rPr>
            </w:pPr>
            <w:r>
              <w:rPr>
                <w:rFonts w:hint="eastAsia"/>
                <w:sz w:val="21"/>
              </w:rPr>
              <w:t>合计</w:t>
            </w:r>
          </w:p>
        </w:tc>
        <w:tc>
          <w:tcPr>
            <w:tcW w:w="819" w:type="dxa"/>
          </w:tcPr>
          <w:p w:rsidR="00B04AE3" w:rsidRDefault="00B04AE3">
            <w:pPr>
              <w:pStyle w:val="TableParagraph"/>
              <w:spacing w:before="20"/>
              <w:ind w:left="178" w:right="169"/>
              <w:rPr>
                <w:rFonts w:ascii="Times New Roman"/>
                <w:sz w:val="21"/>
              </w:rPr>
            </w:pPr>
            <w:r>
              <w:rPr>
                <w:rFonts w:ascii="Times New Roman"/>
                <w:sz w:val="21"/>
              </w:rPr>
              <w:t>--</w:t>
            </w:r>
          </w:p>
        </w:tc>
        <w:tc>
          <w:tcPr>
            <w:tcW w:w="830" w:type="dxa"/>
          </w:tcPr>
          <w:p w:rsidR="00B04AE3" w:rsidRDefault="00B04AE3">
            <w:pPr>
              <w:pStyle w:val="TableParagraph"/>
              <w:spacing w:before="20"/>
              <w:ind w:left="8"/>
              <w:rPr>
                <w:rFonts w:ascii="Times New Roman"/>
                <w:sz w:val="21"/>
              </w:rPr>
            </w:pPr>
            <w:r>
              <w:rPr>
                <w:rFonts w:ascii="Times New Roman"/>
                <w:w w:val="99"/>
                <w:sz w:val="21"/>
              </w:rPr>
              <w:t>0</w:t>
            </w:r>
          </w:p>
        </w:tc>
        <w:tc>
          <w:tcPr>
            <w:tcW w:w="1805" w:type="dxa"/>
          </w:tcPr>
          <w:p w:rsidR="00B04AE3" w:rsidRDefault="00B04AE3">
            <w:pPr>
              <w:pStyle w:val="TableParagraph"/>
              <w:spacing w:before="20"/>
              <w:ind w:left="9"/>
              <w:rPr>
                <w:rFonts w:ascii="Times New Roman"/>
                <w:sz w:val="21"/>
              </w:rPr>
            </w:pPr>
            <w:r>
              <w:rPr>
                <w:rFonts w:ascii="Times New Roman"/>
                <w:w w:val="99"/>
                <w:sz w:val="21"/>
              </w:rPr>
              <w:t>/</w:t>
            </w:r>
          </w:p>
        </w:tc>
      </w:tr>
    </w:tbl>
    <w:p w:rsidR="00B04AE3" w:rsidRDefault="00B04AE3">
      <w:pPr>
        <w:pStyle w:val="BodyText"/>
        <w:spacing w:before="7"/>
        <w:rPr>
          <w:b/>
          <w:sz w:val="5"/>
        </w:rPr>
      </w:pPr>
    </w:p>
    <w:p w:rsidR="00B04AE3" w:rsidRDefault="00B04AE3">
      <w:pPr>
        <w:spacing w:before="74"/>
        <w:ind w:left="1277"/>
        <w:rPr>
          <w:b/>
          <w:sz w:val="24"/>
        </w:rPr>
      </w:pPr>
      <w:r>
        <w:rPr>
          <w:rFonts w:ascii="Times New Roman" w:eastAsia="Times New Roman"/>
          <w:b/>
          <w:sz w:val="24"/>
        </w:rPr>
        <w:t>3</w:t>
      </w:r>
      <w:r>
        <w:rPr>
          <w:rFonts w:hint="eastAsia"/>
          <w:b/>
          <w:sz w:val="24"/>
        </w:rPr>
        <w:t>、企业生产工艺过程与大气环境风险控制水平</w:t>
      </w:r>
    </w:p>
    <w:p w:rsidR="00B04AE3" w:rsidRDefault="00B04AE3">
      <w:pPr>
        <w:pStyle w:val="BodyText"/>
        <w:spacing w:line="364" w:lineRule="auto"/>
        <w:ind w:left="797" w:right="675" w:firstLine="480"/>
        <w:jc w:val="both"/>
      </w:pPr>
      <w:r>
        <w:rPr>
          <w:rFonts w:hint="eastAsia"/>
        </w:rPr>
        <w:t>将企业生产工艺过程、大气环境风险防控措施及突发大气环境事件发生情况各项指标评估分值累加，得出生产工艺过程与大气环境风险控制水平值，按照表</w:t>
      </w:r>
      <w:r>
        <w:t>6.1-4</w:t>
      </w:r>
      <w:r>
        <w:rPr>
          <w:rFonts w:hint="eastAsia"/>
        </w:rPr>
        <w:t>划分为</w:t>
      </w:r>
      <w:r>
        <w:t>4</w:t>
      </w:r>
      <w:r>
        <w:rPr>
          <w:rFonts w:hint="eastAsia"/>
        </w:rPr>
        <w:t>个类型。</w:t>
      </w:r>
    </w:p>
    <w:p w:rsidR="00B04AE3" w:rsidRDefault="00B04AE3">
      <w:pPr>
        <w:spacing w:after="12" w:line="241" w:lineRule="exact"/>
        <w:ind w:left="2002"/>
        <w:rPr>
          <w:b/>
          <w:sz w:val="24"/>
        </w:rPr>
      </w:pPr>
      <w:r>
        <w:rPr>
          <w:rFonts w:hint="eastAsia"/>
          <w:b/>
          <w:sz w:val="24"/>
        </w:rPr>
        <w:t>表</w:t>
      </w:r>
      <w:r>
        <w:rPr>
          <w:b/>
          <w:sz w:val="24"/>
        </w:rPr>
        <w:t xml:space="preserve"> </w:t>
      </w:r>
      <w:r>
        <w:rPr>
          <w:rFonts w:ascii="Times New Roman" w:eastAsia="Times New Roman"/>
          <w:b/>
          <w:sz w:val="24"/>
        </w:rPr>
        <w:t xml:space="preserve">6.1-4 </w:t>
      </w:r>
      <w:r>
        <w:rPr>
          <w:rFonts w:hint="eastAsia"/>
          <w:b/>
          <w:sz w:val="24"/>
        </w:rPr>
        <w:t>企业生产工艺过程与环境风险控制水平类型划分</w:t>
      </w:r>
    </w:p>
    <w:tbl>
      <w:tblPr>
        <w:tblW w:w="8528" w:type="dxa"/>
        <w:tblInd w:w="6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3206"/>
        <w:gridCol w:w="2579"/>
        <w:gridCol w:w="2743"/>
      </w:tblGrid>
      <w:tr w:rsidR="00B04AE3">
        <w:trPr>
          <w:trHeight w:val="545"/>
        </w:trPr>
        <w:tc>
          <w:tcPr>
            <w:tcW w:w="3206" w:type="dxa"/>
            <w:shd w:val="clear" w:color="auto" w:fill="D9D9D9"/>
          </w:tcPr>
          <w:p w:rsidR="00B04AE3" w:rsidRDefault="00B04AE3">
            <w:pPr>
              <w:pStyle w:val="TableParagraph"/>
              <w:spacing w:before="1"/>
              <w:ind w:left="111" w:right="93"/>
              <w:rPr>
                <w:b/>
                <w:sz w:val="21"/>
              </w:rPr>
            </w:pPr>
            <w:r>
              <w:rPr>
                <w:rFonts w:hint="eastAsia"/>
                <w:b/>
                <w:sz w:val="21"/>
              </w:rPr>
              <w:t>生产工艺过程与环境风险控制水</w:t>
            </w:r>
          </w:p>
          <w:p w:rsidR="00B04AE3" w:rsidRDefault="00B04AE3">
            <w:pPr>
              <w:pStyle w:val="TableParagraph"/>
              <w:spacing w:before="2" w:line="253" w:lineRule="exact"/>
              <w:ind w:left="101" w:right="93"/>
              <w:rPr>
                <w:b/>
                <w:sz w:val="21"/>
              </w:rPr>
            </w:pPr>
            <w:r>
              <w:rPr>
                <w:rFonts w:hint="eastAsia"/>
                <w:b/>
                <w:sz w:val="21"/>
              </w:rPr>
              <w:t>平值</w:t>
            </w:r>
          </w:p>
        </w:tc>
        <w:tc>
          <w:tcPr>
            <w:tcW w:w="2579" w:type="dxa"/>
            <w:shd w:val="clear" w:color="auto" w:fill="D9D9D9"/>
          </w:tcPr>
          <w:p w:rsidR="00B04AE3" w:rsidRDefault="00B04AE3">
            <w:pPr>
              <w:pStyle w:val="TableParagraph"/>
              <w:spacing w:before="1"/>
              <w:ind w:left="110" w:right="98"/>
              <w:rPr>
                <w:b/>
                <w:sz w:val="21"/>
              </w:rPr>
            </w:pPr>
            <w:r>
              <w:rPr>
                <w:rFonts w:hint="eastAsia"/>
                <w:b/>
                <w:sz w:val="21"/>
              </w:rPr>
              <w:t>生产工艺过程与环境风险</w:t>
            </w:r>
          </w:p>
          <w:p w:rsidR="00B04AE3" w:rsidRDefault="00B04AE3">
            <w:pPr>
              <w:pStyle w:val="TableParagraph"/>
              <w:spacing w:before="2" w:line="253" w:lineRule="exact"/>
              <w:ind w:left="108" w:right="98"/>
              <w:rPr>
                <w:b/>
                <w:sz w:val="21"/>
              </w:rPr>
            </w:pPr>
            <w:r>
              <w:rPr>
                <w:rFonts w:hint="eastAsia"/>
                <w:b/>
                <w:sz w:val="21"/>
              </w:rPr>
              <w:t>控制水平类型</w:t>
            </w:r>
          </w:p>
        </w:tc>
        <w:tc>
          <w:tcPr>
            <w:tcW w:w="2743" w:type="dxa"/>
            <w:shd w:val="clear" w:color="auto" w:fill="D9D9D9"/>
          </w:tcPr>
          <w:p w:rsidR="00B04AE3" w:rsidRDefault="00B04AE3">
            <w:pPr>
              <w:pStyle w:val="TableParagraph"/>
              <w:spacing w:before="135"/>
              <w:ind w:left="904"/>
              <w:jc w:val="left"/>
              <w:rPr>
                <w:b/>
                <w:sz w:val="21"/>
              </w:rPr>
            </w:pPr>
            <w:r>
              <w:rPr>
                <w:rFonts w:hint="eastAsia"/>
                <w:b/>
                <w:sz w:val="21"/>
              </w:rPr>
              <w:t>企业</w:t>
            </w:r>
            <w:r>
              <w:rPr>
                <w:b/>
                <w:sz w:val="21"/>
              </w:rPr>
              <w:t xml:space="preserve"> </w:t>
            </w:r>
            <w:r>
              <w:rPr>
                <w:rFonts w:ascii="Times New Roman" w:eastAsia="Times New Roman"/>
                <w:b/>
                <w:sz w:val="21"/>
              </w:rPr>
              <w:t xml:space="preserve">M </w:t>
            </w:r>
            <w:r>
              <w:rPr>
                <w:rFonts w:hint="eastAsia"/>
                <w:b/>
                <w:sz w:val="21"/>
              </w:rPr>
              <w:t>值</w:t>
            </w:r>
          </w:p>
        </w:tc>
      </w:tr>
      <w:tr w:rsidR="00B04AE3">
        <w:trPr>
          <w:trHeight w:val="272"/>
        </w:trPr>
        <w:tc>
          <w:tcPr>
            <w:tcW w:w="3206" w:type="dxa"/>
          </w:tcPr>
          <w:p w:rsidR="00B04AE3" w:rsidRDefault="00B04AE3">
            <w:pPr>
              <w:pStyle w:val="TableParagraph"/>
              <w:spacing w:line="252" w:lineRule="exact"/>
              <w:ind w:left="100" w:right="93"/>
              <w:rPr>
                <w:rFonts w:ascii="Times New Roman" w:eastAsia="Times New Roman"/>
                <w:sz w:val="21"/>
              </w:rPr>
            </w:pPr>
            <w:r>
              <w:rPr>
                <w:rFonts w:ascii="Times New Roman" w:eastAsia="Times New Roman"/>
                <w:sz w:val="21"/>
              </w:rPr>
              <w:t>M</w:t>
            </w:r>
            <w:r>
              <w:rPr>
                <w:rFonts w:hint="eastAsia"/>
                <w:sz w:val="21"/>
              </w:rPr>
              <w:t>＜</w:t>
            </w:r>
            <w:r>
              <w:rPr>
                <w:rFonts w:ascii="Times New Roman" w:eastAsia="Times New Roman"/>
                <w:sz w:val="21"/>
              </w:rPr>
              <w:t>25</w:t>
            </w:r>
          </w:p>
        </w:tc>
        <w:tc>
          <w:tcPr>
            <w:tcW w:w="2579" w:type="dxa"/>
          </w:tcPr>
          <w:p w:rsidR="00B04AE3" w:rsidRDefault="00B04AE3">
            <w:pPr>
              <w:pStyle w:val="TableParagraph"/>
              <w:spacing w:before="14" w:line="238" w:lineRule="exact"/>
              <w:ind w:left="107" w:right="98"/>
              <w:rPr>
                <w:rFonts w:ascii="Times New Roman"/>
                <w:b/>
                <w:sz w:val="21"/>
              </w:rPr>
            </w:pPr>
            <w:r>
              <w:rPr>
                <w:rFonts w:ascii="Times New Roman"/>
                <w:b/>
                <w:sz w:val="21"/>
              </w:rPr>
              <w:t>M1</w:t>
            </w:r>
          </w:p>
        </w:tc>
        <w:tc>
          <w:tcPr>
            <w:tcW w:w="2743" w:type="dxa"/>
            <w:vMerge w:val="restart"/>
          </w:tcPr>
          <w:p w:rsidR="00B04AE3" w:rsidRDefault="00B04AE3">
            <w:pPr>
              <w:pStyle w:val="TableParagraph"/>
              <w:spacing w:before="11"/>
              <w:jc w:val="left"/>
              <w:rPr>
                <w:b/>
                <w:sz w:val="31"/>
              </w:rPr>
            </w:pPr>
          </w:p>
          <w:p w:rsidR="00B04AE3" w:rsidRDefault="00B04AE3">
            <w:pPr>
              <w:pStyle w:val="TableParagraph"/>
              <w:ind w:left="359"/>
              <w:jc w:val="left"/>
              <w:rPr>
                <w:sz w:val="21"/>
              </w:rPr>
            </w:pPr>
            <w:r>
              <w:rPr>
                <w:rFonts w:ascii="Times New Roman" w:eastAsia="Times New Roman"/>
                <w:sz w:val="21"/>
              </w:rPr>
              <w:t xml:space="preserve">5 </w:t>
            </w:r>
            <w:r>
              <w:rPr>
                <w:rFonts w:hint="eastAsia"/>
                <w:sz w:val="21"/>
              </w:rPr>
              <w:t>分，属于</w:t>
            </w:r>
            <w:r>
              <w:rPr>
                <w:sz w:val="21"/>
              </w:rPr>
              <w:t xml:space="preserve"> </w:t>
            </w:r>
            <w:r>
              <w:rPr>
                <w:rFonts w:ascii="Times New Roman" w:eastAsia="Times New Roman"/>
                <w:sz w:val="21"/>
              </w:rPr>
              <w:t xml:space="preserve">M1 </w:t>
            </w:r>
            <w:r>
              <w:rPr>
                <w:rFonts w:hint="eastAsia"/>
                <w:sz w:val="21"/>
              </w:rPr>
              <w:t>类水平</w:t>
            </w:r>
          </w:p>
        </w:tc>
      </w:tr>
      <w:tr w:rsidR="00B04AE3">
        <w:trPr>
          <w:trHeight w:val="272"/>
        </w:trPr>
        <w:tc>
          <w:tcPr>
            <w:tcW w:w="3206" w:type="dxa"/>
          </w:tcPr>
          <w:p w:rsidR="00B04AE3" w:rsidRDefault="00B04AE3">
            <w:pPr>
              <w:pStyle w:val="TableParagraph"/>
              <w:spacing w:before="1" w:line="251" w:lineRule="exact"/>
              <w:ind w:left="100" w:right="93"/>
              <w:rPr>
                <w:rFonts w:ascii="Times New Roman" w:hAnsi="Times New Roman"/>
                <w:sz w:val="21"/>
              </w:rPr>
            </w:pPr>
            <w:r>
              <w:rPr>
                <w:rFonts w:ascii="Times New Roman" w:hAnsi="Times New Roman"/>
                <w:sz w:val="21"/>
              </w:rPr>
              <w:t>25≤M</w:t>
            </w:r>
            <w:r>
              <w:rPr>
                <w:rFonts w:hint="eastAsia"/>
                <w:sz w:val="21"/>
              </w:rPr>
              <w:t>＜</w:t>
            </w:r>
            <w:r>
              <w:rPr>
                <w:rFonts w:ascii="Times New Roman" w:hAnsi="Times New Roman"/>
                <w:sz w:val="21"/>
              </w:rPr>
              <w:t>45</w:t>
            </w:r>
          </w:p>
        </w:tc>
        <w:tc>
          <w:tcPr>
            <w:tcW w:w="2579" w:type="dxa"/>
          </w:tcPr>
          <w:p w:rsidR="00B04AE3" w:rsidRDefault="00B04AE3">
            <w:pPr>
              <w:pStyle w:val="TableParagraph"/>
              <w:spacing w:before="15" w:line="237" w:lineRule="exact"/>
              <w:ind w:left="104" w:right="98"/>
              <w:rPr>
                <w:rFonts w:ascii="Times New Roman"/>
                <w:sz w:val="21"/>
              </w:rPr>
            </w:pPr>
            <w:r>
              <w:rPr>
                <w:rFonts w:ascii="Times New Roman"/>
                <w:sz w:val="21"/>
              </w:rPr>
              <w:t>M2</w:t>
            </w:r>
          </w:p>
        </w:tc>
        <w:tc>
          <w:tcPr>
            <w:tcW w:w="2743" w:type="dxa"/>
            <w:vMerge/>
            <w:tcBorders>
              <w:top w:val="nil"/>
            </w:tcBorders>
          </w:tcPr>
          <w:p w:rsidR="00B04AE3" w:rsidRDefault="00B04AE3">
            <w:pPr>
              <w:rPr>
                <w:sz w:val="2"/>
                <w:szCs w:val="2"/>
              </w:rPr>
            </w:pPr>
          </w:p>
        </w:tc>
      </w:tr>
      <w:tr w:rsidR="00B04AE3">
        <w:trPr>
          <w:trHeight w:val="272"/>
        </w:trPr>
        <w:tc>
          <w:tcPr>
            <w:tcW w:w="3206" w:type="dxa"/>
          </w:tcPr>
          <w:p w:rsidR="00B04AE3" w:rsidRDefault="00B04AE3">
            <w:pPr>
              <w:pStyle w:val="TableParagraph"/>
              <w:spacing w:line="252" w:lineRule="exact"/>
              <w:ind w:left="100" w:right="93"/>
              <w:rPr>
                <w:rFonts w:ascii="Times New Roman" w:hAnsi="Times New Roman"/>
                <w:sz w:val="21"/>
              </w:rPr>
            </w:pPr>
            <w:r>
              <w:rPr>
                <w:rFonts w:ascii="Times New Roman" w:hAnsi="Times New Roman"/>
                <w:sz w:val="21"/>
              </w:rPr>
              <w:t>45≤M</w:t>
            </w:r>
            <w:r>
              <w:rPr>
                <w:rFonts w:hint="eastAsia"/>
                <w:sz w:val="21"/>
              </w:rPr>
              <w:t>＜</w:t>
            </w:r>
            <w:r>
              <w:rPr>
                <w:rFonts w:ascii="Times New Roman" w:hAnsi="Times New Roman"/>
                <w:sz w:val="21"/>
              </w:rPr>
              <w:t>65</w:t>
            </w:r>
          </w:p>
        </w:tc>
        <w:tc>
          <w:tcPr>
            <w:tcW w:w="2579" w:type="dxa"/>
          </w:tcPr>
          <w:p w:rsidR="00B04AE3" w:rsidRDefault="00B04AE3">
            <w:pPr>
              <w:pStyle w:val="TableParagraph"/>
              <w:spacing w:before="13" w:line="239" w:lineRule="exact"/>
              <w:ind w:left="104" w:right="98"/>
              <w:rPr>
                <w:rFonts w:ascii="Times New Roman"/>
                <w:sz w:val="21"/>
              </w:rPr>
            </w:pPr>
            <w:r>
              <w:rPr>
                <w:rFonts w:ascii="Times New Roman"/>
                <w:sz w:val="21"/>
              </w:rPr>
              <w:t>M3</w:t>
            </w:r>
          </w:p>
        </w:tc>
        <w:tc>
          <w:tcPr>
            <w:tcW w:w="2743" w:type="dxa"/>
            <w:vMerge/>
            <w:tcBorders>
              <w:top w:val="nil"/>
            </w:tcBorders>
          </w:tcPr>
          <w:p w:rsidR="00B04AE3" w:rsidRDefault="00B04AE3">
            <w:pPr>
              <w:rPr>
                <w:sz w:val="2"/>
                <w:szCs w:val="2"/>
              </w:rPr>
            </w:pPr>
          </w:p>
        </w:tc>
      </w:tr>
      <w:tr w:rsidR="00B04AE3">
        <w:trPr>
          <w:trHeight w:val="242"/>
        </w:trPr>
        <w:tc>
          <w:tcPr>
            <w:tcW w:w="3206" w:type="dxa"/>
          </w:tcPr>
          <w:p w:rsidR="00B04AE3" w:rsidRDefault="00B04AE3">
            <w:pPr>
              <w:pStyle w:val="TableParagraph"/>
              <w:spacing w:line="222" w:lineRule="exact"/>
              <w:ind w:left="100" w:right="93"/>
              <w:rPr>
                <w:rFonts w:ascii="Times New Roman" w:hAnsi="Times New Roman"/>
                <w:sz w:val="21"/>
              </w:rPr>
            </w:pPr>
            <w:r>
              <w:rPr>
                <w:rFonts w:ascii="Times New Roman" w:hAnsi="Times New Roman"/>
                <w:sz w:val="21"/>
              </w:rPr>
              <w:t>M≥65</w:t>
            </w:r>
          </w:p>
        </w:tc>
        <w:tc>
          <w:tcPr>
            <w:tcW w:w="2579" w:type="dxa"/>
          </w:tcPr>
          <w:p w:rsidR="00B04AE3" w:rsidRDefault="00B04AE3">
            <w:pPr>
              <w:pStyle w:val="TableParagraph"/>
              <w:spacing w:line="222" w:lineRule="exact"/>
              <w:ind w:left="104" w:right="98"/>
              <w:rPr>
                <w:rFonts w:ascii="Times New Roman"/>
                <w:sz w:val="21"/>
              </w:rPr>
            </w:pPr>
            <w:r>
              <w:rPr>
                <w:rFonts w:ascii="Times New Roman"/>
                <w:sz w:val="21"/>
              </w:rPr>
              <w:t>M4</w:t>
            </w:r>
          </w:p>
        </w:tc>
        <w:tc>
          <w:tcPr>
            <w:tcW w:w="2743" w:type="dxa"/>
            <w:vMerge/>
            <w:tcBorders>
              <w:top w:val="nil"/>
            </w:tcBorders>
          </w:tcPr>
          <w:p w:rsidR="00B04AE3" w:rsidRDefault="00B04AE3">
            <w:pPr>
              <w:rPr>
                <w:sz w:val="2"/>
                <w:szCs w:val="2"/>
              </w:rPr>
            </w:pPr>
          </w:p>
        </w:tc>
      </w:tr>
    </w:tbl>
    <w:p w:rsidR="00B04AE3" w:rsidRDefault="00B04AE3">
      <w:pPr>
        <w:pStyle w:val="Heading3"/>
        <w:numPr>
          <w:ilvl w:val="2"/>
          <w:numId w:val="47"/>
        </w:numPr>
        <w:tabs>
          <w:tab w:val="left" w:pos="1338"/>
        </w:tabs>
        <w:spacing w:before="143"/>
      </w:pPr>
      <w:bookmarkStart w:id="359" w:name="6.1.3大气环境风险受体敏感程度（E）评估"/>
      <w:bookmarkStart w:id="360" w:name="_bookmark127"/>
      <w:bookmarkEnd w:id="359"/>
      <w:bookmarkEnd w:id="360"/>
      <w:r>
        <w:rPr>
          <w:rFonts w:hint="eastAsia"/>
        </w:rPr>
        <w:t>大气环境风险受体敏感程度（</w:t>
      </w:r>
      <w:r>
        <w:rPr>
          <w:rFonts w:ascii="Times New Roman" w:eastAsia="Times New Roman"/>
        </w:rPr>
        <w:t>E</w:t>
      </w:r>
      <w:r>
        <w:rPr>
          <w:rFonts w:hint="eastAsia"/>
        </w:rPr>
        <w:t>）评估</w:t>
      </w:r>
    </w:p>
    <w:p w:rsidR="00B04AE3" w:rsidRDefault="00B04AE3">
      <w:pPr>
        <w:pStyle w:val="BodyText"/>
        <w:spacing w:line="364" w:lineRule="auto"/>
        <w:ind w:left="797" w:right="675" w:firstLine="480"/>
        <w:jc w:val="both"/>
      </w:pPr>
      <w:r>
        <w:rPr>
          <w:rFonts w:hint="eastAsia"/>
        </w:rPr>
        <w:t>大气环境风险受体敏感程度类型按照企业周边人口数进行划分。按照企业周边</w:t>
      </w:r>
      <w:r>
        <w:t xml:space="preserve"> 5 </w:t>
      </w:r>
      <w:r>
        <w:rPr>
          <w:rFonts w:hint="eastAsia"/>
        </w:rPr>
        <w:t>公里或</w:t>
      </w:r>
      <w:r>
        <w:t xml:space="preserve"> 500 </w:t>
      </w:r>
      <w:r>
        <w:rPr>
          <w:rFonts w:hint="eastAsia"/>
        </w:rPr>
        <w:t>米范围内人口数将大气环境风险受体敏感程度划分为类型</w:t>
      </w:r>
      <w:r>
        <w:t xml:space="preserve"> 1</w:t>
      </w:r>
      <w:r>
        <w:rPr>
          <w:rFonts w:hint="eastAsia"/>
        </w:rPr>
        <w:t>、类型</w:t>
      </w:r>
      <w:r>
        <w:t xml:space="preserve"> 2  </w:t>
      </w:r>
      <w:r>
        <w:rPr>
          <w:rFonts w:hint="eastAsia"/>
        </w:rPr>
        <w:t>和类型</w:t>
      </w:r>
      <w:r>
        <w:t xml:space="preserve"> 3 </w:t>
      </w:r>
      <w:r>
        <w:rPr>
          <w:rFonts w:hint="eastAsia"/>
        </w:rPr>
        <w:t>三种类型，分别以</w:t>
      </w:r>
      <w:r>
        <w:t xml:space="preserve"> E1</w:t>
      </w:r>
      <w:r>
        <w:rPr>
          <w:rFonts w:hint="eastAsia"/>
        </w:rPr>
        <w:t>、</w:t>
      </w:r>
      <w:r>
        <w:t xml:space="preserve">E2 </w:t>
      </w:r>
      <w:r>
        <w:rPr>
          <w:rFonts w:hint="eastAsia"/>
        </w:rPr>
        <w:t>和</w:t>
      </w:r>
      <w:r>
        <w:t xml:space="preserve"> E3 </w:t>
      </w:r>
      <w:r>
        <w:rPr>
          <w:rFonts w:hint="eastAsia"/>
        </w:rPr>
        <w:t>表示，见表</w:t>
      </w:r>
      <w:r>
        <w:t xml:space="preserve"> 6.1-5</w:t>
      </w:r>
      <w:r>
        <w:rPr>
          <w:rFonts w:hint="eastAsia"/>
        </w:rPr>
        <w:t>。</w:t>
      </w:r>
    </w:p>
    <w:p w:rsidR="00B04AE3" w:rsidRDefault="00B04AE3">
      <w:pPr>
        <w:pStyle w:val="BodyText"/>
        <w:spacing w:line="364" w:lineRule="auto"/>
        <w:ind w:left="797" w:right="675" w:firstLine="480"/>
        <w:jc w:val="both"/>
      </w:pPr>
      <w:r>
        <w:rPr>
          <w:rFonts w:hint="eastAsia"/>
        </w:rPr>
        <w:t>大气环境风险受体敏感程度按类型</w:t>
      </w:r>
      <w:r>
        <w:t xml:space="preserve"> 1</w:t>
      </w:r>
      <w:r>
        <w:rPr>
          <w:rFonts w:hint="eastAsia"/>
        </w:rPr>
        <w:t>、类型</w:t>
      </w:r>
      <w:r>
        <w:t xml:space="preserve"> 2 </w:t>
      </w:r>
      <w:r>
        <w:rPr>
          <w:rFonts w:hint="eastAsia"/>
        </w:rPr>
        <w:t>和类型</w:t>
      </w:r>
      <w:r>
        <w:t xml:space="preserve"> 3 </w:t>
      </w:r>
      <w:r>
        <w:rPr>
          <w:rFonts w:hint="eastAsia"/>
        </w:rPr>
        <w:t>顺序依次降低。若企业周边存在多种敏感程度类型的大气环境风险受体，则按敏感程度高者确定企业大气环境风险受体敏感程度类型。</w:t>
      </w:r>
    </w:p>
    <w:p w:rsidR="00B04AE3" w:rsidRDefault="00B04AE3">
      <w:pPr>
        <w:spacing w:after="12" w:line="241" w:lineRule="exact"/>
        <w:ind w:left="2708"/>
        <w:rPr>
          <w:b/>
          <w:sz w:val="24"/>
        </w:rPr>
      </w:pPr>
      <w:r>
        <w:rPr>
          <w:rFonts w:hint="eastAsia"/>
          <w:b/>
          <w:sz w:val="24"/>
        </w:rPr>
        <w:t>表</w:t>
      </w:r>
      <w:r>
        <w:rPr>
          <w:b/>
          <w:sz w:val="24"/>
        </w:rPr>
        <w:t xml:space="preserve"> </w:t>
      </w:r>
      <w:r>
        <w:rPr>
          <w:rFonts w:ascii="Times New Roman" w:eastAsia="Times New Roman"/>
          <w:b/>
          <w:sz w:val="24"/>
        </w:rPr>
        <w:t xml:space="preserve">6.1-5 </w:t>
      </w:r>
      <w:r>
        <w:rPr>
          <w:rFonts w:hint="eastAsia"/>
          <w:b/>
          <w:sz w:val="24"/>
        </w:rPr>
        <w:t>大气环境风险受体敏感程度类型划分</w:t>
      </w:r>
    </w:p>
    <w:tbl>
      <w:tblPr>
        <w:tblW w:w="8472" w:type="dxa"/>
        <w:tblInd w:w="9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1314"/>
        <w:gridCol w:w="7158"/>
      </w:tblGrid>
      <w:tr w:rsidR="00B04AE3">
        <w:trPr>
          <w:trHeight w:val="340"/>
        </w:trPr>
        <w:tc>
          <w:tcPr>
            <w:tcW w:w="1314" w:type="dxa"/>
            <w:tcBorders>
              <w:bottom w:val="single" w:sz="4" w:space="0" w:color="000000"/>
              <w:right w:val="single" w:sz="4" w:space="0" w:color="000000"/>
            </w:tcBorders>
          </w:tcPr>
          <w:p w:rsidR="00B04AE3" w:rsidRDefault="00B04AE3">
            <w:pPr>
              <w:pStyle w:val="TableParagraph"/>
              <w:spacing w:before="33"/>
              <w:ind w:left="27"/>
              <w:jc w:val="left"/>
              <w:rPr>
                <w:sz w:val="21"/>
              </w:rPr>
            </w:pPr>
            <w:r>
              <w:rPr>
                <w:rFonts w:hint="eastAsia"/>
                <w:sz w:val="21"/>
              </w:rPr>
              <w:t>敏感程度类型</w:t>
            </w:r>
          </w:p>
        </w:tc>
        <w:tc>
          <w:tcPr>
            <w:tcW w:w="7158" w:type="dxa"/>
            <w:tcBorders>
              <w:left w:val="single" w:sz="4" w:space="0" w:color="000000"/>
              <w:bottom w:val="single" w:sz="4" w:space="0" w:color="000000"/>
            </w:tcBorders>
          </w:tcPr>
          <w:p w:rsidR="00B04AE3" w:rsidRDefault="00B04AE3">
            <w:pPr>
              <w:pStyle w:val="TableParagraph"/>
              <w:spacing w:before="33"/>
              <w:ind w:left="16"/>
              <w:rPr>
                <w:sz w:val="21"/>
              </w:rPr>
            </w:pPr>
            <w:r>
              <w:rPr>
                <w:rFonts w:hint="eastAsia"/>
                <w:sz w:val="21"/>
              </w:rPr>
              <w:t>大气环境风险受体</w:t>
            </w:r>
          </w:p>
        </w:tc>
      </w:tr>
      <w:tr w:rsidR="00B04AE3">
        <w:trPr>
          <w:trHeight w:val="1088"/>
        </w:trPr>
        <w:tc>
          <w:tcPr>
            <w:tcW w:w="1314" w:type="dxa"/>
            <w:tcBorders>
              <w:top w:val="single" w:sz="4" w:space="0" w:color="000000"/>
              <w:bottom w:val="single" w:sz="4" w:space="0" w:color="000000"/>
              <w:right w:val="single" w:sz="4" w:space="0" w:color="000000"/>
            </w:tcBorders>
          </w:tcPr>
          <w:p w:rsidR="00B04AE3" w:rsidRDefault="00B04AE3">
            <w:pPr>
              <w:pStyle w:val="TableParagraph"/>
              <w:spacing w:before="11"/>
              <w:jc w:val="left"/>
              <w:rPr>
                <w:b/>
                <w:sz w:val="31"/>
              </w:rPr>
            </w:pPr>
          </w:p>
          <w:p w:rsidR="00B04AE3" w:rsidRDefault="00B04AE3">
            <w:pPr>
              <w:pStyle w:val="TableParagraph"/>
              <w:ind w:left="68"/>
              <w:jc w:val="left"/>
              <w:rPr>
                <w:sz w:val="21"/>
              </w:rPr>
            </w:pPr>
            <w:r>
              <w:rPr>
                <w:rFonts w:hint="eastAsia"/>
                <w:sz w:val="21"/>
              </w:rPr>
              <w:t>类型</w:t>
            </w:r>
            <w:r>
              <w:rPr>
                <w:rFonts w:ascii="Times New Roman" w:eastAsia="Times New Roman"/>
                <w:sz w:val="21"/>
              </w:rPr>
              <w:t>1</w:t>
            </w:r>
            <w:r>
              <w:rPr>
                <w:rFonts w:hint="eastAsia"/>
                <w:sz w:val="21"/>
              </w:rPr>
              <w:t>（</w:t>
            </w:r>
            <w:r>
              <w:rPr>
                <w:rFonts w:ascii="Times New Roman" w:eastAsia="Times New Roman"/>
                <w:sz w:val="21"/>
              </w:rPr>
              <w:t>E1</w:t>
            </w:r>
            <w:r>
              <w:rPr>
                <w:rFonts w:hint="eastAsia"/>
                <w:sz w:val="21"/>
              </w:rPr>
              <w:t>）</w:t>
            </w:r>
          </w:p>
        </w:tc>
        <w:tc>
          <w:tcPr>
            <w:tcW w:w="7158" w:type="dxa"/>
            <w:tcBorders>
              <w:top w:val="single" w:sz="4" w:space="0" w:color="000000"/>
              <w:left w:val="single" w:sz="4" w:space="0" w:color="000000"/>
              <w:bottom w:val="single" w:sz="4" w:space="0" w:color="000000"/>
            </w:tcBorders>
          </w:tcPr>
          <w:p w:rsidR="00B04AE3" w:rsidRDefault="00B04AE3">
            <w:pPr>
              <w:pStyle w:val="TableParagraph"/>
              <w:spacing w:before="1" w:line="270" w:lineRule="atLeast"/>
              <w:ind w:left="1639" w:right="-15" w:hanging="1628"/>
              <w:jc w:val="left"/>
              <w:rPr>
                <w:sz w:val="21"/>
              </w:rPr>
            </w:pPr>
            <w:r>
              <w:rPr>
                <w:rFonts w:hint="eastAsia"/>
                <w:sz w:val="21"/>
              </w:rPr>
              <w:t>企业周边</w:t>
            </w:r>
            <w:r>
              <w:rPr>
                <w:sz w:val="21"/>
              </w:rPr>
              <w:t>5</w:t>
            </w:r>
            <w:r>
              <w:rPr>
                <w:rFonts w:hint="eastAsia"/>
                <w:sz w:val="21"/>
              </w:rPr>
              <w:t>公里范围内居住区、医疗卫生机构、文化教育机构、科研单位、行政机关、企事业单位、商场、公园等人口总数</w:t>
            </w:r>
            <w:r>
              <w:rPr>
                <w:sz w:val="21"/>
              </w:rPr>
              <w:t>5</w:t>
            </w:r>
            <w:r>
              <w:rPr>
                <w:rFonts w:hint="eastAsia"/>
                <w:sz w:val="21"/>
              </w:rPr>
              <w:t>万人以上，或企业周边</w:t>
            </w:r>
            <w:r>
              <w:rPr>
                <w:sz w:val="21"/>
              </w:rPr>
              <w:t>500</w:t>
            </w:r>
            <w:r>
              <w:rPr>
                <w:rFonts w:hint="eastAsia"/>
                <w:sz w:val="21"/>
              </w:rPr>
              <w:t>米范围内人口</w:t>
            </w:r>
            <w:r>
              <w:rPr>
                <w:sz w:val="21"/>
              </w:rPr>
              <w:t xml:space="preserve">  </w:t>
            </w:r>
            <w:r>
              <w:rPr>
                <w:rFonts w:hint="eastAsia"/>
                <w:sz w:val="21"/>
              </w:rPr>
              <w:t>总数</w:t>
            </w:r>
            <w:r>
              <w:rPr>
                <w:sz w:val="21"/>
              </w:rPr>
              <w:t>1000</w:t>
            </w:r>
            <w:r>
              <w:rPr>
                <w:rFonts w:hint="eastAsia"/>
                <w:sz w:val="21"/>
              </w:rPr>
              <w:t>人以上，或企业周边</w:t>
            </w:r>
            <w:r>
              <w:rPr>
                <w:sz w:val="21"/>
              </w:rPr>
              <w:t>5</w:t>
            </w:r>
            <w:r>
              <w:rPr>
                <w:rFonts w:hint="eastAsia"/>
                <w:sz w:val="21"/>
              </w:rPr>
              <w:t>公里涉及军事禁区、军事管理区、国家相关保密区域</w:t>
            </w:r>
          </w:p>
        </w:tc>
      </w:tr>
      <w:tr w:rsidR="00B04AE3">
        <w:trPr>
          <w:trHeight w:val="338"/>
        </w:trPr>
        <w:tc>
          <w:tcPr>
            <w:tcW w:w="1314" w:type="dxa"/>
            <w:tcBorders>
              <w:top w:val="single" w:sz="4" w:space="0" w:color="000000"/>
              <w:bottom w:val="single" w:sz="4" w:space="0" w:color="000000"/>
              <w:right w:val="single" w:sz="4" w:space="0" w:color="000000"/>
            </w:tcBorders>
          </w:tcPr>
          <w:p w:rsidR="00B04AE3" w:rsidRDefault="00B04AE3">
            <w:pPr>
              <w:pStyle w:val="TableParagraph"/>
              <w:spacing w:before="34"/>
              <w:ind w:left="68"/>
              <w:jc w:val="left"/>
              <w:rPr>
                <w:sz w:val="21"/>
              </w:rPr>
            </w:pPr>
            <w:r>
              <w:rPr>
                <w:rFonts w:hint="eastAsia"/>
                <w:sz w:val="21"/>
              </w:rPr>
              <w:t>类型</w:t>
            </w:r>
            <w:r>
              <w:rPr>
                <w:rFonts w:ascii="Times New Roman" w:eastAsia="Times New Roman"/>
                <w:sz w:val="21"/>
              </w:rPr>
              <w:t>2</w:t>
            </w:r>
            <w:r>
              <w:rPr>
                <w:rFonts w:hint="eastAsia"/>
                <w:sz w:val="21"/>
              </w:rPr>
              <w:t>（</w:t>
            </w:r>
            <w:r>
              <w:rPr>
                <w:rFonts w:ascii="Times New Roman" w:eastAsia="Times New Roman"/>
                <w:sz w:val="21"/>
              </w:rPr>
              <w:t>E2</w:t>
            </w:r>
            <w:r>
              <w:rPr>
                <w:rFonts w:hint="eastAsia"/>
                <w:sz w:val="21"/>
              </w:rPr>
              <w:t>）</w:t>
            </w:r>
          </w:p>
        </w:tc>
        <w:tc>
          <w:tcPr>
            <w:tcW w:w="7158" w:type="dxa"/>
            <w:tcBorders>
              <w:top w:val="single" w:sz="4" w:space="0" w:color="000000"/>
              <w:left w:val="single" w:sz="4" w:space="0" w:color="000000"/>
              <w:bottom w:val="single" w:sz="4" w:space="0" w:color="000000"/>
            </w:tcBorders>
          </w:tcPr>
          <w:p w:rsidR="00B04AE3" w:rsidRDefault="00B04AE3">
            <w:pPr>
              <w:pStyle w:val="TableParagraph"/>
              <w:spacing w:before="1" w:line="270" w:lineRule="atLeast"/>
              <w:ind w:left="1639" w:right="-15" w:hanging="1628"/>
              <w:jc w:val="left"/>
              <w:rPr>
                <w:sz w:val="21"/>
              </w:rPr>
            </w:pPr>
            <w:r>
              <w:rPr>
                <w:rFonts w:hint="eastAsia"/>
                <w:sz w:val="21"/>
              </w:rPr>
              <w:t>企业周边</w:t>
            </w:r>
            <w:r>
              <w:rPr>
                <w:sz w:val="21"/>
              </w:rPr>
              <w:t>5</w:t>
            </w:r>
            <w:r>
              <w:rPr>
                <w:rFonts w:hint="eastAsia"/>
                <w:sz w:val="21"/>
              </w:rPr>
              <w:t>公里范围内居住区、医疗卫生机构、文化教育机构、科研单位、行政机</w:t>
            </w:r>
          </w:p>
        </w:tc>
      </w:tr>
      <w:tr w:rsidR="00B04AE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45"/>
        </w:trPr>
        <w:tc>
          <w:tcPr>
            <w:tcW w:w="1314" w:type="dxa"/>
            <w:tcBorders>
              <w:left w:val="single" w:sz="8" w:space="0" w:color="000000"/>
            </w:tcBorders>
          </w:tcPr>
          <w:p w:rsidR="00B04AE3" w:rsidRDefault="00B04AE3">
            <w:pPr>
              <w:pStyle w:val="TableParagraph"/>
              <w:jc w:val="left"/>
              <w:rPr>
                <w:rFonts w:ascii="Times New Roman"/>
              </w:rPr>
            </w:pPr>
          </w:p>
        </w:tc>
        <w:tc>
          <w:tcPr>
            <w:tcW w:w="7158" w:type="dxa"/>
            <w:tcBorders>
              <w:right w:val="single" w:sz="8" w:space="0" w:color="000000"/>
            </w:tcBorders>
          </w:tcPr>
          <w:p w:rsidR="00B04AE3" w:rsidRDefault="00B04AE3">
            <w:pPr>
              <w:pStyle w:val="TableParagraph"/>
              <w:spacing w:before="1" w:line="270" w:lineRule="atLeast"/>
              <w:ind w:left="1639" w:right="-15" w:hanging="1628"/>
              <w:jc w:val="left"/>
              <w:rPr>
                <w:sz w:val="21"/>
              </w:rPr>
            </w:pPr>
            <w:r>
              <w:rPr>
                <w:rFonts w:hint="eastAsia"/>
                <w:sz w:val="21"/>
              </w:rPr>
              <w:t>关、企事业单位、商场、公园等人口总数</w:t>
            </w:r>
            <w:r>
              <w:rPr>
                <w:sz w:val="21"/>
              </w:rPr>
              <w:t>1</w:t>
            </w:r>
            <w:r>
              <w:rPr>
                <w:rFonts w:hint="eastAsia"/>
                <w:sz w:val="21"/>
              </w:rPr>
              <w:t>万人以上、</w:t>
            </w:r>
            <w:r>
              <w:rPr>
                <w:sz w:val="21"/>
              </w:rPr>
              <w:t>5</w:t>
            </w:r>
            <w:r>
              <w:rPr>
                <w:rFonts w:hint="eastAsia"/>
                <w:sz w:val="21"/>
              </w:rPr>
              <w:t>万人以下，或企业周边</w:t>
            </w:r>
            <w:r>
              <w:rPr>
                <w:sz w:val="21"/>
              </w:rPr>
              <w:t xml:space="preserve">500    </w:t>
            </w:r>
            <w:r>
              <w:rPr>
                <w:rFonts w:hint="eastAsia"/>
                <w:sz w:val="21"/>
              </w:rPr>
              <w:t>米范围内人口总数</w:t>
            </w:r>
            <w:r>
              <w:rPr>
                <w:sz w:val="21"/>
              </w:rPr>
              <w:t>500</w:t>
            </w:r>
            <w:r>
              <w:rPr>
                <w:rFonts w:hint="eastAsia"/>
                <w:sz w:val="21"/>
              </w:rPr>
              <w:t>人以上、</w:t>
            </w:r>
            <w:r>
              <w:rPr>
                <w:sz w:val="21"/>
              </w:rPr>
              <w:t>1000</w:t>
            </w:r>
            <w:r>
              <w:rPr>
                <w:rFonts w:hint="eastAsia"/>
                <w:sz w:val="21"/>
              </w:rPr>
              <w:t>人以下</w:t>
            </w:r>
          </w:p>
        </w:tc>
      </w:tr>
      <w:tr w:rsidR="00B04AE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816"/>
        </w:trPr>
        <w:tc>
          <w:tcPr>
            <w:tcW w:w="1314" w:type="dxa"/>
            <w:tcBorders>
              <w:left w:val="single" w:sz="8" w:space="0" w:color="000000"/>
              <w:bottom w:val="single" w:sz="8" w:space="0" w:color="000000"/>
            </w:tcBorders>
          </w:tcPr>
          <w:p w:rsidR="00B04AE3" w:rsidRDefault="00B04AE3">
            <w:pPr>
              <w:pStyle w:val="TableParagraph"/>
              <w:spacing w:before="3"/>
              <w:jc w:val="left"/>
              <w:rPr>
                <w:b/>
                <w:sz w:val="21"/>
              </w:rPr>
            </w:pPr>
          </w:p>
          <w:p w:rsidR="00B04AE3" w:rsidRDefault="00B04AE3">
            <w:pPr>
              <w:pStyle w:val="TableParagraph"/>
              <w:ind w:left="68"/>
              <w:jc w:val="left"/>
              <w:rPr>
                <w:sz w:val="21"/>
              </w:rPr>
            </w:pPr>
            <w:r>
              <w:rPr>
                <w:rFonts w:hint="eastAsia"/>
                <w:sz w:val="21"/>
              </w:rPr>
              <w:t>类型</w:t>
            </w:r>
            <w:r>
              <w:rPr>
                <w:rFonts w:ascii="Times New Roman" w:eastAsia="Times New Roman"/>
                <w:sz w:val="21"/>
              </w:rPr>
              <w:t>3</w:t>
            </w:r>
            <w:r>
              <w:rPr>
                <w:rFonts w:hint="eastAsia"/>
                <w:sz w:val="21"/>
              </w:rPr>
              <w:t>（</w:t>
            </w:r>
            <w:r>
              <w:rPr>
                <w:rFonts w:ascii="Times New Roman" w:eastAsia="Times New Roman"/>
                <w:sz w:val="21"/>
              </w:rPr>
              <w:t>E3</w:t>
            </w:r>
            <w:r>
              <w:rPr>
                <w:rFonts w:hint="eastAsia"/>
                <w:sz w:val="21"/>
              </w:rPr>
              <w:t>）</w:t>
            </w:r>
          </w:p>
        </w:tc>
        <w:tc>
          <w:tcPr>
            <w:tcW w:w="7158" w:type="dxa"/>
            <w:tcBorders>
              <w:bottom w:val="single" w:sz="8" w:space="0" w:color="000000"/>
              <w:right w:val="single" w:sz="8" w:space="0" w:color="000000"/>
            </w:tcBorders>
          </w:tcPr>
          <w:p w:rsidR="00B04AE3" w:rsidRDefault="00B04AE3">
            <w:pPr>
              <w:pStyle w:val="TableParagraph"/>
              <w:spacing w:before="1" w:line="270" w:lineRule="atLeast"/>
              <w:ind w:left="1639" w:right="-15" w:hanging="1628"/>
              <w:jc w:val="left"/>
              <w:rPr>
                <w:sz w:val="21"/>
              </w:rPr>
            </w:pPr>
            <w:r>
              <w:rPr>
                <w:rFonts w:hint="eastAsia"/>
                <w:sz w:val="21"/>
              </w:rPr>
              <w:t>企业周边</w:t>
            </w:r>
            <w:r>
              <w:rPr>
                <w:sz w:val="21"/>
              </w:rPr>
              <w:t>5</w:t>
            </w:r>
            <w:r>
              <w:rPr>
                <w:rFonts w:hint="eastAsia"/>
                <w:sz w:val="21"/>
              </w:rPr>
              <w:t>公里范围内居住区、医疗卫生机构、文化教育机构、科研单位、行政机关、企事业单位、商场、公园等人口总数</w:t>
            </w:r>
            <w:r>
              <w:rPr>
                <w:sz w:val="21"/>
              </w:rPr>
              <w:t>1</w:t>
            </w:r>
            <w:r>
              <w:rPr>
                <w:rFonts w:hint="eastAsia"/>
                <w:sz w:val="21"/>
              </w:rPr>
              <w:t>万人以下，且企业周边</w:t>
            </w:r>
            <w:r>
              <w:rPr>
                <w:sz w:val="21"/>
              </w:rPr>
              <w:t>500</w:t>
            </w:r>
            <w:r>
              <w:rPr>
                <w:rFonts w:hint="eastAsia"/>
                <w:sz w:val="21"/>
              </w:rPr>
              <w:t>米范围内人口</w:t>
            </w:r>
            <w:r>
              <w:rPr>
                <w:sz w:val="21"/>
              </w:rPr>
              <w:t xml:space="preserve">  </w:t>
            </w:r>
            <w:r>
              <w:rPr>
                <w:rFonts w:hint="eastAsia"/>
                <w:sz w:val="21"/>
              </w:rPr>
              <w:t>总数</w:t>
            </w:r>
            <w:r>
              <w:rPr>
                <w:sz w:val="21"/>
              </w:rPr>
              <w:t>500</w:t>
            </w:r>
            <w:r>
              <w:rPr>
                <w:rFonts w:hint="eastAsia"/>
                <w:sz w:val="21"/>
              </w:rPr>
              <w:t>人以下</w:t>
            </w:r>
          </w:p>
        </w:tc>
      </w:tr>
    </w:tbl>
    <w:p w:rsidR="00B04AE3" w:rsidRDefault="00B04AE3">
      <w:pPr>
        <w:pStyle w:val="BodyText"/>
        <w:spacing w:line="364" w:lineRule="auto"/>
        <w:ind w:left="797" w:right="675" w:firstLine="480"/>
        <w:jc w:val="both"/>
      </w:pPr>
      <w:r>
        <w:rPr>
          <w:rFonts w:hint="eastAsia"/>
        </w:rPr>
        <w:t>经计算，企业周边</w:t>
      </w:r>
      <w:r>
        <w:t>5</w:t>
      </w:r>
      <w:r>
        <w:rPr>
          <w:rFonts w:hint="eastAsia"/>
        </w:rPr>
        <w:t>公里范围内居住区、医疗卫生机构、文化教育机构、科研单位、行政机关、企事业单位、商场、公园等人口总数在</w:t>
      </w:r>
      <w:r>
        <w:t>1</w:t>
      </w:r>
      <w:r>
        <w:rPr>
          <w:rFonts w:hint="eastAsia"/>
        </w:rPr>
        <w:t>万人以上、</w:t>
      </w:r>
      <w:r>
        <w:t xml:space="preserve">5 </w:t>
      </w:r>
      <w:r>
        <w:rPr>
          <w:rFonts w:hint="eastAsia"/>
        </w:rPr>
        <w:t>万人以下，大气环境风险受体敏感程度类型为</w:t>
      </w:r>
      <w:r>
        <w:t xml:space="preserve"> E2</w:t>
      </w:r>
      <w:r>
        <w:rPr>
          <w:rFonts w:hint="eastAsia"/>
        </w:rPr>
        <w:t>。</w:t>
      </w:r>
    </w:p>
    <w:p w:rsidR="00B04AE3" w:rsidRDefault="00B04AE3">
      <w:pPr>
        <w:pStyle w:val="Heading3"/>
        <w:numPr>
          <w:ilvl w:val="2"/>
          <w:numId w:val="47"/>
        </w:numPr>
        <w:tabs>
          <w:tab w:val="left" w:pos="1338"/>
        </w:tabs>
        <w:spacing w:before="1"/>
      </w:pPr>
      <w:bookmarkStart w:id="361" w:name="6.1.4突发大气环境风险等级确定"/>
      <w:bookmarkStart w:id="362" w:name="_bookmark128"/>
      <w:bookmarkEnd w:id="361"/>
      <w:bookmarkEnd w:id="362"/>
      <w:r>
        <w:rPr>
          <w:rFonts w:hint="eastAsia"/>
        </w:rPr>
        <w:t>突发大气环境风险等级确定</w:t>
      </w:r>
    </w:p>
    <w:p w:rsidR="00B04AE3" w:rsidRDefault="00B04AE3">
      <w:pPr>
        <w:pStyle w:val="BodyText"/>
        <w:spacing w:line="364" w:lineRule="auto"/>
        <w:ind w:left="797" w:right="675" w:firstLine="480"/>
        <w:jc w:val="both"/>
      </w:pPr>
      <w:r>
        <w:rPr>
          <w:rFonts w:hint="eastAsia"/>
        </w:rPr>
        <w:t>根据企业周边大气环境风险受体敏感程度（</w:t>
      </w:r>
      <w:r>
        <w:t>E</w:t>
      </w:r>
      <w:r>
        <w:rPr>
          <w:rFonts w:hint="eastAsia"/>
        </w:rPr>
        <w:t>）、涉气风险物质数量与临界量比值（</w:t>
      </w:r>
      <w:r>
        <w:t>Q</w:t>
      </w:r>
      <w:r>
        <w:rPr>
          <w:rFonts w:hint="eastAsia"/>
        </w:rPr>
        <w:t>）和生产工艺过程与大气环境风险控制水平（</w:t>
      </w:r>
      <w:r>
        <w:t>M</w:t>
      </w:r>
      <w:r>
        <w:rPr>
          <w:rFonts w:hint="eastAsia"/>
        </w:rPr>
        <w:t>），按照表</w:t>
      </w:r>
      <w:r>
        <w:t xml:space="preserve"> 6.1-6 </w:t>
      </w:r>
      <w:r>
        <w:rPr>
          <w:rFonts w:hint="eastAsia"/>
        </w:rPr>
        <w:t>确定企业突发大气环境事件风险等级为一般风险。</w:t>
      </w:r>
    </w:p>
    <w:p w:rsidR="00B04AE3" w:rsidRDefault="00B04AE3">
      <w:pPr>
        <w:spacing w:after="14" w:line="239" w:lineRule="exact"/>
        <w:ind w:left="2708"/>
        <w:rPr>
          <w:b/>
          <w:sz w:val="24"/>
        </w:rPr>
      </w:pPr>
      <w:r>
        <w:rPr>
          <w:rFonts w:hint="eastAsia"/>
          <w:b/>
          <w:sz w:val="24"/>
        </w:rPr>
        <w:t>表</w:t>
      </w:r>
      <w:r>
        <w:rPr>
          <w:b/>
          <w:sz w:val="24"/>
        </w:rPr>
        <w:t xml:space="preserve"> </w:t>
      </w:r>
      <w:r>
        <w:rPr>
          <w:rFonts w:ascii="Times New Roman" w:eastAsia="Times New Roman"/>
          <w:b/>
          <w:sz w:val="24"/>
        </w:rPr>
        <w:t xml:space="preserve">6.1-6  </w:t>
      </w:r>
      <w:r>
        <w:rPr>
          <w:rFonts w:hint="eastAsia"/>
          <w:b/>
          <w:sz w:val="24"/>
        </w:rPr>
        <w:t>企业突发环境事件风险分级矩阵表</w:t>
      </w:r>
    </w:p>
    <w:tbl>
      <w:tblPr>
        <w:tblW w:w="8332" w:type="dxa"/>
        <w:tblInd w:w="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1394"/>
        <w:gridCol w:w="1858"/>
        <w:gridCol w:w="1270"/>
        <w:gridCol w:w="1270"/>
        <w:gridCol w:w="1270"/>
        <w:gridCol w:w="1270"/>
      </w:tblGrid>
      <w:tr w:rsidR="00B04AE3">
        <w:trPr>
          <w:trHeight w:val="340"/>
        </w:trPr>
        <w:tc>
          <w:tcPr>
            <w:tcW w:w="1394" w:type="dxa"/>
            <w:vMerge w:val="restart"/>
            <w:tcBorders>
              <w:bottom w:val="single" w:sz="4" w:space="0" w:color="000000"/>
              <w:right w:val="single" w:sz="4" w:space="0" w:color="000000"/>
            </w:tcBorders>
          </w:tcPr>
          <w:p w:rsidR="00B04AE3" w:rsidRDefault="00B04AE3">
            <w:pPr>
              <w:pStyle w:val="TableParagraph"/>
              <w:spacing w:before="73" w:line="242" w:lineRule="auto"/>
              <w:ind w:left="10" w:right="-29" w:firstLine="57"/>
              <w:jc w:val="left"/>
              <w:rPr>
                <w:sz w:val="21"/>
              </w:rPr>
            </w:pPr>
            <w:r>
              <w:rPr>
                <w:rFonts w:hint="eastAsia"/>
                <w:sz w:val="21"/>
              </w:rPr>
              <w:t>环境风险受体敏感程度（</w:t>
            </w:r>
            <w:r>
              <w:rPr>
                <w:rFonts w:ascii="Times New Roman" w:eastAsia="Times New Roman"/>
                <w:sz w:val="21"/>
              </w:rPr>
              <w:t>E</w:t>
            </w:r>
            <w:r>
              <w:rPr>
                <w:rFonts w:hint="eastAsia"/>
                <w:sz w:val="21"/>
              </w:rPr>
              <w:t>）</w:t>
            </w:r>
          </w:p>
        </w:tc>
        <w:tc>
          <w:tcPr>
            <w:tcW w:w="1858" w:type="dxa"/>
            <w:vMerge w:val="restart"/>
            <w:tcBorders>
              <w:left w:val="single" w:sz="4" w:space="0" w:color="000000"/>
              <w:bottom w:val="single" w:sz="4" w:space="0" w:color="000000"/>
              <w:right w:val="single" w:sz="4" w:space="0" w:color="000000"/>
            </w:tcBorders>
          </w:tcPr>
          <w:p w:rsidR="00B04AE3" w:rsidRDefault="00B04AE3">
            <w:pPr>
              <w:pStyle w:val="TableParagraph"/>
              <w:spacing w:before="73" w:line="242" w:lineRule="auto"/>
              <w:ind w:left="226" w:right="75" w:hanging="135"/>
              <w:jc w:val="left"/>
              <w:rPr>
                <w:sz w:val="21"/>
              </w:rPr>
            </w:pPr>
            <w:r>
              <w:rPr>
                <w:rFonts w:hint="eastAsia"/>
                <w:sz w:val="21"/>
              </w:rPr>
              <w:t>风险物质数量与临界量比值（</w:t>
            </w:r>
            <w:r>
              <w:rPr>
                <w:rFonts w:ascii="Times New Roman" w:eastAsia="Times New Roman"/>
                <w:sz w:val="21"/>
              </w:rPr>
              <w:t>Q</w:t>
            </w:r>
            <w:r>
              <w:rPr>
                <w:rFonts w:hint="eastAsia"/>
                <w:sz w:val="21"/>
              </w:rPr>
              <w:t>）</w:t>
            </w:r>
          </w:p>
        </w:tc>
        <w:tc>
          <w:tcPr>
            <w:tcW w:w="5080" w:type="dxa"/>
            <w:gridSpan w:val="4"/>
            <w:tcBorders>
              <w:left w:val="single" w:sz="4" w:space="0" w:color="000000"/>
              <w:bottom w:val="single" w:sz="4" w:space="0" w:color="000000"/>
            </w:tcBorders>
          </w:tcPr>
          <w:p w:rsidR="00B04AE3" w:rsidRDefault="00B04AE3">
            <w:pPr>
              <w:pStyle w:val="TableParagraph"/>
              <w:spacing w:before="32"/>
              <w:ind w:left="663"/>
              <w:jc w:val="left"/>
              <w:rPr>
                <w:sz w:val="21"/>
              </w:rPr>
            </w:pPr>
            <w:r>
              <w:rPr>
                <w:rFonts w:hint="eastAsia"/>
                <w:sz w:val="21"/>
              </w:rPr>
              <w:t>生产工艺过程与环境风险控制水平（</w:t>
            </w:r>
            <w:r>
              <w:rPr>
                <w:rFonts w:ascii="Times New Roman" w:eastAsia="Times New Roman"/>
                <w:sz w:val="21"/>
              </w:rPr>
              <w:t>M</w:t>
            </w:r>
            <w:r>
              <w:rPr>
                <w:rFonts w:hint="eastAsia"/>
                <w:sz w:val="21"/>
              </w:rPr>
              <w:t>）</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vMerge/>
            <w:tcBorders>
              <w:top w:val="nil"/>
              <w:left w:val="single" w:sz="4" w:space="0" w:color="000000"/>
              <w:bottom w:val="single" w:sz="4" w:space="0" w:color="000000"/>
              <w:right w:val="single" w:sz="4" w:space="0" w:color="000000"/>
            </w:tcBorders>
          </w:tcPr>
          <w:p w:rsidR="00B04AE3" w:rsidRDefault="00B04AE3">
            <w:pPr>
              <w:rPr>
                <w:sz w:val="2"/>
                <w:szCs w:val="2"/>
              </w:rPr>
            </w:pP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8" w:right="112"/>
              <w:rPr>
                <w:sz w:val="21"/>
              </w:rPr>
            </w:pPr>
            <w:r>
              <w:rPr>
                <w:rFonts w:ascii="Times New Roman" w:eastAsia="Times New Roman"/>
                <w:sz w:val="21"/>
              </w:rPr>
              <w:t xml:space="preserve">M1 </w:t>
            </w:r>
            <w:r>
              <w:rPr>
                <w:rFonts w:hint="eastAsia"/>
                <w:sz w:val="21"/>
              </w:rPr>
              <w:t>类水平</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0"/>
              <w:rPr>
                <w:sz w:val="21"/>
              </w:rPr>
            </w:pPr>
            <w:r>
              <w:rPr>
                <w:rFonts w:ascii="Times New Roman" w:eastAsia="Times New Roman"/>
                <w:sz w:val="21"/>
              </w:rPr>
              <w:t xml:space="preserve">M2 </w:t>
            </w:r>
            <w:r>
              <w:rPr>
                <w:rFonts w:hint="eastAsia"/>
                <w:sz w:val="21"/>
              </w:rPr>
              <w:t>类水平</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1"/>
              <w:rPr>
                <w:sz w:val="21"/>
              </w:rPr>
            </w:pPr>
            <w:r>
              <w:rPr>
                <w:rFonts w:ascii="Times New Roman" w:eastAsia="Times New Roman"/>
                <w:sz w:val="21"/>
              </w:rPr>
              <w:t xml:space="preserve">M3 </w:t>
            </w:r>
            <w:r>
              <w:rPr>
                <w:rFonts w:hint="eastAsia"/>
                <w:sz w:val="21"/>
              </w:rPr>
              <w:t>类水平</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3"/>
              <w:ind w:left="129" w:right="111"/>
              <w:rPr>
                <w:sz w:val="21"/>
              </w:rPr>
            </w:pPr>
            <w:r>
              <w:rPr>
                <w:rFonts w:ascii="Times New Roman" w:eastAsia="Times New Roman"/>
                <w:sz w:val="21"/>
              </w:rPr>
              <w:t xml:space="preserve">M4 </w:t>
            </w:r>
            <w:r>
              <w:rPr>
                <w:rFonts w:hint="eastAsia"/>
                <w:sz w:val="21"/>
              </w:rPr>
              <w:t>类水平</w:t>
            </w:r>
          </w:p>
        </w:tc>
      </w:tr>
      <w:tr w:rsidR="00B04AE3">
        <w:trPr>
          <w:trHeight w:val="340"/>
        </w:trPr>
        <w:tc>
          <w:tcPr>
            <w:tcW w:w="1394" w:type="dxa"/>
            <w:vMerge w:val="restart"/>
            <w:tcBorders>
              <w:top w:val="single" w:sz="4" w:space="0" w:color="000000"/>
              <w:bottom w:val="single" w:sz="4" w:space="0" w:color="000000"/>
              <w:right w:val="single" w:sz="4" w:space="0" w:color="000000"/>
            </w:tcBorders>
          </w:tcPr>
          <w:p w:rsidR="00B04AE3" w:rsidRDefault="00B04AE3">
            <w:pPr>
              <w:pStyle w:val="TableParagraph"/>
              <w:spacing w:before="12"/>
              <w:jc w:val="left"/>
              <w:rPr>
                <w:b/>
                <w:sz w:val="29"/>
              </w:rPr>
            </w:pPr>
          </w:p>
          <w:p w:rsidR="00B04AE3" w:rsidRDefault="00B04AE3">
            <w:pPr>
              <w:pStyle w:val="TableParagraph"/>
              <w:ind w:left="108"/>
              <w:jc w:val="left"/>
              <w:rPr>
                <w:sz w:val="21"/>
              </w:rPr>
            </w:pPr>
            <w:r>
              <w:rPr>
                <w:rFonts w:hint="eastAsia"/>
                <w:sz w:val="21"/>
              </w:rPr>
              <w:t>类型</w:t>
            </w:r>
            <w:r>
              <w:rPr>
                <w:rFonts w:ascii="Times New Roman" w:eastAsia="Times New Roman"/>
                <w:sz w:val="21"/>
              </w:rPr>
              <w:t>1</w:t>
            </w:r>
            <w:r>
              <w:rPr>
                <w:rFonts w:hint="eastAsia"/>
                <w:sz w:val="21"/>
              </w:rPr>
              <w:t>（</w:t>
            </w:r>
            <w:r>
              <w:rPr>
                <w:rFonts w:ascii="Times New Roman" w:eastAsia="Times New Roman"/>
                <w:sz w:val="21"/>
              </w:rPr>
              <w:t>E1</w:t>
            </w:r>
            <w:r>
              <w:rPr>
                <w:rFonts w:hint="eastAsia"/>
                <w:sz w:val="21"/>
              </w:rPr>
              <w:t>）</w:t>
            </w: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47" w:right="28"/>
              <w:rPr>
                <w:sz w:val="21"/>
              </w:rPr>
            </w:pPr>
            <w:r>
              <w:rPr>
                <w:rFonts w:ascii="Times New Roman" w:hAnsi="Times New Roman"/>
                <w:sz w:val="21"/>
              </w:rPr>
              <w:t>1≤ Q</w:t>
            </w:r>
            <w:r>
              <w:rPr>
                <w:rFonts w:hint="eastAsia"/>
                <w:sz w:val="21"/>
              </w:rPr>
              <w:t>＜</w:t>
            </w:r>
            <w:r>
              <w:rPr>
                <w:rFonts w:ascii="Times New Roman" w:hAnsi="Times New Roman"/>
                <w:sz w:val="21"/>
              </w:rPr>
              <w:t>10</w:t>
            </w:r>
            <w:r>
              <w:rPr>
                <w:rFonts w:hint="eastAsia"/>
                <w:sz w:val="21"/>
              </w:rPr>
              <w:t>（</w:t>
            </w:r>
            <w:r>
              <w:rPr>
                <w:rFonts w:ascii="Times New Roman" w:hAnsi="Times New Roman"/>
                <w:sz w:val="21"/>
              </w:rPr>
              <w:t>Q1</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9"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3"/>
              <w:ind w:left="127" w:right="111"/>
              <w:rPr>
                <w:sz w:val="21"/>
              </w:rPr>
            </w:pPr>
            <w:r>
              <w:rPr>
                <w:rFonts w:hint="eastAsia"/>
                <w:sz w:val="21"/>
              </w:rPr>
              <w:t>重大</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47" w:right="28"/>
              <w:rPr>
                <w:sz w:val="21"/>
              </w:rPr>
            </w:pPr>
            <w:r>
              <w:rPr>
                <w:rFonts w:ascii="Times New Roman" w:hAnsi="Times New Roman"/>
                <w:sz w:val="21"/>
              </w:rPr>
              <w:t>10≤ Q</w:t>
            </w:r>
            <w:r>
              <w:rPr>
                <w:rFonts w:hint="eastAsia"/>
                <w:sz w:val="21"/>
              </w:rPr>
              <w:t>＜</w:t>
            </w:r>
            <w:r>
              <w:rPr>
                <w:rFonts w:ascii="Times New Roman" w:hAnsi="Times New Roman"/>
                <w:sz w:val="21"/>
              </w:rPr>
              <w:t>100</w:t>
            </w:r>
            <w:r>
              <w:rPr>
                <w:rFonts w:hint="eastAsia"/>
                <w:sz w:val="21"/>
              </w:rPr>
              <w:t>（</w:t>
            </w:r>
            <w:r>
              <w:rPr>
                <w:rFonts w:ascii="Times New Roman" w:hAnsi="Times New Roman"/>
                <w:sz w:val="21"/>
              </w:rPr>
              <w:t>Q2</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9" w:right="112"/>
              <w:rPr>
                <w:sz w:val="21"/>
              </w:rPr>
            </w:pPr>
            <w:r>
              <w:rPr>
                <w:rFonts w:hint="eastAsia"/>
                <w:sz w:val="21"/>
              </w:rPr>
              <w:t>重大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3"/>
              <w:ind w:left="127" w:right="111"/>
              <w:rPr>
                <w:sz w:val="21"/>
              </w:rPr>
            </w:pPr>
            <w:r>
              <w:rPr>
                <w:rFonts w:hint="eastAsia"/>
                <w:sz w:val="21"/>
              </w:rPr>
              <w:t>重大</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47" w:right="28"/>
              <w:rPr>
                <w:sz w:val="21"/>
              </w:rPr>
            </w:pPr>
            <w:r>
              <w:rPr>
                <w:rFonts w:ascii="Times New Roman" w:hAnsi="Times New Roman"/>
                <w:sz w:val="21"/>
              </w:rPr>
              <w:t>Q≥ 100</w:t>
            </w:r>
            <w:r>
              <w:rPr>
                <w:rFonts w:hint="eastAsia"/>
                <w:sz w:val="21"/>
              </w:rPr>
              <w:t>（</w:t>
            </w:r>
            <w:r>
              <w:rPr>
                <w:rFonts w:ascii="Times New Roman" w:hAnsi="Times New Roman"/>
                <w:sz w:val="21"/>
              </w:rPr>
              <w:t>Q3</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130" w:right="112"/>
              <w:rPr>
                <w:sz w:val="21"/>
              </w:rPr>
            </w:pPr>
            <w:r>
              <w:rPr>
                <w:rFonts w:hint="eastAsia"/>
                <w:sz w:val="21"/>
              </w:rPr>
              <w:t>重大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129" w:right="112"/>
              <w:rPr>
                <w:sz w:val="21"/>
              </w:rPr>
            </w:pPr>
            <w:r>
              <w:rPr>
                <w:rFonts w:hint="eastAsia"/>
                <w:sz w:val="21"/>
              </w:rPr>
              <w:t>重大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4"/>
              <w:ind w:left="127" w:right="111"/>
              <w:rPr>
                <w:sz w:val="21"/>
              </w:rPr>
            </w:pPr>
            <w:r>
              <w:rPr>
                <w:rFonts w:hint="eastAsia"/>
                <w:sz w:val="21"/>
              </w:rPr>
              <w:t>重大</w:t>
            </w:r>
          </w:p>
        </w:tc>
      </w:tr>
      <w:tr w:rsidR="00B04AE3">
        <w:trPr>
          <w:trHeight w:val="340"/>
        </w:trPr>
        <w:tc>
          <w:tcPr>
            <w:tcW w:w="1394" w:type="dxa"/>
            <w:vMerge w:val="restart"/>
            <w:tcBorders>
              <w:top w:val="single" w:sz="4" w:space="0" w:color="000000"/>
              <w:bottom w:val="single" w:sz="4" w:space="0" w:color="000000"/>
              <w:right w:val="single" w:sz="4" w:space="0" w:color="000000"/>
            </w:tcBorders>
          </w:tcPr>
          <w:p w:rsidR="00B04AE3" w:rsidRDefault="00B04AE3">
            <w:pPr>
              <w:pStyle w:val="TableParagraph"/>
              <w:spacing w:before="10"/>
              <w:jc w:val="left"/>
              <w:rPr>
                <w:b/>
                <w:sz w:val="29"/>
              </w:rPr>
            </w:pPr>
          </w:p>
          <w:p w:rsidR="00B04AE3" w:rsidRDefault="00B04AE3">
            <w:pPr>
              <w:pStyle w:val="TableParagraph"/>
              <w:spacing w:before="1"/>
              <w:ind w:left="108"/>
              <w:jc w:val="left"/>
              <w:rPr>
                <w:sz w:val="21"/>
              </w:rPr>
            </w:pPr>
            <w:r>
              <w:rPr>
                <w:rFonts w:hint="eastAsia"/>
                <w:sz w:val="21"/>
              </w:rPr>
              <w:t>类型</w:t>
            </w:r>
            <w:r>
              <w:rPr>
                <w:rFonts w:ascii="Times New Roman" w:eastAsia="Times New Roman"/>
                <w:sz w:val="21"/>
              </w:rPr>
              <w:t>2</w:t>
            </w:r>
            <w:r>
              <w:rPr>
                <w:rFonts w:hint="eastAsia"/>
                <w:sz w:val="21"/>
              </w:rPr>
              <w:t>（</w:t>
            </w:r>
            <w:r>
              <w:rPr>
                <w:rFonts w:ascii="Times New Roman" w:eastAsia="Times New Roman"/>
                <w:sz w:val="21"/>
              </w:rPr>
              <w:t>E2</w:t>
            </w:r>
            <w:r>
              <w:rPr>
                <w:rFonts w:hint="eastAsia"/>
                <w:sz w:val="21"/>
              </w:rPr>
              <w:t>）</w:t>
            </w: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2"/>
              <w:ind w:left="47" w:right="28"/>
              <w:rPr>
                <w:sz w:val="21"/>
              </w:rPr>
            </w:pPr>
            <w:r>
              <w:rPr>
                <w:rFonts w:ascii="Times New Roman" w:hAnsi="Times New Roman"/>
                <w:sz w:val="21"/>
              </w:rPr>
              <w:t>1≤ Q</w:t>
            </w:r>
            <w:r>
              <w:rPr>
                <w:rFonts w:hint="eastAsia"/>
                <w:sz w:val="21"/>
              </w:rPr>
              <w:t>＜</w:t>
            </w:r>
            <w:r>
              <w:rPr>
                <w:rFonts w:ascii="Times New Roman" w:hAnsi="Times New Roman"/>
                <w:sz w:val="21"/>
              </w:rPr>
              <w:t>10</w:t>
            </w:r>
            <w:r>
              <w:rPr>
                <w:rFonts w:hint="eastAsia"/>
                <w:sz w:val="21"/>
              </w:rPr>
              <w:t>（</w:t>
            </w:r>
            <w:r>
              <w:rPr>
                <w:rFonts w:ascii="Times New Roman" w:hAnsi="Times New Roman"/>
                <w:sz w:val="21"/>
              </w:rPr>
              <w:t>Q1</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shd w:val="clear" w:color="auto" w:fill="D9D9D9"/>
          </w:tcPr>
          <w:p w:rsidR="00B04AE3" w:rsidRDefault="00B04AE3">
            <w:pPr>
              <w:pStyle w:val="TableParagraph"/>
              <w:spacing w:before="32"/>
              <w:ind w:left="130" w:right="112"/>
              <w:rPr>
                <w:sz w:val="21"/>
              </w:rPr>
            </w:pPr>
            <w:r>
              <w:rPr>
                <w:rFonts w:hint="eastAsia"/>
                <w:sz w:val="21"/>
              </w:rPr>
              <w:t>一般</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2"/>
              <w:ind w:left="129"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2"/>
              <w:ind w:left="128" w:right="112"/>
              <w:rPr>
                <w:sz w:val="21"/>
              </w:rPr>
            </w:pPr>
            <w:r>
              <w:rPr>
                <w:rFonts w:hint="eastAsia"/>
                <w:sz w:val="21"/>
              </w:rPr>
              <w:t>较大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2"/>
              <w:ind w:left="127" w:right="111"/>
              <w:rPr>
                <w:sz w:val="21"/>
              </w:rPr>
            </w:pPr>
            <w:r>
              <w:rPr>
                <w:rFonts w:hint="eastAsia"/>
                <w:sz w:val="21"/>
              </w:rPr>
              <w:t>重大</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2"/>
              <w:ind w:left="47" w:right="28"/>
              <w:rPr>
                <w:sz w:val="21"/>
              </w:rPr>
            </w:pPr>
            <w:r>
              <w:rPr>
                <w:rFonts w:ascii="Times New Roman" w:hAnsi="Times New Roman"/>
                <w:sz w:val="21"/>
              </w:rPr>
              <w:t>10≤ Q</w:t>
            </w:r>
            <w:r>
              <w:rPr>
                <w:rFonts w:hint="eastAsia"/>
                <w:sz w:val="21"/>
              </w:rPr>
              <w:t>＜</w:t>
            </w:r>
            <w:r>
              <w:rPr>
                <w:rFonts w:ascii="Times New Roman" w:hAnsi="Times New Roman"/>
                <w:sz w:val="21"/>
              </w:rPr>
              <w:t>100</w:t>
            </w:r>
            <w:r>
              <w:rPr>
                <w:rFonts w:hint="eastAsia"/>
                <w:sz w:val="21"/>
              </w:rPr>
              <w:t>（</w:t>
            </w:r>
            <w:r>
              <w:rPr>
                <w:rFonts w:ascii="Times New Roman" w:hAnsi="Times New Roman"/>
                <w:sz w:val="21"/>
              </w:rPr>
              <w:t>Q2</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2"/>
              <w:ind w:left="130"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2"/>
              <w:ind w:left="129"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2"/>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2"/>
              <w:ind w:left="127" w:right="111"/>
              <w:rPr>
                <w:sz w:val="21"/>
              </w:rPr>
            </w:pPr>
            <w:r>
              <w:rPr>
                <w:rFonts w:hint="eastAsia"/>
                <w:sz w:val="21"/>
              </w:rPr>
              <w:t>重大</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47" w:right="28"/>
              <w:rPr>
                <w:sz w:val="21"/>
              </w:rPr>
            </w:pPr>
            <w:r>
              <w:rPr>
                <w:rFonts w:ascii="Times New Roman" w:hAnsi="Times New Roman"/>
                <w:sz w:val="21"/>
              </w:rPr>
              <w:t>Q≥ 100</w:t>
            </w:r>
            <w:r>
              <w:rPr>
                <w:rFonts w:hint="eastAsia"/>
                <w:sz w:val="21"/>
              </w:rPr>
              <w:t>（</w:t>
            </w:r>
            <w:r>
              <w:rPr>
                <w:rFonts w:ascii="Times New Roman" w:hAnsi="Times New Roman"/>
                <w:sz w:val="21"/>
              </w:rPr>
              <w:t>Q3</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9" w:right="112"/>
              <w:rPr>
                <w:sz w:val="21"/>
              </w:rPr>
            </w:pPr>
            <w:r>
              <w:rPr>
                <w:rFonts w:hint="eastAsia"/>
                <w:sz w:val="21"/>
              </w:rPr>
              <w:t>重大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3"/>
              <w:ind w:left="127" w:right="111"/>
              <w:rPr>
                <w:sz w:val="21"/>
              </w:rPr>
            </w:pPr>
            <w:r>
              <w:rPr>
                <w:rFonts w:hint="eastAsia"/>
                <w:sz w:val="21"/>
              </w:rPr>
              <w:t>重大</w:t>
            </w:r>
          </w:p>
        </w:tc>
      </w:tr>
      <w:tr w:rsidR="00B04AE3">
        <w:trPr>
          <w:trHeight w:val="335"/>
        </w:trPr>
        <w:tc>
          <w:tcPr>
            <w:tcW w:w="1394" w:type="dxa"/>
            <w:vMerge w:val="restart"/>
            <w:tcBorders>
              <w:top w:val="single" w:sz="4" w:space="0" w:color="000000"/>
              <w:right w:val="single" w:sz="4" w:space="0" w:color="000000"/>
            </w:tcBorders>
          </w:tcPr>
          <w:p w:rsidR="00B04AE3" w:rsidRDefault="00B04AE3">
            <w:pPr>
              <w:pStyle w:val="TableParagraph"/>
              <w:spacing w:before="8"/>
              <w:jc w:val="left"/>
              <w:rPr>
                <w:b/>
                <w:sz w:val="30"/>
              </w:rPr>
            </w:pPr>
          </w:p>
          <w:p w:rsidR="00B04AE3" w:rsidRDefault="00B04AE3">
            <w:pPr>
              <w:pStyle w:val="TableParagraph"/>
              <w:spacing w:before="1"/>
              <w:ind w:left="108"/>
              <w:jc w:val="left"/>
              <w:rPr>
                <w:sz w:val="21"/>
              </w:rPr>
            </w:pPr>
            <w:r>
              <w:rPr>
                <w:rFonts w:hint="eastAsia"/>
                <w:sz w:val="21"/>
              </w:rPr>
              <w:t>类型</w:t>
            </w:r>
            <w:r>
              <w:rPr>
                <w:rFonts w:ascii="Times New Roman" w:eastAsia="Times New Roman"/>
                <w:sz w:val="21"/>
              </w:rPr>
              <w:t>3</w:t>
            </w:r>
            <w:r>
              <w:rPr>
                <w:rFonts w:hint="eastAsia"/>
                <w:sz w:val="21"/>
              </w:rPr>
              <w:t>（</w:t>
            </w:r>
            <w:r>
              <w:rPr>
                <w:rFonts w:ascii="Times New Roman" w:eastAsia="Times New Roman"/>
                <w:sz w:val="21"/>
              </w:rPr>
              <w:t>E3</w:t>
            </w:r>
            <w:r>
              <w:rPr>
                <w:rFonts w:hint="eastAsia"/>
                <w:sz w:val="21"/>
              </w:rPr>
              <w:t>）</w:t>
            </w: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47" w:right="28"/>
              <w:rPr>
                <w:sz w:val="21"/>
              </w:rPr>
            </w:pPr>
            <w:r>
              <w:rPr>
                <w:rFonts w:ascii="Times New Roman" w:hAnsi="Times New Roman"/>
                <w:sz w:val="21"/>
              </w:rPr>
              <w:t>1≤ Q</w:t>
            </w:r>
            <w:r>
              <w:rPr>
                <w:rFonts w:hint="eastAsia"/>
                <w:sz w:val="21"/>
              </w:rPr>
              <w:t>＜</w:t>
            </w:r>
            <w:r>
              <w:rPr>
                <w:rFonts w:ascii="Times New Roman" w:hAnsi="Times New Roman"/>
                <w:sz w:val="21"/>
              </w:rPr>
              <w:t>10</w:t>
            </w:r>
            <w:r>
              <w:rPr>
                <w:rFonts w:hint="eastAsia"/>
                <w:sz w:val="21"/>
              </w:rPr>
              <w:t>（</w:t>
            </w:r>
            <w:r>
              <w:rPr>
                <w:rFonts w:ascii="Times New Roman" w:hAnsi="Times New Roman"/>
                <w:sz w:val="21"/>
              </w:rPr>
              <w:t>Q1</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2"/>
              <w:rPr>
                <w:sz w:val="21"/>
              </w:rPr>
            </w:pPr>
            <w:r>
              <w:rPr>
                <w:rFonts w:hint="eastAsia"/>
                <w:sz w:val="21"/>
              </w:rPr>
              <w:t>一般</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9" w:right="112"/>
              <w:rPr>
                <w:sz w:val="21"/>
              </w:rPr>
            </w:pPr>
            <w:r>
              <w:rPr>
                <w:rFonts w:hint="eastAsia"/>
                <w:sz w:val="21"/>
              </w:rPr>
              <w:t>一般</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8" w:right="112"/>
              <w:rPr>
                <w:sz w:val="21"/>
              </w:rPr>
            </w:pPr>
            <w:r>
              <w:rPr>
                <w:rFonts w:hint="eastAsia"/>
                <w:sz w:val="21"/>
              </w:rPr>
              <w:t>较大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3"/>
              <w:ind w:left="127" w:right="111"/>
              <w:rPr>
                <w:sz w:val="21"/>
              </w:rPr>
            </w:pPr>
            <w:r>
              <w:rPr>
                <w:rFonts w:hint="eastAsia"/>
                <w:sz w:val="21"/>
              </w:rPr>
              <w:t>较大</w:t>
            </w:r>
          </w:p>
        </w:tc>
      </w:tr>
      <w:tr w:rsidR="00B04AE3">
        <w:trPr>
          <w:trHeight w:val="340"/>
        </w:trPr>
        <w:tc>
          <w:tcPr>
            <w:tcW w:w="1394" w:type="dxa"/>
            <w:vMerge/>
            <w:tcBorders>
              <w:top w:val="nil"/>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8"/>
              <w:ind w:left="47" w:right="28"/>
              <w:rPr>
                <w:sz w:val="21"/>
              </w:rPr>
            </w:pPr>
            <w:r>
              <w:rPr>
                <w:rFonts w:ascii="Times New Roman" w:hAnsi="Times New Roman"/>
                <w:sz w:val="21"/>
              </w:rPr>
              <w:t>10≤ Q</w:t>
            </w:r>
            <w:r>
              <w:rPr>
                <w:rFonts w:hint="eastAsia"/>
                <w:sz w:val="21"/>
              </w:rPr>
              <w:t>＜</w:t>
            </w:r>
            <w:r>
              <w:rPr>
                <w:rFonts w:ascii="Times New Roman" w:hAnsi="Times New Roman"/>
                <w:sz w:val="21"/>
              </w:rPr>
              <w:t>100</w:t>
            </w:r>
            <w:r>
              <w:rPr>
                <w:rFonts w:hint="eastAsia"/>
                <w:sz w:val="21"/>
              </w:rPr>
              <w:t>（</w:t>
            </w:r>
            <w:r>
              <w:rPr>
                <w:rFonts w:ascii="Times New Roman" w:hAnsi="Times New Roman"/>
                <w:sz w:val="21"/>
              </w:rPr>
              <w:t>Q2</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8"/>
              <w:ind w:left="130" w:right="112"/>
              <w:rPr>
                <w:sz w:val="21"/>
              </w:rPr>
            </w:pPr>
            <w:r>
              <w:rPr>
                <w:rFonts w:hint="eastAsia"/>
                <w:sz w:val="21"/>
              </w:rPr>
              <w:t>一般</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8"/>
              <w:ind w:left="129"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8"/>
              <w:ind w:left="128" w:right="112"/>
              <w:rPr>
                <w:sz w:val="21"/>
              </w:rPr>
            </w:pPr>
            <w:r>
              <w:rPr>
                <w:rFonts w:hint="eastAsia"/>
                <w:sz w:val="21"/>
              </w:rPr>
              <w:t>较大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8"/>
              <w:ind w:left="127" w:right="111"/>
              <w:rPr>
                <w:sz w:val="21"/>
              </w:rPr>
            </w:pPr>
            <w:r>
              <w:rPr>
                <w:rFonts w:hint="eastAsia"/>
                <w:sz w:val="21"/>
              </w:rPr>
              <w:t>重大</w:t>
            </w:r>
          </w:p>
        </w:tc>
      </w:tr>
      <w:tr w:rsidR="00B04AE3">
        <w:trPr>
          <w:trHeight w:val="344"/>
        </w:trPr>
        <w:tc>
          <w:tcPr>
            <w:tcW w:w="1394" w:type="dxa"/>
            <w:vMerge/>
            <w:tcBorders>
              <w:top w:val="nil"/>
              <w:right w:val="single" w:sz="4" w:space="0" w:color="000000"/>
            </w:tcBorders>
          </w:tcPr>
          <w:p w:rsidR="00B04AE3" w:rsidRDefault="00B04AE3">
            <w:pPr>
              <w:rPr>
                <w:sz w:val="2"/>
                <w:szCs w:val="2"/>
              </w:rPr>
            </w:pPr>
          </w:p>
        </w:tc>
        <w:tc>
          <w:tcPr>
            <w:tcW w:w="1858" w:type="dxa"/>
            <w:tcBorders>
              <w:top w:val="single" w:sz="4" w:space="0" w:color="000000"/>
              <w:left w:val="single" w:sz="4" w:space="0" w:color="000000"/>
              <w:right w:val="single" w:sz="4" w:space="0" w:color="000000"/>
            </w:tcBorders>
          </w:tcPr>
          <w:p w:rsidR="00B04AE3" w:rsidRDefault="00B04AE3">
            <w:pPr>
              <w:pStyle w:val="TableParagraph"/>
              <w:spacing w:before="38"/>
              <w:ind w:left="47" w:right="28"/>
              <w:rPr>
                <w:sz w:val="21"/>
              </w:rPr>
            </w:pPr>
            <w:r>
              <w:rPr>
                <w:rFonts w:ascii="Times New Roman" w:hAnsi="Times New Roman"/>
                <w:sz w:val="21"/>
              </w:rPr>
              <w:t>Q≥ 100</w:t>
            </w:r>
            <w:r>
              <w:rPr>
                <w:rFonts w:hint="eastAsia"/>
                <w:sz w:val="21"/>
              </w:rPr>
              <w:t>（</w:t>
            </w:r>
            <w:r>
              <w:rPr>
                <w:rFonts w:ascii="Times New Roman" w:hAnsi="Times New Roman"/>
                <w:sz w:val="21"/>
              </w:rPr>
              <w:t>Q3</w:t>
            </w:r>
            <w:r>
              <w:rPr>
                <w:rFonts w:hint="eastAsia"/>
                <w:sz w:val="21"/>
              </w:rPr>
              <w:t>）</w:t>
            </w:r>
          </w:p>
        </w:tc>
        <w:tc>
          <w:tcPr>
            <w:tcW w:w="1270" w:type="dxa"/>
            <w:tcBorders>
              <w:top w:val="single" w:sz="4" w:space="0" w:color="000000"/>
              <w:left w:val="single" w:sz="4" w:space="0" w:color="000000"/>
              <w:right w:val="single" w:sz="4" w:space="0" w:color="000000"/>
            </w:tcBorders>
          </w:tcPr>
          <w:p w:rsidR="00B04AE3" w:rsidRDefault="00B04AE3">
            <w:pPr>
              <w:pStyle w:val="TableParagraph"/>
              <w:spacing w:before="38"/>
              <w:ind w:left="130" w:right="112"/>
              <w:rPr>
                <w:sz w:val="21"/>
              </w:rPr>
            </w:pPr>
            <w:r>
              <w:rPr>
                <w:rFonts w:hint="eastAsia"/>
                <w:sz w:val="21"/>
              </w:rPr>
              <w:t>较大</w:t>
            </w:r>
          </w:p>
        </w:tc>
        <w:tc>
          <w:tcPr>
            <w:tcW w:w="1270" w:type="dxa"/>
            <w:tcBorders>
              <w:top w:val="single" w:sz="4" w:space="0" w:color="000000"/>
              <w:left w:val="single" w:sz="4" w:space="0" w:color="000000"/>
              <w:right w:val="single" w:sz="4" w:space="0" w:color="000000"/>
            </w:tcBorders>
          </w:tcPr>
          <w:p w:rsidR="00B04AE3" w:rsidRDefault="00B04AE3">
            <w:pPr>
              <w:pStyle w:val="TableParagraph"/>
              <w:spacing w:before="38"/>
              <w:ind w:left="129" w:right="112"/>
              <w:rPr>
                <w:sz w:val="21"/>
              </w:rPr>
            </w:pPr>
            <w:r>
              <w:rPr>
                <w:rFonts w:hint="eastAsia"/>
                <w:sz w:val="21"/>
              </w:rPr>
              <w:t>较大</w:t>
            </w:r>
          </w:p>
        </w:tc>
        <w:tc>
          <w:tcPr>
            <w:tcW w:w="1270" w:type="dxa"/>
            <w:tcBorders>
              <w:top w:val="single" w:sz="4" w:space="0" w:color="000000"/>
              <w:left w:val="single" w:sz="4" w:space="0" w:color="000000"/>
              <w:right w:val="single" w:sz="4" w:space="0" w:color="000000"/>
            </w:tcBorders>
          </w:tcPr>
          <w:p w:rsidR="00B04AE3" w:rsidRDefault="00B04AE3">
            <w:pPr>
              <w:pStyle w:val="TableParagraph"/>
              <w:spacing w:before="38"/>
              <w:ind w:left="128" w:right="112"/>
              <w:rPr>
                <w:sz w:val="21"/>
              </w:rPr>
            </w:pPr>
            <w:r>
              <w:rPr>
                <w:rFonts w:hint="eastAsia"/>
                <w:sz w:val="21"/>
              </w:rPr>
              <w:t>重大</w:t>
            </w:r>
          </w:p>
        </w:tc>
        <w:tc>
          <w:tcPr>
            <w:tcW w:w="1270" w:type="dxa"/>
            <w:tcBorders>
              <w:top w:val="single" w:sz="4" w:space="0" w:color="000000"/>
              <w:left w:val="single" w:sz="4" w:space="0" w:color="000000"/>
            </w:tcBorders>
          </w:tcPr>
          <w:p w:rsidR="00B04AE3" w:rsidRDefault="00B04AE3">
            <w:pPr>
              <w:pStyle w:val="TableParagraph"/>
              <w:spacing w:before="38"/>
              <w:ind w:left="127" w:right="111"/>
              <w:rPr>
                <w:sz w:val="21"/>
              </w:rPr>
            </w:pPr>
            <w:r>
              <w:rPr>
                <w:rFonts w:hint="eastAsia"/>
                <w:sz w:val="21"/>
              </w:rPr>
              <w:t>重大</w:t>
            </w:r>
          </w:p>
        </w:tc>
      </w:tr>
    </w:tbl>
    <w:p w:rsidR="00B04AE3" w:rsidRDefault="00B04AE3">
      <w:pPr>
        <w:pStyle w:val="Heading3"/>
        <w:tabs>
          <w:tab w:val="left" w:pos="1338"/>
        </w:tabs>
        <w:spacing w:before="1"/>
        <w:ind w:left="797"/>
      </w:pPr>
      <w:bookmarkStart w:id="363" w:name="6.1.4突发大气环境风险等级表征"/>
      <w:bookmarkStart w:id="364" w:name="_bookmark129"/>
      <w:bookmarkEnd w:id="363"/>
      <w:bookmarkEnd w:id="364"/>
      <w:r>
        <w:rPr>
          <w:lang w:val="en-US"/>
        </w:rPr>
        <w:t>6.1.5</w:t>
      </w:r>
      <w:r>
        <w:rPr>
          <w:rFonts w:hint="eastAsia"/>
        </w:rPr>
        <w:t>突发大气环境风险等级表征</w:t>
      </w:r>
    </w:p>
    <w:p w:rsidR="00B04AE3" w:rsidRDefault="00B04AE3">
      <w:pPr>
        <w:pStyle w:val="BodyText"/>
        <w:spacing w:before="161"/>
        <w:ind w:left="1277"/>
      </w:pPr>
      <w:r>
        <w:rPr>
          <w:rFonts w:hint="eastAsia"/>
        </w:rPr>
        <w:t>企业突发大气环境事件风险等级表征分为两种情况：</w:t>
      </w:r>
    </w:p>
    <w:p w:rsidR="00B04AE3" w:rsidRDefault="00B04AE3">
      <w:pPr>
        <w:pStyle w:val="ListParagraph"/>
        <w:tabs>
          <w:tab w:val="left" w:pos="1759"/>
        </w:tabs>
        <w:spacing w:before="158"/>
        <w:ind w:left="1157" w:firstLine="0"/>
        <w:rPr>
          <w:sz w:val="24"/>
        </w:rPr>
      </w:pPr>
      <w:r>
        <w:rPr>
          <w:rFonts w:hint="eastAsia"/>
          <w:sz w:val="24"/>
        </w:rPr>
        <w:t>⑴</w:t>
      </w:r>
      <w:r>
        <w:rPr>
          <w:rFonts w:ascii="Times New Roman" w:hAnsi="Times New Roman"/>
          <w:sz w:val="24"/>
        </w:rPr>
        <w:t>Q</w:t>
      </w:r>
      <w:r>
        <w:rPr>
          <w:rFonts w:hint="eastAsia"/>
          <w:sz w:val="24"/>
        </w:rPr>
        <w:t>＜</w:t>
      </w:r>
      <w:r>
        <w:rPr>
          <w:rFonts w:ascii="Times New Roman" w:hAnsi="Times New Roman"/>
          <w:sz w:val="24"/>
        </w:rPr>
        <w:t>1</w:t>
      </w:r>
      <w:r>
        <w:rPr>
          <w:rFonts w:ascii="Times New Roman" w:hAnsi="Times New Roman"/>
          <w:spacing w:val="-1"/>
          <w:sz w:val="24"/>
        </w:rPr>
        <w:t xml:space="preserve"> </w:t>
      </w:r>
      <w:r>
        <w:rPr>
          <w:rFonts w:hint="eastAsia"/>
          <w:sz w:val="24"/>
        </w:rPr>
        <w:t>时，企业突发大气环境事件风险等级表示为</w:t>
      </w:r>
      <w:r>
        <w:rPr>
          <w:rFonts w:ascii="Times New Roman" w:hAnsi="Times New Roman"/>
          <w:sz w:val="24"/>
        </w:rPr>
        <w:t>“</w:t>
      </w:r>
      <w:r>
        <w:rPr>
          <w:rFonts w:hint="eastAsia"/>
          <w:sz w:val="24"/>
        </w:rPr>
        <w:t>一般</w:t>
      </w:r>
      <w:r>
        <w:rPr>
          <w:rFonts w:ascii="Times New Roman" w:hAnsi="Times New Roman"/>
          <w:sz w:val="24"/>
        </w:rPr>
        <w:t>-</w:t>
      </w:r>
      <w:r>
        <w:rPr>
          <w:rFonts w:hint="eastAsia"/>
          <w:sz w:val="24"/>
        </w:rPr>
        <w:t>大气（</w:t>
      </w:r>
      <w:r>
        <w:rPr>
          <w:rFonts w:ascii="Times New Roman" w:hAnsi="Times New Roman"/>
          <w:sz w:val="24"/>
        </w:rPr>
        <w:t>Q0</w:t>
      </w:r>
      <w:r>
        <w:rPr>
          <w:rFonts w:hint="eastAsia"/>
          <w:sz w:val="24"/>
        </w:rPr>
        <w:t>）</w:t>
      </w:r>
      <w:r>
        <w:rPr>
          <w:rFonts w:ascii="Times New Roman" w:hAnsi="Times New Roman"/>
          <w:sz w:val="24"/>
        </w:rPr>
        <w:t>”</w:t>
      </w:r>
      <w:r>
        <w:rPr>
          <w:rFonts w:hint="eastAsia"/>
          <w:sz w:val="24"/>
        </w:rPr>
        <w:t>。</w:t>
      </w:r>
    </w:p>
    <w:p w:rsidR="00B04AE3" w:rsidRDefault="00B04AE3">
      <w:pPr>
        <w:pStyle w:val="ListParagraph"/>
        <w:tabs>
          <w:tab w:val="left" w:pos="1759"/>
        </w:tabs>
        <w:spacing w:before="160" w:line="362" w:lineRule="auto"/>
        <w:ind w:left="1157" w:right="792" w:firstLine="0"/>
        <w:rPr>
          <w:sz w:val="24"/>
        </w:rPr>
      </w:pPr>
      <w:r>
        <w:rPr>
          <w:rFonts w:hint="eastAsia"/>
          <w:sz w:val="24"/>
        </w:rPr>
        <w:t>⑵</w:t>
      </w:r>
      <w:r>
        <w:rPr>
          <w:rFonts w:ascii="Times New Roman" w:hAnsi="Times New Roman"/>
          <w:sz w:val="24"/>
        </w:rPr>
        <w:t xml:space="preserve">Q≥1 </w:t>
      </w:r>
      <w:r>
        <w:rPr>
          <w:rFonts w:hint="eastAsia"/>
          <w:spacing w:val="-9"/>
          <w:sz w:val="24"/>
        </w:rPr>
        <w:t>时，企业突发大气环境事件风险等级表示为</w:t>
      </w:r>
      <w:r>
        <w:rPr>
          <w:rFonts w:ascii="Times New Roman" w:hAnsi="Times New Roman"/>
          <w:sz w:val="24"/>
        </w:rPr>
        <w:t>“</w:t>
      </w:r>
      <w:r>
        <w:rPr>
          <w:rFonts w:hint="eastAsia"/>
          <w:sz w:val="24"/>
        </w:rPr>
        <w:t>环境风险等级</w:t>
      </w:r>
      <w:r>
        <w:rPr>
          <w:rFonts w:ascii="Times New Roman" w:hAnsi="Times New Roman"/>
          <w:sz w:val="24"/>
        </w:rPr>
        <w:t>-</w:t>
      </w:r>
      <w:r>
        <w:rPr>
          <w:rFonts w:hint="eastAsia"/>
          <w:spacing w:val="-33"/>
          <w:sz w:val="24"/>
        </w:rPr>
        <w:t>大气</w:t>
      </w:r>
      <w:r>
        <w:rPr>
          <w:rFonts w:hint="eastAsia"/>
          <w:spacing w:val="-11"/>
          <w:sz w:val="24"/>
        </w:rPr>
        <w:t>（</w:t>
      </w:r>
      <w:r>
        <w:rPr>
          <w:rFonts w:ascii="Times New Roman" w:hAnsi="Times New Roman"/>
          <w:spacing w:val="-11"/>
          <w:sz w:val="24"/>
        </w:rPr>
        <w:t>Q</w:t>
      </w:r>
      <w:r>
        <w:rPr>
          <w:rFonts w:hint="eastAsia"/>
          <w:sz w:val="24"/>
        </w:rPr>
        <w:t>水平</w:t>
      </w:r>
      <w:r>
        <w:rPr>
          <w:rFonts w:ascii="Times New Roman" w:hAnsi="Times New Roman"/>
          <w:sz w:val="24"/>
        </w:rPr>
        <w:t xml:space="preserve">-M </w:t>
      </w:r>
      <w:r>
        <w:rPr>
          <w:rFonts w:hint="eastAsia"/>
          <w:sz w:val="24"/>
        </w:rPr>
        <w:t>类型</w:t>
      </w:r>
      <w:r>
        <w:rPr>
          <w:rFonts w:ascii="Times New Roman" w:hAnsi="Times New Roman"/>
          <w:sz w:val="24"/>
        </w:rPr>
        <w:t>-E</w:t>
      </w:r>
      <w:r>
        <w:rPr>
          <w:rFonts w:ascii="Times New Roman" w:hAnsi="Times New Roman"/>
          <w:spacing w:val="-1"/>
          <w:sz w:val="24"/>
        </w:rPr>
        <w:t xml:space="preserve"> </w:t>
      </w:r>
      <w:r>
        <w:rPr>
          <w:rFonts w:hint="eastAsia"/>
          <w:sz w:val="24"/>
        </w:rPr>
        <w:t>类型）</w:t>
      </w:r>
      <w:r>
        <w:rPr>
          <w:rFonts w:ascii="Times New Roman" w:hAnsi="Times New Roman"/>
          <w:sz w:val="24"/>
        </w:rPr>
        <w:t>”</w:t>
      </w:r>
      <w:r>
        <w:rPr>
          <w:rFonts w:hint="eastAsia"/>
          <w:sz w:val="24"/>
        </w:rPr>
        <w:t>。</w:t>
      </w:r>
    </w:p>
    <w:p w:rsidR="00B04AE3" w:rsidRDefault="00B04AE3">
      <w:pPr>
        <w:pStyle w:val="BodyText"/>
        <w:spacing w:before="5" w:line="362" w:lineRule="auto"/>
        <w:ind w:left="797" w:right="795" w:firstLine="480"/>
        <w:jc w:val="both"/>
      </w:pPr>
      <w:r>
        <w:rPr>
          <w:rFonts w:hint="eastAsia"/>
          <w:spacing w:val="-11"/>
        </w:rPr>
        <w:t>根据以上统计，南昌海立电器有限公司突发大气环境事件风险等级表示</w:t>
      </w:r>
      <w:r>
        <w:rPr>
          <w:rFonts w:hint="eastAsia"/>
        </w:rPr>
        <w:t>为</w:t>
      </w:r>
      <w:r>
        <w:rPr>
          <w:rFonts w:ascii="Times New Roman" w:hAnsi="Times New Roman"/>
        </w:rPr>
        <w:t>“</w:t>
      </w:r>
      <w:r>
        <w:rPr>
          <w:rFonts w:hint="eastAsia"/>
        </w:rPr>
        <w:t>一般</w:t>
      </w:r>
      <w:r>
        <w:rPr>
          <w:rFonts w:ascii="Times New Roman" w:hAnsi="Times New Roman"/>
        </w:rPr>
        <w:t>-</w:t>
      </w:r>
      <w:r>
        <w:rPr>
          <w:rFonts w:hint="eastAsia"/>
        </w:rPr>
        <w:t>大气（</w:t>
      </w:r>
      <w:r>
        <w:rPr>
          <w:rFonts w:ascii="Times New Roman" w:hAnsi="Times New Roman"/>
        </w:rPr>
        <w:t>Q0</w:t>
      </w:r>
      <w:r>
        <w:rPr>
          <w:rFonts w:hint="eastAsia"/>
        </w:rPr>
        <w:t>）</w:t>
      </w:r>
      <w:r>
        <w:rPr>
          <w:rFonts w:ascii="Times New Roman" w:hAnsi="Times New Roman"/>
        </w:rPr>
        <w:t>”</w:t>
      </w:r>
      <w:r>
        <w:rPr>
          <w:rFonts w:hint="eastAsia"/>
        </w:rPr>
        <w:t>。</w:t>
      </w:r>
      <w:bookmarkStart w:id="365" w:name="6.2_突发水环境事件风险分级"/>
      <w:bookmarkStart w:id="366" w:name="_bookmark130"/>
      <w:bookmarkEnd w:id="365"/>
      <w:bookmarkEnd w:id="366"/>
    </w:p>
    <w:p w:rsidR="00B04AE3" w:rsidRDefault="00B04AE3">
      <w:pPr>
        <w:pStyle w:val="Heading3"/>
        <w:numPr>
          <w:ilvl w:val="2"/>
          <w:numId w:val="48"/>
        </w:numPr>
        <w:tabs>
          <w:tab w:val="left" w:pos="1338"/>
        </w:tabs>
        <w:spacing w:before="1"/>
      </w:pPr>
      <w:bookmarkStart w:id="367" w:name="6.2.1突发水环境事件风险分级"/>
      <w:bookmarkStart w:id="368" w:name="_bookmark131"/>
      <w:bookmarkEnd w:id="367"/>
      <w:bookmarkEnd w:id="368"/>
      <w:r>
        <w:rPr>
          <w:rFonts w:hint="eastAsia"/>
        </w:rPr>
        <w:t>突发水环境事件风险分级</w:t>
      </w:r>
    </w:p>
    <w:p w:rsidR="00B04AE3" w:rsidRDefault="00B04AE3">
      <w:pPr>
        <w:spacing w:before="172"/>
        <w:ind w:left="1277"/>
        <w:rPr>
          <w:b/>
          <w:sz w:val="24"/>
        </w:rPr>
      </w:pPr>
      <w:r>
        <w:rPr>
          <w:rFonts w:ascii="Times New Roman" w:eastAsia="Times New Roman"/>
          <w:b/>
          <w:sz w:val="24"/>
        </w:rPr>
        <w:t>1</w:t>
      </w:r>
      <w:r>
        <w:rPr>
          <w:rFonts w:hint="eastAsia"/>
          <w:b/>
          <w:sz w:val="24"/>
        </w:rPr>
        <w:t>、计算涉水风险物质数量与临界量比值（</w:t>
      </w:r>
      <w:r>
        <w:rPr>
          <w:rFonts w:ascii="Times New Roman" w:eastAsia="Times New Roman"/>
          <w:b/>
          <w:sz w:val="24"/>
        </w:rPr>
        <w:t>Q</w:t>
      </w:r>
      <w:r>
        <w:rPr>
          <w:rFonts w:hint="eastAsia"/>
          <w:b/>
          <w:sz w:val="24"/>
        </w:rPr>
        <w:t>）</w:t>
      </w:r>
    </w:p>
    <w:p w:rsidR="00B04AE3" w:rsidRDefault="00B04AE3">
      <w:pPr>
        <w:pStyle w:val="BodyText"/>
        <w:spacing w:line="364" w:lineRule="auto"/>
        <w:ind w:left="797" w:right="675" w:firstLine="480"/>
        <w:jc w:val="both"/>
      </w:pPr>
      <w:r>
        <w:rPr>
          <w:rFonts w:hint="eastAsia"/>
        </w:rPr>
        <w:t>涉水风险物质包括附录</w:t>
      </w:r>
      <w:r>
        <w:t xml:space="preserve"> A </w:t>
      </w:r>
      <w:r>
        <w:rPr>
          <w:rFonts w:hint="eastAsia"/>
        </w:rPr>
        <w:t>中的第三、第四、第五、第六、第七和第八部分全部风险物质，以及第一、第二部分中溶于水和遇水发生反应的风险物质，具体包括：溶于水的硒化氢、甲醛、乙二腈、二氧化氯、氯化氢、氨、环氧乙烷、甲胺、丁烷、二甲胺、一氧化二氯，砷化氢、二氧化氮、三甲胺、二氧化硫、三氟化硼、硅烷、溴化氢、氯化氰、乙胺、二甲醚，以及遇水发生反应的乙烯酮、氟、四氟化硫、三氟溴乙烯。</w:t>
      </w:r>
    </w:p>
    <w:p w:rsidR="00B04AE3" w:rsidRDefault="00B04AE3">
      <w:pPr>
        <w:pStyle w:val="BodyText"/>
        <w:spacing w:line="364" w:lineRule="auto"/>
        <w:ind w:left="797" w:right="675" w:firstLine="480"/>
        <w:jc w:val="both"/>
      </w:pPr>
      <w:r>
        <w:rPr>
          <w:rFonts w:hint="eastAsia"/>
        </w:rPr>
        <w:t>判断企业生产原料、产品、中间产品、副产品、催化剂、辅助生产物料、“三废”污染物等是否涉及水环境风险物质，计算涉水风险物质（混合或稀释的风险物质按其组分比例折算成纯物质）与其临界量的比值</w:t>
      </w:r>
      <w:r>
        <w:t xml:space="preserve"> Q</w:t>
      </w:r>
      <w:r>
        <w:rPr>
          <w:rFonts w:hint="eastAsia"/>
        </w:rPr>
        <w:t>。</w:t>
      </w:r>
    </w:p>
    <w:p w:rsidR="00B04AE3" w:rsidRDefault="00B04AE3">
      <w:pPr>
        <w:spacing w:before="1" w:after="29"/>
        <w:ind w:left="1880"/>
        <w:rPr>
          <w:b/>
          <w:sz w:val="24"/>
        </w:rPr>
      </w:pPr>
      <w:r>
        <w:rPr>
          <w:rFonts w:hint="eastAsia"/>
          <w:b/>
          <w:sz w:val="24"/>
        </w:rPr>
        <w:t>表</w:t>
      </w:r>
      <w:r>
        <w:rPr>
          <w:b/>
          <w:sz w:val="24"/>
        </w:rPr>
        <w:t xml:space="preserve"> </w:t>
      </w:r>
      <w:r>
        <w:rPr>
          <w:rFonts w:ascii="Times New Roman" w:eastAsia="Times New Roman"/>
          <w:b/>
          <w:sz w:val="24"/>
        </w:rPr>
        <w:t xml:space="preserve">6.2-1  </w:t>
      </w:r>
      <w:r>
        <w:rPr>
          <w:rFonts w:hint="eastAsia"/>
          <w:b/>
          <w:sz w:val="24"/>
        </w:rPr>
        <w:t>涉水风险物质数量与临界量比值（</w:t>
      </w:r>
      <w:r>
        <w:rPr>
          <w:rFonts w:ascii="Times New Roman" w:eastAsia="Times New Roman"/>
          <w:b/>
          <w:sz w:val="24"/>
        </w:rPr>
        <w:t>Q</w:t>
      </w:r>
      <w:r>
        <w:rPr>
          <w:rFonts w:hint="eastAsia"/>
          <w:b/>
          <w:sz w:val="24"/>
        </w:rPr>
        <w:t>）汇总计算表</w:t>
      </w:r>
    </w:p>
    <w:tbl>
      <w:tblPr>
        <w:tblW w:w="8220" w:type="dxa"/>
        <w:tblInd w:w="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774"/>
        <w:gridCol w:w="1261"/>
        <w:gridCol w:w="1498"/>
        <w:gridCol w:w="1700"/>
        <w:gridCol w:w="1015"/>
        <w:gridCol w:w="1198"/>
        <w:gridCol w:w="774"/>
      </w:tblGrid>
      <w:tr w:rsidR="00B04AE3">
        <w:trPr>
          <w:trHeight w:val="658"/>
        </w:trPr>
        <w:tc>
          <w:tcPr>
            <w:tcW w:w="774" w:type="dxa"/>
            <w:shd w:val="clear" w:color="auto" w:fill="DFDFDF"/>
          </w:tcPr>
          <w:p w:rsidR="00B04AE3" w:rsidRDefault="00B04AE3">
            <w:pPr>
              <w:pStyle w:val="TableParagraph"/>
              <w:spacing w:before="176"/>
              <w:ind w:left="81" w:right="74"/>
              <w:rPr>
                <w:b/>
                <w:sz w:val="21"/>
              </w:rPr>
            </w:pPr>
            <w:r>
              <w:rPr>
                <w:rFonts w:hint="eastAsia"/>
                <w:b/>
                <w:sz w:val="21"/>
              </w:rPr>
              <w:t>序号</w:t>
            </w:r>
          </w:p>
        </w:tc>
        <w:tc>
          <w:tcPr>
            <w:tcW w:w="1261" w:type="dxa"/>
            <w:shd w:val="clear" w:color="auto" w:fill="DFDFDF"/>
          </w:tcPr>
          <w:p w:rsidR="00B04AE3" w:rsidRDefault="00B04AE3">
            <w:pPr>
              <w:pStyle w:val="TableParagraph"/>
              <w:spacing w:before="176"/>
              <w:ind w:left="175" w:right="165"/>
              <w:rPr>
                <w:b/>
                <w:sz w:val="21"/>
              </w:rPr>
            </w:pPr>
            <w:r>
              <w:rPr>
                <w:rFonts w:hint="eastAsia"/>
                <w:b/>
                <w:sz w:val="21"/>
              </w:rPr>
              <w:t>名称</w:t>
            </w:r>
          </w:p>
        </w:tc>
        <w:tc>
          <w:tcPr>
            <w:tcW w:w="1498" w:type="dxa"/>
            <w:shd w:val="clear" w:color="auto" w:fill="DFDFDF"/>
          </w:tcPr>
          <w:p w:rsidR="00B04AE3" w:rsidRDefault="00B04AE3">
            <w:pPr>
              <w:pStyle w:val="TableParagraph"/>
              <w:spacing w:before="176"/>
              <w:ind w:left="149" w:right="141"/>
              <w:rPr>
                <w:b/>
                <w:sz w:val="21"/>
              </w:rPr>
            </w:pPr>
            <w:r>
              <w:rPr>
                <w:rFonts w:ascii="Times New Roman" w:eastAsia="Times New Roman"/>
                <w:b/>
                <w:sz w:val="21"/>
              </w:rPr>
              <w:t xml:space="preserve">CAS </w:t>
            </w:r>
            <w:r>
              <w:rPr>
                <w:rFonts w:hint="eastAsia"/>
                <w:b/>
                <w:sz w:val="21"/>
              </w:rPr>
              <w:t>号</w:t>
            </w:r>
          </w:p>
        </w:tc>
        <w:tc>
          <w:tcPr>
            <w:tcW w:w="1700" w:type="dxa"/>
            <w:shd w:val="clear" w:color="auto" w:fill="DFDFDF"/>
          </w:tcPr>
          <w:p w:rsidR="00B04AE3" w:rsidRDefault="00B04AE3">
            <w:pPr>
              <w:pStyle w:val="TableParagraph"/>
              <w:spacing w:before="20"/>
              <w:ind w:left="142" w:right="132"/>
              <w:rPr>
                <w:b/>
                <w:sz w:val="21"/>
              </w:rPr>
            </w:pPr>
            <w:r>
              <w:rPr>
                <w:rFonts w:hint="eastAsia"/>
                <w:b/>
                <w:sz w:val="21"/>
              </w:rPr>
              <w:t>最大贮存量</w:t>
            </w:r>
          </w:p>
          <w:p w:rsidR="00B04AE3" w:rsidRDefault="00B04AE3">
            <w:pPr>
              <w:pStyle w:val="TableParagraph"/>
              <w:spacing w:before="42"/>
              <w:ind w:left="142" w:right="132"/>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015" w:type="dxa"/>
            <w:shd w:val="clear" w:color="auto" w:fill="DFDFDF"/>
          </w:tcPr>
          <w:p w:rsidR="00B04AE3" w:rsidRDefault="00B04AE3">
            <w:pPr>
              <w:pStyle w:val="TableParagraph"/>
              <w:spacing w:before="20"/>
              <w:ind w:left="96"/>
              <w:jc w:val="left"/>
              <w:rPr>
                <w:b/>
                <w:sz w:val="21"/>
              </w:rPr>
            </w:pPr>
            <w:r>
              <w:rPr>
                <w:rFonts w:hint="eastAsia"/>
                <w:b/>
                <w:w w:val="95"/>
                <w:sz w:val="21"/>
              </w:rPr>
              <w:t>临界量</w:t>
            </w:r>
          </w:p>
          <w:p w:rsidR="00B04AE3" w:rsidRDefault="00B04AE3">
            <w:pPr>
              <w:pStyle w:val="TableParagraph"/>
              <w:spacing w:before="42"/>
              <w:ind w:left="84"/>
              <w:jc w:val="left"/>
              <w:rPr>
                <w:b/>
                <w:sz w:val="21"/>
              </w:rPr>
            </w:pPr>
            <w:r>
              <w:rPr>
                <w:rFonts w:ascii="Times New Roman" w:eastAsia="Times New Roman"/>
                <w:b/>
                <w:sz w:val="21"/>
              </w:rPr>
              <w:t>Q</w:t>
            </w:r>
            <w:r>
              <w:rPr>
                <w:rFonts w:hint="eastAsia"/>
                <w:b/>
                <w:sz w:val="21"/>
              </w:rPr>
              <w:t>（</w:t>
            </w:r>
            <w:r>
              <w:rPr>
                <w:rFonts w:ascii="Times New Roman" w:eastAsia="Times New Roman"/>
                <w:b/>
                <w:sz w:val="21"/>
              </w:rPr>
              <w:t>t</w:t>
            </w:r>
            <w:r>
              <w:rPr>
                <w:rFonts w:hint="eastAsia"/>
                <w:b/>
                <w:sz w:val="21"/>
              </w:rPr>
              <w:t>）</w:t>
            </w:r>
          </w:p>
        </w:tc>
        <w:tc>
          <w:tcPr>
            <w:tcW w:w="1198" w:type="dxa"/>
            <w:shd w:val="clear" w:color="auto" w:fill="DFDFDF"/>
          </w:tcPr>
          <w:p w:rsidR="00B04AE3" w:rsidRDefault="00B04AE3">
            <w:pPr>
              <w:pStyle w:val="TableParagraph"/>
              <w:spacing w:before="189"/>
              <w:ind w:left="70" w:right="62"/>
              <w:rPr>
                <w:rFonts w:ascii="Times New Roman"/>
                <w:b/>
                <w:sz w:val="21"/>
              </w:rPr>
            </w:pPr>
            <w:r>
              <w:rPr>
                <w:rFonts w:ascii="Times New Roman"/>
                <w:b/>
                <w:sz w:val="21"/>
              </w:rPr>
              <w:t>q/Q</w:t>
            </w:r>
          </w:p>
        </w:tc>
        <w:tc>
          <w:tcPr>
            <w:tcW w:w="774" w:type="dxa"/>
            <w:shd w:val="clear" w:color="auto" w:fill="DFDFDF"/>
          </w:tcPr>
          <w:p w:rsidR="00B04AE3" w:rsidRDefault="00B04AE3">
            <w:pPr>
              <w:pStyle w:val="TableParagraph"/>
              <w:spacing w:before="20"/>
              <w:ind w:left="103"/>
              <w:jc w:val="left"/>
              <w:rPr>
                <w:b/>
                <w:sz w:val="21"/>
              </w:rPr>
            </w:pPr>
            <w:r>
              <w:rPr>
                <w:rFonts w:hint="eastAsia"/>
                <w:b/>
                <w:w w:val="95"/>
                <w:sz w:val="21"/>
              </w:rPr>
              <w:t>储存</w:t>
            </w:r>
          </w:p>
          <w:p w:rsidR="00B04AE3" w:rsidRDefault="00B04AE3">
            <w:pPr>
              <w:pStyle w:val="TableParagraph"/>
              <w:spacing w:before="42"/>
              <w:ind w:left="103"/>
              <w:jc w:val="left"/>
              <w:rPr>
                <w:b/>
                <w:sz w:val="21"/>
              </w:rPr>
            </w:pPr>
            <w:r>
              <w:rPr>
                <w:rFonts w:hint="eastAsia"/>
                <w:b/>
                <w:w w:val="95"/>
                <w:sz w:val="21"/>
              </w:rPr>
              <w:t>方式</w:t>
            </w:r>
          </w:p>
        </w:tc>
      </w:tr>
      <w:tr w:rsidR="00B04AE3">
        <w:trPr>
          <w:trHeight w:val="576"/>
        </w:trPr>
        <w:tc>
          <w:tcPr>
            <w:tcW w:w="774" w:type="dxa"/>
          </w:tcPr>
          <w:p w:rsidR="00B04AE3" w:rsidRDefault="00B04AE3">
            <w:pPr>
              <w:pStyle w:val="TableParagraph"/>
              <w:spacing w:before="151"/>
              <w:ind w:left="8"/>
              <w:rPr>
                <w:rFonts w:ascii="Times New Roman"/>
                <w:sz w:val="21"/>
              </w:rPr>
            </w:pPr>
            <w:r>
              <w:rPr>
                <w:rFonts w:ascii="Times New Roman"/>
                <w:w w:val="99"/>
                <w:sz w:val="21"/>
              </w:rPr>
              <w:t>1</w:t>
            </w:r>
          </w:p>
        </w:tc>
        <w:tc>
          <w:tcPr>
            <w:tcW w:w="1261" w:type="dxa"/>
          </w:tcPr>
          <w:p w:rsidR="00B04AE3" w:rsidRDefault="00B04AE3">
            <w:pPr>
              <w:pStyle w:val="TableParagraph"/>
              <w:spacing w:before="137"/>
              <w:ind w:left="175" w:right="168"/>
              <w:rPr>
                <w:sz w:val="21"/>
              </w:rPr>
            </w:pPr>
            <w:r>
              <w:rPr>
                <w:rFonts w:hint="eastAsia"/>
                <w:sz w:val="21"/>
              </w:rPr>
              <w:t>硫酸</w:t>
            </w:r>
          </w:p>
        </w:tc>
        <w:tc>
          <w:tcPr>
            <w:tcW w:w="1498" w:type="dxa"/>
          </w:tcPr>
          <w:p w:rsidR="00B04AE3" w:rsidRDefault="00B04AE3">
            <w:pPr>
              <w:pStyle w:val="TableParagraph"/>
              <w:spacing w:before="151"/>
              <w:ind w:left="149" w:right="142"/>
              <w:rPr>
                <w:rFonts w:ascii="Times New Roman"/>
                <w:sz w:val="21"/>
              </w:rPr>
            </w:pPr>
            <w:r>
              <w:rPr>
                <w:rFonts w:ascii="Times New Roman"/>
                <w:sz w:val="21"/>
              </w:rPr>
              <w:t>7664-93-9</w:t>
            </w:r>
          </w:p>
        </w:tc>
        <w:tc>
          <w:tcPr>
            <w:tcW w:w="1700" w:type="dxa"/>
          </w:tcPr>
          <w:p w:rsidR="00B04AE3" w:rsidRDefault="00B04AE3">
            <w:pPr>
              <w:pStyle w:val="TableParagraph"/>
              <w:spacing w:before="151"/>
              <w:ind w:left="9"/>
              <w:rPr>
                <w:rFonts w:ascii="Times New Roman"/>
                <w:sz w:val="21"/>
                <w:lang w:val="en-US"/>
              </w:rPr>
            </w:pPr>
            <w:r>
              <w:rPr>
                <w:rFonts w:ascii="Times New Roman"/>
                <w:w w:val="99"/>
                <w:sz w:val="21"/>
                <w:lang w:val="en-US"/>
              </w:rPr>
              <w:t>5</w:t>
            </w:r>
          </w:p>
        </w:tc>
        <w:tc>
          <w:tcPr>
            <w:tcW w:w="1015" w:type="dxa"/>
          </w:tcPr>
          <w:p w:rsidR="00B04AE3" w:rsidRDefault="00B04AE3">
            <w:pPr>
              <w:pStyle w:val="TableParagraph"/>
              <w:spacing w:before="146"/>
              <w:ind w:left="305"/>
              <w:jc w:val="left"/>
              <w:rPr>
                <w:rFonts w:ascii="Times New Roman"/>
                <w:sz w:val="21"/>
                <w:lang w:val="en-US"/>
              </w:rPr>
            </w:pPr>
            <w:r>
              <w:rPr>
                <w:rFonts w:ascii="Times New Roman"/>
                <w:sz w:val="21"/>
                <w:lang w:val="en-US"/>
              </w:rPr>
              <w:t>50</w:t>
            </w:r>
          </w:p>
        </w:tc>
        <w:tc>
          <w:tcPr>
            <w:tcW w:w="1198" w:type="dxa"/>
          </w:tcPr>
          <w:p w:rsidR="00B04AE3" w:rsidRDefault="00B04AE3">
            <w:pPr>
              <w:pStyle w:val="TableParagraph"/>
              <w:spacing w:before="151"/>
              <w:ind w:left="70" w:right="62"/>
              <w:rPr>
                <w:rFonts w:ascii="Times New Roman"/>
                <w:sz w:val="21"/>
              </w:rPr>
            </w:pPr>
            <w:r>
              <w:rPr>
                <w:rFonts w:ascii="Times New Roman"/>
                <w:sz w:val="21"/>
              </w:rPr>
              <w:t>0.</w:t>
            </w:r>
            <w:r>
              <w:rPr>
                <w:rFonts w:ascii="Times New Roman"/>
                <w:sz w:val="21"/>
                <w:lang w:val="en-US"/>
              </w:rPr>
              <w:t>1</w:t>
            </w:r>
          </w:p>
        </w:tc>
        <w:tc>
          <w:tcPr>
            <w:tcW w:w="774" w:type="dxa"/>
          </w:tcPr>
          <w:p w:rsidR="00B04AE3" w:rsidRDefault="00B04AE3">
            <w:pPr>
              <w:pStyle w:val="TableParagraph"/>
              <w:spacing w:before="2" w:line="254" w:lineRule="exact"/>
              <w:ind w:left="8"/>
              <w:rPr>
                <w:sz w:val="21"/>
              </w:rPr>
            </w:pPr>
            <w:r>
              <w:rPr>
                <w:rFonts w:hint="eastAsia"/>
                <w:sz w:val="21"/>
              </w:rPr>
              <w:t>钢瓶包装</w:t>
            </w:r>
          </w:p>
        </w:tc>
      </w:tr>
      <w:tr w:rsidR="00B04AE3">
        <w:trPr>
          <w:trHeight w:val="719"/>
        </w:trPr>
        <w:tc>
          <w:tcPr>
            <w:tcW w:w="774" w:type="dxa"/>
          </w:tcPr>
          <w:p w:rsidR="00B04AE3" w:rsidRDefault="00B04AE3">
            <w:pPr>
              <w:pStyle w:val="TableParagraph"/>
              <w:spacing w:before="150"/>
              <w:ind w:left="8"/>
              <w:rPr>
                <w:rFonts w:ascii="Times New Roman"/>
                <w:sz w:val="21"/>
              </w:rPr>
            </w:pPr>
            <w:r>
              <w:rPr>
                <w:rFonts w:ascii="Times New Roman"/>
                <w:w w:val="99"/>
                <w:sz w:val="21"/>
              </w:rPr>
              <w:t>2</w:t>
            </w:r>
          </w:p>
        </w:tc>
        <w:tc>
          <w:tcPr>
            <w:tcW w:w="1261" w:type="dxa"/>
          </w:tcPr>
          <w:p w:rsidR="00B04AE3" w:rsidRDefault="00B04AE3">
            <w:pPr>
              <w:pStyle w:val="TableParagraph"/>
              <w:spacing w:before="139"/>
              <w:ind w:right="320"/>
              <w:jc w:val="both"/>
              <w:rPr>
                <w:sz w:val="21"/>
              </w:rPr>
            </w:pPr>
            <w:r>
              <w:rPr>
                <w:rFonts w:hint="eastAsia"/>
                <w:sz w:val="21"/>
              </w:rPr>
              <w:t>氢氧化钠</w:t>
            </w:r>
          </w:p>
        </w:tc>
        <w:tc>
          <w:tcPr>
            <w:tcW w:w="1498" w:type="dxa"/>
          </w:tcPr>
          <w:p w:rsidR="00B04AE3" w:rsidRDefault="00B04AE3">
            <w:pPr>
              <w:pStyle w:val="TableParagraph"/>
              <w:spacing w:before="155"/>
              <w:ind w:right="181"/>
              <w:jc w:val="both"/>
              <w:rPr>
                <w:rFonts w:ascii="Times New Roman"/>
                <w:sz w:val="21"/>
              </w:rPr>
            </w:pPr>
            <w:r>
              <w:rPr>
                <w:color w:val="000000"/>
                <w:sz w:val="21"/>
                <w:szCs w:val="21"/>
              </w:rPr>
              <w:t>1310-73-2</w:t>
            </w:r>
          </w:p>
        </w:tc>
        <w:tc>
          <w:tcPr>
            <w:tcW w:w="1700" w:type="dxa"/>
          </w:tcPr>
          <w:p w:rsidR="00B04AE3" w:rsidRDefault="00B04AE3">
            <w:pPr>
              <w:pStyle w:val="TableParagraph"/>
              <w:spacing w:before="150"/>
              <w:ind w:left="141" w:right="132"/>
              <w:rPr>
                <w:rFonts w:ascii="Times New Roman"/>
                <w:sz w:val="21"/>
                <w:lang w:val="en-US"/>
              </w:rPr>
            </w:pPr>
            <w:r>
              <w:rPr>
                <w:rFonts w:ascii="Times New Roman"/>
                <w:sz w:val="21"/>
                <w:lang w:val="en-US"/>
              </w:rPr>
              <w:t>5</w:t>
            </w:r>
          </w:p>
        </w:tc>
        <w:tc>
          <w:tcPr>
            <w:tcW w:w="1015" w:type="dxa"/>
          </w:tcPr>
          <w:p w:rsidR="00B04AE3" w:rsidRDefault="00B04AE3">
            <w:pPr>
              <w:pStyle w:val="TableParagraph"/>
              <w:spacing w:before="150"/>
              <w:ind w:left="360"/>
              <w:jc w:val="left"/>
              <w:rPr>
                <w:rFonts w:ascii="Times New Roman"/>
                <w:sz w:val="21"/>
                <w:lang w:val="en-US"/>
              </w:rPr>
            </w:pPr>
            <w:r>
              <w:rPr>
                <w:rFonts w:ascii="Times New Roman"/>
                <w:w w:val="99"/>
                <w:sz w:val="21"/>
              </w:rPr>
              <w:t>5</w:t>
            </w:r>
            <w:r>
              <w:rPr>
                <w:rFonts w:ascii="Times New Roman"/>
                <w:w w:val="99"/>
                <w:sz w:val="21"/>
                <w:lang w:val="en-US"/>
              </w:rPr>
              <w:t>0</w:t>
            </w:r>
          </w:p>
        </w:tc>
        <w:tc>
          <w:tcPr>
            <w:tcW w:w="1198" w:type="dxa"/>
          </w:tcPr>
          <w:p w:rsidR="00B04AE3" w:rsidRDefault="00B04AE3">
            <w:pPr>
              <w:pStyle w:val="TableParagraph"/>
              <w:spacing w:before="150"/>
              <w:ind w:left="72" w:right="62"/>
              <w:rPr>
                <w:rFonts w:ascii="Times New Roman"/>
                <w:sz w:val="21"/>
              </w:rPr>
            </w:pPr>
            <w:r>
              <w:rPr>
                <w:rFonts w:ascii="Times New Roman"/>
                <w:sz w:val="21"/>
              </w:rPr>
              <w:t>0.</w:t>
            </w:r>
            <w:r>
              <w:rPr>
                <w:rFonts w:ascii="Times New Roman"/>
                <w:sz w:val="21"/>
                <w:lang w:val="en-US"/>
              </w:rPr>
              <w:t>1</w:t>
            </w:r>
          </w:p>
        </w:tc>
        <w:tc>
          <w:tcPr>
            <w:tcW w:w="774" w:type="dxa"/>
          </w:tcPr>
          <w:p w:rsidR="00B04AE3" w:rsidRDefault="00B04AE3">
            <w:pPr>
              <w:pStyle w:val="TableParagraph"/>
              <w:spacing w:line="269" w:lineRule="exact"/>
              <w:ind w:left="103"/>
              <w:jc w:val="left"/>
              <w:rPr>
                <w:sz w:val="21"/>
              </w:rPr>
            </w:pPr>
            <w:r>
              <w:rPr>
                <w:rFonts w:hint="eastAsia"/>
                <w:spacing w:val="-1"/>
                <w:w w:val="95"/>
                <w:sz w:val="21"/>
              </w:rPr>
              <w:t>钢瓶</w:t>
            </w:r>
          </w:p>
          <w:p w:rsidR="00B04AE3" w:rsidRDefault="00B04AE3">
            <w:pPr>
              <w:pStyle w:val="TableParagraph"/>
              <w:spacing w:before="4" w:line="251" w:lineRule="exact"/>
              <w:ind w:left="103"/>
              <w:jc w:val="left"/>
              <w:rPr>
                <w:sz w:val="21"/>
              </w:rPr>
            </w:pPr>
            <w:r>
              <w:rPr>
                <w:rFonts w:hint="eastAsia"/>
                <w:spacing w:val="-1"/>
                <w:w w:val="95"/>
                <w:sz w:val="21"/>
              </w:rPr>
              <w:t>包装</w:t>
            </w:r>
          </w:p>
        </w:tc>
      </w:tr>
      <w:tr w:rsidR="00B04AE3">
        <w:trPr>
          <w:trHeight w:val="457"/>
        </w:trPr>
        <w:tc>
          <w:tcPr>
            <w:tcW w:w="2035" w:type="dxa"/>
            <w:gridSpan w:val="2"/>
          </w:tcPr>
          <w:p w:rsidR="00B04AE3" w:rsidRDefault="00B04AE3">
            <w:pPr>
              <w:pStyle w:val="TableParagraph"/>
              <w:spacing w:before="74"/>
              <w:ind w:left="593" w:right="586"/>
              <w:rPr>
                <w:sz w:val="21"/>
              </w:rPr>
            </w:pPr>
            <w:r>
              <w:rPr>
                <w:rFonts w:hint="eastAsia"/>
                <w:sz w:val="21"/>
              </w:rPr>
              <w:t>合计</w:t>
            </w:r>
          </w:p>
        </w:tc>
        <w:tc>
          <w:tcPr>
            <w:tcW w:w="1498" w:type="dxa"/>
          </w:tcPr>
          <w:p w:rsidR="00B04AE3" w:rsidRDefault="00B04AE3">
            <w:pPr>
              <w:pStyle w:val="TableParagraph"/>
              <w:spacing w:before="88"/>
              <w:ind w:left="149" w:right="141"/>
              <w:rPr>
                <w:rFonts w:ascii="Times New Roman"/>
                <w:sz w:val="21"/>
              </w:rPr>
            </w:pPr>
            <w:r>
              <w:rPr>
                <w:rFonts w:ascii="Times New Roman"/>
                <w:sz w:val="21"/>
              </w:rPr>
              <w:t>--</w:t>
            </w:r>
          </w:p>
        </w:tc>
        <w:tc>
          <w:tcPr>
            <w:tcW w:w="1700" w:type="dxa"/>
          </w:tcPr>
          <w:p w:rsidR="00B04AE3" w:rsidRDefault="00B04AE3">
            <w:pPr>
              <w:pStyle w:val="TableParagraph"/>
              <w:spacing w:before="88"/>
              <w:ind w:left="142" w:right="132"/>
              <w:rPr>
                <w:rFonts w:ascii="Times New Roman"/>
                <w:sz w:val="21"/>
              </w:rPr>
            </w:pPr>
            <w:r>
              <w:rPr>
                <w:rFonts w:ascii="Times New Roman"/>
                <w:sz w:val="21"/>
              </w:rPr>
              <w:t>--</w:t>
            </w:r>
          </w:p>
        </w:tc>
        <w:tc>
          <w:tcPr>
            <w:tcW w:w="1015" w:type="dxa"/>
          </w:tcPr>
          <w:p w:rsidR="00B04AE3" w:rsidRDefault="00B04AE3">
            <w:pPr>
              <w:pStyle w:val="TableParagraph"/>
              <w:spacing w:before="88"/>
              <w:ind w:left="341"/>
              <w:jc w:val="left"/>
              <w:rPr>
                <w:rFonts w:ascii="Times New Roman"/>
                <w:sz w:val="21"/>
              </w:rPr>
            </w:pPr>
            <w:r>
              <w:rPr>
                <w:rFonts w:ascii="Times New Roman"/>
                <w:sz w:val="21"/>
              </w:rPr>
              <w:t>--</w:t>
            </w:r>
          </w:p>
        </w:tc>
        <w:tc>
          <w:tcPr>
            <w:tcW w:w="1198" w:type="dxa"/>
          </w:tcPr>
          <w:p w:rsidR="00B04AE3" w:rsidRDefault="00B04AE3">
            <w:pPr>
              <w:pStyle w:val="TableParagraph"/>
              <w:spacing w:before="88"/>
              <w:ind w:left="72" w:right="62"/>
              <w:rPr>
                <w:rFonts w:ascii="Times New Roman"/>
                <w:sz w:val="21"/>
              </w:rPr>
            </w:pPr>
            <w:r>
              <w:rPr>
                <w:rFonts w:ascii="Times New Roman"/>
                <w:sz w:val="21"/>
              </w:rPr>
              <w:t>0.</w:t>
            </w:r>
            <w:r>
              <w:rPr>
                <w:rFonts w:ascii="Times New Roman"/>
                <w:sz w:val="21"/>
                <w:lang w:val="en-US"/>
              </w:rPr>
              <w:t>2</w:t>
            </w:r>
          </w:p>
        </w:tc>
        <w:tc>
          <w:tcPr>
            <w:tcW w:w="774" w:type="dxa"/>
          </w:tcPr>
          <w:p w:rsidR="00B04AE3" w:rsidRDefault="00B04AE3">
            <w:pPr>
              <w:pStyle w:val="TableParagraph"/>
              <w:spacing w:before="88"/>
              <w:ind w:left="82" w:right="74"/>
              <w:rPr>
                <w:rFonts w:ascii="Times New Roman"/>
                <w:sz w:val="21"/>
              </w:rPr>
            </w:pPr>
            <w:r>
              <w:rPr>
                <w:rFonts w:ascii="Times New Roman"/>
                <w:sz w:val="21"/>
              </w:rPr>
              <w:t>--</w:t>
            </w:r>
          </w:p>
        </w:tc>
      </w:tr>
    </w:tbl>
    <w:p w:rsidR="00B04AE3" w:rsidRDefault="00B04AE3">
      <w:pPr>
        <w:pStyle w:val="Heading3"/>
        <w:numPr>
          <w:ilvl w:val="2"/>
          <w:numId w:val="48"/>
        </w:numPr>
        <w:tabs>
          <w:tab w:val="left" w:pos="1338"/>
        </w:tabs>
        <w:spacing w:before="143"/>
      </w:pPr>
      <w:bookmarkStart w:id="369" w:name="6.2.2生产工艺过程与水环境风险控制水平（M）评估"/>
      <w:bookmarkStart w:id="370" w:name="_bookmark132"/>
      <w:bookmarkEnd w:id="369"/>
      <w:bookmarkEnd w:id="370"/>
      <w:r>
        <w:rPr>
          <w:rFonts w:hint="eastAsia"/>
        </w:rPr>
        <w:t>生产工艺过程与水环境风险控制水平（</w:t>
      </w:r>
      <w:r>
        <w:rPr>
          <w:rFonts w:ascii="Times New Roman" w:eastAsia="Times New Roman"/>
        </w:rPr>
        <w:t>M</w:t>
      </w:r>
      <w:r>
        <w:rPr>
          <w:rFonts w:hint="eastAsia"/>
        </w:rPr>
        <w:t>）评估</w:t>
      </w:r>
    </w:p>
    <w:p w:rsidR="00B04AE3" w:rsidRDefault="00B04AE3">
      <w:pPr>
        <w:pStyle w:val="BodyText"/>
        <w:spacing w:line="364" w:lineRule="auto"/>
        <w:ind w:left="797" w:right="675" w:firstLine="480"/>
        <w:jc w:val="both"/>
      </w:pPr>
      <w:r>
        <w:rPr>
          <w:rFonts w:hint="eastAsia"/>
        </w:rPr>
        <w:t>采用评分法对企业生产工艺过程、水环境风险防控措施及突发水环境事件发生情况进行评估，将各项分值累加，确定企业生产工艺过程与水环境风险控制水平（</w:t>
      </w:r>
      <w:r>
        <w:t>M</w:t>
      </w:r>
      <w:r>
        <w:rPr>
          <w:rFonts w:hint="eastAsia"/>
        </w:rPr>
        <w:t>）。</w:t>
      </w:r>
    </w:p>
    <w:p w:rsidR="00B04AE3" w:rsidRDefault="00B04AE3">
      <w:pPr>
        <w:spacing w:before="1"/>
        <w:ind w:left="1277"/>
        <w:rPr>
          <w:b/>
          <w:sz w:val="24"/>
        </w:rPr>
      </w:pPr>
      <w:r>
        <w:rPr>
          <w:rFonts w:ascii="Times New Roman" w:eastAsia="Times New Roman"/>
          <w:b/>
          <w:sz w:val="24"/>
        </w:rPr>
        <w:t>1</w:t>
      </w:r>
      <w:r>
        <w:rPr>
          <w:rFonts w:hint="eastAsia"/>
          <w:b/>
          <w:sz w:val="24"/>
        </w:rPr>
        <w:t>、生产工艺过程含有风险工艺和设备情况</w:t>
      </w:r>
    </w:p>
    <w:p w:rsidR="00B04AE3" w:rsidRDefault="00B04AE3">
      <w:pPr>
        <w:pStyle w:val="BodyText"/>
        <w:spacing w:line="364" w:lineRule="auto"/>
        <w:ind w:left="797" w:right="675" w:firstLine="480"/>
        <w:jc w:val="both"/>
      </w:pPr>
      <w:r>
        <w:rPr>
          <w:rFonts w:hint="eastAsia"/>
        </w:rPr>
        <w:t>对企业生产工艺过程含有风险工艺和设备情况的评估按照工艺单元进行，具有多套工艺单元的企业，对每套工艺单元分别评分并求和，该指标分值最高为</w:t>
      </w:r>
      <w:r>
        <w:t xml:space="preserve">30 </w:t>
      </w:r>
      <w:r>
        <w:rPr>
          <w:rFonts w:hint="eastAsia"/>
        </w:rPr>
        <w:t>分。</w:t>
      </w:r>
    </w:p>
    <w:p w:rsidR="00B04AE3" w:rsidRDefault="00B04AE3">
      <w:pPr>
        <w:spacing w:before="173" w:after="30"/>
        <w:ind w:left="3533"/>
        <w:rPr>
          <w:b/>
          <w:sz w:val="24"/>
        </w:rPr>
      </w:pPr>
      <w:r>
        <w:rPr>
          <w:rFonts w:hint="eastAsia"/>
          <w:b/>
          <w:sz w:val="24"/>
        </w:rPr>
        <w:t>表</w:t>
      </w:r>
      <w:r>
        <w:rPr>
          <w:b/>
          <w:sz w:val="24"/>
        </w:rPr>
        <w:t xml:space="preserve"> </w:t>
      </w:r>
      <w:r>
        <w:rPr>
          <w:rFonts w:ascii="Times New Roman" w:eastAsia="Times New Roman"/>
          <w:b/>
          <w:sz w:val="24"/>
        </w:rPr>
        <w:t xml:space="preserve">6.2-2  </w:t>
      </w:r>
      <w:r>
        <w:rPr>
          <w:rFonts w:hint="eastAsia"/>
          <w:b/>
          <w:sz w:val="24"/>
        </w:rPr>
        <w:t>企业生产工艺过程评估</w:t>
      </w:r>
    </w:p>
    <w:tbl>
      <w:tblPr>
        <w:tblW w:w="8332" w:type="dxa"/>
        <w:tblInd w:w="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6530"/>
        <w:gridCol w:w="1135"/>
        <w:gridCol w:w="667"/>
      </w:tblGrid>
      <w:tr w:rsidR="00B04AE3">
        <w:trPr>
          <w:trHeight w:val="340"/>
        </w:trPr>
        <w:tc>
          <w:tcPr>
            <w:tcW w:w="6530" w:type="dxa"/>
            <w:tcBorders>
              <w:bottom w:val="single" w:sz="4" w:space="0" w:color="000000"/>
              <w:right w:val="single" w:sz="4" w:space="0" w:color="000000"/>
            </w:tcBorders>
          </w:tcPr>
          <w:p w:rsidR="00B04AE3" w:rsidRDefault="00B04AE3">
            <w:pPr>
              <w:pStyle w:val="TableParagraph"/>
              <w:spacing w:before="33"/>
              <w:ind w:left="800" w:right="784"/>
              <w:rPr>
                <w:sz w:val="21"/>
              </w:rPr>
            </w:pPr>
            <w:r>
              <w:rPr>
                <w:rFonts w:hint="eastAsia"/>
                <w:sz w:val="21"/>
              </w:rPr>
              <w:t>评估依据</w:t>
            </w:r>
          </w:p>
        </w:tc>
        <w:tc>
          <w:tcPr>
            <w:tcW w:w="1135" w:type="dxa"/>
            <w:tcBorders>
              <w:left w:val="single" w:sz="4" w:space="0" w:color="000000"/>
              <w:bottom w:val="single" w:sz="4" w:space="0" w:color="000000"/>
              <w:right w:val="single" w:sz="4" w:space="0" w:color="000000"/>
            </w:tcBorders>
          </w:tcPr>
          <w:p w:rsidR="00B04AE3" w:rsidRDefault="00B04AE3">
            <w:pPr>
              <w:pStyle w:val="TableParagraph"/>
              <w:spacing w:before="33"/>
              <w:ind w:left="205" w:right="190"/>
              <w:rPr>
                <w:sz w:val="21"/>
              </w:rPr>
            </w:pPr>
            <w:r>
              <w:rPr>
                <w:rFonts w:hint="eastAsia"/>
                <w:sz w:val="21"/>
              </w:rPr>
              <w:t>分值</w:t>
            </w:r>
          </w:p>
        </w:tc>
        <w:tc>
          <w:tcPr>
            <w:tcW w:w="667" w:type="dxa"/>
            <w:tcBorders>
              <w:left w:val="single" w:sz="4" w:space="0" w:color="000000"/>
              <w:bottom w:val="single" w:sz="4" w:space="0" w:color="000000"/>
            </w:tcBorders>
          </w:tcPr>
          <w:p w:rsidR="00B04AE3" w:rsidRDefault="00B04AE3">
            <w:pPr>
              <w:pStyle w:val="TableParagraph"/>
              <w:spacing w:before="33"/>
              <w:ind w:left="105" w:right="87"/>
              <w:rPr>
                <w:sz w:val="21"/>
              </w:rPr>
            </w:pPr>
            <w:r>
              <w:rPr>
                <w:rFonts w:hint="eastAsia"/>
                <w:sz w:val="21"/>
              </w:rPr>
              <w:t>得分</w:t>
            </w:r>
          </w:p>
        </w:tc>
      </w:tr>
      <w:tr w:rsidR="00B04AE3">
        <w:trPr>
          <w:trHeight w:val="542"/>
        </w:trPr>
        <w:tc>
          <w:tcPr>
            <w:tcW w:w="6530" w:type="dxa"/>
            <w:tcBorders>
              <w:top w:val="single" w:sz="4" w:space="0" w:color="000000"/>
              <w:bottom w:val="single" w:sz="4" w:space="0" w:color="000000"/>
              <w:right w:val="single" w:sz="4" w:space="0" w:color="000000"/>
            </w:tcBorders>
          </w:tcPr>
          <w:tbl>
            <w:tblPr>
              <w:tblpPr w:leftFromText="180" w:rightFromText="180" w:vertAnchor="text" w:horzAnchor="page" w:tblpXSpec="outside" w:tblpY="279"/>
              <w:tblOverlap w:val="never"/>
              <w:tblW w:w="83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6530"/>
              <w:gridCol w:w="1135"/>
              <w:gridCol w:w="667"/>
            </w:tblGrid>
            <w:tr w:rsidR="00B04AE3">
              <w:trPr>
                <w:trHeight w:val="545"/>
              </w:trPr>
              <w:tc>
                <w:tcPr>
                  <w:tcW w:w="6530" w:type="dxa"/>
                  <w:tcBorders>
                    <w:top w:val="single" w:sz="4" w:space="0" w:color="000000"/>
                    <w:left w:val="single" w:sz="8" w:space="0" w:color="000000"/>
                    <w:bottom w:val="single" w:sz="4" w:space="0" w:color="000000"/>
                    <w:right w:val="single" w:sz="4" w:space="0" w:color="000000"/>
                  </w:tcBorders>
                </w:tcPr>
                <w:p w:rsidR="00B04AE3" w:rsidRDefault="00B04AE3">
                  <w:pPr>
                    <w:pStyle w:val="TableParagraph"/>
                    <w:spacing w:before="1" w:line="270" w:lineRule="atLeast"/>
                    <w:ind w:left="1327" w:right="-15" w:hanging="1318"/>
                    <w:rPr>
                      <w:spacing w:val="-5"/>
                      <w:sz w:val="21"/>
                    </w:rPr>
                  </w:pPr>
                  <w:r>
                    <w:rPr>
                      <w:rFonts w:hint="eastAsia"/>
                      <w:spacing w:val="-5"/>
                      <w:sz w:val="21"/>
                    </w:rPr>
                    <w:t>涉及光气及光气化工艺、电解工艺（氯碱）、氯化工艺、硝化工艺、合成工艺、过氧化工艺、胺基化工艺、磺化工艺、聚合工艺、烷基化工艺、新型煤化工工艺、电石生产工艺、偶氮化工艺、氨工艺、裂解（裂化）工艺、氟化工艺、加氢工艺、重氮化工艺、氧化</w:t>
                  </w:r>
                </w:p>
              </w:tc>
              <w:tc>
                <w:tcPr>
                  <w:tcW w:w="1135"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1" w:line="270" w:lineRule="atLeast"/>
                    <w:ind w:left="1327" w:right="-15" w:hanging="1318"/>
                    <w:rPr>
                      <w:spacing w:val="-5"/>
                      <w:sz w:val="21"/>
                    </w:rPr>
                  </w:pPr>
                </w:p>
              </w:tc>
              <w:tc>
                <w:tcPr>
                  <w:tcW w:w="667" w:type="dxa"/>
                  <w:tcBorders>
                    <w:top w:val="single" w:sz="4" w:space="0" w:color="000000"/>
                    <w:left w:val="single" w:sz="4" w:space="0" w:color="000000"/>
                    <w:bottom w:val="single" w:sz="4" w:space="0" w:color="000000"/>
                    <w:right w:val="single" w:sz="8" w:space="0" w:color="000000"/>
                  </w:tcBorders>
                </w:tcPr>
                <w:p w:rsidR="00B04AE3" w:rsidRDefault="00B04AE3">
                  <w:pPr>
                    <w:pStyle w:val="TableParagraph"/>
                    <w:spacing w:before="1" w:line="270" w:lineRule="atLeast"/>
                    <w:ind w:left="1327" w:right="-15" w:hanging="1318"/>
                    <w:rPr>
                      <w:spacing w:val="-5"/>
                      <w:sz w:val="21"/>
                    </w:rPr>
                  </w:pPr>
                </w:p>
              </w:tc>
            </w:tr>
            <w:tr w:rsidR="00B04AE3">
              <w:trPr>
                <w:trHeight w:val="340"/>
              </w:trPr>
              <w:tc>
                <w:tcPr>
                  <w:tcW w:w="6530" w:type="dxa"/>
                  <w:tcBorders>
                    <w:top w:val="single" w:sz="4" w:space="0" w:color="000000"/>
                    <w:left w:val="single" w:sz="8" w:space="0" w:color="000000"/>
                    <w:bottom w:val="single" w:sz="4" w:space="0" w:color="000000"/>
                    <w:right w:val="single" w:sz="4" w:space="0" w:color="000000"/>
                  </w:tcBorders>
                </w:tcPr>
                <w:p w:rsidR="00B04AE3" w:rsidRDefault="00B04AE3">
                  <w:pPr>
                    <w:pStyle w:val="TableParagraph"/>
                    <w:spacing w:before="32"/>
                    <w:ind w:left="800" w:right="781"/>
                    <w:rPr>
                      <w:rFonts w:ascii="Times New Roman" w:eastAsia="Times New Roman"/>
                      <w:sz w:val="13"/>
                    </w:rPr>
                  </w:pPr>
                  <w:r>
                    <w:rPr>
                      <w:rFonts w:hint="eastAsia"/>
                      <w:sz w:val="21"/>
                    </w:rPr>
                    <w:t>其他高温或高压、涉及易燃易爆等物质的工艺过程</w:t>
                  </w:r>
                  <w:r>
                    <w:rPr>
                      <w:rFonts w:ascii="Times New Roman" w:eastAsia="Times New Roman"/>
                      <w:position w:val="7"/>
                      <w:sz w:val="13"/>
                    </w:rPr>
                    <w:t>a</w:t>
                  </w:r>
                </w:p>
              </w:tc>
              <w:tc>
                <w:tcPr>
                  <w:tcW w:w="1135"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2"/>
                    <w:ind w:left="205" w:right="190"/>
                    <w:rPr>
                      <w:sz w:val="21"/>
                    </w:rPr>
                  </w:pPr>
                  <w:r>
                    <w:rPr>
                      <w:rFonts w:ascii="Times New Roman" w:eastAsia="Times New Roman"/>
                      <w:sz w:val="21"/>
                    </w:rPr>
                    <w:t>5/</w:t>
                  </w:r>
                  <w:r>
                    <w:rPr>
                      <w:rFonts w:hint="eastAsia"/>
                      <w:sz w:val="21"/>
                    </w:rPr>
                    <w:t>每套</w:t>
                  </w:r>
                </w:p>
              </w:tc>
              <w:tc>
                <w:tcPr>
                  <w:tcW w:w="667" w:type="dxa"/>
                  <w:tcBorders>
                    <w:top w:val="single" w:sz="4" w:space="0" w:color="000000"/>
                    <w:left w:val="single" w:sz="4" w:space="0" w:color="000000"/>
                    <w:bottom w:val="single" w:sz="4" w:space="0" w:color="000000"/>
                    <w:right w:val="single" w:sz="8" w:space="0" w:color="000000"/>
                  </w:tcBorders>
                </w:tcPr>
                <w:p w:rsidR="00B04AE3" w:rsidRDefault="00B04AE3">
                  <w:pPr>
                    <w:pStyle w:val="TableParagraph"/>
                    <w:spacing w:before="49"/>
                    <w:ind w:right="263"/>
                    <w:jc w:val="right"/>
                    <w:rPr>
                      <w:rFonts w:ascii="Times New Roman"/>
                      <w:sz w:val="21"/>
                    </w:rPr>
                  </w:pPr>
                  <w:r>
                    <w:rPr>
                      <w:rFonts w:ascii="Times New Roman"/>
                      <w:w w:val="99"/>
                      <w:sz w:val="21"/>
                    </w:rPr>
                    <w:t>0</w:t>
                  </w:r>
                </w:p>
              </w:tc>
            </w:tr>
            <w:tr w:rsidR="00B04AE3">
              <w:trPr>
                <w:trHeight w:val="340"/>
              </w:trPr>
              <w:tc>
                <w:tcPr>
                  <w:tcW w:w="6530" w:type="dxa"/>
                  <w:tcBorders>
                    <w:top w:val="single" w:sz="4" w:space="0" w:color="000000"/>
                    <w:left w:val="single" w:sz="8" w:space="0" w:color="000000"/>
                    <w:bottom w:val="single" w:sz="4" w:space="0" w:color="000000"/>
                    <w:right w:val="single" w:sz="4" w:space="0" w:color="000000"/>
                  </w:tcBorders>
                </w:tcPr>
                <w:p w:rsidR="00B04AE3" w:rsidRDefault="00B04AE3">
                  <w:pPr>
                    <w:pStyle w:val="TableParagraph"/>
                    <w:spacing w:before="33"/>
                    <w:ind w:left="800" w:right="783"/>
                    <w:rPr>
                      <w:rFonts w:ascii="Times New Roman" w:eastAsia="Times New Roman"/>
                      <w:sz w:val="13"/>
                    </w:rPr>
                  </w:pPr>
                  <w:r>
                    <w:rPr>
                      <w:rFonts w:hint="eastAsia"/>
                      <w:sz w:val="21"/>
                    </w:rPr>
                    <w:t>具有国家规定限期淘汰的工艺名录和设备</w:t>
                  </w:r>
                  <w:r>
                    <w:rPr>
                      <w:rFonts w:ascii="Times New Roman" w:eastAsia="Times New Roman"/>
                      <w:position w:val="7"/>
                      <w:sz w:val="13"/>
                    </w:rPr>
                    <w:t>b</w:t>
                  </w:r>
                </w:p>
              </w:tc>
              <w:tc>
                <w:tcPr>
                  <w:tcW w:w="1135"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205" w:right="190"/>
                    <w:rPr>
                      <w:sz w:val="21"/>
                    </w:rPr>
                  </w:pPr>
                  <w:r>
                    <w:rPr>
                      <w:rFonts w:ascii="Times New Roman" w:eastAsia="Times New Roman"/>
                      <w:sz w:val="21"/>
                    </w:rPr>
                    <w:t>5/</w:t>
                  </w:r>
                  <w:r>
                    <w:rPr>
                      <w:rFonts w:hint="eastAsia"/>
                      <w:sz w:val="21"/>
                    </w:rPr>
                    <w:t>每套</w:t>
                  </w:r>
                </w:p>
              </w:tc>
              <w:tc>
                <w:tcPr>
                  <w:tcW w:w="667" w:type="dxa"/>
                  <w:tcBorders>
                    <w:top w:val="single" w:sz="4" w:space="0" w:color="000000"/>
                    <w:left w:val="single" w:sz="4" w:space="0" w:color="000000"/>
                    <w:bottom w:val="single" w:sz="4" w:space="0" w:color="000000"/>
                    <w:right w:val="single" w:sz="8" w:space="0" w:color="000000"/>
                  </w:tcBorders>
                </w:tcPr>
                <w:p w:rsidR="00B04AE3" w:rsidRDefault="00B04AE3">
                  <w:pPr>
                    <w:pStyle w:val="TableParagraph"/>
                    <w:spacing w:before="47"/>
                    <w:ind w:right="263"/>
                    <w:jc w:val="right"/>
                    <w:rPr>
                      <w:rFonts w:ascii="Times New Roman"/>
                      <w:sz w:val="21"/>
                    </w:rPr>
                  </w:pPr>
                  <w:r>
                    <w:rPr>
                      <w:rFonts w:ascii="Times New Roman"/>
                      <w:w w:val="99"/>
                      <w:sz w:val="21"/>
                    </w:rPr>
                    <w:t>0</w:t>
                  </w:r>
                </w:p>
              </w:tc>
            </w:tr>
            <w:tr w:rsidR="00B04AE3">
              <w:trPr>
                <w:trHeight w:val="340"/>
              </w:trPr>
              <w:tc>
                <w:tcPr>
                  <w:tcW w:w="6530" w:type="dxa"/>
                  <w:tcBorders>
                    <w:top w:val="single" w:sz="4" w:space="0" w:color="000000"/>
                    <w:left w:val="single" w:sz="8" w:space="0" w:color="000000"/>
                    <w:bottom w:val="single" w:sz="4" w:space="0" w:color="000000"/>
                    <w:right w:val="single" w:sz="4" w:space="0" w:color="000000"/>
                  </w:tcBorders>
                </w:tcPr>
                <w:p w:rsidR="00B04AE3" w:rsidRDefault="00B04AE3">
                  <w:pPr>
                    <w:pStyle w:val="TableParagraph"/>
                    <w:spacing w:before="33"/>
                    <w:ind w:left="800" w:right="786"/>
                    <w:rPr>
                      <w:sz w:val="21"/>
                    </w:rPr>
                  </w:pPr>
                  <w:r>
                    <w:rPr>
                      <w:rFonts w:hint="eastAsia"/>
                      <w:sz w:val="21"/>
                    </w:rPr>
                    <w:t>不涉及以上危险工艺过程或国家规定的禁用工艺</w:t>
                  </w:r>
                  <w:r>
                    <w:rPr>
                      <w:rFonts w:ascii="Times New Roman" w:eastAsia="Times New Roman"/>
                      <w:sz w:val="21"/>
                    </w:rPr>
                    <w:t>/</w:t>
                  </w:r>
                  <w:r>
                    <w:rPr>
                      <w:rFonts w:hint="eastAsia"/>
                      <w:sz w:val="21"/>
                    </w:rPr>
                    <w:t>设备</w:t>
                  </w:r>
                </w:p>
              </w:tc>
              <w:tc>
                <w:tcPr>
                  <w:tcW w:w="1135"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47"/>
                    <w:ind w:left="18"/>
                    <w:rPr>
                      <w:rFonts w:ascii="Times New Roman"/>
                      <w:sz w:val="21"/>
                    </w:rPr>
                  </w:pPr>
                  <w:r>
                    <w:rPr>
                      <w:rFonts w:ascii="Times New Roman"/>
                      <w:w w:val="99"/>
                      <w:sz w:val="21"/>
                    </w:rPr>
                    <w:t>0</w:t>
                  </w:r>
                </w:p>
              </w:tc>
              <w:tc>
                <w:tcPr>
                  <w:tcW w:w="667" w:type="dxa"/>
                  <w:tcBorders>
                    <w:top w:val="single" w:sz="4" w:space="0" w:color="000000"/>
                    <w:left w:val="single" w:sz="4" w:space="0" w:color="000000"/>
                    <w:bottom w:val="single" w:sz="4" w:space="0" w:color="000000"/>
                    <w:right w:val="single" w:sz="8" w:space="0" w:color="000000"/>
                  </w:tcBorders>
                </w:tcPr>
                <w:p w:rsidR="00B04AE3" w:rsidRDefault="00B04AE3">
                  <w:pPr>
                    <w:pStyle w:val="TableParagraph"/>
                    <w:spacing w:before="47"/>
                    <w:ind w:right="263"/>
                    <w:jc w:val="right"/>
                    <w:rPr>
                      <w:rFonts w:ascii="Times New Roman"/>
                      <w:sz w:val="21"/>
                    </w:rPr>
                  </w:pPr>
                  <w:r>
                    <w:rPr>
                      <w:rFonts w:ascii="Times New Roman"/>
                      <w:w w:val="99"/>
                      <w:sz w:val="21"/>
                    </w:rPr>
                    <w:t>0</w:t>
                  </w:r>
                </w:p>
              </w:tc>
            </w:tr>
            <w:tr w:rsidR="00B04AE3">
              <w:trPr>
                <w:trHeight w:val="817"/>
              </w:trPr>
              <w:tc>
                <w:tcPr>
                  <w:tcW w:w="8332" w:type="dxa"/>
                  <w:gridSpan w:val="3"/>
                  <w:tcBorders>
                    <w:top w:val="single" w:sz="4" w:space="0" w:color="000000"/>
                    <w:left w:val="single" w:sz="8" w:space="0" w:color="000000"/>
                    <w:bottom w:val="single" w:sz="4" w:space="0" w:color="000000"/>
                    <w:right w:val="single" w:sz="8" w:space="0" w:color="000000"/>
                  </w:tcBorders>
                </w:tcPr>
                <w:p w:rsidR="00B04AE3" w:rsidRDefault="00B04AE3">
                  <w:pPr>
                    <w:pStyle w:val="TableParagraph"/>
                    <w:spacing w:line="242" w:lineRule="auto"/>
                    <w:ind w:left="12" w:right="-15"/>
                    <w:rPr>
                      <w:sz w:val="21"/>
                    </w:rPr>
                  </w:pPr>
                  <w:r>
                    <w:rPr>
                      <w:rFonts w:hint="eastAsia"/>
                      <w:sz w:val="21"/>
                    </w:rPr>
                    <w:t>注：</w:t>
                  </w:r>
                  <w:r>
                    <w:rPr>
                      <w:rFonts w:ascii="Times New Roman" w:hAnsi="Times New Roman"/>
                      <w:sz w:val="21"/>
                    </w:rPr>
                    <w:t>a</w:t>
                  </w:r>
                  <w:r>
                    <w:rPr>
                      <w:rFonts w:ascii="Times New Roman" w:hAnsi="Times New Roman"/>
                      <w:spacing w:val="14"/>
                      <w:sz w:val="21"/>
                    </w:rPr>
                    <w:t xml:space="preserve"> </w:t>
                  </w:r>
                  <w:r>
                    <w:rPr>
                      <w:rFonts w:hint="eastAsia"/>
                      <w:sz w:val="21"/>
                    </w:rPr>
                    <w:t>高温指工艺温度</w:t>
                  </w:r>
                  <w:r>
                    <w:rPr>
                      <w:rFonts w:ascii="Times New Roman" w:hAnsi="Times New Roman"/>
                      <w:sz w:val="21"/>
                    </w:rPr>
                    <w:t>≥300</w:t>
                  </w:r>
                  <w:r>
                    <w:rPr>
                      <w:rFonts w:hint="eastAsia"/>
                      <w:spacing w:val="-1"/>
                      <w:sz w:val="21"/>
                    </w:rPr>
                    <w:t>℃，高压指压力容器的设计压力</w:t>
                  </w:r>
                  <w:r>
                    <w:rPr>
                      <w:rFonts w:hint="eastAsia"/>
                      <w:sz w:val="21"/>
                    </w:rPr>
                    <w:t>（</w:t>
                  </w:r>
                  <w:r>
                    <w:rPr>
                      <w:rFonts w:ascii="Times New Roman" w:hAnsi="Times New Roman"/>
                      <w:sz w:val="21"/>
                    </w:rPr>
                    <w:t>p</w:t>
                  </w:r>
                  <w:r>
                    <w:rPr>
                      <w:rFonts w:hint="eastAsia"/>
                      <w:sz w:val="21"/>
                    </w:rPr>
                    <w:t>）</w:t>
                  </w:r>
                  <w:r>
                    <w:rPr>
                      <w:rFonts w:ascii="Times New Roman" w:hAnsi="Times New Roman"/>
                      <w:sz w:val="21"/>
                    </w:rPr>
                    <w:t>≥10.0MPa</w:t>
                  </w:r>
                  <w:r>
                    <w:rPr>
                      <w:rFonts w:hint="eastAsia"/>
                      <w:sz w:val="21"/>
                    </w:rPr>
                    <w:t>，易燃易爆等物</w:t>
                  </w:r>
                  <w:r>
                    <w:rPr>
                      <w:rFonts w:hint="eastAsia"/>
                      <w:spacing w:val="-1"/>
                      <w:sz w:val="21"/>
                    </w:rPr>
                    <w:t>质是指按照</w:t>
                  </w:r>
                  <w:r>
                    <w:rPr>
                      <w:spacing w:val="-1"/>
                      <w:sz w:val="21"/>
                    </w:rPr>
                    <w:t xml:space="preserve"> </w:t>
                  </w:r>
                  <w:r>
                    <w:rPr>
                      <w:rFonts w:ascii="Times New Roman" w:hAnsi="Times New Roman"/>
                      <w:sz w:val="21"/>
                    </w:rPr>
                    <w:t>GB30000.2</w:t>
                  </w:r>
                  <w:r>
                    <w:rPr>
                      <w:rFonts w:ascii="Times New Roman" w:hAnsi="Times New Roman"/>
                      <w:spacing w:val="44"/>
                      <w:sz w:val="21"/>
                    </w:rPr>
                    <w:t xml:space="preserve"> </w:t>
                  </w:r>
                  <w:r>
                    <w:rPr>
                      <w:rFonts w:hint="eastAsia"/>
                      <w:spacing w:val="-1"/>
                      <w:sz w:val="21"/>
                    </w:rPr>
                    <w:t>至</w:t>
                  </w:r>
                  <w:r>
                    <w:rPr>
                      <w:spacing w:val="-1"/>
                      <w:sz w:val="21"/>
                    </w:rPr>
                    <w:t xml:space="preserve"> </w:t>
                  </w:r>
                  <w:r>
                    <w:rPr>
                      <w:rFonts w:ascii="Times New Roman" w:hAnsi="Times New Roman"/>
                      <w:sz w:val="21"/>
                    </w:rPr>
                    <w:t>GB30000.13</w:t>
                  </w:r>
                  <w:r>
                    <w:rPr>
                      <w:rFonts w:ascii="Times New Roman" w:hAnsi="Times New Roman"/>
                      <w:spacing w:val="48"/>
                      <w:sz w:val="21"/>
                    </w:rPr>
                    <w:t xml:space="preserve"> </w:t>
                  </w:r>
                  <w:r>
                    <w:rPr>
                      <w:rFonts w:hint="eastAsia"/>
                      <w:spacing w:val="-5"/>
                      <w:sz w:val="21"/>
                    </w:rPr>
                    <w:t>所确定的化学物质；</w:t>
                  </w:r>
                  <w:r>
                    <w:rPr>
                      <w:rFonts w:ascii="Times New Roman" w:hAnsi="Times New Roman"/>
                      <w:spacing w:val="-37"/>
                      <w:sz w:val="21"/>
                    </w:rPr>
                    <w:t>b</w:t>
                  </w:r>
                  <w:r>
                    <w:rPr>
                      <w:rFonts w:ascii="Times New Roman" w:hAnsi="Times New Roman"/>
                      <w:spacing w:val="-28"/>
                      <w:sz w:val="21"/>
                    </w:rPr>
                    <w:t xml:space="preserve"> </w:t>
                  </w:r>
                  <w:r>
                    <w:rPr>
                      <w:rFonts w:hint="eastAsia"/>
                      <w:spacing w:val="-9"/>
                      <w:sz w:val="21"/>
                    </w:rPr>
                    <w:t>指《产业结构调整指导目录</w:t>
                  </w:r>
                </w:p>
                <w:p w:rsidR="00B04AE3" w:rsidRDefault="00B04AE3">
                  <w:pPr>
                    <w:pStyle w:val="TableParagraph"/>
                    <w:spacing w:before="1" w:line="252" w:lineRule="exact"/>
                    <w:ind w:left="2254" w:right="2237"/>
                    <w:rPr>
                      <w:sz w:val="21"/>
                    </w:rPr>
                  </w:pPr>
                  <w:r>
                    <w:rPr>
                      <w:rFonts w:hint="eastAsia"/>
                      <w:sz w:val="21"/>
                    </w:rPr>
                    <w:t>中有淘汰期限的淘汰类落后生产工艺装备</w:t>
                  </w:r>
                </w:p>
              </w:tc>
            </w:tr>
            <w:tr w:rsidR="00B04AE3">
              <w:trPr>
                <w:trHeight w:val="339"/>
              </w:trPr>
              <w:tc>
                <w:tcPr>
                  <w:tcW w:w="6530" w:type="dxa"/>
                  <w:tcBorders>
                    <w:top w:val="single" w:sz="4" w:space="0" w:color="000000"/>
                    <w:left w:val="single" w:sz="8" w:space="0" w:color="000000"/>
                    <w:bottom w:val="single" w:sz="8" w:space="0" w:color="000000"/>
                    <w:right w:val="single" w:sz="4" w:space="0" w:color="000000"/>
                  </w:tcBorders>
                </w:tcPr>
                <w:p w:rsidR="00B04AE3" w:rsidRDefault="00B04AE3">
                  <w:pPr>
                    <w:pStyle w:val="TableParagraph"/>
                    <w:spacing w:before="32"/>
                    <w:ind w:left="800" w:right="786"/>
                    <w:rPr>
                      <w:sz w:val="21"/>
                    </w:rPr>
                  </w:pPr>
                  <w:r>
                    <w:rPr>
                      <w:rFonts w:hint="eastAsia"/>
                      <w:sz w:val="21"/>
                    </w:rPr>
                    <w:t>合计</w:t>
                  </w:r>
                </w:p>
              </w:tc>
              <w:tc>
                <w:tcPr>
                  <w:tcW w:w="1802" w:type="dxa"/>
                  <w:gridSpan w:val="2"/>
                  <w:tcBorders>
                    <w:top w:val="single" w:sz="4" w:space="0" w:color="000000"/>
                    <w:left w:val="single" w:sz="4" w:space="0" w:color="000000"/>
                    <w:bottom w:val="single" w:sz="8" w:space="0" w:color="000000"/>
                    <w:right w:val="single" w:sz="8" w:space="0" w:color="000000"/>
                  </w:tcBorders>
                </w:tcPr>
                <w:p w:rsidR="00B04AE3" w:rsidRDefault="00B04AE3">
                  <w:pPr>
                    <w:pStyle w:val="TableParagraph"/>
                    <w:spacing w:before="48"/>
                    <w:ind w:left="19"/>
                    <w:rPr>
                      <w:rFonts w:ascii="Times New Roman"/>
                      <w:sz w:val="21"/>
                    </w:rPr>
                  </w:pPr>
                  <w:r>
                    <w:rPr>
                      <w:rFonts w:ascii="Times New Roman"/>
                      <w:w w:val="99"/>
                      <w:sz w:val="21"/>
                    </w:rPr>
                    <w:t>0</w:t>
                  </w:r>
                </w:p>
              </w:tc>
            </w:tr>
          </w:tbl>
          <w:p w:rsidR="00B04AE3" w:rsidRDefault="00B04AE3">
            <w:pPr>
              <w:pStyle w:val="TableParagraph"/>
              <w:spacing w:before="2" w:line="251" w:lineRule="exact"/>
              <w:ind w:left="55"/>
              <w:jc w:val="left"/>
              <w:rPr>
                <w:sz w:val="21"/>
              </w:rPr>
            </w:pPr>
          </w:p>
        </w:tc>
        <w:tc>
          <w:tcPr>
            <w:tcW w:w="1135"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134"/>
              <w:ind w:left="205" w:right="190"/>
              <w:rPr>
                <w:sz w:val="21"/>
              </w:rPr>
            </w:pPr>
            <w:r>
              <w:rPr>
                <w:rFonts w:ascii="Times New Roman" w:eastAsia="Times New Roman"/>
                <w:sz w:val="21"/>
              </w:rPr>
              <w:t>10/</w:t>
            </w:r>
            <w:r>
              <w:rPr>
                <w:rFonts w:hint="eastAsia"/>
                <w:sz w:val="21"/>
              </w:rPr>
              <w:t>每套</w:t>
            </w:r>
          </w:p>
        </w:tc>
        <w:tc>
          <w:tcPr>
            <w:tcW w:w="667" w:type="dxa"/>
            <w:tcBorders>
              <w:top w:val="single" w:sz="4" w:space="0" w:color="000000"/>
              <w:left w:val="single" w:sz="4" w:space="0" w:color="000000"/>
              <w:bottom w:val="single" w:sz="4" w:space="0" w:color="000000"/>
            </w:tcBorders>
          </w:tcPr>
          <w:p w:rsidR="00B04AE3" w:rsidRDefault="00B04AE3">
            <w:pPr>
              <w:pStyle w:val="TableParagraph"/>
              <w:spacing w:before="150"/>
              <w:ind w:left="16"/>
              <w:rPr>
                <w:rFonts w:ascii="Times New Roman"/>
                <w:sz w:val="21"/>
              </w:rPr>
            </w:pPr>
            <w:r>
              <w:rPr>
                <w:rFonts w:ascii="Times New Roman"/>
                <w:w w:val="99"/>
                <w:sz w:val="21"/>
              </w:rPr>
              <w:t>0</w:t>
            </w:r>
          </w:p>
        </w:tc>
      </w:tr>
    </w:tbl>
    <w:p w:rsidR="00B04AE3" w:rsidRDefault="00B04AE3">
      <w:pPr>
        <w:ind w:left="1277"/>
        <w:rPr>
          <w:b/>
          <w:sz w:val="24"/>
        </w:rPr>
      </w:pPr>
      <w:r>
        <w:rPr>
          <w:rFonts w:ascii="Times New Roman" w:eastAsia="Times New Roman"/>
          <w:b/>
          <w:sz w:val="24"/>
        </w:rPr>
        <w:t>2</w:t>
      </w:r>
      <w:r>
        <w:rPr>
          <w:rFonts w:hint="eastAsia"/>
          <w:b/>
          <w:sz w:val="24"/>
        </w:rPr>
        <w:t>、水环境风险防控措施及突发水环境事件发生情况</w:t>
      </w:r>
    </w:p>
    <w:p w:rsidR="00B04AE3" w:rsidRDefault="00B04AE3">
      <w:pPr>
        <w:pStyle w:val="BodyText"/>
        <w:spacing w:line="364" w:lineRule="auto"/>
        <w:ind w:left="797" w:right="675" w:firstLine="480"/>
        <w:jc w:val="both"/>
      </w:pPr>
      <w:r>
        <w:rPr>
          <w:rFonts w:hint="eastAsia"/>
        </w:rPr>
        <w:t>企业水环境风险防控措施及突发水环境事件发生情况评估指标见表</w:t>
      </w:r>
      <w:r>
        <w:t xml:space="preserve"> 6.2-3</w:t>
      </w:r>
      <w:r>
        <w:rPr>
          <w:rFonts w:hint="eastAsia"/>
        </w:rPr>
        <w:t>。对各项评估指标分别评分、计算总和，各项指标分值合计最高为</w:t>
      </w:r>
      <w:r>
        <w:t>70</w:t>
      </w:r>
      <w:r>
        <w:rPr>
          <w:rFonts w:hint="eastAsia"/>
        </w:rPr>
        <w:t>分。</w:t>
      </w:r>
    </w:p>
    <w:p w:rsidR="00B04AE3" w:rsidRDefault="00B04AE3">
      <w:pPr>
        <w:spacing w:after="29"/>
        <w:ind w:left="1733"/>
        <w:rPr>
          <w:b/>
          <w:sz w:val="24"/>
        </w:rPr>
      </w:pPr>
      <w:r>
        <w:rPr>
          <w:rFonts w:hint="eastAsia"/>
          <w:b/>
          <w:sz w:val="24"/>
        </w:rPr>
        <w:t>表</w:t>
      </w:r>
      <w:r>
        <w:rPr>
          <w:b/>
          <w:sz w:val="24"/>
        </w:rPr>
        <w:t xml:space="preserve"> </w:t>
      </w:r>
      <w:r>
        <w:rPr>
          <w:rFonts w:ascii="Times New Roman" w:eastAsia="Times New Roman"/>
          <w:b/>
          <w:sz w:val="24"/>
        </w:rPr>
        <w:t xml:space="preserve">6.2-3  </w:t>
      </w:r>
      <w:r>
        <w:rPr>
          <w:rFonts w:hint="eastAsia"/>
          <w:b/>
          <w:sz w:val="24"/>
        </w:rPr>
        <w:t>企业水环境风险防控措施与突发水环境事件发生情况评估</w:t>
      </w:r>
    </w:p>
    <w:tbl>
      <w:tblPr>
        <w:tblW w:w="8278" w:type="dxa"/>
        <w:tblInd w:w="8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1249"/>
        <w:gridCol w:w="5538"/>
        <w:gridCol w:w="851"/>
        <w:gridCol w:w="640"/>
      </w:tblGrid>
      <w:tr w:rsidR="00B04AE3">
        <w:trPr>
          <w:trHeight w:val="340"/>
        </w:trPr>
        <w:tc>
          <w:tcPr>
            <w:tcW w:w="1249" w:type="dxa"/>
            <w:tcBorders>
              <w:bottom w:val="single" w:sz="4" w:space="0" w:color="000000"/>
              <w:right w:val="single" w:sz="4" w:space="0" w:color="000000"/>
            </w:tcBorders>
          </w:tcPr>
          <w:p w:rsidR="00B04AE3" w:rsidRDefault="00B04AE3">
            <w:pPr>
              <w:pStyle w:val="TableParagraph"/>
              <w:spacing w:before="34"/>
              <w:ind w:left="206"/>
              <w:jc w:val="left"/>
              <w:rPr>
                <w:sz w:val="21"/>
              </w:rPr>
            </w:pPr>
            <w:r>
              <w:rPr>
                <w:rFonts w:hint="eastAsia"/>
                <w:sz w:val="21"/>
              </w:rPr>
              <w:t>评估指标</w:t>
            </w:r>
          </w:p>
        </w:tc>
        <w:tc>
          <w:tcPr>
            <w:tcW w:w="5538" w:type="dxa"/>
            <w:tcBorders>
              <w:left w:val="single" w:sz="4" w:space="0" w:color="000000"/>
              <w:bottom w:val="single" w:sz="4" w:space="0" w:color="000000"/>
              <w:right w:val="single" w:sz="4" w:space="0" w:color="000000"/>
            </w:tcBorders>
          </w:tcPr>
          <w:p w:rsidR="00B04AE3" w:rsidRDefault="00B04AE3">
            <w:pPr>
              <w:pStyle w:val="TableParagraph"/>
              <w:spacing w:before="34"/>
              <w:ind w:left="2015" w:right="1999"/>
              <w:rPr>
                <w:sz w:val="21"/>
              </w:rPr>
            </w:pPr>
            <w:r>
              <w:rPr>
                <w:rFonts w:hint="eastAsia"/>
                <w:sz w:val="21"/>
              </w:rPr>
              <w:t>评估依据</w:t>
            </w:r>
          </w:p>
        </w:tc>
        <w:tc>
          <w:tcPr>
            <w:tcW w:w="851" w:type="dxa"/>
            <w:tcBorders>
              <w:left w:val="single" w:sz="4" w:space="0" w:color="000000"/>
              <w:bottom w:val="single" w:sz="4" w:space="0" w:color="000000"/>
            </w:tcBorders>
          </w:tcPr>
          <w:p w:rsidR="00B04AE3" w:rsidRDefault="00B04AE3">
            <w:pPr>
              <w:pStyle w:val="TableParagraph"/>
              <w:spacing w:before="34"/>
              <w:ind w:left="195" w:right="181"/>
              <w:rPr>
                <w:sz w:val="21"/>
              </w:rPr>
            </w:pPr>
            <w:r>
              <w:rPr>
                <w:rFonts w:hint="eastAsia"/>
                <w:sz w:val="21"/>
              </w:rPr>
              <w:t>分值</w:t>
            </w:r>
          </w:p>
        </w:tc>
        <w:tc>
          <w:tcPr>
            <w:tcW w:w="640" w:type="dxa"/>
            <w:tcBorders>
              <w:bottom w:val="single" w:sz="4" w:space="0" w:color="000000"/>
            </w:tcBorders>
          </w:tcPr>
          <w:p w:rsidR="00B04AE3" w:rsidRDefault="00B04AE3">
            <w:pPr>
              <w:pStyle w:val="TableParagraph"/>
              <w:spacing w:before="34"/>
              <w:ind w:left="88" w:right="72"/>
              <w:rPr>
                <w:sz w:val="21"/>
              </w:rPr>
            </w:pPr>
            <w:r>
              <w:rPr>
                <w:rFonts w:hint="eastAsia"/>
                <w:sz w:val="21"/>
              </w:rPr>
              <w:t>得分</w:t>
            </w:r>
          </w:p>
        </w:tc>
      </w:tr>
      <w:tr w:rsidR="00B04AE3">
        <w:trPr>
          <w:trHeight w:val="1905"/>
        </w:trPr>
        <w:tc>
          <w:tcPr>
            <w:tcW w:w="1249" w:type="dxa"/>
            <w:vMerge w:val="restart"/>
            <w:tcBorders>
              <w:top w:val="single" w:sz="4" w:space="0" w:color="000000"/>
              <w:bottom w:val="single" w:sz="4" w:space="0" w:color="000000"/>
              <w:right w:val="single" w:sz="4" w:space="0" w:color="000000"/>
            </w:tcBorders>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12"/>
              <w:jc w:val="left"/>
              <w:rPr>
                <w:b/>
                <w:sz w:val="15"/>
              </w:rPr>
            </w:pPr>
          </w:p>
          <w:p w:rsidR="00B04AE3" w:rsidRDefault="00B04AE3">
            <w:pPr>
              <w:pStyle w:val="TableParagraph"/>
              <w:ind w:left="206"/>
              <w:jc w:val="left"/>
              <w:rPr>
                <w:sz w:val="21"/>
              </w:rPr>
            </w:pPr>
            <w:r>
              <w:rPr>
                <w:rFonts w:hint="eastAsia"/>
                <w:sz w:val="21"/>
              </w:rPr>
              <w:t>截流措施</w:t>
            </w:r>
          </w:p>
        </w:tc>
        <w:tc>
          <w:tcPr>
            <w:tcW w:w="553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numPr>
                <w:ilvl w:val="0"/>
                <w:numId w:val="49"/>
              </w:numPr>
              <w:tabs>
                <w:tab w:val="left" w:pos="536"/>
              </w:tabs>
              <w:spacing w:before="1"/>
              <w:jc w:val="left"/>
              <w:rPr>
                <w:sz w:val="21"/>
              </w:rPr>
            </w:pPr>
            <w:r>
              <w:rPr>
                <w:rFonts w:hint="eastAsia"/>
                <w:spacing w:val="-8"/>
                <w:sz w:val="21"/>
              </w:rPr>
              <w:t>环境风险单元设防渗漏、防腐蚀、防淋溶、防流失措施</w:t>
            </w:r>
          </w:p>
          <w:p w:rsidR="00B04AE3" w:rsidRDefault="00B04AE3">
            <w:pPr>
              <w:pStyle w:val="TableParagraph"/>
              <w:numPr>
                <w:ilvl w:val="0"/>
                <w:numId w:val="49"/>
              </w:numPr>
              <w:tabs>
                <w:tab w:val="left" w:pos="512"/>
              </w:tabs>
              <w:spacing w:before="2" w:line="242" w:lineRule="auto"/>
              <w:ind w:left="8" w:right="-29" w:firstLine="0"/>
              <w:jc w:val="both"/>
              <w:rPr>
                <w:sz w:val="21"/>
              </w:rPr>
            </w:pPr>
            <w:r>
              <w:rPr>
                <w:rFonts w:hint="eastAsia"/>
                <w:spacing w:val="-7"/>
                <w:sz w:val="21"/>
              </w:rPr>
              <w:t>装置围堰与罐区防火堤</w:t>
            </w:r>
            <w:r>
              <w:rPr>
                <w:rFonts w:hint="eastAsia"/>
                <w:sz w:val="21"/>
              </w:rPr>
              <w:t>（围堰</w:t>
            </w:r>
            <w:r>
              <w:rPr>
                <w:rFonts w:hint="eastAsia"/>
                <w:spacing w:val="-53"/>
                <w:sz w:val="21"/>
              </w:rPr>
              <w:t>）</w:t>
            </w:r>
            <w:r>
              <w:rPr>
                <w:rFonts w:hint="eastAsia"/>
                <w:spacing w:val="-7"/>
                <w:sz w:val="21"/>
              </w:rPr>
              <w:t>外设排水切换阀，正常</w:t>
            </w:r>
            <w:r>
              <w:rPr>
                <w:rFonts w:hint="eastAsia"/>
                <w:spacing w:val="-5"/>
                <w:w w:val="95"/>
                <w:sz w:val="21"/>
              </w:rPr>
              <w:t>情</w:t>
            </w:r>
            <w:r>
              <w:rPr>
                <w:rFonts w:hint="eastAsia"/>
                <w:spacing w:val="-5"/>
                <w:sz w:val="21"/>
              </w:rPr>
              <w:t>况下通向雨水系统的阀门关闭，通向事故存液池、应急事故</w:t>
            </w:r>
            <w:r>
              <w:rPr>
                <w:spacing w:val="-5"/>
                <w:w w:val="95"/>
                <w:sz w:val="21"/>
              </w:rPr>
              <w:t xml:space="preserve"> </w:t>
            </w:r>
            <w:r>
              <w:rPr>
                <w:rFonts w:hint="eastAsia"/>
                <w:spacing w:val="-5"/>
                <w:sz w:val="21"/>
              </w:rPr>
              <w:t>水池、清净废水排放缓冲池或污水处理系统的阀门打开；</w:t>
            </w:r>
          </w:p>
          <w:p w:rsidR="00B04AE3" w:rsidRDefault="00B04AE3">
            <w:pPr>
              <w:pStyle w:val="TableParagraph"/>
              <w:numPr>
                <w:ilvl w:val="0"/>
                <w:numId w:val="49"/>
              </w:numPr>
              <w:tabs>
                <w:tab w:val="left" w:pos="536"/>
              </w:tabs>
              <w:spacing w:line="244" w:lineRule="auto"/>
              <w:ind w:left="42" w:right="-15" w:hanging="34"/>
              <w:jc w:val="both"/>
              <w:rPr>
                <w:sz w:val="21"/>
              </w:rPr>
            </w:pPr>
            <w:r>
              <w:rPr>
                <w:rFonts w:hint="eastAsia"/>
                <w:spacing w:val="-2"/>
                <w:sz w:val="21"/>
              </w:rPr>
              <w:t>前述措施日常管理及维护良好，有专人负责阀门切换或设置自动切换设施保证初期雨水、泄漏物和受污染的消防水</w:t>
            </w:r>
          </w:p>
          <w:p w:rsidR="00B04AE3" w:rsidRDefault="00B04AE3">
            <w:pPr>
              <w:pStyle w:val="TableParagraph"/>
              <w:spacing w:line="249" w:lineRule="exact"/>
              <w:ind w:left="2018" w:right="1999"/>
              <w:rPr>
                <w:sz w:val="21"/>
              </w:rPr>
            </w:pPr>
            <w:r>
              <w:rPr>
                <w:rFonts w:hint="eastAsia"/>
                <w:sz w:val="21"/>
              </w:rPr>
              <w:t>排入污水系统。</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1"/>
              <w:ind w:left="-106"/>
              <w:jc w:val="left"/>
              <w:rPr>
                <w:sz w:val="21"/>
              </w:rPr>
            </w:pPr>
            <w:r>
              <w:rPr>
                <w:rFonts w:hint="eastAsia"/>
                <w:w w:val="99"/>
                <w:sz w:val="21"/>
              </w:rPr>
              <w:t>；</w:t>
            </w:r>
          </w:p>
          <w:p w:rsidR="00B04AE3" w:rsidRDefault="00B04AE3">
            <w:pPr>
              <w:pStyle w:val="TableParagraph"/>
              <w:jc w:val="left"/>
              <w:rPr>
                <w:b/>
                <w:sz w:val="20"/>
              </w:rPr>
            </w:pPr>
          </w:p>
          <w:p w:rsidR="00B04AE3" w:rsidRDefault="00B04AE3">
            <w:pPr>
              <w:pStyle w:val="TableParagraph"/>
              <w:spacing w:before="9"/>
              <w:jc w:val="left"/>
              <w:rPr>
                <w:b/>
                <w:sz w:val="23"/>
              </w:rPr>
            </w:pPr>
          </w:p>
          <w:p w:rsidR="00B04AE3" w:rsidRDefault="00B04AE3">
            <w:pPr>
              <w:pStyle w:val="TableParagraph"/>
              <w:ind w:left="18"/>
              <w:rPr>
                <w:rFonts w:ascii="Times New Roman"/>
                <w:sz w:val="21"/>
              </w:rPr>
            </w:pPr>
            <w:r>
              <w:rPr>
                <w:rFonts w:ascii="Times New Roman"/>
                <w:w w:val="99"/>
                <w:sz w:val="21"/>
              </w:rPr>
              <w:t>0</w:t>
            </w:r>
          </w:p>
        </w:tc>
        <w:tc>
          <w:tcPr>
            <w:tcW w:w="640" w:type="dxa"/>
            <w:tcBorders>
              <w:top w:val="single" w:sz="4" w:space="0" w:color="000000"/>
              <w:bottom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10"/>
              <w:jc w:val="left"/>
              <w:rPr>
                <w:b/>
                <w:sz w:val="20"/>
              </w:rPr>
            </w:pPr>
          </w:p>
          <w:p w:rsidR="00B04AE3" w:rsidRDefault="00B04AE3">
            <w:pPr>
              <w:pStyle w:val="TableParagraph"/>
              <w:ind w:left="19"/>
              <w:rPr>
                <w:rFonts w:ascii="Times New Roman"/>
                <w:sz w:val="21"/>
              </w:rPr>
            </w:pPr>
            <w:r>
              <w:rPr>
                <w:rFonts w:ascii="Times New Roman"/>
                <w:w w:val="99"/>
                <w:sz w:val="21"/>
              </w:rPr>
              <w:t>0</w:t>
            </w:r>
          </w:p>
        </w:tc>
      </w:tr>
      <w:tr w:rsidR="00B04AE3">
        <w:trPr>
          <w:trHeight w:val="817"/>
        </w:trPr>
        <w:tc>
          <w:tcPr>
            <w:tcW w:w="1249" w:type="dxa"/>
            <w:vMerge/>
            <w:tcBorders>
              <w:top w:val="nil"/>
              <w:bottom w:val="single" w:sz="4" w:space="0" w:color="000000"/>
              <w:right w:val="single" w:sz="4" w:space="0" w:color="000000"/>
            </w:tcBorders>
          </w:tcPr>
          <w:p w:rsidR="00B04AE3" w:rsidRDefault="00B04AE3">
            <w:pPr>
              <w:rPr>
                <w:sz w:val="2"/>
                <w:szCs w:val="2"/>
              </w:rPr>
            </w:pPr>
          </w:p>
        </w:tc>
        <w:tc>
          <w:tcPr>
            <w:tcW w:w="553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ind w:left="8"/>
              <w:jc w:val="left"/>
              <w:rPr>
                <w:sz w:val="21"/>
              </w:rPr>
            </w:pPr>
            <w:r>
              <w:rPr>
                <w:rFonts w:hint="eastAsia"/>
                <w:sz w:val="21"/>
              </w:rPr>
              <w:t>有任意一个环境风险单元（包括可能发生液体泄漏或产生液</w:t>
            </w:r>
          </w:p>
          <w:p w:rsidR="00B04AE3" w:rsidRDefault="00B04AE3">
            <w:pPr>
              <w:pStyle w:val="TableParagraph"/>
              <w:spacing w:before="3" w:line="270" w:lineRule="atLeast"/>
              <w:ind w:left="8" w:right="59"/>
              <w:jc w:val="left"/>
              <w:rPr>
                <w:sz w:val="21"/>
              </w:rPr>
            </w:pPr>
            <w:r>
              <w:rPr>
                <w:rFonts w:hint="eastAsia"/>
                <w:spacing w:val="-5"/>
                <w:sz w:val="21"/>
              </w:rPr>
              <w:t>体泄漏物的危险废物贮存场所）的截流措施不符合上述任意</w:t>
            </w:r>
            <w:r>
              <w:rPr>
                <w:spacing w:val="-5"/>
                <w:sz w:val="21"/>
              </w:rPr>
              <w:t xml:space="preserve"> </w:t>
            </w:r>
            <w:r>
              <w:rPr>
                <w:rFonts w:hint="eastAsia"/>
                <w:sz w:val="21"/>
              </w:rPr>
              <w:t>一条要求的。</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5"/>
              <w:jc w:val="left"/>
              <w:rPr>
                <w:b/>
              </w:rPr>
            </w:pPr>
          </w:p>
          <w:p w:rsidR="00B04AE3" w:rsidRDefault="00B04AE3">
            <w:pPr>
              <w:pStyle w:val="TableParagraph"/>
              <w:ind w:left="18"/>
              <w:rPr>
                <w:rFonts w:ascii="Times New Roman"/>
                <w:sz w:val="21"/>
              </w:rPr>
            </w:pPr>
            <w:r>
              <w:rPr>
                <w:rFonts w:ascii="Times New Roman"/>
                <w:w w:val="99"/>
                <w:sz w:val="21"/>
              </w:rPr>
              <w:t>8</w:t>
            </w:r>
          </w:p>
        </w:tc>
        <w:tc>
          <w:tcPr>
            <w:tcW w:w="640" w:type="dxa"/>
            <w:tcBorders>
              <w:top w:val="single" w:sz="4" w:space="0" w:color="000000"/>
              <w:bottom w:val="single" w:sz="4" w:space="0" w:color="000000"/>
            </w:tcBorders>
          </w:tcPr>
          <w:p w:rsidR="00B04AE3" w:rsidRDefault="00B04AE3">
            <w:pPr>
              <w:pStyle w:val="TableParagraph"/>
              <w:spacing w:before="5"/>
              <w:jc w:val="left"/>
              <w:rPr>
                <w:b/>
              </w:rPr>
            </w:pPr>
          </w:p>
          <w:p w:rsidR="00B04AE3" w:rsidRDefault="00B04AE3">
            <w:pPr>
              <w:pStyle w:val="TableParagraph"/>
              <w:ind w:left="19"/>
              <w:rPr>
                <w:rFonts w:ascii="Times New Roman"/>
                <w:sz w:val="21"/>
              </w:rPr>
            </w:pPr>
            <w:r>
              <w:rPr>
                <w:rFonts w:ascii="Times New Roman"/>
                <w:w w:val="99"/>
                <w:sz w:val="21"/>
              </w:rPr>
              <w:t>8</w:t>
            </w:r>
          </w:p>
        </w:tc>
      </w:tr>
      <w:tr w:rsidR="00B04AE3">
        <w:trPr>
          <w:trHeight w:val="2179"/>
        </w:trPr>
        <w:tc>
          <w:tcPr>
            <w:tcW w:w="1249" w:type="dxa"/>
            <w:vMerge w:val="restart"/>
            <w:tcBorders>
              <w:top w:val="single" w:sz="4" w:space="0" w:color="000000"/>
              <w:bottom w:val="single" w:sz="4" w:space="0" w:color="000000"/>
              <w:right w:val="single" w:sz="4" w:space="0" w:color="000000"/>
            </w:tcBorders>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2"/>
              <w:jc w:val="left"/>
              <w:rPr>
                <w:b/>
                <w:sz w:val="16"/>
              </w:rPr>
            </w:pPr>
          </w:p>
          <w:p w:rsidR="00B04AE3" w:rsidRDefault="00B04AE3">
            <w:pPr>
              <w:pStyle w:val="TableParagraph"/>
              <w:spacing w:line="242" w:lineRule="auto"/>
              <w:ind w:left="311" w:right="82" w:hanging="212"/>
              <w:jc w:val="left"/>
              <w:rPr>
                <w:sz w:val="21"/>
              </w:rPr>
            </w:pPr>
            <w:r>
              <w:rPr>
                <w:rFonts w:hint="eastAsia"/>
                <w:sz w:val="21"/>
              </w:rPr>
              <w:t>事故废水收集措施</w:t>
            </w:r>
          </w:p>
        </w:tc>
        <w:tc>
          <w:tcPr>
            <w:tcW w:w="553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numPr>
                <w:ilvl w:val="0"/>
                <w:numId w:val="50"/>
              </w:numPr>
              <w:tabs>
                <w:tab w:val="left" w:pos="495"/>
              </w:tabs>
              <w:spacing w:before="1" w:line="242" w:lineRule="auto"/>
              <w:ind w:right="-29" w:firstLine="0"/>
              <w:jc w:val="both"/>
              <w:rPr>
                <w:sz w:val="21"/>
              </w:rPr>
            </w:pPr>
            <w:r>
              <w:rPr>
                <w:rFonts w:hint="eastAsia"/>
                <w:spacing w:val="-6"/>
                <w:sz w:val="21"/>
              </w:rPr>
              <w:t>按相关设计规范设置应急事故水池、事故存液池或清净</w:t>
            </w:r>
            <w:r>
              <w:rPr>
                <w:rFonts w:hint="eastAsia"/>
                <w:spacing w:val="-5"/>
                <w:sz w:val="21"/>
              </w:rPr>
              <w:t>废水排放缓冲池等事故排水收集设施，并根据相关设计规范、</w:t>
            </w:r>
            <w:r>
              <w:rPr>
                <w:spacing w:val="-5"/>
                <w:sz w:val="21"/>
              </w:rPr>
              <w:t xml:space="preserve"> </w:t>
            </w:r>
            <w:r>
              <w:rPr>
                <w:rFonts w:hint="eastAsia"/>
                <w:spacing w:val="-5"/>
                <w:sz w:val="21"/>
              </w:rPr>
              <w:t>下游环境风险受体敏感程度和易发生极端天气情况，设计事故</w:t>
            </w:r>
            <w:r>
              <w:rPr>
                <w:spacing w:val="-5"/>
                <w:sz w:val="21"/>
              </w:rPr>
              <w:t xml:space="preserve"> </w:t>
            </w:r>
            <w:r>
              <w:rPr>
                <w:rFonts w:hint="eastAsia"/>
                <w:spacing w:val="-5"/>
                <w:sz w:val="21"/>
              </w:rPr>
              <w:t>排水收集设施的容量；</w:t>
            </w:r>
          </w:p>
          <w:p w:rsidR="00B04AE3" w:rsidRDefault="00B04AE3">
            <w:pPr>
              <w:pStyle w:val="TableParagraph"/>
              <w:numPr>
                <w:ilvl w:val="0"/>
                <w:numId w:val="50"/>
              </w:numPr>
              <w:tabs>
                <w:tab w:val="left" w:pos="495"/>
              </w:tabs>
              <w:spacing w:before="2" w:line="242" w:lineRule="auto"/>
              <w:ind w:right="-15" w:firstLine="0"/>
              <w:jc w:val="both"/>
              <w:rPr>
                <w:sz w:val="21"/>
              </w:rPr>
            </w:pPr>
            <w:r>
              <w:rPr>
                <w:rFonts w:hint="eastAsia"/>
                <w:spacing w:val="-5"/>
                <w:sz w:val="21"/>
              </w:rPr>
              <w:t>确保事故排水收集设施在事故状态下能顺利收集泄漏物和消防水，日常保持足够的事故排水缓冲容量；</w:t>
            </w:r>
          </w:p>
          <w:p w:rsidR="00B04AE3" w:rsidRDefault="00B04AE3">
            <w:pPr>
              <w:pStyle w:val="TableParagraph"/>
              <w:numPr>
                <w:ilvl w:val="0"/>
                <w:numId w:val="50"/>
              </w:numPr>
              <w:tabs>
                <w:tab w:val="left" w:pos="536"/>
              </w:tabs>
              <w:spacing w:before="2"/>
              <w:ind w:left="535" w:hanging="527"/>
              <w:jc w:val="both"/>
              <w:rPr>
                <w:sz w:val="21"/>
              </w:rPr>
            </w:pPr>
            <w:r>
              <w:rPr>
                <w:rFonts w:hint="eastAsia"/>
                <w:spacing w:val="-2"/>
                <w:sz w:val="21"/>
              </w:rPr>
              <w:t>通过协议单位或自建管线，能将所收集废水送至厂区</w:t>
            </w:r>
            <w:r>
              <w:rPr>
                <w:rFonts w:hint="eastAsia"/>
                <w:spacing w:val="-16"/>
                <w:sz w:val="21"/>
              </w:rPr>
              <w:t>内</w:t>
            </w:r>
          </w:p>
          <w:p w:rsidR="00B04AE3" w:rsidRDefault="00B04AE3">
            <w:pPr>
              <w:pStyle w:val="TableParagraph"/>
              <w:spacing w:before="2" w:line="252" w:lineRule="exact"/>
              <w:ind w:left="8"/>
              <w:jc w:val="both"/>
              <w:rPr>
                <w:sz w:val="21"/>
              </w:rPr>
            </w:pPr>
            <w:r>
              <w:rPr>
                <w:rFonts w:hint="eastAsia"/>
                <w:sz w:val="21"/>
              </w:rPr>
              <w:t>污水处理设施处理</w:t>
            </w:r>
          </w:p>
        </w:tc>
        <w:tc>
          <w:tcPr>
            <w:tcW w:w="851" w:type="dxa"/>
            <w:tcBorders>
              <w:top w:val="single" w:sz="4" w:space="0" w:color="000000"/>
              <w:left w:val="single" w:sz="4" w:space="0" w:color="000000"/>
              <w:bottom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6"/>
              <w:jc w:val="left"/>
              <w:rPr>
                <w:b/>
                <w:sz w:val="31"/>
              </w:rPr>
            </w:pPr>
          </w:p>
          <w:p w:rsidR="00B04AE3" w:rsidRDefault="00B04AE3">
            <w:pPr>
              <w:pStyle w:val="TableParagraph"/>
              <w:spacing w:before="1"/>
              <w:ind w:left="18"/>
              <w:rPr>
                <w:rFonts w:ascii="Times New Roman"/>
                <w:sz w:val="21"/>
              </w:rPr>
            </w:pPr>
            <w:r>
              <w:rPr>
                <w:rFonts w:ascii="Times New Roman"/>
                <w:w w:val="99"/>
                <w:sz w:val="21"/>
              </w:rPr>
              <w:t>0</w:t>
            </w:r>
          </w:p>
        </w:tc>
        <w:tc>
          <w:tcPr>
            <w:tcW w:w="640" w:type="dxa"/>
            <w:tcBorders>
              <w:top w:val="single" w:sz="4" w:space="0" w:color="000000"/>
              <w:bottom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6"/>
              <w:jc w:val="left"/>
              <w:rPr>
                <w:b/>
                <w:sz w:val="31"/>
              </w:rPr>
            </w:pPr>
          </w:p>
          <w:p w:rsidR="00B04AE3" w:rsidRDefault="00B04AE3">
            <w:pPr>
              <w:pStyle w:val="TableParagraph"/>
              <w:spacing w:before="1"/>
              <w:ind w:left="19"/>
              <w:rPr>
                <w:rFonts w:ascii="Times New Roman"/>
                <w:sz w:val="21"/>
              </w:rPr>
            </w:pPr>
            <w:r>
              <w:rPr>
                <w:rFonts w:ascii="Times New Roman"/>
                <w:w w:val="99"/>
                <w:sz w:val="21"/>
              </w:rPr>
              <w:t>0</w:t>
            </w:r>
          </w:p>
        </w:tc>
      </w:tr>
      <w:tr w:rsidR="00B04AE3">
        <w:trPr>
          <w:trHeight w:val="816"/>
        </w:trPr>
        <w:tc>
          <w:tcPr>
            <w:tcW w:w="1249" w:type="dxa"/>
            <w:vMerge/>
            <w:tcBorders>
              <w:top w:val="nil"/>
              <w:bottom w:val="single" w:sz="4" w:space="0" w:color="000000"/>
              <w:right w:val="single" w:sz="4" w:space="0" w:color="000000"/>
            </w:tcBorders>
          </w:tcPr>
          <w:p w:rsidR="00B04AE3" w:rsidRDefault="00B04AE3">
            <w:pPr>
              <w:rPr>
                <w:sz w:val="2"/>
                <w:szCs w:val="2"/>
              </w:rPr>
            </w:pPr>
          </w:p>
        </w:tc>
        <w:tc>
          <w:tcPr>
            <w:tcW w:w="553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ind w:left="8"/>
              <w:jc w:val="left"/>
              <w:rPr>
                <w:sz w:val="21"/>
              </w:rPr>
            </w:pPr>
            <w:r>
              <w:rPr>
                <w:rFonts w:hint="eastAsia"/>
                <w:sz w:val="21"/>
              </w:rPr>
              <w:t>有任意一个环境风险单元（包括可能发生液体泄漏或产生液</w:t>
            </w:r>
          </w:p>
          <w:p w:rsidR="00B04AE3" w:rsidRDefault="00B04AE3">
            <w:pPr>
              <w:pStyle w:val="TableParagraph"/>
              <w:spacing w:before="2" w:line="270" w:lineRule="atLeast"/>
              <w:ind w:left="8" w:right="59"/>
              <w:jc w:val="left"/>
              <w:rPr>
                <w:sz w:val="21"/>
              </w:rPr>
            </w:pPr>
            <w:r>
              <w:rPr>
                <w:rFonts w:hint="eastAsia"/>
                <w:spacing w:val="-5"/>
                <w:sz w:val="21"/>
              </w:rPr>
              <w:t>体泄漏物的危险废物贮存场所）的事故排水收集措施不符合</w:t>
            </w:r>
            <w:r>
              <w:rPr>
                <w:spacing w:val="-5"/>
                <w:sz w:val="21"/>
              </w:rPr>
              <w:t xml:space="preserve"> </w:t>
            </w:r>
            <w:r>
              <w:rPr>
                <w:rFonts w:hint="eastAsia"/>
                <w:sz w:val="21"/>
              </w:rPr>
              <w:t>上述任意一条要求的。</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4"/>
              <w:jc w:val="left"/>
              <w:rPr>
                <w:b/>
              </w:rPr>
            </w:pPr>
          </w:p>
          <w:p w:rsidR="00B04AE3" w:rsidRDefault="00B04AE3">
            <w:pPr>
              <w:pStyle w:val="TableParagraph"/>
              <w:ind w:left="18"/>
              <w:rPr>
                <w:rFonts w:ascii="Times New Roman"/>
                <w:sz w:val="21"/>
              </w:rPr>
            </w:pPr>
            <w:r>
              <w:rPr>
                <w:rFonts w:ascii="Times New Roman"/>
                <w:w w:val="99"/>
                <w:sz w:val="21"/>
              </w:rPr>
              <w:t>8</w:t>
            </w:r>
          </w:p>
        </w:tc>
        <w:tc>
          <w:tcPr>
            <w:tcW w:w="640" w:type="dxa"/>
            <w:tcBorders>
              <w:top w:val="single" w:sz="4" w:space="0" w:color="000000"/>
              <w:bottom w:val="single" w:sz="4" w:space="0" w:color="000000"/>
            </w:tcBorders>
          </w:tcPr>
          <w:p w:rsidR="00B04AE3" w:rsidRDefault="00B04AE3">
            <w:pPr>
              <w:pStyle w:val="TableParagraph"/>
              <w:spacing w:before="4"/>
              <w:jc w:val="left"/>
              <w:rPr>
                <w:b/>
              </w:rPr>
            </w:pPr>
          </w:p>
          <w:p w:rsidR="00B04AE3" w:rsidRDefault="00B04AE3">
            <w:pPr>
              <w:pStyle w:val="TableParagraph"/>
              <w:ind w:left="19"/>
              <w:rPr>
                <w:rFonts w:ascii="Times New Roman"/>
                <w:sz w:val="21"/>
              </w:rPr>
            </w:pPr>
            <w:r>
              <w:rPr>
                <w:rFonts w:ascii="Times New Roman"/>
                <w:w w:val="99"/>
                <w:sz w:val="21"/>
              </w:rPr>
              <w:t>8</w:t>
            </w:r>
          </w:p>
        </w:tc>
      </w:tr>
      <w:tr w:rsidR="00B04AE3">
        <w:trPr>
          <w:trHeight w:val="2446"/>
        </w:trPr>
        <w:tc>
          <w:tcPr>
            <w:tcW w:w="1249" w:type="dxa"/>
            <w:vMerge w:val="restart"/>
            <w:tcBorders>
              <w:top w:val="single" w:sz="4" w:space="0" w:color="000000"/>
              <w:right w:val="single" w:sz="4" w:space="0" w:color="000000"/>
            </w:tcBorders>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9"/>
              <w:jc w:val="left"/>
              <w:rPr>
                <w:b/>
                <w:sz w:val="25"/>
              </w:rPr>
            </w:pPr>
          </w:p>
          <w:p w:rsidR="00B04AE3" w:rsidRDefault="00B04AE3">
            <w:pPr>
              <w:pStyle w:val="TableParagraph"/>
              <w:spacing w:line="242" w:lineRule="auto"/>
              <w:ind w:left="100" w:right="82"/>
              <w:rPr>
                <w:sz w:val="21"/>
              </w:rPr>
            </w:pPr>
            <w:r>
              <w:rPr>
                <w:rFonts w:hint="eastAsia"/>
                <w:sz w:val="21"/>
              </w:rPr>
              <w:t>清净废水系统风险防控措施</w:t>
            </w:r>
          </w:p>
        </w:tc>
        <w:tc>
          <w:tcPr>
            <w:tcW w:w="553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numPr>
                <w:ilvl w:val="0"/>
                <w:numId w:val="51"/>
              </w:numPr>
              <w:tabs>
                <w:tab w:val="left" w:pos="536"/>
              </w:tabs>
              <w:spacing w:line="268" w:lineRule="exact"/>
              <w:jc w:val="left"/>
              <w:rPr>
                <w:sz w:val="21"/>
              </w:rPr>
            </w:pPr>
            <w:r>
              <w:rPr>
                <w:rFonts w:hint="eastAsia"/>
                <w:sz w:val="21"/>
              </w:rPr>
              <w:t>不涉及清净废水；</w:t>
            </w:r>
          </w:p>
          <w:p w:rsidR="00B04AE3" w:rsidRDefault="00B04AE3">
            <w:pPr>
              <w:pStyle w:val="TableParagraph"/>
              <w:numPr>
                <w:ilvl w:val="0"/>
                <w:numId w:val="51"/>
              </w:numPr>
              <w:tabs>
                <w:tab w:val="left" w:pos="526"/>
              </w:tabs>
              <w:spacing w:before="4" w:line="242" w:lineRule="auto"/>
              <w:ind w:left="8" w:right="-29" w:firstLine="0"/>
              <w:jc w:val="left"/>
              <w:rPr>
                <w:sz w:val="21"/>
              </w:rPr>
            </w:pPr>
            <w:r>
              <w:rPr>
                <w:rFonts w:hint="eastAsia"/>
                <w:spacing w:val="-10"/>
                <w:sz w:val="21"/>
              </w:rPr>
              <w:t>厂区内清净废水均可排入废水处理系统；或清污分流，</w:t>
            </w:r>
            <w:r>
              <w:rPr>
                <w:spacing w:val="-10"/>
                <w:sz w:val="21"/>
              </w:rPr>
              <w:t xml:space="preserve"> </w:t>
            </w:r>
            <w:r>
              <w:rPr>
                <w:rFonts w:hint="eastAsia"/>
                <w:spacing w:val="-8"/>
                <w:sz w:val="21"/>
              </w:rPr>
              <w:t>且清净废水系统具有下述所有措施：</w:t>
            </w:r>
          </w:p>
          <w:p w:rsidR="00B04AE3" w:rsidRDefault="00B04AE3">
            <w:pPr>
              <w:pStyle w:val="TableParagraph"/>
              <w:spacing w:before="2" w:line="270" w:lineRule="atLeast"/>
              <w:ind w:left="8" w:right="59"/>
              <w:jc w:val="left"/>
              <w:rPr>
                <w:spacing w:val="-5"/>
                <w:sz w:val="21"/>
              </w:rPr>
            </w:pPr>
            <w:r>
              <w:rPr>
                <w:rFonts w:hint="eastAsia"/>
                <w:spacing w:val="-5"/>
                <w:sz w:val="21"/>
              </w:rPr>
              <w:t>①具有收集受污染的清净废水的缓冲池（或收集池），池内日常保持足够的事故排水缓冲容量；池内设有提升设施或通</w:t>
            </w:r>
            <w:r>
              <w:rPr>
                <w:spacing w:val="-5"/>
                <w:sz w:val="21"/>
              </w:rPr>
              <w:t xml:space="preserve"> </w:t>
            </w:r>
            <w:r>
              <w:rPr>
                <w:rFonts w:hint="eastAsia"/>
                <w:spacing w:val="-5"/>
                <w:sz w:val="21"/>
              </w:rPr>
              <w:t>过自流，能将所收集物送至厂区内污水处理设施处理；</w:t>
            </w:r>
          </w:p>
          <w:p w:rsidR="00B04AE3" w:rsidRDefault="00B04AE3">
            <w:pPr>
              <w:pStyle w:val="TableParagraph"/>
              <w:spacing w:before="2" w:line="270" w:lineRule="atLeast"/>
              <w:ind w:left="8" w:right="59"/>
              <w:jc w:val="left"/>
              <w:rPr>
                <w:spacing w:val="-5"/>
                <w:sz w:val="21"/>
              </w:rPr>
            </w:pPr>
            <w:r>
              <w:rPr>
                <w:rFonts w:hint="eastAsia"/>
                <w:spacing w:val="-5"/>
                <w:sz w:val="21"/>
              </w:rPr>
              <w:t>②具有清净废水系统的总排口监视及关闭设施，有专人负</w:t>
            </w:r>
            <w:r>
              <w:rPr>
                <w:spacing w:val="-5"/>
                <w:sz w:val="21"/>
              </w:rPr>
              <w:t xml:space="preserve"> </w:t>
            </w:r>
            <w:r>
              <w:rPr>
                <w:rFonts w:hint="eastAsia"/>
                <w:spacing w:val="-5"/>
                <w:sz w:val="21"/>
              </w:rPr>
              <w:t>责在紧急情况下关闭清净废水总排口，防止受污染的清净废水</w:t>
            </w:r>
          </w:p>
          <w:p w:rsidR="00B04AE3" w:rsidRDefault="00B04AE3">
            <w:pPr>
              <w:pStyle w:val="TableParagraph"/>
              <w:spacing w:before="2" w:line="270" w:lineRule="atLeast"/>
              <w:ind w:left="8" w:right="59"/>
              <w:jc w:val="left"/>
              <w:rPr>
                <w:sz w:val="21"/>
              </w:rPr>
            </w:pPr>
            <w:r>
              <w:rPr>
                <w:rFonts w:hint="eastAsia"/>
                <w:spacing w:val="-5"/>
                <w:sz w:val="21"/>
              </w:rPr>
              <w:t>和泄漏物进入外环境。</w:t>
            </w:r>
          </w:p>
        </w:tc>
        <w:tc>
          <w:tcPr>
            <w:tcW w:w="851" w:type="dxa"/>
            <w:tcBorders>
              <w:top w:val="single" w:sz="4" w:space="0" w:color="000000"/>
              <w:left w:val="single" w:sz="4" w:space="0" w:color="000000"/>
              <w:bottom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1"/>
              <w:jc w:val="left"/>
              <w:rPr>
                <w:b/>
                <w:sz w:val="20"/>
              </w:rPr>
            </w:pPr>
          </w:p>
          <w:p w:rsidR="00B04AE3" w:rsidRDefault="00B04AE3">
            <w:pPr>
              <w:pStyle w:val="TableParagraph"/>
              <w:ind w:left="18"/>
              <w:rPr>
                <w:rFonts w:ascii="Times New Roman"/>
                <w:sz w:val="21"/>
              </w:rPr>
            </w:pPr>
            <w:r>
              <w:rPr>
                <w:rFonts w:ascii="Times New Roman"/>
                <w:w w:val="99"/>
                <w:sz w:val="21"/>
              </w:rPr>
              <w:t>0</w:t>
            </w:r>
          </w:p>
        </w:tc>
        <w:tc>
          <w:tcPr>
            <w:tcW w:w="640" w:type="dxa"/>
            <w:tcBorders>
              <w:top w:val="single" w:sz="4" w:space="0" w:color="000000"/>
              <w:bottom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1"/>
              <w:jc w:val="left"/>
              <w:rPr>
                <w:b/>
                <w:sz w:val="20"/>
              </w:rPr>
            </w:pPr>
          </w:p>
          <w:p w:rsidR="00B04AE3" w:rsidRDefault="00B04AE3">
            <w:pPr>
              <w:pStyle w:val="TableParagraph"/>
              <w:ind w:left="19"/>
              <w:rPr>
                <w:rFonts w:ascii="Times New Roman"/>
                <w:sz w:val="21"/>
              </w:rPr>
            </w:pPr>
            <w:r>
              <w:rPr>
                <w:rFonts w:ascii="Times New Roman"/>
                <w:w w:val="99"/>
                <w:sz w:val="21"/>
              </w:rPr>
              <w:t>0</w:t>
            </w:r>
          </w:p>
        </w:tc>
      </w:tr>
      <w:tr w:rsidR="00B04AE3">
        <w:trPr>
          <w:trHeight w:val="547"/>
        </w:trPr>
        <w:tc>
          <w:tcPr>
            <w:tcW w:w="1249" w:type="dxa"/>
            <w:vMerge/>
            <w:tcBorders>
              <w:top w:val="nil"/>
              <w:right w:val="single" w:sz="4" w:space="0" w:color="000000"/>
            </w:tcBorders>
          </w:tcPr>
          <w:p w:rsidR="00B04AE3" w:rsidRDefault="00B04AE3">
            <w:pPr>
              <w:rPr>
                <w:sz w:val="2"/>
                <w:szCs w:val="2"/>
              </w:rPr>
            </w:pPr>
          </w:p>
        </w:tc>
        <w:tc>
          <w:tcPr>
            <w:tcW w:w="5538" w:type="dxa"/>
            <w:tcBorders>
              <w:top w:val="single" w:sz="4" w:space="0" w:color="000000"/>
              <w:left w:val="single" w:sz="4" w:space="0" w:color="000000"/>
              <w:right w:val="single" w:sz="4" w:space="0" w:color="000000"/>
            </w:tcBorders>
          </w:tcPr>
          <w:p w:rsidR="00B04AE3" w:rsidRDefault="00B04AE3">
            <w:pPr>
              <w:pStyle w:val="TableParagraph"/>
              <w:spacing w:before="4" w:line="270" w:lineRule="atLeast"/>
              <w:ind w:left="8" w:right="59"/>
              <w:jc w:val="left"/>
              <w:rPr>
                <w:sz w:val="21"/>
              </w:rPr>
            </w:pPr>
            <w:r>
              <w:rPr>
                <w:rFonts w:hint="eastAsia"/>
                <w:spacing w:val="-5"/>
                <w:sz w:val="21"/>
              </w:rPr>
              <w:t>涉及清净废水，有任意一个环境风险单元的清净废水系统风</w:t>
            </w:r>
            <w:r>
              <w:rPr>
                <w:w w:val="95"/>
                <w:sz w:val="21"/>
              </w:rPr>
              <w:t xml:space="preserve"> </w:t>
            </w:r>
            <w:r>
              <w:rPr>
                <w:rFonts w:hint="eastAsia"/>
                <w:sz w:val="21"/>
              </w:rPr>
              <w:t>险防控措施不符合上述（</w:t>
            </w:r>
            <w:r>
              <w:rPr>
                <w:rFonts w:ascii="Times New Roman" w:eastAsia="Times New Roman"/>
                <w:sz w:val="21"/>
              </w:rPr>
              <w:t>2</w:t>
            </w:r>
            <w:r>
              <w:rPr>
                <w:rFonts w:hint="eastAsia"/>
                <w:sz w:val="21"/>
              </w:rPr>
              <w:t>）要求的。</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156"/>
              <w:ind w:left="18"/>
              <w:rPr>
                <w:rFonts w:ascii="Times New Roman"/>
                <w:sz w:val="21"/>
              </w:rPr>
            </w:pPr>
            <w:r>
              <w:rPr>
                <w:rFonts w:ascii="Times New Roman"/>
                <w:w w:val="99"/>
                <w:sz w:val="21"/>
              </w:rPr>
              <w:t>8</w:t>
            </w:r>
          </w:p>
        </w:tc>
        <w:tc>
          <w:tcPr>
            <w:tcW w:w="640" w:type="dxa"/>
            <w:tcBorders>
              <w:top w:val="single" w:sz="4" w:space="0" w:color="000000"/>
              <w:bottom w:val="single" w:sz="4" w:space="0" w:color="000000"/>
            </w:tcBorders>
          </w:tcPr>
          <w:p w:rsidR="00B04AE3" w:rsidRDefault="00B04AE3">
            <w:pPr>
              <w:pStyle w:val="TableParagraph"/>
              <w:spacing w:before="156"/>
              <w:ind w:left="19"/>
              <w:rPr>
                <w:rFonts w:ascii="Times New Roman"/>
                <w:sz w:val="21"/>
              </w:rPr>
            </w:pPr>
            <w:r>
              <w:rPr>
                <w:rFonts w:ascii="Times New Roman"/>
                <w:w w:val="99"/>
                <w:sz w:val="21"/>
              </w:rPr>
              <w:t>0</w:t>
            </w:r>
          </w:p>
        </w:tc>
      </w:tr>
      <w:tr w:rsidR="00B04AE3">
        <w:trPr>
          <w:trHeight w:val="3277"/>
        </w:trPr>
        <w:tc>
          <w:tcPr>
            <w:tcW w:w="1249" w:type="dxa"/>
            <w:vMerge w:val="restart"/>
            <w:tcBorders>
              <w:top w:val="nil"/>
              <w:right w:val="single" w:sz="4" w:space="0" w:color="000000"/>
            </w:tcBorders>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134" w:line="242" w:lineRule="auto"/>
              <w:ind w:left="100" w:right="82"/>
              <w:rPr>
                <w:sz w:val="21"/>
              </w:rPr>
            </w:pPr>
            <w:r>
              <w:rPr>
                <w:rFonts w:hint="eastAsia"/>
                <w:sz w:val="21"/>
              </w:rPr>
              <w:t>雨水排水系统风险防控措施</w:t>
            </w:r>
          </w:p>
        </w:tc>
        <w:tc>
          <w:tcPr>
            <w:tcW w:w="5538" w:type="dxa"/>
            <w:tcBorders>
              <w:top w:val="single" w:sz="4" w:space="0" w:color="000000"/>
              <w:left w:val="single" w:sz="4" w:space="0" w:color="000000"/>
              <w:right w:val="single" w:sz="4" w:space="0" w:color="000000"/>
            </w:tcBorders>
          </w:tcPr>
          <w:p w:rsidR="00B04AE3" w:rsidRDefault="00B04AE3">
            <w:pPr>
              <w:pStyle w:val="TableParagraph"/>
              <w:numPr>
                <w:ilvl w:val="0"/>
                <w:numId w:val="52"/>
              </w:numPr>
              <w:tabs>
                <w:tab w:val="left" w:pos="891"/>
              </w:tabs>
              <w:spacing w:before="11" w:line="242" w:lineRule="auto"/>
              <w:ind w:right="1" w:firstLine="384"/>
              <w:jc w:val="both"/>
              <w:rPr>
                <w:sz w:val="21"/>
              </w:rPr>
            </w:pPr>
            <w:r>
              <w:rPr>
                <w:rFonts w:hint="eastAsia"/>
                <w:spacing w:val="-8"/>
                <w:sz w:val="21"/>
              </w:rPr>
              <w:t>厂区内雨水均进入废水处理系统；或雨污分流，且雨水排水系统具有下述所有措施：</w:t>
            </w:r>
          </w:p>
          <w:p w:rsidR="00B04AE3" w:rsidRDefault="00B04AE3">
            <w:pPr>
              <w:pStyle w:val="TableParagraph"/>
              <w:spacing w:line="242" w:lineRule="auto"/>
              <w:ind w:left="8" w:right="-15" w:firstLine="420"/>
              <w:jc w:val="both"/>
              <w:rPr>
                <w:sz w:val="21"/>
              </w:rPr>
            </w:pPr>
            <w:r>
              <w:rPr>
                <w:rFonts w:hint="eastAsia"/>
                <w:sz w:val="21"/>
              </w:rPr>
              <w:t>①具有收集初期雨水的收集池或雨水监控池；池出水管上设置切断阀，正常情况下阀门关闭，防止受污染的雨水外</w:t>
            </w:r>
            <w:r>
              <w:rPr>
                <w:rFonts w:hint="eastAsia"/>
                <w:spacing w:val="-7"/>
                <w:sz w:val="21"/>
              </w:rPr>
              <w:t>排；池内设有提升设施或通过自流，</w:t>
            </w:r>
            <w:r>
              <w:rPr>
                <w:spacing w:val="-7"/>
                <w:sz w:val="21"/>
              </w:rPr>
              <w:t xml:space="preserve"> </w:t>
            </w:r>
            <w:r>
              <w:rPr>
                <w:rFonts w:hint="eastAsia"/>
                <w:spacing w:val="-7"/>
                <w:sz w:val="21"/>
              </w:rPr>
              <w:t>能将所收集物送至厂区内污水处理设施处理；</w:t>
            </w:r>
          </w:p>
          <w:p w:rsidR="00B04AE3" w:rsidRDefault="00B04AE3">
            <w:pPr>
              <w:pStyle w:val="TableParagraph"/>
              <w:spacing w:before="4" w:line="270" w:lineRule="atLeast"/>
              <w:ind w:left="8" w:right="59"/>
              <w:jc w:val="left"/>
              <w:rPr>
                <w:spacing w:val="-5"/>
                <w:sz w:val="21"/>
              </w:rPr>
            </w:pPr>
            <w:r>
              <w:rPr>
                <w:rFonts w:hint="eastAsia"/>
                <w:spacing w:val="-5"/>
                <w:sz w:val="21"/>
              </w:rPr>
              <w:t>②具有雨水系统总排口（含泄洪渠）监视及关闭设施，在</w:t>
            </w:r>
            <w:r>
              <w:rPr>
                <w:spacing w:val="-5"/>
                <w:sz w:val="21"/>
              </w:rPr>
              <w:t xml:space="preserve"> </w:t>
            </w:r>
            <w:r>
              <w:rPr>
                <w:rFonts w:hint="eastAsia"/>
                <w:spacing w:val="-5"/>
                <w:sz w:val="21"/>
              </w:rPr>
              <w:t>紧急情况下有专人负责关闭雨水系统总排口（含与清净废水共用一套排水系统情况），防止雨水、消防水和泄漏物进入外环境；</w:t>
            </w:r>
          </w:p>
          <w:p w:rsidR="00B04AE3" w:rsidRDefault="00B04AE3">
            <w:pPr>
              <w:pStyle w:val="TableParagraph"/>
              <w:numPr>
                <w:ilvl w:val="0"/>
                <w:numId w:val="52"/>
              </w:numPr>
              <w:tabs>
                <w:tab w:val="left" w:pos="891"/>
              </w:tabs>
              <w:ind w:left="890" w:right="-29"/>
              <w:jc w:val="left"/>
              <w:rPr>
                <w:sz w:val="21"/>
              </w:rPr>
            </w:pPr>
            <w:r>
              <w:rPr>
                <w:rFonts w:hint="eastAsia"/>
                <w:spacing w:val="-19"/>
                <w:sz w:val="21"/>
              </w:rPr>
              <w:t>如果有排洪沟，排洪沟不得通过生产区和罐区，或具</w:t>
            </w:r>
            <w:r>
              <w:rPr>
                <w:rFonts w:hint="eastAsia"/>
                <w:sz w:val="21"/>
              </w:rPr>
              <w:t>有</w:t>
            </w:r>
          </w:p>
          <w:p w:rsidR="00B04AE3" w:rsidRDefault="00B04AE3">
            <w:pPr>
              <w:pStyle w:val="TableParagraph"/>
              <w:spacing w:before="5" w:line="251" w:lineRule="exact"/>
              <w:ind w:left="8"/>
              <w:jc w:val="left"/>
              <w:rPr>
                <w:sz w:val="21"/>
              </w:rPr>
            </w:pPr>
            <w:r>
              <w:rPr>
                <w:rFonts w:hint="eastAsia"/>
                <w:sz w:val="21"/>
              </w:rPr>
              <w:t>防止泄漏物和受污染的消防水等流入区域排洪沟的措施；</w:t>
            </w:r>
          </w:p>
        </w:tc>
        <w:tc>
          <w:tcPr>
            <w:tcW w:w="851" w:type="dxa"/>
            <w:tcBorders>
              <w:top w:val="single" w:sz="4" w:space="0" w:color="000000"/>
              <w:left w:val="single" w:sz="4" w:space="0" w:color="000000"/>
              <w:bottom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11"/>
              <w:jc w:val="left"/>
              <w:rPr>
                <w:b/>
                <w:sz w:val="30"/>
              </w:rPr>
            </w:pPr>
          </w:p>
          <w:p w:rsidR="00B04AE3" w:rsidRDefault="00B04AE3">
            <w:pPr>
              <w:pStyle w:val="TableParagraph"/>
              <w:ind w:left="18"/>
              <w:rPr>
                <w:rFonts w:ascii="Times New Roman"/>
                <w:sz w:val="21"/>
              </w:rPr>
            </w:pPr>
            <w:r>
              <w:rPr>
                <w:rFonts w:ascii="Times New Roman"/>
                <w:w w:val="99"/>
                <w:sz w:val="21"/>
              </w:rPr>
              <w:t>0</w:t>
            </w:r>
          </w:p>
        </w:tc>
        <w:tc>
          <w:tcPr>
            <w:tcW w:w="640" w:type="dxa"/>
            <w:tcBorders>
              <w:top w:val="single" w:sz="4" w:space="0" w:color="000000"/>
              <w:bottom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11"/>
              <w:jc w:val="left"/>
              <w:rPr>
                <w:b/>
                <w:sz w:val="30"/>
              </w:rPr>
            </w:pPr>
          </w:p>
          <w:p w:rsidR="00B04AE3" w:rsidRDefault="00B04AE3">
            <w:pPr>
              <w:pStyle w:val="TableParagraph"/>
              <w:ind w:right="245"/>
              <w:jc w:val="right"/>
              <w:rPr>
                <w:rFonts w:ascii="Times New Roman"/>
                <w:sz w:val="21"/>
              </w:rPr>
            </w:pPr>
            <w:r>
              <w:rPr>
                <w:rFonts w:ascii="Times New Roman"/>
                <w:w w:val="99"/>
                <w:sz w:val="21"/>
              </w:rPr>
              <w:t>0</w:t>
            </w:r>
          </w:p>
        </w:tc>
      </w:tr>
      <w:tr w:rsidR="00B04AE3">
        <w:trPr>
          <w:trHeight w:val="340"/>
        </w:trPr>
        <w:tc>
          <w:tcPr>
            <w:tcW w:w="1249" w:type="dxa"/>
            <w:vMerge/>
            <w:tcBorders>
              <w:top w:val="nil"/>
              <w:right w:val="single" w:sz="4" w:space="0" w:color="000000"/>
            </w:tcBorders>
          </w:tcPr>
          <w:p w:rsidR="00B04AE3" w:rsidRDefault="00B04AE3">
            <w:pPr>
              <w:rPr>
                <w:sz w:val="2"/>
                <w:szCs w:val="2"/>
              </w:rPr>
            </w:pPr>
          </w:p>
        </w:tc>
        <w:tc>
          <w:tcPr>
            <w:tcW w:w="5538" w:type="dxa"/>
            <w:tcBorders>
              <w:left w:val="single" w:sz="4" w:space="0" w:color="000000"/>
              <w:right w:val="single" w:sz="4" w:space="0" w:color="000000"/>
            </w:tcBorders>
          </w:tcPr>
          <w:p w:rsidR="00B04AE3" w:rsidRDefault="00B04AE3">
            <w:pPr>
              <w:pStyle w:val="TableParagraph"/>
              <w:spacing w:before="35"/>
              <w:ind w:left="8"/>
              <w:jc w:val="left"/>
              <w:rPr>
                <w:sz w:val="21"/>
              </w:rPr>
            </w:pPr>
            <w:r>
              <w:rPr>
                <w:rFonts w:hint="eastAsia"/>
                <w:sz w:val="21"/>
              </w:rPr>
              <w:t>不符合上述要求的</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49"/>
              <w:ind w:left="18"/>
              <w:rPr>
                <w:rFonts w:ascii="Times New Roman"/>
                <w:sz w:val="21"/>
              </w:rPr>
            </w:pPr>
            <w:r>
              <w:rPr>
                <w:rFonts w:ascii="Times New Roman"/>
                <w:w w:val="99"/>
                <w:sz w:val="21"/>
              </w:rPr>
              <w:t>8</w:t>
            </w:r>
          </w:p>
        </w:tc>
        <w:tc>
          <w:tcPr>
            <w:tcW w:w="640" w:type="dxa"/>
            <w:tcBorders>
              <w:top w:val="single" w:sz="4" w:space="0" w:color="000000"/>
              <w:bottom w:val="single" w:sz="4" w:space="0" w:color="000000"/>
            </w:tcBorders>
          </w:tcPr>
          <w:p w:rsidR="00B04AE3" w:rsidRDefault="00B04AE3">
            <w:pPr>
              <w:pStyle w:val="TableParagraph"/>
              <w:spacing w:before="49"/>
              <w:ind w:right="245"/>
              <w:jc w:val="right"/>
              <w:rPr>
                <w:rFonts w:ascii="Times New Roman"/>
                <w:sz w:val="21"/>
              </w:rPr>
            </w:pPr>
            <w:r>
              <w:rPr>
                <w:rFonts w:ascii="Times New Roman"/>
                <w:w w:val="99"/>
                <w:sz w:val="21"/>
              </w:rPr>
              <w:t>0</w:t>
            </w:r>
          </w:p>
        </w:tc>
      </w:tr>
      <w:tr w:rsidR="00B04AE3">
        <w:trPr>
          <w:trHeight w:val="2724"/>
        </w:trPr>
        <w:tc>
          <w:tcPr>
            <w:tcW w:w="1249" w:type="dxa"/>
            <w:vMerge w:val="restart"/>
            <w:tcBorders>
              <w:right w:val="single" w:sz="4" w:space="0" w:color="000000"/>
            </w:tcBorders>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4"/>
              <w:jc w:val="left"/>
              <w:rPr>
                <w:b/>
                <w:sz w:val="28"/>
              </w:rPr>
            </w:pPr>
          </w:p>
          <w:p w:rsidR="00B04AE3" w:rsidRDefault="00B04AE3">
            <w:pPr>
              <w:pStyle w:val="TableParagraph"/>
              <w:spacing w:line="242" w:lineRule="auto"/>
              <w:ind w:left="100" w:right="82"/>
              <w:jc w:val="both"/>
              <w:rPr>
                <w:sz w:val="21"/>
              </w:rPr>
            </w:pPr>
            <w:r>
              <w:rPr>
                <w:rFonts w:hint="eastAsia"/>
                <w:sz w:val="21"/>
              </w:rPr>
              <w:t>生产废水处理系统风险防控措施</w:t>
            </w:r>
          </w:p>
        </w:tc>
        <w:tc>
          <w:tcPr>
            <w:tcW w:w="5538" w:type="dxa"/>
            <w:tcBorders>
              <w:left w:val="single" w:sz="4" w:space="0" w:color="000000"/>
              <w:right w:val="single" w:sz="4" w:space="0" w:color="000000"/>
            </w:tcBorders>
          </w:tcPr>
          <w:p w:rsidR="00B04AE3" w:rsidRDefault="00B04AE3">
            <w:pPr>
              <w:pStyle w:val="TableParagraph"/>
              <w:numPr>
                <w:ilvl w:val="0"/>
                <w:numId w:val="53"/>
              </w:numPr>
              <w:tabs>
                <w:tab w:val="left" w:pos="536"/>
              </w:tabs>
              <w:spacing w:before="2"/>
              <w:jc w:val="left"/>
              <w:rPr>
                <w:sz w:val="21"/>
              </w:rPr>
            </w:pPr>
            <w:r>
              <w:rPr>
                <w:rFonts w:hint="eastAsia"/>
                <w:sz w:val="21"/>
              </w:rPr>
              <w:t>无生产废水产生或外排；</w:t>
            </w:r>
          </w:p>
          <w:p w:rsidR="00B04AE3" w:rsidRDefault="00B04AE3">
            <w:pPr>
              <w:pStyle w:val="TableParagraph"/>
              <w:numPr>
                <w:ilvl w:val="0"/>
                <w:numId w:val="53"/>
              </w:numPr>
              <w:tabs>
                <w:tab w:val="left" w:pos="536"/>
              </w:tabs>
              <w:spacing w:before="2"/>
              <w:jc w:val="left"/>
              <w:rPr>
                <w:sz w:val="21"/>
              </w:rPr>
            </w:pPr>
            <w:r>
              <w:rPr>
                <w:rFonts w:hint="eastAsia"/>
                <w:sz w:val="21"/>
              </w:rPr>
              <w:t>有废水外排时：</w:t>
            </w:r>
          </w:p>
          <w:p w:rsidR="00B04AE3" w:rsidRDefault="00B04AE3">
            <w:pPr>
              <w:pStyle w:val="TableParagraph"/>
              <w:spacing w:before="4" w:line="270" w:lineRule="atLeast"/>
              <w:ind w:left="8" w:right="59"/>
              <w:jc w:val="left"/>
              <w:rPr>
                <w:spacing w:val="-5"/>
                <w:sz w:val="21"/>
              </w:rPr>
            </w:pPr>
            <w:r>
              <w:rPr>
                <w:rFonts w:hint="eastAsia"/>
                <w:spacing w:val="-5"/>
                <w:sz w:val="21"/>
              </w:rPr>
              <w:t>①受污染的循环冷却水、雨水、消防水等排入生产废水系统或独</w:t>
            </w:r>
            <w:r>
              <w:rPr>
                <w:spacing w:val="-5"/>
                <w:sz w:val="21"/>
              </w:rPr>
              <w:t xml:space="preserve">  </w:t>
            </w:r>
            <w:r>
              <w:rPr>
                <w:rFonts w:hint="eastAsia"/>
                <w:spacing w:val="-5"/>
                <w:sz w:val="21"/>
              </w:rPr>
              <w:t>立处理系统；</w:t>
            </w:r>
          </w:p>
          <w:p w:rsidR="00B04AE3" w:rsidRDefault="00B04AE3">
            <w:pPr>
              <w:pStyle w:val="TableParagraph"/>
              <w:spacing w:before="4" w:line="270" w:lineRule="atLeast"/>
              <w:ind w:left="8" w:right="59"/>
              <w:jc w:val="left"/>
              <w:rPr>
                <w:spacing w:val="-5"/>
                <w:sz w:val="21"/>
              </w:rPr>
            </w:pPr>
            <w:r>
              <w:rPr>
                <w:rFonts w:hint="eastAsia"/>
                <w:spacing w:val="-5"/>
                <w:sz w:val="21"/>
              </w:rPr>
              <w:t>②生产废水排放前设监控池，能够将不合格废水送废水</w:t>
            </w:r>
            <w:r>
              <w:rPr>
                <w:spacing w:val="-5"/>
                <w:sz w:val="21"/>
              </w:rPr>
              <w:t xml:space="preserve"> </w:t>
            </w:r>
            <w:r>
              <w:rPr>
                <w:rFonts w:hint="eastAsia"/>
                <w:spacing w:val="-5"/>
                <w:sz w:val="21"/>
              </w:rPr>
              <w:t>处理设施处理；</w:t>
            </w:r>
          </w:p>
          <w:p w:rsidR="00B04AE3" w:rsidRDefault="00B04AE3">
            <w:pPr>
              <w:pStyle w:val="TableParagraph"/>
              <w:spacing w:before="4" w:line="270" w:lineRule="atLeast"/>
              <w:ind w:left="8" w:right="59"/>
              <w:jc w:val="left"/>
              <w:rPr>
                <w:sz w:val="21"/>
              </w:rPr>
            </w:pPr>
            <w:r>
              <w:rPr>
                <w:rFonts w:hint="eastAsia"/>
                <w:spacing w:val="-5"/>
                <w:sz w:val="21"/>
              </w:rPr>
              <w:t>③如企业受污染的清净废水或雨水进入废水处理系统处</w:t>
            </w:r>
            <w:r>
              <w:rPr>
                <w:spacing w:val="-5"/>
                <w:sz w:val="21"/>
              </w:rPr>
              <w:t xml:space="preserve"> </w:t>
            </w:r>
            <w:r>
              <w:rPr>
                <w:rFonts w:hint="eastAsia"/>
                <w:spacing w:val="-5"/>
                <w:sz w:val="21"/>
              </w:rPr>
              <w:t>理，则废水处理系统应设置事故水缓冲设施；</w:t>
            </w:r>
          </w:p>
          <w:p w:rsidR="00B04AE3" w:rsidRDefault="00B04AE3">
            <w:pPr>
              <w:pStyle w:val="TableParagraph"/>
              <w:spacing w:line="268" w:lineRule="exact"/>
              <w:ind w:left="416"/>
              <w:jc w:val="left"/>
              <w:rPr>
                <w:sz w:val="21"/>
              </w:rPr>
            </w:pPr>
            <w:r>
              <w:rPr>
                <w:rFonts w:hint="eastAsia"/>
                <w:spacing w:val="-10"/>
                <w:sz w:val="21"/>
              </w:rPr>
              <w:t>④具有生产废水总排口监视及关闭设施，有专人负责启闭</w:t>
            </w:r>
          </w:p>
          <w:p w:rsidR="00B04AE3" w:rsidRDefault="00B04AE3">
            <w:pPr>
              <w:pStyle w:val="TableParagraph"/>
              <w:spacing w:before="4" w:line="252" w:lineRule="exact"/>
              <w:ind w:left="8"/>
              <w:jc w:val="left"/>
              <w:rPr>
                <w:sz w:val="21"/>
              </w:rPr>
            </w:pPr>
            <w:r>
              <w:rPr>
                <w:rFonts w:hint="eastAsia"/>
                <w:sz w:val="21"/>
              </w:rPr>
              <w:t>确保泄漏物、受污染的消防水、不合格废水不排出厂外；</w:t>
            </w:r>
          </w:p>
        </w:tc>
        <w:tc>
          <w:tcPr>
            <w:tcW w:w="851" w:type="dxa"/>
            <w:tcBorders>
              <w:top w:val="single" w:sz="4" w:space="0" w:color="000000"/>
              <w:left w:val="single" w:sz="4" w:space="0" w:color="000000"/>
              <w:bottom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9"/>
              <w:jc w:val="left"/>
              <w:rPr>
                <w:b/>
                <w:sz w:val="30"/>
              </w:rPr>
            </w:pPr>
          </w:p>
          <w:p w:rsidR="00B04AE3" w:rsidRDefault="00B04AE3">
            <w:pPr>
              <w:pStyle w:val="TableParagraph"/>
              <w:ind w:left="18"/>
              <w:rPr>
                <w:rFonts w:ascii="Times New Roman"/>
                <w:sz w:val="21"/>
              </w:rPr>
            </w:pPr>
            <w:r>
              <w:rPr>
                <w:rFonts w:ascii="Times New Roman"/>
                <w:w w:val="99"/>
                <w:sz w:val="21"/>
              </w:rPr>
              <w:t>0</w:t>
            </w:r>
          </w:p>
          <w:p w:rsidR="00B04AE3" w:rsidRDefault="00B04AE3">
            <w:pPr>
              <w:pStyle w:val="TableParagraph"/>
              <w:jc w:val="left"/>
              <w:rPr>
                <w:b/>
              </w:rPr>
            </w:pPr>
          </w:p>
          <w:p w:rsidR="00B04AE3" w:rsidRDefault="00B04AE3">
            <w:pPr>
              <w:pStyle w:val="TableParagraph"/>
              <w:spacing w:before="6"/>
              <w:jc w:val="left"/>
              <w:rPr>
                <w:b/>
                <w:sz w:val="32"/>
              </w:rPr>
            </w:pPr>
          </w:p>
          <w:p w:rsidR="00B04AE3" w:rsidRDefault="00B04AE3">
            <w:pPr>
              <w:pStyle w:val="TableParagraph"/>
              <w:ind w:left="-103"/>
              <w:jc w:val="left"/>
              <w:rPr>
                <w:sz w:val="21"/>
              </w:rPr>
            </w:pPr>
            <w:r>
              <w:rPr>
                <w:rFonts w:hint="eastAsia"/>
                <w:w w:val="99"/>
                <w:sz w:val="21"/>
              </w:rPr>
              <w:t>，</w:t>
            </w:r>
          </w:p>
        </w:tc>
        <w:tc>
          <w:tcPr>
            <w:tcW w:w="640" w:type="dxa"/>
            <w:tcBorders>
              <w:top w:val="single" w:sz="4" w:space="0" w:color="000000"/>
              <w:bottom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9"/>
              <w:jc w:val="left"/>
              <w:rPr>
                <w:b/>
                <w:sz w:val="30"/>
              </w:rPr>
            </w:pPr>
          </w:p>
          <w:p w:rsidR="00B04AE3" w:rsidRDefault="00B04AE3">
            <w:pPr>
              <w:pStyle w:val="TableParagraph"/>
              <w:ind w:right="245"/>
              <w:jc w:val="right"/>
              <w:rPr>
                <w:rFonts w:ascii="Times New Roman"/>
                <w:sz w:val="21"/>
              </w:rPr>
            </w:pPr>
            <w:r>
              <w:rPr>
                <w:rFonts w:ascii="Times New Roman"/>
                <w:w w:val="99"/>
                <w:sz w:val="21"/>
              </w:rPr>
              <w:t>0</w:t>
            </w:r>
          </w:p>
        </w:tc>
      </w:tr>
      <w:tr w:rsidR="00B04AE3">
        <w:trPr>
          <w:trHeight w:val="340"/>
        </w:trPr>
        <w:tc>
          <w:tcPr>
            <w:tcW w:w="1249" w:type="dxa"/>
            <w:vMerge/>
            <w:tcBorders>
              <w:top w:val="nil"/>
              <w:right w:val="single" w:sz="4" w:space="0" w:color="000000"/>
            </w:tcBorders>
          </w:tcPr>
          <w:p w:rsidR="00B04AE3" w:rsidRDefault="00B04AE3">
            <w:pPr>
              <w:rPr>
                <w:sz w:val="2"/>
                <w:szCs w:val="2"/>
              </w:rPr>
            </w:pPr>
          </w:p>
        </w:tc>
        <w:tc>
          <w:tcPr>
            <w:tcW w:w="5538" w:type="dxa"/>
            <w:tcBorders>
              <w:left w:val="single" w:sz="4" w:space="0" w:color="000000"/>
              <w:right w:val="single" w:sz="4" w:space="0" w:color="000000"/>
            </w:tcBorders>
          </w:tcPr>
          <w:p w:rsidR="00B04AE3" w:rsidRDefault="00B04AE3">
            <w:pPr>
              <w:pStyle w:val="TableParagraph"/>
              <w:spacing w:before="32"/>
              <w:ind w:left="8"/>
              <w:jc w:val="left"/>
              <w:rPr>
                <w:sz w:val="21"/>
              </w:rPr>
            </w:pPr>
            <w:r>
              <w:rPr>
                <w:rFonts w:hint="eastAsia"/>
                <w:sz w:val="21"/>
              </w:rPr>
              <w:t>涉及废水外排，且不符合上述（</w:t>
            </w:r>
            <w:r>
              <w:rPr>
                <w:rFonts w:ascii="Times New Roman" w:eastAsia="Times New Roman"/>
                <w:sz w:val="21"/>
              </w:rPr>
              <w:t>2</w:t>
            </w:r>
            <w:r>
              <w:rPr>
                <w:rFonts w:hint="eastAsia"/>
                <w:sz w:val="21"/>
              </w:rPr>
              <w:t>）中任意一条要求的；</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48"/>
              <w:ind w:left="18"/>
              <w:rPr>
                <w:rFonts w:ascii="Times New Roman"/>
                <w:sz w:val="21"/>
              </w:rPr>
            </w:pPr>
            <w:r>
              <w:rPr>
                <w:rFonts w:ascii="Times New Roman"/>
                <w:w w:val="99"/>
                <w:sz w:val="21"/>
              </w:rPr>
              <w:t>8</w:t>
            </w:r>
          </w:p>
        </w:tc>
        <w:tc>
          <w:tcPr>
            <w:tcW w:w="640" w:type="dxa"/>
            <w:tcBorders>
              <w:top w:val="single" w:sz="4" w:space="0" w:color="000000"/>
              <w:bottom w:val="single" w:sz="4" w:space="0" w:color="000000"/>
            </w:tcBorders>
          </w:tcPr>
          <w:p w:rsidR="00B04AE3" w:rsidRDefault="00B04AE3">
            <w:pPr>
              <w:pStyle w:val="TableParagraph"/>
              <w:spacing w:before="48"/>
              <w:ind w:right="245"/>
              <w:jc w:val="right"/>
              <w:rPr>
                <w:rFonts w:ascii="Times New Roman"/>
                <w:sz w:val="21"/>
              </w:rPr>
            </w:pPr>
            <w:r>
              <w:rPr>
                <w:rFonts w:ascii="Times New Roman"/>
                <w:w w:val="99"/>
                <w:sz w:val="21"/>
              </w:rPr>
              <w:t>0</w:t>
            </w:r>
          </w:p>
        </w:tc>
      </w:tr>
      <w:tr w:rsidR="00B04AE3">
        <w:trPr>
          <w:trHeight w:val="340"/>
        </w:trPr>
        <w:tc>
          <w:tcPr>
            <w:tcW w:w="1249" w:type="dxa"/>
            <w:vMerge w:val="restart"/>
            <w:tcBorders>
              <w:right w:val="single" w:sz="4" w:space="0" w:color="000000"/>
            </w:tcBorders>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7"/>
              <w:jc w:val="left"/>
              <w:rPr>
                <w:b/>
                <w:sz w:val="18"/>
              </w:rPr>
            </w:pPr>
          </w:p>
          <w:p w:rsidR="00B04AE3" w:rsidRDefault="00B04AE3">
            <w:pPr>
              <w:pStyle w:val="TableParagraph"/>
              <w:spacing w:line="242" w:lineRule="auto"/>
              <w:ind w:left="520" w:right="82" w:hanging="420"/>
              <w:jc w:val="left"/>
              <w:rPr>
                <w:sz w:val="21"/>
              </w:rPr>
            </w:pPr>
            <w:r>
              <w:rPr>
                <w:rFonts w:hint="eastAsia"/>
                <w:sz w:val="21"/>
              </w:rPr>
              <w:t>废水排放去向</w:t>
            </w:r>
          </w:p>
        </w:tc>
        <w:tc>
          <w:tcPr>
            <w:tcW w:w="5538" w:type="dxa"/>
            <w:tcBorders>
              <w:left w:val="single" w:sz="4" w:space="0" w:color="000000"/>
              <w:right w:val="single" w:sz="4" w:space="0" w:color="000000"/>
            </w:tcBorders>
          </w:tcPr>
          <w:p w:rsidR="00B04AE3" w:rsidRDefault="00B04AE3">
            <w:pPr>
              <w:pStyle w:val="TableParagraph"/>
              <w:spacing w:before="32"/>
              <w:ind w:left="8"/>
              <w:jc w:val="left"/>
              <w:rPr>
                <w:sz w:val="21"/>
              </w:rPr>
            </w:pPr>
            <w:r>
              <w:rPr>
                <w:rFonts w:hint="eastAsia"/>
                <w:sz w:val="21"/>
              </w:rPr>
              <w:t>无生产废水产生或外排；</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48"/>
              <w:ind w:left="18"/>
              <w:rPr>
                <w:rFonts w:ascii="Times New Roman"/>
                <w:sz w:val="21"/>
              </w:rPr>
            </w:pPr>
            <w:r>
              <w:rPr>
                <w:rFonts w:ascii="Times New Roman"/>
                <w:w w:val="99"/>
                <w:sz w:val="21"/>
              </w:rPr>
              <w:t>0</w:t>
            </w:r>
          </w:p>
        </w:tc>
        <w:tc>
          <w:tcPr>
            <w:tcW w:w="640" w:type="dxa"/>
            <w:tcBorders>
              <w:top w:val="single" w:sz="4" w:space="0" w:color="000000"/>
              <w:bottom w:val="single" w:sz="4" w:space="0" w:color="000000"/>
            </w:tcBorders>
          </w:tcPr>
          <w:p w:rsidR="00B04AE3" w:rsidRDefault="00B04AE3">
            <w:pPr>
              <w:pStyle w:val="TableParagraph"/>
              <w:spacing w:before="48"/>
              <w:ind w:right="245"/>
              <w:jc w:val="right"/>
              <w:rPr>
                <w:rFonts w:ascii="Times New Roman"/>
                <w:sz w:val="21"/>
              </w:rPr>
            </w:pPr>
            <w:r>
              <w:rPr>
                <w:rFonts w:ascii="Times New Roman"/>
                <w:w w:val="99"/>
                <w:sz w:val="21"/>
              </w:rPr>
              <w:t>0</w:t>
            </w:r>
          </w:p>
        </w:tc>
      </w:tr>
      <w:tr w:rsidR="00B04AE3">
        <w:trPr>
          <w:trHeight w:val="817"/>
        </w:trPr>
        <w:tc>
          <w:tcPr>
            <w:tcW w:w="1249" w:type="dxa"/>
            <w:vMerge/>
            <w:tcBorders>
              <w:top w:val="nil"/>
              <w:right w:val="single" w:sz="4" w:space="0" w:color="000000"/>
            </w:tcBorders>
          </w:tcPr>
          <w:p w:rsidR="00B04AE3" w:rsidRDefault="00B04AE3">
            <w:pPr>
              <w:rPr>
                <w:sz w:val="2"/>
                <w:szCs w:val="2"/>
              </w:rPr>
            </w:pPr>
          </w:p>
        </w:tc>
        <w:tc>
          <w:tcPr>
            <w:tcW w:w="5538" w:type="dxa"/>
            <w:tcBorders>
              <w:left w:val="single" w:sz="4" w:space="0" w:color="000000"/>
              <w:right w:val="single" w:sz="4" w:space="0" w:color="000000"/>
            </w:tcBorders>
          </w:tcPr>
          <w:p w:rsidR="00B04AE3" w:rsidRDefault="00B04AE3">
            <w:pPr>
              <w:pStyle w:val="TableParagraph"/>
              <w:numPr>
                <w:ilvl w:val="0"/>
                <w:numId w:val="54"/>
              </w:numPr>
              <w:tabs>
                <w:tab w:val="left" w:pos="536"/>
              </w:tabs>
              <w:spacing w:before="1"/>
              <w:jc w:val="left"/>
              <w:rPr>
                <w:sz w:val="21"/>
              </w:rPr>
            </w:pPr>
            <w:r>
              <w:rPr>
                <w:rFonts w:hint="eastAsia"/>
                <w:spacing w:val="-5"/>
                <w:sz w:val="21"/>
              </w:rPr>
              <w:t>依法获取污水排入排水管网许可，进入城镇污水处理厂</w:t>
            </w:r>
          </w:p>
          <w:p w:rsidR="00B04AE3" w:rsidRDefault="00B04AE3">
            <w:pPr>
              <w:pStyle w:val="TableParagraph"/>
              <w:numPr>
                <w:ilvl w:val="0"/>
                <w:numId w:val="54"/>
              </w:numPr>
              <w:tabs>
                <w:tab w:val="left" w:pos="536"/>
              </w:tabs>
              <w:spacing w:before="2"/>
              <w:jc w:val="left"/>
              <w:rPr>
                <w:sz w:val="21"/>
              </w:rPr>
            </w:pPr>
            <w:r>
              <w:rPr>
                <w:rFonts w:hint="eastAsia"/>
                <w:sz w:val="21"/>
              </w:rPr>
              <w:t>进入工业废水集中处理厂；</w:t>
            </w:r>
          </w:p>
          <w:p w:rsidR="00B04AE3" w:rsidRDefault="00B04AE3">
            <w:pPr>
              <w:pStyle w:val="TableParagraph"/>
              <w:numPr>
                <w:ilvl w:val="0"/>
                <w:numId w:val="54"/>
              </w:numPr>
              <w:tabs>
                <w:tab w:val="left" w:pos="536"/>
              </w:tabs>
              <w:spacing w:before="2" w:line="254" w:lineRule="exact"/>
              <w:jc w:val="left"/>
              <w:rPr>
                <w:sz w:val="21"/>
              </w:rPr>
            </w:pPr>
            <w:r>
              <w:rPr>
                <w:rFonts w:hint="eastAsia"/>
                <w:sz w:val="21"/>
              </w:rPr>
              <w:t>进入其他单位；</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1"/>
              <w:ind w:left="-106"/>
              <w:jc w:val="left"/>
              <w:rPr>
                <w:sz w:val="21"/>
              </w:rPr>
            </w:pPr>
            <w:r>
              <w:rPr>
                <w:rFonts w:hint="eastAsia"/>
                <w:w w:val="99"/>
                <w:sz w:val="21"/>
              </w:rPr>
              <w:t>；</w:t>
            </w:r>
          </w:p>
          <w:p w:rsidR="00B04AE3" w:rsidRDefault="00B04AE3">
            <w:pPr>
              <w:pStyle w:val="TableParagraph"/>
              <w:spacing w:before="16"/>
              <w:ind w:left="18"/>
              <w:rPr>
                <w:rFonts w:ascii="Times New Roman"/>
                <w:sz w:val="21"/>
              </w:rPr>
            </w:pPr>
            <w:r>
              <w:rPr>
                <w:rFonts w:ascii="Times New Roman"/>
                <w:w w:val="99"/>
                <w:sz w:val="21"/>
              </w:rPr>
              <w:t>6</w:t>
            </w:r>
          </w:p>
        </w:tc>
        <w:tc>
          <w:tcPr>
            <w:tcW w:w="640" w:type="dxa"/>
            <w:tcBorders>
              <w:top w:val="single" w:sz="4" w:space="0" w:color="000000"/>
              <w:bottom w:val="single" w:sz="4" w:space="0" w:color="000000"/>
            </w:tcBorders>
          </w:tcPr>
          <w:p w:rsidR="00B04AE3" w:rsidRDefault="00B04AE3">
            <w:pPr>
              <w:pStyle w:val="TableParagraph"/>
              <w:spacing w:before="4"/>
              <w:jc w:val="left"/>
              <w:rPr>
                <w:b/>
              </w:rPr>
            </w:pPr>
          </w:p>
          <w:p w:rsidR="00B04AE3" w:rsidRDefault="00B04AE3">
            <w:pPr>
              <w:pStyle w:val="TableParagraph"/>
              <w:ind w:right="245"/>
              <w:jc w:val="right"/>
              <w:rPr>
                <w:rFonts w:ascii="Times New Roman"/>
                <w:sz w:val="21"/>
              </w:rPr>
            </w:pPr>
            <w:r>
              <w:rPr>
                <w:rFonts w:ascii="Times New Roman"/>
                <w:w w:val="99"/>
                <w:sz w:val="21"/>
              </w:rPr>
              <w:t>0</w:t>
            </w:r>
          </w:p>
        </w:tc>
      </w:tr>
      <w:tr w:rsidR="00B04AE3">
        <w:trPr>
          <w:trHeight w:val="1361"/>
        </w:trPr>
        <w:tc>
          <w:tcPr>
            <w:tcW w:w="1249" w:type="dxa"/>
            <w:vMerge/>
            <w:tcBorders>
              <w:top w:val="nil"/>
              <w:right w:val="single" w:sz="4" w:space="0" w:color="000000"/>
            </w:tcBorders>
          </w:tcPr>
          <w:p w:rsidR="00B04AE3" w:rsidRDefault="00B04AE3">
            <w:pPr>
              <w:rPr>
                <w:sz w:val="2"/>
                <w:szCs w:val="2"/>
              </w:rPr>
            </w:pPr>
          </w:p>
        </w:tc>
        <w:tc>
          <w:tcPr>
            <w:tcW w:w="5538" w:type="dxa"/>
            <w:tcBorders>
              <w:left w:val="single" w:sz="4" w:space="0" w:color="000000"/>
              <w:right w:val="single" w:sz="4" w:space="0" w:color="000000"/>
            </w:tcBorders>
          </w:tcPr>
          <w:p w:rsidR="00B04AE3" w:rsidRDefault="00B04AE3">
            <w:pPr>
              <w:pStyle w:val="TableParagraph"/>
              <w:numPr>
                <w:ilvl w:val="0"/>
                <w:numId w:val="55"/>
              </w:numPr>
              <w:tabs>
                <w:tab w:val="left" w:pos="536"/>
              </w:tabs>
              <w:spacing w:line="268" w:lineRule="exact"/>
              <w:jc w:val="left"/>
              <w:rPr>
                <w:sz w:val="21"/>
              </w:rPr>
            </w:pPr>
            <w:r>
              <w:rPr>
                <w:rFonts w:hint="eastAsia"/>
                <w:sz w:val="21"/>
              </w:rPr>
              <w:t>直接进入海域或进入江、河、湖、库等水环境；</w:t>
            </w:r>
          </w:p>
          <w:p w:rsidR="00B04AE3" w:rsidRDefault="00B04AE3">
            <w:pPr>
              <w:pStyle w:val="TableParagraph"/>
              <w:numPr>
                <w:ilvl w:val="0"/>
                <w:numId w:val="55"/>
              </w:numPr>
              <w:tabs>
                <w:tab w:val="left" w:pos="536"/>
              </w:tabs>
              <w:spacing w:before="4"/>
              <w:jc w:val="left"/>
              <w:rPr>
                <w:sz w:val="21"/>
              </w:rPr>
            </w:pPr>
            <w:r>
              <w:rPr>
                <w:rFonts w:hint="eastAsia"/>
                <w:sz w:val="21"/>
              </w:rPr>
              <w:t>进入城市下水道再入江、河、湖、库或再进入海域；</w:t>
            </w:r>
          </w:p>
          <w:p w:rsidR="00B04AE3" w:rsidRDefault="00B04AE3">
            <w:pPr>
              <w:pStyle w:val="TableParagraph"/>
              <w:numPr>
                <w:ilvl w:val="0"/>
                <w:numId w:val="55"/>
              </w:numPr>
              <w:tabs>
                <w:tab w:val="left" w:pos="536"/>
              </w:tabs>
              <w:spacing w:before="2" w:line="244" w:lineRule="auto"/>
              <w:ind w:left="8" w:right="-15" w:firstLine="0"/>
              <w:jc w:val="left"/>
              <w:rPr>
                <w:sz w:val="21"/>
              </w:rPr>
            </w:pPr>
            <w:r>
              <w:rPr>
                <w:rFonts w:hint="eastAsia"/>
                <w:spacing w:val="-2"/>
                <w:sz w:val="21"/>
              </w:rPr>
              <w:t>未依法取得污水排入排水管网许可，进入城镇污水处理厂；</w:t>
            </w:r>
          </w:p>
          <w:p w:rsidR="00B04AE3" w:rsidRDefault="00B04AE3">
            <w:pPr>
              <w:pStyle w:val="TableParagraph"/>
              <w:numPr>
                <w:ilvl w:val="0"/>
                <w:numId w:val="55"/>
              </w:numPr>
              <w:tabs>
                <w:tab w:val="left" w:pos="536"/>
              </w:tabs>
              <w:spacing w:line="248" w:lineRule="exact"/>
              <w:jc w:val="left"/>
              <w:rPr>
                <w:sz w:val="21"/>
              </w:rPr>
            </w:pPr>
            <w:r>
              <w:rPr>
                <w:rFonts w:hint="eastAsia"/>
                <w:sz w:val="21"/>
              </w:rPr>
              <w:t>直接进入污灌农田或蒸发地；</w:t>
            </w:r>
          </w:p>
        </w:tc>
        <w:tc>
          <w:tcPr>
            <w:tcW w:w="851" w:type="dxa"/>
            <w:tcBorders>
              <w:top w:val="single" w:sz="4" w:space="0" w:color="000000"/>
              <w:left w:val="single" w:sz="4" w:space="0" w:color="000000"/>
              <w:bottom w:val="single" w:sz="4" w:space="0" w:color="000000"/>
            </w:tcBorders>
          </w:tcPr>
          <w:p w:rsidR="00B04AE3" w:rsidRDefault="00B04AE3">
            <w:pPr>
              <w:pStyle w:val="TableParagraph"/>
              <w:jc w:val="left"/>
              <w:rPr>
                <w:b/>
              </w:rPr>
            </w:pPr>
          </w:p>
          <w:p w:rsidR="00B04AE3" w:rsidRDefault="00B04AE3">
            <w:pPr>
              <w:pStyle w:val="TableParagraph"/>
              <w:spacing w:before="7"/>
              <w:jc w:val="left"/>
              <w:rPr>
                <w:b/>
                <w:sz w:val="21"/>
              </w:rPr>
            </w:pPr>
          </w:p>
          <w:p w:rsidR="00B04AE3" w:rsidRDefault="00B04AE3">
            <w:pPr>
              <w:pStyle w:val="TableParagraph"/>
              <w:ind w:left="195" w:right="177"/>
              <w:rPr>
                <w:rFonts w:ascii="Times New Roman"/>
                <w:sz w:val="21"/>
              </w:rPr>
            </w:pPr>
            <w:r>
              <w:rPr>
                <w:rFonts w:ascii="Times New Roman"/>
                <w:sz w:val="21"/>
              </w:rPr>
              <w:t>12</w:t>
            </w:r>
          </w:p>
        </w:tc>
        <w:tc>
          <w:tcPr>
            <w:tcW w:w="640" w:type="dxa"/>
            <w:tcBorders>
              <w:top w:val="single" w:sz="4" w:space="0" w:color="000000"/>
              <w:bottom w:val="single" w:sz="4" w:space="0" w:color="000000"/>
            </w:tcBorders>
          </w:tcPr>
          <w:p w:rsidR="00B04AE3" w:rsidRDefault="00B04AE3">
            <w:pPr>
              <w:pStyle w:val="TableParagraph"/>
              <w:jc w:val="left"/>
              <w:rPr>
                <w:b/>
              </w:rPr>
            </w:pPr>
          </w:p>
          <w:p w:rsidR="00B04AE3" w:rsidRDefault="00B04AE3">
            <w:pPr>
              <w:pStyle w:val="TableParagraph"/>
              <w:spacing w:before="7"/>
              <w:jc w:val="left"/>
              <w:rPr>
                <w:b/>
                <w:sz w:val="21"/>
              </w:rPr>
            </w:pPr>
          </w:p>
          <w:p w:rsidR="00B04AE3" w:rsidRDefault="00B04AE3">
            <w:pPr>
              <w:pStyle w:val="TableParagraph"/>
              <w:ind w:right="245"/>
              <w:jc w:val="right"/>
              <w:rPr>
                <w:rFonts w:ascii="Times New Roman"/>
                <w:sz w:val="21"/>
              </w:rPr>
            </w:pPr>
            <w:r>
              <w:rPr>
                <w:rFonts w:ascii="Times New Roman"/>
                <w:w w:val="99"/>
                <w:sz w:val="21"/>
              </w:rPr>
              <w:t>0</w:t>
            </w:r>
          </w:p>
        </w:tc>
      </w:tr>
      <w:tr w:rsidR="00B04AE3">
        <w:trPr>
          <w:trHeight w:val="817"/>
        </w:trPr>
        <w:tc>
          <w:tcPr>
            <w:tcW w:w="1249" w:type="dxa"/>
            <w:vMerge w:val="restart"/>
            <w:tcBorders>
              <w:right w:val="single" w:sz="4" w:space="0" w:color="000000"/>
            </w:tcBorders>
          </w:tcPr>
          <w:p w:rsidR="00B04AE3" w:rsidRDefault="00B04AE3">
            <w:pPr>
              <w:pStyle w:val="TableParagraph"/>
              <w:jc w:val="left"/>
              <w:rPr>
                <w:b/>
                <w:sz w:val="20"/>
              </w:rPr>
            </w:pPr>
          </w:p>
          <w:p w:rsidR="00B04AE3" w:rsidRDefault="00B04AE3">
            <w:pPr>
              <w:pStyle w:val="TableParagraph"/>
              <w:spacing w:before="162" w:line="244" w:lineRule="auto"/>
              <w:ind w:left="100" w:right="82"/>
              <w:jc w:val="left"/>
              <w:rPr>
                <w:sz w:val="21"/>
              </w:rPr>
            </w:pPr>
            <w:r>
              <w:rPr>
                <w:rFonts w:hint="eastAsia"/>
                <w:sz w:val="21"/>
              </w:rPr>
              <w:t>厂内危险废物环境管理</w:t>
            </w:r>
          </w:p>
        </w:tc>
        <w:tc>
          <w:tcPr>
            <w:tcW w:w="5538" w:type="dxa"/>
            <w:tcBorders>
              <w:left w:val="single" w:sz="4" w:space="0" w:color="000000"/>
              <w:right w:val="single" w:sz="4" w:space="0" w:color="000000"/>
            </w:tcBorders>
          </w:tcPr>
          <w:p w:rsidR="00B04AE3" w:rsidRDefault="00B04AE3">
            <w:pPr>
              <w:pStyle w:val="TableParagraph"/>
              <w:numPr>
                <w:ilvl w:val="0"/>
                <w:numId w:val="56"/>
              </w:numPr>
              <w:tabs>
                <w:tab w:val="left" w:pos="536"/>
              </w:tabs>
              <w:jc w:val="left"/>
              <w:rPr>
                <w:sz w:val="21"/>
              </w:rPr>
            </w:pPr>
            <w:r>
              <w:rPr>
                <w:rFonts w:hint="eastAsia"/>
                <w:sz w:val="21"/>
              </w:rPr>
              <w:t>不涉及危险废物的；</w:t>
            </w:r>
          </w:p>
          <w:p w:rsidR="00B04AE3" w:rsidRDefault="00B04AE3">
            <w:pPr>
              <w:pStyle w:val="TableParagraph"/>
              <w:numPr>
                <w:ilvl w:val="0"/>
                <w:numId w:val="56"/>
              </w:numPr>
              <w:tabs>
                <w:tab w:val="left" w:pos="512"/>
              </w:tabs>
              <w:spacing w:before="4" w:line="270" w:lineRule="atLeast"/>
              <w:ind w:left="8" w:right="23" w:firstLine="0"/>
              <w:jc w:val="left"/>
              <w:rPr>
                <w:sz w:val="21"/>
              </w:rPr>
            </w:pPr>
            <w:r>
              <w:rPr>
                <w:rFonts w:hint="eastAsia"/>
                <w:spacing w:val="-10"/>
                <w:sz w:val="21"/>
              </w:rPr>
              <w:t>针对危险废物分区贮存、运输、利用、处置具有完善的</w:t>
            </w:r>
            <w:r>
              <w:rPr>
                <w:rFonts w:hint="eastAsia"/>
                <w:spacing w:val="-9"/>
                <w:sz w:val="21"/>
              </w:rPr>
              <w:t>专业设施和风险防控措施；</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6"/>
              <w:jc w:val="left"/>
              <w:rPr>
                <w:b/>
              </w:rPr>
            </w:pPr>
          </w:p>
          <w:p w:rsidR="00B04AE3" w:rsidRDefault="00B04AE3">
            <w:pPr>
              <w:pStyle w:val="TableParagraph"/>
              <w:ind w:left="18"/>
              <w:rPr>
                <w:rFonts w:ascii="Times New Roman"/>
                <w:sz w:val="21"/>
              </w:rPr>
            </w:pPr>
            <w:r>
              <w:rPr>
                <w:rFonts w:ascii="Times New Roman"/>
                <w:w w:val="99"/>
                <w:sz w:val="21"/>
              </w:rPr>
              <w:t>0</w:t>
            </w:r>
          </w:p>
        </w:tc>
        <w:tc>
          <w:tcPr>
            <w:tcW w:w="640" w:type="dxa"/>
            <w:tcBorders>
              <w:top w:val="single" w:sz="4" w:space="0" w:color="000000"/>
              <w:bottom w:val="single" w:sz="4" w:space="0" w:color="000000"/>
            </w:tcBorders>
          </w:tcPr>
          <w:p w:rsidR="00B04AE3" w:rsidRDefault="00B04AE3">
            <w:pPr>
              <w:pStyle w:val="TableParagraph"/>
              <w:spacing w:before="6"/>
              <w:jc w:val="left"/>
              <w:rPr>
                <w:b/>
              </w:rPr>
            </w:pPr>
          </w:p>
          <w:p w:rsidR="00B04AE3" w:rsidRDefault="00B04AE3">
            <w:pPr>
              <w:pStyle w:val="TableParagraph"/>
              <w:ind w:right="245"/>
              <w:jc w:val="right"/>
              <w:rPr>
                <w:rFonts w:ascii="Times New Roman"/>
                <w:sz w:val="21"/>
              </w:rPr>
            </w:pPr>
            <w:r>
              <w:rPr>
                <w:rFonts w:ascii="Times New Roman"/>
                <w:w w:val="99"/>
                <w:sz w:val="21"/>
              </w:rPr>
              <w:t>0</w:t>
            </w:r>
          </w:p>
        </w:tc>
      </w:tr>
      <w:tr w:rsidR="00B04AE3">
        <w:trPr>
          <w:trHeight w:val="545"/>
        </w:trPr>
        <w:tc>
          <w:tcPr>
            <w:tcW w:w="1249" w:type="dxa"/>
            <w:vMerge/>
            <w:tcBorders>
              <w:top w:val="nil"/>
              <w:right w:val="single" w:sz="4" w:space="0" w:color="000000"/>
            </w:tcBorders>
          </w:tcPr>
          <w:p w:rsidR="00B04AE3" w:rsidRDefault="00B04AE3">
            <w:pPr>
              <w:rPr>
                <w:sz w:val="2"/>
                <w:szCs w:val="2"/>
              </w:rPr>
            </w:pPr>
          </w:p>
        </w:tc>
        <w:tc>
          <w:tcPr>
            <w:tcW w:w="5538" w:type="dxa"/>
            <w:tcBorders>
              <w:left w:val="single" w:sz="4" w:space="0" w:color="000000"/>
              <w:right w:val="single" w:sz="4" w:space="0" w:color="000000"/>
            </w:tcBorders>
          </w:tcPr>
          <w:p w:rsidR="00B04AE3" w:rsidRDefault="00B04AE3">
            <w:pPr>
              <w:pStyle w:val="TableParagraph"/>
              <w:spacing w:before="1"/>
              <w:ind w:left="8"/>
              <w:jc w:val="left"/>
              <w:rPr>
                <w:sz w:val="21"/>
              </w:rPr>
            </w:pPr>
            <w:r>
              <w:rPr>
                <w:rFonts w:hint="eastAsia"/>
                <w:sz w:val="21"/>
              </w:rPr>
              <w:t>不具备完善的危险废物贮存、运输、利用、处置设施和风险</w:t>
            </w:r>
          </w:p>
          <w:p w:rsidR="00B04AE3" w:rsidRDefault="00B04AE3">
            <w:pPr>
              <w:pStyle w:val="TableParagraph"/>
              <w:spacing w:before="2" w:line="253" w:lineRule="exact"/>
              <w:ind w:left="8"/>
              <w:jc w:val="left"/>
              <w:rPr>
                <w:sz w:val="21"/>
              </w:rPr>
            </w:pPr>
            <w:r>
              <w:rPr>
                <w:rFonts w:hint="eastAsia"/>
                <w:sz w:val="21"/>
              </w:rPr>
              <w:t>防控措施</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before="152"/>
              <w:ind w:left="195" w:right="177"/>
              <w:rPr>
                <w:rFonts w:ascii="Times New Roman"/>
                <w:sz w:val="21"/>
              </w:rPr>
            </w:pPr>
            <w:r>
              <w:rPr>
                <w:rFonts w:ascii="Times New Roman"/>
                <w:sz w:val="21"/>
              </w:rPr>
              <w:t>10</w:t>
            </w:r>
          </w:p>
        </w:tc>
        <w:tc>
          <w:tcPr>
            <w:tcW w:w="640" w:type="dxa"/>
            <w:tcBorders>
              <w:top w:val="single" w:sz="4" w:space="0" w:color="000000"/>
              <w:bottom w:val="single" w:sz="4" w:space="0" w:color="000000"/>
            </w:tcBorders>
          </w:tcPr>
          <w:p w:rsidR="00B04AE3" w:rsidRDefault="00B04AE3">
            <w:pPr>
              <w:pStyle w:val="TableParagraph"/>
              <w:spacing w:before="152"/>
              <w:ind w:right="245"/>
              <w:jc w:val="right"/>
              <w:rPr>
                <w:rFonts w:ascii="Times New Roman"/>
                <w:sz w:val="21"/>
              </w:rPr>
            </w:pPr>
            <w:r>
              <w:rPr>
                <w:rFonts w:ascii="Times New Roman"/>
                <w:w w:val="99"/>
                <w:sz w:val="21"/>
              </w:rPr>
              <w:t>0</w:t>
            </w:r>
          </w:p>
        </w:tc>
      </w:tr>
      <w:tr w:rsidR="00B04AE3">
        <w:trPr>
          <w:trHeight w:val="340"/>
        </w:trPr>
        <w:tc>
          <w:tcPr>
            <w:tcW w:w="1249" w:type="dxa"/>
            <w:vMerge w:val="restart"/>
            <w:tcBorders>
              <w:right w:val="single" w:sz="4" w:space="0" w:color="000000"/>
            </w:tcBorders>
          </w:tcPr>
          <w:p w:rsidR="00B04AE3" w:rsidRDefault="00B04AE3">
            <w:pPr>
              <w:pStyle w:val="TableParagraph"/>
              <w:spacing w:before="7"/>
              <w:jc w:val="left"/>
              <w:rPr>
                <w:b/>
                <w:sz w:val="23"/>
              </w:rPr>
            </w:pPr>
          </w:p>
          <w:p w:rsidR="00B04AE3" w:rsidRDefault="00B04AE3">
            <w:pPr>
              <w:pStyle w:val="TableParagraph"/>
              <w:spacing w:before="1" w:line="242" w:lineRule="auto"/>
              <w:ind w:left="100" w:right="31" w:hanging="53"/>
              <w:jc w:val="both"/>
              <w:rPr>
                <w:sz w:val="21"/>
              </w:rPr>
            </w:pPr>
            <w:r>
              <w:rPr>
                <w:rFonts w:hint="eastAsia"/>
                <w:sz w:val="21"/>
              </w:rPr>
              <w:t>近</w:t>
            </w:r>
            <w:r>
              <w:rPr>
                <w:rFonts w:ascii="Times New Roman" w:eastAsia="Times New Roman"/>
                <w:sz w:val="21"/>
              </w:rPr>
              <w:t>3</w:t>
            </w:r>
            <w:r>
              <w:rPr>
                <w:rFonts w:hint="eastAsia"/>
                <w:sz w:val="21"/>
              </w:rPr>
              <w:t>年内突发水环境事件发生情况</w:t>
            </w:r>
          </w:p>
        </w:tc>
        <w:tc>
          <w:tcPr>
            <w:tcW w:w="5538" w:type="dxa"/>
            <w:tcBorders>
              <w:left w:val="single" w:sz="4" w:space="0" w:color="000000"/>
              <w:right w:val="single" w:sz="4" w:space="0" w:color="000000"/>
            </w:tcBorders>
          </w:tcPr>
          <w:p w:rsidR="00B04AE3" w:rsidRDefault="00B04AE3">
            <w:pPr>
              <w:pStyle w:val="TableParagraph"/>
              <w:ind w:left="8"/>
              <w:jc w:val="left"/>
              <w:rPr>
                <w:sz w:val="21"/>
              </w:rPr>
            </w:pPr>
            <w:r>
              <w:rPr>
                <w:rFonts w:hint="eastAsia"/>
                <w:sz w:val="21"/>
              </w:rPr>
              <w:t>发生过特别重大及重大等级突发水环境事件的</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line="241" w:lineRule="exact"/>
              <w:ind w:left="18"/>
              <w:rPr>
                <w:rFonts w:ascii="Times New Roman"/>
                <w:sz w:val="21"/>
              </w:rPr>
            </w:pPr>
            <w:r>
              <w:rPr>
                <w:rFonts w:ascii="Times New Roman"/>
                <w:w w:val="99"/>
                <w:sz w:val="21"/>
              </w:rPr>
              <w:t>8</w:t>
            </w:r>
          </w:p>
        </w:tc>
        <w:tc>
          <w:tcPr>
            <w:tcW w:w="640" w:type="dxa"/>
            <w:tcBorders>
              <w:top w:val="single" w:sz="4" w:space="0" w:color="000000"/>
              <w:bottom w:val="single" w:sz="4" w:space="0" w:color="000000"/>
            </w:tcBorders>
          </w:tcPr>
          <w:p w:rsidR="00B04AE3" w:rsidRDefault="00B04AE3">
            <w:pPr>
              <w:pStyle w:val="TableParagraph"/>
              <w:spacing w:before="50"/>
              <w:ind w:right="245"/>
              <w:jc w:val="right"/>
              <w:rPr>
                <w:rFonts w:ascii="Times New Roman"/>
                <w:sz w:val="21"/>
              </w:rPr>
            </w:pPr>
            <w:r>
              <w:rPr>
                <w:rFonts w:ascii="Times New Roman"/>
                <w:w w:val="99"/>
                <w:sz w:val="21"/>
              </w:rPr>
              <w:t>0</w:t>
            </w:r>
          </w:p>
        </w:tc>
      </w:tr>
      <w:tr w:rsidR="00B04AE3">
        <w:trPr>
          <w:trHeight w:val="340"/>
        </w:trPr>
        <w:tc>
          <w:tcPr>
            <w:tcW w:w="1249" w:type="dxa"/>
            <w:vMerge/>
            <w:tcBorders>
              <w:top w:val="nil"/>
              <w:right w:val="single" w:sz="4" w:space="0" w:color="000000"/>
            </w:tcBorders>
          </w:tcPr>
          <w:p w:rsidR="00B04AE3" w:rsidRDefault="00B04AE3">
            <w:pPr>
              <w:rPr>
                <w:sz w:val="2"/>
                <w:szCs w:val="2"/>
              </w:rPr>
            </w:pPr>
          </w:p>
        </w:tc>
        <w:tc>
          <w:tcPr>
            <w:tcW w:w="5538" w:type="dxa"/>
            <w:tcBorders>
              <w:left w:val="single" w:sz="4" w:space="0" w:color="000000"/>
              <w:right w:val="single" w:sz="4" w:space="0" w:color="000000"/>
            </w:tcBorders>
          </w:tcPr>
          <w:p w:rsidR="00B04AE3" w:rsidRDefault="00B04AE3">
            <w:pPr>
              <w:pStyle w:val="TableParagraph"/>
              <w:ind w:left="8"/>
              <w:jc w:val="left"/>
              <w:rPr>
                <w:sz w:val="21"/>
              </w:rPr>
            </w:pPr>
            <w:r>
              <w:rPr>
                <w:rFonts w:hint="eastAsia"/>
                <w:sz w:val="21"/>
              </w:rPr>
              <w:t>发生过较大等级突发水环境事件的</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line="241" w:lineRule="exact"/>
              <w:ind w:left="18"/>
              <w:rPr>
                <w:rFonts w:ascii="Times New Roman"/>
                <w:sz w:val="21"/>
              </w:rPr>
            </w:pPr>
            <w:r>
              <w:rPr>
                <w:rFonts w:ascii="Times New Roman"/>
                <w:w w:val="99"/>
                <w:sz w:val="21"/>
              </w:rPr>
              <w:t>6</w:t>
            </w:r>
          </w:p>
        </w:tc>
        <w:tc>
          <w:tcPr>
            <w:tcW w:w="640" w:type="dxa"/>
            <w:tcBorders>
              <w:top w:val="single" w:sz="4" w:space="0" w:color="000000"/>
              <w:bottom w:val="single" w:sz="4" w:space="0" w:color="000000"/>
            </w:tcBorders>
          </w:tcPr>
          <w:p w:rsidR="00B04AE3" w:rsidRDefault="00B04AE3">
            <w:pPr>
              <w:pStyle w:val="TableParagraph"/>
              <w:spacing w:before="50"/>
              <w:ind w:right="245"/>
              <w:jc w:val="right"/>
              <w:rPr>
                <w:rFonts w:ascii="Times New Roman"/>
                <w:sz w:val="21"/>
              </w:rPr>
            </w:pPr>
            <w:r>
              <w:rPr>
                <w:rFonts w:ascii="Times New Roman"/>
                <w:w w:val="99"/>
                <w:sz w:val="21"/>
              </w:rPr>
              <w:t>0</w:t>
            </w:r>
          </w:p>
        </w:tc>
      </w:tr>
      <w:tr w:rsidR="00B04AE3">
        <w:trPr>
          <w:trHeight w:val="340"/>
        </w:trPr>
        <w:tc>
          <w:tcPr>
            <w:tcW w:w="1249" w:type="dxa"/>
            <w:vMerge/>
            <w:tcBorders>
              <w:top w:val="nil"/>
              <w:right w:val="single" w:sz="4" w:space="0" w:color="000000"/>
            </w:tcBorders>
          </w:tcPr>
          <w:p w:rsidR="00B04AE3" w:rsidRDefault="00B04AE3">
            <w:pPr>
              <w:rPr>
                <w:sz w:val="2"/>
                <w:szCs w:val="2"/>
              </w:rPr>
            </w:pPr>
          </w:p>
        </w:tc>
        <w:tc>
          <w:tcPr>
            <w:tcW w:w="5538" w:type="dxa"/>
            <w:tcBorders>
              <w:left w:val="single" w:sz="4" w:space="0" w:color="000000"/>
              <w:right w:val="single" w:sz="4" w:space="0" w:color="000000"/>
            </w:tcBorders>
          </w:tcPr>
          <w:p w:rsidR="00B04AE3" w:rsidRDefault="00B04AE3">
            <w:pPr>
              <w:pStyle w:val="TableParagraph"/>
              <w:ind w:left="8"/>
              <w:jc w:val="left"/>
              <w:rPr>
                <w:sz w:val="21"/>
              </w:rPr>
            </w:pPr>
            <w:r>
              <w:rPr>
                <w:rFonts w:hint="eastAsia"/>
                <w:sz w:val="21"/>
              </w:rPr>
              <w:t>发生过一般等级突发水环境事件的</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line="241" w:lineRule="exact"/>
              <w:ind w:left="18"/>
              <w:rPr>
                <w:rFonts w:ascii="Times New Roman"/>
                <w:sz w:val="21"/>
              </w:rPr>
            </w:pPr>
            <w:r>
              <w:rPr>
                <w:rFonts w:ascii="Times New Roman"/>
                <w:w w:val="99"/>
                <w:sz w:val="21"/>
              </w:rPr>
              <w:t>4</w:t>
            </w:r>
          </w:p>
        </w:tc>
        <w:tc>
          <w:tcPr>
            <w:tcW w:w="640" w:type="dxa"/>
            <w:tcBorders>
              <w:top w:val="single" w:sz="4" w:space="0" w:color="000000"/>
              <w:bottom w:val="single" w:sz="4" w:space="0" w:color="000000"/>
            </w:tcBorders>
          </w:tcPr>
          <w:p w:rsidR="00B04AE3" w:rsidRDefault="00B04AE3">
            <w:pPr>
              <w:pStyle w:val="TableParagraph"/>
              <w:spacing w:before="50"/>
              <w:ind w:right="245"/>
              <w:jc w:val="right"/>
              <w:rPr>
                <w:rFonts w:ascii="Times New Roman"/>
                <w:sz w:val="21"/>
              </w:rPr>
            </w:pPr>
            <w:r>
              <w:rPr>
                <w:rFonts w:ascii="Times New Roman"/>
                <w:w w:val="99"/>
                <w:sz w:val="21"/>
              </w:rPr>
              <w:t>0</w:t>
            </w:r>
          </w:p>
        </w:tc>
      </w:tr>
      <w:tr w:rsidR="00B04AE3">
        <w:trPr>
          <w:trHeight w:val="340"/>
        </w:trPr>
        <w:tc>
          <w:tcPr>
            <w:tcW w:w="1249" w:type="dxa"/>
            <w:vMerge/>
            <w:tcBorders>
              <w:top w:val="nil"/>
              <w:right w:val="single" w:sz="4" w:space="0" w:color="000000"/>
            </w:tcBorders>
          </w:tcPr>
          <w:p w:rsidR="00B04AE3" w:rsidRDefault="00B04AE3">
            <w:pPr>
              <w:rPr>
                <w:sz w:val="2"/>
                <w:szCs w:val="2"/>
              </w:rPr>
            </w:pPr>
          </w:p>
        </w:tc>
        <w:tc>
          <w:tcPr>
            <w:tcW w:w="5538" w:type="dxa"/>
            <w:tcBorders>
              <w:left w:val="single" w:sz="4" w:space="0" w:color="000000"/>
              <w:right w:val="single" w:sz="4" w:space="0" w:color="000000"/>
            </w:tcBorders>
          </w:tcPr>
          <w:p w:rsidR="00B04AE3" w:rsidRDefault="00B04AE3">
            <w:pPr>
              <w:pStyle w:val="TableParagraph"/>
              <w:ind w:left="8"/>
              <w:jc w:val="left"/>
              <w:rPr>
                <w:sz w:val="21"/>
              </w:rPr>
            </w:pPr>
            <w:r>
              <w:rPr>
                <w:rFonts w:hint="eastAsia"/>
                <w:sz w:val="21"/>
              </w:rPr>
              <w:t>未发生突发水环境事件的</w:t>
            </w:r>
          </w:p>
        </w:tc>
        <w:tc>
          <w:tcPr>
            <w:tcW w:w="851" w:type="dxa"/>
            <w:tcBorders>
              <w:top w:val="single" w:sz="4" w:space="0" w:color="000000"/>
              <w:left w:val="single" w:sz="4" w:space="0" w:color="000000"/>
              <w:bottom w:val="single" w:sz="4" w:space="0" w:color="000000"/>
            </w:tcBorders>
          </w:tcPr>
          <w:p w:rsidR="00B04AE3" w:rsidRDefault="00B04AE3">
            <w:pPr>
              <w:pStyle w:val="TableParagraph"/>
              <w:spacing w:line="241" w:lineRule="exact"/>
              <w:ind w:left="18"/>
              <w:rPr>
                <w:rFonts w:ascii="Times New Roman"/>
                <w:sz w:val="21"/>
              </w:rPr>
            </w:pPr>
            <w:r>
              <w:rPr>
                <w:rFonts w:ascii="Times New Roman"/>
                <w:w w:val="99"/>
                <w:sz w:val="21"/>
              </w:rPr>
              <w:t>0</w:t>
            </w:r>
          </w:p>
        </w:tc>
        <w:tc>
          <w:tcPr>
            <w:tcW w:w="640" w:type="dxa"/>
            <w:tcBorders>
              <w:top w:val="single" w:sz="4" w:space="0" w:color="000000"/>
              <w:bottom w:val="single" w:sz="4" w:space="0" w:color="000000"/>
            </w:tcBorders>
          </w:tcPr>
          <w:p w:rsidR="00B04AE3" w:rsidRDefault="00B04AE3">
            <w:pPr>
              <w:pStyle w:val="TableParagraph"/>
              <w:spacing w:before="50"/>
              <w:ind w:right="245"/>
              <w:jc w:val="right"/>
              <w:rPr>
                <w:rFonts w:ascii="Times New Roman"/>
                <w:sz w:val="21"/>
              </w:rPr>
            </w:pPr>
            <w:r>
              <w:rPr>
                <w:rFonts w:ascii="Times New Roman"/>
                <w:w w:val="99"/>
                <w:sz w:val="21"/>
              </w:rPr>
              <w:t>0</w:t>
            </w:r>
          </w:p>
        </w:tc>
      </w:tr>
      <w:tr w:rsidR="00B04AE3">
        <w:trPr>
          <w:trHeight w:val="340"/>
        </w:trPr>
        <w:tc>
          <w:tcPr>
            <w:tcW w:w="6787" w:type="dxa"/>
            <w:gridSpan w:val="2"/>
            <w:tcBorders>
              <w:right w:val="single" w:sz="4" w:space="0" w:color="000000"/>
            </w:tcBorders>
          </w:tcPr>
          <w:p w:rsidR="00B04AE3" w:rsidRDefault="00B04AE3">
            <w:pPr>
              <w:pStyle w:val="TableParagraph"/>
              <w:spacing w:before="28"/>
              <w:ind w:left="3156" w:right="3136"/>
            </w:pPr>
            <w:r>
              <w:rPr>
                <w:rFonts w:hint="eastAsia"/>
              </w:rPr>
              <w:t>合计</w:t>
            </w:r>
          </w:p>
        </w:tc>
        <w:tc>
          <w:tcPr>
            <w:tcW w:w="1491" w:type="dxa"/>
            <w:gridSpan w:val="2"/>
            <w:tcBorders>
              <w:top w:val="single" w:sz="4" w:space="0" w:color="000000"/>
              <w:left w:val="single" w:sz="4" w:space="0" w:color="000000"/>
            </w:tcBorders>
          </w:tcPr>
          <w:p w:rsidR="00B04AE3" w:rsidRDefault="00B04AE3">
            <w:pPr>
              <w:pStyle w:val="TableParagraph"/>
              <w:spacing w:before="50"/>
              <w:ind w:left="623" w:right="602"/>
              <w:rPr>
                <w:rFonts w:ascii="Times New Roman"/>
                <w:sz w:val="21"/>
              </w:rPr>
            </w:pPr>
            <w:r>
              <w:rPr>
                <w:rFonts w:ascii="Times New Roman"/>
                <w:sz w:val="21"/>
              </w:rPr>
              <w:t>16</w:t>
            </w:r>
          </w:p>
        </w:tc>
      </w:tr>
      <w:tr w:rsidR="00B04AE3">
        <w:trPr>
          <w:trHeight w:val="340"/>
        </w:trPr>
        <w:tc>
          <w:tcPr>
            <w:tcW w:w="8278" w:type="dxa"/>
            <w:gridSpan w:val="4"/>
          </w:tcPr>
          <w:p w:rsidR="00B04AE3" w:rsidRDefault="00B04AE3">
            <w:pPr>
              <w:pStyle w:val="TableParagraph"/>
              <w:spacing w:before="33"/>
              <w:ind w:left="352"/>
              <w:jc w:val="left"/>
              <w:rPr>
                <w:rFonts w:ascii="Times New Roman" w:eastAsia="Times New Roman"/>
                <w:sz w:val="21"/>
              </w:rPr>
            </w:pPr>
            <w:r>
              <w:rPr>
                <w:rFonts w:hint="eastAsia"/>
                <w:sz w:val="21"/>
              </w:rPr>
              <w:t>注：本表中相关规范具体指</w:t>
            </w:r>
            <w:r>
              <w:rPr>
                <w:rFonts w:ascii="Times New Roman" w:eastAsia="Times New Roman"/>
                <w:sz w:val="21"/>
              </w:rPr>
              <w:t>GB 50483</w:t>
            </w:r>
            <w:r>
              <w:rPr>
                <w:rFonts w:hint="eastAsia"/>
                <w:sz w:val="21"/>
              </w:rPr>
              <w:t>、</w:t>
            </w:r>
            <w:r>
              <w:rPr>
                <w:rFonts w:ascii="Times New Roman" w:eastAsia="Times New Roman"/>
                <w:sz w:val="21"/>
              </w:rPr>
              <w:t>GB 50160</w:t>
            </w:r>
            <w:r>
              <w:rPr>
                <w:rFonts w:hint="eastAsia"/>
                <w:sz w:val="21"/>
              </w:rPr>
              <w:t>、</w:t>
            </w:r>
            <w:r>
              <w:rPr>
                <w:rFonts w:ascii="Times New Roman" w:eastAsia="Times New Roman"/>
                <w:sz w:val="21"/>
              </w:rPr>
              <w:t>GB 50351</w:t>
            </w:r>
            <w:r>
              <w:rPr>
                <w:rFonts w:hint="eastAsia"/>
                <w:sz w:val="21"/>
              </w:rPr>
              <w:t>、</w:t>
            </w:r>
            <w:r>
              <w:rPr>
                <w:rFonts w:ascii="Times New Roman" w:eastAsia="Times New Roman"/>
                <w:sz w:val="21"/>
              </w:rPr>
              <w:t>GB 50747</w:t>
            </w:r>
            <w:r>
              <w:rPr>
                <w:rFonts w:hint="eastAsia"/>
                <w:sz w:val="21"/>
              </w:rPr>
              <w:t>、</w:t>
            </w:r>
            <w:r>
              <w:rPr>
                <w:rFonts w:ascii="Times New Roman" w:eastAsia="Times New Roman"/>
                <w:sz w:val="21"/>
              </w:rPr>
              <w:t>SH 3015</w:t>
            </w:r>
          </w:p>
        </w:tc>
      </w:tr>
    </w:tbl>
    <w:p w:rsidR="00B04AE3" w:rsidRDefault="00B04AE3">
      <w:pPr>
        <w:pStyle w:val="BodyText"/>
        <w:spacing w:before="8"/>
        <w:rPr>
          <w:b/>
          <w:sz w:val="5"/>
        </w:rPr>
      </w:pPr>
    </w:p>
    <w:p w:rsidR="00B04AE3" w:rsidRDefault="00B04AE3">
      <w:pPr>
        <w:spacing w:before="74"/>
        <w:ind w:left="1277"/>
        <w:rPr>
          <w:b/>
          <w:sz w:val="24"/>
        </w:rPr>
      </w:pPr>
      <w:r>
        <w:rPr>
          <w:rFonts w:ascii="Times New Roman" w:eastAsia="Times New Roman"/>
          <w:b/>
          <w:sz w:val="24"/>
        </w:rPr>
        <w:t>3</w:t>
      </w:r>
      <w:r>
        <w:rPr>
          <w:rFonts w:hint="eastAsia"/>
          <w:b/>
          <w:sz w:val="24"/>
        </w:rPr>
        <w:t>、企业生产工艺过程与水环境风险控制水平</w:t>
      </w:r>
    </w:p>
    <w:p w:rsidR="00B04AE3" w:rsidRDefault="00B04AE3">
      <w:pPr>
        <w:pStyle w:val="BodyText"/>
        <w:spacing w:line="364" w:lineRule="auto"/>
        <w:ind w:left="797" w:right="675" w:firstLine="480"/>
        <w:jc w:val="both"/>
      </w:pPr>
      <w:r>
        <w:rPr>
          <w:rFonts w:hint="eastAsia"/>
        </w:rPr>
        <w:t>将企业生产工艺过程、大气环境风险防控措施及突发大气环境事件发生情况各项指标评估分值累加，得出生产工艺过程与大气环境风险控制水平值，按照表</w:t>
      </w:r>
      <w:r>
        <w:t xml:space="preserve">6.2-4 </w:t>
      </w:r>
      <w:r>
        <w:rPr>
          <w:rFonts w:hint="eastAsia"/>
        </w:rPr>
        <w:t>划分为</w:t>
      </w:r>
      <w:r>
        <w:t xml:space="preserve"> 4 </w:t>
      </w:r>
      <w:r>
        <w:rPr>
          <w:rFonts w:hint="eastAsia"/>
        </w:rPr>
        <w:t>个类型。</w:t>
      </w:r>
    </w:p>
    <w:p w:rsidR="00B04AE3" w:rsidRDefault="00B04AE3">
      <w:pPr>
        <w:spacing w:after="11" w:line="241" w:lineRule="exact"/>
        <w:ind w:left="2002"/>
        <w:rPr>
          <w:b/>
          <w:sz w:val="24"/>
        </w:rPr>
      </w:pPr>
      <w:r>
        <w:rPr>
          <w:rFonts w:hint="eastAsia"/>
          <w:b/>
          <w:sz w:val="24"/>
        </w:rPr>
        <w:t>表</w:t>
      </w:r>
      <w:r>
        <w:rPr>
          <w:b/>
          <w:sz w:val="24"/>
        </w:rPr>
        <w:t xml:space="preserve"> </w:t>
      </w:r>
      <w:r>
        <w:rPr>
          <w:rFonts w:ascii="Times New Roman" w:eastAsia="Times New Roman"/>
          <w:b/>
          <w:sz w:val="24"/>
        </w:rPr>
        <w:t xml:space="preserve">6.2-4 </w:t>
      </w:r>
      <w:r>
        <w:rPr>
          <w:rFonts w:hint="eastAsia"/>
          <w:b/>
          <w:sz w:val="24"/>
        </w:rPr>
        <w:t>企业生产工艺过程与环境风险控制水平类型划分</w:t>
      </w:r>
    </w:p>
    <w:tbl>
      <w:tblPr>
        <w:tblW w:w="8278" w:type="dxa"/>
        <w:tblInd w:w="8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4139"/>
        <w:gridCol w:w="4139"/>
      </w:tblGrid>
      <w:tr w:rsidR="00B04AE3">
        <w:trPr>
          <w:trHeight w:val="340"/>
        </w:trPr>
        <w:tc>
          <w:tcPr>
            <w:tcW w:w="4139" w:type="dxa"/>
            <w:tcBorders>
              <w:bottom w:val="single" w:sz="4" w:space="0" w:color="000000"/>
              <w:right w:val="single" w:sz="4" w:space="0" w:color="000000"/>
            </w:tcBorders>
          </w:tcPr>
          <w:p w:rsidR="00B04AE3" w:rsidRDefault="00B04AE3">
            <w:pPr>
              <w:pStyle w:val="TableParagraph"/>
              <w:spacing w:before="57" w:line="263" w:lineRule="exact"/>
              <w:ind w:left="15" w:right="496"/>
              <w:rPr>
                <w:sz w:val="21"/>
              </w:rPr>
            </w:pPr>
            <w:r>
              <w:rPr>
                <w:rFonts w:hint="eastAsia"/>
                <w:sz w:val="21"/>
              </w:rPr>
              <w:t>生产工艺过程与环境风险控制水平值</w:t>
            </w:r>
          </w:p>
        </w:tc>
        <w:tc>
          <w:tcPr>
            <w:tcW w:w="4139" w:type="dxa"/>
            <w:tcBorders>
              <w:left w:val="single" w:sz="4" w:space="0" w:color="000000"/>
              <w:bottom w:val="single" w:sz="4" w:space="0" w:color="000000"/>
            </w:tcBorders>
          </w:tcPr>
          <w:p w:rsidR="00B04AE3" w:rsidRDefault="00B04AE3">
            <w:pPr>
              <w:pStyle w:val="TableParagraph"/>
              <w:spacing w:before="57" w:line="263" w:lineRule="exact"/>
              <w:ind w:left="18" w:right="496"/>
              <w:rPr>
                <w:sz w:val="21"/>
              </w:rPr>
            </w:pPr>
            <w:r>
              <w:rPr>
                <w:rFonts w:hint="eastAsia"/>
                <w:sz w:val="21"/>
              </w:rPr>
              <w:t>生产工艺过程与环境风险控制水平类型</w:t>
            </w:r>
          </w:p>
        </w:tc>
      </w:tr>
      <w:tr w:rsidR="00B04AE3">
        <w:trPr>
          <w:trHeight w:val="340"/>
        </w:trPr>
        <w:tc>
          <w:tcPr>
            <w:tcW w:w="4139" w:type="dxa"/>
            <w:tcBorders>
              <w:top w:val="single" w:sz="4" w:space="0" w:color="000000"/>
              <w:bottom w:val="single" w:sz="4" w:space="0" w:color="000000"/>
              <w:right w:val="single" w:sz="4" w:space="0" w:color="000000"/>
            </w:tcBorders>
          </w:tcPr>
          <w:p w:rsidR="00B04AE3" w:rsidRDefault="00B04AE3">
            <w:pPr>
              <w:pStyle w:val="TableParagraph"/>
              <w:spacing w:before="57" w:line="263" w:lineRule="exact"/>
              <w:ind w:left="18" w:right="495"/>
              <w:rPr>
                <w:rFonts w:ascii="Times New Roman" w:eastAsia="Times New Roman"/>
                <w:sz w:val="21"/>
              </w:rPr>
            </w:pPr>
            <w:r>
              <w:rPr>
                <w:rFonts w:ascii="Times New Roman" w:eastAsia="Times New Roman"/>
                <w:sz w:val="21"/>
              </w:rPr>
              <w:t>M</w:t>
            </w:r>
            <w:r>
              <w:rPr>
                <w:rFonts w:hint="eastAsia"/>
                <w:sz w:val="21"/>
              </w:rPr>
              <w:t>＜</w:t>
            </w:r>
            <w:r>
              <w:rPr>
                <w:rFonts w:ascii="Times New Roman" w:eastAsia="Times New Roman"/>
                <w:sz w:val="21"/>
              </w:rPr>
              <w:t>25</w:t>
            </w:r>
          </w:p>
        </w:tc>
        <w:tc>
          <w:tcPr>
            <w:tcW w:w="4139" w:type="dxa"/>
            <w:tcBorders>
              <w:top w:val="single" w:sz="4" w:space="0" w:color="000000"/>
              <w:left w:val="single" w:sz="4" w:space="0" w:color="000000"/>
              <w:bottom w:val="single" w:sz="4" w:space="0" w:color="000000"/>
            </w:tcBorders>
            <w:shd w:val="clear" w:color="auto" w:fill="D9D9D9"/>
          </w:tcPr>
          <w:p w:rsidR="00B04AE3" w:rsidRDefault="00B04AE3">
            <w:pPr>
              <w:pStyle w:val="TableParagraph"/>
              <w:spacing w:before="76"/>
              <w:ind w:left="17" w:right="496"/>
              <w:rPr>
                <w:rFonts w:ascii="Times New Roman"/>
                <w:sz w:val="21"/>
              </w:rPr>
            </w:pPr>
            <w:r>
              <w:rPr>
                <w:rFonts w:ascii="Times New Roman"/>
                <w:sz w:val="21"/>
              </w:rPr>
              <w:t>M1</w:t>
            </w:r>
          </w:p>
        </w:tc>
      </w:tr>
      <w:tr w:rsidR="00B04AE3">
        <w:trPr>
          <w:trHeight w:val="340"/>
        </w:trPr>
        <w:tc>
          <w:tcPr>
            <w:tcW w:w="4139" w:type="dxa"/>
            <w:tcBorders>
              <w:top w:val="single" w:sz="4" w:space="0" w:color="000000"/>
              <w:bottom w:val="single" w:sz="4" w:space="0" w:color="000000"/>
              <w:right w:val="single" w:sz="4" w:space="0" w:color="000000"/>
            </w:tcBorders>
          </w:tcPr>
          <w:p w:rsidR="00B04AE3" w:rsidRDefault="00B04AE3">
            <w:pPr>
              <w:pStyle w:val="TableParagraph"/>
              <w:spacing w:before="55" w:line="265" w:lineRule="exact"/>
              <w:ind w:left="17" w:right="496"/>
              <w:rPr>
                <w:rFonts w:ascii="Times New Roman" w:hAnsi="Times New Roman"/>
                <w:sz w:val="21"/>
              </w:rPr>
            </w:pPr>
            <w:r>
              <w:rPr>
                <w:rFonts w:ascii="Times New Roman" w:hAnsi="Times New Roman"/>
                <w:sz w:val="21"/>
              </w:rPr>
              <w:t>25≤M</w:t>
            </w:r>
            <w:r>
              <w:rPr>
                <w:rFonts w:hint="eastAsia"/>
                <w:sz w:val="21"/>
              </w:rPr>
              <w:t>＜</w:t>
            </w:r>
            <w:r>
              <w:rPr>
                <w:rFonts w:ascii="Times New Roman" w:hAnsi="Times New Roman"/>
                <w:sz w:val="21"/>
              </w:rPr>
              <w:t>45</w:t>
            </w:r>
          </w:p>
        </w:tc>
        <w:tc>
          <w:tcPr>
            <w:tcW w:w="4139" w:type="dxa"/>
            <w:tcBorders>
              <w:top w:val="single" w:sz="4" w:space="0" w:color="000000"/>
              <w:left w:val="single" w:sz="4" w:space="0" w:color="000000"/>
              <w:bottom w:val="single" w:sz="4" w:space="0" w:color="000000"/>
            </w:tcBorders>
          </w:tcPr>
          <w:p w:rsidR="00B04AE3" w:rsidRDefault="00B04AE3">
            <w:pPr>
              <w:pStyle w:val="TableParagraph"/>
              <w:spacing w:before="74"/>
              <w:ind w:left="17" w:right="496"/>
              <w:rPr>
                <w:rFonts w:ascii="Times New Roman"/>
                <w:sz w:val="21"/>
              </w:rPr>
            </w:pPr>
            <w:r>
              <w:rPr>
                <w:rFonts w:ascii="Times New Roman"/>
                <w:sz w:val="21"/>
              </w:rPr>
              <w:t>M2</w:t>
            </w:r>
          </w:p>
        </w:tc>
      </w:tr>
      <w:tr w:rsidR="00B04AE3">
        <w:trPr>
          <w:trHeight w:val="340"/>
        </w:trPr>
        <w:tc>
          <w:tcPr>
            <w:tcW w:w="4139" w:type="dxa"/>
            <w:tcBorders>
              <w:top w:val="single" w:sz="4" w:space="0" w:color="000000"/>
              <w:bottom w:val="single" w:sz="4" w:space="0" w:color="000000"/>
              <w:right w:val="single" w:sz="4" w:space="0" w:color="000000"/>
            </w:tcBorders>
          </w:tcPr>
          <w:p w:rsidR="00B04AE3" w:rsidRDefault="00B04AE3">
            <w:pPr>
              <w:pStyle w:val="TableParagraph"/>
              <w:spacing w:before="55" w:line="264" w:lineRule="exact"/>
              <w:ind w:left="17" w:right="496"/>
              <w:rPr>
                <w:rFonts w:ascii="Times New Roman" w:hAnsi="Times New Roman"/>
                <w:sz w:val="21"/>
              </w:rPr>
            </w:pPr>
            <w:r>
              <w:rPr>
                <w:rFonts w:ascii="Times New Roman" w:hAnsi="Times New Roman"/>
                <w:sz w:val="21"/>
              </w:rPr>
              <w:t>45≤M</w:t>
            </w:r>
            <w:r>
              <w:rPr>
                <w:rFonts w:hint="eastAsia"/>
                <w:sz w:val="21"/>
              </w:rPr>
              <w:t>＜</w:t>
            </w:r>
            <w:r>
              <w:rPr>
                <w:rFonts w:ascii="Times New Roman" w:hAnsi="Times New Roman"/>
                <w:sz w:val="21"/>
              </w:rPr>
              <w:t>65</w:t>
            </w:r>
          </w:p>
        </w:tc>
        <w:tc>
          <w:tcPr>
            <w:tcW w:w="4139" w:type="dxa"/>
            <w:tcBorders>
              <w:top w:val="single" w:sz="4" w:space="0" w:color="000000"/>
              <w:left w:val="single" w:sz="4" w:space="0" w:color="000000"/>
              <w:bottom w:val="single" w:sz="4" w:space="0" w:color="000000"/>
            </w:tcBorders>
          </w:tcPr>
          <w:p w:rsidR="00B04AE3" w:rsidRDefault="00B04AE3">
            <w:pPr>
              <w:pStyle w:val="TableParagraph"/>
              <w:spacing w:before="74"/>
              <w:ind w:left="17" w:right="496"/>
              <w:rPr>
                <w:rFonts w:ascii="Times New Roman"/>
                <w:sz w:val="21"/>
              </w:rPr>
            </w:pPr>
            <w:r>
              <w:rPr>
                <w:rFonts w:ascii="Times New Roman"/>
                <w:sz w:val="21"/>
              </w:rPr>
              <w:t>M3</w:t>
            </w:r>
          </w:p>
        </w:tc>
      </w:tr>
      <w:tr w:rsidR="00B04AE3">
        <w:trPr>
          <w:trHeight w:val="339"/>
        </w:trPr>
        <w:tc>
          <w:tcPr>
            <w:tcW w:w="4139" w:type="dxa"/>
            <w:tcBorders>
              <w:top w:val="single" w:sz="4" w:space="0" w:color="000000"/>
              <w:right w:val="single" w:sz="4" w:space="0" w:color="000000"/>
            </w:tcBorders>
          </w:tcPr>
          <w:p w:rsidR="00B04AE3" w:rsidRDefault="00B04AE3">
            <w:pPr>
              <w:pStyle w:val="TableParagraph"/>
              <w:spacing w:before="70"/>
              <w:ind w:left="17" w:right="496"/>
              <w:rPr>
                <w:rFonts w:ascii="Times New Roman" w:hAnsi="Times New Roman"/>
                <w:sz w:val="21"/>
              </w:rPr>
            </w:pPr>
            <w:r>
              <w:rPr>
                <w:rFonts w:ascii="Times New Roman" w:hAnsi="Times New Roman"/>
                <w:sz w:val="21"/>
              </w:rPr>
              <w:t>M≥65</w:t>
            </w:r>
          </w:p>
        </w:tc>
        <w:tc>
          <w:tcPr>
            <w:tcW w:w="4139" w:type="dxa"/>
            <w:tcBorders>
              <w:top w:val="single" w:sz="4" w:space="0" w:color="000000"/>
              <w:left w:val="single" w:sz="4" w:space="0" w:color="000000"/>
            </w:tcBorders>
          </w:tcPr>
          <w:p w:rsidR="00B04AE3" w:rsidRDefault="00B04AE3">
            <w:pPr>
              <w:pStyle w:val="TableParagraph"/>
              <w:spacing w:before="74"/>
              <w:ind w:left="17" w:right="496"/>
              <w:rPr>
                <w:rFonts w:ascii="Times New Roman"/>
                <w:sz w:val="21"/>
              </w:rPr>
            </w:pPr>
            <w:r>
              <w:rPr>
                <w:rFonts w:ascii="Times New Roman"/>
                <w:sz w:val="21"/>
              </w:rPr>
              <w:t>M4</w:t>
            </w:r>
          </w:p>
        </w:tc>
      </w:tr>
    </w:tbl>
    <w:p w:rsidR="00B04AE3" w:rsidRDefault="00B04AE3">
      <w:pPr>
        <w:pStyle w:val="Heading3"/>
        <w:numPr>
          <w:ilvl w:val="2"/>
          <w:numId w:val="48"/>
        </w:numPr>
        <w:tabs>
          <w:tab w:val="left" w:pos="1338"/>
        </w:tabs>
        <w:spacing w:before="146"/>
      </w:pPr>
      <w:bookmarkStart w:id="371" w:name="6.2.3水环境风险受体敏感程度（E）评估"/>
      <w:bookmarkStart w:id="372" w:name="_bookmark133"/>
      <w:bookmarkEnd w:id="371"/>
      <w:bookmarkEnd w:id="372"/>
      <w:r>
        <w:rPr>
          <w:rFonts w:hint="eastAsia"/>
        </w:rPr>
        <w:t>水环境风险受体敏感程度（</w:t>
      </w:r>
      <w:r>
        <w:rPr>
          <w:rFonts w:ascii="Times New Roman" w:eastAsia="Times New Roman"/>
        </w:rPr>
        <w:t>E</w:t>
      </w:r>
      <w:r>
        <w:rPr>
          <w:rFonts w:hint="eastAsia"/>
        </w:rPr>
        <w:t>）评估</w:t>
      </w:r>
    </w:p>
    <w:p w:rsidR="00B04AE3" w:rsidRDefault="00B04AE3">
      <w:pPr>
        <w:pStyle w:val="BodyText"/>
        <w:spacing w:line="364" w:lineRule="auto"/>
        <w:ind w:left="797" w:right="675" w:firstLine="480"/>
        <w:jc w:val="both"/>
      </w:pPr>
      <w:r>
        <w:rPr>
          <w:rFonts w:hint="eastAsia"/>
        </w:rPr>
        <w:t>按照水环境风险受体敏感程度，同时考虑河流跨界的情况和可能造成土壤污染的情况，将水环境风险受体敏感程度类型划分为类型</w:t>
      </w:r>
      <w:r>
        <w:t xml:space="preserve"> 1</w:t>
      </w:r>
      <w:r>
        <w:rPr>
          <w:rFonts w:hint="eastAsia"/>
        </w:rPr>
        <w:t>、类型</w:t>
      </w:r>
      <w:r>
        <w:t xml:space="preserve"> 2 </w:t>
      </w:r>
      <w:r>
        <w:rPr>
          <w:rFonts w:hint="eastAsia"/>
        </w:rPr>
        <w:t>和类型</w:t>
      </w:r>
      <w:r>
        <w:t xml:space="preserve"> 3</w:t>
      </w:r>
      <w:r>
        <w:rPr>
          <w:rFonts w:hint="eastAsia"/>
        </w:rPr>
        <w:t>，分别以</w:t>
      </w:r>
      <w:r>
        <w:t xml:space="preserve"> E1</w:t>
      </w:r>
      <w:r>
        <w:rPr>
          <w:rFonts w:hint="eastAsia"/>
        </w:rPr>
        <w:t>、</w:t>
      </w:r>
      <w:r>
        <w:t xml:space="preserve">E2 </w:t>
      </w:r>
      <w:r>
        <w:rPr>
          <w:rFonts w:hint="eastAsia"/>
        </w:rPr>
        <w:t>和</w:t>
      </w:r>
      <w:r>
        <w:t xml:space="preserve"> E3 </w:t>
      </w:r>
      <w:r>
        <w:rPr>
          <w:rFonts w:hint="eastAsia"/>
        </w:rPr>
        <w:t>表示，见表</w:t>
      </w:r>
      <w:r>
        <w:t xml:space="preserve"> 6.2-5</w:t>
      </w:r>
      <w:r>
        <w:rPr>
          <w:rFonts w:hint="eastAsia"/>
        </w:rPr>
        <w:t>。</w:t>
      </w:r>
    </w:p>
    <w:p w:rsidR="00B04AE3" w:rsidRDefault="00B04AE3">
      <w:pPr>
        <w:pStyle w:val="BodyText"/>
        <w:spacing w:line="364" w:lineRule="auto"/>
        <w:ind w:left="797" w:right="675" w:firstLine="480"/>
        <w:jc w:val="both"/>
      </w:pPr>
      <w:r>
        <w:rPr>
          <w:rFonts w:hint="eastAsia"/>
        </w:rPr>
        <w:t>水环境风险受体敏感程度按类型</w:t>
      </w:r>
      <w:r>
        <w:t xml:space="preserve"> 1</w:t>
      </w:r>
      <w:r>
        <w:rPr>
          <w:rFonts w:hint="eastAsia"/>
        </w:rPr>
        <w:t>、类型</w:t>
      </w:r>
      <w:r>
        <w:t xml:space="preserve"> 2 </w:t>
      </w:r>
      <w:r>
        <w:rPr>
          <w:rFonts w:hint="eastAsia"/>
        </w:rPr>
        <w:t>和类型</w:t>
      </w:r>
      <w:r>
        <w:t xml:space="preserve"> 3 </w:t>
      </w:r>
      <w:r>
        <w:rPr>
          <w:rFonts w:hint="eastAsia"/>
        </w:rPr>
        <w:t>顺序依次降低。若企业周边存在多种敏感程度类型的水环境风险受体，则按敏感程度高者确定企业水环境风险受体敏感程度类型。</w:t>
      </w:r>
    </w:p>
    <w:p w:rsidR="00B04AE3" w:rsidRDefault="00B04AE3">
      <w:pPr>
        <w:spacing w:before="1" w:after="27"/>
        <w:ind w:left="2933"/>
        <w:rPr>
          <w:b/>
          <w:sz w:val="24"/>
        </w:rPr>
      </w:pPr>
      <w:r>
        <w:rPr>
          <w:rFonts w:hint="eastAsia"/>
          <w:b/>
          <w:sz w:val="24"/>
        </w:rPr>
        <w:t>表</w:t>
      </w:r>
      <w:r>
        <w:rPr>
          <w:b/>
          <w:sz w:val="24"/>
        </w:rPr>
        <w:t xml:space="preserve"> </w:t>
      </w:r>
      <w:r>
        <w:rPr>
          <w:rFonts w:ascii="Times New Roman" w:eastAsia="Times New Roman"/>
          <w:b/>
          <w:sz w:val="24"/>
        </w:rPr>
        <w:t xml:space="preserve">6.2-5  </w:t>
      </w:r>
      <w:r>
        <w:rPr>
          <w:rFonts w:hint="eastAsia"/>
          <w:b/>
          <w:sz w:val="24"/>
        </w:rPr>
        <w:t>水环境风险受体敏感程度类型划分</w:t>
      </w:r>
    </w:p>
    <w:tbl>
      <w:tblPr>
        <w:tblW w:w="8472" w:type="dxa"/>
        <w:tblInd w:w="9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1343"/>
        <w:gridCol w:w="7129"/>
      </w:tblGrid>
      <w:tr w:rsidR="00B04AE3">
        <w:trPr>
          <w:trHeight w:val="340"/>
        </w:trPr>
        <w:tc>
          <w:tcPr>
            <w:tcW w:w="1343" w:type="dxa"/>
            <w:tcBorders>
              <w:bottom w:val="single" w:sz="4" w:space="0" w:color="000000"/>
              <w:right w:val="single" w:sz="4" w:space="0" w:color="000000"/>
            </w:tcBorders>
          </w:tcPr>
          <w:p w:rsidR="00B04AE3" w:rsidRDefault="00B04AE3">
            <w:pPr>
              <w:pStyle w:val="TableParagraph"/>
              <w:spacing w:before="33"/>
              <w:ind w:left="44"/>
              <w:jc w:val="left"/>
              <w:rPr>
                <w:sz w:val="21"/>
              </w:rPr>
            </w:pPr>
            <w:r>
              <w:rPr>
                <w:rFonts w:hint="eastAsia"/>
                <w:sz w:val="21"/>
              </w:rPr>
              <w:t>敏感程度类型</w:t>
            </w:r>
          </w:p>
        </w:tc>
        <w:tc>
          <w:tcPr>
            <w:tcW w:w="7129" w:type="dxa"/>
            <w:tcBorders>
              <w:left w:val="single" w:sz="4" w:space="0" w:color="000000"/>
              <w:bottom w:val="single" w:sz="4" w:space="0" w:color="000000"/>
            </w:tcBorders>
          </w:tcPr>
          <w:p w:rsidR="00B04AE3" w:rsidRDefault="00B04AE3">
            <w:pPr>
              <w:pStyle w:val="TableParagraph"/>
              <w:spacing w:before="33"/>
              <w:ind w:left="2286" w:right="2268"/>
              <w:rPr>
                <w:sz w:val="21"/>
              </w:rPr>
            </w:pPr>
            <w:r>
              <w:rPr>
                <w:rFonts w:hint="eastAsia"/>
                <w:sz w:val="21"/>
              </w:rPr>
              <w:t>水环境风险受体</w:t>
            </w:r>
          </w:p>
        </w:tc>
      </w:tr>
      <w:tr w:rsidR="00B04AE3">
        <w:trPr>
          <w:trHeight w:val="1361"/>
        </w:trPr>
        <w:tc>
          <w:tcPr>
            <w:tcW w:w="1343" w:type="dxa"/>
            <w:tcBorders>
              <w:top w:val="single" w:sz="4" w:space="0" w:color="000000"/>
              <w:right w:val="single" w:sz="4" w:space="0" w:color="000000"/>
            </w:tcBorders>
          </w:tcPr>
          <w:p w:rsidR="00B04AE3" w:rsidRDefault="00B04AE3">
            <w:pPr>
              <w:pStyle w:val="TableParagraph"/>
              <w:spacing w:before="11"/>
              <w:jc w:val="left"/>
              <w:rPr>
                <w:b/>
                <w:sz w:val="31"/>
              </w:rPr>
            </w:pPr>
          </w:p>
          <w:p w:rsidR="00B04AE3" w:rsidRDefault="00B04AE3">
            <w:pPr>
              <w:pStyle w:val="TableParagraph"/>
              <w:ind w:left="411"/>
              <w:jc w:val="left"/>
              <w:rPr>
                <w:rFonts w:ascii="Times New Roman" w:eastAsia="Times New Roman"/>
                <w:sz w:val="21"/>
              </w:rPr>
            </w:pPr>
            <w:r>
              <w:rPr>
                <w:rFonts w:hint="eastAsia"/>
                <w:sz w:val="21"/>
              </w:rPr>
              <w:t>类型</w:t>
            </w:r>
            <w:r>
              <w:rPr>
                <w:rFonts w:ascii="Times New Roman" w:eastAsia="Times New Roman"/>
                <w:sz w:val="21"/>
              </w:rPr>
              <w:t>1</w:t>
            </w:r>
          </w:p>
          <w:p w:rsidR="00B04AE3" w:rsidRDefault="00B04AE3">
            <w:pPr>
              <w:pStyle w:val="TableParagraph"/>
              <w:spacing w:before="4"/>
              <w:ind w:left="346"/>
              <w:jc w:val="left"/>
              <w:rPr>
                <w:sz w:val="21"/>
              </w:rPr>
            </w:pPr>
            <w:r>
              <w:rPr>
                <w:rFonts w:hint="eastAsia"/>
                <w:sz w:val="21"/>
              </w:rPr>
              <w:t>（</w:t>
            </w:r>
            <w:r>
              <w:rPr>
                <w:rFonts w:ascii="Times New Roman" w:eastAsia="Times New Roman"/>
                <w:sz w:val="21"/>
              </w:rPr>
              <w:t>E1</w:t>
            </w:r>
            <w:r>
              <w:rPr>
                <w:rFonts w:hint="eastAsia"/>
                <w:sz w:val="21"/>
              </w:rPr>
              <w:t>）</w:t>
            </w:r>
          </w:p>
        </w:tc>
        <w:tc>
          <w:tcPr>
            <w:tcW w:w="7129" w:type="dxa"/>
            <w:tcBorders>
              <w:top w:val="single" w:sz="4" w:space="0" w:color="000000"/>
              <w:left w:val="single" w:sz="4" w:space="0" w:color="000000"/>
            </w:tcBorders>
          </w:tcPr>
          <w:p w:rsidR="00B04AE3" w:rsidRDefault="00B04AE3">
            <w:pPr>
              <w:pStyle w:val="TableParagraph"/>
              <w:numPr>
                <w:ilvl w:val="0"/>
                <w:numId w:val="57"/>
              </w:numPr>
              <w:tabs>
                <w:tab w:val="left" w:pos="534"/>
              </w:tabs>
              <w:spacing w:line="242" w:lineRule="auto"/>
              <w:ind w:right="-15" w:firstLine="0"/>
              <w:jc w:val="left"/>
              <w:rPr>
                <w:sz w:val="21"/>
              </w:rPr>
            </w:pPr>
            <w:r>
              <w:rPr>
                <w:rFonts w:hint="eastAsia"/>
                <w:sz w:val="21"/>
              </w:rPr>
              <w:t>企业雨水排口、清净废水排口、污水排口下游</w:t>
            </w:r>
            <w:r>
              <w:rPr>
                <w:rFonts w:ascii="Times New Roman" w:eastAsia="Times New Roman"/>
                <w:sz w:val="21"/>
              </w:rPr>
              <w:t>10</w:t>
            </w:r>
            <w:r>
              <w:rPr>
                <w:rFonts w:hint="eastAsia"/>
                <w:sz w:val="21"/>
              </w:rPr>
              <w:t>公里流经范围内有如下</w:t>
            </w:r>
            <w:r>
              <w:rPr>
                <w:rFonts w:hint="eastAsia"/>
                <w:spacing w:val="-3"/>
                <w:w w:val="95"/>
                <w:sz w:val="21"/>
              </w:rPr>
              <w:t>一</w:t>
            </w:r>
            <w:r>
              <w:rPr>
                <w:rFonts w:hint="eastAsia"/>
                <w:sz w:val="21"/>
              </w:rPr>
              <w:t>类或多类环境风险受体：集中式地表水、地下水饮用水水源保护区（包括一级保护区、二级保护区及准保护区）；农村及分散式饮用水水源保护区；</w:t>
            </w:r>
          </w:p>
          <w:p w:rsidR="00B04AE3" w:rsidRDefault="00B04AE3">
            <w:pPr>
              <w:pStyle w:val="TableParagraph"/>
              <w:numPr>
                <w:ilvl w:val="0"/>
                <w:numId w:val="57"/>
              </w:numPr>
              <w:tabs>
                <w:tab w:val="left" w:pos="534"/>
              </w:tabs>
              <w:spacing w:line="242" w:lineRule="auto"/>
              <w:ind w:right="-15" w:firstLine="0"/>
              <w:jc w:val="left"/>
              <w:rPr>
                <w:sz w:val="21"/>
              </w:rPr>
            </w:pPr>
            <w:r>
              <w:rPr>
                <w:rFonts w:hint="eastAsia"/>
                <w:sz w:val="21"/>
              </w:rPr>
              <w:t>废水排入受纳水体后</w:t>
            </w:r>
            <w:r>
              <w:rPr>
                <w:sz w:val="21"/>
              </w:rPr>
              <w:t>24</w:t>
            </w:r>
            <w:r>
              <w:rPr>
                <w:rFonts w:hint="eastAsia"/>
                <w:sz w:val="21"/>
              </w:rPr>
              <w:t>小时流经范围（按受纳河流最大日均流速计算）</w:t>
            </w:r>
            <w:r>
              <w:rPr>
                <w:sz w:val="21"/>
              </w:rPr>
              <w:t xml:space="preserve">  </w:t>
            </w:r>
            <w:r>
              <w:rPr>
                <w:rFonts w:hint="eastAsia"/>
                <w:sz w:val="21"/>
              </w:rPr>
              <w:t>内涉及跨国界的</w:t>
            </w:r>
          </w:p>
        </w:tc>
      </w:tr>
      <w:tr w:rsidR="00B04AE3">
        <w:trPr>
          <w:trHeight w:val="2722"/>
        </w:trPr>
        <w:tc>
          <w:tcPr>
            <w:tcW w:w="1343" w:type="dxa"/>
            <w:tcBorders>
              <w:right w:val="single" w:sz="4" w:space="0" w:color="000000"/>
            </w:tcBorders>
          </w:tcPr>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jc w:val="left"/>
              <w:rPr>
                <w:b/>
              </w:rPr>
            </w:pPr>
          </w:p>
          <w:p w:rsidR="00B04AE3" w:rsidRDefault="00B04AE3">
            <w:pPr>
              <w:pStyle w:val="TableParagraph"/>
              <w:spacing w:before="11"/>
              <w:jc w:val="left"/>
              <w:rPr>
                <w:b/>
                <w:sz w:val="18"/>
              </w:rPr>
            </w:pPr>
          </w:p>
          <w:p w:rsidR="00B04AE3" w:rsidRDefault="00B04AE3">
            <w:pPr>
              <w:pStyle w:val="TableParagraph"/>
              <w:spacing w:before="1"/>
              <w:ind w:left="411"/>
              <w:jc w:val="left"/>
              <w:rPr>
                <w:rFonts w:ascii="Times New Roman" w:eastAsia="Times New Roman"/>
                <w:sz w:val="21"/>
              </w:rPr>
            </w:pPr>
            <w:r>
              <w:rPr>
                <w:rFonts w:hint="eastAsia"/>
                <w:sz w:val="21"/>
              </w:rPr>
              <w:t>类型</w:t>
            </w:r>
            <w:r>
              <w:rPr>
                <w:rFonts w:ascii="Times New Roman" w:eastAsia="Times New Roman"/>
                <w:sz w:val="21"/>
              </w:rPr>
              <w:t>2</w:t>
            </w:r>
          </w:p>
          <w:p w:rsidR="00B04AE3" w:rsidRDefault="00B04AE3">
            <w:pPr>
              <w:pStyle w:val="TableParagraph"/>
              <w:spacing w:before="4"/>
              <w:ind w:left="346"/>
              <w:jc w:val="left"/>
              <w:rPr>
                <w:sz w:val="21"/>
              </w:rPr>
            </w:pPr>
            <w:r>
              <w:rPr>
                <w:rFonts w:hint="eastAsia"/>
                <w:sz w:val="21"/>
              </w:rPr>
              <w:t>（</w:t>
            </w:r>
            <w:r>
              <w:rPr>
                <w:rFonts w:ascii="Times New Roman" w:eastAsia="Times New Roman"/>
                <w:sz w:val="21"/>
              </w:rPr>
              <w:t>E2</w:t>
            </w:r>
            <w:r>
              <w:rPr>
                <w:rFonts w:hint="eastAsia"/>
                <w:sz w:val="21"/>
              </w:rPr>
              <w:t>）</w:t>
            </w:r>
          </w:p>
        </w:tc>
        <w:tc>
          <w:tcPr>
            <w:tcW w:w="7129" w:type="dxa"/>
            <w:tcBorders>
              <w:left w:val="single" w:sz="4" w:space="0" w:color="000000"/>
            </w:tcBorders>
          </w:tcPr>
          <w:p w:rsidR="00B04AE3" w:rsidRDefault="00B04AE3">
            <w:pPr>
              <w:pStyle w:val="TableParagraph"/>
              <w:numPr>
                <w:ilvl w:val="0"/>
                <w:numId w:val="58"/>
              </w:numPr>
              <w:tabs>
                <w:tab w:val="left" w:pos="534"/>
              </w:tabs>
              <w:spacing w:before="1" w:line="242" w:lineRule="auto"/>
              <w:ind w:right="-15" w:firstLine="0"/>
              <w:jc w:val="left"/>
              <w:rPr>
                <w:sz w:val="21"/>
              </w:rPr>
            </w:pPr>
            <w:r>
              <w:rPr>
                <w:rFonts w:hint="eastAsia"/>
                <w:sz w:val="21"/>
              </w:rPr>
              <w:t>企业雨水排口、清净废水排口、污水排口下游</w:t>
            </w:r>
            <w:r>
              <w:rPr>
                <w:rFonts w:ascii="Times New Roman" w:eastAsia="Times New Roman"/>
                <w:sz w:val="21"/>
              </w:rPr>
              <w:t>10</w:t>
            </w:r>
            <w:r>
              <w:rPr>
                <w:rFonts w:hint="eastAsia"/>
                <w:sz w:val="21"/>
              </w:rPr>
              <w:t>公里流经范围内有生态保护红线划定的或具有水生态服务功能的其他水生态环境敏感区和脆弱区，如</w:t>
            </w:r>
            <w:r>
              <w:rPr>
                <w:sz w:val="21"/>
              </w:rPr>
              <w:t xml:space="preserve">  </w:t>
            </w:r>
            <w:r>
              <w:rPr>
                <w:rFonts w:hint="eastAsia"/>
                <w:sz w:val="21"/>
              </w:rPr>
              <w:t>国家公园，国家级和省级水产种质资源保护区，水产养殖区，天然渔场，海水</w:t>
            </w:r>
            <w:r>
              <w:rPr>
                <w:sz w:val="21"/>
              </w:rPr>
              <w:t xml:space="preserve">  </w:t>
            </w:r>
            <w:r>
              <w:rPr>
                <w:rFonts w:hint="eastAsia"/>
                <w:sz w:val="21"/>
              </w:rPr>
              <w:t>浴场，盐场保护区，国家重要湿地，国家级和地方级海洋特别保护区，国家级</w:t>
            </w:r>
            <w:r>
              <w:rPr>
                <w:sz w:val="21"/>
              </w:rPr>
              <w:t xml:space="preserve">  </w:t>
            </w:r>
            <w:r>
              <w:rPr>
                <w:rFonts w:hint="eastAsia"/>
                <w:sz w:val="21"/>
              </w:rPr>
              <w:t>和地方级海洋自然保护区，生物多样性保护优先区域，国家级和地方级自然保</w:t>
            </w:r>
            <w:r>
              <w:rPr>
                <w:sz w:val="21"/>
              </w:rPr>
              <w:t xml:space="preserve">  </w:t>
            </w:r>
            <w:r>
              <w:rPr>
                <w:rFonts w:hint="eastAsia"/>
                <w:sz w:val="21"/>
              </w:rPr>
              <w:t>护区，国家级和省级风景名胜区，世界文化和自然遗产地，国家级和省级森林</w:t>
            </w:r>
            <w:r>
              <w:rPr>
                <w:sz w:val="21"/>
              </w:rPr>
              <w:t xml:space="preserve">  </w:t>
            </w:r>
            <w:r>
              <w:rPr>
                <w:rFonts w:hint="eastAsia"/>
                <w:spacing w:val="-7"/>
                <w:sz w:val="21"/>
              </w:rPr>
              <w:t>公园，世界、国家和省级地质公园，基本农田保护区，基本草原；</w:t>
            </w:r>
          </w:p>
          <w:p w:rsidR="00B04AE3" w:rsidRDefault="00B04AE3">
            <w:pPr>
              <w:pStyle w:val="TableParagraph"/>
              <w:numPr>
                <w:ilvl w:val="0"/>
                <w:numId w:val="58"/>
              </w:numPr>
              <w:tabs>
                <w:tab w:val="left" w:pos="534"/>
              </w:tabs>
              <w:spacing w:before="1" w:line="242" w:lineRule="auto"/>
              <w:ind w:right="-15" w:firstLine="0"/>
              <w:jc w:val="left"/>
              <w:rPr>
                <w:sz w:val="21"/>
              </w:rPr>
            </w:pPr>
            <w:r>
              <w:rPr>
                <w:rFonts w:hint="eastAsia"/>
                <w:sz w:val="21"/>
              </w:rPr>
              <w:t>企业雨水排口、清净废水排口、污水排口下游</w:t>
            </w:r>
            <w:r>
              <w:rPr>
                <w:sz w:val="21"/>
              </w:rPr>
              <w:t>10</w:t>
            </w:r>
            <w:r>
              <w:rPr>
                <w:rFonts w:hint="eastAsia"/>
                <w:sz w:val="21"/>
              </w:rPr>
              <w:t>公里流经范围内涉及跨</w:t>
            </w:r>
            <w:r>
              <w:rPr>
                <w:sz w:val="21"/>
              </w:rPr>
              <w:t xml:space="preserve">  </w:t>
            </w:r>
            <w:r>
              <w:rPr>
                <w:rFonts w:hint="eastAsia"/>
                <w:sz w:val="21"/>
              </w:rPr>
              <w:t>省界的；</w:t>
            </w:r>
          </w:p>
          <w:p w:rsidR="00B04AE3" w:rsidRDefault="00B04AE3">
            <w:pPr>
              <w:pStyle w:val="TableParagraph"/>
              <w:numPr>
                <w:ilvl w:val="0"/>
                <w:numId w:val="58"/>
              </w:numPr>
              <w:tabs>
                <w:tab w:val="left" w:pos="534"/>
              </w:tabs>
              <w:spacing w:before="1" w:line="252" w:lineRule="exact"/>
              <w:ind w:left="534"/>
              <w:jc w:val="left"/>
              <w:rPr>
                <w:sz w:val="21"/>
              </w:rPr>
            </w:pPr>
            <w:r>
              <w:rPr>
                <w:rFonts w:hint="eastAsia"/>
                <w:sz w:val="21"/>
              </w:rPr>
              <w:t>企业位于溶岩地貌、泄洪区、泥石流多发等地区；</w:t>
            </w:r>
          </w:p>
        </w:tc>
      </w:tr>
      <w:tr w:rsidR="00B04AE3">
        <w:trPr>
          <w:trHeight w:val="545"/>
        </w:trPr>
        <w:tc>
          <w:tcPr>
            <w:tcW w:w="1343" w:type="dxa"/>
            <w:tcBorders>
              <w:bottom w:val="single" w:sz="4" w:space="0" w:color="000000"/>
              <w:right w:val="single" w:sz="4" w:space="0" w:color="000000"/>
            </w:tcBorders>
            <w:shd w:val="clear" w:color="auto" w:fill="D9D9D9"/>
          </w:tcPr>
          <w:p w:rsidR="00B04AE3" w:rsidRDefault="00B04AE3">
            <w:pPr>
              <w:pStyle w:val="TableParagraph"/>
              <w:spacing w:before="1"/>
              <w:ind w:left="411"/>
              <w:jc w:val="left"/>
              <w:rPr>
                <w:rFonts w:ascii="Times New Roman" w:eastAsia="Times New Roman"/>
                <w:sz w:val="21"/>
              </w:rPr>
            </w:pPr>
            <w:r>
              <w:rPr>
                <w:rFonts w:hint="eastAsia"/>
                <w:sz w:val="21"/>
              </w:rPr>
              <w:t>类型</w:t>
            </w:r>
            <w:r>
              <w:rPr>
                <w:rFonts w:ascii="Times New Roman" w:eastAsia="Times New Roman"/>
                <w:sz w:val="21"/>
              </w:rPr>
              <w:t>3</w:t>
            </w:r>
          </w:p>
          <w:p w:rsidR="00B04AE3" w:rsidRDefault="00B04AE3">
            <w:pPr>
              <w:pStyle w:val="TableParagraph"/>
              <w:spacing w:before="2" w:line="253" w:lineRule="exact"/>
              <w:ind w:left="346"/>
              <w:jc w:val="left"/>
              <w:rPr>
                <w:sz w:val="21"/>
              </w:rPr>
            </w:pPr>
            <w:r>
              <w:rPr>
                <w:rFonts w:hint="eastAsia"/>
                <w:sz w:val="21"/>
              </w:rPr>
              <w:t>（</w:t>
            </w:r>
            <w:r>
              <w:rPr>
                <w:rFonts w:ascii="Times New Roman" w:eastAsia="Times New Roman"/>
                <w:sz w:val="21"/>
              </w:rPr>
              <w:t>E3</w:t>
            </w:r>
            <w:r>
              <w:rPr>
                <w:rFonts w:hint="eastAsia"/>
                <w:sz w:val="21"/>
              </w:rPr>
              <w:t>）</w:t>
            </w:r>
          </w:p>
        </w:tc>
        <w:tc>
          <w:tcPr>
            <w:tcW w:w="7129" w:type="dxa"/>
            <w:tcBorders>
              <w:left w:val="single" w:sz="4" w:space="0" w:color="000000"/>
              <w:bottom w:val="single" w:sz="4" w:space="0" w:color="000000"/>
            </w:tcBorders>
            <w:shd w:val="clear" w:color="auto" w:fill="D9D9D9"/>
          </w:tcPr>
          <w:p w:rsidR="00B04AE3" w:rsidRDefault="00B04AE3">
            <w:pPr>
              <w:pStyle w:val="TableParagraph"/>
              <w:spacing w:before="145"/>
              <w:ind w:left="2286" w:right="2268"/>
              <w:rPr>
                <w:sz w:val="21"/>
              </w:rPr>
            </w:pPr>
            <w:r>
              <w:rPr>
                <w:rFonts w:hint="eastAsia"/>
                <w:sz w:val="21"/>
              </w:rPr>
              <w:t>不涉及类型</w:t>
            </w:r>
            <w:r>
              <w:rPr>
                <w:rFonts w:ascii="Times New Roman" w:eastAsia="Times New Roman"/>
                <w:sz w:val="21"/>
              </w:rPr>
              <w:t>1</w:t>
            </w:r>
            <w:r>
              <w:rPr>
                <w:rFonts w:hint="eastAsia"/>
                <w:sz w:val="21"/>
              </w:rPr>
              <w:t>和类型</w:t>
            </w:r>
            <w:r>
              <w:rPr>
                <w:rFonts w:ascii="Times New Roman" w:eastAsia="Times New Roman"/>
                <w:sz w:val="21"/>
              </w:rPr>
              <w:t>2</w:t>
            </w:r>
            <w:r>
              <w:rPr>
                <w:rFonts w:hint="eastAsia"/>
                <w:sz w:val="21"/>
              </w:rPr>
              <w:t>情况的</w:t>
            </w:r>
          </w:p>
        </w:tc>
      </w:tr>
      <w:tr w:rsidR="00B04AE3">
        <w:trPr>
          <w:trHeight w:val="339"/>
        </w:trPr>
        <w:tc>
          <w:tcPr>
            <w:tcW w:w="8472" w:type="dxa"/>
            <w:gridSpan w:val="2"/>
            <w:tcBorders>
              <w:top w:val="single" w:sz="4" w:space="0" w:color="000000"/>
            </w:tcBorders>
          </w:tcPr>
          <w:p w:rsidR="00B04AE3" w:rsidRDefault="00B04AE3">
            <w:pPr>
              <w:pStyle w:val="TableParagraph"/>
              <w:spacing w:before="34"/>
              <w:ind w:left="8"/>
              <w:jc w:val="left"/>
              <w:rPr>
                <w:sz w:val="21"/>
              </w:rPr>
            </w:pPr>
            <w:r>
              <w:rPr>
                <w:rFonts w:hint="eastAsia"/>
                <w:sz w:val="21"/>
              </w:rPr>
              <w:t>注：本表中规定的距离范围以到各类水环境保护目标或保护区域的边界为准。</w:t>
            </w:r>
          </w:p>
        </w:tc>
      </w:tr>
    </w:tbl>
    <w:p w:rsidR="00B04AE3" w:rsidRDefault="00B04AE3">
      <w:pPr>
        <w:pStyle w:val="BodyText"/>
        <w:spacing w:before="5"/>
        <w:rPr>
          <w:b/>
          <w:sz w:val="10"/>
        </w:rPr>
      </w:pPr>
    </w:p>
    <w:p w:rsidR="00B04AE3" w:rsidRDefault="00B04AE3">
      <w:pPr>
        <w:pStyle w:val="Heading3"/>
        <w:numPr>
          <w:ilvl w:val="2"/>
          <w:numId w:val="48"/>
        </w:numPr>
        <w:tabs>
          <w:tab w:val="left" w:pos="1338"/>
        </w:tabs>
        <w:spacing w:before="74"/>
      </w:pPr>
      <w:bookmarkStart w:id="373" w:name="6.2.4突发水环境事件风险等级确定"/>
      <w:bookmarkStart w:id="374" w:name="_bookmark134"/>
      <w:bookmarkEnd w:id="373"/>
      <w:bookmarkEnd w:id="374"/>
      <w:r>
        <w:rPr>
          <w:rFonts w:hint="eastAsia"/>
        </w:rPr>
        <w:t>突发水环境事件风险等级确定</w:t>
      </w:r>
    </w:p>
    <w:p w:rsidR="00B04AE3" w:rsidRDefault="00B04AE3">
      <w:pPr>
        <w:pStyle w:val="BodyText"/>
        <w:spacing w:line="364" w:lineRule="auto"/>
        <w:ind w:left="797" w:right="675" w:firstLine="480"/>
        <w:jc w:val="both"/>
      </w:pPr>
      <w:r>
        <w:rPr>
          <w:rFonts w:hint="eastAsia"/>
        </w:rPr>
        <w:t>根据企业周边水环境风险受体敏感程度（</w:t>
      </w:r>
      <w:r>
        <w:t>E</w:t>
      </w:r>
      <w:r>
        <w:rPr>
          <w:rFonts w:hint="eastAsia"/>
        </w:rPr>
        <w:t>）、涉水风险物质数量与临界量比值（</w:t>
      </w:r>
      <w:r>
        <w:t>Q</w:t>
      </w:r>
      <w:r>
        <w:rPr>
          <w:rFonts w:hint="eastAsia"/>
        </w:rPr>
        <w:t>）和生产工艺过程与水环境风险控制水平（</w:t>
      </w:r>
      <w:r>
        <w:t>M</w:t>
      </w:r>
      <w:r>
        <w:rPr>
          <w:rFonts w:hint="eastAsia"/>
        </w:rPr>
        <w:t>），按照表</w:t>
      </w:r>
      <w:r>
        <w:t xml:space="preserve"> 6.2-6 </w:t>
      </w:r>
      <w:r>
        <w:rPr>
          <w:rFonts w:hint="eastAsia"/>
        </w:rPr>
        <w:t>确定企业突发水环境事件风险等级为一般风险。</w:t>
      </w:r>
    </w:p>
    <w:p w:rsidR="00B04AE3" w:rsidRDefault="00B04AE3">
      <w:pPr>
        <w:spacing w:after="11" w:line="241" w:lineRule="exact"/>
        <w:ind w:left="2708"/>
        <w:rPr>
          <w:b/>
          <w:sz w:val="24"/>
        </w:rPr>
      </w:pPr>
      <w:r>
        <w:rPr>
          <w:rFonts w:hint="eastAsia"/>
          <w:b/>
          <w:sz w:val="24"/>
        </w:rPr>
        <w:t>表</w:t>
      </w:r>
      <w:r>
        <w:rPr>
          <w:b/>
          <w:sz w:val="24"/>
        </w:rPr>
        <w:t xml:space="preserve"> </w:t>
      </w:r>
      <w:r>
        <w:rPr>
          <w:rFonts w:ascii="Times New Roman" w:eastAsia="Times New Roman"/>
          <w:b/>
          <w:sz w:val="24"/>
        </w:rPr>
        <w:t xml:space="preserve">6.2-6  </w:t>
      </w:r>
      <w:r>
        <w:rPr>
          <w:rFonts w:hint="eastAsia"/>
          <w:b/>
          <w:sz w:val="24"/>
        </w:rPr>
        <w:t>企业突发环境事件风险分级矩阵表</w:t>
      </w:r>
    </w:p>
    <w:tbl>
      <w:tblPr>
        <w:tblW w:w="8332" w:type="dxa"/>
        <w:tblInd w:w="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A0"/>
      </w:tblPr>
      <w:tblGrid>
        <w:gridCol w:w="1394"/>
        <w:gridCol w:w="1858"/>
        <w:gridCol w:w="1270"/>
        <w:gridCol w:w="1270"/>
        <w:gridCol w:w="1270"/>
        <w:gridCol w:w="1270"/>
      </w:tblGrid>
      <w:tr w:rsidR="00B04AE3">
        <w:trPr>
          <w:trHeight w:val="340"/>
        </w:trPr>
        <w:tc>
          <w:tcPr>
            <w:tcW w:w="1394" w:type="dxa"/>
            <w:vMerge w:val="restart"/>
            <w:tcBorders>
              <w:bottom w:val="single" w:sz="4" w:space="0" w:color="000000"/>
              <w:right w:val="single" w:sz="4" w:space="0" w:color="000000"/>
            </w:tcBorders>
          </w:tcPr>
          <w:p w:rsidR="00B04AE3" w:rsidRDefault="00B04AE3">
            <w:pPr>
              <w:pStyle w:val="TableParagraph"/>
              <w:spacing w:before="74" w:line="242" w:lineRule="auto"/>
              <w:ind w:left="10" w:right="-29" w:firstLine="57"/>
              <w:jc w:val="left"/>
              <w:rPr>
                <w:sz w:val="21"/>
              </w:rPr>
            </w:pPr>
            <w:r>
              <w:rPr>
                <w:rFonts w:hint="eastAsia"/>
                <w:sz w:val="21"/>
              </w:rPr>
              <w:t>环境风险受体敏感程度（</w:t>
            </w:r>
            <w:r>
              <w:rPr>
                <w:rFonts w:ascii="Times New Roman" w:eastAsia="Times New Roman"/>
                <w:sz w:val="21"/>
              </w:rPr>
              <w:t>E</w:t>
            </w:r>
            <w:r>
              <w:rPr>
                <w:rFonts w:hint="eastAsia"/>
                <w:sz w:val="21"/>
              </w:rPr>
              <w:t>）</w:t>
            </w:r>
          </w:p>
        </w:tc>
        <w:tc>
          <w:tcPr>
            <w:tcW w:w="1858" w:type="dxa"/>
            <w:vMerge w:val="restart"/>
            <w:tcBorders>
              <w:left w:val="single" w:sz="4" w:space="0" w:color="000000"/>
              <w:bottom w:val="single" w:sz="4" w:space="0" w:color="000000"/>
              <w:right w:val="single" w:sz="4" w:space="0" w:color="000000"/>
            </w:tcBorders>
          </w:tcPr>
          <w:p w:rsidR="00B04AE3" w:rsidRDefault="00B04AE3">
            <w:pPr>
              <w:pStyle w:val="TableParagraph"/>
              <w:spacing w:before="74" w:line="242" w:lineRule="auto"/>
              <w:ind w:left="226" w:right="75" w:hanging="135"/>
              <w:jc w:val="left"/>
              <w:rPr>
                <w:sz w:val="21"/>
              </w:rPr>
            </w:pPr>
            <w:r>
              <w:rPr>
                <w:rFonts w:hint="eastAsia"/>
                <w:sz w:val="21"/>
              </w:rPr>
              <w:t>风险物质数量与临界量比值（</w:t>
            </w:r>
            <w:r>
              <w:rPr>
                <w:rFonts w:ascii="Times New Roman" w:eastAsia="Times New Roman"/>
                <w:sz w:val="21"/>
              </w:rPr>
              <w:t>Q</w:t>
            </w:r>
            <w:r>
              <w:rPr>
                <w:rFonts w:hint="eastAsia"/>
                <w:sz w:val="21"/>
              </w:rPr>
              <w:t>）</w:t>
            </w:r>
          </w:p>
        </w:tc>
        <w:tc>
          <w:tcPr>
            <w:tcW w:w="5080" w:type="dxa"/>
            <w:gridSpan w:val="4"/>
            <w:tcBorders>
              <w:left w:val="single" w:sz="4" w:space="0" w:color="000000"/>
              <w:bottom w:val="single" w:sz="4" w:space="0" w:color="000000"/>
            </w:tcBorders>
          </w:tcPr>
          <w:p w:rsidR="00B04AE3" w:rsidRDefault="00B04AE3">
            <w:pPr>
              <w:pStyle w:val="TableParagraph"/>
              <w:spacing w:before="35"/>
              <w:ind w:left="663"/>
              <w:jc w:val="left"/>
              <w:rPr>
                <w:sz w:val="21"/>
              </w:rPr>
            </w:pPr>
            <w:r>
              <w:rPr>
                <w:rFonts w:hint="eastAsia"/>
                <w:sz w:val="21"/>
              </w:rPr>
              <w:t>生产工艺过程与环境风险控制水平（</w:t>
            </w:r>
            <w:r>
              <w:rPr>
                <w:rFonts w:ascii="Times New Roman" w:eastAsia="Times New Roman"/>
                <w:sz w:val="21"/>
              </w:rPr>
              <w:t>M</w:t>
            </w:r>
            <w:r>
              <w:rPr>
                <w:rFonts w:hint="eastAsia"/>
                <w:sz w:val="21"/>
              </w:rPr>
              <w:t>）</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vMerge/>
            <w:tcBorders>
              <w:top w:val="nil"/>
              <w:left w:val="single" w:sz="4" w:space="0" w:color="000000"/>
              <w:bottom w:val="single" w:sz="4" w:space="0" w:color="000000"/>
              <w:right w:val="single" w:sz="4" w:space="0" w:color="000000"/>
            </w:tcBorders>
          </w:tcPr>
          <w:p w:rsidR="00B04AE3" w:rsidRDefault="00B04AE3">
            <w:pPr>
              <w:rPr>
                <w:sz w:val="2"/>
                <w:szCs w:val="2"/>
              </w:rPr>
            </w:pP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8" w:right="112"/>
              <w:rPr>
                <w:sz w:val="21"/>
              </w:rPr>
            </w:pPr>
            <w:r>
              <w:rPr>
                <w:rFonts w:ascii="Times New Roman" w:eastAsia="Times New Roman"/>
                <w:sz w:val="21"/>
              </w:rPr>
              <w:t xml:space="preserve">M1 </w:t>
            </w:r>
            <w:r>
              <w:rPr>
                <w:rFonts w:hint="eastAsia"/>
                <w:sz w:val="21"/>
              </w:rPr>
              <w:t>类水平</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0"/>
              <w:rPr>
                <w:sz w:val="21"/>
              </w:rPr>
            </w:pPr>
            <w:r>
              <w:rPr>
                <w:rFonts w:ascii="Times New Roman" w:eastAsia="Times New Roman"/>
                <w:sz w:val="21"/>
              </w:rPr>
              <w:t xml:space="preserve">M2 </w:t>
            </w:r>
            <w:r>
              <w:rPr>
                <w:rFonts w:hint="eastAsia"/>
                <w:sz w:val="21"/>
              </w:rPr>
              <w:t>类水平</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1"/>
              <w:rPr>
                <w:sz w:val="21"/>
              </w:rPr>
            </w:pPr>
            <w:r>
              <w:rPr>
                <w:rFonts w:ascii="Times New Roman" w:eastAsia="Times New Roman"/>
                <w:sz w:val="21"/>
              </w:rPr>
              <w:t xml:space="preserve">M3 </w:t>
            </w:r>
            <w:r>
              <w:rPr>
                <w:rFonts w:hint="eastAsia"/>
                <w:sz w:val="21"/>
              </w:rPr>
              <w:t>类水平</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3"/>
              <w:ind w:left="129" w:right="111"/>
              <w:rPr>
                <w:sz w:val="21"/>
              </w:rPr>
            </w:pPr>
            <w:r>
              <w:rPr>
                <w:rFonts w:ascii="Times New Roman" w:eastAsia="Times New Roman"/>
                <w:sz w:val="21"/>
              </w:rPr>
              <w:t xml:space="preserve">M4 </w:t>
            </w:r>
            <w:r>
              <w:rPr>
                <w:rFonts w:hint="eastAsia"/>
                <w:sz w:val="21"/>
              </w:rPr>
              <w:t>类水平</w:t>
            </w:r>
          </w:p>
        </w:tc>
      </w:tr>
      <w:tr w:rsidR="00B04AE3">
        <w:trPr>
          <w:trHeight w:val="340"/>
        </w:trPr>
        <w:tc>
          <w:tcPr>
            <w:tcW w:w="1394" w:type="dxa"/>
            <w:vMerge w:val="restart"/>
            <w:tcBorders>
              <w:top w:val="single" w:sz="4" w:space="0" w:color="000000"/>
              <w:bottom w:val="single" w:sz="4" w:space="0" w:color="000000"/>
              <w:right w:val="single" w:sz="4" w:space="0" w:color="000000"/>
            </w:tcBorders>
          </w:tcPr>
          <w:p w:rsidR="00B04AE3" w:rsidRDefault="00B04AE3">
            <w:pPr>
              <w:pStyle w:val="TableParagraph"/>
              <w:spacing w:before="12"/>
              <w:jc w:val="left"/>
              <w:rPr>
                <w:b/>
                <w:sz w:val="29"/>
              </w:rPr>
            </w:pPr>
          </w:p>
          <w:p w:rsidR="00B04AE3" w:rsidRDefault="00B04AE3">
            <w:pPr>
              <w:pStyle w:val="TableParagraph"/>
              <w:ind w:left="108"/>
              <w:jc w:val="left"/>
              <w:rPr>
                <w:sz w:val="21"/>
              </w:rPr>
            </w:pPr>
            <w:r>
              <w:rPr>
                <w:rFonts w:hint="eastAsia"/>
                <w:sz w:val="21"/>
              </w:rPr>
              <w:t>类型</w:t>
            </w:r>
            <w:r>
              <w:rPr>
                <w:rFonts w:ascii="Times New Roman" w:eastAsia="Times New Roman"/>
                <w:sz w:val="21"/>
              </w:rPr>
              <w:t>1</w:t>
            </w:r>
            <w:r>
              <w:rPr>
                <w:rFonts w:hint="eastAsia"/>
                <w:sz w:val="21"/>
              </w:rPr>
              <w:t>（</w:t>
            </w:r>
            <w:r>
              <w:rPr>
                <w:rFonts w:ascii="Times New Roman" w:eastAsia="Times New Roman"/>
                <w:sz w:val="21"/>
              </w:rPr>
              <w:t>E1</w:t>
            </w:r>
            <w:r>
              <w:rPr>
                <w:rFonts w:hint="eastAsia"/>
                <w:sz w:val="21"/>
              </w:rPr>
              <w:t>）</w:t>
            </w: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47" w:right="28"/>
              <w:rPr>
                <w:sz w:val="21"/>
              </w:rPr>
            </w:pPr>
            <w:r>
              <w:rPr>
                <w:rFonts w:ascii="Times New Roman" w:hAnsi="Times New Roman"/>
                <w:sz w:val="21"/>
              </w:rPr>
              <w:t>1≤ Q</w:t>
            </w:r>
            <w:r>
              <w:rPr>
                <w:rFonts w:hint="eastAsia"/>
                <w:sz w:val="21"/>
              </w:rPr>
              <w:t>＜</w:t>
            </w:r>
            <w:r>
              <w:rPr>
                <w:rFonts w:ascii="Times New Roman" w:hAnsi="Times New Roman"/>
                <w:sz w:val="21"/>
              </w:rPr>
              <w:t>10</w:t>
            </w:r>
            <w:r>
              <w:rPr>
                <w:rFonts w:hint="eastAsia"/>
                <w:sz w:val="21"/>
              </w:rPr>
              <w:t>（</w:t>
            </w:r>
            <w:r>
              <w:rPr>
                <w:rFonts w:ascii="Times New Roman" w:hAnsi="Times New Roman"/>
                <w:sz w:val="21"/>
              </w:rPr>
              <w:t>Q1</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9"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3"/>
              <w:ind w:left="127" w:right="111"/>
              <w:rPr>
                <w:sz w:val="21"/>
              </w:rPr>
            </w:pPr>
            <w:r>
              <w:rPr>
                <w:rFonts w:hint="eastAsia"/>
                <w:sz w:val="21"/>
              </w:rPr>
              <w:t>重大</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47" w:right="28"/>
              <w:rPr>
                <w:sz w:val="21"/>
              </w:rPr>
            </w:pPr>
            <w:r>
              <w:rPr>
                <w:rFonts w:ascii="Times New Roman" w:hAnsi="Times New Roman"/>
                <w:sz w:val="21"/>
              </w:rPr>
              <w:t>10≤ Q</w:t>
            </w:r>
            <w:r>
              <w:rPr>
                <w:rFonts w:hint="eastAsia"/>
                <w:sz w:val="21"/>
              </w:rPr>
              <w:t>＜</w:t>
            </w:r>
            <w:r>
              <w:rPr>
                <w:rFonts w:ascii="Times New Roman" w:hAnsi="Times New Roman"/>
                <w:sz w:val="21"/>
              </w:rPr>
              <w:t>100</w:t>
            </w:r>
            <w:r>
              <w:rPr>
                <w:rFonts w:hint="eastAsia"/>
                <w:sz w:val="21"/>
              </w:rPr>
              <w:t>（</w:t>
            </w:r>
            <w:r>
              <w:rPr>
                <w:rFonts w:ascii="Times New Roman" w:hAnsi="Times New Roman"/>
                <w:sz w:val="21"/>
              </w:rPr>
              <w:t>Q2</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130"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129" w:right="112"/>
              <w:rPr>
                <w:sz w:val="21"/>
              </w:rPr>
            </w:pPr>
            <w:r>
              <w:rPr>
                <w:rFonts w:hint="eastAsia"/>
                <w:sz w:val="21"/>
              </w:rPr>
              <w:t>重大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4"/>
              <w:ind w:left="127" w:right="111"/>
              <w:rPr>
                <w:sz w:val="21"/>
              </w:rPr>
            </w:pPr>
            <w:r>
              <w:rPr>
                <w:rFonts w:hint="eastAsia"/>
                <w:sz w:val="21"/>
              </w:rPr>
              <w:t>重大</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47" w:right="28"/>
              <w:rPr>
                <w:sz w:val="21"/>
              </w:rPr>
            </w:pPr>
            <w:r>
              <w:rPr>
                <w:rFonts w:ascii="Times New Roman" w:hAnsi="Times New Roman"/>
                <w:sz w:val="21"/>
              </w:rPr>
              <w:t>Q≥ 100</w:t>
            </w:r>
            <w:r>
              <w:rPr>
                <w:rFonts w:hint="eastAsia"/>
                <w:sz w:val="21"/>
              </w:rPr>
              <w:t>（</w:t>
            </w:r>
            <w:r>
              <w:rPr>
                <w:rFonts w:ascii="Times New Roman" w:hAnsi="Times New Roman"/>
                <w:sz w:val="21"/>
              </w:rPr>
              <w:t>Q3</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130" w:right="112"/>
              <w:rPr>
                <w:sz w:val="21"/>
              </w:rPr>
            </w:pPr>
            <w:r>
              <w:rPr>
                <w:rFonts w:hint="eastAsia"/>
                <w:sz w:val="21"/>
              </w:rPr>
              <w:t>重大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129" w:right="112"/>
              <w:rPr>
                <w:sz w:val="21"/>
              </w:rPr>
            </w:pPr>
            <w:r>
              <w:rPr>
                <w:rFonts w:hint="eastAsia"/>
                <w:sz w:val="21"/>
              </w:rPr>
              <w:t>重大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4"/>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4"/>
              <w:ind w:left="127" w:right="111"/>
              <w:rPr>
                <w:sz w:val="21"/>
              </w:rPr>
            </w:pPr>
            <w:r>
              <w:rPr>
                <w:rFonts w:hint="eastAsia"/>
                <w:sz w:val="21"/>
              </w:rPr>
              <w:t>重大</w:t>
            </w:r>
          </w:p>
        </w:tc>
      </w:tr>
      <w:tr w:rsidR="00B04AE3">
        <w:trPr>
          <w:trHeight w:val="340"/>
        </w:trPr>
        <w:tc>
          <w:tcPr>
            <w:tcW w:w="1394" w:type="dxa"/>
            <w:vMerge w:val="restart"/>
            <w:tcBorders>
              <w:top w:val="single" w:sz="4" w:space="0" w:color="000000"/>
              <w:bottom w:val="single" w:sz="4" w:space="0" w:color="000000"/>
              <w:right w:val="single" w:sz="4" w:space="0" w:color="000000"/>
            </w:tcBorders>
          </w:tcPr>
          <w:p w:rsidR="00B04AE3" w:rsidRDefault="00B04AE3">
            <w:pPr>
              <w:pStyle w:val="TableParagraph"/>
              <w:jc w:val="left"/>
              <w:rPr>
                <w:b/>
                <w:sz w:val="30"/>
              </w:rPr>
            </w:pPr>
          </w:p>
          <w:p w:rsidR="00B04AE3" w:rsidRDefault="00B04AE3">
            <w:pPr>
              <w:pStyle w:val="TableParagraph"/>
              <w:spacing w:before="1"/>
              <w:ind w:left="108"/>
              <w:jc w:val="left"/>
              <w:rPr>
                <w:sz w:val="21"/>
              </w:rPr>
            </w:pPr>
            <w:r>
              <w:rPr>
                <w:rFonts w:hint="eastAsia"/>
                <w:sz w:val="21"/>
              </w:rPr>
              <w:t>类型</w:t>
            </w:r>
            <w:r>
              <w:rPr>
                <w:rFonts w:ascii="Times New Roman" w:eastAsia="Times New Roman"/>
                <w:sz w:val="21"/>
              </w:rPr>
              <w:t>2</w:t>
            </w:r>
            <w:r>
              <w:rPr>
                <w:rFonts w:hint="eastAsia"/>
                <w:sz w:val="21"/>
              </w:rPr>
              <w:t>（</w:t>
            </w:r>
            <w:r>
              <w:rPr>
                <w:rFonts w:ascii="Times New Roman" w:eastAsia="Times New Roman"/>
                <w:sz w:val="21"/>
              </w:rPr>
              <w:t>E2</w:t>
            </w:r>
            <w:r>
              <w:rPr>
                <w:rFonts w:hint="eastAsia"/>
                <w:sz w:val="21"/>
              </w:rPr>
              <w:t>）</w:t>
            </w: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5"/>
              <w:ind w:left="47" w:right="28"/>
              <w:rPr>
                <w:sz w:val="21"/>
              </w:rPr>
            </w:pPr>
            <w:r>
              <w:rPr>
                <w:rFonts w:ascii="Times New Roman" w:hAnsi="Times New Roman"/>
                <w:sz w:val="21"/>
              </w:rPr>
              <w:t>1≤ Q</w:t>
            </w:r>
            <w:r>
              <w:rPr>
                <w:rFonts w:hint="eastAsia"/>
                <w:sz w:val="21"/>
              </w:rPr>
              <w:t>＜</w:t>
            </w:r>
            <w:r>
              <w:rPr>
                <w:rFonts w:ascii="Times New Roman" w:hAnsi="Times New Roman"/>
                <w:sz w:val="21"/>
              </w:rPr>
              <w:t>10</w:t>
            </w:r>
            <w:r>
              <w:rPr>
                <w:rFonts w:hint="eastAsia"/>
                <w:sz w:val="21"/>
              </w:rPr>
              <w:t>（</w:t>
            </w:r>
            <w:r>
              <w:rPr>
                <w:rFonts w:ascii="Times New Roman" w:hAnsi="Times New Roman"/>
                <w:sz w:val="21"/>
              </w:rPr>
              <w:t>Q1</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5"/>
              <w:ind w:left="130" w:right="112"/>
              <w:rPr>
                <w:sz w:val="21"/>
              </w:rPr>
            </w:pPr>
            <w:r>
              <w:rPr>
                <w:rFonts w:hint="eastAsia"/>
                <w:sz w:val="21"/>
              </w:rPr>
              <w:t>一般</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5"/>
              <w:ind w:left="129"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5"/>
              <w:ind w:left="128" w:right="112"/>
              <w:rPr>
                <w:sz w:val="21"/>
              </w:rPr>
            </w:pPr>
            <w:r>
              <w:rPr>
                <w:rFonts w:hint="eastAsia"/>
                <w:sz w:val="21"/>
              </w:rPr>
              <w:t>较大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5"/>
              <w:ind w:left="127" w:right="111"/>
              <w:rPr>
                <w:sz w:val="21"/>
              </w:rPr>
            </w:pPr>
            <w:r>
              <w:rPr>
                <w:rFonts w:hint="eastAsia"/>
                <w:sz w:val="21"/>
              </w:rPr>
              <w:t>重大</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5"/>
              <w:ind w:left="47" w:right="28"/>
              <w:rPr>
                <w:sz w:val="21"/>
              </w:rPr>
            </w:pPr>
            <w:r>
              <w:rPr>
                <w:rFonts w:ascii="Times New Roman" w:hAnsi="Times New Roman"/>
                <w:sz w:val="21"/>
              </w:rPr>
              <w:t>10≤ Q</w:t>
            </w:r>
            <w:r>
              <w:rPr>
                <w:rFonts w:hint="eastAsia"/>
                <w:sz w:val="21"/>
              </w:rPr>
              <w:t>＜</w:t>
            </w:r>
            <w:r>
              <w:rPr>
                <w:rFonts w:ascii="Times New Roman" w:hAnsi="Times New Roman"/>
                <w:sz w:val="21"/>
              </w:rPr>
              <w:t>100</w:t>
            </w:r>
            <w:r>
              <w:rPr>
                <w:rFonts w:hint="eastAsia"/>
                <w:sz w:val="21"/>
              </w:rPr>
              <w:t>（</w:t>
            </w:r>
            <w:r>
              <w:rPr>
                <w:rFonts w:ascii="Times New Roman" w:hAnsi="Times New Roman"/>
                <w:sz w:val="21"/>
              </w:rPr>
              <w:t>Q2</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5"/>
              <w:ind w:left="130"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5"/>
              <w:ind w:left="129"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5"/>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5"/>
              <w:ind w:left="127" w:right="111"/>
              <w:rPr>
                <w:sz w:val="21"/>
              </w:rPr>
            </w:pPr>
            <w:r>
              <w:rPr>
                <w:rFonts w:hint="eastAsia"/>
                <w:sz w:val="21"/>
              </w:rPr>
              <w:t>重大</w:t>
            </w:r>
          </w:p>
        </w:tc>
      </w:tr>
      <w:tr w:rsidR="00B04AE3">
        <w:trPr>
          <w:trHeight w:val="340"/>
        </w:trPr>
        <w:tc>
          <w:tcPr>
            <w:tcW w:w="1394" w:type="dxa"/>
            <w:vMerge/>
            <w:tcBorders>
              <w:top w:val="nil"/>
              <w:bottom w:val="single" w:sz="4" w:space="0" w:color="000000"/>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47" w:right="28"/>
              <w:rPr>
                <w:sz w:val="21"/>
              </w:rPr>
            </w:pPr>
            <w:r>
              <w:rPr>
                <w:rFonts w:ascii="Times New Roman" w:hAnsi="Times New Roman"/>
                <w:sz w:val="21"/>
              </w:rPr>
              <w:t>Q≥ 100</w:t>
            </w:r>
            <w:r>
              <w:rPr>
                <w:rFonts w:hint="eastAsia"/>
                <w:sz w:val="21"/>
              </w:rPr>
              <w:t>（</w:t>
            </w:r>
            <w:r>
              <w:rPr>
                <w:rFonts w:ascii="Times New Roman" w:hAnsi="Times New Roman"/>
                <w:sz w:val="21"/>
              </w:rPr>
              <w:t>Q3</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9" w:right="112"/>
              <w:rPr>
                <w:sz w:val="21"/>
              </w:rPr>
            </w:pPr>
            <w:r>
              <w:rPr>
                <w:rFonts w:hint="eastAsia"/>
                <w:sz w:val="21"/>
              </w:rPr>
              <w:t>重大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8" w:right="112"/>
              <w:rPr>
                <w:sz w:val="21"/>
              </w:rPr>
            </w:pPr>
            <w:r>
              <w:rPr>
                <w:rFonts w:hint="eastAsia"/>
                <w:sz w:val="21"/>
              </w:rPr>
              <w:t>重大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3"/>
              <w:ind w:left="127" w:right="111"/>
              <w:rPr>
                <w:sz w:val="21"/>
              </w:rPr>
            </w:pPr>
            <w:r>
              <w:rPr>
                <w:rFonts w:hint="eastAsia"/>
                <w:sz w:val="21"/>
              </w:rPr>
              <w:t>重大</w:t>
            </w:r>
          </w:p>
        </w:tc>
      </w:tr>
      <w:tr w:rsidR="00B04AE3">
        <w:trPr>
          <w:trHeight w:val="334"/>
        </w:trPr>
        <w:tc>
          <w:tcPr>
            <w:tcW w:w="1394" w:type="dxa"/>
            <w:vMerge w:val="restart"/>
            <w:tcBorders>
              <w:top w:val="single" w:sz="4" w:space="0" w:color="000000"/>
              <w:right w:val="single" w:sz="4" w:space="0" w:color="000000"/>
            </w:tcBorders>
          </w:tcPr>
          <w:p w:rsidR="00B04AE3" w:rsidRDefault="00B04AE3">
            <w:pPr>
              <w:pStyle w:val="TableParagraph"/>
              <w:spacing w:before="9"/>
              <w:jc w:val="left"/>
              <w:rPr>
                <w:b/>
                <w:sz w:val="30"/>
              </w:rPr>
            </w:pPr>
          </w:p>
          <w:p w:rsidR="00B04AE3" w:rsidRDefault="00B04AE3">
            <w:pPr>
              <w:pStyle w:val="TableParagraph"/>
              <w:ind w:left="108"/>
              <w:jc w:val="left"/>
              <w:rPr>
                <w:sz w:val="21"/>
              </w:rPr>
            </w:pPr>
            <w:r>
              <w:rPr>
                <w:rFonts w:hint="eastAsia"/>
                <w:sz w:val="21"/>
              </w:rPr>
              <w:t>类型</w:t>
            </w:r>
            <w:r>
              <w:rPr>
                <w:rFonts w:ascii="Times New Roman" w:eastAsia="Times New Roman"/>
                <w:sz w:val="21"/>
              </w:rPr>
              <w:t>3</w:t>
            </w:r>
            <w:r>
              <w:rPr>
                <w:rFonts w:hint="eastAsia"/>
                <w:sz w:val="21"/>
              </w:rPr>
              <w:t>（</w:t>
            </w:r>
            <w:r>
              <w:rPr>
                <w:rFonts w:ascii="Times New Roman" w:eastAsia="Times New Roman"/>
                <w:sz w:val="21"/>
              </w:rPr>
              <w:t>E3</w:t>
            </w:r>
            <w:r>
              <w:rPr>
                <w:rFonts w:hint="eastAsia"/>
                <w:sz w:val="21"/>
              </w:rPr>
              <w:t>）</w:t>
            </w: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47" w:right="28"/>
              <w:rPr>
                <w:sz w:val="21"/>
              </w:rPr>
            </w:pPr>
            <w:r>
              <w:rPr>
                <w:rFonts w:ascii="Times New Roman" w:hAnsi="Times New Roman"/>
                <w:sz w:val="21"/>
              </w:rPr>
              <w:t>1≤ Q</w:t>
            </w:r>
            <w:r>
              <w:rPr>
                <w:rFonts w:hint="eastAsia"/>
                <w:sz w:val="21"/>
              </w:rPr>
              <w:t>＜</w:t>
            </w:r>
            <w:r>
              <w:rPr>
                <w:rFonts w:ascii="Times New Roman" w:hAnsi="Times New Roman"/>
                <w:sz w:val="21"/>
              </w:rPr>
              <w:t>10</w:t>
            </w:r>
            <w:r>
              <w:rPr>
                <w:rFonts w:hint="eastAsia"/>
                <w:sz w:val="21"/>
              </w:rPr>
              <w:t>（</w:t>
            </w:r>
            <w:r>
              <w:rPr>
                <w:rFonts w:ascii="Times New Roman" w:hAnsi="Times New Roman"/>
                <w:sz w:val="21"/>
              </w:rPr>
              <w:t>Q1</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30" w:right="112"/>
              <w:rPr>
                <w:sz w:val="21"/>
              </w:rPr>
            </w:pPr>
            <w:r>
              <w:rPr>
                <w:rFonts w:hint="eastAsia"/>
                <w:sz w:val="21"/>
              </w:rPr>
              <w:t>一般</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9" w:right="112"/>
              <w:rPr>
                <w:sz w:val="21"/>
              </w:rPr>
            </w:pPr>
            <w:r>
              <w:rPr>
                <w:rFonts w:hint="eastAsia"/>
                <w:sz w:val="21"/>
              </w:rPr>
              <w:t>一般</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3"/>
              <w:ind w:left="128" w:right="112"/>
              <w:rPr>
                <w:sz w:val="21"/>
              </w:rPr>
            </w:pPr>
            <w:r>
              <w:rPr>
                <w:rFonts w:hint="eastAsia"/>
                <w:sz w:val="21"/>
              </w:rPr>
              <w:t>较大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3"/>
              <w:ind w:left="127" w:right="111"/>
              <w:rPr>
                <w:sz w:val="21"/>
              </w:rPr>
            </w:pPr>
            <w:r>
              <w:rPr>
                <w:rFonts w:hint="eastAsia"/>
                <w:sz w:val="21"/>
              </w:rPr>
              <w:t>较大</w:t>
            </w:r>
          </w:p>
        </w:tc>
      </w:tr>
      <w:tr w:rsidR="00B04AE3">
        <w:trPr>
          <w:trHeight w:val="340"/>
        </w:trPr>
        <w:tc>
          <w:tcPr>
            <w:tcW w:w="1394" w:type="dxa"/>
            <w:vMerge/>
            <w:tcBorders>
              <w:top w:val="nil"/>
              <w:right w:val="single" w:sz="4" w:space="0" w:color="000000"/>
            </w:tcBorders>
          </w:tcPr>
          <w:p w:rsidR="00B04AE3" w:rsidRDefault="00B04AE3">
            <w:pPr>
              <w:rPr>
                <w:sz w:val="2"/>
                <w:szCs w:val="2"/>
              </w:rPr>
            </w:pPr>
          </w:p>
        </w:tc>
        <w:tc>
          <w:tcPr>
            <w:tcW w:w="1858"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8"/>
              <w:ind w:left="47" w:right="28"/>
              <w:rPr>
                <w:sz w:val="21"/>
              </w:rPr>
            </w:pPr>
            <w:r>
              <w:rPr>
                <w:rFonts w:ascii="Times New Roman" w:hAnsi="Times New Roman"/>
                <w:sz w:val="21"/>
              </w:rPr>
              <w:t>10≤ Q</w:t>
            </w:r>
            <w:r>
              <w:rPr>
                <w:rFonts w:hint="eastAsia"/>
                <w:sz w:val="21"/>
              </w:rPr>
              <w:t>＜</w:t>
            </w:r>
            <w:r>
              <w:rPr>
                <w:rFonts w:ascii="Times New Roman" w:hAnsi="Times New Roman"/>
                <w:sz w:val="21"/>
              </w:rPr>
              <w:t>100</w:t>
            </w:r>
            <w:r>
              <w:rPr>
                <w:rFonts w:hint="eastAsia"/>
                <w:sz w:val="21"/>
              </w:rPr>
              <w:t>（</w:t>
            </w:r>
            <w:r>
              <w:rPr>
                <w:rFonts w:ascii="Times New Roman" w:hAnsi="Times New Roman"/>
                <w:sz w:val="21"/>
              </w:rPr>
              <w:t>Q2</w:t>
            </w:r>
            <w:r>
              <w:rPr>
                <w:rFonts w:hint="eastAsia"/>
                <w:sz w:val="21"/>
              </w:rPr>
              <w:t>）</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8"/>
              <w:ind w:left="130" w:right="112"/>
              <w:rPr>
                <w:sz w:val="21"/>
              </w:rPr>
            </w:pPr>
            <w:r>
              <w:rPr>
                <w:rFonts w:hint="eastAsia"/>
                <w:sz w:val="21"/>
              </w:rPr>
              <w:t>一般</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8"/>
              <w:ind w:left="129" w:right="112"/>
              <w:rPr>
                <w:sz w:val="21"/>
              </w:rPr>
            </w:pPr>
            <w:r>
              <w:rPr>
                <w:rFonts w:hint="eastAsia"/>
                <w:sz w:val="21"/>
              </w:rPr>
              <w:t>较大</w:t>
            </w:r>
          </w:p>
        </w:tc>
        <w:tc>
          <w:tcPr>
            <w:tcW w:w="1270" w:type="dxa"/>
            <w:tcBorders>
              <w:top w:val="single" w:sz="4" w:space="0" w:color="000000"/>
              <w:left w:val="single" w:sz="4" w:space="0" w:color="000000"/>
              <w:bottom w:val="single" w:sz="4" w:space="0" w:color="000000"/>
              <w:right w:val="single" w:sz="4" w:space="0" w:color="000000"/>
            </w:tcBorders>
          </w:tcPr>
          <w:p w:rsidR="00B04AE3" w:rsidRDefault="00B04AE3">
            <w:pPr>
              <w:pStyle w:val="TableParagraph"/>
              <w:spacing w:before="38"/>
              <w:ind w:left="128" w:right="112"/>
              <w:rPr>
                <w:sz w:val="21"/>
              </w:rPr>
            </w:pPr>
            <w:r>
              <w:rPr>
                <w:rFonts w:hint="eastAsia"/>
                <w:sz w:val="21"/>
              </w:rPr>
              <w:t>较大</w:t>
            </w:r>
          </w:p>
        </w:tc>
        <w:tc>
          <w:tcPr>
            <w:tcW w:w="1270" w:type="dxa"/>
            <w:tcBorders>
              <w:top w:val="single" w:sz="4" w:space="0" w:color="000000"/>
              <w:left w:val="single" w:sz="4" w:space="0" w:color="000000"/>
              <w:bottom w:val="single" w:sz="4" w:space="0" w:color="000000"/>
            </w:tcBorders>
          </w:tcPr>
          <w:p w:rsidR="00B04AE3" w:rsidRDefault="00B04AE3">
            <w:pPr>
              <w:pStyle w:val="TableParagraph"/>
              <w:spacing w:before="38"/>
              <w:ind w:left="127" w:right="111"/>
              <w:rPr>
                <w:sz w:val="21"/>
              </w:rPr>
            </w:pPr>
            <w:r>
              <w:rPr>
                <w:rFonts w:hint="eastAsia"/>
                <w:sz w:val="21"/>
              </w:rPr>
              <w:t>重大</w:t>
            </w:r>
          </w:p>
        </w:tc>
      </w:tr>
      <w:tr w:rsidR="00B04AE3">
        <w:trPr>
          <w:trHeight w:val="344"/>
        </w:trPr>
        <w:tc>
          <w:tcPr>
            <w:tcW w:w="1394" w:type="dxa"/>
            <w:vMerge/>
            <w:tcBorders>
              <w:top w:val="nil"/>
              <w:right w:val="single" w:sz="4" w:space="0" w:color="000000"/>
            </w:tcBorders>
          </w:tcPr>
          <w:p w:rsidR="00B04AE3" w:rsidRDefault="00B04AE3">
            <w:pPr>
              <w:rPr>
                <w:sz w:val="2"/>
                <w:szCs w:val="2"/>
              </w:rPr>
            </w:pPr>
          </w:p>
        </w:tc>
        <w:tc>
          <w:tcPr>
            <w:tcW w:w="1858" w:type="dxa"/>
            <w:tcBorders>
              <w:top w:val="single" w:sz="4" w:space="0" w:color="000000"/>
              <w:left w:val="single" w:sz="4" w:space="0" w:color="000000"/>
              <w:right w:val="single" w:sz="4" w:space="0" w:color="000000"/>
            </w:tcBorders>
          </w:tcPr>
          <w:p w:rsidR="00B04AE3" w:rsidRDefault="00B04AE3">
            <w:pPr>
              <w:pStyle w:val="TableParagraph"/>
              <w:spacing w:before="38"/>
              <w:ind w:left="47" w:right="28"/>
              <w:rPr>
                <w:sz w:val="21"/>
              </w:rPr>
            </w:pPr>
            <w:r>
              <w:rPr>
                <w:rFonts w:ascii="Times New Roman" w:hAnsi="Times New Roman"/>
                <w:sz w:val="21"/>
              </w:rPr>
              <w:t>Q≥ 100</w:t>
            </w:r>
            <w:r>
              <w:rPr>
                <w:rFonts w:hint="eastAsia"/>
                <w:sz w:val="21"/>
              </w:rPr>
              <w:t>（</w:t>
            </w:r>
            <w:r>
              <w:rPr>
                <w:rFonts w:ascii="Times New Roman" w:hAnsi="Times New Roman"/>
                <w:sz w:val="21"/>
              </w:rPr>
              <w:t>Q3</w:t>
            </w:r>
            <w:r>
              <w:rPr>
                <w:rFonts w:hint="eastAsia"/>
                <w:sz w:val="21"/>
              </w:rPr>
              <w:t>）</w:t>
            </w:r>
          </w:p>
        </w:tc>
        <w:tc>
          <w:tcPr>
            <w:tcW w:w="1270" w:type="dxa"/>
            <w:tcBorders>
              <w:top w:val="single" w:sz="4" w:space="0" w:color="000000"/>
              <w:left w:val="single" w:sz="4" w:space="0" w:color="000000"/>
              <w:right w:val="single" w:sz="4" w:space="0" w:color="000000"/>
            </w:tcBorders>
          </w:tcPr>
          <w:p w:rsidR="00B04AE3" w:rsidRDefault="00B04AE3">
            <w:pPr>
              <w:pStyle w:val="TableParagraph"/>
              <w:spacing w:before="38"/>
              <w:ind w:left="130" w:right="112"/>
              <w:rPr>
                <w:sz w:val="21"/>
              </w:rPr>
            </w:pPr>
            <w:r>
              <w:rPr>
                <w:rFonts w:hint="eastAsia"/>
                <w:sz w:val="21"/>
              </w:rPr>
              <w:t>较大</w:t>
            </w:r>
          </w:p>
        </w:tc>
        <w:tc>
          <w:tcPr>
            <w:tcW w:w="1270" w:type="dxa"/>
            <w:tcBorders>
              <w:top w:val="single" w:sz="4" w:space="0" w:color="000000"/>
              <w:left w:val="single" w:sz="4" w:space="0" w:color="000000"/>
              <w:right w:val="single" w:sz="4" w:space="0" w:color="000000"/>
            </w:tcBorders>
          </w:tcPr>
          <w:p w:rsidR="00B04AE3" w:rsidRDefault="00B04AE3">
            <w:pPr>
              <w:pStyle w:val="TableParagraph"/>
              <w:spacing w:before="38"/>
              <w:ind w:left="129" w:right="112"/>
              <w:rPr>
                <w:sz w:val="21"/>
              </w:rPr>
            </w:pPr>
            <w:r>
              <w:rPr>
                <w:rFonts w:hint="eastAsia"/>
                <w:sz w:val="21"/>
              </w:rPr>
              <w:t>较大</w:t>
            </w:r>
          </w:p>
        </w:tc>
        <w:tc>
          <w:tcPr>
            <w:tcW w:w="1270" w:type="dxa"/>
            <w:tcBorders>
              <w:top w:val="single" w:sz="4" w:space="0" w:color="000000"/>
              <w:left w:val="single" w:sz="4" w:space="0" w:color="000000"/>
              <w:right w:val="single" w:sz="4" w:space="0" w:color="000000"/>
            </w:tcBorders>
          </w:tcPr>
          <w:p w:rsidR="00B04AE3" w:rsidRDefault="00B04AE3">
            <w:pPr>
              <w:pStyle w:val="TableParagraph"/>
              <w:spacing w:before="38"/>
              <w:ind w:left="128" w:right="112"/>
              <w:rPr>
                <w:sz w:val="21"/>
              </w:rPr>
            </w:pPr>
            <w:r>
              <w:rPr>
                <w:rFonts w:hint="eastAsia"/>
                <w:sz w:val="21"/>
              </w:rPr>
              <w:t>重大</w:t>
            </w:r>
          </w:p>
        </w:tc>
        <w:tc>
          <w:tcPr>
            <w:tcW w:w="1270" w:type="dxa"/>
            <w:tcBorders>
              <w:top w:val="single" w:sz="4" w:space="0" w:color="000000"/>
              <w:left w:val="single" w:sz="4" w:space="0" w:color="000000"/>
            </w:tcBorders>
          </w:tcPr>
          <w:p w:rsidR="00B04AE3" w:rsidRDefault="00B04AE3">
            <w:pPr>
              <w:pStyle w:val="TableParagraph"/>
              <w:spacing w:before="38"/>
              <w:ind w:left="127" w:right="111"/>
              <w:rPr>
                <w:sz w:val="21"/>
              </w:rPr>
            </w:pPr>
            <w:r>
              <w:rPr>
                <w:rFonts w:hint="eastAsia"/>
                <w:sz w:val="21"/>
              </w:rPr>
              <w:t>重大</w:t>
            </w:r>
          </w:p>
        </w:tc>
      </w:tr>
    </w:tbl>
    <w:p w:rsidR="00B04AE3" w:rsidRDefault="00B04AE3">
      <w:pPr>
        <w:pStyle w:val="Heading3"/>
        <w:numPr>
          <w:ilvl w:val="2"/>
          <w:numId w:val="48"/>
        </w:numPr>
        <w:tabs>
          <w:tab w:val="left" w:pos="1338"/>
        </w:tabs>
        <w:spacing w:before="145"/>
      </w:pPr>
      <w:bookmarkStart w:id="375" w:name="6.2.5突发水环境事件风险等级表征"/>
      <w:bookmarkStart w:id="376" w:name="_bookmark135"/>
      <w:bookmarkEnd w:id="375"/>
      <w:bookmarkEnd w:id="376"/>
      <w:r>
        <w:rPr>
          <w:rFonts w:hint="eastAsia"/>
        </w:rPr>
        <w:t>突发水环境事件风险等级表征</w:t>
      </w:r>
    </w:p>
    <w:p w:rsidR="00B04AE3" w:rsidRDefault="00B04AE3">
      <w:pPr>
        <w:pStyle w:val="BodyText"/>
        <w:spacing w:before="173"/>
        <w:ind w:left="1277"/>
      </w:pPr>
      <w:r>
        <w:rPr>
          <w:rFonts w:ascii="Times New Roman" w:hAnsi="Times New Roman"/>
        </w:rPr>
        <w:t>Q</w:t>
      </w:r>
      <w:r>
        <w:rPr>
          <w:rFonts w:hint="eastAsia"/>
        </w:rPr>
        <w:t>＜</w:t>
      </w:r>
      <w:r>
        <w:rPr>
          <w:rFonts w:ascii="Times New Roman" w:hAnsi="Times New Roman"/>
        </w:rPr>
        <w:t xml:space="preserve">1 </w:t>
      </w:r>
      <w:r>
        <w:rPr>
          <w:rFonts w:hint="eastAsia"/>
        </w:rPr>
        <w:t>时，企业突发水环境事件风险等级表示为</w:t>
      </w:r>
      <w:r>
        <w:rPr>
          <w:rFonts w:ascii="Times New Roman" w:hAnsi="Times New Roman"/>
        </w:rPr>
        <w:t>“</w:t>
      </w:r>
      <w:r>
        <w:rPr>
          <w:rFonts w:hint="eastAsia"/>
        </w:rPr>
        <w:t>一般</w:t>
      </w:r>
      <w:r>
        <w:rPr>
          <w:rFonts w:ascii="Times New Roman" w:hAnsi="Times New Roman"/>
        </w:rPr>
        <w:t>-</w:t>
      </w:r>
      <w:r>
        <w:rPr>
          <w:rFonts w:hint="eastAsia"/>
        </w:rPr>
        <w:t>水（</w:t>
      </w:r>
      <w:r>
        <w:rPr>
          <w:rFonts w:ascii="Times New Roman" w:hAnsi="Times New Roman"/>
        </w:rPr>
        <w:t>Q0</w:t>
      </w:r>
      <w:r>
        <w:rPr>
          <w:rFonts w:hint="eastAsia"/>
        </w:rPr>
        <w:t>）</w:t>
      </w:r>
      <w:r>
        <w:rPr>
          <w:rFonts w:ascii="Times New Roman" w:hAnsi="Times New Roman"/>
        </w:rPr>
        <w:t>”</w:t>
      </w:r>
      <w:r>
        <w:rPr>
          <w:rFonts w:hint="eastAsia"/>
        </w:rPr>
        <w:t>。</w:t>
      </w:r>
    </w:p>
    <w:p w:rsidR="00B04AE3" w:rsidRDefault="00B04AE3">
      <w:pPr>
        <w:pStyle w:val="Heading2"/>
        <w:numPr>
          <w:ilvl w:val="1"/>
          <w:numId w:val="48"/>
        </w:numPr>
        <w:tabs>
          <w:tab w:val="left" w:pos="1357"/>
        </w:tabs>
        <w:spacing w:before="191"/>
        <w:ind w:left="1356" w:hanging="559"/>
        <w:rPr>
          <w:rFonts w:ascii="Times New Roman" w:eastAsia="Times New Roman"/>
        </w:rPr>
      </w:pPr>
      <w:bookmarkStart w:id="377" w:name="6.3_企业突发环境事件风险等级确定与调整"/>
      <w:bookmarkStart w:id="378" w:name="_bookmark136"/>
      <w:bookmarkEnd w:id="377"/>
      <w:bookmarkEnd w:id="378"/>
      <w:r>
        <w:rPr>
          <w:rFonts w:hint="eastAsia"/>
        </w:rPr>
        <w:t>企业突发环境事件风险等级确定与调整</w:t>
      </w:r>
    </w:p>
    <w:p w:rsidR="00B04AE3" w:rsidRDefault="00B04AE3">
      <w:pPr>
        <w:pStyle w:val="Heading3"/>
        <w:numPr>
          <w:ilvl w:val="2"/>
          <w:numId w:val="48"/>
        </w:numPr>
        <w:tabs>
          <w:tab w:val="left" w:pos="1338"/>
        </w:tabs>
      </w:pPr>
      <w:bookmarkStart w:id="379" w:name="6.3.1风险等级确定"/>
      <w:bookmarkStart w:id="380" w:name="_bookmark137"/>
      <w:bookmarkEnd w:id="379"/>
      <w:bookmarkEnd w:id="380"/>
      <w:r>
        <w:rPr>
          <w:rFonts w:hint="eastAsia"/>
        </w:rPr>
        <w:t>风险等级确定</w:t>
      </w:r>
    </w:p>
    <w:p w:rsidR="00B04AE3" w:rsidRDefault="00B04AE3">
      <w:pPr>
        <w:pStyle w:val="BodyText"/>
        <w:spacing w:before="172" w:line="374" w:lineRule="auto"/>
        <w:ind w:left="797" w:right="795" w:firstLine="480"/>
        <w:jc w:val="both"/>
      </w:pPr>
      <w:r>
        <w:rPr>
          <w:rFonts w:hint="eastAsia"/>
        </w:rPr>
        <w:t>以企业突发大气环境事件风险和突发水环境事件风险等级高者确定企业突发环境事件风险等级。</w:t>
      </w:r>
    </w:p>
    <w:p w:rsidR="00B04AE3" w:rsidRDefault="00B04AE3">
      <w:pPr>
        <w:pStyle w:val="BodyText"/>
        <w:spacing w:before="1" w:line="374" w:lineRule="auto"/>
        <w:ind w:left="797" w:right="795" w:firstLine="480"/>
        <w:jc w:val="both"/>
      </w:pPr>
      <w:r>
        <w:rPr>
          <w:rFonts w:hint="eastAsia"/>
          <w:spacing w:val="-11"/>
        </w:rPr>
        <w:t>综上，确定南昌海立电器有限公司突发环境事件风险等级按照企业突发</w:t>
      </w:r>
      <w:r>
        <w:rPr>
          <w:rFonts w:hint="eastAsia"/>
        </w:rPr>
        <w:t>大气环境时间风险等级确定为一般风险。</w:t>
      </w:r>
    </w:p>
    <w:p w:rsidR="00B04AE3" w:rsidRDefault="00B04AE3">
      <w:pPr>
        <w:pStyle w:val="Heading3"/>
        <w:numPr>
          <w:ilvl w:val="2"/>
          <w:numId w:val="48"/>
        </w:numPr>
        <w:tabs>
          <w:tab w:val="left" w:pos="1338"/>
        </w:tabs>
        <w:spacing w:before="1"/>
      </w:pPr>
      <w:bookmarkStart w:id="381" w:name="6.3.2风险等级调整"/>
      <w:bookmarkStart w:id="382" w:name="_bookmark138"/>
      <w:bookmarkEnd w:id="381"/>
      <w:bookmarkEnd w:id="382"/>
      <w:r>
        <w:rPr>
          <w:rFonts w:hint="eastAsia"/>
        </w:rPr>
        <w:t>风险等级调整</w:t>
      </w:r>
    </w:p>
    <w:p w:rsidR="00B04AE3" w:rsidRDefault="00B04AE3">
      <w:pPr>
        <w:pStyle w:val="BodyText"/>
        <w:spacing w:before="172" w:line="374" w:lineRule="auto"/>
        <w:ind w:left="797" w:right="795" w:firstLine="480"/>
        <w:jc w:val="both"/>
      </w:pPr>
      <w:r>
        <w:rPr>
          <w:rFonts w:hint="eastAsia"/>
          <w:spacing w:val="-8"/>
        </w:rPr>
        <w:t>近三年内因违法排放污染物、非法转移处置危险废物等行为受到环境保护主</w:t>
      </w:r>
      <w:r>
        <w:rPr>
          <w:rFonts w:hint="eastAsia"/>
          <w:spacing w:val="-9"/>
        </w:rPr>
        <w:t>管部门处罚的企业，在已评定的突发环境事件风险等级基础上调高一级，最高等</w:t>
      </w:r>
      <w:r>
        <w:rPr>
          <w:rFonts w:hint="eastAsia"/>
        </w:rPr>
        <w:t>级为重大。</w:t>
      </w:r>
    </w:p>
    <w:p w:rsidR="00B04AE3" w:rsidRDefault="00B04AE3">
      <w:pPr>
        <w:pStyle w:val="BodyText"/>
        <w:spacing w:before="1"/>
        <w:ind w:left="1277"/>
      </w:pPr>
      <w:r>
        <w:rPr>
          <w:rFonts w:hint="eastAsia"/>
        </w:rPr>
        <w:t>南昌海立电器有限公司近三年未受相关处罚，无需进行风险等级调整。</w:t>
      </w:r>
    </w:p>
    <w:p w:rsidR="00B04AE3" w:rsidRDefault="00B04AE3">
      <w:pPr>
        <w:pStyle w:val="BodyText"/>
        <w:spacing w:before="5"/>
        <w:rPr>
          <w:sz w:val="10"/>
        </w:rPr>
      </w:pPr>
    </w:p>
    <w:p w:rsidR="00B04AE3" w:rsidRDefault="00B04AE3">
      <w:pPr>
        <w:pStyle w:val="Heading3"/>
        <w:numPr>
          <w:ilvl w:val="2"/>
          <w:numId w:val="48"/>
        </w:numPr>
        <w:tabs>
          <w:tab w:val="left" w:pos="1338"/>
        </w:tabs>
        <w:spacing w:before="74"/>
      </w:pPr>
      <w:bookmarkStart w:id="383" w:name="6.3.3风险等级表征"/>
      <w:bookmarkStart w:id="384" w:name="_bookmark139"/>
      <w:bookmarkEnd w:id="383"/>
      <w:bookmarkEnd w:id="384"/>
      <w:r>
        <w:rPr>
          <w:rFonts w:hint="eastAsia"/>
        </w:rPr>
        <w:t>风险等级表征</w:t>
      </w:r>
    </w:p>
    <w:p w:rsidR="00B04AE3" w:rsidRDefault="00B04AE3">
      <w:pPr>
        <w:pStyle w:val="BodyText"/>
        <w:spacing w:before="173" w:line="374" w:lineRule="auto"/>
        <w:ind w:left="797" w:right="795" w:firstLine="480"/>
      </w:pPr>
      <w:r>
        <w:rPr>
          <w:rFonts w:hint="eastAsia"/>
          <w:spacing w:val="-5"/>
        </w:rPr>
        <w:t>南昌海立电器有限公司同时涉及突发大气和水环境事件风险，风险等级</w:t>
      </w:r>
      <w:r>
        <w:rPr>
          <w:rFonts w:hint="eastAsia"/>
        </w:rPr>
        <w:t>表示为</w:t>
      </w:r>
      <w:r>
        <w:rPr>
          <w:rFonts w:ascii="Times New Roman" w:hAnsi="Times New Roman"/>
          <w:spacing w:val="-1"/>
        </w:rPr>
        <w:t>“ [</w:t>
      </w:r>
      <w:r>
        <w:rPr>
          <w:rFonts w:hint="eastAsia"/>
        </w:rPr>
        <w:t>一般</w:t>
      </w:r>
      <w:r>
        <w:rPr>
          <w:rFonts w:ascii="Times New Roman" w:hAnsi="Times New Roman"/>
        </w:rPr>
        <w:t>-</w:t>
      </w:r>
      <w:r>
        <w:rPr>
          <w:rFonts w:hint="eastAsia"/>
        </w:rPr>
        <w:t>大气（</w:t>
      </w:r>
      <w:r>
        <w:rPr>
          <w:rFonts w:ascii="Times New Roman" w:hAnsi="Times New Roman"/>
        </w:rPr>
        <w:t>Q0</w:t>
      </w:r>
      <w:r>
        <w:rPr>
          <w:rFonts w:hint="eastAsia"/>
        </w:rPr>
        <w:t>）</w:t>
      </w:r>
      <w:r>
        <w:rPr>
          <w:rFonts w:ascii="Times New Roman" w:hAnsi="Times New Roman"/>
        </w:rPr>
        <w:t>+</w:t>
      </w:r>
      <w:r>
        <w:rPr>
          <w:rFonts w:hint="eastAsia"/>
        </w:rPr>
        <w:t>一般</w:t>
      </w:r>
      <w:r>
        <w:rPr>
          <w:rFonts w:ascii="Times New Roman" w:hAnsi="Times New Roman"/>
        </w:rPr>
        <w:t>-</w:t>
      </w:r>
      <w:r>
        <w:rPr>
          <w:rFonts w:hint="eastAsia"/>
        </w:rPr>
        <w:t>水（</w:t>
      </w:r>
      <w:r>
        <w:rPr>
          <w:rFonts w:ascii="Times New Roman" w:hAnsi="Times New Roman"/>
        </w:rPr>
        <w:t>Q0</w:t>
      </w:r>
      <w:r>
        <w:rPr>
          <w:rFonts w:hint="eastAsia"/>
        </w:rPr>
        <w:t>）</w:t>
      </w:r>
      <w:r>
        <w:rPr>
          <w:rFonts w:ascii="Times New Roman" w:hAnsi="Times New Roman"/>
        </w:rPr>
        <w:t>]</w:t>
      </w:r>
      <w:r>
        <w:rPr>
          <w:rFonts w:hint="eastAsia"/>
        </w:rPr>
        <w:t>。</w:t>
      </w:r>
    </w:p>
    <w:p w:rsidR="00B04AE3" w:rsidRDefault="00B04AE3">
      <w:pPr>
        <w:spacing w:line="374" w:lineRule="auto"/>
        <w:sectPr w:rsidR="00B04AE3">
          <w:footerReference w:type="default" r:id="rId85"/>
          <w:pgSz w:w="11910" w:h="16840"/>
          <w:pgMar w:top="1360" w:right="1000" w:bottom="1180" w:left="1000" w:header="878" w:footer="993" w:gutter="0"/>
          <w:cols w:space="720"/>
        </w:sectPr>
      </w:pPr>
    </w:p>
    <w:p w:rsidR="00B04AE3" w:rsidRDefault="00B04AE3">
      <w:pPr>
        <w:spacing w:before="55" w:after="19"/>
        <w:ind w:left="3132"/>
        <w:rPr>
          <w:sz w:val="18"/>
        </w:rPr>
      </w:pPr>
      <w:r>
        <w:rPr>
          <w:rFonts w:hint="eastAsia"/>
          <w:sz w:val="18"/>
        </w:rPr>
        <w:t>南昌海立电器有限公司环境风险评估报告</w:t>
      </w:r>
    </w:p>
    <w:p w:rsidR="00B04AE3" w:rsidRDefault="00B04AE3">
      <w:pPr>
        <w:pStyle w:val="BodyText"/>
        <w:spacing w:line="20" w:lineRule="exact"/>
        <w:ind w:left="202"/>
        <w:rPr>
          <w:sz w:val="2"/>
        </w:rPr>
      </w:pPr>
      <w:r>
        <w:rPr>
          <w:noProof/>
          <w:lang w:val="en-US"/>
        </w:rPr>
      </w:r>
      <w:r w:rsidRPr="000C330E">
        <w:rPr>
          <w:sz w:val="2"/>
        </w:rPr>
        <w:pict>
          <v:group id="_x0000_s1469" style="width:472.3pt;height:.75pt;mso-position-horizontal-relative:char;mso-position-vertical-relative:line" coordsize="9446,15">
            <v:line id="_x0000_s1470" style="position:absolute" from="0,7" to="9446,7" strokeweight=".72pt"/>
            <w10:anchorlock/>
          </v:group>
        </w:pict>
      </w: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rPr>
          <w:rFonts w:ascii="Times New Roman"/>
          <w:sz w:val="20"/>
        </w:rPr>
      </w:pPr>
    </w:p>
    <w:p w:rsidR="00B04AE3" w:rsidRDefault="00B04AE3">
      <w:pPr>
        <w:pStyle w:val="BodyText"/>
        <w:spacing w:before="11"/>
        <w:rPr>
          <w:rFonts w:ascii="Times New Roman"/>
          <w:sz w:val="16"/>
        </w:rPr>
      </w:pPr>
    </w:p>
    <w:p w:rsidR="00B04AE3" w:rsidRDefault="00B04AE3">
      <w:pPr>
        <w:spacing w:before="41"/>
        <w:ind w:right="581"/>
        <w:jc w:val="center"/>
        <w:rPr>
          <w:rFonts w:ascii="黑体" w:eastAsia="黑体"/>
          <w:sz w:val="42"/>
        </w:rPr>
      </w:pPr>
      <w:r>
        <w:rPr>
          <w:rFonts w:ascii="黑体" w:eastAsia="黑体" w:hint="eastAsia"/>
          <w:sz w:val="42"/>
        </w:rPr>
        <w:t>南昌海立电器有限公司</w:t>
      </w:r>
    </w:p>
    <w:p w:rsidR="00B04AE3" w:rsidRDefault="00B04AE3">
      <w:pPr>
        <w:spacing w:before="178"/>
        <w:ind w:right="577"/>
        <w:jc w:val="center"/>
        <w:rPr>
          <w:rFonts w:ascii="黑体" w:eastAsia="黑体"/>
          <w:sz w:val="52"/>
        </w:rPr>
      </w:pPr>
      <w:r>
        <w:rPr>
          <w:rFonts w:ascii="黑体" w:eastAsia="黑体" w:hint="eastAsia"/>
          <w:spacing w:val="-3"/>
          <w:sz w:val="52"/>
        </w:rPr>
        <w:t>环境应急资源调查报告</w:t>
      </w: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pStyle w:val="BodyText"/>
        <w:rPr>
          <w:rFonts w:ascii="黑体"/>
          <w:sz w:val="52"/>
        </w:rPr>
      </w:pPr>
    </w:p>
    <w:p w:rsidR="00B04AE3" w:rsidRDefault="00B04AE3">
      <w:pPr>
        <w:spacing w:before="375"/>
        <w:ind w:right="577"/>
        <w:jc w:val="center"/>
        <w:rPr>
          <w:b/>
          <w:sz w:val="36"/>
        </w:rPr>
      </w:pPr>
      <w:r>
        <w:rPr>
          <w:rFonts w:hint="eastAsia"/>
          <w:b/>
          <w:sz w:val="36"/>
        </w:rPr>
        <w:t>二〇一八年十二月</w:t>
      </w:r>
    </w:p>
    <w:p w:rsidR="00B04AE3" w:rsidRDefault="00B04AE3">
      <w:pPr>
        <w:jc w:val="center"/>
        <w:rPr>
          <w:sz w:val="36"/>
        </w:rPr>
        <w:sectPr w:rsidR="00B04AE3">
          <w:headerReference w:type="default" r:id="rId86"/>
          <w:footerReference w:type="default" r:id="rId87"/>
          <w:pgSz w:w="11910" w:h="16840"/>
          <w:pgMar w:top="1580" w:right="440" w:bottom="280" w:left="1020" w:header="0" w:footer="0" w:gutter="0"/>
          <w:cols w:space="720"/>
        </w:sectPr>
      </w:pPr>
    </w:p>
    <w:p w:rsidR="00B04AE3" w:rsidRDefault="00B04AE3">
      <w:pPr>
        <w:pStyle w:val="BodyText"/>
        <w:rPr>
          <w:b/>
          <w:sz w:val="20"/>
        </w:rPr>
      </w:pPr>
    </w:p>
    <w:p w:rsidR="00B04AE3" w:rsidRDefault="00B04AE3">
      <w:pPr>
        <w:pStyle w:val="BodyText"/>
        <w:spacing w:before="67" w:line="487" w:lineRule="auto"/>
        <w:ind w:left="780" w:right="1265" w:firstLine="480"/>
      </w:pPr>
      <w:r>
        <w:rPr>
          <w:rFonts w:hint="eastAsia"/>
          <w:spacing w:val="-6"/>
        </w:rPr>
        <w:t>为贯彻落实环境风险防控任务，保障人民群众的身体健康和环境安全，规范</w:t>
      </w:r>
      <w:r>
        <w:rPr>
          <w:rFonts w:hint="eastAsia"/>
          <w:spacing w:val="-7"/>
        </w:rPr>
        <w:t>企业突发环境事件风险评估行为，为企业提高环境风险防控能力提供切实指导，</w:t>
      </w:r>
      <w:r>
        <w:rPr>
          <w:spacing w:val="-7"/>
        </w:rPr>
        <w:t xml:space="preserve"> </w:t>
      </w:r>
      <w:r>
        <w:rPr>
          <w:rFonts w:hint="eastAsia"/>
          <w:spacing w:val="-4"/>
        </w:rPr>
        <w:t>为环保部门根据企业环境风险等级实施分级差别化管理提供技术支持，环境保护</w:t>
      </w:r>
      <w:r>
        <w:rPr>
          <w:rFonts w:hint="eastAsia"/>
          <w:spacing w:val="17"/>
        </w:rPr>
        <w:t>部于</w:t>
      </w:r>
      <w:r>
        <w:rPr>
          <w:rFonts w:ascii="Times New Roman" w:eastAsia="Times New Roman"/>
        </w:rPr>
        <w:t>2014</w:t>
      </w:r>
      <w:r>
        <w:rPr>
          <w:rFonts w:ascii="Times New Roman" w:eastAsia="Times New Roman"/>
          <w:spacing w:val="-22"/>
        </w:rPr>
        <w:t xml:space="preserve"> </w:t>
      </w:r>
      <w:r>
        <w:rPr>
          <w:rFonts w:hint="eastAsia"/>
          <w:spacing w:val="40"/>
        </w:rPr>
        <w:t>年</w:t>
      </w:r>
      <w:r>
        <w:rPr>
          <w:rFonts w:ascii="Times New Roman" w:eastAsia="Times New Roman"/>
        </w:rPr>
        <w:t>4</w:t>
      </w:r>
      <w:r>
        <w:rPr>
          <w:rFonts w:ascii="Times New Roman" w:eastAsia="Times New Roman"/>
          <w:spacing w:val="-22"/>
        </w:rPr>
        <w:t xml:space="preserve"> </w:t>
      </w:r>
      <w:r>
        <w:rPr>
          <w:rFonts w:hint="eastAsia"/>
          <w:spacing w:val="40"/>
        </w:rPr>
        <w:t>月</w:t>
      </w:r>
      <w:r>
        <w:rPr>
          <w:rFonts w:ascii="Times New Roman" w:eastAsia="Times New Roman"/>
        </w:rPr>
        <w:t>3</w:t>
      </w:r>
      <w:r>
        <w:rPr>
          <w:rFonts w:ascii="Times New Roman" w:eastAsia="Times New Roman"/>
          <w:spacing w:val="-22"/>
        </w:rPr>
        <w:t xml:space="preserve"> </w:t>
      </w:r>
      <w:r>
        <w:rPr>
          <w:rFonts w:hint="eastAsia"/>
          <w:spacing w:val="-15"/>
        </w:rPr>
        <w:t>日出台了《关于印发</w:t>
      </w:r>
      <w:r>
        <w:rPr>
          <w:rFonts w:ascii="Times New Roman" w:eastAsia="Times New Roman"/>
          <w:spacing w:val="1"/>
        </w:rPr>
        <w:t>&lt;</w:t>
      </w:r>
      <w:r>
        <w:rPr>
          <w:rFonts w:hint="eastAsia"/>
          <w:spacing w:val="-9"/>
        </w:rPr>
        <w:t>企业突发环境事件风险评估指南</w:t>
      </w:r>
      <w:r>
        <w:rPr>
          <w:rFonts w:hint="eastAsia"/>
        </w:rPr>
        <w:t>（试行</w:t>
      </w:r>
      <w:r>
        <w:rPr>
          <w:rFonts w:hint="eastAsia"/>
          <w:spacing w:val="-120"/>
        </w:rPr>
        <w:t>）</w:t>
      </w:r>
      <w:r>
        <w:rPr>
          <w:rFonts w:ascii="Times New Roman" w:eastAsia="Times New Roman"/>
        </w:rPr>
        <w:t>&gt;</w:t>
      </w:r>
      <w:r>
        <w:rPr>
          <w:rFonts w:hint="eastAsia"/>
        </w:rPr>
        <w:t>的通知》（环办</w:t>
      </w:r>
      <w:r>
        <w:rPr>
          <w:rFonts w:ascii="Times New Roman" w:eastAsia="Times New Roman"/>
        </w:rPr>
        <w:t>[2014]34</w:t>
      </w:r>
      <w:r>
        <w:rPr>
          <w:rFonts w:ascii="Times New Roman" w:eastAsia="Times New Roman"/>
          <w:spacing w:val="-3"/>
        </w:rPr>
        <w:t xml:space="preserve"> </w:t>
      </w:r>
      <w:r>
        <w:rPr>
          <w:rFonts w:hint="eastAsia"/>
        </w:rPr>
        <w:t>号）。</w:t>
      </w:r>
    </w:p>
    <w:p w:rsidR="00B04AE3" w:rsidRDefault="00B04AE3">
      <w:pPr>
        <w:pStyle w:val="BodyText"/>
        <w:spacing w:line="364" w:lineRule="auto"/>
        <w:ind w:left="780" w:right="1355" w:firstLine="480"/>
        <w:jc w:val="both"/>
        <w:rPr>
          <w:spacing w:val="1"/>
        </w:rPr>
      </w:pPr>
      <w:r>
        <w:rPr>
          <w:rFonts w:hint="eastAsia"/>
          <w:spacing w:val="1"/>
        </w:rPr>
        <w:t>南昌海立电器有限公司是上海日立电器有限公司投资</w:t>
      </w:r>
      <w:r>
        <w:rPr>
          <w:spacing w:val="1"/>
        </w:rPr>
        <w:t>100%</w:t>
      </w:r>
      <w:r>
        <w:rPr>
          <w:rFonts w:hint="eastAsia"/>
          <w:spacing w:val="1"/>
        </w:rPr>
        <w:t>的公司。公司于</w:t>
      </w:r>
      <w:r>
        <w:rPr>
          <w:spacing w:val="1"/>
        </w:rPr>
        <w:t>2</w:t>
      </w:r>
    </w:p>
    <w:p w:rsidR="00B04AE3" w:rsidRDefault="00B04AE3">
      <w:pPr>
        <w:pStyle w:val="BodyText"/>
        <w:spacing w:line="364" w:lineRule="auto"/>
        <w:ind w:left="780" w:right="1355" w:firstLine="480"/>
        <w:jc w:val="both"/>
        <w:rPr>
          <w:spacing w:val="1"/>
        </w:rPr>
      </w:pPr>
      <w:r>
        <w:rPr>
          <w:spacing w:val="1"/>
        </w:rPr>
        <w:t>007</w:t>
      </w:r>
      <w:r>
        <w:rPr>
          <w:rFonts w:hint="eastAsia"/>
          <w:spacing w:val="1"/>
        </w:rPr>
        <w:t>年</w:t>
      </w:r>
      <w:r>
        <w:rPr>
          <w:spacing w:val="1"/>
        </w:rPr>
        <w:t>12</w:t>
      </w:r>
      <w:r>
        <w:rPr>
          <w:rFonts w:hint="eastAsia"/>
          <w:spacing w:val="1"/>
        </w:rPr>
        <w:t>月</w:t>
      </w:r>
      <w:r>
        <w:rPr>
          <w:spacing w:val="1"/>
        </w:rPr>
        <w:t>18</w:t>
      </w:r>
      <w:r>
        <w:rPr>
          <w:rFonts w:hint="eastAsia"/>
          <w:spacing w:val="1"/>
        </w:rPr>
        <w:t>日成立，主要产品为空调压缩机。上海日立电器有限公司创建于</w:t>
      </w:r>
      <w:r>
        <w:rPr>
          <w:spacing w:val="1"/>
        </w:rPr>
        <w:t>1993</w:t>
      </w:r>
      <w:r>
        <w:rPr>
          <w:rFonts w:hint="eastAsia"/>
          <w:spacing w:val="1"/>
        </w:rPr>
        <w:t>年</w:t>
      </w:r>
      <w:r>
        <w:rPr>
          <w:spacing w:val="1"/>
        </w:rPr>
        <w:t>1</w:t>
      </w:r>
      <w:r>
        <w:rPr>
          <w:rFonts w:hint="eastAsia"/>
          <w:spacing w:val="1"/>
        </w:rPr>
        <w:t>月，由上海海立（集团）股份有限公司投资</w:t>
      </w:r>
      <w:r>
        <w:rPr>
          <w:spacing w:val="1"/>
        </w:rPr>
        <w:t>75</w:t>
      </w:r>
      <w:r>
        <w:rPr>
          <w:rFonts w:hint="eastAsia"/>
          <w:spacing w:val="1"/>
        </w:rPr>
        <w:t>％和日本国日立家用电器公司投资</w:t>
      </w:r>
      <w:r>
        <w:rPr>
          <w:spacing w:val="1"/>
        </w:rPr>
        <w:t>25</w:t>
      </w:r>
      <w:r>
        <w:rPr>
          <w:rFonts w:hint="eastAsia"/>
          <w:spacing w:val="1"/>
        </w:rPr>
        <w:t>％组建而成，累计投资总额</w:t>
      </w:r>
      <w:r>
        <w:rPr>
          <w:spacing w:val="1"/>
        </w:rPr>
        <w:t>3.5</w:t>
      </w:r>
      <w:r>
        <w:rPr>
          <w:rFonts w:hint="eastAsia"/>
          <w:spacing w:val="1"/>
        </w:rPr>
        <w:t>亿美元，总生产能力达到</w:t>
      </w:r>
      <w:r>
        <w:rPr>
          <w:spacing w:val="1"/>
        </w:rPr>
        <w:t>1050</w:t>
      </w:r>
      <w:r>
        <w:rPr>
          <w:rFonts w:hint="eastAsia"/>
          <w:spacing w:val="1"/>
        </w:rPr>
        <w:t>万台，是当今最大的空调压缩机生产企业。目前海尔、格力、美的、春兰、科龙、长虹、海信等国内知名企业，均不同程度地使用着上海日立的压缩机产品。</w:t>
      </w:r>
    </w:p>
    <w:p w:rsidR="00B04AE3" w:rsidRDefault="00B04AE3">
      <w:pPr>
        <w:pStyle w:val="BodyText"/>
        <w:spacing w:line="364" w:lineRule="auto"/>
        <w:ind w:left="780" w:right="1355" w:firstLine="480"/>
        <w:jc w:val="both"/>
      </w:pPr>
      <w:r>
        <w:rPr>
          <w:rFonts w:hint="eastAsia"/>
          <w:spacing w:val="1"/>
        </w:rPr>
        <w:t>南昌海立电器有限公司为配合南昌市开展环境安全达标建设工作的要</w:t>
      </w:r>
      <w:r>
        <w:rPr>
          <w:rFonts w:hint="eastAsia"/>
          <w:spacing w:val="-8"/>
        </w:rPr>
        <w:t>求，积极采取自查自纠措施，对厂区使用的原辅材料、</w:t>
      </w:r>
      <w:r>
        <w:rPr>
          <w:rFonts w:ascii="Times New Roman" w:hAnsi="Times New Roman"/>
        </w:rPr>
        <w:t>“</w:t>
      </w:r>
      <w:r>
        <w:rPr>
          <w:rFonts w:hint="eastAsia"/>
        </w:rPr>
        <w:t>三废</w:t>
      </w:r>
      <w:r>
        <w:rPr>
          <w:rFonts w:ascii="Times New Roman" w:hAnsi="Times New Roman"/>
        </w:rPr>
        <w:t>”</w:t>
      </w:r>
      <w:r>
        <w:rPr>
          <w:rFonts w:hint="eastAsia"/>
          <w:spacing w:val="-3"/>
        </w:rPr>
        <w:t>污染物及生产设施</w:t>
      </w:r>
      <w:r>
        <w:rPr>
          <w:rFonts w:hint="eastAsia"/>
          <w:spacing w:val="-7"/>
        </w:rPr>
        <w:t>进行了风险识别及隐患排查，统计了厂区现有应急物资与装备，并针对厂区需要</w:t>
      </w:r>
      <w:r>
        <w:rPr>
          <w:rFonts w:hint="eastAsia"/>
          <w:spacing w:val="-8"/>
        </w:rPr>
        <w:t>完善和补充的物资进行核算，在此基础上，编制完成了《南昌海立电器有限公司</w:t>
      </w:r>
      <w:r>
        <w:rPr>
          <w:rFonts w:hint="eastAsia"/>
        </w:rPr>
        <w:t>环境应急资源调查报告》。</w:t>
      </w:r>
    </w:p>
    <w:p w:rsidR="00B04AE3" w:rsidRDefault="00B04AE3">
      <w:pPr>
        <w:spacing w:line="364" w:lineRule="auto"/>
        <w:jc w:val="both"/>
        <w:sectPr w:rsidR="00B04AE3">
          <w:headerReference w:type="default" r:id="rId88"/>
          <w:footerReference w:type="default" r:id="rId89"/>
          <w:pgSz w:w="11910" w:h="16840"/>
          <w:pgMar w:top="1920" w:right="440" w:bottom="280" w:left="1020" w:header="1571" w:footer="0" w:gutter="0"/>
          <w:cols w:space="720"/>
        </w:sectPr>
      </w:pPr>
    </w:p>
    <w:p w:rsidR="00B04AE3" w:rsidRDefault="00B04AE3">
      <w:pPr>
        <w:pStyle w:val="BodyText"/>
        <w:spacing w:before="1"/>
        <w:rPr>
          <w:sz w:val="12"/>
        </w:rPr>
      </w:pPr>
    </w:p>
    <w:p w:rsidR="00B04AE3" w:rsidRDefault="00B04AE3">
      <w:pPr>
        <w:tabs>
          <w:tab w:val="right" w:leader="dot" w:pos="9085"/>
        </w:tabs>
        <w:spacing w:before="76"/>
        <w:ind w:left="780"/>
        <w:rPr>
          <w:rFonts w:ascii="Times New Roman" w:eastAsia="Times New Roman"/>
          <w:sz w:val="21"/>
        </w:rPr>
      </w:pPr>
      <w:hyperlink w:anchor="_bookmark140" w:history="1">
        <w:r>
          <w:rPr>
            <w:rFonts w:hint="eastAsia"/>
            <w:sz w:val="21"/>
          </w:rPr>
          <w:t>一、现有应急物资与装备</w:t>
        </w:r>
        <w:r>
          <w:rPr>
            <w:sz w:val="21"/>
          </w:rPr>
          <w:tab/>
        </w:r>
        <w:r>
          <w:rPr>
            <w:rFonts w:ascii="Times New Roman" w:eastAsia="Times New Roman"/>
            <w:sz w:val="21"/>
          </w:rPr>
          <w:t>1</w:t>
        </w:r>
      </w:hyperlink>
    </w:p>
    <w:p w:rsidR="00B04AE3" w:rsidRDefault="00B04AE3">
      <w:pPr>
        <w:tabs>
          <w:tab w:val="right" w:leader="dot" w:pos="9085"/>
        </w:tabs>
        <w:spacing w:before="199"/>
        <w:ind w:left="780"/>
        <w:rPr>
          <w:rFonts w:ascii="Times New Roman" w:eastAsia="Times New Roman"/>
          <w:sz w:val="21"/>
        </w:rPr>
      </w:pPr>
      <w:hyperlink w:anchor="_bookmark141" w:history="1">
        <w:r>
          <w:rPr>
            <w:rFonts w:hint="eastAsia"/>
            <w:sz w:val="21"/>
          </w:rPr>
          <w:t>二、需补充、完善应急物资与装备</w:t>
        </w:r>
        <w:r>
          <w:rPr>
            <w:sz w:val="21"/>
          </w:rPr>
          <w:tab/>
        </w:r>
        <w:r>
          <w:rPr>
            <w:rFonts w:ascii="Times New Roman" w:eastAsia="Times New Roman"/>
            <w:sz w:val="21"/>
          </w:rPr>
          <w:t>1</w:t>
        </w:r>
      </w:hyperlink>
    </w:p>
    <w:p w:rsidR="00B04AE3" w:rsidRDefault="00B04AE3">
      <w:pPr>
        <w:tabs>
          <w:tab w:val="right" w:leader="dot" w:pos="9085"/>
        </w:tabs>
        <w:spacing w:before="199"/>
        <w:ind w:left="780"/>
        <w:rPr>
          <w:rFonts w:ascii="Times New Roman" w:eastAsia="Times New Roman"/>
          <w:sz w:val="21"/>
        </w:rPr>
      </w:pPr>
      <w:hyperlink w:anchor="_bookmark142" w:history="1">
        <w:r>
          <w:rPr>
            <w:rFonts w:hint="eastAsia"/>
            <w:sz w:val="21"/>
          </w:rPr>
          <w:t>三、内部救援队伍</w:t>
        </w:r>
        <w:r>
          <w:rPr>
            <w:sz w:val="21"/>
          </w:rPr>
          <w:tab/>
        </w:r>
        <w:r>
          <w:rPr>
            <w:rFonts w:ascii="Times New Roman" w:eastAsia="Times New Roman"/>
            <w:sz w:val="21"/>
          </w:rPr>
          <w:t>3</w:t>
        </w:r>
      </w:hyperlink>
    </w:p>
    <w:p w:rsidR="00B04AE3" w:rsidRDefault="00B04AE3">
      <w:pPr>
        <w:tabs>
          <w:tab w:val="right" w:leader="dot" w:pos="9085"/>
        </w:tabs>
        <w:spacing w:before="199"/>
        <w:ind w:left="780"/>
        <w:rPr>
          <w:rFonts w:ascii="Times New Roman" w:eastAsia="Times New Roman"/>
          <w:sz w:val="21"/>
        </w:rPr>
      </w:pPr>
      <w:hyperlink w:anchor="_bookmark143" w:history="1">
        <w:r>
          <w:rPr>
            <w:rFonts w:hint="eastAsia"/>
            <w:sz w:val="21"/>
          </w:rPr>
          <w:t>四、外部救援机构</w:t>
        </w:r>
        <w:r>
          <w:rPr>
            <w:sz w:val="21"/>
          </w:rPr>
          <w:tab/>
        </w:r>
        <w:r>
          <w:rPr>
            <w:rFonts w:ascii="Times New Roman" w:eastAsia="Times New Roman"/>
            <w:sz w:val="21"/>
          </w:rPr>
          <w:t>7</w:t>
        </w:r>
      </w:hyperlink>
    </w:p>
    <w:p w:rsidR="00B04AE3" w:rsidRDefault="00B04AE3">
      <w:pPr>
        <w:rPr>
          <w:rFonts w:ascii="Times New Roman" w:eastAsia="Times New Roman"/>
          <w:sz w:val="21"/>
        </w:rPr>
        <w:sectPr w:rsidR="00B04AE3">
          <w:headerReference w:type="default" r:id="rId90"/>
          <w:footerReference w:type="default" r:id="rId91"/>
          <w:pgSz w:w="11910" w:h="16840"/>
          <w:pgMar w:top="1920" w:right="440" w:bottom="280" w:left="1020" w:header="1571" w:footer="0" w:gutter="0"/>
          <w:cols w:space="720"/>
        </w:sectPr>
      </w:pPr>
    </w:p>
    <w:p w:rsidR="00B04AE3" w:rsidRDefault="00B04AE3">
      <w:pPr>
        <w:spacing w:before="104"/>
        <w:ind w:left="777"/>
        <w:rPr>
          <w:b/>
          <w:sz w:val="24"/>
        </w:rPr>
      </w:pPr>
      <w:bookmarkStart w:id="385" w:name="_bookmark140"/>
      <w:bookmarkStart w:id="386" w:name="一、现有应急物资与装备"/>
      <w:bookmarkEnd w:id="385"/>
      <w:bookmarkEnd w:id="386"/>
      <w:r>
        <w:rPr>
          <w:rFonts w:hint="eastAsia"/>
          <w:b/>
          <w:sz w:val="24"/>
        </w:rPr>
        <w:t>一、现有应急物资与装备</w:t>
      </w:r>
    </w:p>
    <w:p w:rsidR="00B04AE3" w:rsidRDefault="00B04AE3">
      <w:pPr>
        <w:pStyle w:val="BodyText"/>
        <w:spacing w:line="364" w:lineRule="auto"/>
        <w:ind w:left="780" w:right="1355" w:firstLine="480"/>
        <w:jc w:val="both"/>
        <w:rPr>
          <w:spacing w:val="1"/>
        </w:rPr>
      </w:pPr>
      <w:r>
        <w:rPr>
          <w:rFonts w:hint="eastAsia"/>
          <w:spacing w:val="1"/>
        </w:rPr>
        <w:t>目前南昌海立电器有限公司已具有应急救援设施，包括内部联络报警设施、消防设施、安全防护用具，储备了灭火器、消防沙等基本应急物资，并成立了突发环境事件应急指挥部，由公司总经理任总指挥，公司副总经理任副总指挥，</w:t>
      </w:r>
      <w:r>
        <w:rPr>
          <w:spacing w:val="1"/>
        </w:rPr>
        <w:t xml:space="preserve"> </w:t>
      </w:r>
      <w:r>
        <w:rPr>
          <w:rFonts w:hint="eastAsia"/>
          <w:spacing w:val="1"/>
        </w:rPr>
        <w:t>成员为各部门负责人。</w:t>
      </w:r>
    </w:p>
    <w:p w:rsidR="00B04AE3" w:rsidRDefault="00B04AE3">
      <w:pPr>
        <w:pStyle w:val="BodyText"/>
        <w:spacing w:line="364" w:lineRule="auto"/>
        <w:ind w:left="780" w:right="1355" w:firstLine="480"/>
        <w:jc w:val="both"/>
        <w:rPr>
          <w:spacing w:val="1"/>
        </w:rPr>
      </w:pPr>
      <w:r>
        <w:rPr>
          <w:rFonts w:hint="eastAsia"/>
          <w:spacing w:val="1"/>
        </w:rPr>
        <w:t>为保障应急需要，公司在装置区适当部位设置应急器材，指定专人管理，定期检查，确保应急物资种类、数量、性能、存放位置符合应急需要，在需要时及时获取并有效使用。企业的应急储备包括消防器材、个人防护用品等，物资清单见表</w:t>
      </w:r>
      <w:r>
        <w:rPr>
          <w:spacing w:val="1"/>
        </w:rPr>
        <w:t xml:space="preserve"> 1</w:t>
      </w:r>
      <w:r>
        <w:rPr>
          <w:rFonts w:hint="eastAsia"/>
          <w:spacing w:val="1"/>
        </w:rPr>
        <w:t>。</w:t>
      </w:r>
    </w:p>
    <w:p w:rsidR="00B04AE3" w:rsidRDefault="00B04AE3">
      <w:pPr>
        <w:tabs>
          <w:tab w:val="left" w:pos="659"/>
        </w:tabs>
        <w:spacing w:line="303" w:lineRule="exact"/>
        <w:ind w:right="85"/>
        <w:jc w:val="center"/>
        <w:rPr>
          <w:b/>
          <w:sz w:val="24"/>
        </w:rPr>
      </w:pPr>
      <w:r>
        <w:rPr>
          <w:rFonts w:hint="eastAsia"/>
          <w:b/>
          <w:sz w:val="24"/>
        </w:rPr>
        <w:t>表</w:t>
      </w:r>
      <w:r>
        <w:rPr>
          <w:b/>
          <w:spacing w:val="-62"/>
          <w:sz w:val="24"/>
        </w:rPr>
        <w:t xml:space="preserve"> </w:t>
      </w:r>
      <w:r>
        <w:rPr>
          <w:rFonts w:ascii="Times New Roman" w:eastAsia="Times New Roman"/>
          <w:b/>
          <w:sz w:val="24"/>
        </w:rPr>
        <w:t>1</w:t>
      </w:r>
      <w:r>
        <w:rPr>
          <w:rFonts w:ascii="Times New Roman" w:eastAsia="Times New Roman"/>
          <w:b/>
          <w:sz w:val="24"/>
        </w:rPr>
        <w:tab/>
      </w:r>
      <w:r>
        <w:rPr>
          <w:rFonts w:hint="eastAsia"/>
          <w:b/>
          <w:sz w:val="24"/>
        </w:rPr>
        <w:t>现有应急物资及装备明细表</w:t>
      </w:r>
    </w:p>
    <w:p w:rsidR="00B04AE3" w:rsidRDefault="00B04AE3">
      <w:pPr>
        <w:pStyle w:val="BodyText"/>
        <w:spacing w:before="5" w:after="1"/>
        <w:rPr>
          <w:b/>
          <w:sz w:val="12"/>
        </w:rPr>
      </w:pPr>
    </w:p>
    <w:tbl>
      <w:tblPr>
        <w:tblW w:w="8406" w:type="dxa"/>
        <w:tblInd w:w="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049"/>
        <w:gridCol w:w="818"/>
        <w:gridCol w:w="2790"/>
        <w:gridCol w:w="676"/>
        <w:gridCol w:w="2155"/>
        <w:gridCol w:w="918"/>
      </w:tblGrid>
      <w:tr w:rsidR="00B04AE3">
        <w:trPr>
          <w:trHeight w:val="320"/>
        </w:trPr>
        <w:tc>
          <w:tcPr>
            <w:tcW w:w="1049" w:type="dxa"/>
          </w:tcPr>
          <w:p w:rsidR="00B04AE3" w:rsidRDefault="00B04AE3">
            <w:pPr>
              <w:pStyle w:val="TableParagraph"/>
              <w:spacing w:before="45" w:line="255" w:lineRule="exact"/>
              <w:ind w:left="314"/>
              <w:jc w:val="left"/>
              <w:rPr>
                <w:sz w:val="21"/>
              </w:rPr>
            </w:pPr>
            <w:r>
              <w:rPr>
                <w:rFonts w:hint="eastAsia"/>
                <w:sz w:val="21"/>
              </w:rPr>
              <w:t>类别</w:t>
            </w:r>
          </w:p>
        </w:tc>
        <w:tc>
          <w:tcPr>
            <w:tcW w:w="818" w:type="dxa"/>
          </w:tcPr>
          <w:p w:rsidR="00B04AE3" w:rsidRDefault="00B04AE3">
            <w:pPr>
              <w:pStyle w:val="TableParagraph"/>
              <w:spacing w:before="45" w:line="255" w:lineRule="exact"/>
              <w:ind w:left="178" w:right="170"/>
              <w:rPr>
                <w:sz w:val="21"/>
              </w:rPr>
            </w:pPr>
            <w:r>
              <w:rPr>
                <w:rFonts w:hint="eastAsia"/>
                <w:sz w:val="21"/>
              </w:rPr>
              <w:t>序号</w:t>
            </w:r>
          </w:p>
        </w:tc>
        <w:tc>
          <w:tcPr>
            <w:tcW w:w="2790" w:type="dxa"/>
          </w:tcPr>
          <w:p w:rsidR="00B04AE3" w:rsidRDefault="00B04AE3">
            <w:pPr>
              <w:pStyle w:val="TableParagraph"/>
              <w:spacing w:before="45" w:line="255" w:lineRule="exact"/>
              <w:ind w:left="113" w:right="106"/>
              <w:rPr>
                <w:sz w:val="21"/>
              </w:rPr>
            </w:pPr>
            <w:r>
              <w:rPr>
                <w:rFonts w:hint="eastAsia"/>
                <w:sz w:val="21"/>
              </w:rPr>
              <w:t>指标内容</w:t>
            </w:r>
          </w:p>
        </w:tc>
        <w:tc>
          <w:tcPr>
            <w:tcW w:w="676" w:type="dxa"/>
          </w:tcPr>
          <w:p w:rsidR="00B04AE3" w:rsidRDefault="00B04AE3">
            <w:pPr>
              <w:pStyle w:val="TableParagraph"/>
              <w:spacing w:before="45" w:line="255" w:lineRule="exact"/>
              <w:ind w:left="105" w:right="101"/>
              <w:rPr>
                <w:sz w:val="21"/>
              </w:rPr>
            </w:pPr>
            <w:r>
              <w:rPr>
                <w:rFonts w:hint="eastAsia"/>
                <w:sz w:val="21"/>
              </w:rPr>
              <w:t>数量</w:t>
            </w:r>
          </w:p>
        </w:tc>
        <w:tc>
          <w:tcPr>
            <w:tcW w:w="2155" w:type="dxa"/>
          </w:tcPr>
          <w:p w:rsidR="00B04AE3" w:rsidRDefault="00B04AE3">
            <w:pPr>
              <w:pStyle w:val="TableParagraph"/>
              <w:spacing w:before="45" w:line="255" w:lineRule="exact"/>
              <w:ind w:left="8"/>
              <w:rPr>
                <w:sz w:val="21"/>
              </w:rPr>
            </w:pPr>
            <w:r>
              <w:rPr>
                <w:rFonts w:hint="eastAsia"/>
                <w:sz w:val="21"/>
              </w:rPr>
              <w:t>所在位置</w:t>
            </w:r>
          </w:p>
        </w:tc>
        <w:tc>
          <w:tcPr>
            <w:tcW w:w="918" w:type="dxa"/>
          </w:tcPr>
          <w:p w:rsidR="00B04AE3" w:rsidRDefault="00B04AE3">
            <w:pPr>
              <w:pStyle w:val="TableParagraph"/>
              <w:spacing w:before="45" w:line="255" w:lineRule="exact"/>
              <w:ind w:left="123" w:right="114"/>
              <w:rPr>
                <w:sz w:val="21"/>
              </w:rPr>
            </w:pPr>
            <w:r>
              <w:rPr>
                <w:rFonts w:hint="eastAsia"/>
                <w:sz w:val="21"/>
              </w:rPr>
              <w:t>责任人</w:t>
            </w:r>
          </w:p>
        </w:tc>
      </w:tr>
      <w:tr w:rsidR="00B04AE3">
        <w:trPr>
          <w:trHeight w:val="543"/>
        </w:trPr>
        <w:tc>
          <w:tcPr>
            <w:tcW w:w="1049" w:type="dxa"/>
            <w:vMerge w:val="restart"/>
          </w:tcPr>
          <w:p w:rsidR="00B04AE3" w:rsidRDefault="00B04AE3">
            <w:pPr>
              <w:pStyle w:val="TableParagraph"/>
              <w:spacing w:before="4"/>
              <w:jc w:val="left"/>
              <w:rPr>
                <w:b/>
              </w:rPr>
            </w:pPr>
          </w:p>
          <w:p w:rsidR="00B04AE3" w:rsidRDefault="00B04AE3">
            <w:pPr>
              <w:pStyle w:val="TableParagraph"/>
              <w:spacing w:line="288" w:lineRule="auto"/>
              <w:ind w:left="209" w:right="198"/>
              <w:jc w:val="left"/>
              <w:rPr>
                <w:sz w:val="21"/>
              </w:rPr>
            </w:pPr>
            <w:r>
              <w:rPr>
                <w:rFonts w:hint="eastAsia"/>
                <w:sz w:val="21"/>
              </w:rPr>
              <w:t>预警监控设施</w:t>
            </w:r>
          </w:p>
        </w:tc>
        <w:tc>
          <w:tcPr>
            <w:tcW w:w="818" w:type="dxa"/>
          </w:tcPr>
          <w:p w:rsidR="00B04AE3" w:rsidRDefault="00B04AE3">
            <w:pPr>
              <w:pStyle w:val="TableParagraph"/>
              <w:spacing w:before="156"/>
              <w:ind w:left="7"/>
              <w:rPr>
                <w:sz w:val="21"/>
              </w:rPr>
            </w:pPr>
            <w:r>
              <w:rPr>
                <w:w w:val="99"/>
                <w:sz w:val="21"/>
              </w:rPr>
              <w:t>1</w:t>
            </w:r>
          </w:p>
        </w:tc>
        <w:tc>
          <w:tcPr>
            <w:tcW w:w="2790" w:type="dxa"/>
          </w:tcPr>
          <w:p w:rsidR="00B04AE3" w:rsidRDefault="00B04AE3">
            <w:pPr>
              <w:pStyle w:val="TableParagraph"/>
              <w:spacing w:before="156"/>
              <w:ind w:left="111" w:right="106"/>
              <w:rPr>
                <w:sz w:val="21"/>
              </w:rPr>
            </w:pPr>
            <w:r>
              <w:rPr>
                <w:rFonts w:hint="eastAsia"/>
                <w:sz w:val="21"/>
              </w:rPr>
              <w:t>视频监控系统</w:t>
            </w:r>
          </w:p>
        </w:tc>
        <w:tc>
          <w:tcPr>
            <w:tcW w:w="676" w:type="dxa"/>
          </w:tcPr>
          <w:p w:rsidR="00B04AE3" w:rsidRDefault="00B04AE3">
            <w:pPr>
              <w:pStyle w:val="TableParagraph"/>
              <w:spacing w:before="156"/>
              <w:ind w:left="8"/>
              <w:rPr>
                <w:sz w:val="21"/>
              </w:rPr>
            </w:pPr>
            <w:r>
              <w:rPr>
                <w:w w:val="99"/>
                <w:sz w:val="21"/>
              </w:rPr>
              <w:t>1</w:t>
            </w:r>
          </w:p>
        </w:tc>
        <w:tc>
          <w:tcPr>
            <w:tcW w:w="2155" w:type="dxa"/>
          </w:tcPr>
          <w:p w:rsidR="00B04AE3" w:rsidRDefault="00B04AE3">
            <w:pPr>
              <w:pStyle w:val="TableParagraph"/>
              <w:ind w:left="8"/>
              <w:rPr>
                <w:sz w:val="21"/>
              </w:rPr>
            </w:pPr>
            <w:r>
              <w:rPr>
                <w:rFonts w:hint="eastAsia"/>
                <w:sz w:val="21"/>
              </w:rPr>
              <w:t>车间、生产区、办公</w:t>
            </w:r>
          </w:p>
          <w:p w:rsidR="00B04AE3" w:rsidRDefault="00B04AE3">
            <w:pPr>
              <w:pStyle w:val="TableParagraph"/>
              <w:spacing w:before="2" w:line="252" w:lineRule="exact"/>
              <w:ind w:left="8"/>
              <w:rPr>
                <w:sz w:val="21"/>
              </w:rPr>
            </w:pPr>
            <w:r>
              <w:rPr>
                <w:rFonts w:hint="eastAsia"/>
                <w:sz w:val="21"/>
              </w:rPr>
              <w:t>楼、大门</w:t>
            </w:r>
          </w:p>
        </w:tc>
        <w:tc>
          <w:tcPr>
            <w:tcW w:w="918" w:type="dxa"/>
          </w:tcPr>
          <w:p w:rsidR="00B04AE3" w:rsidRDefault="00B04AE3">
            <w:pPr>
              <w:pStyle w:val="TableParagraph"/>
              <w:spacing w:before="13" w:line="247" w:lineRule="exact"/>
              <w:ind w:left="113" w:right="106"/>
              <w:rPr>
                <w:sz w:val="21"/>
              </w:rPr>
            </w:pPr>
            <w:r>
              <w:rPr>
                <w:rFonts w:hint="eastAsia"/>
                <w:sz w:val="21"/>
              </w:rPr>
              <w:t>张磊磊</w:t>
            </w:r>
          </w:p>
        </w:tc>
      </w:tr>
      <w:tr w:rsidR="00B04AE3">
        <w:trPr>
          <w:trHeight w:val="280"/>
        </w:trPr>
        <w:tc>
          <w:tcPr>
            <w:tcW w:w="1049" w:type="dxa"/>
            <w:vMerge/>
            <w:tcBorders>
              <w:top w:val="nil"/>
            </w:tcBorders>
          </w:tcPr>
          <w:p w:rsidR="00B04AE3" w:rsidRDefault="00B04AE3">
            <w:pPr>
              <w:rPr>
                <w:sz w:val="2"/>
                <w:szCs w:val="2"/>
              </w:rPr>
            </w:pPr>
          </w:p>
        </w:tc>
        <w:tc>
          <w:tcPr>
            <w:tcW w:w="818" w:type="dxa"/>
          </w:tcPr>
          <w:p w:rsidR="00B04AE3" w:rsidRDefault="00B04AE3">
            <w:pPr>
              <w:pStyle w:val="TableParagraph"/>
              <w:spacing w:before="13" w:line="247" w:lineRule="exact"/>
              <w:ind w:left="7"/>
              <w:rPr>
                <w:sz w:val="21"/>
              </w:rPr>
            </w:pPr>
            <w:r>
              <w:rPr>
                <w:w w:val="99"/>
                <w:sz w:val="21"/>
              </w:rPr>
              <w:t>2</w:t>
            </w:r>
          </w:p>
        </w:tc>
        <w:tc>
          <w:tcPr>
            <w:tcW w:w="2790" w:type="dxa"/>
          </w:tcPr>
          <w:p w:rsidR="00B04AE3" w:rsidRDefault="00B04AE3">
            <w:pPr>
              <w:pStyle w:val="TableParagraph"/>
              <w:spacing w:before="3" w:line="257" w:lineRule="exact"/>
              <w:ind w:left="111" w:right="106"/>
              <w:rPr>
                <w:sz w:val="21"/>
              </w:rPr>
            </w:pPr>
            <w:r>
              <w:rPr>
                <w:rFonts w:hint="eastAsia"/>
                <w:sz w:val="21"/>
              </w:rPr>
              <w:t>在线监测系统</w:t>
            </w:r>
          </w:p>
        </w:tc>
        <w:tc>
          <w:tcPr>
            <w:tcW w:w="676" w:type="dxa"/>
          </w:tcPr>
          <w:p w:rsidR="00B04AE3" w:rsidRDefault="00B04AE3">
            <w:pPr>
              <w:pStyle w:val="TableParagraph"/>
              <w:spacing w:before="3" w:line="257" w:lineRule="exact"/>
              <w:ind w:left="8"/>
              <w:rPr>
                <w:sz w:val="21"/>
              </w:rPr>
            </w:pPr>
            <w:r>
              <w:rPr>
                <w:w w:val="99"/>
                <w:sz w:val="21"/>
              </w:rPr>
              <w:t>1</w:t>
            </w:r>
          </w:p>
        </w:tc>
        <w:tc>
          <w:tcPr>
            <w:tcW w:w="2155" w:type="dxa"/>
          </w:tcPr>
          <w:p w:rsidR="00B04AE3" w:rsidRDefault="00B04AE3">
            <w:pPr>
              <w:pStyle w:val="TableParagraph"/>
              <w:spacing w:before="3" w:line="257" w:lineRule="exact"/>
              <w:ind w:left="8"/>
              <w:rPr>
                <w:sz w:val="21"/>
              </w:rPr>
            </w:pPr>
            <w:r>
              <w:rPr>
                <w:rFonts w:hint="eastAsia"/>
                <w:sz w:val="21"/>
              </w:rPr>
              <w:t>厂区全覆盖</w:t>
            </w:r>
          </w:p>
        </w:tc>
        <w:tc>
          <w:tcPr>
            <w:tcW w:w="918" w:type="dxa"/>
          </w:tcPr>
          <w:p w:rsidR="00B04AE3" w:rsidRDefault="00B04AE3">
            <w:pPr>
              <w:spacing w:before="3" w:line="257" w:lineRule="exact"/>
              <w:rPr>
                <w:sz w:val="21"/>
              </w:rPr>
            </w:pPr>
            <w:r>
              <w:rPr>
                <w:rFonts w:hint="eastAsia"/>
                <w:sz w:val="21"/>
              </w:rPr>
              <w:t>张磊磊</w:t>
            </w:r>
          </w:p>
        </w:tc>
      </w:tr>
      <w:tr w:rsidR="00B04AE3">
        <w:trPr>
          <w:trHeight w:val="280"/>
        </w:trPr>
        <w:tc>
          <w:tcPr>
            <w:tcW w:w="1049" w:type="dxa"/>
            <w:vMerge/>
            <w:tcBorders>
              <w:top w:val="nil"/>
            </w:tcBorders>
          </w:tcPr>
          <w:p w:rsidR="00B04AE3" w:rsidRDefault="00B04AE3">
            <w:pPr>
              <w:rPr>
                <w:sz w:val="2"/>
                <w:szCs w:val="2"/>
              </w:rPr>
            </w:pPr>
          </w:p>
        </w:tc>
        <w:tc>
          <w:tcPr>
            <w:tcW w:w="818" w:type="dxa"/>
          </w:tcPr>
          <w:p w:rsidR="00B04AE3" w:rsidRDefault="00B04AE3">
            <w:pPr>
              <w:pStyle w:val="TableParagraph"/>
              <w:spacing w:before="13" w:line="247" w:lineRule="exact"/>
              <w:ind w:left="7"/>
              <w:rPr>
                <w:sz w:val="21"/>
              </w:rPr>
            </w:pPr>
            <w:r>
              <w:rPr>
                <w:w w:val="99"/>
                <w:sz w:val="21"/>
              </w:rPr>
              <w:t>3</w:t>
            </w:r>
          </w:p>
        </w:tc>
        <w:tc>
          <w:tcPr>
            <w:tcW w:w="2790" w:type="dxa"/>
          </w:tcPr>
          <w:p w:rsidR="00B04AE3" w:rsidRDefault="00B04AE3">
            <w:pPr>
              <w:pStyle w:val="TableParagraph"/>
              <w:spacing w:before="13" w:line="247" w:lineRule="exact"/>
              <w:ind w:left="113" w:right="106"/>
              <w:rPr>
                <w:sz w:val="21"/>
              </w:rPr>
            </w:pPr>
            <w:r>
              <w:rPr>
                <w:rFonts w:hint="eastAsia"/>
                <w:sz w:val="21"/>
              </w:rPr>
              <w:t>可燃气体报警装置</w:t>
            </w:r>
          </w:p>
        </w:tc>
        <w:tc>
          <w:tcPr>
            <w:tcW w:w="676" w:type="dxa"/>
          </w:tcPr>
          <w:p w:rsidR="00B04AE3" w:rsidRDefault="00B04AE3">
            <w:pPr>
              <w:pStyle w:val="TableParagraph"/>
              <w:spacing w:before="13" w:line="247" w:lineRule="exact"/>
              <w:ind w:left="8"/>
              <w:rPr>
                <w:sz w:val="21"/>
              </w:rPr>
            </w:pPr>
            <w:r>
              <w:rPr>
                <w:w w:val="99"/>
                <w:sz w:val="21"/>
              </w:rPr>
              <w:t>1</w:t>
            </w:r>
          </w:p>
        </w:tc>
        <w:tc>
          <w:tcPr>
            <w:tcW w:w="2155" w:type="dxa"/>
          </w:tcPr>
          <w:p w:rsidR="00B04AE3" w:rsidRDefault="00B04AE3">
            <w:pPr>
              <w:pStyle w:val="TableParagraph"/>
              <w:spacing w:before="13" w:line="247" w:lineRule="exact"/>
              <w:ind w:left="5"/>
              <w:rPr>
                <w:sz w:val="21"/>
              </w:rPr>
            </w:pPr>
            <w:r>
              <w:rPr>
                <w:rFonts w:hint="eastAsia"/>
                <w:sz w:val="21"/>
              </w:rPr>
              <w:t>步进炉</w:t>
            </w:r>
          </w:p>
        </w:tc>
        <w:tc>
          <w:tcPr>
            <w:tcW w:w="918" w:type="dxa"/>
          </w:tcPr>
          <w:p w:rsidR="00B04AE3" w:rsidRDefault="00B04AE3">
            <w:pPr>
              <w:spacing w:before="13" w:line="247" w:lineRule="exact"/>
              <w:rPr>
                <w:sz w:val="21"/>
              </w:rPr>
            </w:pPr>
            <w:r>
              <w:rPr>
                <w:rFonts w:hint="eastAsia"/>
                <w:sz w:val="21"/>
              </w:rPr>
              <w:t>张磊磊</w:t>
            </w:r>
          </w:p>
        </w:tc>
      </w:tr>
      <w:tr w:rsidR="00B04AE3">
        <w:trPr>
          <w:trHeight w:val="320"/>
        </w:trPr>
        <w:tc>
          <w:tcPr>
            <w:tcW w:w="1049" w:type="dxa"/>
            <w:vMerge w:val="restart"/>
          </w:tcPr>
          <w:p w:rsidR="00B04AE3" w:rsidRDefault="00B04AE3">
            <w:pPr>
              <w:pStyle w:val="TableParagraph"/>
              <w:jc w:val="left"/>
              <w:rPr>
                <w:b/>
                <w:sz w:val="20"/>
              </w:rPr>
            </w:pPr>
          </w:p>
          <w:p w:rsidR="00B04AE3" w:rsidRDefault="00B04AE3">
            <w:pPr>
              <w:pStyle w:val="TableParagraph"/>
              <w:jc w:val="left"/>
              <w:rPr>
                <w:b/>
                <w:sz w:val="20"/>
              </w:rPr>
            </w:pPr>
          </w:p>
          <w:p w:rsidR="00B04AE3" w:rsidRDefault="00B04AE3">
            <w:pPr>
              <w:pStyle w:val="TableParagraph"/>
              <w:spacing w:before="178" w:line="285" w:lineRule="auto"/>
              <w:ind w:left="108" w:right="98" w:firstLine="100"/>
              <w:jc w:val="both"/>
              <w:rPr>
                <w:sz w:val="21"/>
              </w:rPr>
            </w:pPr>
            <w:r>
              <w:rPr>
                <w:rFonts w:hint="eastAsia"/>
                <w:sz w:val="21"/>
              </w:rPr>
              <w:t>应急设施、装</w:t>
            </w:r>
            <w:r>
              <w:rPr>
                <w:rFonts w:hint="eastAsia"/>
                <w:spacing w:val="-6"/>
                <w:sz w:val="21"/>
              </w:rPr>
              <w:t>备、材料</w:t>
            </w:r>
          </w:p>
        </w:tc>
        <w:tc>
          <w:tcPr>
            <w:tcW w:w="818" w:type="dxa"/>
          </w:tcPr>
          <w:p w:rsidR="00B04AE3" w:rsidRDefault="00B04AE3">
            <w:pPr>
              <w:pStyle w:val="TableParagraph"/>
              <w:spacing w:before="45" w:line="255" w:lineRule="exact"/>
              <w:ind w:left="7"/>
              <w:rPr>
                <w:sz w:val="21"/>
              </w:rPr>
            </w:pPr>
            <w:r>
              <w:rPr>
                <w:w w:val="99"/>
                <w:sz w:val="21"/>
              </w:rPr>
              <w:t>1</w:t>
            </w:r>
          </w:p>
        </w:tc>
        <w:tc>
          <w:tcPr>
            <w:tcW w:w="2790" w:type="dxa"/>
          </w:tcPr>
          <w:p w:rsidR="00B04AE3" w:rsidRDefault="00B04AE3">
            <w:pPr>
              <w:pStyle w:val="TableParagraph"/>
              <w:spacing w:before="33" w:line="267" w:lineRule="exact"/>
              <w:ind w:left="113" w:right="106"/>
              <w:rPr>
                <w:sz w:val="21"/>
              </w:rPr>
            </w:pPr>
            <w:r>
              <w:rPr>
                <w:rFonts w:hint="eastAsia"/>
                <w:sz w:val="21"/>
              </w:rPr>
              <w:t>应急消防栓</w:t>
            </w:r>
          </w:p>
        </w:tc>
        <w:tc>
          <w:tcPr>
            <w:tcW w:w="676" w:type="dxa"/>
          </w:tcPr>
          <w:p w:rsidR="00B04AE3" w:rsidRDefault="00B04AE3">
            <w:pPr>
              <w:pStyle w:val="TableParagraph"/>
              <w:spacing w:before="33" w:line="267" w:lineRule="exact"/>
              <w:ind w:left="105" w:right="97"/>
              <w:rPr>
                <w:sz w:val="21"/>
              </w:rPr>
            </w:pPr>
            <w:r>
              <w:rPr>
                <w:sz w:val="21"/>
              </w:rPr>
              <w:t>10</w:t>
            </w:r>
          </w:p>
        </w:tc>
        <w:tc>
          <w:tcPr>
            <w:tcW w:w="2155" w:type="dxa"/>
          </w:tcPr>
          <w:p w:rsidR="00B04AE3" w:rsidRDefault="00B04AE3">
            <w:pPr>
              <w:pStyle w:val="TableParagraph"/>
              <w:spacing w:before="33" w:line="267" w:lineRule="exact"/>
              <w:ind w:left="5"/>
              <w:rPr>
                <w:sz w:val="21"/>
              </w:rPr>
            </w:pPr>
            <w:r>
              <w:rPr>
                <w:rFonts w:hint="eastAsia"/>
                <w:sz w:val="21"/>
              </w:rPr>
              <w:t>厂区</w:t>
            </w:r>
          </w:p>
        </w:tc>
        <w:tc>
          <w:tcPr>
            <w:tcW w:w="918" w:type="dxa"/>
          </w:tcPr>
          <w:p w:rsidR="00B04AE3" w:rsidRDefault="00B04AE3">
            <w:pPr>
              <w:pStyle w:val="TableParagraph"/>
              <w:spacing w:before="13" w:line="247" w:lineRule="exact"/>
              <w:ind w:left="113" w:right="106"/>
              <w:rPr>
                <w:sz w:val="21"/>
              </w:rPr>
            </w:pPr>
            <w:r>
              <w:rPr>
                <w:rFonts w:hint="eastAsia"/>
                <w:sz w:val="21"/>
              </w:rPr>
              <w:t>刘超</w:t>
            </w:r>
          </w:p>
        </w:tc>
      </w:tr>
      <w:tr w:rsidR="00B04AE3">
        <w:trPr>
          <w:trHeight w:val="376"/>
        </w:trPr>
        <w:tc>
          <w:tcPr>
            <w:tcW w:w="1049" w:type="dxa"/>
            <w:vMerge/>
            <w:tcBorders>
              <w:top w:val="nil"/>
            </w:tcBorders>
          </w:tcPr>
          <w:p w:rsidR="00B04AE3" w:rsidRDefault="00B04AE3">
            <w:pPr>
              <w:rPr>
                <w:sz w:val="2"/>
                <w:szCs w:val="2"/>
              </w:rPr>
            </w:pPr>
          </w:p>
        </w:tc>
        <w:tc>
          <w:tcPr>
            <w:tcW w:w="818" w:type="dxa"/>
          </w:tcPr>
          <w:p w:rsidR="00B04AE3" w:rsidRDefault="00B04AE3">
            <w:pPr>
              <w:pStyle w:val="TableParagraph"/>
              <w:spacing w:before="75"/>
              <w:ind w:left="7"/>
              <w:rPr>
                <w:sz w:val="21"/>
              </w:rPr>
            </w:pPr>
            <w:r>
              <w:rPr>
                <w:w w:val="99"/>
                <w:sz w:val="21"/>
              </w:rPr>
              <w:t>2</w:t>
            </w:r>
          </w:p>
        </w:tc>
        <w:tc>
          <w:tcPr>
            <w:tcW w:w="2790" w:type="dxa"/>
          </w:tcPr>
          <w:p w:rsidR="00B04AE3" w:rsidRDefault="00B04AE3">
            <w:pPr>
              <w:pStyle w:val="TableParagraph"/>
              <w:spacing w:before="63"/>
              <w:ind w:left="113" w:right="103"/>
              <w:rPr>
                <w:sz w:val="21"/>
              </w:rPr>
            </w:pPr>
            <w:r>
              <w:rPr>
                <w:rFonts w:hint="eastAsia"/>
                <w:sz w:val="21"/>
              </w:rPr>
              <w:t>灭火器</w:t>
            </w:r>
          </w:p>
        </w:tc>
        <w:tc>
          <w:tcPr>
            <w:tcW w:w="676" w:type="dxa"/>
          </w:tcPr>
          <w:p w:rsidR="00B04AE3" w:rsidRDefault="00B04AE3">
            <w:pPr>
              <w:pStyle w:val="TableParagraph"/>
              <w:spacing w:before="63"/>
              <w:ind w:left="8"/>
              <w:rPr>
                <w:sz w:val="21"/>
              </w:rPr>
            </w:pPr>
            <w:r>
              <w:rPr>
                <w:w w:val="99"/>
                <w:sz w:val="21"/>
              </w:rPr>
              <w:t>5</w:t>
            </w:r>
          </w:p>
        </w:tc>
        <w:tc>
          <w:tcPr>
            <w:tcW w:w="2155" w:type="dxa"/>
          </w:tcPr>
          <w:p w:rsidR="00B04AE3" w:rsidRDefault="00B04AE3">
            <w:pPr>
              <w:pStyle w:val="TableParagraph"/>
              <w:spacing w:before="63"/>
              <w:ind w:left="5"/>
              <w:rPr>
                <w:sz w:val="21"/>
              </w:rPr>
            </w:pPr>
            <w:r>
              <w:rPr>
                <w:rFonts w:hint="eastAsia"/>
                <w:sz w:val="21"/>
              </w:rPr>
              <w:t>车间、宿舍楼、办公楼</w:t>
            </w:r>
          </w:p>
        </w:tc>
        <w:tc>
          <w:tcPr>
            <w:tcW w:w="918" w:type="dxa"/>
          </w:tcPr>
          <w:p w:rsidR="00B04AE3" w:rsidRDefault="00B04AE3">
            <w:pPr>
              <w:spacing w:before="60"/>
              <w:rPr>
                <w:sz w:val="21"/>
              </w:rPr>
            </w:pPr>
            <w:r>
              <w:rPr>
                <w:rFonts w:hint="eastAsia"/>
                <w:sz w:val="21"/>
              </w:rPr>
              <w:t>刘超</w:t>
            </w:r>
          </w:p>
        </w:tc>
      </w:tr>
      <w:tr w:rsidR="00B04AE3">
        <w:trPr>
          <w:trHeight w:val="320"/>
        </w:trPr>
        <w:tc>
          <w:tcPr>
            <w:tcW w:w="1049" w:type="dxa"/>
            <w:vMerge/>
            <w:tcBorders>
              <w:top w:val="nil"/>
            </w:tcBorders>
          </w:tcPr>
          <w:p w:rsidR="00B04AE3" w:rsidRDefault="00B04AE3">
            <w:pPr>
              <w:rPr>
                <w:sz w:val="2"/>
                <w:szCs w:val="2"/>
              </w:rPr>
            </w:pPr>
          </w:p>
        </w:tc>
        <w:tc>
          <w:tcPr>
            <w:tcW w:w="818" w:type="dxa"/>
          </w:tcPr>
          <w:p w:rsidR="00B04AE3" w:rsidRDefault="00B04AE3">
            <w:pPr>
              <w:pStyle w:val="TableParagraph"/>
              <w:spacing w:before="46" w:line="253" w:lineRule="exact"/>
              <w:ind w:left="7"/>
              <w:rPr>
                <w:sz w:val="21"/>
              </w:rPr>
            </w:pPr>
            <w:r>
              <w:rPr>
                <w:w w:val="99"/>
                <w:sz w:val="21"/>
              </w:rPr>
              <w:t>3</w:t>
            </w:r>
          </w:p>
        </w:tc>
        <w:tc>
          <w:tcPr>
            <w:tcW w:w="2790" w:type="dxa"/>
          </w:tcPr>
          <w:p w:rsidR="00B04AE3" w:rsidRDefault="00B04AE3">
            <w:pPr>
              <w:pStyle w:val="TableParagraph"/>
              <w:spacing w:before="46" w:line="253" w:lineRule="exact"/>
              <w:ind w:left="113" w:right="106"/>
              <w:rPr>
                <w:sz w:val="21"/>
              </w:rPr>
            </w:pPr>
            <w:r>
              <w:rPr>
                <w:rFonts w:hint="eastAsia"/>
                <w:sz w:val="21"/>
              </w:rPr>
              <w:t>空气呼吸器</w:t>
            </w:r>
          </w:p>
        </w:tc>
        <w:tc>
          <w:tcPr>
            <w:tcW w:w="676" w:type="dxa"/>
          </w:tcPr>
          <w:p w:rsidR="00B04AE3" w:rsidRDefault="00B04AE3">
            <w:pPr>
              <w:pStyle w:val="TableParagraph"/>
              <w:spacing w:before="46" w:line="253" w:lineRule="exact"/>
              <w:ind w:left="105" w:right="97"/>
              <w:rPr>
                <w:sz w:val="21"/>
              </w:rPr>
            </w:pPr>
            <w:r>
              <w:rPr>
                <w:sz w:val="21"/>
              </w:rPr>
              <w:t>20</w:t>
            </w:r>
          </w:p>
        </w:tc>
        <w:tc>
          <w:tcPr>
            <w:tcW w:w="2155" w:type="dxa"/>
          </w:tcPr>
          <w:p w:rsidR="00B04AE3" w:rsidRDefault="00B04AE3">
            <w:pPr>
              <w:pStyle w:val="TableParagraph"/>
              <w:spacing w:before="25"/>
              <w:ind w:left="5"/>
              <w:rPr>
                <w:sz w:val="21"/>
              </w:rPr>
            </w:pPr>
            <w:r>
              <w:rPr>
                <w:rFonts w:hint="eastAsia"/>
                <w:sz w:val="21"/>
              </w:rPr>
              <w:t>熔铸、板带车间</w:t>
            </w:r>
          </w:p>
        </w:tc>
        <w:tc>
          <w:tcPr>
            <w:tcW w:w="918" w:type="dxa"/>
          </w:tcPr>
          <w:p w:rsidR="00B04AE3" w:rsidRDefault="00B04AE3">
            <w:pPr>
              <w:spacing w:before="22"/>
              <w:rPr>
                <w:sz w:val="21"/>
              </w:rPr>
            </w:pPr>
            <w:r>
              <w:rPr>
                <w:rFonts w:hint="eastAsia"/>
                <w:sz w:val="21"/>
              </w:rPr>
              <w:t>刘超</w:t>
            </w:r>
          </w:p>
        </w:tc>
      </w:tr>
      <w:tr w:rsidR="00B04AE3">
        <w:trPr>
          <w:trHeight w:val="320"/>
        </w:trPr>
        <w:tc>
          <w:tcPr>
            <w:tcW w:w="1049" w:type="dxa"/>
            <w:vMerge/>
            <w:tcBorders>
              <w:top w:val="nil"/>
            </w:tcBorders>
          </w:tcPr>
          <w:p w:rsidR="00B04AE3" w:rsidRDefault="00B04AE3">
            <w:pPr>
              <w:rPr>
                <w:sz w:val="2"/>
                <w:szCs w:val="2"/>
              </w:rPr>
            </w:pPr>
          </w:p>
        </w:tc>
        <w:tc>
          <w:tcPr>
            <w:tcW w:w="818" w:type="dxa"/>
          </w:tcPr>
          <w:p w:rsidR="00B04AE3" w:rsidRDefault="00B04AE3">
            <w:pPr>
              <w:pStyle w:val="TableParagraph"/>
              <w:spacing w:before="45" w:line="255" w:lineRule="exact"/>
              <w:ind w:left="7"/>
              <w:rPr>
                <w:sz w:val="21"/>
              </w:rPr>
            </w:pPr>
            <w:r>
              <w:rPr>
                <w:w w:val="99"/>
                <w:sz w:val="21"/>
              </w:rPr>
              <w:t>4</w:t>
            </w:r>
          </w:p>
        </w:tc>
        <w:tc>
          <w:tcPr>
            <w:tcW w:w="2790" w:type="dxa"/>
          </w:tcPr>
          <w:p w:rsidR="00B04AE3" w:rsidRDefault="00B04AE3">
            <w:pPr>
              <w:pStyle w:val="TableParagraph"/>
              <w:spacing w:before="45" w:line="255" w:lineRule="exact"/>
              <w:ind w:left="113" w:right="106"/>
              <w:rPr>
                <w:sz w:val="21"/>
              </w:rPr>
            </w:pPr>
            <w:r>
              <w:rPr>
                <w:rFonts w:hint="eastAsia"/>
                <w:sz w:val="21"/>
              </w:rPr>
              <w:t>防毒面具</w:t>
            </w:r>
          </w:p>
        </w:tc>
        <w:tc>
          <w:tcPr>
            <w:tcW w:w="676" w:type="dxa"/>
          </w:tcPr>
          <w:p w:rsidR="00B04AE3" w:rsidRDefault="00B04AE3">
            <w:pPr>
              <w:pStyle w:val="TableParagraph"/>
              <w:spacing w:before="45" w:line="255" w:lineRule="exact"/>
              <w:ind w:left="105" w:right="97"/>
              <w:rPr>
                <w:sz w:val="21"/>
              </w:rPr>
            </w:pPr>
            <w:r>
              <w:rPr>
                <w:sz w:val="21"/>
              </w:rPr>
              <w:t>50</w:t>
            </w:r>
          </w:p>
        </w:tc>
        <w:tc>
          <w:tcPr>
            <w:tcW w:w="2155" w:type="dxa"/>
          </w:tcPr>
          <w:p w:rsidR="00B04AE3" w:rsidRDefault="00B04AE3">
            <w:pPr>
              <w:pStyle w:val="TableParagraph"/>
              <w:spacing w:before="24"/>
              <w:ind w:left="8"/>
              <w:rPr>
                <w:sz w:val="21"/>
              </w:rPr>
            </w:pPr>
            <w:r>
              <w:rPr>
                <w:rFonts w:hint="eastAsia"/>
                <w:sz w:val="21"/>
              </w:rPr>
              <w:t>板带车间</w:t>
            </w:r>
          </w:p>
        </w:tc>
        <w:tc>
          <w:tcPr>
            <w:tcW w:w="918" w:type="dxa"/>
          </w:tcPr>
          <w:p w:rsidR="00B04AE3" w:rsidRDefault="00B04AE3">
            <w:pPr>
              <w:spacing w:before="23"/>
              <w:rPr>
                <w:sz w:val="21"/>
              </w:rPr>
            </w:pPr>
            <w:r>
              <w:rPr>
                <w:rFonts w:hint="eastAsia"/>
                <w:sz w:val="21"/>
              </w:rPr>
              <w:t>刘超</w:t>
            </w:r>
          </w:p>
        </w:tc>
      </w:tr>
      <w:tr w:rsidR="00B04AE3">
        <w:trPr>
          <w:trHeight w:val="320"/>
        </w:trPr>
        <w:tc>
          <w:tcPr>
            <w:tcW w:w="1049" w:type="dxa"/>
            <w:vMerge/>
            <w:tcBorders>
              <w:top w:val="nil"/>
            </w:tcBorders>
          </w:tcPr>
          <w:p w:rsidR="00B04AE3" w:rsidRDefault="00B04AE3">
            <w:pPr>
              <w:rPr>
                <w:sz w:val="2"/>
                <w:szCs w:val="2"/>
              </w:rPr>
            </w:pPr>
          </w:p>
        </w:tc>
        <w:tc>
          <w:tcPr>
            <w:tcW w:w="818" w:type="dxa"/>
          </w:tcPr>
          <w:p w:rsidR="00B04AE3" w:rsidRDefault="00B04AE3">
            <w:pPr>
              <w:pStyle w:val="TableParagraph"/>
              <w:spacing w:before="46" w:line="253" w:lineRule="exact"/>
              <w:ind w:left="7"/>
              <w:rPr>
                <w:sz w:val="21"/>
              </w:rPr>
            </w:pPr>
            <w:r>
              <w:rPr>
                <w:w w:val="99"/>
                <w:sz w:val="21"/>
              </w:rPr>
              <w:t>5</w:t>
            </w:r>
          </w:p>
        </w:tc>
        <w:tc>
          <w:tcPr>
            <w:tcW w:w="2790" w:type="dxa"/>
          </w:tcPr>
          <w:p w:rsidR="00B04AE3" w:rsidRDefault="00B04AE3">
            <w:pPr>
              <w:pStyle w:val="TableParagraph"/>
              <w:spacing w:before="46" w:line="253" w:lineRule="exact"/>
              <w:ind w:left="113" w:right="106"/>
              <w:rPr>
                <w:sz w:val="21"/>
              </w:rPr>
            </w:pPr>
            <w:r>
              <w:rPr>
                <w:rFonts w:hint="eastAsia"/>
                <w:sz w:val="21"/>
              </w:rPr>
              <w:t>防护服、防护手套、防护靴</w:t>
            </w:r>
          </w:p>
        </w:tc>
        <w:tc>
          <w:tcPr>
            <w:tcW w:w="676" w:type="dxa"/>
          </w:tcPr>
          <w:p w:rsidR="00B04AE3" w:rsidRDefault="00B04AE3">
            <w:pPr>
              <w:pStyle w:val="TableParagraph"/>
              <w:spacing w:before="46" w:line="253" w:lineRule="exact"/>
              <w:ind w:left="105" w:right="97"/>
              <w:rPr>
                <w:sz w:val="21"/>
              </w:rPr>
            </w:pPr>
            <w:r>
              <w:rPr>
                <w:sz w:val="21"/>
              </w:rPr>
              <w:t>100</w:t>
            </w:r>
          </w:p>
        </w:tc>
        <w:tc>
          <w:tcPr>
            <w:tcW w:w="2155" w:type="dxa"/>
          </w:tcPr>
          <w:p w:rsidR="00B04AE3" w:rsidRDefault="00B04AE3">
            <w:pPr>
              <w:pStyle w:val="TableParagraph"/>
              <w:spacing w:before="25"/>
              <w:ind w:left="5"/>
              <w:rPr>
                <w:sz w:val="21"/>
              </w:rPr>
            </w:pPr>
            <w:r>
              <w:rPr>
                <w:rFonts w:hint="eastAsia"/>
                <w:sz w:val="21"/>
              </w:rPr>
              <w:t>车间</w:t>
            </w:r>
          </w:p>
        </w:tc>
        <w:tc>
          <w:tcPr>
            <w:tcW w:w="918" w:type="dxa"/>
          </w:tcPr>
          <w:p w:rsidR="00B04AE3" w:rsidRDefault="00B04AE3">
            <w:pPr>
              <w:spacing w:before="22"/>
              <w:rPr>
                <w:sz w:val="21"/>
              </w:rPr>
            </w:pPr>
            <w:r>
              <w:rPr>
                <w:rFonts w:hint="eastAsia"/>
                <w:sz w:val="21"/>
              </w:rPr>
              <w:t>刘超</w:t>
            </w:r>
          </w:p>
        </w:tc>
      </w:tr>
      <w:tr w:rsidR="00B04AE3">
        <w:trPr>
          <w:trHeight w:val="545"/>
        </w:trPr>
        <w:tc>
          <w:tcPr>
            <w:tcW w:w="1049" w:type="dxa"/>
            <w:vMerge/>
            <w:tcBorders>
              <w:top w:val="nil"/>
            </w:tcBorders>
          </w:tcPr>
          <w:p w:rsidR="00B04AE3" w:rsidRDefault="00B04AE3">
            <w:pPr>
              <w:rPr>
                <w:sz w:val="2"/>
                <w:szCs w:val="2"/>
              </w:rPr>
            </w:pPr>
          </w:p>
        </w:tc>
        <w:tc>
          <w:tcPr>
            <w:tcW w:w="818" w:type="dxa"/>
          </w:tcPr>
          <w:p w:rsidR="00B04AE3" w:rsidRDefault="00B04AE3">
            <w:pPr>
              <w:pStyle w:val="TableParagraph"/>
              <w:spacing w:before="158"/>
              <w:ind w:left="7"/>
              <w:rPr>
                <w:sz w:val="21"/>
              </w:rPr>
            </w:pPr>
            <w:r>
              <w:rPr>
                <w:w w:val="99"/>
                <w:sz w:val="21"/>
              </w:rPr>
              <w:t>6</w:t>
            </w:r>
          </w:p>
        </w:tc>
        <w:tc>
          <w:tcPr>
            <w:tcW w:w="2790" w:type="dxa"/>
          </w:tcPr>
          <w:p w:rsidR="00B04AE3" w:rsidRDefault="00B04AE3">
            <w:pPr>
              <w:pStyle w:val="TableParagraph"/>
              <w:spacing w:before="158"/>
              <w:ind w:left="113" w:right="106"/>
              <w:rPr>
                <w:sz w:val="21"/>
              </w:rPr>
            </w:pPr>
            <w:r>
              <w:rPr>
                <w:rFonts w:hint="eastAsia"/>
                <w:sz w:val="21"/>
              </w:rPr>
              <w:t>应急照明灯</w:t>
            </w:r>
          </w:p>
        </w:tc>
        <w:tc>
          <w:tcPr>
            <w:tcW w:w="676" w:type="dxa"/>
          </w:tcPr>
          <w:p w:rsidR="00B04AE3" w:rsidRDefault="00B04AE3">
            <w:pPr>
              <w:pStyle w:val="TableParagraph"/>
              <w:spacing w:before="158"/>
              <w:ind w:left="105" w:right="97"/>
              <w:rPr>
                <w:sz w:val="21"/>
              </w:rPr>
            </w:pPr>
            <w:r>
              <w:rPr>
                <w:sz w:val="21"/>
              </w:rPr>
              <w:t>20</w:t>
            </w:r>
          </w:p>
        </w:tc>
        <w:tc>
          <w:tcPr>
            <w:tcW w:w="2155" w:type="dxa"/>
          </w:tcPr>
          <w:p w:rsidR="00B04AE3" w:rsidRDefault="00B04AE3">
            <w:pPr>
              <w:pStyle w:val="TableParagraph"/>
              <w:spacing w:before="1" w:line="270" w:lineRule="atLeast"/>
              <w:ind w:left="972" w:right="121" w:hanging="840"/>
              <w:jc w:val="left"/>
              <w:rPr>
                <w:sz w:val="21"/>
              </w:rPr>
            </w:pPr>
            <w:r>
              <w:rPr>
                <w:rFonts w:hint="eastAsia"/>
                <w:sz w:val="21"/>
              </w:rPr>
              <w:t>车间、宿舍楼、办公楼</w:t>
            </w:r>
          </w:p>
        </w:tc>
        <w:tc>
          <w:tcPr>
            <w:tcW w:w="918" w:type="dxa"/>
          </w:tcPr>
          <w:p w:rsidR="00B04AE3" w:rsidRDefault="00B04AE3">
            <w:pPr>
              <w:spacing w:before="136"/>
              <w:rPr>
                <w:sz w:val="21"/>
              </w:rPr>
            </w:pPr>
            <w:r>
              <w:rPr>
                <w:rFonts w:hint="eastAsia"/>
                <w:sz w:val="21"/>
              </w:rPr>
              <w:t>刘超</w:t>
            </w:r>
          </w:p>
        </w:tc>
      </w:tr>
      <w:tr w:rsidR="00B04AE3">
        <w:trPr>
          <w:trHeight w:val="542"/>
        </w:trPr>
        <w:tc>
          <w:tcPr>
            <w:tcW w:w="1049" w:type="dxa"/>
            <w:vMerge w:val="restart"/>
          </w:tcPr>
          <w:p w:rsidR="00B04AE3" w:rsidRDefault="00B04AE3">
            <w:pPr>
              <w:pStyle w:val="TableParagraph"/>
              <w:spacing w:before="1" w:line="320" w:lineRule="exact"/>
              <w:ind w:left="209" w:right="198"/>
              <w:jc w:val="both"/>
              <w:rPr>
                <w:sz w:val="21"/>
              </w:rPr>
            </w:pPr>
            <w:r>
              <w:rPr>
                <w:rFonts w:hint="eastAsia"/>
                <w:sz w:val="21"/>
              </w:rPr>
              <w:t>应急救治装备与材料</w:t>
            </w:r>
          </w:p>
        </w:tc>
        <w:tc>
          <w:tcPr>
            <w:tcW w:w="818" w:type="dxa"/>
          </w:tcPr>
          <w:p w:rsidR="00B04AE3" w:rsidRDefault="00B04AE3">
            <w:pPr>
              <w:pStyle w:val="TableParagraph"/>
              <w:spacing w:before="157"/>
              <w:ind w:left="7"/>
              <w:rPr>
                <w:sz w:val="21"/>
              </w:rPr>
            </w:pPr>
            <w:r>
              <w:rPr>
                <w:w w:val="99"/>
                <w:sz w:val="21"/>
              </w:rPr>
              <w:t>1</w:t>
            </w:r>
          </w:p>
        </w:tc>
        <w:tc>
          <w:tcPr>
            <w:tcW w:w="2790" w:type="dxa"/>
          </w:tcPr>
          <w:p w:rsidR="00B04AE3" w:rsidRDefault="00B04AE3">
            <w:pPr>
              <w:pStyle w:val="TableParagraph"/>
              <w:spacing w:before="157"/>
              <w:ind w:left="113" w:right="106"/>
              <w:rPr>
                <w:sz w:val="21"/>
              </w:rPr>
            </w:pPr>
            <w:r>
              <w:rPr>
                <w:rFonts w:hint="eastAsia"/>
                <w:sz w:val="21"/>
              </w:rPr>
              <w:t>消毒药水、消毒纱布</w:t>
            </w:r>
          </w:p>
        </w:tc>
        <w:tc>
          <w:tcPr>
            <w:tcW w:w="676" w:type="dxa"/>
          </w:tcPr>
          <w:p w:rsidR="00B04AE3" w:rsidRDefault="00B04AE3">
            <w:pPr>
              <w:pStyle w:val="TableParagraph"/>
              <w:spacing w:before="157"/>
              <w:ind w:left="105" w:right="97"/>
              <w:rPr>
                <w:sz w:val="21"/>
              </w:rPr>
            </w:pPr>
            <w:r>
              <w:rPr>
                <w:sz w:val="21"/>
              </w:rPr>
              <w:t>20</w:t>
            </w:r>
          </w:p>
        </w:tc>
        <w:tc>
          <w:tcPr>
            <w:tcW w:w="2155" w:type="dxa"/>
          </w:tcPr>
          <w:p w:rsidR="00B04AE3" w:rsidRDefault="00B04AE3">
            <w:pPr>
              <w:pStyle w:val="TableParagraph"/>
              <w:spacing w:before="1"/>
              <w:ind w:left="5"/>
              <w:rPr>
                <w:sz w:val="21"/>
              </w:rPr>
            </w:pPr>
            <w:r>
              <w:rPr>
                <w:rFonts w:hint="eastAsia"/>
                <w:sz w:val="21"/>
              </w:rPr>
              <w:t>行政部</w:t>
            </w:r>
          </w:p>
        </w:tc>
        <w:tc>
          <w:tcPr>
            <w:tcW w:w="918" w:type="dxa"/>
          </w:tcPr>
          <w:p w:rsidR="00B04AE3" w:rsidRDefault="00B04AE3">
            <w:pPr>
              <w:pStyle w:val="TableParagraph"/>
              <w:spacing w:before="13" w:line="247" w:lineRule="exact"/>
              <w:ind w:left="113" w:right="106"/>
              <w:rPr>
                <w:sz w:val="21"/>
              </w:rPr>
            </w:pPr>
            <w:r>
              <w:rPr>
                <w:rFonts w:hint="eastAsia"/>
                <w:sz w:val="21"/>
              </w:rPr>
              <w:t>夏志亮</w:t>
            </w:r>
          </w:p>
        </w:tc>
      </w:tr>
      <w:tr w:rsidR="00B04AE3">
        <w:trPr>
          <w:trHeight w:val="407"/>
        </w:trPr>
        <w:tc>
          <w:tcPr>
            <w:tcW w:w="1049" w:type="dxa"/>
            <w:vMerge/>
            <w:tcBorders>
              <w:top w:val="nil"/>
            </w:tcBorders>
          </w:tcPr>
          <w:p w:rsidR="00B04AE3" w:rsidRDefault="00B04AE3">
            <w:pPr>
              <w:rPr>
                <w:sz w:val="2"/>
                <w:szCs w:val="2"/>
              </w:rPr>
            </w:pPr>
          </w:p>
        </w:tc>
        <w:tc>
          <w:tcPr>
            <w:tcW w:w="818" w:type="dxa"/>
          </w:tcPr>
          <w:p w:rsidR="00B04AE3" w:rsidRDefault="00B04AE3">
            <w:pPr>
              <w:pStyle w:val="TableParagraph"/>
              <w:spacing w:before="89"/>
              <w:ind w:left="7"/>
              <w:rPr>
                <w:sz w:val="21"/>
              </w:rPr>
            </w:pPr>
            <w:r>
              <w:rPr>
                <w:w w:val="99"/>
                <w:sz w:val="21"/>
              </w:rPr>
              <w:t>2</w:t>
            </w:r>
          </w:p>
        </w:tc>
        <w:tc>
          <w:tcPr>
            <w:tcW w:w="2790" w:type="dxa"/>
          </w:tcPr>
          <w:p w:rsidR="00B04AE3" w:rsidRDefault="00B04AE3">
            <w:pPr>
              <w:pStyle w:val="TableParagraph"/>
              <w:spacing w:before="89"/>
              <w:ind w:left="113" w:right="106"/>
              <w:rPr>
                <w:sz w:val="21"/>
              </w:rPr>
            </w:pPr>
            <w:r>
              <w:rPr>
                <w:rFonts w:hint="eastAsia"/>
                <w:sz w:val="21"/>
              </w:rPr>
              <w:t>应急药箱</w:t>
            </w:r>
          </w:p>
        </w:tc>
        <w:tc>
          <w:tcPr>
            <w:tcW w:w="676" w:type="dxa"/>
          </w:tcPr>
          <w:p w:rsidR="00B04AE3" w:rsidRDefault="00B04AE3">
            <w:pPr>
              <w:pStyle w:val="TableParagraph"/>
              <w:spacing w:before="89"/>
              <w:ind w:left="8"/>
              <w:rPr>
                <w:sz w:val="21"/>
              </w:rPr>
            </w:pPr>
            <w:r>
              <w:rPr>
                <w:w w:val="99"/>
                <w:sz w:val="21"/>
              </w:rPr>
              <w:t>2</w:t>
            </w:r>
          </w:p>
        </w:tc>
        <w:tc>
          <w:tcPr>
            <w:tcW w:w="2155" w:type="dxa"/>
          </w:tcPr>
          <w:p w:rsidR="00B04AE3" w:rsidRDefault="00B04AE3">
            <w:pPr>
              <w:pStyle w:val="TableParagraph"/>
              <w:ind w:left="5"/>
              <w:rPr>
                <w:sz w:val="21"/>
              </w:rPr>
            </w:pPr>
            <w:r>
              <w:rPr>
                <w:rFonts w:hint="eastAsia"/>
                <w:sz w:val="21"/>
              </w:rPr>
              <w:t>行政部</w:t>
            </w:r>
          </w:p>
        </w:tc>
        <w:tc>
          <w:tcPr>
            <w:tcW w:w="918" w:type="dxa"/>
          </w:tcPr>
          <w:p w:rsidR="00B04AE3" w:rsidRDefault="00B04AE3">
            <w:pPr>
              <w:rPr>
                <w:sz w:val="21"/>
              </w:rPr>
            </w:pPr>
            <w:r>
              <w:rPr>
                <w:rFonts w:hint="eastAsia"/>
                <w:sz w:val="21"/>
              </w:rPr>
              <w:t>夏志亮</w:t>
            </w:r>
          </w:p>
        </w:tc>
      </w:tr>
    </w:tbl>
    <w:p w:rsidR="00B04AE3" w:rsidRDefault="00B04AE3">
      <w:pPr>
        <w:ind w:left="777"/>
        <w:rPr>
          <w:b/>
          <w:sz w:val="24"/>
        </w:rPr>
      </w:pPr>
      <w:bookmarkStart w:id="387" w:name="二、需补充、完善应急物资与装备"/>
      <w:bookmarkStart w:id="388" w:name="_bookmark141"/>
      <w:bookmarkEnd w:id="387"/>
      <w:bookmarkEnd w:id="388"/>
      <w:r>
        <w:rPr>
          <w:rFonts w:hint="eastAsia"/>
          <w:b/>
          <w:sz w:val="24"/>
        </w:rPr>
        <w:t>二、需补充、完善应急物资与装备</w:t>
      </w:r>
    </w:p>
    <w:p w:rsidR="00B04AE3" w:rsidRDefault="00B04AE3">
      <w:pPr>
        <w:tabs>
          <w:tab w:val="left" w:pos="659"/>
        </w:tabs>
        <w:ind w:right="83"/>
        <w:jc w:val="center"/>
        <w:rPr>
          <w:b/>
          <w:sz w:val="24"/>
        </w:rPr>
      </w:pPr>
      <w:r>
        <w:rPr>
          <w:rFonts w:hint="eastAsia"/>
          <w:b/>
          <w:sz w:val="24"/>
        </w:rPr>
        <w:t>表</w:t>
      </w:r>
      <w:r>
        <w:rPr>
          <w:b/>
          <w:spacing w:val="-62"/>
          <w:sz w:val="24"/>
        </w:rPr>
        <w:t xml:space="preserve"> </w:t>
      </w:r>
      <w:r>
        <w:rPr>
          <w:rFonts w:ascii="Times New Roman" w:eastAsia="Times New Roman"/>
          <w:b/>
          <w:sz w:val="24"/>
        </w:rPr>
        <w:t>2</w:t>
      </w:r>
      <w:r>
        <w:rPr>
          <w:rFonts w:ascii="Times New Roman" w:eastAsia="Times New Roman"/>
          <w:b/>
          <w:sz w:val="24"/>
        </w:rPr>
        <w:tab/>
      </w:r>
      <w:r>
        <w:rPr>
          <w:rFonts w:hint="eastAsia"/>
          <w:b/>
          <w:sz w:val="24"/>
        </w:rPr>
        <w:t>需补充、完善应急物资及装备明细表</w:t>
      </w:r>
    </w:p>
    <w:p w:rsidR="00B04AE3" w:rsidRDefault="00B04AE3">
      <w:pPr>
        <w:pStyle w:val="BodyText"/>
        <w:spacing w:before="4"/>
        <w:rPr>
          <w:b/>
          <w:sz w:val="12"/>
        </w:rPr>
      </w:pPr>
    </w:p>
    <w:tbl>
      <w:tblPr>
        <w:tblW w:w="8528" w:type="dxa"/>
        <w:tblInd w:w="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1129"/>
        <w:gridCol w:w="1683"/>
        <w:gridCol w:w="2615"/>
        <w:gridCol w:w="904"/>
        <w:gridCol w:w="2197"/>
      </w:tblGrid>
      <w:tr w:rsidR="00B04AE3">
        <w:trPr>
          <w:trHeight w:val="340"/>
        </w:trPr>
        <w:tc>
          <w:tcPr>
            <w:tcW w:w="1129" w:type="dxa"/>
            <w:shd w:val="clear" w:color="auto" w:fill="DFDFDF"/>
          </w:tcPr>
          <w:p w:rsidR="00B04AE3" w:rsidRDefault="00B04AE3">
            <w:pPr>
              <w:pStyle w:val="TableParagraph"/>
              <w:spacing w:before="32"/>
              <w:ind w:left="7"/>
              <w:rPr>
                <w:b/>
                <w:sz w:val="21"/>
              </w:rPr>
            </w:pPr>
            <w:r>
              <w:rPr>
                <w:rFonts w:hint="eastAsia"/>
                <w:b/>
                <w:w w:val="99"/>
                <w:sz w:val="21"/>
              </w:rPr>
              <w:t>一</w:t>
            </w:r>
          </w:p>
        </w:tc>
        <w:tc>
          <w:tcPr>
            <w:tcW w:w="1683" w:type="dxa"/>
            <w:shd w:val="clear" w:color="auto" w:fill="DFDFDF"/>
          </w:tcPr>
          <w:p w:rsidR="00B04AE3" w:rsidRDefault="00B04AE3">
            <w:pPr>
              <w:pStyle w:val="TableParagraph"/>
              <w:spacing w:before="32"/>
              <w:ind w:left="295" w:right="282"/>
              <w:rPr>
                <w:b/>
                <w:sz w:val="21"/>
              </w:rPr>
            </w:pPr>
            <w:r>
              <w:rPr>
                <w:rFonts w:hint="eastAsia"/>
                <w:b/>
                <w:sz w:val="21"/>
              </w:rPr>
              <w:t>存放位置</w:t>
            </w:r>
          </w:p>
        </w:tc>
        <w:tc>
          <w:tcPr>
            <w:tcW w:w="2615" w:type="dxa"/>
            <w:shd w:val="clear" w:color="auto" w:fill="DFDFDF"/>
          </w:tcPr>
          <w:p w:rsidR="00B04AE3" w:rsidRDefault="00B04AE3">
            <w:pPr>
              <w:pStyle w:val="TableParagraph"/>
              <w:spacing w:before="32"/>
              <w:ind w:left="654" w:right="646"/>
              <w:rPr>
                <w:b/>
                <w:sz w:val="21"/>
              </w:rPr>
            </w:pPr>
            <w:r>
              <w:rPr>
                <w:rFonts w:hint="eastAsia"/>
                <w:b/>
                <w:sz w:val="21"/>
              </w:rPr>
              <w:t>应急抢险物资</w:t>
            </w:r>
          </w:p>
        </w:tc>
        <w:tc>
          <w:tcPr>
            <w:tcW w:w="904" w:type="dxa"/>
            <w:shd w:val="clear" w:color="auto" w:fill="DFDFDF"/>
          </w:tcPr>
          <w:p w:rsidR="00B04AE3" w:rsidRDefault="00B04AE3">
            <w:pPr>
              <w:pStyle w:val="TableParagraph"/>
              <w:spacing w:before="32"/>
              <w:ind w:left="221" w:right="211"/>
              <w:rPr>
                <w:b/>
                <w:sz w:val="21"/>
              </w:rPr>
            </w:pPr>
            <w:r>
              <w:rPr>
                <w:rFonts w:hint="eastAsia"/>
                <w:b/>
                <w:sz w:val="21"/>
              </w:rPr>
              <w:t>数量</w:t>
            </w:r>
          </w:p>
        </w:tc>
        <w:tc>
          <w:tcPr>
            <w:tcW w:w="2197" w:type="dxa"/>
            <w:shd w:val="clear" w:color="auto" w:fill="DFDFDF"/>
          </w:tcPr>
          <w:p w:rsidR="00B04AE3" w:rsidRDefault="00B04AE3">
            <w:pPr>
              <w:pStyle w:val="TableParagraph"/>
              <w:spacing w:before="32"/>
              <w:ind w:left="133" w:right="123"/>
              <w:rPr>
                <w:b/>
                <w:sz w:val="21"/>
              </w:rPr>
            </w:pPr>
            <w:r>
              <w:rPr>
                <w:rFonts w:hint="eastAsia"/>
                <w:b/>
                <w:sz w:val="21"/>
              </w:rPr>
              <w:t>备注</w:t>
            </w:r>
          </w:p>
        </w:tc>
      </w:tr>
      <w:tr w:rsidR="00B04AE3">
        <w:trPr>
          <w:trHeight w:val="340"/>
        </w:trPr>
        <w:tc>
          <w:tcPr>
            <w:tcW w:w="1129" w:type="dxa"/>
          </w:tcPr>
          <w:p w:rsidR="00B04AE3" w:rsidRDefault="00B04AE3">
            <w:pPr>
              <w:pStyle w:val="TableParagraph"/>
              <w:spacing w:before="49"/>
              <w:ind w:left="8"/>
              <w:rPr>
                <w:rFonts w:ascii="Times New Roman"/>
                <w:sz w:val="21"/>
              </w:rPr>
            </w:pPr>
            <w:r>
              <w:rPr>
                <w:rFonts w:ascii="Times New Roman"/>
                <w:w w:val="99"/>
                <w:sz w:val="21"/>
              </w:rPr>
              <w:t>1</w:t>
            </w:r>
          </w:p>
        </w:tc>
        <w:tc>
          <w:tcPr>
            <w:tcW w:w="1683" w:type="dxa"/>
          </w:tcPr>
          <w:p w:rsidR="00B04AE3" w:rsidRDefault="00B04AE3">
            <w:pPr>
              <w:pStyle w:val="TableParagraph"/>
              <w:spacing w:before="33"/>
              <w:ind w:left="295" w:right="287"/>
              <w:rPr>
                <w:sz w:val="21"/>
              </w:rPr>
            </w:pPr>
            <w:r>
              <w:rPr>
                <w:rFonts w:hint="eastAsia"/>
                <w:sz w:val="21"/>
              </w:rPr>
              <w:t>雨水排放口</w:t>
            </w:r>
          </w:p>
        </w:tc>
        <w:tc>
          <w:tcPr>
            <w:tcW w:w="2615" w:type="dxa"/>
          </w:tcPr>
          <w:p w:rsidR="00B04AE3" w:rsidRDefault="00B04AE3">
            <w:pPr>
              <w:pStyle w:val="TableParagraph"/>
              <w:spacing w:before="33"/>
              <w:ind w:left="654" w:right="646"/>
              <w:rPr>
                <w:sz w:val="21"/>
              </w:rPr>
            </w:pPr>
            <w:r>
              <w:rPr>
                <w:rFonts w:hint="eastAsia"/>
                <w:sz w:val="21"/>
              </w:rPr>
              <w:t>转化阀</w:t>
            </w:r>
          </w:p>
        </w:tc>
        <w:tc>
          <w:tcPr>
            <w:tcW w:w="904" w:type="dxa"/>
          </w:tcPr>
          <w:p w:rsidR="00B04AE3" w:rsidRDefault="00B04AE3">
            <w:pPr>
              <w:pStyle w:val="TableParagraph"/>
              <w:spacing w:before="33"/>
              <w:ind w:left="219" w:right="211"/>
              <w:rPr>
                <w:sz w:val="21"/>
              </w:rPr>
            </w:pPr>
            <w:r>
              <w:rPr>
                <w:rFonts w:ascii="Times New Roman" w:eastAsia="Times New Roman"/>
                <w:sz w:val="21"/>
              </w:rPr>
              <w:t xml:space="preserve">1 </w:t>
            </w:r>
            <w:r>
              <w:rPr>
                <w:rFonts w:hint="eastAsia"/>
                <w:sz w:val="21"/>
              </w:rPr>
              <w:t>个</w:t>
            </w:r>
          </w:p>
        </w:tc>
        <w:tc>
          <w:tcPr>
            <w:tcW w:w="2197" w:type="dxa"/>
          </w:tcPr>
          <w:p w:rsidR="00B04AE3" w:rsidRDefault="00B04AE3">
            <w:pPr>
              <w:pStyle w:val="TableParagraph"/>
              <w:spacing w:before="33"/>
              <w:ind w:left="132" w:right="123"/>
              <w:rPr>
                <w:sz w:val="21"/>
              </w:rPr>
            </w:pPr>
            <w:r>
              <w:rPr>
                <w:rFonts w:hint="eastAsia"/>
                <w:sz w:val="21"/>
              </w:rPr>
              <w:t>张磊磊</w:t>
            </w:r>
            <w:r>
              <w:rPr>
                <w:sz w:val="21"/>
              </w:rPr>
              <w:t>13755774497</w:t>
            </w:r>
          </w:p>
        </w:tc>
      </w:tr>
      <w:tr w:rsidR="00B04AE3">
        <w:trPr>
          <w:trHeight w:val="340"/>
        </w:trPr>
        <w:tc>
          <w:tcPr>
            <w:tcW w:w="1129" w:type="dxa"/>
            <w:shd w:val="clear" w:color="auto" w:fill="DFDFDF"/>
          </w:tcPr>
          <w:p w:rsidR="00B04AE3" w:rsidRDefault="00B04AE3">
            <w:pPr>
              <w:pStyle w:val="TableParagraph"/>
              <w:spacing w:before="33"/>
              <w:ind w:left="7"/>
              <w:rPr>
                <w:b/>
                <w:sz w:val="21"/>
              </w:rPr>
            </w:pPr>
            <w:r>
              <w:rPr>
                <w:rFonts w:hint="eastAsia"/>
                <w:b/>
                <w:w w:val="99"/>
                <w:sz w:val="21"/>
              </w:rPr>
              <w:t>二</w:t>
            </w:r>
          </w:p>
        </w:tc>
        <w:tc>
          <w:tcPr>
            <w:tcW w:w="1683" w:type="dxa"/>
            <w:shd w:val="clear" w:color="auto" w:fill="DFDFDF"/>
          </w:tcPr>
          <w:p w:rsidR="00B04AE3" w:rsidRDefault="00B04AE3">
            <w:pPr>
              <w:pStyle w:val="TableParagraph"/>
              <w:spacing w:before="33"/>
              <w:ind w:left="295" w:right="282"/>
              <w:rPr>
                <w:b/>
                <w:sz w:val="21"/>
              </w:rPr>
            </w:pPr>
            <w:r>
              <w:rPr>
                <w:rFonts w:hint="eastAsia"/>
                <w:b/>
                <w:sz w:val="21"/>
              </w:rPr>
              <w:t>存放位置</w:t>
            </w:r>
          </w:p>
        </w:tc>
        <w:tc>
          <w:tcPr>
            <w:tcW w:w="2615" w:type="dxa"/>
            <w:shd w:val="clear" w:color="auto" w:fill="DFDFDF"/>
          </w:tcPr>
          <w:p w:rsidR="00B04AE3" w:rsidRDefault="00B04AE3">
            <w:pPr>
              <w:pStyle w:val="TableParagraph"/>
              <w:spacing w:before="33"/>
              <w:ind w:left="654" w:right="643"/>
              <w:rPr>
                <w:b/>
                <w:sz w:val="21"/>
              </w:rPr>
            </w:pPr>
            <w:r>
              <w:rPr>
                <w:rFonts w:hint="eastAsia"/>
                <w:b/>
                <w:sz w:val="21"/>
              </w:rPr>
              <w:t>围堵物资</w:t>
            </w:r>
          </w:p>
        </w:tc>
        <w:tc>
          <w:tcPr>
            <w:tcW w:w="904" w:type="dxa"/>
            <w:shd w:val="clear" w:color="auto" w:fill="DFDFDF"/>
          </w:tcPr>
          <w:p w:rsidR="00B04AE3" w:rsidRDefault="00B04AE3">
            <w:pPr>
              <w:pStyle w:val="TableParagraph"/>
              <w:spacing w:before="33"/>
              <w:ind w:left="221" w:right="211"/>
              <w:rPr>
                <w:b/>
                <w:sz w:val="21"/>
              </w:rPr>
            </w:pPr>
            <w:r>
              <w:rPr>
                <w:rFonts w:hint="eastAsia"/>
                <w:b/>
                <w:sz w:val="21"/>
              </w:rPr>
              <w:t>数量</w:t>
            </w:r>
          </w:p>
        </w:tc>
        <w:tc>
          <w:tcPr>
            <w:tcW w:w="2197" w:type="dxa"/>
            <w:shd w:val="clear" w:color="auto" w:fill="DFDFDF"/>
          </w:tcPr>
          <w:p w:rsidR="00B04AE3" w:rsidRDefault="00B04AE3">
            <w:pPr>
              <w:pStyle w:val="TableParagraph"/>
              <w:spacing w:before="33"/>
              <w:ind w:left="133" w:right="123"/>
              <w:rPr>
                <w:b/>
                <w:sz w:val="21"/>
              </w:rPr>
            </w:pPr>
            <w:r>
              <w:rPr>
                <w:rFonts w:hint="eastAsia"/>
                <w:b/>
                <w:sz w:val="21"/>
              </w:rPr>
              <w:t>负责人</w:t>
            </w:r>
          </w:p>
        </w:tc>
      </w:tr>
      <w:tr w:rsidR="00B04AE3">
        <w:trPr>
          <w:trHeight w:val="340"/>
        </w:trPr>
        <w:tc>
          <w:tcPr>
            <w:tcW w:w="1129" w:type="dxa"/>
          </w:tcPr>
          <w:p w:rsidR="00B04AE3" w:rsidRDefault="00B04AE3">
            <w:pPr>
              <w:pStyle w:val="TableParagraph"/>
              <w:spacing w:before="47"/>
              <w:ind w:left="8"/>
              <w:rPr>
                <w:rFonts w:ascii="Times New Roman"/>
                <w:sz w:val="21"/>
              </w:rPr>
            </w:pPr>
            <w:r>
              <w:rPr>
                <w:rFonts w:ascii="Times New Roman"/>
                <w:w w:val="99"/>
                <w:sz w:val="21"/>
              </w:rPr>
              <w:t>1</w:t>
            </w:r>
          </w:p>
        </w:tc>
        <w:tc>
          <w:tcPr>
            <w:tcW w:w="1683" w:type="dxa"/>
          </w:tcPr>
          <w:p w:rsidR="00B04AE3" w:rsidRDefault="00B04AE3">
            <w:pPr>
              <w:pStyle w:val="TableParagraph"/>
              <w:spacing w:before="33"/>
              <w:ind w:left="292" w:right="287"/>
              <w:rPr>
                <w:sz w:val="21"/>
              </w:rPr>
            </w:pPr>
            <w:r>
              <w:rPr>
                <w:rFonts w:hint="eastAsia"/>
                <w:sz w:val="21"/>
              </w:rPr>
              <w:t>储罐区</w:t>
            </w:r>
          </w:p>
        </w:tc>
        <w:tc>
          <w:tcPr>
            <w:tcW w:w="2615" w:type="dxa"/>
          </w:tcPr>
          <w:p w:rsidR="00B04AE3" w:rsidRDefault="00B04AE3">
            <w:pPr>
              <w:pStyle w:val="TableParagraph"/>
              <w:spacing w:before="33"/>
              <w:ind w:left="652" w:right="646"/>
              <w:rPr>
                <w:sz w:val="21"/>
              </w:rPr>
            </w:pPr>
            <w:r>
              <w:rPr>
                <w:rFonts w:hint="eastAsia"/>
                <w:sz w:val="21"/>
              </w:rPr>
              <w:t>堵漏工具</w:t>
            </w:r>
          </w:p>
        </w:tc>
        <w:tc>
          <w:tcPr>
            <w:tcW w:w="904" w:type="dxa"/>
          </w:tcPr>
          <w:p w:rsidR="00B04AE3" w:rsidRDefault="00B04AE3">
            <w:pPr>
              <w:pStyle w:val="TableParagraph"/>
              <w:spacing w:before="33"/>
              <w:ind w:left="219" w:right="211"/>
              <w:rPr>
                <w:sz w:val="21"/>
              </w:rPr>
            </w:pPr>
            <w:r>
              <w:rPr>
                <w:rFonts w:ascii="Times New Roman" w:eastAsia="Times New Roman"/>
                <w:sz w:val="21"/>
              </w:rPr>
              <w:t xml:space="preserve">1 </w:t>
            </w:r>
            <w:r>
              <w:rPr>
                <w:rFonts w:hint="eastAsia"/>
                <w:sz w:val="21"/>
              </w:rPr>
              <w:t>套</w:t>
            </w:r>
          </w:p>
        </w:tc>
        <w:tc>
          <w:tcPr>
            <w:tcW w:w="2197" w:type="dxa"/>
            <w:vMerge w:val="restart"/>
          </w:tcPr>
          <w:p w:rsidR="00B04AE3" w:rsidRDefault="00B04AE3">
            <w:pPr>
              <w:pStyle w:val="TableParagraph"/>
              <w:spacing w:before="12"/>
              <w:jc w:val="left"/>
              <w:rPr>
                <w:b/>
                <w:sz w:val="29"/>
              </w:rPr>
            </w:pPr>
          </w:p>
          <w:p w:rsidR="00B04AE3" w:rsidRDefault="00B04AE3">
            <w:pPr>
              <w:pStyle w:val="TableParagraph"/>
              <w:ind w:left="180"/>
              <w:jc w:val="left"/>
              <w:rPr>
                <w:sz w:val="21"/>
              </w:rPr>
            </w:pPr>
            <w:r>
              <w:rPr>
                <w:rFonts w:hint="eastAsia"/>
                <w:sz w:val="21"/>
              </w:rPr>
              <w:t>夏志亮</w:t>
            </w:r>
            <w:r>
              <w:rPr>
                <w:sz w:val="21"/>
              </w:rPr>
              <w:t xml:space="preserve"> 15879135422</w:t>
            </w:r>
          </w:p>
        </w:tc>
      </w:tr>
      <w:tr w:rsidR="00B04AE3">
        <w:trPr>
          <w:trHeight w:val="340"/>
        </w:trPr>
        <w:tc>
          <w:tcPr>
            <w:tcW w:w="1129" w:type="dxa"/>
          </w:tcPr>
          <w:p w:rsidR="00B04AE3" w:rsidRDefault="00B04AE3">
            <w:pPr>
              <w:pStyle w:val="TableParagraph"/>
              <w:spacing w:before="48"/>
              <w:ind w:left="8"/>
              <w:rPr>
                <w:rFonts w:ascii="Times New Roman"/>
                <w:sz w:val="21"/>
              </w:rPr>
            </w:pPr>
            <w:r>
              <w:rPr>
                <w:rFonts w:ascii="Times New Roman"/>
                <w:w w:val="99"/>
                <w:sz w:val="21"/>
              </w:rPr>
              <w:t>2</w:t>
            </w:r>
          </w:p>
        </w:tc>
        <w:tc>
          <w:tcPr>
            <w:tcW w:w="1683" w:type="dxa"/>
          </w:tcPr>
          <w:p w:rsidR="00B04AE3" w:rsidRDefault="00B04AE3">
            <w:pPr>
              <w:pStyle w:val="TableParagraph"/>
              <w:spacing w:before="34"/>
              <w:ind w:left="292" w:right="287"/>
              <w:rPr>
                <w:sz w:val="21"/>
              </w:rPr>
            </w:pPr>
            <w:r>
              <w:rPr>
                <w:rFonts w:hint="eastAsia"/>
                <w:sz w:val="21"/>
              </w:rPr>
              <w:t>全厂</w:t>
            </w:r>
          </w:p>
        </w:tc>
        <w:tc>
          <w:tcPr>
            <w:tcW w:w="2615" w:type="dxa"/>
          </w:tcPr>
          <w:p w:rsidR="00B04AE3" w:rsidRDefault="00B04AE3">
            <w:pPr>
              <w:pStyle w:val="TableParagraph"/>
              <w:spacing w:before="34"/>
              <w:ind w:left="654" w:right="646"/>
              <w:rPr>
                <w:sz w:val="21"/>
              </w:rPr>
            </w:pPr>
            <w:r>
              <w:rPr>
                <w:rFonts w:hint="eastAsia"/>
                <w:sz w:val="21"/>
              </w:rPr>
              <w:t>导流沟</w:t>
            </w:r>
          </w:p>
        </w:tc>
        <w:tc>
          <w:tcPr>
            <w:tcW w:w="904" w:type="dxa"/>
          </w:tcPr>
          <w:p w:rsidR="00B04AE3" w:rsidRDefault="00B04AE3">
            <w:pPr>
              <w:pStyle w:val="TableParagraph"/>
              <w:spacing w:before="34"/>
              <w:ind w:left="219" w:right="211"/>
              <w:rPr>
                <w:sz w:val="21"/>
              </w:rPr>
            </w:pPr>
            <w:r>
              <w:rPr>
                <w:rFonts w:hint="eastAsia"/>
                <w:sz w:val="21"/>
              </w:rPr>
              <w:t>若干</w:t>
            </w:r>
          </w:p>
        </w:tc>
        <w:tc>
          <w:tcPr>
            <w:tcW w:w="2197" w:type="dxa"/>
            <w:vMerge/>
            <w:tcBorders>
              <w:top w:val="nil"/>
            </w:tcBorders>
          </w:tcPr>
          <w:p w:rsidR="00B04AE3" w:rsidRDefault="00B04AE3">
            <w:pPr>
              <w:rPr>
                <w:sz w:val="2"/>
                <w:szCs w:val="2"/>
              </w:rPr>
            </w:pPr>
          </w:p>
        </w:tc>
      </w:tr>
      <w:tr w:rsidR="00B04AE3">
        <w:trPr>
          <w:trHeight w:val="340"/>
        </w:trPr>
        <w:tc>
          <w:tcPr>
            <w:tcW w:w="1129" w:type="dxa"/>
          </w:tcPr>
          <w:p w:rsidR="00B04AE3" w:rsidRDefault="00B04AE3">
            <w:pPr>
              <w:pStyle w:val="TableParagraph"/>
              <w:spacing w:before="48"/>
              <w:ind w:left="8"/>
              <w:rPr>
                <w:rFonts w:ascii="Times New Roman"/>
                <w:sz w:val="21"/>
              </w:rPr>
            </w:pPr>
            <w:r>
              <w:rPr>
                <w:rFonts w:ascii="Times New Roman"/>
                <w:w w:val="99"/>
                <w:sz w:val="21"/>
              </w:rPr>
              <w:t>3</w:t>
            </w:r>
          </w:p>
        </w:tc>
        <w:tc>
          <w:tcPr>
            <w:tcW w:w="1683" w:type="dxa"/>
          </w:tcPr>
          <w:p w:rsidR="00B04AE3" w:rsidRDefault="00B04AE3">
            <w:pPr>
              <w:pStyle w:val="TableParagraph"/>
              <w:spacing w:before="32"/>
              <w:ind w:left="292" w:right="287"/>
              <w:rPr>
                <w:sz w:val="21"/>
              </w:rPr>
            </w:pPr>
            <w:r>
              <w:rPr>
                <w:rFonts w:hint="eastAsia"/>
                <w:sz w:val="21"/>
              </w:rPr>
              <w:t>危废库</w:t>
            </w:r>
          </w:p>
        </w:tc>
        <w:tc>
          <w:tcPr>
            <w:tcW w:w="2615" w:type="dxa"/>
          </w:tcPr>
          <w:p w:rsidR="00B04AE3" w:rsidRDefault="00B04AE3">
            <w:pPr>
              <w:pStyle w:val="TableParagraph"/>
              <w:spacing w:before="32"/>
              <w:ind w:left="652" w:right="646"/>
              <w:rPr>
                <w:sz w:val="21"/>
              </w:rPr>
            </w:pPr>
            <w:r>
              <w:rPr>
                <w:rFonts w:hint="eastAsia"/>
                <w:sz w:val="21"/>
              </w:rPr>
              <w:t>沙包沙袋</w:t>
            </w:r>
          </w:p>
        </w:tc>
        <w:tc>
          <w:tcPr>
            <w:tcW w:w="904" w:type="dxa"/>
          </w:tcPr>
          <w:p w:rsidR="00B04AE3" w:rsidRDefault="00B04AE3">
            <w:pPr>
              <w:pStyle w:val="TableParagraph"/>
              <w:spacing w:before="32"/>
              <w:ind w:left="219" w:right="211"/>
              <w:rPr>
                <w:sz w:val="21"/>
              </w:rPr>
            </w:pPr>
            <w:r>
              <w:rPr>
                <w:rFonts w:hint="eastAsia"/>
                <w:sz w:val="21"/>
              </w:rPr>
              <w:t>若干</w:t>
            </w:r>
          </w:p>
        </w:tc>
        <w:tc>
          <w:tcPr>
            <w:tcW w:w="2197" w:type="dxa"/>
            <w:vMerge/>
            <w:tcBorders>
              <w:top w:val="nil"/>
            </w:tcBorders>
          </w:tcPr>
          <w:p w:rsidR="00B04AE3" w:rsidRDefault="00B04AE3">
            <w:pPr>
              <w:rPr>
                <w:sz w:val="2"/>
                <w:szCs w:val="2"/>
              </w:rPr>
            </w:pPr>
          </w:p>
        </w:tc>
      </w:tr>
      <w:tr w:rsidR="00B04AE3">
        <w:trPr>
          <w:trHeight w:val="337"/>
        </w:trPr>
        <w:tc>
          <w:tcPr>
            <w:tcW w:w="1129" w:type="dxa"/>
            <w:shd w:val="clear" w:color="auto" w:fill="D9D9D9"/>
          </w:tcPr>
          <w:p w:rsidR="00B04AE3" w:rsidRDefault="00B04AE3">
            <w:pPr>
              <w:pStyle w:val="TableParagraph"/>
              <w:spacing w:before="32"/>
              <w:ind w:left="7"/>
              <w:rPr>
                <w:b/>
                <w:sz w:val="21"/>
              </w:rPr>
            </w:pPr>
            <w:r>
              <w:rPr>
                <w:rFonts w:hint="eastAsia"/>
                <w:b/>
                <w:w w:val="99"/>
                <w:sz w:val="21"/>
              </w:rPr>
              <w:t>三</w:t>
            </w:r>
          </w:p>
        </w:tc>
        <w:tc>
          <w:tcPr>
            <w:tcW w:w="1683" w:type="dxa"/>
            <w:shd w:val="clear" w:color="auto" w:fill="D9D9D9"/>
          </w:tcPr>
          <w:p w:rsidR="00B04AE3" w:rsidRDefault="00B04AE3">
            <w:pPr>
              <w:pStyle w:val="TableParagraph"/>
              <w:spacing w:before="32"/>
              <w:ind w:left="295" w:right="282"/>
              <w:rPr>
                <w:b/>
                <w:sz w:val="21"/>
              </w:rPr>
            </w:pPr>
            <w:r>
              <w:rPr>
                <w:rFonts w:hint="eastAsia"/>
                <w:b/>
                <w:sz w:val="21"/>
              </w:rPr>
              <w:t>存放位置</w:t>
            </w:r>
          </w:p>
        </w:tc>
        <w:tc>
          <w:tcPr>
            <w:tcW w:w="2615" w:type="dxa"/>
            <w:shd w:val="clear" w:color="auto" w:fill="D9D9D9"/>
          </w:tcPr>
          <w:p w:rsidR="00B04AE3" w:rsidRDefault="00B04AE3">
            <w:pPr>
              <w:pStyle w:val="TableParagraph"/>
              <w:spacing w:before="32"/>
              <w:ind w:left="654" w:right="646"/>
              <w:rPr>
                <w:b/>
                <w:sz w:val="21"/>
              </w:rPr>
            </w:pPr>
            <w:r>
              <w:rPr>
                <w:rFonts w:hint="eastAsia"/>
                <w:b/>
                <w:sz w:val="21"/>
              </w:rPr>
              <w:t>应急救援设备</w:t>
            </w:r>
          </w:p>
        </w:tc>
        <w:tc>
          <w:tcPr>
            <w:tcW w:w="904" w:type="dxa"/>
            <w:shd w:val="clear" w:color="auto" w:fill="D9D9D9"/>
          </w:tcPr>
          <w:p w:rsidR="00B04AE3" w:rsidRDefault="00B04AE3">
            <w:pPr>
              <w:pStyle w:val="TableParagraph"/>
              <w:spacing w:before="32"/>
              <w:ind w:left="221" w:right="211"/>
              <w:rPr>
                <w:b/>
                <w:sz w:val="21"/>
              </w:rPr>
            </w:pPr>
            <w:r>
              <w:rPr>
                <w:rFonts w:hint="eastAsia"/>
                <w:b/>
                <w:sz w:val="21"/>
              </w:rPr>
              <w:t>数量</w:t>
            </w:r>
          </w:p>
        </w:tc>
        <w:tc>
          <w:tcPr>
            <w:tcW w:w="2197" w:type="dxa"/>
            <w:shd w:val="clear" w:color="auto" w:fill="D9D9D9"/>
          </w:tcPr>
          <w:p w:rsidR="00B04AE3" w:rsidRDefault="00B04AE3">
            <w:pPr>
              <w:pStyle w:val="TableParagraph"/>
              <w:spacing w:before="32"/>
              <w:ind w:left="133" w:right="123"/>
              <w:rPr>
                <w:b/>
                <w:sz w:val="21"/>
              </w:rPr>
            </w:pPr>
            <w:r>
              <w:rPr>
                <w:rFonts w:hint="eastAsia"/>
                <w:b/>
                <w:sz w:val="21"/>
              </w:rPr>
              <w:t>备注</w:t>
            </w:r>
          </w:p>
        </w:tc>
      </w:tr>
      <w:tr w:rsidR="00B04AE3">
        <w:trPr>
          <w:trHeight w:val="340"/>
        </w:trPr>
        <w:tc>
          <w:tcPr>
            <w:tcW w:w="1129" w:type="dxa"/>
          </w:tcPr>
          <w:p w:rsidR="00B04AE3" w:rsidRDefault="00B04AE3">
            <w:pPr>
              <w:pStyle w:val="TableParagraph"/>
              <w:spacing w:before="49"/>
              <w:ind w:left="8"/>
              <w:rPr>
                <w:rFonts w:ascii="Times New Roman"/>
                <w:sz w:val="21"/>
              </w:rPr>
            </w:pPr>
            <w:r>
              <w:rPr>
                <w:rFonts w:ascii="Times New Roman"/>
                <w:w w:val="99"/>
                <w:sz w:val="21"/>
              </w:rPr>
              <w:t>1</w:t>
            </w:r>
          </w:p>
        </w:tc>
        <w:tc>
          <w:tcPr>
            <w:tcW w:w="1683" w:type="dxa"/>
          </w:tcPr>
          <w:p w:rsidR="00B04AE3" w:rsidRDefault="00B04AE3">
            <w:pPr>
              <w:pStyle w:val="TableParagraph"/>
              <w:spacing w:before="33"/>
              <w:ind w:left="295" w:right="287"/>
              <w:rPr>
                <w:sz w:val="21"/>
              </w:rPr>
            </w:pPr>
            <w:r>
              <w:rPr>
                <w:rFonts w:hint="eastAsia"/>
                <w:sz w:val="21"/>
              </w:rPr>
              <w:t>生产车间</w:t>
            </w:r>
          </w:p>
        </w:tc>
        <w:tc>
          <w:tcPr>
            <w:tcW w:w="2615" w:type="dxa"/>
          </w:tcPr>
          <w:p w:rsidR="00B04AE3" w:rsidRDefault="00B04AE3">
            <w:pPr>
              <w:pStyle w:val="TableParagraph"/>
              <w:spacing w:before="33"/>
              <w:ind w:left="654" w:right="646"/>
              <w:rPr>
                <w:sz w:val="21"/>
              </w:rPr>
            </w:pPr>
            <w:r>
              <w:rPr>
                <w:rFonts w:hint="eastAsia"/>
                <w:sz w:val="21"/>
              </w:rPr>
              <w:t>洗眼器</w:t>
            </w:r>
          </w:p>
        </w:tc>
        <w:tc>
          <w:tcPr>
            <w:tcW w:w="904" w:type="dxa"/>
          </w:tcPr>
          <w:p w:rsidR="00B04AE3" w:rsidRDefault="00B04AE3">
            <w:pPr>
              <w:pStyle w:val="TableParagraph"/>
              <w:spacing w:before="33"/>
              <w:ind w:left="219" w:right="211"/>
              <w:rPr>
                <w:sz w:val="21"/>
              </w:rPr>
            </w:pPr>
            <w:r>
              <w:rPr>
                <w:rFonts w:ascii="Times New Roman" w:eastAsia="Times New Roman"/>
                <w:sz w:val="21"/>
              </w:rPr>
              <w:t xml:space="preserve">1 </w:t>
            </w:r>
            <w:r>
              <w:rPr>
                <w:rFonts w:hint="eastAsia"/>
                <w:sz w:val="21"/>
              </w:rPr>
              <w:t>个</w:t>
            </w:r>
          </w:p>
        </w:tc>
        <w:tc>
          <w:tcPr>
            <w:tcW w:w="2197" w:type="dxa"/>
          </w:tcPr>
          <w:p w:rsidR="00B04AE3" w:rsidRDefault="00B04AE3">
            <w:pPr>
              <w:pStyle w:val="TableParagraph"/>
              <w:spacing w:before="33"/>
              <w:ind w:left="134" w:right="123"/>
              <w:rPr>
                <w:sz w:val="21"/>
              </w:rPr>
            </w:pPr>
            <w:r>
              <w:rPr>
                <w:rFonts w:hint="eastAsia"/>
                <w:sz w:val="21"/>
              </w:rPr>
              <w:t>夏志亮</w:t>
            </w:r>
            <w:r>
              <w:rPr>
                <w:sz w:val="21"/>
              </w:rPr>
              <w:t xml:space="preserve"> 15879135422</w:t>
            </w:r>
          </w:p>
        </w:tc>
      </w:tr>
      <w:tr w:rsidR="00B04AE3">
        <w:trPr>
          <w:trHeight w:val="340"/>
        </w:trPr>
        <w:tc>
          <w:tcPr>
            <w:tcW w:w="1129" w:type="dxa"/>
            <w:shd w:val="clear" w:color="auto" w:fill="D9D9D9"/>
          </w:tcPr>
          <w:p w:rsidR="00B04AE3" w:rsidRDefault="00B04AE3">
            <w:pPr>
              <w:pStyle w:val="TableParagraph"/>
              <w:spacing w:before="33"/>
              <w:ind w:left="7"/>
              <w:rPr>
                <w:b/>
                <w:sz w:val="21"/>
              </w:rPr>
            </w:pPr>
            <w:r>
              <w:rPr>
                <w:rFonts w:hint="eastAsia"/>
                <w:b/>
                <w:w w:val="99"/>
                <w:sz w:val="21"/>
              </w:rPr>
              <w:t>四</w:t>
            </w:r>
          </w:p>
        </w:tc>
        <w:tc>
          <w:tcPr>
            <w:tcW w:w="1683" w:type="dxa"/>
            <w:shd w:val="clear" w:color="auto" w:fill="D9D9D9"/>
          </w:tcPr>
          <w:p w:rsidR="00B04AE3" w:rsidRDefault="00B04AE3">
            <w:pPr>
              <w:pStyle w:val="TableParagraph"/>
              <w:spacing w:before="33"/>
              <w:ind w:left="295" w:right="282"/>
              <w:rPr>
                <w:b/>
                <w:sz w:val="21"/>
              </w:rPr>
            </w:pPr>
            <w:r>
              <w:rPr>
                <w:rFonts w:hint="eastAsia"/>
                <w:b/>
                <w:sz w:val="21"/>
              </w:rPr>
              <w:t>存放位置</w:t>
            </w:r>
          </w:p>
        </w:tc>
        <w:tc>
          <w:tcPr>
            <w:tcW w:w="2615" w:type="dxa"/>
            <w:shd w:val="clear" w:color="auto" w:fill="D9D9D9"/>
          </w:tcPr>
          <w:p w:rsidR="00B04AE3" w:rsidRDefault="00B04AE3">
            <w:pPr>
              <w:pStyle w:val="TableParagraph"/>
              <w:spacing w:before="33"/>
              <w:ind w:left="654" w:right="646"/>
              <w:rPr>
                <w:b/>
                <w:sz w:val="21"/>
              </w:rPr>
            </w:pPr>
            <w:r>
              <w:rPr>
                <w:rFonts w:hint="eastAsia"/>
                <w:b/>
                <w:sz w:val="21"/>
              </w:rPr>
              <w:t>应急照明备</w:t>
            </w:r>
          </w:p>
        </w:tc>
        <w:tc>
          <w:tcPr>
            <w:tcW w:w="904" w:type="dxa"/>
            <w:shd w:val="clear" w:color="auto" w:fill="D9D9D9"/>
          </w:tcPr>
          <w:p w:rsidR="00B04AE3" w:rsidRDefault="00B04AE3">
            <w:pPr>
              <w:pStyle w:val="TableParagraph"/>
              <w:spacing w:before="33"/>
              <w:ind w:left="221" w:right="211"/>
              <w:rPr>
                <w:b/>
                <w:sz w:val="21"/>
              </w:rPr>
            </w:pPr>
            <w:r>
              <w:rPr>
                <w:rFonts w:hint="eastAsia"/>
                <w:b/>
                <w:sz w:val="21"/>
              </w:rPr>
              <w:t>数量</w:t>
            </w:r>
          </w:p>
        </w:tc>
        <w:tc>
          <w:tcPr>
            <w:tcW w:w="2197" w:type="dxa"/>
            <w:shd w:val="clear" w:color="auto" w:fill="D9D9D9"/>
          </w:tcPr>
          <w:p w:rsidR="00B04AE3" w:rsidRDefault="00B04AE3">
            <w:pPr>
              <w:pStyle w:val="TableParagraph"/>
              <w:spacing w:before="33"/>
              <w:ind w:left="133" w:right="123"/>
              <w:rPr>
                <w:b/>
                <w:sz w:val="21"/>
              </w:rPr>
            </w:pPr>
            <w:r>
              <w:rPr>
                <w:rFonts w:hint="eastAsia"/>
                <w:b/>
                <w:sz w:val="21"/>
              </w:rPr>
              <w:t>备注</w:t>
            </w:r>
          </w:p>
        </w:tc>
      </w:tr>
      <w:tr w:rsidR="00B04AE3">
        <w:trPr>
          <w:trHeight w:val="340"/>
        </w:trPr>
        <w:tc>
          <w:tcPr>
            <w:tcW w:w="1129" w:type="dxa"/>
          </w:tcPr>
          <w:p w:rsidR="00B04AE3" w:rsidRDefault="00B04AE3">
            <w:pPr>
              <w:pStyle w:val="TableParagraph"/>
              <w:spacing w:before="48"/>
              <w:ind w:left="8"/>
              <w:rPr>
                <w:rFonts w:ascii="Times New Roman"/>
                <w:sz w:val="21"/>
              </w:rPr>
            </w:pPr>
            <w:r>
              <w:rPr>
                <w:rFonts w:ascii="Times New Roman"/>
                <w:w w:val="99"/>
                <w:sz w:val="21"/>
              </w:rPr>
              <w:t>1</w:t>
            </w:r>
          </w:p>
        </w:tc>
        <w:tc>
          <w:tcPr>
            <w:tcW w:w="1683" w:type="dxa"/>
          </w:tcPr>
          <w:p w:rsidR="00B04AE3" w:rsidRDefault="00B04AE3">
            <w:pPr>
              <w:pStyle w:val="TableParagraph"/>
              <w:spacing w:before="34"/>
              <w:ind w:left="292" w:right="287"/>
              <w:rPr>
                <w:sz w:val="21"/>
              </w:rPr>
            </w:pPr>
            <w:r>
              <w:rPr>
                <w:rFonts w:hint="eastAsia"/>
                <w:sz w:val="21"/>
              </w:rPr>
              <w:t>危废库</w:t>
            </w:r>
          </w:p>
        </w:tc>
        <w:tc>
          <w:tcPr>
            <w:tcW w:w="2615" w:type="dxa"/>
          </w:tcPr>
          <w:p w:rsidR="00B04AE3" w:rsidRDefault="00B04AE3">
            <w:pPr>
              <w:pStyle w:val="TableParagraph"/>
              <w:spacing w:before="34"/>
              <w:ind w:left="654" w:right="646"/>
              <w:rPr>
                <w:sz w:val="21"/>
              </w:rPr>
            </w:pPr>
            <w:r>
              <w:rPr>
                <w:rFonts w:hint="eastAsia"/>
                <w:sz w:val="21"/>
              </w:rPr>
              <w:t>防爆灯</w:t>
            </w:r>
          </w:p>
        </w:tc>
        <w:tc>
          <w:tcPr>
            <w:tcW w:w="904" w:type="dxa"/>
          </w:tcPr>
          <w:p w:rsidR="00B04AE3" w:rsidRDefault="00B04AE3">
            <w:pPr>
              <w:pStyle w:val="TableParagraph"/>
              <w:spacing w:before="34"/>
              <w:ind w:left="219" w:right="211"/>
              <w:rPr>
                <w:sz w:val="21"/>
              </w:rPr>
            </w:pPr>
            <w:r>
              <w:rPr>
                <w:rFonts w:ascii="Times New Roman" w:eastAsia="Times New Roman"/>
                <w:sz w:val="21"/>
              </w:rPr>
              <w:t xml:space="preserve">1 </w:t>
            </w:r>
            <w:r>
              <w:rPr>
                <w:rFonts w:hint="eastAsia"/>
                <w:sz w:val="21"/>
              </w:rPr>
              <w:t>个</w:t>
            </w:r>
          </w:p>
        </w:tc>
        <w:tc>
          <w:tcPr>
            <w:tcW w:w="2197" w:type="dxa"/>
          </w:tcPr>
          <w:p w:rsidR="00B04AE3" w:rsidRDefault="00B04AE3">
            <w:pPr>
              <w:pStyle w:val="TableParagraph"/>
              <w:spacing w:before="34"/>
              <w:ind w:left="134" w:right="123"/>
              <w:rPr>
                <w:sz w:val="21"/>
              </w:rPr>
            </w:pPr>
            <w:r>
              <w:rPr>
                <w:rFonts w:hint="eastAsia"/>
                <w:sz w:val="21"/>
              </w:rPr>
              <w:t>夏志亮</w:t>
            </w:r>
            <w:r>
              <w:rPr>
                <w:sz w:val="21"/>
              </w:rPr>
              <w:t xml:space="preserve"> 15879135422</w:t>
            </w:r>
          </w:p>
        </w:tc>
      </w:tr>
    </w:tbl>
    <w:p w:rsidR="00B04AE3" w:rsidRDefault="00B04AE3">
      <w:pPr>
        <w:rPr>
          <w:sz w:val="21"/>
        </w:rPr>
        <w:sectPr w:rsidR="00B04AE3">
          <w:headerReference w:type="default" r:id="rId92"/>
          <w:footerReference w:type="default" r:id="rId93"/>
          <w:pgSz w:w="11910" w:h="16840"/>
          <w:pgMar w:top="1420" w:right="440" w:bottom="1300" w:left="1020" w:header="0" w:footer="1120" w:gutter="0"/>
          <w:pgNumType w:start="2"/>
          <w:cols w:space="720"/>
        </w:sectPr>
      </w:pPr>
    </w:p>
    <w:p w:rsidR="00B04AE3" w:rsidRDefault="00B04AE3">
      <w:pPr>
        <w:spacing w:before="42"/>
        <w:ind w:left="780"/>
        <w:rPr>
          <w:b/>
          <w:sz w:val="24"/>
        </w:rPr>
      </w:pPr>
      <w:bookmarkStart w:id="389" w:name="_bookmark142"/>
      <w:bookmarkStart w:id="390" w:name="三、内部救援队伍"/>
      <w:bookmarkEnd w:id="389"/>
      <w:bookmarkEnd w:id="390"/>
      <w:r>
        <w:rPr>
          <w:rFonts w:hint="eastAsia"/>
          <w:b/>
          <w:sz w:val="24"/>
        </w:rPr>
        <w:t>三、内部救援队伍</w:t>
      </w:r>
    </w:p>
    <w:p w:rsidR="00B04AE3" w:rsidRDefault="00B04AE3">
      <w:pPr>
        <w:pStyle w:val="BodyText"/>
        <w:ind w:left="1260"/>
      </w:pPr>
      <w:r>
        <w:rPr>
          <w:rFonts w:hint="eastAsia"/>
        </w:rPr>
        <w:t>南昌海立电器有限公司应急救援组织机构图如下所示。</w:t>
      </w:r>
    </w:p>
    <w:p w:rsidR="00B04AE3" w:rsidRDefault="00B04AE3">
      <w:pPr>
        <w:pStyle w:val="BodyText"/>
        <w:spacing w:before="3"/>
        <w:rPr>
          <w:sz w:val="13"/>
        </w:rPr>
      </w:pPr>
      <w:r>
        <w:rPr>
          <w:noProof/>
          <w:lang w:val="en-US"/>
        </w:rPr>
        <w:pict>
          <v:group id="_x0000_s1474" style="position:absolute;margin-left:90.35pt;margin-top:10.45pt;width:414.75pt;height:214.5pt;z-index:251660800;mso-position-horizontal-relative:page" coordorigin="1808,210" coordsize="8295,4290">
            <v:shape id="_x0000_s1475" style="position:absolute;left:1807;top:209;width:8295;height:4290" coordorigin="1808,210" coordsize="8295,4290" o:spt="100" adj="0,,0" path="m10103,4500r-8295,l1808,210r8295,l10103,217r-8280,l1815,225r8,l1823,4485r-8,l1823,4492r8280,l10103,4500xm1823,225r-8,l1823,217r,8xm10088,225r-8265,l1823,217r8265,l10088,225xm10088,4492r,-4275l10095,225r8,l10103,4485r-8,l10088,4492xm10103,225r-8,l10088,217r15,l10103,225xm1823,4492r-8,-7l1823,4485r,7xm10088,4492r-8265,l1823,4485r8265,l10088,4492xm10103,4492r-15,l10095,4485r8,l10103,4492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476" style="position:absolute;left:4620;top:366;width:2700;height:797" stroked="f"/>
            <v:shape id="_x0000_s1477" style="position:absolute;left:4611;top:359;width:2715;height:811" coordorigin="4611,360" coordsize="2715,811" o:spt="100" adj="0,,0" path="m7326,1171r-2715,l4611,360r2715,l7326,367r-2700,l4619,375r7,l4626,1156r-7,l4626,1163r2700,l7326,1171xm4626,375r-7,l4626,367r,8xm7311,375r-2685,l4626,367r2685,l7311,375xm7311,1163r,-796l7319,375r7,l7326,1156r-7,l7311,1163xm7326,375r-7,l7311,367r15,l7326,375xm4626,1163r-7,-7l4626,1156r,7xm7311,1163r-2685,l4626,1156r2685,l7311,1163xm7326,1163r-15,l7319,1156r7,l7326,116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478" style="position:absolute;left:4785;top:1465;width:2340;height:780" stroked="f"/>
            <v:shape id="_x0000_s1479" style="position:absolute;left:4777;top:1457;width:2355;height:795" coordorigin="4778,1458" coordsize="2355,795" o:spt="100" adj="0,,0" path="m7133,2253r-2355,l4778,1458r2355,l7133,1465r-2340,l4785,1473r8,l4793,2238r-8,l4793,2245r2340,l7133,2253xm4793,1473r-8,l4793,1465r,8xm7118,1473r-2325,l4793,1465r2325,l7118,1473xm7118,2245r,-780l7125,1473r8,l7133,2238r-8,l7118,2245xm7133,1473r-8,l7118,1465r15,l7133,1473xm4793,2245r-8,-7l4793,2238r,7xm7118,2245r-2325,l4793,2238r2325,l7118,2245xm7133,2245r-15,l7125,2238r8,l7133,2245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480" style="position:absolute;left:1886;top:3039;width:1491;height:1104" stroked="f"/>
            <v:shape id="_x0000_s1481" style="position:absolute;left:1879;top:3032;width:1504;height:1118" coordorigin="1879,3032" coordsize="1504,1118" o:spt="100" adj="0,,0" path="m3383,4150r-1504,l1879,3032r1504,l3383,3040r-1489,l1887,3047r7,l1894,4135r-7,l1894,4143r1489,l3383,4150xm1894,3047r-7,l1894,3040r,7xm3368,3047r-1474,l1894,3040r1474,l3368,3047xm3368,4143r,-1103l3376,3047r7,l3383,4135r-7,l3368,4143xm3383,3047r-7,l3368,3040r15,l3383,3047xm1894,4143r-7,-8l1894,4135r,8xm3368,4143r-1474,l1894,4135r1474,l3368,4143xm3383,4143r-15,l3376,4135r7,l3383,414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482" style="position:absolute;left:6799;top:3042;width:1515;height:1083" stroked="f"/>
            <v:shape id="_x0000_s1483" style="position:absolute;left:6790;top:3033;width:1530;height:1098" coordorigin="6790,3033" coordsize="1530,1098" o:spt="100" adj="0,,0" path="m8320,4131r-1530,l6790,3033r1530,l8320,3041r-1515,l6798,3048r7,l6805,4116r-7,l6805,4124r1515,l8320,4131xm6805,3048r-7,l6805,3041r,7xm8305,3048r-1500,l6805,3041r1500,l8305,3048xm8305,4124r,-1083l8313,3048r7,l8320,4116r-7,l8305,4124xm8320,3048r-7,l8305,3041r15,l8320,3048xm6805,4124r-7,-8l6805,4116r,8xm8305,4124r-1500,l6805,4116r1500,l8305,4124xm8320,4124r-15,l8313,4116r7,l8320,4124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rect id="_x0000_s1484" style="position:absolute;left:3499;top:3039;width:1491;height:1104" stroked="f"/>
            <v:shape id="_x0000_s1485" style="position:absolute;left:3492;top:3032;width:1504;height:1118" coordorigin="3493,3032" coordsize="1504,1118" o:spt="100" adj="0,,0" path="m4997,4150r-1504,l3493,3032r1504,l4997,3040r-1489,l3500,3047r8,l3508,4135r-8,l3508,4143r1489,l4997,4150xm3508,3047r-8,l3508,3040r,7xm4982,3047r-1474,l3508,3040r1474,l4982,3047xm4982,4143r,-1103l4989,3047r8,l4997,4135r-8,l4982,4143xm4997,3047r-8,l4982,3040r15,l4997,3047xm3508,4143r-8,-8l3508,4135r,8xm4982,4143r-1474,l3508,4135r1474,l4982,4143xm4997,4143r-15,l4989,4135r8,l4997,4143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86" style="position:absolute" from="5955,1163" to="5955,1465" strokeweight=".8pt"/>
            <v:line id="_x0000_s1487" style="position:absolute" from="5956,2245" to="5956,2557" strokeweight=".8pt"/>
            <v:line id="_x0000_s1488" style="position:absolute" from="2554,2563" to="9260,2563" strokeweight="1.6pt"/>
            <v:line id="_x0000_s1489" style="position:absolute" from="2572,2572" to="2572,3040" strokeweight=".8pt"/>
            <v:line id="_x0000_s1490" style="position:absolute" from="4336,2572" to="4336,3040" strokeweight=".8pt"/>
            <v:line id="_x0000_s1491" style="position:absolute" from="7555,2573" to="7555,3041" strokeweight=".8pt"/>
            <v:rect id="_x0000_s1492" style="position:absolute;left:5124;top:3042;width:1472;height:1100" stroked="f"/>
            <v:shape id="_x0000_s1493" style="position:absolute;left:5117;top:3033;width:1484;height:1116" coordorigin="5118,3033" coordsize="1484,1116" o:spt="100" adj="0,,0" path="m6602,4149r-1484,l5118,3033r1484,l6602,3041r-1469,l5125,3048r8,l5133,4134r-8,l5133,4142r1469,l6602,4149xm5133,3048r-8,l5133,3041r,7xm6587,3048r-1454,l5133,3041r1454,l6587,3048xm6587,4142r,-1101l6594,3048r8,l6602,4134r-8,l6587,4142xm6602,3048r-8,l6587,3041r15,l6602,3048xm5133,4142r-8,-8l5133,4134r,8xm6587,4142r-1454,l5133,4134r1454,l6587,4142xm6602,4142r-15,l6594,4134r8,l6602,4142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94" style="position:absolute" from="5953,2573" to="5953,3041" strokeweight=".8pt"/>
            <v:rect id="_x0000_s1495" style="position:absolute;left:8491;top:3049;width:1500;height:1080" stroked="f"/>
            <v:shape id="_x0000_s1496" style="position:absolute;left:8483;top:3041;width:1515;height:1095" coordorigin="8483,3042" coordsize="1515,1095" o:spt="100" adj="0,,0" path="m9998,4137r-1515,l8483,3042r1515,l9998,3049r-1500,l8491,3057r7,l8498,4122r-7,l8498,4129r1500,l9998,4137xm8498,3057r-7,l8498,3049r,8xm9983,3057r-1485,l8498,3049r1485,l9983,3057xm9983,4129r,-1080l9991,3057r7,l9998,4122r-7,l9983,4129xm9998,3057r-7,l9983,3049r15,l9998,3057xm8498,4129r-7,-7l8498,4122r,7xm9983,4129r-1485,l8498,4122r1485,l9983,4129xm9998,4129r-15,l9991,4122r7,l9998,4129xe" fillcolor="black" stroked="f">
              <v:stroke joinstyle="round"/>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segments" o:connectlocs="@44,@45;@48,@49;@46,@47;@17,@18;@24,@25;@15,@16" textboxrect="3163,3163,18437,18437"/>
              <v:handles>
                <v:h position="@3,#0" polar="10800,10800"/>
                <v:h position="#2,#1" polar="10800,10800" radiusrange="0,10800"/>
              </v:handles>
            </v:shape>
            <v:line id="_x0000_s1497" style="position:absolute" from="9241,2579" to="9241,3039"/>
            <v:shape id="_x0000_s1498" type="#_x0000_t202" style="position:absolute;left:2040;top:3170;width:1176;height:833" filled="f" stroked="f">
              <v:textbox inset="0,0,0,0">
                <w:txbxContent>
                  <w:p w:rsidR="00B04AE3" w:rsidRDefault="00B04AE3">
                    <w:pPr>
                      <w:spacing w:line="239" w:lineRule="exact"/>
                      <w:rPr>
                        <w:sz w:val="21"/>
                      </w:rPr>
                    </w:pPr>
                    <w:r>
                      <w:rPr>
                        <w:rFonts w:hint="eastAsia"/>
                        <w:sz w:val="21"/>
                      </w:rPr>
                      <w:t>抢险救援组</w:t>
                    </w:r>
                  </w:p>
                  <w:p w:rsidR="00B04AE3" w:rsidRDefault="00B04AE3">
                    <w:pPr>
                      <w:spacing w:line="239" w:lineRule="exact"/>
                      <w:rPr>
                        <w:sz w:val="21"/>
                      </w:rPr>
                    </w:pPr>
                    <w:r>
                      <w:rPr>
                        <w:rFonts w:hint="eastAsia"/>
                        <w:sz w:val="21"/>
                      </w:rPr>
                      <w:t>陈小灵</w:t>
                    </w:r>
                  </w:p>
                  <w:p w:rsidR="00B04AE3" w:rsidRDefault="00B04AE3">
                    <w:pPr>
                      <w:spacing w:line="239" w:lineRule="exact"/>
                    </w:pPr>
                    <w:r>
                      <w:rPr>
                        <w:sz w:val="21"/>
                      </w:rPr>
                      <w:t>15970439835</w:t>
                    </w:r>
                  </w:p>
                </w:txbxContent>
              </v:textbox>
            </v:shape>
            <v:shape id="_x0000_s1499" type="#_x0000_t202" style="position:absolute;left:3652;top:3170;width:1176;height:833" filled="f" stroked="f">
              <v:textbox inset="0,0,0,0">
                <w:txbxContent>
                  <w:p w:rsidR="00B04AE3" w:rsidRDefault="00B04AE3">
                    <w:pPr>
                      <w:spacing w:line="239" w:lineRule="exact"/>
                      <w:rPr>
                        <w:sz w:val="21"/>
                      </w:rPr>
                    </w:pPr>
                    <w:r>
                      <w:rPr>
                        <w:rFonts w:hint="eastAsia"/>
                        <w:sz w:val="21"/>
                      </w:rPr>
                      <w:t>通讯联络组</w:t>
                    </w:r>
                  </w:p>
                  <w:p w:rsidR="00B04AE3" w:rsidRDefault="00B04AE3">
                    <w:pPr>
                      <w:spacing w:before="2" w:line="310" w:lineRule="atLeast"/>
                      <w:ind w:right="18"/>
                      <w:rPr>
                        <w:sz w:val="21"/>
                      </w:rPr>
                    </w:pPr>
                    <w:r>
                      <w:rPr>
                        <w:rFonts w:ascii="仿宋_GB2312" w:eastAsia="仿宋_GB2312" w:hint="eastAsia"/>
                        <w:szCs w:val="21"/>
                      </w:rPr>
                      <w:t>杨凌斌</w:t>
                    </w:r>
                    <w:r>
                      <w:rPr>
                        <w:sz w:val="21"/>
                      </w:rPr>
                      <w:t>1387064110</w:t>
                    </w:r>
                    <w:r>
                      <w:rPr>
                        <w:rFonts w:ascii="仿宋_GB2312" w:eastAsia="仿宋_GB2312"/>
                        <w:szCs w:val="21"/>
                      </w:rPr>
                      <w:t>1</w:t>
                    </w:r>
                  </w:p>
                </w:txbxContent>
              </v:textbox>
            </v:shape>
            <v:shape id="_x0000_s1500" type="#_x0000_t202" style="position:absolute;left:5277;top:3173;width:1176;height:833" filled="f" stroked="f">
              <v:textbox inset="0,0,0,0">
                <w:txbxContent>
                  <w:p w:rsidR="00B04AE3" w:rsidRDefault="00B04AE3">
                    <w:pPr>
                      <w:spacing w:line="239" w:lineRule="exact"/>
                      <w:rPr>
                        <w:sz w:val="21"/>
                      </w:rPr>
                    </w:pPr>
                    <w:r>
                      <w:rPr>
                        <w:rFonts w:hint="eastAsia"/>
                        <w:sz w:val="21"/>
                      </w:rPr>
                      <w:t>警戒保卫组</w:t>
                    </w:r>
                  </w:p>
                  <w:p w:rsidR="00B04AE3" w:rsidRDefault="00B04AE3">
                    <w:pPr>
                      <w:spacing w:before="2" w:line="310" w:lineRule="atLeast"/>
                      <w:ind w:right="18"/>
                      <w:rPr>
                        <w:sz w:val="21"/>
                      </w:rPr>
                    </w:pPr>
                    <w:r>
                      <w:rPr>
                        <w:rFonts w:hint="eastAsia"/>
                        <w:sz w:val="21"/>
                      </w:rPr>
                      <w:t>张磊磊</w:t>
                    </w:r>
                    <w:r>
                      <w:rPr>
                        <w:sz w:val="21"/>
                      </w:rPr>
                      <w:t>13755774497</w:t>
                    </w:r>
                  </w:p>
                </w:txbxContent>
              </v:textbox>
            </v:shape>
            <v:shape id="_x0000_s1501" type="#_x0000_t202" style="position:absolute;left:8491;top:3045;width:1500;height:1086" filled="f" stroked="f">
              <v:textbox inset="0,0,0,0">
                <w:txbxContent>
                  <w:p w:rsidR="00B04AE3" w:rsidRDefault="00B04AE3">
                    <w:pPr>
                      <w:spacing w:before="104" w:line="278" w:lineRule="auto"/>
                      <w:ind w:left="151" w:right="191"/>
                      <w:rPr>
                        <w:sz w:val="21"/>
                      </w:rPr>
                    </w:pPr>
                    <w:r>
                      <w:rPr>
                        <w:rFonts w:hint="eastAsia"/>
                        <w:sz w:val="21"/>
                      </w:rPr>
                      <w:t>医疗救护组夏志亮</w:t>
                    </w:r>
                    <w:r>
                      <w:rPr>
                        <w:sz w:val="21"/>
                      </w:rPr>
                      <w:t>15879135422</w:t>
                    </w:r>
                  </w:p>
                </w:txbxContent>
              </v:textbox>
            </v:shape>
            <v:shape id="_x0000_s1502" type="#_x0000_t202" style="position:absolute;left:6799;top:3045;width:1515;height:1086" filled="f" stroked="f">
              <v:textbox inset="0,0,0,0">
                <w:txbxContent>
                  <w:p w:rsidR="00B04AE3" w:rsidRDefault="00B04AE3">
                    <w:pPr>
                      <w:spacing w:before="97" w:line="278" w:lineRule="auto"/>
                      <w:ind w:left="151" w:right="205"/>
                      <w:rPr>
                        <w:sz w:val="21"/>
                      </w:rPr>
                    </w:pPr>
                    <w:r>
                      <w:rPr>
                        <w:rFonts w:hint="eastAsia"/>
                        <w:sz w:val="21"/>
                      </w:rPr>
                      <w:t>后勤保障组</w:t>
                    </w:r>
                    <w:r>
                      <w:rPr>
                        <w:rFonts w:ascii="仿宋_GB2312" w:eastAsia="仿宋_GB2312" w:hint="eastAsia"/>
                        <w:szCs w:val="21"/>
                      </w:rPr>
                      <w:t>刘超</w:t>
                    </w:r>
                    <w:r>
                      <w:rPr>
                        <w:sz w:val="21"/>
                      </w:rPr>
                      <w:t>1376712106</w:t>
                    </w:r>
                    <w:r>
                      <w:rPr>
                        <w:rFonts w:ascii="仿宋_GB2312" w:eastAsia="仿宋_GB2312"/>
                        <w:szCs w:val="21"/>
                      </w:rPr>
                      <w:t>0</w:t>
                    </w:r>
                  </w:p>
                </w:txbxContent>
              </v:textbox>
            </v:shape>
            <v:shape id="_x0000_s1503" type="#_x0000_t202" style="position:absolute;left:4785;top:1465;width:2340;height:780" filled="f" stroked="f">
              <v:textbox inset="0,0,0,0">
                <w:txbxContent>
                  <w:p w:rsidR="00B04AE3" w:rsidRDefault="00B04AE3">
                    <w:pPr>
                      <w:spacing w:before="100"/>
                      <w:ind w:left="151"/>
                      <w:rPr>
                        <w:sz w:val="21"/>
                      </w:rPr>
                    </w:pPr>
                    <w:r>
                      <w:rPr>
                        <w:rFonts w:hint="eastAsia"/>
                        <w:sz w:val="21"/>
                      </w:rPr>
                      <w:t>副总指挥：谢子伟</w:t>
                    </w:r>
                  </w:p>
                  <w:p w:rsidR="00B04AE3" w:rsidRDefault="00B04AE3">
                    <w:pPr>
                      <w:spacing w:before="43"/>
                      <w:ind w:left="151"/>
                      <w:rPr>
                        <w:sz w:val="21"/>
                      </w:rPr>
                    </w:pPr>
                    <w:r>
                      <w:rPr>
                        <w:rFonts w:hint="eastAsia"/>
                        <w:sz w:val="21"/>
                      </w:rPr>
                      <w:t>电话：</w:t>
                    </w:r>
                    <w:r>
                      <w:rPr>
                        <w:sz w:val="21"/>
                      </w:rPr>
                      <w:t>13870073675</w:t>
                    </w:r>
                  </w:p>
                </w:txbxContent>
              </v:textbox>
            </v:shape>
            <v:shape id="_x0000_s1504" type="#_x0000_t202" style="position:absolute;left:4620;top:366;width:2700;height:797" filled="f" stroked="f">
              <v:textbox inset="0,0,0,0">
                <w:txbxContent>
                  <w:p w:rsidR="00B04AE3" w:rsidRDefault="00B04AE3">
                    <w:pPr>
                      <w:spacing w:before="100"/>
                      <w:ind w:left="360"/>
                      <w:rPr>
                        <w:sz w:val="21"/>
                      </w:rPr>
                    </w:pPr>
                    <w:r>
                      <w:rPr>
                        <w:rFonts w:hint="eastAsia"/>
                        <w:sz w:val="21"/>
                      </w:rPr>
                      <w:t>总指挥：金云峰</w:t>
                    </w:r>
                  </w:p>
                  <w:p w:rsidR="00B04AE3" w:rsidRDefault="00B04AE3">
                    <w:pPr>
                      <w:spacing w:before="43"/>
                      <w:ind w:left="360"/>
                      <w:rPr>
                        <w:sz w:val="21"/>
                      </w:rPr>
                    </w:pPr>
                    <w:r>
                      <w:rPr>
                        <w:rFonts w:hint="eastAsia"/>
                        <w:sz w:val="21"/>
                      </w:rPr>
                      <w:t>电话：</w:t>
                    </w:r>
                    <w:r>
                      <w:rPr>
                        <w:sz w:val="21"/>
                      </w:rPr>
                      <w:t>15797906676</w:t>
                    </w:r>
                  </w:p>
                </w:txbxContent>
              </v:textbox>
            </v:shape>
            <w10:wrap type="topAndBottom" anchorx="page"/>
          </v:group>
        </w:pict>
      </w:r>
    </w:p>
    <w:p w:rsidR="00B04AE3" w:rsidRDefault="00B04AE3">
      <w:pPr>
        <w:pStyle w:val="BodyText"/>
        <w:spacing w:before="4"/>
      </w:pPr>
    </w:p>
    <w:p w:rsidR="00B04AE3" w:rsidRDefault="00B04AE3">
      <w:pPr>
        <w:pStyle w:val="BodyText"/>
        <w:ind w:left="780"/>
      </w:pPr>
      <w:r>
        <w:rPr>
          <w:rFonts w:hint="eastAsia"/>
        </w:rPr>
        <w:t>公司应急人员名单及联系电话见表</w:t>
      </w:r>
      <w:r>
        <w:t xml:space="preserve"> </w:t>
      </w:r>
      <w:r>
        <w:rPr>
          <w:rFonts w:ascii="Times New Roman" w:eastAsia="Times New Roman"/>
        </w:rPr>
        <w:t>3</w:t>
      </w:r>
      <w:r>
        <w:rPr>
          <w:rFonts w:hint="eastAsia"/>
        </w:rPr>
        <w:t>。</w:t>
      </w:r>
    </w:p>
    <w:p w:rsidR="00B04AE3" w:rsidRDefault="00B04AE3">
      <w:pPr>
        <w:tabs>
          <w:tab w:val="left" w:pos="659"/>
        </w:tabs>
        <w:spacing w:before="161"/>
        <w:ind w:right="565"/>
        <w:jc w:val="center"/>
        <w:rPr>
          <w:b/>
          <w:sz w:val="24"/>
        </w:rPr>
      </w:pPr>
      <w:r>
        <w:rPr>
          <w:rFonts w:hint="eastAsia"/>
          <w:b/>
          <w:sz w:val="24"/>
        </w:rPr>
        <w:t>表</w:t>
      </w:r>
      <w:r>
        <w:rPr>
          <w:b/>
          <w:spacing w:val="-62"/>
          <w:sz w:val="24"/>
        </w:rPr>
        <w:t xml:space="preserve"> </w:t>
      </w:r>
      <w:r>
        <w:rPr>
          <w:rFonts w:ascii="Times New Roman" w:eastAsia="Times New Roman"/>
          <w:b/>
          <w:sz w:val="24"/>
        </w:rPr>
        <w:t>3</w:t>
      </w:r>
      <w:r>
        <w:rPr>
          <w:rFonts w:ascii="Times New Roman" w:eastAsia="Times New Roman"/>
          <w:b/>
          <w:sz w:val="24"/>
        </w:rPr>
        <w:tab/>
      </w:r>
      <w:r>
        <w:rPr>
          <w:rFonts w:hint="eastAsia"/>
          <w:b/>
          <w:sz w:val="24"/>
        </w:rPr>
        <w:t>公司应急人员名单及联系电话</w:t>
      </w:r>
    </w:p>
    <w:p w:rsidR="00B04AE3" w:rsidRDefault="00B04AE3">
      <w:pPr>
        <w:pStyle w:val="BodyText"/>
        <w:spacing w:before="2"/>
        <w:rPr>
          <w:b/>
          <w:sz w:val="6"/>
        </w:rPr>
      </w:pPr>
    </w:p>
    <w:tbl>
      <w:tblPr>
        <w:tblW w:w="8528" w:type="dxa"/>
        <w:tblInd w:w="6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2618"/>
        <w:gridCol w:w="2610"/>
        <w:gridCol w:w="3300"/>
      </w:tblGrid>
      <w:tr w:rsidR="00B04AE3">
        <w:trPr>
          <w:trHeight w:val="340"/>
        </w:trPr>
        <w:tc>
          <w:tcPr>
            <w:tcW w:w="2618" w:type="dxa"/>
            <w:shd w:val="clear" w:color="auto" w:fill="DFDFDF"/>
          </w:tcPr>
          <w:p w:rsidR="00B04AE3" w:rsidRDefault="00B04AE3">
            <w:pPr>
              <w:pStyle w:val="TableParagraph"/>
              <w:spacing w:before="34"/>
              <w:ind w:left="133" w:right="122"/>
              <w:rPr>
                <w:b/>
                <w:sz w:val="21"/>
              </w:rPr>
            </w:pPr>
            <w:r>
              <w:rPr>
                <w:rFonts w:hint="eastAsia"/>
                <w:b/>
                <w:sz w:val="21"/>
              </w:rPr>
              <w:t>部门</w:t>
            </w:r>
          </w:p>
        </w:tc>
        <w:tc>
          <w:tcPr>
            <w:tcW w:w="2610" w:type="dxa"/>
            <w:shd w:val="clear" w:color="auto" w:fill="DFDFDF"/>
          </w:tcPr>
          <w:p w:rsidR="00B04AE3" w:rsidRDefault="00B04AE3">
            <w:pPr>
              <w:pStyle w:val="TableParagraph"/>
              <w:spacing w:before="34"/>
              <w:ind w:left="969" w:right="959"/>
              <w:rPr>
                <w:b/>
                <w:sz w:val="21"/>
              </w:rPr>
            </w:pPr>
            <w:r>
              <w:rPr>
                <w:rFonts w:hint="eastAsia"/>
                <w:b/>
                <w:sz w:val="21"/>
              </w:rPr>
              <w:t>姓名</w:t>
            </w:r>
          </w:p>
        </w:tc>
        <w:tc>
          <w:tcPr>
            <w:tcW w:w="3300" w:type="dxa"/>
            <w:shd w:val="clear" w:color="auto" w:fill="DFDFDF"/>
          </w:tcPr>
          <w:p w:rsidR="00B04AE3" w:rsidRDefault="00B04AE3">
            <w:pPr>
              <w:pStyle w:val="TableParagraph"/>
              <w:spacing w:before="34"/>
              <w:ind w:left="1052" w:right="1038"/>
              <w:rPr>
                <w:b/>
                <w:sz w:val="21"/>
              </w:rPr>
            </w:pPr>
            <w:r>
              <w:rPr>
                <w:rFonts w:hint="eastAsia"/>
                <w:b/>
                <w:sz w:val="21"/>
              </w:rPr>
              <w:t>联系方式</w:t>
            </w:r>
          </w:p>
        </w:tc>
      </w:tr>
      <w:tr w:rsidR="00B04AE3">
        <w:trPr>
          <w:trHeight w:val="340"/>
        </w:trPr>
        <w:tc>
          <w:tcPr>
            <w:tcW w:w="2618" w:type="dxa"/>
          </w:tcPr>
          <w:p w:rsidR="00B04AE3" w:rsidRDefault="00B04AE3">
            <w:pPr>
              <w:pStyle w:val="TableParagraph"/>
              <w:spacing w:before="35"/>
              <w:ind w:left="131" w:right="125"/>
              <w:rPr>
                <w:sz w:val="21"/>
              </w:rPr>
            </w:pPr>
            <w:r>
              <w:rPr>
                <w:rFonts w:hint="eastAsia"/>
                <w:sz w:val="21"/>
              </w:rPr>
              <w:t>总指挥（总经理）</w:t>
            </w:r>
          </w:p>
        </w:tc>
        <w:tc>
          <w:tcPr>
            <w:tcW w:w="2610" w:type="dxa"/>
            <w:vAlign w:val="center"/>
          </w:tcPr>
          <w:p w:rsidR="00B04AE3" w:rsidRDefault="00B04AE3">
            <w:pPr>
              <w:pStyle w:val="TableParagraph"/>
              <w:spacing w:before="34"/>
              <w:ind w:left="304" w:right="299"/>
              <w:rPr>
                <w:sz w:val="21"/>
              </w:rPr>
            </w:pPr>
            <w:r>
              <w:rPr>
                <w:rFonts w:hint="eastAsia"/>
                <w:sz w:val="21"/>
              </w:rPr>
              <w:t>金云峰</w:t>
            </w:r>
          </w:p>
        </w:tc>
        <w:tc>
          <w:tcPr>
            <w:tcW w:w="3300" w:type="dxa"/>
            <w:vAlign w:val="center"/>
          </w:tcPr>
          <w:p w:rsidR="00B04AE3" w:rsidRDefault="00B04AE3">
            <w:pPr>
              <w:pStyle w:val="TableParagraph"/>
              <w:spacing w:before="34"/>
              <w:ind w:right="1261"/>
              <w:rPr>
                <w:sz w:val="21"/>
              </w:rPr>
            </w:pPr>
            <w:r>
              <w:rPr>
                <w:sz w:val="21"/>
              </w:rPr>
              <w:t>15797906676</w:t>
            </w:r>
          </w:p>
        </w:tc>
      </w:tr>
      <w:tr w:rsidR="00B04AE3">
        <w:trPr>
          <w:trHeight w:val="340"/>
        </w:trPr>
        <w:tc>
          <w:tcPr>
            <w:tcW w:w="2618" w:type="dxa"/>
          </w:tcPr>
          <w:p w:rsidR="00B04AE3" w:rsidRDefault="00B04AE3">
            <w:pPr>
              <w:pStyle w:val="TableParagraph"/>
              <w:spacing w:before="33"/>
              <w:ind w:left="133" w:right="125"/>
              <w:rPr>
                <w:sz w:val="21"/>
              </w:rPr>
            </w:pPr>
            <w:r>
              <w:rPr>
                <w:rFonts w:hint="eastAsia"/>
                <w:sz w:val="21"/>
              </w:rPr>
              <w:t>副总指挥（办公室主任）</w:t>
            </w:r>
          </w:p>
        </w:tc>
        <w:tc>
          <w:tcPr>
            <w:tcW w:w="2610" w:type="dxa"/>
            <w:vAlign w:val="center"/>
          </w:tcPr>
          <w:p w:rsidR="00B04AE3" w:rsidRDefault="00B04AE3">
            <w:pPr>
              <w:pStyle w:val="TableParagraph"/>
              <w:spacing w:before="34"/>
              <w:ind w:left="304" w:right="299"/>
              <w:rPr>
                <w:sz w:val="21"/>
              </w:rPr>
            </w:pPr>
            <w:r>
              <w:rPr>
                <w:rFonts w:hint="eastAsia"/>
                <w:sz w:val="21"/>
              </w:rPr>
              <w:t>谢子伟</w:t>
            </w:r>
          </w:p>
        </w:tc>
        <w:tc>
          <w:tcPr>
            <w:tcW w:w="3300" w:type="dxa"/>
            <w:vAlign w:val="center"/>
          </w:tcPr>
          <w:p w:rsidR="00B04AE3" w:rsidRDefault="00B04AE3">
            <w:pPr>
              <w:pStyle w:val="TableParagraph"/>
              <w:spacing w:before="34"/>
              <w:ind w:left="304" w:right="299"/>
              <w:rPr>
                <w:sz w:val="21"/>
              </w:rPr>
            </w:pPr>
            <w:r>
              <w:rPr>
                <w:sz w:val="21"/>
              </w:rPr>
              <w:t>13870073675</w:t>
            </w:r>
          </w:p>
        </w:tc>
      </w:tr>
      <w:tr w:rsidR="00B04AE3">
        <w:trPr>
          <w:trHeight w:val="340"/>
        </w:trPr>
        <w:tc>
          <w:tcPr>
            <w:tcW w:w="2618" w:type="dxa"/>
            <w:vMerge w:val="restart"/>
          </w:tcPr>
          <w:p w:rsidR="00B04AE3" w:rsidRDefault="00B04AE3">
            <w:pPr>
              <w:pStyle w:val="TableParagraph"/>
              <w:spacing w:before="3"/>
              <w:jc w:val="left"/>
              <w:rPr>
                <w:b/>
                <w:sz w:val="16"/>
              </w:rPr>
            </w:pPr>
          </w:p>
          <w:p w:rsidR="00B04AE3" w:rsidRDefault="00B04AE3">
            <w:pPr>
              <w:pStyle w:val="TableParagraph"/>
              <w:spacing w:before="1"/>
              <w:ind w:left="782"/>
              <w:jc w:val="left"/>
              <w:rPr>
                <w:sz w:val="21"/>
              </w:rPr>
            </w:pPr>
            <w:r>
              <w:rPr>
                <w:rFonts w:hint="eastAsia"/>
                <w:sz w:val="21"/>
              </w:rPr>
              <w:t>应急办公室</w:t>
            </w:r>
          </w:p>
        </w:tc>
        <w:tc>
          <w:tcPr>
            <w:tcW w:w="2610" w:type="dxa"/>
            <w:vAlign w:val="center"/>
          </w:tcPr>
          <w:p w:rsidR="00B04AE3" w:rsidRDefault="00B04AE3">
            <w:pPr>
              <w:pStyle w:val="TableParagraph"/>
              <w:spacing w:before="34"/>
              <w:ind w:left="304" w:right="299"/>
              <w:rPr>
                <w:sz w:val="21"/>
              </w:rPr>
            </w:pPr>
            <w:r>
              <w:rPr>
                <w:rFonts w:hint="eastAsia"/>
                <w:sz w:val="21"/>
              </w:rPr>
              <w:t>鲍伟</w:t>
            </w:r>
          </w:p>
        </w:tc>
        <w:tc>
          <w:tcPr>
            <w:tcW w:w="3300" w:type="dxa"/>
            <w:vAlign w:val="center"/>
          </w:tcPr>
          <w:p w:rsidR="00B04AE3" w:rsidRDefault="00B04AE3">
            <w:pPr>
              <w:pStyle w:val="TableParagraph"/>
              <w:spacing w:before="34"/>
              <w:ind w:left="304" w:right="299"/>
              <w:rPr>
                <w:sz w:val="21"/>
              </w:rPr>
            </w:pPr>
            <w:r>
              <w:rPr>
                <w:sz w:val="21"/>
              </w:rPr>
              <w:t>13707093687</w:t>
            </w:r>
          </w:p>
        </w:tc>
      </w:tr>
      <w:tr w:rsidR="00B04AE3">
        <w:trPr>
          <w:trHeight w:val="340"/>
        </w:trPr>
        <w:tc>
          <w:tcPr>
            <w:tcW w:w="2618" w:type="dxa"/>
            <w:vMerge/>
            <w:tcBorders>
              <w:top w:val="nil"/>
            </w:tcBorders>
          </w:tcPr>
          <w:p w:rsidR="00B04AE3" w:rsidRDefault="00B04AE3">
            <w:pPr>
              <w:rPr>
                <w:sz w:val="2"/>
                <w:szCs w:val="2"/>
              </w:rPr>
            </w:pPr>
          </w:p>
        </w:tc>
        <w:tc>
          <w:tcPr>
            <w:tcW w:w="2610" w:type="dxa"/>
            <w:vAlign w:val="center"/>
          </w:tcPr>
          <w:p w:rsidR="00B04AE3" w:rsidRDefault="00B04AE3">
            <w:pPr>
              <w:pStyle w:val="TableParagraph"/>
              <w:spacing w:before="34"/>
              <w:ind w:left="304" w:right="299"/>
              <w:rPr>
                <w:sz w:val="21"/>
              </w:rPr>
            </w:pPr>
            <w:r>
              <w:rPr>
                <w:rFonts w:hint="eastAsia"/>
                <w:sz w:val="21"/>
              </w:rPr>
              <w:t>王新</w:t>
            </w:r>
          </w:p>
        </w:tc>
        <w:tc>
          <w:tcPr>
            <w:tcW w:w="3300" w:type="dxa"/>
            <w:vAlign w:val="center"/>
          </w:tcPr>
          <w:p w:rsidR="00B04AE3" w:rsidRDefault="00B04AE3">
            <w:pPr>
              <w:pStyle w:val="TableParagraph"/>
              <w:spacing w:before="34"/>
              <w:ind w:left="304" w:right="299"/>
              <w:rPr>
                <w:sz w:val="21"/>
              </w:rPr>
            </w:pPr>
            <w:r>
              <w:rPr>
                <w:sz w:val="21"/>
              </w:rPr>
              <w:t>15170474865</w:t>
            </w:r>
          </w:p>
        </w:tc>
      </w:tr>
      <w:tr w:rsidR="00B04AE3">
        <w:trPr>
          <w:trHeight w:val="340"/>
        </w:trPr>
        <w:tc>
          <w:tcPr>
            <w:tcW w:w="2618" w:type="dxa"/>
            <w:vMerge w:val="restart"/>
          </w:tcPr>
          <w:p w:rsidR="00B04AE3" w:rsidRDefault="00B04AE3">
            <w:pPr>
              <w:pStyle w:val="TableParagraph"/>
              <w:spacing w:before="4"/>
              <w:jc w:val="left"/>
              <w:rPr>
                <w:b/>
                <w:sz w:val="16"/>
              </w:rPr>
            </w:pPr>
          </w:p>
          <w:p w:rsidR="00B04AE3" w:rsidRDefault="00B04AE3">
            <w:pPr>
              <w:pStyle w:val="TableParagraph"/>
              <w:ind w:left="782"/>
              <w:jc w:val="left"/>
              <w:rPr>
                <w:sz w:val="21"/>
              </w:rPr>
            </w:pPr>
            <w:r>
              <w:rPr>
                <w:rFonts w:hint="eastAsia"/>
                <w:sz w:val="21"/>
              </w:rPr>
              <w:t>抢险救援组</w:t>
            </w:r>
          </w:p>
        </w:tc>
        <w:tc>
          <w:tcPr>
            <w:tcW w:w="2610" w:type="dxa"/>
            <w:vAlign w:val="center"/>
          </w:tcPr>
          <w:p w:rsidR="00B04AE3" w:rsidRDefault="00B04AE3">
            <w:pPr>
              <w:jc w:val="center"/>
              <w:rPr>
                <w:sz w:val="21"/>
              </w:rPr>
            </w:pPr>
            <w:r>
              <w:rPr>
                <w:rFonts w:hint="eastAsia"/>
                <w:sz w:val="21"/>
              </w:rPr>
              <w:t>谢子伟</w:t>
            </w:r>
          </w:p>
        </w:tc>
        <w:tc>
          <w:tcPr>
            <w:tcW w:w="3300" w:type="dxa"/>
            <w:vAlign w:val="center"/>
          </w:tcPr>
          <w:p w:rsidR="00B04AE3" w:rsidRDefault="00B04AE3">
            <w:pPr>
              <w:pStyle w:val="TableParagraph"/>
              <w:spacing w:before="34"/>
              <w:ind w:right="1261"/>
              <w:rPr>
                <w:sz w:val="21"/>
              </w:rPr>
            </w:pPr>
            <w:r>
              <w:rPr>
                <w:sz w:val="21"/>
              </w:rPr>
              <w:t>13870073675</w:t>
            </w:r>
          </w:p>
        </w:tc>
      </w:tr>
      <w:tr w:rsidR="00B04AE3">
        <w:trPr>
          <w:trHeight w:val="340"/>
        </w:trPr>
        <w:tc>
          <w:tcPr>
            <w:tcW w:w="2618" w:type="dxa"/>
            <w:vMerge/>
            <w:tcBorders>
              <w:top w:val="nil"/>
            </w:tcBorders>
          </w:tcPr>
          <w:p w:rsidR="00B04AE3" w:rsidRDefault="00B04AE3">
            <w:pPr>
              <w:rPr>
                <w:sz w:val="2"/>
                <w:szCs w:val="2"/>
              </w:rPr>
            </w:pPr>
          </w:p>
        </w:tc>
        <w:tc>
          <w:tcPr>
            <w:tcW w:w="2610" w:type="dxa"/>
            <w:vAlign w:val="center"/>
          </w:tcPr>
          <w:p w:rsidR="00B04AE3" w:rsidRDefault="00B04AE3">
            <w:pPr>
              <w:jc w:val="center"/>
              <w:rPr>
                <w:sz w:val="21"/>
              </w:rPr>
            </w:pPr>
            <w:r>
              <w:rPr>
                <w:rFonts w:hint="eastAsia"/>
                <w:sz w:val="21"/>
              </w:rPr>
              <w:t>廖欣</w:t>
            </w:r>
          </w:p>
        </w:tc>
        <w:tc>
          <w:tcPr>
            <w:tcW w:w="3300" w:type="dxa"/>
            <w:vAlign w:val="center"/>
          </w:tcPr>
          <w:p w:rsidR="00B04AE3" w:rsidRDefault="00B04AE3">
            <w:pPr>
              <w:pStyle w:val="TableParagraph"/>
              <w:spacing w:before="34"/>
              <w:ind w:right="1261"/>
              <w:rPr>
                <w:sz w:val="21"/>
              </w:rPr>
            </w:pPr>
            <w:r>
              <w:rPr>
                <w:sz w:val="21"/>
              </w:rPr>
              <w:t>13879166894</w:t>
            </w:r>
          </w:p>
        </w:tc>
      </w:tr>
      <w:tr w:rsidR="00B04AE3">
        <w:trPr>
          <w:trHeight w:val="340"/>
        </w:trPr>
        <w:tc>
          <w:tcPr>
            <w:tcW w:w="2618" w:type="dxa"/>
          </w:tcPr>
          <w:p w:rsidR="00B04AE3" w:rsidRDefault="00B04AE3">
            <w:pPr>
              <w:pStyle w:val="TableParagraph"/>
              <w:spacing w:before="35"/>
              <w:ind w:left="131" w:right="125"/>
              <w:rPr>
                <w:sz w:val="21"/>
              </w:rPr>
            </w:pPr>
            <w:r>
              <w:rPr>
                <w:rFonts w:hint="eastAsia"/>
                <w:sz w:val="21"/>
              </w:rPr>
              <w:t>通讯联络组</w:t>
            </w:r>
          </w:p>
        </w:tc>
        <w:tc>
          <w:tcPr>
            <w:tcW w:w="2610" w:type="dxa"/>
            <w:vAlign w:val="center"/>
          </w:tcPr>
          <w:p w:rsidR="00B04AE3" w:rsidRDefault="00B04AE3">
            <w:pPr>
              <w:pStyle w:val="TableParagraph"/>
              <w:spacing w:before="34"/>
              <w:ind w:left="304" w:right="299"/>
              <w:rPr>
                <w:sz w:val="21"/>
              </w:rPr>
            </w:pPr>
            <w:r>
              <w:rPr>
                <w:rFonts w:hint="eastAsia"/>
                <w:sz w:val="21"/>
              </w:rPr>
              <w:t>刘超</w:t>
            </w:r>
          </w:p>
        </w:tc>
        <w:tc>
          <w:tcPr>
            <w:tcW w:w="3300" w:type="dxa"/>
            <w:vAlign w:val="center"/>
          </w:tcPr>
          <w:p w:rsidR="00B04AE3" w:rsidRDefault="00B04AE3">
            <w:pPr>
              <w:pStyle w:val="TableParagraph"/>
              <w:spacing w:before="34"/>
              <w:ind w:left="304" w:right="299"/>
              <w:rPr>
                <w:sz w:val="21"/>
              </w:rPr>
            </w:pPr>
            <w:r>
              <w:rPr>
                <w:sz w:val="21"/>
              </w:rPr>
              <w:t>13767121060</w:t>
            </w:r>
          </w:p>
        </w:tc>
      </w:tr>
      <w:tr w:rsidR="00B04AE3">
        <w:trPr>
          <w:trHeight w:val="340"/>
        </w:trPr>
        <w:tc>
          <w:tcPr>
            <w:tcW w:w="2618" w:type="dxa"/>
          </w:tcPr>
          <w:p w:rsidR="00B04AE3" w:rsidRDefault="00B04AE3">
            <w:pPr>
              <w:pStyle w:val="TableParagraph"/>
              <w:spacing w:before="33"/>
              <w:ind w:left="131" w:right="125"/>
              <w:rPr>
                <w:sz w:val="21"/>
              </w:rPr>
            </w:pPr>
            <w:r>
              <w:rPr>
                <w:rFonts w:hint="eastAsia"/>
                <w:sz w:val="21"/>
              </w:rPr>
              <w:t>警戒保卫组</w:t>
            </w:r>
          </w:p>
        </w:tc>
        <w:tc>
          <w:tcPr>
            <w:tcW w:w="2610" w:type="dxa"/>
            <w:vAlign w:val="center"/>
          </w:tcPr>
          <w:p w:rsidR="00B04AE3" w:rsidRDefault="00B04AE3">
            <w:pPr>
              <w:pStyle w:val="TableParagraph"/>
              <w:spacing w:before="34"/>
              <w:ind w:left="304" w:right="299"/>
              <w:rPr>
                <w:sz w:val="21"/>
              </w:rPr>
            </w:pPr>
            <w:r>
              <w:rPr>
                <w:rFonts w:hint="eastAsia"/>
                <w:sz w:val="21"/>
              </w:rPr>
              <w:t>张磊磊</w:t>
            </w:r>
          </w:p>
        </w:tc>
        <w:tc>
          <w:tcPr>
            <w:tcW w:w="3300" w:type="dxa"/>
            <w:vAlign w:val="center"/>
          </w:tcPr>
          <w:p w:rsidR="00B04AE3" w:rsidRDefault="00B04AE3">
            <w:pPr>
              <w:pStyle w:val="TableParagraph"/>
              <w:spacing w:before="34"/>
              <w:ind w:left="304" w:right="299"/>
              <w:rPr>
                <w:sz w:val="21"/>
              </w:rPr>
            </w:pPr>
            <w:r>
              <w:rPr>
                <w:sz w:val="21"/>
              </w:rPr>
              <w:t>13755774497</w:t>
            </w:r>
          </w:p>
        </w:tc>
      </w:tr>
      <w:tr w:rsidR="00B04AE3">
        <w:trPr>
          <w:trHeight w:val="340"/>
        </w:trPr>
        <w:tc>
          <w:tcPr>
            <w:tcW w:w="2618" w:type="dxa"/>
          </w:tcPr>
          <w:p w:rsidR="00B04AE3" w:rsidRDefault="00B04AE3">
            <w:pPr>
              <w:pStyle w:val="TableParagraph"/>
              <w:spacing w:before="33"/>
              <w:ind w:left="131" w:right="125"/>
              <w:rPr>
                <w:sz w:val="21"/>
              </w:rPr>
            </w:pPr>
            <w:r>
              <w:rPr>
                <w:rFonts w:hint="eastAsia"/>
                <w:sz w:val="21"/>
              </w:rPr>
              <w:t>医疗救护组</w:t>
            </w:r>
          </w:p>
        </w:tc>
        <w:tc>
          <w:tcPr>
            <w:tcW w:w="2610" w:type="dxa"/>
            <w:vAlign w:val="center"/>
          </w:tcPr>
          <w:p w:rsidR="00B04AE3" w:rsidRDefault="00B04AE3">
            <w:pPr>
              <w:pStyle w:val="TableParagraph"/>
              <w:spacing w:before="34"/>
              <w:ind w:left="304" w:right="299"/>
              <w:rPr>
                <w:sz w:val="21"/>
              </w:rPr>
            </w:pPr>
            <w:r>
              <w:rPr>
                <w:rFonts w:hint="eastAsia"/>
                <w:sz w:val="21"/>
              </w:rPr>
              <w:t>夏志亮</w:t>
            </w:r>
          </w:p>
        </w:tc>
        <w:tc>
          <w:tcPr>
            <w:tcW w:w="3300" w:type="dxa"/>
            <w:vAlign w:val="center"/>
          </w:tcPr>
          <w:p w:rsidR="00B04AE3" w:rsidRDefault="00B04AE3">
            <w:pPr>
              <w:pStyle w:val="TableParagraph"/>
              <w:spacing w:before="34"/>
              <w:ind w:left="304" w:right="299"/>
              <w:rPr>
                <w:sz w:val="21"/>
              </w:rPr>
            </w:pPr>
            <w:r>
              <w:rPr>
                <w:sz w:val="21"/>
              </w:rPr>
              <w:t>15879135422</w:t>
            </w:r>
          </w:p>
        </w:tc>
      </w:tr>
      <w:tr w:rsidR="00B04AE3">
        <w:trPr>
          <w:trHeight w:val="340"/>
        </w:trPr>
        <w:tc>
          <w:tcPr>
            <w:tcW w:w="2618" w:type="dxa"/>
          </w:tcPr>
          <w:p w:rsidR="00B04AE3" w:rsidRDefault="00B04AE3">
            <w:pPr>
              <w:pStyle w:val="TableParagraph"/>
              <w:spacing w:before="34"/>
              <w:ind w:left="131" w:right="125"/>
              <w:rPr>
                <w:sz w:val="21"/>
              </w:rPr>
            </w:pPr>
            <w:r>
              <w:rPr>
                <w:rFonts w:hint="eastAsia"/>
                <w:sz w:val="21"/>
              </w:rPr>
              <w:t>后勤保障组</w:t>
            </w:r>
          </w:p>
        </w:tc>
        <w:tc>
          <w:tcPr>
            <w:tcW w:w="2610" w:type="dxa"/>
            <w:vAlign w:val="center"/>
          </w:tcPr>
          <w:p w:rsidR="00B04AE3" w:rsidRDefault="00B04AE3">
            <w:pPr>
              <w:pStyle w:val="TableParagraph"/>
              <w:spacing w:before="34"/>
              <w:ind w:left="304" w:right="299"/>
              <w:rPr>
                <w:sz w:val="21"/>
              </w:rPr>
            </w:pPr>
            <w:r>
              <w:rPr>
                <w:rFonts w:hint="eastAsia"/>
                <w:sz w:val="21"/>
              </w:rPr>
              <w:t>刘超</w:t>
            </w:r>
          </w:p>
        </w:tc>
        <w:tc>
          <w:tcPr>
            <w:tcW w:w="3300" w:type="dxa"/>
            <w:vAlign w:val="center"/>
          </w:tcPr>
          <w:p w:rsidR="00B04AE3" w:rsidRDefault="00B04AE3">
            <w:pPr>
              <w:pStyle w:val="TableParagraph"/>
              <w:spacing w:before="34"/>
              <w:ind w:left="304" w:right="299"/>
              <w:rPr>
                <w:sz w:val="21"/>
              </w:rPr>
            </w:pPr>
            <w:r>
              <w:rPr>
                <w:sz w:val="21"/>
              </w:rPr>
              <w:t>13767121060</w:t>
            </w:r>
          </w:p>
        </w:tc>
      </w:tr>
    </w:tbl>
    <w:p w:rsidR="00B04AE3" w:rsidRDefault="00B04AE3">
      <w:pPr>
        <w:pStyle w:val="BodyText"/>
        <w:spacing w:before="6"/>
        <w:rPr>
          <w:b/>
          <w:sz w:val="18"/>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pStyle w:val="Default"/>
        <w:rPr>
          <w:b/>
        </w:rPr>
      </w:pPr>
    </w:p>
    <w:p w:rsidR="00B04AE3" w:rsidRDefault="00B04AE3">
      <w:pPr>
        <w:pStyle w:val="Default"/>
        <w:rPr>
          <w:b/>
        </w:rPr>
      </w:pPr>
    </w:p>
    <w:p w:rsidR="00B04AE3" w:rsidRDefault="00B04AE3">
      <w:pPr>
        <w:pStyle w:val="Default"/>
        <w:rPr>
          <w:b/>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p>
    <w:p w:rsidR="00B04AE3" w:rsidRDefault="00B04AE3">
      <w:pPr>
        <w:tabs>
          <w:tab w:val="left" w:pos="659"/>
        </w:tabs>
        <w:spacing w:before="1"/>
        <w:ind w:right="563"/>
        <w:jc w:val="center"/>
        <w:rPr>
          <w:b/>
          <w:sz w:val="24"/>
        </w:rPr>
      </w:pPr>
      <w:r>
        <w:rPr>
          <w:rFonts w:hint="eastAsia"/>
          <w:b/>
          <w:sz w:val="24"/>
        </w:rPr>
        <w:t>表</w:t>
      </w:r>
      <w:r>
        <w:rPr>
          <w:b/>
          <w:spacing w:val="-62"/>
          <w:sz w:val="24"/>
        </w:rPr>
        <w:t xml:space="preserve"> </w:t>
      </w:r>
      <w:r>
        <w:rPr>
          <w:rFonts w:ascii="Times New Roman" w:eastAsia="Times New Roman"/>
          <w:b/>
          <w:sz w:val="24"/>
        </w:rPr>
        <w:t>4</w:t>
      </w:r>
      <w:r>
        <w:rPr>
          <w:rFonts w:ascii="Times New Roman" w:eastAsia="Times New Roman"/>
          <w:b/>
          <w:sz w:val="24"/>
        </w:rPr>
        <w:tab/>
      </w:r>
      <w:r>
        <w:rPr>
          <w:rFonts w:hint="eastAsia"/>
          <w:b/>
          <w:sz w:val="24"/>
        </w:rPr>
        <w:t>公司车间、部门人员名单及联系电话</w:t>
      </w:r>
    </w:p>
    <w:p w:rsidR="00B04AE3" w:rsidRDefault="00B04AE3">
      <w:pPr>
        <w:pStyle w:val="BodyText"/>
        <w:spacing w:before="2"/>
        <w:rPr>
          <w:b/>
          <w:sz w:val="6"/>
        </w:rPr>
      </w:pPr>
    </w:p>
    <w:tbl>
      <w:tblPr>
        <w:tblpPr w:leftFromText="180" w:rightFromText="180" w:vertAnchor="page" w:horzAnchor="margin" w:tblpXSpec="center" w:tblpY="2010"/>
        <w:tblW w:w="7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918"/>
        <w:gridCol w:w="1202"/>
        <w:gridCol w:w="2293"/>
        <w:gridCol w:w="1864"/>
      </w:tblGrid>
      <w:tr w:rsidR="00B04AE3">
        <w:trPr>
          <w:trHeight w:val="334"/>
        </w:trPr>
        <w:tc>
          <w:tcPr>
            <w:tcW w:w="1918" w:type="dxa"/>
            <w:vAlign w:val="center"/>
          </w:tcPr>
          <w:p w:rsidR="00B04AE3" w:rsidRDefault="00B04AE3">
            <w:pPr>
              <w:jc w:val="center"/>
              <w:rPr>
                <w:b/>
                <w:bCs/>
                <w:sz w:val="21"/>
              </w:rPr>
            </w:pPr>
            <w:r>
              <w:rPr>
                <w:rFonts w:hint="eastAsia"/>
                <w:b/>
                <w:bCs/>
                <w:sz w:val="21"/>
              </w:rPr>
              <w:t>职</w:t>
            </w:r>
            <w:r>
              <w:rPr>
                <w:b/>
                <w:bCs/>
                <w:sz w:val="21"/>
              </w:rPr>
              <w:t xml:space="preserve">  </w:t>
            </w:r>
            <w:r>
              <w:rPr>
                <w:rFonts w:hint="eastAsia"/>
                <w:b/>
                <w:bCs/>
                <w:sz w:val="21"/>
              </w:rPr>
              <w:t>务</w:t>
            </w:r>
          </w:p>
        </w:tc>
        <w:tc>
          <w:tcPr>
            <w:tcW w:w="1202" w:type="dxa"/>
            <w:vAlign w:val="center"/>
          </w:tcPr>
          <w:p w:rsidR="00B04AE3" w:rsidRDefault="00B04AE3">
            <w:pPr>
              <w:jc w:val="center"/>
              <w:rPr>
                <w:b/>
                <w:bCs/>
                <w:sz w:val="21"/>
              </w:rPr>
            </w:pPr>
            <w:r>
              <w:rPr>
                <w:rFonts w:hint="eastAsia"/>
                <w:b/>
                <w:bCs/>
                <w:sz w:val="21"/>
              </w:rPr>
              <w:t>姓名</w:t>
            </w:r>
          </w:p>
        </w:tc>
        <w:tc>
          <w:tcPr>
            <w:tcW w:w="2293" w:type="dxa"/>
            <w:vAlign w:val="center"/>
          </w:tcPr>
          <w:p w:rsidR="00B04AE3" w:rsidRDefault="00B04AE3">
            <w:pPr>
              <w:jc w:val="center"/>
              <w:rPr>
                <w:b/>
                <w:bCs/>
                <w:sz w:val="21"/>
              </w:rPr>
            </w:pPr>
            <w:r>
              <w:rPr>
                <w:rFonts w:hint="eastAsia"/>
                <w:b/>
                <w:bCs/>
                <w:sz w:val="21"/>
              </w:rPr>
              <w:t>部门</w:t>
            </w:r>
            <w:r>
              <w:rPr>
                <w:b/>
                <w:bCs/>
                <w:sz w:val="21"/>
              </w:rPr>
              <w:t>/</w:t>
            </w:r>
            <w:r>
              <w:rPr>
                <w:rFonts w:hint="eastAsia"/>
                <w:b/>
                <w:bCs/>
                <w:sz w:val="21"/>
              </w:rPr>
              <w:t>职务</w:t>
            </w:r>
          </w:p>
        </w:tc>
        <w:tc>
          <w:tcPr>
            <w:tcW w:w="1864" w:type="dxa"/>
            <w:vAlign w:val="center"/>
          </w:tcPr>
          <w:p w:rsidR="00B04AE3" w:rsidRDefault="00B04AE3">
            <w:pPr>
              <w:jc w:val="center"/>
              <w:rPr>
                <w:b/>
                <w:bCs/>
                <w:sz w:val="21"/>
              </w:rPr>
            </w:pPr>
            <w:r>
              <w:rPr>
                <w:rFonts w:hint="eastAsia"/>
                <w:b/>
                <w:bCs/>
                <w:sz w:val="21"/>
              </w:rPr>
              <w:t>联系电话号码</w:t>
            </w:r>
          </w:p>
        </w:tc>
      </w:tr>
      <w:tr w:rsidR="00B04AE3">
        <w:trPr>
          <w:trHeight w:val="412"/>
        </w:trPr>
        <w:tc>
          <w:tcPr>
            <w:tcW w:w="1918" w:type="dxa"/>
            <w:vAlign w:val="center"/>
          </w:tcPr>
          <w:p w:rsidR="00B04AE3" w:rsidRDefault="00B04AE3">
            <w:pPr>
              <w:jc w:val="center"/>
              <w:rPr>
                <w:sz w:val="21"/>
              </w:rPr>
            </w:pPr>
            <w:r>
              <w:rPr>
                <w:rFonts w:hint="eastAsia"/>
                <w:sz w:val="21"/>
              </w:rPr>
              <w:t>总指挥</w:t>
            </w:r>
          </w:p>
        </w:tc>
        <w:tc>
          <w:tcPr>
            <w:tcW w:w="1202" w:type="dxa"/>
            <w:vAlign w:val="center"/>
          </w:tcPr>
          <w:p w:rsidR="00B04AE3" w:rsidRDefault="00B04AE3">
            <w:pPr>
              <w:jc w:val="center"/>
              <w:rPr>
                <w:sz w:val="21"/>
              </w:rPr>
            </w:pPr>
            <w:r>
              <w:rPr>
                <w:rFonts w:hint="eastAsia"/>
                <w:sz w:val="21"/>
              </w:rPr>
              <w:t>金云峰</w:t>
            </w:r>
          </w:p>
        </w:tc>
        <w:tc>
          <w:tcPr>
            <w:tcW w:w="2293" w:type="dxa"/>
            <w:vAlign w:val="center"/>
          </w:tcPr>
          <w:p w:rsidR="00B04AE3" w:rsidRDefault="00B04AE3">
            <w:pPr>
              <w:jc w:val="center"/>
              <w:rPr>
                <w:sz w:val="21"/>
              </w:rPr>
            </w:pPr>
            <w:r>
              <w:rPr>
                <w:rFonts w:hint="eastAsia"/>
                <w:sz w:val="21"/>
              </w:rPr>
              <w:t>总经理</w:t>
            </w:r>
          </w:p>
        </w:tc>
        <w:tc>
          <w:tcPr>
            <w:tcW w:w="1864" w:type="dxa"/>
            <w:vAlign w:val="center"/>
          </w:tcPr>
          <w:p w:rsidR="00B04AE3" w:rsidRDefault="00B04AE3">
            <w:pPr>
              <w:jc w:val="center"/>
              <w:rPr>
                <w:sz w:val="21"/>
              </w:rPr>
            </w:pPr>
            <w:r>
              <w:rPr>
                <w:sz w:val="21"/>
              </w:rPr>
              <w:t>15797906676</w:t>
            </w:r>
          </w:p>
        </w:tc>
      </w:tr>
      <w:tr w:rsidR="00B04AE3">
        <w:trPr>
          <w:trHeight w:val="424"/>
        </w:trPr>
        <w:tc>
          <w:tcPr>
            <w:tcW w:w="1918" w:type="dxa"/>
            <w:vAlign w:val="center"/>
          </w:tcPr>
          <w:p w:rsidR="00B04AE3" w:rsidRDefault="00B04AE3">
            <w:pPr>
              <w:jc w:val="center"/>
              <w:rPr>
                <w:sz w:val="21"/>
              </w:rPr>
            </w:pPr>
            <w:r>
              <w:rPr>
                <w:rFonts w:hint="eastAsia"/>
                <w:sz w:val="21"/>
              </w:rPr>
              <w:t>副总指挥</w:t>
            </w:r>
          </w:p>
        </w:tc>
        <w:tc>
          <w:tcPr>
            <w:tcW w:w="1202" w:type="dxa"/>
            <w:vAlign w:val="center"/>
          </w:tcPr>
          <w:p w:rsidR="00B04AE3" w:rsidRDefault="00B04AE3">
            <w:pPr>
              <w:jc w:val="center"/>
              <w:rPr>
                <w:sz w:val="21"/>
              </w:rPr>
            </w:pPr>
            <w:r>
              <w:rPr>
                <w:rFonts w:hint="eastAsia"/>
                <w:sz w:val="21"/>
              </w:rPr>
              <w:t>鲍伟</w:t>
            </w:r>
          </w:p>
        </w:tc>
        <w:tc>
          <w:tcPr>
            <w:tcW w:w="2293" w:type="dxa"/>
            <w:vAlign w:val="center"/>
          </w:tcPr>
          <w:p w:rsidR="00B04AE3" w:rsidRDefault="00B04AE3">
            <w:pPr>
              <w:jc w:val="center"/>
              <w:rPr>
                <w:sz w:val="21"/>
              </w:rPr>
            </w:pPr>
            <w:r>
              <w:rPr>
                <w:rFonts w:hint="eastAsia"/>
                <w:sz w:val="21"/>
              </w:rPr>
              <w:t>副总经理</w:t>
            </w:r>
          </w:p>
        </w:tc>
        <w:tc>
          <w:tcPr>
            <w:tcW w:w="1864" w:type="dxa"/>
            <w:vAlign w:val="center"/>
          </w:tcPr>
          <w:p w:rsidR="00B04AE3" w:rsidRDefault="00B04AE3">
            <w:pPr>
              <w:jc w:val="center"/>
              <w:rPr>
                <w:sz w:val="21"/>
              </w:rPr>
            </w:pPr>
            <w:r>
              <w:rPr>
                <w:sz w:val="21"/>
              </w:rPr>
              <w:t>13707093687</w:t>
            </w:r>
          </w:p>
        </w:tc>
      </w:tr>
      <w:tr w:rsidR="00B04AE3">
        <w:trPr>
          <w:trHeight w:val="424"/>
        </w:trPr>
        <w:tc>
          <w:tcPr>
            <w:tcW w:w="1918" w:type="dxa"/>
            <w:vAlign w:val="center"/>
          </w:tcPr>
          <w:p w:rsidR="00B04AE3" w:rsidRDefault="00B04AE3">
            <w:pPr>
              <w:jc w:val="center"/>
              <w:rPr>
                <w:sz w:val="21"/>
              </w:rPr>
            </w:pPr>
            <w:r>
              <w:rPr>
                <w:rFonts w:hint="eastAsia"/>
                <w:sz w:val="21"/>
              </w:rPr>
              <w:t>副总指挥</w:t>
            </w:r>
          </w:p>
        </w:tc>
        <w:tc>
          <w:tcPr>
            <w:tcW w:w="1202" w:type="dxa"/>
            <w:vAlign w:val="center"/>
          </w:tcPr>
          <w:p w:rsidR="00B04AE3" w:rsidRDefault="00B04AE3">
            <w:pPr>
              <w:jc w:val="center"/>
              <w:rPr>
                <w:sz w:val="21"/>
              </w:rPr>
            </w:pPr>
            <w:r>
              <w:rPr>
                <w:rFonts w:hint="eastAsia"/>
                <w:sz w:val="21"/>
              </w:rPr>
              <w:t>谢子伟</w:t>
            </w:r>
          </w:p>
        </w:tc>
        <w:tc>
          <w:tcPr>
            <w:tcW w:w="2293" w:type="dxa"/>
            <w:vAlign w:val="center"/>
          </w:tcPr>
          <w:p w:rsidR="00B04AE3" w:rsidRDefault="00B04AE3">
            <w:pPr>
              <w:jc w:val="center"/>
              <w:rPr>
                <w:sz w:val="21"/>
              </w:rPr>
            </w:pPr>
            <w:r>
              <w:rPr>
                <w:rFonts w:hint="eastAsia"/>
                <w:sz w:val="21"/>
              </w:rPr>
              <w:t>人事行政部经理</w:t>
            </w:r>
          </w:p>
        </w:tc>
        <w:tc>
          <w:tcPr>
            <w:tcW w:w="1864" w:type="dxa"/>
            <w:vAlign w:val="center"/>
          </w:tcPr>
          <w:p w:rsidR="00B04AE3" w:rsidRDefault="00B04AE3">
            <w:pPr>
              <w:jc w:val="center"/>
              <w:rPr>
                <w:sz w:val="21"/>
              </w:rPr>
            </w:pPr>
            <w:r>
              <w:rPr>
                <w:sz w:val="21"/>
              </w:rPr>
              <w:t>13870073675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廖欣</w:t>
            </w:r>
          </w:p>
        </w:tc>
        <w:tc>
          <w:tcPr>
            <w:tcW w:w="2293" w:type="dxa"/>
            <w:vAlign w:val="center"/>
          </w:tcPr>
          <w:p w:rsidR="00B04AE3" w:rsidRDefault="00B04AE3">
            <w:pPr>
              <w:jc w:val="center"/>
              <w:rPr>
                <w:sz w:val="21"/>
              </w:rPr>
            </w:pPr>
            <w:r>
              <w:rPr>
                <w:rFonts w:hint="eastAsia"/>
                <w:sz w:val="21"/>
              </w:rPr>
              <w:t>生产技术部经理</w:t>
            </w:r>
          </w:p>
        </w:tc>
        <w:tc>
          <w:tcPr>
            <w:tcW w:w="1864" w:type="dxa"/>
            <w:vAlign w:val="center"/>
          </w:tcPr>
          <w:p w:rsidR="00B04AE3" w:rsidRDefault="00B04AE3">
            <w:pPr>
              <w:jc w:val="center"/>
              <w:rPr>
                <w:sz w:val="21"/>
              </w:rPr>
            </w:pPr>
            <w:r>
              <w:rPr>
                <w:sz w:val="21"/>
              </w:rPr>
              <w:t>13879166894</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隋焱</w:t>
            </w:r>
          </w:p>
        </w:tc>
        <w:tc>
          <w:tcPr>
            <w:tcW w:w="2293" w:type="dxa"/>
            <w:vAlign w:val="center"/>
          </w:tcPr>
          <w:p w:rsidR="00B04AE3" w:rsidRDefault="00B04AE3">
            <w:pPr>
              <w:jc w:val="center"/>
              <w:rPr>
                <w:sz w:val="21"/>
              </w:rPr>
            </w:pPr>
            <w:r>
              <w:rPr>
                <w:rFonts w:hint="eastAsia"/>
                <w:sz w:val="21"/>
              </w:rPr>
              <w:t>财务部经理</w:t>
            </w:r>
          </w:p>
        </w:tc>
        <w:tc>
          <w:tcPr>
            <w:tcW w:w="1864" w:type="dxa"/>
            <w:vAlign w:val="center"/>
          </w:tcPr>
          <w:p w:rsidR="00B04AE3" w:rsidRDefault="00B04AE3">
            <w:pPr>
              <w:jc w:val="center"/>
              <w:rPr>
                <w:sz w:val="21"/>
              </w:rPr>
            </w:pPr>
            <w:r>
              <w:rPr>
                <w:sz w:val="21"/>
              </w:rPr>
              <w:t>15879153615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闵瑞</w:t>
            </w:r>
          </w:p>
        </w:tc>
        <w:tc>
          <w:tcPr>
            <w:tcW w:w="2293" w:type="dxa"/>
            <w:vAlign w:val="center"/>
          </w:tcPr>
          <w:p w:rsidR="00B04AE3" w:rsidRDefault="00B04AE3">
            <w:pPr>
              <w:jc w:val="center"/>
              <w:rPr>
                <w:sz w:val="21"/>
              </w:rPr>
            </w:pPr>
            <w:r>
              <w:rPr>
                <w:rFonts w:hint="eastAsia"/>
                <w:sz w:val="21"/>
              </w:rPr>
              <w:t>品质保证部经理</w:t>
            </w:r>
          </w:p>
        </w:tc>
        <w:tc>
          <w:tcPr>
            <w:tcW w:w="1864" w:type="dxa"/>
            <w:vAlign w:val="center"/>
          </w:tcPr>
          <w:p w:rsidR="00B04AE3" w:rsidRDefault="00B04AE3">
            <w:pPr>
              <w:jc w:val="center"/>
              <w:rPr>
                <w:sz w:val="21"/>
              </w:rPr>
            </w:pPr>
            <w:r>
              <w:rPr>
                <w:sz w:val="21"/>
              </w:rPr>
              <w:t>13870839645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周易</w:t>
            </w:r>
          </w:p>
        </w:tc>
        <w:tc>
          <w:tcPr>
            <w:tcW w:w="2293" w:type="dxa"/>
            <w:vAlign w:val="center"/>
          </w:tcPr>
          <w:p w:rsidR="00B04AE3" w:rsidRDefault="00B04AE3">
            <w:pPr>
              <w:jc w:val="center"/>
              <w:rPr>
                <w:sz w:val="21"/>
              </w:rPr>
            </w:pPr>
            <w:r>
              <w:rPr>
                <w:rFonts w:hint="eastAsia"/>
                <w:sz w:val="21"/>
              </w:rPr>
              <w:t>技术研发中心经理</w:t>
            </w:r>
          </w:p>
        </w:tc>
        <w:tc>
          <w:tcPr>
            <w:tcW w:w="1864" w:type="dxa"/>
            <w:vAlign w:val="center"/>
          </w:tcPr>
          <w:p w:rsidR="00B04AE3" w:rsidRDefault="00B04AE3">
            <w:pPr>
              <w:jc w:val="center"/>
              <w:rPr>
                <w:sz w:val="21"/>
              </w:rPr>
            </w:pPr>
            <w:r>
              <w:rPr>
                <w:sz w:val="21"/>
              </w:rPr>
              <w:t>13901813913</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王立剑</w:t>
            </w:r>
          </w:p>
        </w:tc>
        <w:tc>
          <w:tcPr>
            <w:tcW w:w="2293" w:type="dxa"/>
            <w:vAlign w:val="center"/>
          </w:tcPr>
          <w:p w:rsidR="00B04AE3" w:rsidRDefault="00B04AE3">
            <w:pPr>
              <w:jc w:val="center"/>
              <w:rPr>
                <w:sz w:val="21"/>
              </w:rPr>
            </w:pPr>
            <w:r>
              <w:rPr>
                <w:rFonts w:hint="eastAsia"/>
                <w:sz w:val="21"/>
              </w:rPr>
              <w:t>计划部经理</w:t>
            </w:r>
          </w:p>
        </w:tc>
        <w:tc>
          <w:tcPr>
            <w:tcW w:w="1864" w:type="dxa"/>
            <w:vAlign w:val="center"/>
          </w:tcPr>
          <w:p w:rsidR="00B04AE3" w:rsidRDefault="00B04AE3">
            <w:pPr>
              <w:jc w:val="center"/>
              <w:rPr>
                <w:sz w:val="21"/>
              </w:rPr>
            </w:pPr>
            <w:r>
              <w:rPr>
                <w:sz w:val="21"/>
              </w:rPr>
              <w:t>13767018223</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刘伟军</w:t>
            </w:r>
          </w:p>
        </w:tc>
        <w:tc>
          <w:tcPr>
            <w:tcW w:w="2293" w:type="dxa"/>
            <w:vAlign w:val="center"/>
          </w:tcPr>
          <w:p w:rsidR="00B04AE3" w:rsidRDefault="00B04AE3">
            <w:pPr>
              <w:jc w:val="center"/>
              <w:rPr>
                <w:sz w:val="21"/>
              </w:rPr>
            </w:pPr>
            <w:r>
              <w:rPr>
                <w:rFonts w:hint="eastAsia"/>
                <w:sz w:val="21"/>
              </w:rPr>
              <w:t>压缩机装配部经理</w:t>
            </w:r>
          </w:p>
        </w:tc>
        <w:tc>
          <w:tcPr>
            <w:tcW w:w="1864" w:type="dxa"/>
            <w:vAlign w:val="center"/>
          </w:tcPr>
          <w:p w:rsidR="00B04AE3" w:rsidRDefault="00B04AE3">
            <w:pPr>
              <w:jc w:val="center"/>
              <w:rPr>
                <w:sz w:val="21"/>
              </w:rPr>
            </w:pPr>
            <w:r>
              <w:rPr>
                <w:sz w:val="21"/>
              </w:rPr>
              <w:t>15070956958</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张勇</w:t>
            </w:r>
          </w:p>
        </w:tc>
        <w:tc>
          <w:tcPr>
            <w:tcW w:w="2293" w:type="dxa"/>
            <w:vAlign w:val="center"/>
          </w:tcPr>
          <w:p w:rsidR="00B04AE3" w:rsidRDefault="00B04AE3">
            <w:pPr>
              <w:jc w:val="center"/>
              <w:rPr>
                <w:sz w:val="21"/>
              </w:rPr>
            </w:pPr>
            <w:r>
              <w:rPr>
                <w:rFonts w:hint="eastAsia"/>
                <w:sz w:val="21"/>
              </w:rPr>
              <w:t>部品生产部经理</w:t>
            </w:r>
          </w:p>
        </w:tc>
        <w:tc>
          <w:tcPr>
            <w:tcW w:w="1864" w:type="dxa"/>
            <w:vAlign w:val="center"/>
          </w:tcPr>
          <w:p w:rsidR="00B04AE3" w:rsidRDefault="00B04AE3">
            <w:pPr>
              <w:jc w:val="center"/>
              <w:rPr>
                <w:sz w:val="21"/>
              </w:rPr>
            </w:pPr>
            <w:r>
              <w:rPr>
                <w:sz w:val="21"/>
              </w:rPr>
              <w:t>13870962310</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王新</w:t>
            </w:r>
          </w:p>
        </w:tc>
        <w:tc>
          <w:tcPr>
            <w:tcW w:w="2293" w:type="dxa"/>
            <w:vAlign w:val="center"/>
          </w:tcPr>
          <w:p w:rsidR="00B04AE3" w:rsidRDefault="00B04AE3">
            <w:pPr>
              <w:jc w:val="center"/>
              <w:rPr>
                <w:sz w:val="21"/>
              </w:rPr>
            </w:pPr>
            <w:r>
              <w:rPr>
                <w:rFonts w:hint="eastAsia"/>
                <w:sz w:val="21"/>
              </w:rPr>
              <w:t>总经办经理</w:t>
            </w:r>
          </w:p>
        </w:tc>
        <w:tc>
          <w:tcPr>
            <w:tcW w:w="1864" w:type="dxa"/>
            <w:vAlign w:val="center"/>
          </w:tcPr>
          <w:p w:rsidR="00B04AE3" w:rsidRDefault="00B04AE3">
            <w:pPr>
              <w:jc w:val="center"/>
              <w:rPr>
                <w:sz w:val="21"/>
              </w:rPr>
            </w:pPr>
            <w:r>
              <w:rPr>
                <w:sz w:val="21"/>
              </w:rPr>
              <w:t>15170474865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谢子伟</w:t>
            </w:r>
          </w:p>
        </w:tc>
        <w:tc>
          <w:tcPr>
            <w:tcW w:w="2293" w:type="dxa"/>
            <w:vAlign w:val="center"/>
          </w:tcPr>
          <w:p w:rsidR="00B04AE3" w:rsidRDefault="00B04AE3">
            <w:pPr>
              <w:jc w:val="center"/>
              <w:rPr>
                <w:sz w:val="21"/>
              </w:rPr>
            </w:pPr>
            <w:r>
              <w:rPr>
                <w:rFonts w:hint="eastAsia"/>
                <w:sz w:val="21"/>
              </w:rPr>
              <w:t>行政安保科经理</w:t>
            </w:r>
          </w:p>
        </w:tc>
        <w:tc>
          <w:tcPr>
            <w:tcW w:w="1864" w:type="dxa"/>
            <w:vAlign w:val="center"/>
          </w:tcPr>
          <w:p w:rsidR="00B04AE3" w:rsidRDefault="00B04AE3">
            <w:pPr>
              <w:jc w:val="center"/>
              <w:rPr>
                <w:sz w:val="21"/>
              </w:rPr>
            </w:pPr>
            <w:r>
              <w:rPr>
                <w:sz w:val="21"/>
              </w:rPr>
              <w:t>13870073675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陈小灵</w:t>
            </w:r>
          </w:p>
        </w:tc>
        <w:tc>
          <w:tcPr>
            <w:tcW w:w="2293" w:type="dxa"/>
            <w:vAlign w:val="center"/>
          </w:tcPr>
          <w:p w:rsidR="00B04AE3" w:rsidRDefault="00B04AE3">
            <w:pPr>
              <w:jc w:val="center"/>
              <w:rPr>
                <w:sz w:val="21"/>
              </w:rPr>
            </w:pPr>
            <w:r>
              <w:rPr>
                <w:rFonts w:hint="eastAsia"/>
                <w:sz w:val="21"/>
              </w:rPr>
              <w:t>能源环境科经理</w:t>
            </w:r>
          </w:p>
        </w:tc>
        <w:tc>
          <w:tcPr>
            <w:tcW w:w="1864" w:type="dxa"/>
            <w:vAlign w:val="center"/>
          </w:tcPr>
          <w:p w:rsidR="00B04AE3" w:rsidRDefault="00B04AE3">
            <w:pPr>
              <w:jc w:val="center"/>
              <w:rPr>
                <w:sz w:val="21"/>
              </w:rPr>
            </w:pPr>
            <w:r>
              <w:rPr>
                <w:sz w:val="21"/>
              </w:rPr>
              <w:t>15970439835</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刘超</w:t>
            </w:r>
          </w:p>
        </w:tc>
        <w:tc>
          <w:tcPr>
            <w:tcW w:w="2293" w:type="dxa"/>
            <w:vAlign w:val="center"/>
          </w:tcPr>
          <w:p w:rsidR="00B04AE3" w:rsidRDefault="00B04AE3">
            <w:pPr>
              <w:jc w:val="center"/>
              <w:rPr>
                <w:sz w:val="21"/>
              </w:rPr>
            </w:pPr>
            <w:r>
              <w:rPr>
                <w:rFonts w:hint="eastAsia"/>
                <w:sz w:val="21"/>
              </w:rPr>
              <w:t>行政安保科助理</w:t>
            </w:r>
          </w:p>
        </w:tc>
        <w:tc>
          <w:tcPr>
            <w:tcW w:w="1864" w:type="dxa"/>
            <w:vAlign w:val="center"/>
          </w:tcPr>
          <w:p w:rsidR="00B04AE3" w:rsidRDefault="00B04AE3">
            <w:pPr>
              <w:jc w:val="center"/>
              <w:rPr>
                <w:sz w:val="21"/>
              </w:rPr>
            </w:pPr>
            <w:r>
              <w:rPr>
                <w:sz w:val="21"/>
              </w:rPr>
              <w:t>13767121060</w:t>
            </w:r>
          </w:p>
        </w:tc>
      </w:tr>
      <w:tr w:rsidR="00B04AE3">
        <w:trPr>
          <w:trHeight w:val="445"/>
        </w:trPr>
        <w:tc>
          <w:tcPr>
            <w:tcW w:w="1918" w:type="dxa"/>
            <w:vAlign w:val="center"/>
          </w:tcPr>
          <w:p w:rsidR="00B04AE3" w:rsidRDefault="00B04AE3">
            <w:pPr>
              <w:jc w:val="center"/>
              <w:rPr>
                <w:sz w:val="21"/>
              </w:rPr>
            </w:pPr>
            <w:r>
              <w:rPr>
                <w:rFonts w:hint="eastAsia"/>
                <w:sz w:val="21"/>
              </w:rPr>
              <w:t>成</w:t>
            </w:r>
            <w:r>
              <w:rPr>
                <w:sz w:val="21"/>
              </w:rPr>
              <w:t xml:space="preserve">   </w:t>
            </w:r>
            <w:r>
              <w:rPr>
                <w:rFonts w:hint="eastAsia"/>
                <w:sz w:val="21"/>
              </w:rPr>
              <w:t>员</w:t>
            </w:r>
          </w:p>
        </w:tc>
        <w:tc>
          <w:tcPr>
            <w:tcW w:w="1202" w:type="dxa"/>
            <w:vAlign w:val="center"/>
          </w:tcPr>
          <w:p w:rsidR="00B04AE3" w:rsidRDefault="00B04AE3">
            <w:pPr>
              <w:jc w:val="center"/>
              <w:rPr>
                <w:sz w:val="21"/>
              </w:rPr>
            </w:pPr>
            <w:r>
              <w:rPr>
                <w:rFonts w:hint="eastAsia"/>
                <w:sz w:val="21"/>
              </w:rPr>
              <w:t>程雅萍</w:t>
            </w:r>
          </w:p>
        </w:tc>
        <w:tc>
          <w:tcPr>
            <w:tcW w:w="2293" w:type="dxa"/>
            <w:vAlign w:val="center"/>
          </w:tcPr>
          <w:p w:rsidR="00B04AE3" w:rsidRDefault="00B04AE3">
            <w:pPr>
              <w:jc w:val="center"/>
              <w:rPr>
                <w:sz w:val="21"/>
              </w:rPr>
            </w:pPr>
            <w:r>
              <w:rPr>
                <w:rFonts w:hint="eastAsia"/>
                <w:sz w:val="21"/>
              </w:rPr>
              <w:t>资材科经理</w:t>
            </w:r>
          </w:p>
        </w:tc>
        <w:tc>
          <w:tcPr>
            <w:tcW w:w="1864" w:type="dxa"/>
            <w:vAlign w:val="center"/>
          </w:tcPr>
          <w:p w:rsidR="00B04AE3" w:rsidRDefault="00B04AE3">
            <w:pPr>
              <w:jc w:val="center"/>
              <w:rPr>
                <w:sz w:val="21"/>
              </w:rPr>
            </w:pPr>
            <w:r>
              <w:rPr>
                <w:sz w:val="21"/>
              </w:rPr>
              <w:t>13507005981</w:t>
            </w:r>
          </w:p>
        </w:tc>
      </w:tr>
    </w:tbl>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p>
    <w:p w:rsidR="00B04AE3" w:rsidRDefault="00B04AE3">
      <w:pPr>
        <w:spacing w:before="42"/>
        <w:ind w:left="780"/>
        <w:rPr>
          <w:b/>
          <w:sz w:val="24"/>
        </w:rPr>
      </w:pPr>
      <w:r>
        <w:rPr>
          <w:rFonts w:hint="eastAsia"/>
          <w:b/>
          <w:sz w:val="24"/>
        </w:rPr>
        <w:t>（一）日常职责：</w:t>
      </w:r>
    </w:p>
    <w:p w:rsidR="00B04AE3" w:rsidRDefault="00B04AE3">
      <w:pPr>
        <w:pStyle w:val="BodyText"/>
        <w:spacing w:line="364" w:lineRule="auto"/>
        <w:ind w:left="780" w:right="1355" w:firstLine="480"/>
        <w:jc w:val="both"/>
        <w:rPr>
          <w:spacing w:val="-6"/>
        </w:rPr>
      </w:pPr>
      <w:r>
        <w:rPr>
          <w:rFonts w:hint="eastAsia"/>
          <w:spacing w:val="-6"/>
        </w:rPr>
        <w:t>⑴应急救援小组</w:t>
      </w:r>
    </w:p>
    <w:p w:rsidR="00B04AE3" w:rsidRDefault="00B04AE3">
      <w:pPr>
        <w:pStyle w:val="BodyText"/>
        <w:spacing w:line="364" w:lineRule="auto"/>
        <w:ind w:left="780" w:right="1355" w:firstLine="480"/>
        <w:jc w:val="both"/>
        <w:rPr>
          <w:spacing w:val="-6"/>
        </w:rPr>
      </w:pPr>
      <w:r>
        <w:rPr>
          <w:rFonts w:hint="eastAsia"/>
          <w:spacing w:val="-6"/>
        </w:rPr>
        <w:t>组织协调有关部门完善修订各类应急预案并监督实施；负责组织突发环境事件应急指挥平台和应急体系建设；组织协调应急救援队伍建设及物资储备工作；组织协调突发环境事件的应急处置和应急法规、防灾减灾知识的培训教育工作；负责组织公司内部的突发环境事件应急演练。</w:t>
      </w:r>
    </w:p>
    <w:p w:rsidR="00B04AE3" w:rsidRDefault="00B04AE3">
      <w:pPr>
        <w:pStyle w:val="BodyText"/>
        <w:spacing w:line="364" w:lineRule="auto"/>
        <w:ind w:left="780" w:right="1355" w:firstLine="480"/>
        <w:jc w:val="both"/>
        <w:rPr>
          <w:spacing w:val="-6"/>
        </w:rPr>
      </w:pPr>
      <w:r>
        <w:rPr>
          <w:rFonts w:hint="eastAsia"/>
          <w:spacing w:val="-6"/>
        </w:rPr>
        <w:t>⑵应急指挥部</w:t>
      </w:r>
    </w:p>
    <w:p w:rsidR="00B04AE3" w:rsidRDefault="00B04AE3">
      <w:pPr>
        <w:pStyle w:val="BodyText"/>
        <w:spacing w:line="364" w:lineRule="auto"/>
        <w:ind w:left="780" w:right="1355" w:firstLine="480"/>
        <w:jc w:val="both"/>
        <w:rPr>
          <w:spacing w:val="-6"/>
        </w:rPr>
      </w:pPr>
      <w:r>
        <w:rPr>
          <w:rFonts w:hint="eastAsia"/>
          <w:spacing w:val="-6"/>
        </w:rPr>
        <w:t>负责贯彻执行国家、当地政府、上级有关部门关于环境安全的方针、政策及规定；负责组织公司应急预案的制订、修改、发放、收回；负责人员、资源的调动分配；组建应急救援队伍，并组织实施培训、演练和各项准备工作；检查、督促做好事故的预防措施和应急救援的各项准备工作；负责组织预案的审批与更新（企业应急指挥中心负责审定企业内部各级应急预案）。</w:t>
      </w:r>
    </w:p>
    <w:p w:rsidR="00B04AE3" w:rsidRDefault="00B04AE3">
      <w:pPr>
        <w:pStyle w:val="BodyText"/>
        <w:spacing w:line="364" w:lineRule="auto"/>
        <w:ind w:left="780" w:right="1355" w:firstLine="480"/>
        <w:jc w:val="both"/>
        <w:rPr>
          <w:spacing w:val="-6"/>
        </w:rPr>
      </w:pPr>
      <w:r>
        <w:rPr>
          <w:rFonts w:hint="eastAsia"/>
          <w:spacing w:val="-6"/>
        </w:rPr>
        <w:t>⑶抢险救援组</w:t>
      </w:r>
    </w:p>
    <w:p w:rsidR="00B04AE3" w:rsidRDefault="00B04AE3">
      <w:pPr>
        <w:pStyle w:val="BodyText"/>
        <w:spacing w:line="364" w:lineRule="auto"/>
        <w:ind w:left="780" w:right="1355" w:firstLine="480"/>
        <w:jc w:val="both"/>
        <w:rPr>
          <w:spacing w:val="-6"/>
        </w:rPr>
      </w:pPr>
      <w:r>
        <w:rPr>
          <w:rFonts w:hint="eastAsia"/>
          <w:spacing w:val="-6"/>
        </w:rPr>
        <w:t>配合应急办公室协调生产车间主要人员假定不同类型事件的具体处理措施，并进行预案演练；负责应急器械的日常维护保养。</w:t>
      </w:r>
    </w:p>
    <w:p w:rsidR="00B04AE3" w:rsidRDefault="00B04AE3">
      <w:pPr>
        <w:pStyle w:val="BodyText"/>
        <w:spacing w:line="364" w:lineRule="auto"/>
        <w:ind w:left="780" w:right="1355" w:firstLine="480"/>
        <w:jc w:val="both"/>
        <w:rPr>
          <w:spacing w:val="-6"/>
        </w:rPr>
      </w:pPr>
      <w:r>
        <w:rPr>
          <w:rFonts w:hint="eastAsia"/>
          <w:spacing w:val="-6"/>
        </w:rPr>
        <w:t>⑷通讯联络组</w:t>
      </w:r>
    </w:p>
    <w:p w:rsidR="00B04AE3" w:rsidRDefault="00B04AE3">
      <w:pPr>
        <w:pStyle w:val="BodyText"/>
        <w:spacing w:line="364" w:lineRule="auto"/>
        <w:ind w:left="780" w:right="1355" w:firstLine="480"/>
        <w:jc w:val="both"/>
        <w:rPr>
          <w:spacing w:val="-6"/>
        </w:rPr>
      </w:pPr>
      <w:r>
        <w:rPr>
          <w:rFonts w:hint="eastAsia"/>
          <w:spacing w:val="-6"/>
        </w:rPr>
        <w:t>负责更新各相关单位的联系方式以及相关应急预案的相关档案的整理归置工作；参加公司的的应急演练。</w:t>
      </w:r>
    </w:p>
    <w:p w:rsidR="00B04AE3" w:rsidRDefault="00B04AE3">
      <w:pPr>
        <w:pStyle w:val="BodyText"/>
        <w:spacing w:line="364" w:lineRule="auto"/>
        <w:ind w:left="780" w:right="1355" w:firstLine="480"/>
        <w:jc w:val="both"/>
        <w:rPr>
          <w:spacing w:val="-6"/>
        </w:rPr>
      </w:pPr>
      <w:r>
        <w:rPr>
          <w:rFonts w:hint="eastAsia"/>
          <w:spacing w:val="-6"/>
        </w:rPr>
        <w:t>⑸警戒保卫组</w:t>
      </w:r>
    </w:p>
    <w:p w:rsidR="00B04AE3" w:rsidRDefault="00B04AE3">
      <w:pPr>
        <w:pStyle w:val="BodyText"/>
        <w:spacing w:line="364" w:lineRule="auto"/>
        <w:ind w:left="780" w:right="1355" w:firstLine="480"/>
        <w:jc w:val="both"/>
        <w:rPr>
          <w:spacing w:val="-6"/>
        </w:rPr>
      </w:pPr>
      <w:r>
        <w:rPr>
          <w:rFonts w:hint="eastAsia"/>
          <w:spacing w:val="-6"/>
        </w:rPr>
        <w:t>检查应急疏散通道的通畅性，参加公司组织的应急演练。</w:t>
      </w:r>
    </w:p>
    <w:p w:rsidR="00B04AE3" w:rsidRDefault="00B04AE3">
      <w:pPr>
        <w:pStyle w:val="BodyText"/>
        <w:spacing w:line="364" w:lineRule="auto"/>
        <w:ind w:left="780" w:right="1355" w:firstLine="480"/>
        <w:jc w:val="both"/>
        <w:rPr>
          <w:spacing w:val="-6"/>
        </w:rPr>
      </w:pPr>
      <w:r>
        <w:rPr>
          <w:rFonts w:hint="eastAsia"/>
          <w:spacing w:val="-6"/>
        </w:rPr>
        <w:t>⑹后勤保障组</w:t>
      </w:r>
    </w:p>
    <w:p w:rsidR="00B04AE3" w:rsidRDefault="00B04AE3">
      <w:pPr>
        <w:pStyle w:val="BodyText"/>
        <w:spacing w:line="364" w:lineRule="auto"/>
        <w:ind w:left="780" w:right="1355" w:firstLine="480"/>
        <w:jc w:val="both"/>
        <w:rPr>
          <w:spacing w:val="-6"/>
        </w:rPr>
      </w:pPr>
      <w:r>
        <w:rPr>
          <w:rFonts w:hint="eastAsia"/>
          <w:spacing w:val="-6"/>
        </w:rPr>
        <w:t>为企业日常应急提供物资保障。</w:t>
      </w:r>
    </w:p>
    <w:p w:rsidR="00B04AE3" w:rsidRDefault="00B04AE3">
      <w:pPr>
        <w:spacing w:before="160"/>
        <w:ind w:left="1260"/>
        <w:rPr>
          <w:b/>
          <w:sz w:val="24"/>
        </w:rPr>
      </w:pPr>
      <w:r>
        <w:rPr>
          <w:rFonts w:hint="eastAsia"/>
          <w:b/>
          <w:sz w:val="24"/>
        </w:rPr>
        <w:t>（二）突发环境事件发生后，各应急救援小组主要应急职责：</w:t>
      </w:r>
    </w:p>
    <w:p w:rsidR="00B04AE3" w:rsidRDefault="00B04AE3">
      <w:pPr>
        <w:pStyle w:val="BodyText"/>
        <w:spacing w:line="364" w:lineRule="auto"/>
        <w:ind w:left="780" w:right="1355" w:firstLine="480"/>
        <w:jc w:val="both"/>
        <w:rPr>
          <w:spacing w:val="-6"/>
        </w:rPr>
      </w:pPr>
      <w:r>
        <w:rPr>
          <w:rFonts w:hint="eastAsia"/>
          <w:spacing w:val="-6"/>
        </w:rPr>
        <w:t>⑴应急指挥部</w:t>
      </w:r>
    </w:p>
    <w:p w:rsidR="00B04AE3" w:rsidRDefault="00B04AE3">
      <w:pPr>
        <w:pStyle w:val="BodyText"/>
        <w:spacing w:line="364" w:lineRule="auto"/>
        <w:ind w:left="780" w:right="1355" w:firstLine="480"/>
        <w:jc w:val="both"/>
        <w:rPr>
          <w:spacing w:val="-6"/>
        </w:rPr>
      </w:pPr>
      <w:r>
        <w:rPr>
          <w:rFonts w:hint="eastAsia"/>
          <w:spacing w:val="-6"/>
        </w:rPr>
        <w:t>评估发生的危险品化学事故类别、危害程度级别，根据“预案”和具体情况提出具体可行的救援方案负责接受政府的指令、调动和突发环境事件信息的上报工作；</w:t>
      </w:r>
    </w:p>
    <w:p w:rsidR="00B04AE3" w:rsidRDefault="00B04AE3">
      <w:pPr>
        <w:pStyle w:val="BodyText"/>
        <w:spacing w:line="364" w:lineRule="auto"/>
        <w:ind w:left="780" w:right="1355" w:firstLine="480"/>
        <w:jc w:val="both"/>
        <w:rPr>
          <w:spacing w:val="-6"/>
        </w:rPr>
      </w:pPr>
      <w:r>
        <w:rPr>
          <w:rFonts w:hint="eastAsia"/>
          <w:spacing w:val="-6"/>
        </w:rPr>
        <w:t>总指挥负责指挥、协调公司突发环境事故的应急救援工作；</w:t>
      </w:r>
    </w:p>
    <w:p w:rsidR="00B04AE3" w:rsidRDefault="00B04AE3">
      <w:pPr>
        <w:pStyle w:val="BodyText"/>
        <w:spacing w:line="364" w:lineRule="auto"/>
        <w:ind w:left="780" w:right="1355" w:firstLine="480"/>
        <w:jc w:val="both"/>
        <w:rPr>
          <w:spacing w:val="-6"/>
        </w:rPr>
      </w:pPr>
      <w:r>
        <w:rPr>
          <w:rFonts w:hint="eastAsia"/>
          <w:spacing w:val="-6"/>
        </w:rPr>
        <w:t>副总指挥协助总指挥负责应急救援具体工作，向总指挥提出救援过程中生产运行方面应考虑和采取的安全与技术措施，负责总指挥不在时的职责；</w:t>
      </w:r>
      <w:r>
        <w:rPr>
          <w:spacing w:val="-6"/>
        </w:rPr>
        <w:t xml:space="preserve"> </w:t>
      </w:r>
      <w:r>
        <w:rPr>
          <w:rFonts w:hint="eastAsia"/>
          <w:spacing w:val="-6"/>
        </w:rPr>
        <w:t>批准本预案的启动与终止；负责保护事故现场及相关数据。</w:t>
      </w:r>
    </w:p>
    <w:p w:rsidR="00B04AE3" w:rsidRDefault="00B04AE3">
      <w:pPr>
        <w:pStyle w:val="BodyText"/>
        <w:spacing w:line="364" w:lineRule="auto"/>
        <w:ind w:left="780" w:right="1355" w:firstLine="480"/>
        <w:jc w:val="both"/>
        <w:rPr>
          <w:spacing w:val="-6"/>
        </w:rPr>
      </w:pPr>
      <w:r>
        <w:rPr>
          <w:rFonts w:hint="eastAsia"/>
          <w:spacing w:val="-6"/>
        </w:rPr>
        <w:t>⑵应急办公室</w:t>
      </w:r>
    </w:p>
    <w:p w:rsidR="00B04AE3" w:rsidRDefault="00B04AE3">
      <w:pPr>
        <w:pStyle w:val="BodyText"/>
        <w:spacing w:line="364" w:lineRule="auto"/>
        <w:ind w:left="780" w:right="1355" w:firstLine="480"/>
        <w:jc w:val="both"/>
        <w:rPr>
          <w:spacing w:val="-6"/>
        </w:rPr>
      </w:pPr>
      <w:r>
        <w:rPr>
          <w:rFonts w:hint="eastAsia"/>
          <w:spacing w:val="-6"/>
        </w:rPr>
        <w:t>接受环境事件的报警信息，根据报警信息，初步判断环境事件的类型和预警级别，并向应急指挥部报告；</w:t>
      </w:r>
    </w:p>
    <w:p w:rsidR="00B04AE3" w:rsidRDefault="00B04AE3">
      <w:pPr>
        <w:pStyle w:val="BodyText"/>
        <w:spacing w:line="364" w:lineRule="auto"/>
        <w:ind w:left="780" w:right="1355" w:firstLine="480"/>
        <w:jc w:val="both"/>
        <w:rPr>
          <w:spacing w:val="-6"/>
        </w:rPr>
      </w:pPr>
      <w:r>
        <w:rPr>
          <w:rFonts w:hint="eastAsia"/>
          <w:spacing w:val="-6"/>
        </w:rPr>
        <w:t>负责公司各级突发环境事件的应急救援工作；</w:t>
      </w:r>
    </w:p>
    <w:p w:rsidR="00B04AE3" w:rsidRDefault="00B04AE3">
      <w:pPr>
        <w:pStyle w:val="BodyText"/>
        <w:spacing w:line="364" w:lineRule="auto"/>
        <w:ind w:left="780" w:right="1355" w:firstLine="480"/>
        <w:jc w:val="both"/>
        <w:rPr>
          <w:spacing w:val="-6"/>
        </w:rPr>
      </w:pPr>
      <w:r>
        <w:rPr>
          <w:rFonts w:hint="eastAsia"/>
          <w:spacing w:val="-6"/>
        </w:rPr>
        <w:t>负责突发环境事件调查处理的信息传递、组织协调、督察督办和应急物资更换、补充等后续工作；</w:t>
      </w:r>
    </w:p>
    <w:p w:rsidR="00B04AE3" w:rsidRDefault="00B04AE3">
      <w:pPr>
        <w:pStyle w:val="BodyText"/>
        <w:spacing w:line="364" w:lineRule="auto"/>
        <w:ind w:left="780" w:right="1355" w:firstLine="480"/>
        <w:jc w:val="both"/>
        <w:rPr>
          <w:spacing w:val="-6"/>
        </w:rPr>
      </w:pPr>
      <w:r>
        <w:rPr>
          <w:rFonts w:hint="eastAsia"/>
          <w:spacing w:val="-6"/>
        </w:rPr>
        <w:t>负责突发环境事件的善后工作。</w:t>
      </w:r>
    </w:p>
    <w:p w:rsidR="00B04AE3" w:rsidRDefault="00B04AE3">
      <w:pPr>
        <w:pStyle w:val="BodyText"/>
        <w:spacing w:line="364" w:lineRule="auto"/>
        <w:ind w:left="780" w:right="1355" w:firstLine="480"/>
        <w:jc w:val="both"/>
        <w:rPr>
          <w:spacing w:val="-6"/>
        </w:rPr>
      </w:pPr>
      <w:r>
        <w:rPr>
          <w:rFonts w:hint="eastAsia"/>
          <w:spacing w:val="-6"/>
        </w:rPr>
        <w:t>⑶抢险救援组主要职责：</w:t>
      </w:r>
    </w:p>
    <w:p w:rsidR="00B04AE3" w:rsidRDefault="00B04AE3">
      <w:pPr>
        <w:pStyle w:val="BodyText"/>
        <w:spacing w:line="364" w:lineRule="auto"/>
        <w:ind w:left="780" w:right="1355" w:firstLine="480"/>
        <w:jc w:val="both"/>
        <w:rPr>
          <w:spacing w:val="-6"/>
        </w:rPr>
      </w:pPr>
      <w:r>
        <w:rPr>
          <w:rFonts w:hint="eastAsia"/>
          <w:spacing w:val="-6"/>
        </w:rPr>
        <w:t>①接到应急指挥部或应急办公室指令后，立即奔赴事故现场，了解掌握事件情况，并及时上报应急指挥部，听从统一调遣；</w:t>
      </w:r>
    </w:p>
    <w:p w:rsidR="00B04AE3" w:rsidRDefault="00B04AE3">
      <w:pPr>
        <w:pStyle w:val="BodyText"/>
        <w:spacing w:line="364" w:lineRule="auto"/>
        <w:ind w:left="780" w:right="1355" w:firstLine="480"/>
        <w:jc w:val="both"/>
        <w:rPr>
          <w:spacing w:val="-6"/>
        </w:rPr>
      </w:pPr>
      <w:r>
        <w:rPr>
          <w:rFonts w:hint="eastAsia"/>
          <w:spacing w:val="-6"/>
        </w:rPr>
        <w:t>②由组长向应急指挥部汇报参加抢救的人员数量和名单，并做好登记；维护现场秩序，控制事态发展，利用相应仪器物资，尽量将事故消除在初起状态；</w:t>
      </w:r>
    </w:p>
    <w:p w:rsidR="00B04AE3" w:rsidRDefault="00B04AE3">
      <w:pPr>
        <w:pStyle w:val="BodyText"/>
        <w:spacing w:line="364" w:lineRule="auto"/>
        <w:ind w:left="780" w:right="1355" w:firstLine="480"/>
        <w:jc w:val="both"/>
        <w:rPr>
          <w:spacing w:val="-6"/>
        </w:rPr>
      </w:pPr>
      <w:r>
        <w:rPr>
          <w:rFonts w:hint="eastAsia"/>
          <w:spacing w:val="-6"/>
        </w:rPr>
        <w:t>③抢险救援组成员利用消防设备、防护物资和堵漏设备，按照以人为本，先救人后救物的原则进行灭火和堵漏。抢救任务完成或不能完成时，本组组长都要及时向应急指挥部汇报任务执行情况以及抢救人员安全状况；</w:t>
      </w:r>
    </w:p>
    <w:p w:rsidR="00B04AE3" w:rsidRDefault="00B04AE3">
      <w:pPr>
        <w:pStyle w:val="BodyText"/>
        <w:spacing w:line="364" w:lineRule="auto"/>
        <w:ind w:left="780" w:right="1355" w:firstLine="480"/>
        <w:jc w:val="both"/>
        <w:rPr>
          <w:spacing w:val="-6"/>
        </w:rPr>
      </w:pPr>
      <w:r>
        <w:rPr>
          <w:rFonts w:hint="eastAsia"/>
          <w:spacing w:val="-6"/>
        </w:rPr>
        <w:t>④按指令做好水、电、气的断、供工作；</w:t>
      </w:r>
    </w:p>
    <w:p w:rsidR="00B04AE3" w:rsidRDefault="00B04AE3">
      <w:pPr>
        <w:pStyle w:val="BodyText"/>
        <w:spacing w:line="364" w:lineRule="auto"/>
        <w:ind w:left="780" w:right="1355" w:firstLine="480"/>
        <w:jc w:val="both"/>
        <w:rPr>
          <w:spacing w:val="-6"/>
        </w:rPr>
      </w:pPr>
      <w:r>
        <w:rPr>
          <w:rFonts w:hint="eastAsia"/>
          <w:spacing w:val="-6"/>
        </w:rPr>
        <w:t>⑤负责对受伤人员分类抢救、转运工作。配合南昌市消防队进行被困人员的救护，发生伤亡事故时抢救工作要争分夺秒，及时、果断、正确；</w:t>
      </w:r>
    </w:p>
    <w:p w:rsidR="00B04AE3" w:rsidRDefault="00B04AE3">
      <w:pPr>
        <w:pStyle w:val="BodyText"/>
        <w:spacing w:line="364" w:lineRule="auto"/>
        <w:ind w:left="780" w:right="1355" w:firstLine="480"/>
        <w:jc w:val="both"/>
        <w:rPr>
          <w:spacing w:val="-6"/>
        </w:rPr>
      </w:pPr>
      <w:r>
        <w:rPr>
          <w:rFonts w:hint="eastAsia"/>
          <w:spacing w:val="-6"/>
        </w:rPr>
        <w:t>⑥对救出的伤员进行简单有效的救治，伤口包扎、止血等，配合医院急救人员对重伤人员的抢救；</w:t>
      </w:r>
    </w:p>
    <w:p w:rsidR="00B04AE3" w:rsidRDefault="00B04AE3">
      <w:pPr>
        <w:pStyle w:val="BodyText"/>
        <w:spacing w:line="364" w:lineRule="auto"/>
        <w:ind w:left="780" w:right="1355" w:firstLine="480"/>
        <w:jc w:val="both"/>
        <w:rPr>
          <w:spacing w:val="-6"/>
        </w:rPr>
      </w:pPr>
      <w:r>
        <w:rPr>
          <w:rFonts w:hint="eastAsia"/>
          <w:spacing w:val="-6"/>
        </w:rPr>
        <w:t>⑦进入有毒气体区域进行救护时，必须听从应急指挥部的要求正确佩戴防护器具，两人协同进行；</w:t>
      </w:r>
    </w:p>
    <w:p w:rsidR="00B04AE3" w:rsidRDefault="00B04AE3">
      <w:pPr>
        <w:pStyle w:val="BodyText"/>
        <w:spacing w:line="364" w:lineRule="auto"/>
        <w:ind w:left="780" w:right="1355" w:firstLine="480"/>
        <w:jc w:val="both"/>
        <w:rPr>
          <w:spacing w:val="-6"/>
        </w:rPr>
      </w:pPr>
      <w:r>
        <w:rPr>
          <w:rFonts w:hint="eastAsia"/>
          <w:spacing w:val="-6"/>
        </w:rPr>
        <w:t>⑧根据污染事故的特征采取合适的方法清除和收集事故现场残留污染物，防止造成二次污染。</w:t>
      </w:r>
    </w:p>
    <w:p w:rsidR="00B04AE3" w:rsidRDefault="00B04AE3">
      <w:pPr>
        <w:pStyle w:val="BodyText"/>
        <w:spacing w:line="364" w:lineRule="auto"/>
        <w:ind w:left="780" w:right="1355" w:firstLine="480"/>
        <w:jc w:val="both"/>
        <w:rPr>
          <w:spacing w:val="-6"/>
        </w:rPr>
      </w:pPr>
      <w:r>
        <w:rPr>
          <w:rFonts w:hint="eastAsia"/>
          <w:spacing w:val="-6"/>
        </w:rPr>
        <w:t>⑨配合应急办公室协调生产车间主要人员假定不同类型事件的具体处理措施，并进行预案演练；</w:t>
      </w:r>
    </w:p>
    <w:p w:rsidR="00B04AE3" w:rsidRDefault="00B04AE3">
      <w:pPr>
        <w:pStyle w:val="BodyText"/>
        <w:spacing w:line="364" w:lineRule="auto"/>
        <w:ind w:left="780" w:right="1355" w:firstLine="480"/>
        <w:jc w:val="both"/>
        <w:rPr>
          <w:spacing w:val="-6"/>
        </w:rPr>
      </w:pPr>
      <w:r>
        <w:rPr>
          <w:rFonts w:hint="eastAsia"/>
          <w:spacing w:val="-6"/>
        </w:rPr>
        <w:t>⑩应急状态结束后，收集所用救援物资、装备并及时复原归位。</w:t>
      </w:r>
    </w:p>
    <w:p w:rsidR="00B04AE3" w:rsidRDefault="00B04AE3">
      <w:pPr>
        <w:pStyle w:val="BodyText"/>
        <w:spacing w:line="364" w:lineRule="auto"/>
        <w:ind w:left="780" w:right="1355" w:firstLine="480"/>
        <w:jc w:val="both"/>
        <w:rPr>
          <w:spacing w:val="-6"/>
        </w:rPr>
      </w:pPr>
      <w:r>
        <w:rPr>
          <w:rFonts w:hint="eastAsia"/>
          <w:spacing w:val="-6"/>
        </w:rPr>
        <w:t>⑷通讯联络组主要职责：</w:t>
      </w:r>
    </w:p>
    <w:p w:rsidR="00B04AE3" w:rsidRDefault="00B04AE3">
      <w:pPr>
        <w:pStyle w:val="BodyText"/>
        <w:spacing w:line="364" w:lineRule="auto"/>
        <w:ind w:left="780" w:right="1355" w:firstLine="480"/>
        <w:jc w:val="both"/>
        <w:rPr>
          <w:spacing w:val="-6"/>
        </w:rPr>
      </w:pPr>
      <w:r>
        <w:rPr>
          <w:rFonts w:hint="eastAsia"/>
          <w:spacing w:val="-6"/>
        </w:rPr>
        <w:t>①接到应急指挥部的指令后，与经济技术开发区环保局应急办、安监局、消防队、医院等单位联系，说明事故情况并认真回答各单位提出的问题；</w:t>
      </w:r>
    </w:p>
    <w:p w:rsidR="00B04AE3" w:rsidRDefault="00B04AE3">
      <w:pPr>
        <w:pStyle w:val="BodyText"/>
        <w:spacing w:line="364" w:lineRule="auto"/>
        <w:ind w:left="780" w:right="1355" w:firstLine="480"/>
        <w:jc w:val="both"/>
        <w:rPr>
          <w:spacing w:val="-6"/>
        </w:rPr>
      </w:pPr>
      <w:r>
        <w:rPr>
          <w:rFonts w:hint="eastAsia"/>
          <w:spacing w:val="-6"/>
        </w:rPr>
        <w:t>②负责事故报警、汇报、通报和外联工作；</w:t>
      </w:r>
    </w:p>
    <w:p w:rsidR="00B04AE3" w:rsidRDefault="00B04AE3">
      <w:pPr>
        <w:pStyle w:val="BodyText"/>
        <w:spacing w:line="364" w:lineRule="auto"/>
        <w:ind w:left="780" w:right="1355" w:firstLine="480"/>
        <w:jc w:val="both"/>
        <w:rPr>
          <w:spacing w:val="-6"/>
        </w:rPr>
      </w:pPr>
      <w:r>
        <w:rPr>
          <w:rFonts w:hint="eastAsia"/>
          <w:spacing w:val="-6"/>
        </w:rPr>
        <w:t>③派人到主要路口接应消防车队、急救车辆和厂外救援队伍。</w:t>
      </w:r>
    </w:p>
    <w:p w:rsidR="00B04AE3" w:rsidRDefault="00B04AE3">
      <w:pPr>
        <w:pStyle w:val="BodyText"/>
        <w:spacing w:line="364" w:lineRule="auto"/>
        <w:ind w:left="780" w:right="1355" w:firstLine="480"/>
        <w:jc w:val="both"/>
        <w:rPr>
          <w:spacing w:val="-6"/>
        </w:rPr>
      </w:pPr>
      <w:r>
        <w:rPr>
          <w:rFonts w:hint="eastAsia"/>
          <w:spacing w:val="-6"/>
        </w:rPr>
        <w:t>⑸警戒保卫组主要职责：</w:t>
      </w:r>
    </w:p>
    <w:p w:rsidR="00B04AE3" w:rsidRDefault="00B04AE3">
      <w:pPr>
        <w:pStyle w:val="BodyText"/>
        <w:spacing w:line="364" w:lineRule="auto"/>
        <w:ind w:left="780" w:right="1355" w:firstLine="480"/>
        <w:jc w:val="both"/>
        <w:rPr>
          <w:spacing w:val="-6"/>
        </w:rPr>
      </w:pPr>
      <w:r>
        <w:rPr>
          <w:rFonts w:hint="eastAsia"/>
          <w:spacing w:val="-6"/>
        </w:rPr>
        <w:t>①落实并执行应急指挥部或应急办的指令，做好人员疏散、隔离和警戒，维护现场秩序；</w:t>
      </w:r>
    </w:p>
    <w:p w:rsidR="00B04AE3" w:rsidRDefault="00B04AE3">
      <w:pPr>
        <w:pStyle w:val="BodyText"/>
        <w:spacing w:line="364" w:lineRule="auto"/>
        <w:ind w:left="780" w:right="1355" w:firstLine="480"/>
        <w:jc w:val="both"/>
        <w:rPr>
          <w:spacing w:val="-6"/>
        </w:rPr>
      </w:pPr>
      <w:r>
        <w:rPr>
          <w:rFonts w:hint="eastAsia"/>
          <w:spacing w:val="-6"/>
        </w:rPr>
        <w:t>②人员疏散后，再次检查，确保所有人员安全撤离；</w:t>
      </w:r>
    </w:p>
    <w:p w:rsidR="00B04AE3" w:rsidRDefault="00B04AE3">
      <w:pPr>
        <w:pStyle w:val="BodyText"/>
        <w:spacing w:line="364" w:lineRule="auto"/>
        <w:ind w:left="780" w:right="1355" w:firstLine="480"/>
        <w:jc w:val="both"/>
        <w:rPr>
          <w:spacing w:val="-6"/>
        </w:rPr>
      </w:pPr>
      <w:r>
        <w:rPr>
          <w:rFonts w:hint="eastAsia"/>
          <w:spacing w:val="-6"/>
        </w:rPr>
        <w:t>③配合消防队、急救医护人员的工作，保证车辆畅通无阻。</w:t>
      </w:r>
    </w:p>
    <w:p w:rsidR="00B04AE3" w:rsidRDefault="00B04AE3">
      <w:pPr>
        <w:pStyle w:val="BodyText"/>
        <w:spacing w:line="364" w:lineRule="auto"/>
        <w:ind w:left="780" w:right="1355" w:firstLine="480"/>
        <w:jc w:val="both"/>
        <w:rPr>
          <w:spacing w:val="-6"/>
        </w:rPr>
      </w:pPr>
      <w:r>
        <w:rPr>
          <w:rFonts w:hint="eastAsia"/>
          <w:spacing w:val="-6"/>
        </w:rPr>
        <w:t>④当事故危急周边单位时，按照应急指挥部和经济技术开发区环保局应急办的指令，</w:t>
      </w:r>
      <w:r>
        <w:rPr>
          <w:spacing w:val="-6"/>
        </w:rPr>
        <w:t xml:space="preserve"> </w:t>
      </w:r>
      <w:r>
        <w:rPr>
          <w:rFonts w:hint="eastAsia"/>
          <w:spacing w:val="-6"/>
        </w:rPr>
        <w:t>向事故的上风向疏散受事故影响的居民和单位，确保所有人员安全撤离；</w:t>
      </w:r>
    </w:p>
    <w:p w:rsidR="00B04AE3" w:rsidRDefault="00B04AE3">
      <w:pPr>
        <w:pStyle w:val="BodyText"/>
        <w:spacing w:line="364" w:lineRule="auto"/>
        <w:ind w:left="780" w:right="1355" w:firstLine="480"/>
        <w:jc w:val="both"/>
        <w:rPr>
          <w:spacing w:val="-6"/>
        </w:rPr>
      </w:pPr>
      <w:r>
        <w:rPr>
          <w:rFonts w:hint="eastAsia"/>
          <w:spacing w:val="-6"/>
        </w:rPr>
        <w:t>⑤维护现场秩序做好隔离和警戒工作，为防止无关人员和好事者进入现场造成伤害，本组组长派人在相关路口阻拦车辆和行人；严密注意事故区风向变化，</w:t>
      </w:r>
      <w:r>
        <w:rPr>
          <w:spacing w:val="-6"/>
        </w:rPr>
        <w:t xml:space="preserve"> </w:t>
      </w:r>
      <w:r>
        <w:rPr>
          <w:rFonts w:hint="eastAsia"/>
          <w:spacing w:val="-6"/>
        </w:rPr>
        <w:t>重点是事故下风向环境敏感单位、社区，对事故区场外道路实施临时管制，令过路车辆绕道而行；</w:t>
      </w:r>
    </w:p>
    <w:p w:rsidR="00B04AE3" w:rsidRDefault="00B04AE3">
      <w:pPr>
        <w:pStyle w:val="BodyText"/>
        <w:spacing w:line="364" w:lineRule="auto"/>
        <w:ind w:left="780" w:right="1355" w:firstLine="480"/>
        <w:jc w:val="both"/>
        <w:rPr>
          <w:spacing w:val="-6"/>
        </w:rPr>
      </w:pPr>
      <w:r>
        <w:rPr>
          <w:rFonts w:hint="eastAsia"/>
          <w:spacing w:val="-6"/>
        </w:rPr>
        <w:t>⑥警戒区域内严禁火种，迅速控制泄漏扩散区域方向可能产生明火的地点。</w:t>
      </w:r>
    </w:p>
    <w:p w:rsidR="00B04AE3" w:rsidRDefault="00B04AE3">
      <w:pPr>
        <w:pStyle w:val="BodyText"/>
        <w:spacing w:line="364" w:lineRule="auto"/>
        <w:ind w:left="780" w:right="1355" w:firstLine="480"/>
        <w:jc w:val="both"/>
        <w:rPr>
          <w:spacing w:val="-6"/>
        </w:rPr>
      </w:pPr>
      <w:r>
        <w:rPr>
          <w:rFonts w:hint="eastAsia"/>
          <w:spacing w:val="-6"/>
        </w:rPr>
        <w:t>⑹环境监测组主要职责：</w:t>
      </w:r>
    </w:p>
    <w:p w:rsidR="00B04AE3" w:rsidRDefault="00B04AE3">
      <w:pPr>
        <w:pStyle w:val="BodyText"/>
        <w:spacing w:line="364" w:lineRule="auto"/>
        <w:ind w:left="780" w:right="1355" w:firstLine="480"/>
        <w:jc w:val="both"/>
        <w:rPr>
          <w:spacing w:val="-6"/>
        </w:rPr>
      </w:pPr>
      <w:r>
        <w:rPr>
          <w:rFonts w:hint="eastAsia"/>
          <w:spacing w:val="-6"/>
        </w:rPr>
        <w:t>①落实并执行应急指挥部或应急办的命令，及时准确报告受污染的水、气监测的数据，供应急指挥部做出正确的判断；</w:t>
      </w:r>
    </w:p>
    <w:p w:rsidR="00B04AE3" w:rsidRDefault="00B04AE3">
      <w:pPr>
        <w:pStyle w:val="BodyText"/>
        <w:spacing w:line="364" w:lineRule="auto"/>
        <w:ind w:left="780" w:right="1355" w:firstLine="480"/>
        <w:jc w:val="both"/>
        <w:rPr>
          <w:spacing w:val="-6"/>
        </w:rPr>
      </w:pPr>
      <w:r>
        <w:rPr>
          <w:rFonts w:hint="eastAsia"/>
          <w:spacing w:val="-6"/>
        </w:rPr>
        <w:t>②协助应急办制订各项突发环境事件的应急监测方案；</w:t>
      </w:r>
    </w:p>
    <w:p w:rsidR="00B04AE3" w:rsidRDefault="00B04AE3">
      <w:pPr>
        <w:pStyle w:val="BodyText"/>
        <w:spacing w:line="364" w:lineRule="auto"/>
        <w:ind w:left="780" w:right="1355" w:firstLine="480"/>
        <w:jc w:val="both"/>
        <w:rPr>
          <w:spacing w:val="-6"/>
        </w:rPr>
      </w:pPr>
      <w:r>
        <w:rPr>
          <w:rFonts w:hint="eastAsia"/>
          <w:spacing w:val="-6"/>
        </w:rPr>
        <w:t>③突发环境事件处理结束后，做好善后监测工作；</w:t>
      </w:r>
    </w:p>
    <w:p w:rsidR="00B04AE3" w:rsidRDefault="00B04AE3">
      <w:pPr>
        <w:pStyle w:val="BodyText"/>
        <w:spacing w:line="364" w:lineRule="auto"/>
        <w:ind w:left="780" w:right="1355" w:firstLine="480"/>
        <w:jc w:val="both"/>
        <w:rPr>
          <w:spacing w:val="-6"/>
        </w:rPr>
      </w:pPr>
      <w:r>
        <w:rPr>
          <w:rFonts w:hint="eastAsia"/>
          <w:spacing w:val="-6"/>
        </w:rPr>
        <w:t>④协助南昌市环境监测部门及时准确的对受到突发环境事故污染的土壤、地表水、地下水和大气进行取样，并且及时准确向临时应急指挥部报告监测数据，以使临时应急指挥部做出正确的判断。</w:t>
      </w:r>
    </w:p>
    <w:p w:rsidR="00B04AE3" w:rsidRDefault="00B04AE3">
      <w:pPr>
        <w:pStyle w:val="BodyText"/>
        <w:spacing w:line="364" w:lineRule="auto"/>
        <w:ind w:left="780" w:right="1355" w:firstLine="480"/>
        <w:jc w:val="both"/>
        <w:rPr>
          <w:spacing w:val="-6"/>
        </w:rPr>
      </w:pPr>
      <w:r>
        <w:rPr>
          <w:rFonts w:hint="eastAsia"/>
          <w:spacing w:val="-6"/>
        </w:rPr>
        <w:t>应急办公室根据突发环境事故的类别和等级通知公司各应急小组，各应急救援小组立即赶赴事发现场，按照各自的预案和处置规程，相互协同，密切配合，</w:t>
      </w:r>
      <w:r>
        <w:rPr>
          <w:spacing w:val="-6"/>
        </w:rPr>
        <w:t xml:space="preserve"> </w:t>
      </w:r>
      <w:r>
        <w:rPr>
          <w:rFonts w:hint="eastAsia"/>
          <w:spacing w:val="-6"/>
        </w:rPr>
        <w:t>共同实施环境应急和紧急处置行动。在应急总指挥的协调指挥下坚决、迅速地实施先期处置，果断控制或切断污染源，全力控制事件态势，严防次生、衍生事件发生。</w:t>
      </w:r>
    </w:p>
    <w:p w:rsidR="00B04AE3" w:rsidRDefault="00B04AE3">
      <w:pPr>
        <w:pStyle w:val="BodyText"/>
        <w:spacing w:line="364" w:lineRule="auto"/>
        <w:ind w:left="780" w:right="1355" w:firstLine="480"/>
        <w:jc w:val="both"/>
        <w:rPr>
          <w:spacing w:val="-6"/>
        </w:rPr>
      </w:pPr>
      <w:r>
        <w:rPr>
          <w:rFonts w:hint="eastAsia"/>
          <w:spacing w:val="-6"/>
        </w:rPr>
        <w:t>应急预案启动后，应急办公室组织生产技术人员迅速对事件信息进行分析、评估，提出应急处置方案和建议，供指挥部领导决策参考。根据事件进展情况和形势动态，提出相应的对策和意见；对突发性环境污染事故的危害范围、发展趋势作出料学预测，指导各应急分队进行应急处理与处置；应急结束后对环境应急工作进行评价和总结。</w:t>
      </w:r>
    </w:p>
    <w:p w:rsidR="00B04AE3" w:rsidRDefault="00B04AE3">
      <w:pPr>
        <w:pStyle w:val="BodyText"/>
        <w:spacing w:line="364" w:lineRule="auto"/>
        <w:ind w:left="780" w:right="1355" w:firstLine="480"/>
        <w:jc w:val="both"/>
        <w:rPr>
          <w:spacing w:val="-6"/>
        </w:rPr>
      </w:pPr>
      <w:r>
        <w:rPr>
          <w:rFonts w:hint="eastAsia"/>
          <w:spacing w:val="-6"/>
        </w:rPr>
        <w:t>⑺医疗救护组</w:t>
      </w:r>
    </w:p>
    <w:p w:rsidR="00B04AE3" w:rsidRDefault="00B04AE3">
      <w:pPr>
        <w:pStyle w:val="BodyText"/>
        <w:spacing w:line="364" w:lineRule="auto"/>
        <w:ind w:left="780" w:right="1355" w:firstLine="480"/>
        <w:jc w:val="both"/>
        <w:rPr>
          <w:spacing w:val="-6"/>
        </w:rPr>
      </w:pPr>
      <w:r>
        <w:rPr>
          <w:rFonts w:hint="eastAsia"/>
          <w:spacing w:val="-6"/>
        </w:rPr>
        <w:t>主要职责：做好药品的准备工作；做好各种医疗救护方案的制订、落实工作；</w:t>
      </w:r>
      <w:r>
        <w:rPr>
          <w:spacing w:val="-6"/>
        </w:rPr>
        <w:t xml:space="preserve"> </w:t>
      </w:r>
      <w:r>
        <w:rPr>
          <w:rFonts w:hint="eastAsia"/>
          <w:spacing w:val="-6"/>
        </w:rPr>
        <w:t>协助事件调查；每年组织救护人员学习和演练，并对医疗救护方案进行评审，提出改进措施，总结应急救援经验教训；做好现场救护工作。现场救护中接到救护命令后，组织两人以上人员佩戴好防护用品及时赶到事件现场，并分类进行救治。</w:t>
      </w:r>
    </w:p>
    <w:p w:rsidR="00B04AE3" w:rsidRDefault="00B04AE3">
      <w:pPr>
        <w:pStyle w:val="BodyText"/>
        <w:spacing w:line="364" w:lineRule="auto"/>
        <w:ind w:left="780" w:right="1355" w:firstLine="480"/>
        <w:jc w:val="both"/>
        <w:rPr>
          <w:spacing w:val="-6"/>
        </w:rPr>
      </w:pPr>
      <w:r>
        <w:rPr>
          <w:rFonts w:hint="eastAsia"/>
          <w:spacing w:val="-6"/>
        </w:rPr>
        <w:t>①熟悉厂区内危险物质对人体危害的特性及相应的医疗急救措施；</w:t>
      </w:r>
    </w:p>
    <w:p w:rsidR="00B04AE3" w:rsidRDefault="00B04AE3">
      <w:pPr>
        <w:pStyle w:val="BodyText"/>
        <w:spacing w:line="364" w:lineRule="auto"/>
        <w:ind w:left="780" w:right="1355" w:firstLine="480"/>
        <w:jc w:val="both"/>
        <w:rPr>
          <w:spacing w:val="-6"/>
        </w:rPr>
      </w:pPr>
      <w:r>
        <w:rPr>
          <w:rFonts w:hint="eastAsia"/>
          <w:spacing w:val="-6"/>
        </w:rPr>
        <w:t>②储备足量的急救器材和药品，并能随时取用；</w:t>
      </w:r>
    </w:p>
    <w:p w:rsidR="00B04AE3" w:rsidRDefault="00B04AE3">
      <w:pPr>
        <w:pStyle w:val="BodyText"/>
        <w:spacing w:line="364" w:lineRule="auto"/>
        <w:ind w:left="780" w:right="1355" w:firstLine="480"/>
        <w:jc w:val="both"/>
        <w:rPr>
          <w:spacing w:val="-6"/>
        </w:rPr>
      </w:pPr>
      <w:r>
        <w:rPr>
          <w:rFonts w:hint="eastAsia"/>
          <w:spacing w:val="-6"/>
        </w:rPr>
        <w:t>③事件发生后，应迅速做好准备工作，伤者送来后，根据受伤症状，及时采取相应的急救措施对伤者进行急救，重伤员及时转院抢救；</w:t>
      </w:r>
    </w:p>
    <w:p w:rsidR="00B04AE3" w:rsidRDefault="00B04AE3">
      <w:pPr>
        <w:pStyle w:val="BodyText"/>
        <w:spacing w:line="364" w:lineRule="auto"/>
        <w:ind w:left="780" w:right="1355" w:firstLine="480"/>
        <w:jc w:val="both"/>
        <w:rPr>
          <w:spacing w:val="-6"/>
        </w:rPr>
      </w:pPr>
      <w:r>
        <w:rPr>
          <w:rFonts w:hint="eastAsia"/>
          <w:spacing w:val="-6"/>
        </w:rPr>
        <w:t>④当厂区急救力量无法满足需要时，向其他医疗单位申请救援并迅速转移伤者。</w:t>
      </w:r>
    </w:p>
    <w:p w:rsidR="00B04AE3" w:rsidRDefault="00B04AE3">
      <w:pPr>
        <w:spacing w:before="1"/>
        <w:ind w:left="780"/>
        <w:rPr>
          <w:b/>
          <w:sz w:val="24"/>
        </w:rPr>
      </w:pPr>
      <w:bookmarkStart w:id="391" w:name="_bookmark143"/>
      <w:bookmarkStart w:id="392" w:name="四、外部救援机构"/>
      <w:bookmarkEnd w:id="391"/>
      <w:bookmarkEnd w:id="392"/>
      <w:r>
        <w:rPr>
          <w:rFonts w:hint="eastAsia"/>
          <w:b/>
          <w:sz w:val="24"/>
        </w:rPr>
        <w:t>四、外部救援机构</w:t>
      </w:r>
    </w:p>
    <w:p w:rsidR="00B04AE3" w:rsidRDefault="00B04AE3">
      <w:pPr>
        <w:pStyle w:val="BodyText"/>
        <w:spacing w:line="364" w:lineRule="auto"/>
        <w:ind w:left="780" w:right="1355" w:firstLine="480"/>
        <w:jc w:val="both"/>
      </w:pPr>
      <w:r>
        <w:rPr>
          <w:rFonts w:hint="eastAsia"/>
          <w:spacing w:val="-6"/>
        </w:rPr>
        <w:t>外部救援机构均为政府职能部门或服务型机构，公司虽未与有关部门签订应</w:t>
      </w:r>
      <w:r>
        <w:rPr>
          <w:rFonts w:hint="eastAsia"/>
          <w:spacing w:val="-8"/>
        </w:rPr>
        <w:t>急救援协议或互救协议，一旦发生突发环境事件，通过信息传递需要实施外部救</w:t>
      </w:r>
      <w:r>
        <w:rPr>
          <w:rFonts w:hint="eastAsia"/>
          <w:spacing w:val="-5"/>
        </w:rPr>
        <w:t>援时，相关部门本着</w:t>
      </w:r>
      <w:r>
        <w:rPr>
          <w:rFonts w:ascii="Times New Roman" w:hAnsi="Times New Roman"/>
        </w:rPr>
        <w:t>“</w:t>
      </w:r>
      <w:r>
        <w:rPr>
          <w:rFonts w:hint="eastAsia"/>
          <w:spacing w:val="-5"/>
        </w:rPr>
        <w:t>以人为本、快速响应</w:t>
      </w:r>
      <w:r>
        <w:rPr>
          <w:rFonts w:ascii="Times New Roman" w:hAnsi="Times New Roman"/>
        </w:rPr>
        <w:t>”</w:t>
      </w:r>
      <w:r>
        <w:rPr>
          <w:rFonts w:hint="eastAsia"/>
          <w:spacing w:val="-6"/>
        </w:rPr>
        <w:t>的原则，有责任和义务对本公司进行</w:t>
      </w:r>
      <w:r>
        <w:rPr>
          <w:rFonts w:hint="eastAsia"/>
          <w:spacing w:val="-4"/>
        </w:rPr>
        <w:t>应急救援。外部救援机构名单见表</w:t>
      </w:r>
      <w:r>
        <w:rPr>
          <w:spacing w:val="-4"/>
        </w:rPr>
        <w:t xml:space="preserve"> </w:t>
      </w:r>
      <w:r>
        <w:rPr>
          <w:rFonts w:ascii="Times New Roman" w:hAnsi="Times New Roman"/>
        </w:rPr>
        <w:t>5</w:t>
      </w:r>
      <w:r>
        <w:rPr>
          <w:rFonts w:hint="eastAsia"/>
        </w:rPr>
        <w:t>。</w:t>
      </w:r>
    </w:p>
    <w:p w:rsidR="00B04AE3" w:rsidRDefault="00B04AE3">
      <w:pPr>
        <w:pStyle w:val="BodyText"/>
        <w:spacing w:line="364" w:lineRule="auto"/>
        <w:ind w:left="780" w:right="1355" w:firstLine="480"/>
        <w:jc w:val="both"/>
      </w:pPr>
    </w:p>
    <w:p w:rsidR="00B04AE3" w:rsidRDefault="00B04AE3">
      <w:pPr>
        <w:pStyle w:val="BodyText"/>
        <w:spacing w:line="364" w:lineRule="auto"/>
        <w:ind w:left="780" w:right="1355" w:firstLine="480"/>
        <w:jc w:val="both"/>
        <w:rPr>
          <w:b/>
        </w:rPr>
      </w:pPr>
      <w:r>
        <w:rPr>
          <w:rFonts w:hint="eastAsia"/>
          <w:b/>
        </w:rPr>
        <w:t>表</w:t>
      </w:r>
      <w:r>
        <w:rPr>
          <w:b/>
          <w:spacing w:val="-62"/>
        </w:rPr>
        <w:t xml:space="preserve"> </w:t>
      </w:r>
      <w:r>
        <w:rPr>
          <w:rFonts w:ascii="Times New Roman" w:eastAsia="Times New Roman"/>
          <w:b/>
        </w:rPr>
        <w:t>5</w:t>
      </w:r>
      <w:r>
        <w:rPr>
          <w:rFonts w:ascii="Times New Roman" w:eastAsia="Times New Roman"/>
          <w:b/>
        </w:rPr>
        <w:tab/>
      </w:r>
      <w:r>
        <w:rPr>
          <w:rFonts w:hint="eastAsia"/>
          <w:b/>
        </w:rPr>
        <w:t>外部救援机构名单一览表</w:t>
      </w:r>
    </w:p>
    <w:p w:rsidR="00B04AE3" w:rsidRDefault="00B04AE3">
      <w:pPr>
        <w:pStyle w:val="BodyText"/>
        <w:spacing w:before="3"/>
        <w:rPr>
          <w:b/>
          <w:sz w:val="6"/>
        </w:rPr>
      </w:pPr>
    </w:p>
    <w:tbl>
      <w:tblPr>
        <w:tblW w:w="85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tblPr>
      <w:tblGrid>
        <w:gridCol w:w="2842"/>
        <w:gridCol w:w="2843"/>
        <w:gridCol w:w="2843"/>
      </w:tblGrid>
      <w:tr w:rsidR="00B04AE3">
        <w:trPr>
          <w:trHeight w:val="397"/>
          <w:jc w:val="center"/>
        </w:trPr>
        <w:tc>
          <w:tcPr>
            <w:tcW w:w="2842" w:type="dxa"/>
            <w:shd w:val="clear" w:color="auto" w:fill="DFDFDF"/>
            <w:vAlign w:val="center"/>
          </w:tcPr>
          <w:p w:rsidR="00B04AE3" w:rsidRDefault="00B04AE3">
            <w:pPr>
              <w:pStyle w:val="TableParagraph"/>
              <w:spacing w:before="63"/>
              <w:ind w:left="664" w:right="656"/>
              <w:rPr>
                <w:b/>
                <w:sz w:val="21"/>
              </w:rPr>
            </w:pPr>
            <w:bookmarkStart w:id="393" w:name="江西金品铜业科技有限公司急预案函审意见(陈院华）"/>
            <w:bookmarkStart w:id="394" w:name="金品铜业应急预案审查意见"/>
            <w:bookmarkEnd w:id="393"/>
            <w:bookmarkEnd w:id="394"/>
            <w:r>
              <w:rPr>
                <w:rFonts w:hint="eastAsia"/>
                <w:b/>
                <w:sz w:val="21"/>
              </w:rPr>
              <w:t>单位</w:t>
            </w:r>
          </w:p>
        </w:tc>
        <w:tc>
          <w:tcPr>
            <w:tcW w:w="2843" w:type="dxa"/>
            <w:shd w:val="clear" w:color="auto" w:fill="DFDFDF"/>
            <w:vAlign w:val="center"/>
          </w:tcPr>
          <w:p w:rsidR="00B04AE3" w:rsidRDefault="00B04AE3">
            <w:pPr>
              <w:pStyle w:val="TableParagraph"/>
              <w:spacing w:before="63"/>
              <w:ind w:left="763" w:right="752"/>
              <w:rPr>
                <w:b/>
                <w:sz w:val="21"/>
              </w:rPr>
            </w:pPr>
            <w:r>
              <w:rPr>
                <w:rFonts w:hint="eastAsia"/>
                <w:b/>
                <w:sz w:val="21"/>
              </w:rPr>
              <w:t>科室名称</w:t>
            </w:r>
          </w:p>
        </w:tc>
        <w:tc>
          <w:tcPr>
            <w:tcW w:w="2843" w:type="dxa"/>
            <w:shd w:val="clear" w:color="auto" w:fill="DFDFDF"/>
            <w:vAlign w:val="center"/>
          </w:tcPr>
          <w:p w:rsidR="00B04AE3" w:rsidRDefault="00B04AE3">
            <w:pPr>
              <w:pStyle w:val="TableParagraph"/>
              <w:spacing w:before="63"/>
              <w:ind w:left="763" w:right="750"/>
              <w:rPr>
                <w:b/>
                <w:sz w:val="21"/>
              </w:rPr>
            </w:pPr>
            <w:r>
              <w:rPr>
                <w:rFonts w:hint="eastAsia"/>
                <w:b/>
                <w:sz w:val="21"/>
              </w:rPr>
              <w:t>办公电话</w:t>
            </w:r>
          </w:p>
        </w:tc>
      </w:tr>
      <w:tr w:rsidR="00B04AE3">
        <w:trPr>
          <w:trHeight w:val="396"/>
          <w:jc w:val="center"/>
        </w:trPr>
        <w:tc>
          <w:tcPr>
            <w:tcW w:w="2842" w:type="dxa"/>
            <w:vAlign w:val="center"/>
          </w:tcPr>
          <w:p w:rsidR="00B04AE3" w:rsidRDefault="00B04AE3">
            <w:pPr>
              <w:pStyle w:val="TableParagraph"/>
              <w:ind w:left="789"/>
              <w:rPr>
                <w:sz w:val="21"/>
              </w:rPr>
            </w:pPr>
            <w:r>
              <w:rPr>
                <w:rFonts w:hint="eastAsia"/>
                <w:sz w:val="21"/>
              </w:rPr>
              <w:t>南昌市环保局</w:t>
            </w:r>
          </w:p>
        </w:tc>
        <w:tc>
          <w:tcPr>
            <w:tcW w:w="2843" w:type="dxa"/>
            <w:vAlign w:val="center"/>
          </w:tcPr>
          <w:p w:rsidR="00B04AE3" w:rsidRDefault="00B04AE3">
            <w:pPr>
              <w:pStyle w:val="TableParagraph"/>
              <w:spacing w:before="64"/>
              <w:ind w:left="760" w:right="752"/>
              <w:rPr>
                <w:sz w:val="21"/>
              </w:rPr>
            </w:pPr>
            <w:r>
              <w:rPr>
                <w:rFonts w:hint="eastAsia"/>
                <w:sz w:val="21"/>
              </w:rPr>
              <w:t>办公室</w:t>
            </w:r>
          </w:p>
        </w:tc>
        <w:tc>
          <w:tcPr>
            <w:tcW w:w="2843" w:type="dxa"/>
            <w:vAlign w:val="center"/>
          </w:tcPr>
          <w:p w:rsidR="00B04AE3" w:rsidRDefault="00B04AE3">
            <w:pPr>
              <w:pStyle w:val="TableParagraph"/>
              <w:spacing w:before="78"/>
              <w:ind w:right="752"/>
              <w:rPr>
                <w:rFonts w:ascii="Times New Roman"/>
                <w:sz w:val="21"/>
                <w:lang w:val="en-US"/>
              </w:rPr>
            </w:pPr>
            <w:r>
              <w:rPr>
                <w:rFonts w:ascii="Times New Roman"/>
                <w:sz w:val="21"/>
              </w:rPr>
              <w:t>079</w:t>
            </w:r>
            <w:r>
              <w:rPr>
                <w:rFonts w:ascii="Times New Roman"/>
                <w:sz w:val="21"/>
                <w:lang w:val="en-US"/>
              </w:rPr>
              <w:t>1-83986156</w:t>
            </w:r>
          </w:p>
        </w:tc>
      </w:tr>
      <w:tr w:rsidR="00B04AE3">
        <w:trPr>
          <w:trHeight w:val="397"/>
          <w:jc w:val="center"/>
        </w:trPr>
        <w:tc>
          <w:tcPr>
            <w:tcW w:w="2842" w:type="dxa"/>
            <w:vAlign w:val="center"/>
          </w:tcPr>
          <w:p w:rsidR="00B04AE3" w:rsidRDefault="00B04AE3">
            <w:pPr>
              <w:pStyle w:val="TableParagraph"/>
              <w:spacing w:before="63"/>
              <w:ind w:right="656"/>
              <w:rPr>
                <w:sz w:val="21"/>
              </w:rPr>
            </w:pPr>
            <w:r>
              <w:rPr>
                <w:rFonts w:hint="eastAsia"/>
                <w:sz w:val="21"/>
              </w:rPr>
              <w:t>经济技术开发区环保局</w:t>
            </w:r>
          </w:p>
        </w:tc>
        <w:tc>
          <w:tcPr>
            <w:tcW w:w="2843" w:type="dxa"/>
            <w:vAlign w:val="center"/>
          </w:tcPr>
          <w:p w:rsidR="00B04AE3" w:rsidRDefault="00B04AE3">
            <w:pPr>
              <w:pStyle w:val="TableParagraph"/>
              <w:spacing w:before="63"/>
              <w:ind w:left="760" w:right="752"/>
              <w:rPr>
                <w:sz w:val="21"/>
              </w:rPr>
            </w:pPr>
            <w:r>
              <w:rPr>
                <w:rFonts w:hint="eastAsia"/>
                <w:sz w:val="21"/>
              </w:rPr>
              <w:t>办公室</w:t>
            </w:r>
          </w:p>
        </w:tc>
        <w:tc>
          <w:tcPr>
            <w:tcW w:w="2843" w:type="dxa"/>
            <w:vAlign w:val="center"/>
          </w:tcPr>
          <w:p w:rsidR="00B04AE3" w:rsidRDefault="00B04AE3">
            <w:pPr>
              <w:pStyle w:val="TableParagraph"/>
              <w:spacing w:before="77"/>
              <w:ind w:right="752"/>
              <w:rPr>
                <w:rFonts w:ascii="Times New Roman"/>
                <w:sz w:val="21"/>
                <w:lang w:val="en-US"/>
              </w:rPr>
            </w:pPr>
            <w:r>
              <w:rPr>
                <w:rFonts w:ascii="Times New Roman"/>
                <w:sz w:val="21"/>
              </w:rPr>
              <w:t>07</w:t>
            </w:r>
            <w:r>
              <w:rPr>
                <w:rFonts w:ascii="Times New Roman"/>
                <w:sz w:val="21"/>
                <w:lang w:val="en-US"/>
              </w:rPr>
              <w:t>91</w:t>
            </w:r>
            <w:r>
              <w:rPr>
                <w:rFonts w:ascii="Times New Roman"/>
                <w:sz w:val="21"/>
              </w:rPr>
              <w:t>-</w:t>
            </w:r>
            <w:r>
              <w:rPr>
                <w:rFonts w:ascii="Times New Roman"/>
                <w:sz w:val="21"/>
                <w:lang w:val="en-US"/>
              </w:rPr>
              <w:t>88391921</w:t>
            </w:r>
          </w:p>
        </w:tc>
      </w:tr>
      <w:tr w:rsidR="00B04AE3">
        <w:trPr>
          <w:trHeight w:val="397"/>
          <w:jc w:val="center"/>
        </w:trPr>
        <w:tc>
          <w:tcPr>
            <w:tcW w:w="2842" w:type="dxa"/>
            <w:vAlign w:val="center"/>
          </w:tcPr>
          <w:p w:rsidR="00B04AE3" w:rsidRDefault="00B04AE3">
            <w:pPr>
              <w:pStyle w:val="TableParagraph"/>
              <w:spacing w:before="62"/>
              <w:ind w:left="661" w:right="656"/>
              <w:rPr>
                <w:sz w:val="21"/>
              </w:rPr>
            </w:pPr>
            <w:r>
              <w:rPr>
                <w:rFonts w:hint="eastAsia"/>
                <w:sz w:val="21"/>
              </w:rPr>
              <w:t>南昌市安监局</w:t>
            </w:r>
          </w:p>
        </w:tc>
        <w:tc>
          <w:tcPr>
            <w:tcW w:w="2843" w:type="dxa"/>
            <w:vAlign w:val="center"/>
          </w:tcPr>
          <w:p w:rsidR="00B04AE3" w:rsidRDefault="00B04AE3">
            <w:pPr>
              <w:pStyle w:val="TableParagraph"/>
              <w:spacing w:before="62"/>
              <w:ind w:left="760" w:right="752"/>
              <w:rPr>
                <w:sz w:val="21"/>
              </w:rPr>
            </w:pPr>
            <w:r>
              <w:rPr>
                <w:rFonts w:hint="eastAsia"/>
                <w:sz w:val="21"/>
              </w:rPr>
              <w:t>办公室</w:t>
            </w:r>
          </w:p>
        </w:tc>
        <w:tc>
          <w:tcPr>
            <w:tcW w:w="2843" w:type="dxa"/>
            <w:vAlign w:val="center"/>
          </w:tcPr>
          <w:p w:rsidR="00B04AE3" w:rsidRDefault="00B04AE3">
            <w:pPr>
              <w:pStyle w:val="TableParagraph"/>
              <w:spacing w:before="76"/>
              <w:ind w:right="752"/>
              <w:rPr>
                <w:rFonts w:ascii="Times New Roman"/>
                <w:sz w:val="21"/>
              </w:rPr>
            </w:pPr>
            <w:r>
              <w:rPr>
                <w:rFonts w:ascii="Times New Roman"/>
                <w:sz w:val="21"/>
              </w:rPr>
              <w:t>079</w:t>
            </w:r>
            <w:r>
              <w:rPr>
                <w:rFonts w:ascii="Times New Roman"/>
                <w:sz w:val="21"/>
                <w:lang w:val="en-US"/>
              </w:rPr>
              <w:t>1</w:t>
            </w:r>
            <w:r>
              <w:rPr>
                <w:rFonts w:ascii="Times New Roman"/>
                <w:sz w:val="21"/>
              </w:rPr>
              <w:t>-</w:t>
            </w:r>
            <w:r>
              <w:rPr>
                <w:rFonts w:ascii="Arial" w:hAnsi="Arial" w:cs="Arial"/>
                <w:color w:val="000000"/>
                <w:sz w:val="19"/>
                <w:szCs w:val="19"/>
                <w:shd w:val="clear" w:color="auto" w:fill="FFFFFF"/>
              </w:rPr>
              <w:t>83986158</w:t>
            </w:r>
          </w:p>
        </w:tc>
      </w:tr>
      <w:tr w:rsidR="00B04AE3">
        <w:trPr>
          <w:trHeight w:val="396"/>
          <w:jc w:val="center"/>
        </w:trPr>
        <w:tc>
          <w:tcPr>
            <w:tcW w:w="2842" w:type="dxa"/>
            <w:vMerge w:val="restart"/>
            <w:vAlign w:val="center"/>
          </w:tcPr>
          <w:p w:rsidR="00B04AE3" w:rsidRDefault="00B04AE3">
            <w:pPr>
              <w:pStyle w:val="TableParagraph"/>
              <w:spacing w:before="1"/>
              <w:ind w:left="661" w:right="656"/>
              <w:rPr>
                <w:sz w:val="21"/>
              </w:rPr>
            </w:pPr>
          </w:p>
          <w:p w:rsidR="00B04AE3" w:rsidRDefault="00B04AE3">
            <w:pPr>
              <w:pStyle w:val="TableParagraph"/>
              <w:spacing w:before="1"/>
              <w:ind w:left="661" w:right="656"/>
              <w:rPr>
                <w:sz w:val="21"/>
              </w:rPr>
            </w:pPr>
            <w:r>
              <w:rPr>
                <w:rFonts w:hint="eastAsia"/>
                <w:sz w:val="21"/>
              </w:rPr>
              <w:t>公安</w:t>
            </w:r>
          </w:p>
        </w:tc>
        <w:tc>
          <w:tcPr>
            <w:tcW w:w="2843" w:type="dxa"/>
            <w:vAlign w:val="center"/>
          </w:tcPr>
          <w:p w:rsidR="00B04AE3" w:rsidRDefault="00B04AE3">
            <w:pPr>
              <w:pStyle w:val="TableParagraph"/>
              <w:spacing w:before="63"/>
              <w:ind w:right="752"/>
              <w:rPr>
                <w:sz w:val="21"/>
              </w:rPr>
            </w:pPr>
            <w:r>
              <w:rPr>
                <w:rFonts w:hint="eastAsia"/>
                <w:sz w:val="21"/>
              </w:rPr>
              <w:t>经济技术开发区分局</w:t>
            </w:r>
          </w:p>
        </w:tc>
        <w:tc>
          <w:tcPr>
            <w:tcW w:w="2843" w:type="dxa"/>
            <w:vAlign w:val="center"/>
          </w:tcPr>
          <w:p w:rsidR="00B04AE3" w:rsidRDefault="00B04AE3">
            <w:pPr>
              <w:pStyle w:val="TableParagraph"/>
              <w:spacing w:before="77"/>
              <w:ind w:right="752"/>
              <w:rPr>
                <w:rFonts w:ascii="Times New Roman"/>
                <w:sz w:val="21"/>
              </w:rPr>
            </w:pPr>
            <w:r>
              <w:rPr>
                <w:rFonts w:ascii="Times New Roman"/>
                <w:sz w:val="21"/>
              </w:rPr>
              <w:t>079</w:t>
            </w:r>
            <w:r>
              <w:rPr>
                <w:rFonts w:ascii="Times New Roman"/>
                <w:sz w:val="21"/>
                <w:lang w:val="en-US"/>
              </w:rPr>
              <w:t>1</w:t>
            </w:r>
            <w:r>
              <w:rPr>
                <w:rFonts w:ascii="Times New Roman"/>
                <w:sz w:val="21"/>
              </w:rPr>
              <w:t>-</w:t>
            </w:r>
            <w:r>
              <w:rPr>
                <w:rFonts w:ascii="Arial" w:hAnsi="Arial" w:cs="Arial"/>
                <w:color w:val="333333"/>
                <w:sz w:val="19"/>
                <w:szCs w:val="19"/>
                <w:shd w:val="clear" w:color="auto" w:fill="FFFFFF"/>
              </w:rPr>
              <w:t>83851110</w:t>
            </w:r>
          </w:p>
        </w:tc>
      </w:tr>
      <w:tr w:rsidR="00B04AE3">
        <w:trPr>
          <w:trHeight w:val="397"/>
          <w:jc w:val="center"/>
        </w:trPr>
        <w:tc>
          <w:tcPr>
            <w:tcW w:w="2842" w:type="dxa"/>
            <w:vMerge/>
            <w:tcBorders>
              <w:top w:val="nil"/>
            </w:tcBorders>
            <w:vAlign w:val="center"/>
          </w:tcPr>
          <w:p w:rsidR="00B04AE3" w:rsidRDefault="00B04AE3">
            <w:pPr>
              <w:jc w:val="center"/>
              <w:rPr>
                <w:sz w:val="2"/>
                <w:szCs w:val="2"/>
              </w:rPr>
            </w:pPr>
          </w:p>
        </w:tc>
        <w:tc>
          <w:tcPr>
            <w:tcW w:w="2843" w:type="dxa"/>
            <w:vAlign w:val="center"/>
          </w:tcPr>
          <w:p w:rsidR="00B04AE3" w:rsidRDefault="00B04AE3">
            <w:pPr>
              <w:pStyle w:val="TableParagraph"/>
              <w:spacing w:before="64"/>
              <w:ind w:left="758" w:right="752"/>
              <w:rPr>
                <w:sz w:val="21"/>
              </w:rPr>
            </w:pPr>
            <w:r>
              <w:rPr>
                <w:rFonts w:ascii="Times New Roman" w:eastAsia="Times New Roman"/>
                <w:sz w:val="21"/>
              </w:rPr>
              <w:t xml:space="preserve">110 </w:t>
            </w:r>
            <w:r>
              <w:rPr>
                <w:rFonts w:hint="eastAsia"/>
                <w:sz w:val="21"/>
              </w:rPr>
              <w:t>指挥中心</w:t>
            </w:r>
          </w:p>
        </w:tc>
        <w:tc>
          <w:tcPr>
            <w:tcW w:w="2843" w:type="dxa"/>
            <w:vAlign w:val="center"/>
          </w:tcPr>
          <w:p w:rsidR="00B04AE3" w:rsidRDefault="00B04AE3">
            <w:pPr>
              <w:pStyle w:val="TableParagraph"/>
              <w:spacing w:before="78"/>
              <w:ind w:left="763" w:right="752"/>
              <w:rPr>
                <w:rFonts w:ascii="Times New Roman"/>
                <w:sz w:val="21"/>
              </w:rPr>
            </w:pPr>
            <w:r>
              <w:rPr>
                <w:rFonts w:ascii="Times New Roman"/>
                <w:sz w:val="21"/>
              </w:rPr>
              <w:t>110</w:t>
            </w:r>
          </w:p>
        </w:tc>
      </w:tr>
      <w:tr w:rsidR="00B04AE3">
        <w:trPr>
          <w:trHeight w:val="397"/>
          <w:jc w:val="center"/>
        </w:trPr>
        <w:tc>
          <w:tcPr>
            <w:tcW w:w="2842" w:type="dxa"/>
            <w:vAlign w:val="center"/>
          </w:tcPr>
          <w:p w:rsidR="00B04AE3" w:rsidRDefault="00B04AE3">
            <w:pPr>
              <w:pStyle w:val="TableParagraph"/>
              <w:spacing w:before="63"/>
              <w:ind w:left="661" w:right="656"/>
              <w:rPr>
                <w:sz w:val="21"/>
              </w:rPr>
            </w:pPr>
            <w:r>
              <w:rPr>
                <w:rFonts w:hint="eastAsia"/>
                <w:sz w:val="21"/>
              </w:rPr>
              <w:t>消防</w:t>
            </w:r>
          </w:p>
        </w:tc>
        <w:tc>
          <w:tcPr>
            <w:tcW w:w="2843" w:type="dxa"/>
            <w:vAlign w:val="center"/>
          </w:tcPr>
          <w:p w:rsidR="00B04AE3" w:rsidRDefault="00B04AE3">
            <w:pPr>
              <w:pStyle w:val="TableParagraph"/>
              <w:spacing w:before="63"/>
              <w:ind w:left="755" w:right="752"/>
              <w:rPr>
                <w:sz w:val="21"/>
              </w:rPr>
            </w:pPr>
            <w:r>
              <w:rPr>
                <w:rFonts w:hint="eastAsia"/>
                <w:sz w:val="21"/>
              </w:rPr>
              <w:t>南昌市消防队</w:t>
            </w:r>
          </w:p>
        </w:tc>
        <w:tc>
          <w:tcPr>
            <w:tcW w:w="2843" w:type="dxa"/>
            <w:vAlign w:val="center"/>
          </w:tcPr>
          <w:p w:rsidR="00B04AE3" w:rsidRDefault="00B04AE3">
            <w:pPr>
              <w:pStyle w:val="TableParagraph"/>
              <w:spacing w:before="76"/>
              <w:ind w:left="763" w:right="752"/>
              <w:rPr>
                <w:rFonts w:ascii="Times New Roman"/>
                <w:sz w:val="21"/>
                <w:lang w:val="en-US"/>
              </w:rPr>
            </w:pPr>
            <w:r>
              <w:rPr>
                <w:rFonts w:ascii="Times New Roman"/>
                <w:sz w:val="21"/>
                <w:lang w:val="en-US"/>
              </w:rPr>
              <w:t>119</w:t>
            </w:r>
          </w:p>
        </w:tc>
      </w:tr>
      <w:tr w:rsidR="00B04AE3">
        <w:trPr>
          <w:trHeight w:val="397"/>
          <w:jc w:val="center"/>
        </w:trPr>
        <w:tc>
          <w:tcPr>
            <w:tcW w:w="2842" w:type="dxa"/>
            <w:vAlign w:val="center"/>
          </w:tcPr>
          <w:p w:rsidR="00B04AE3" w:rsidRDefault="00B04AE3">
            <w:pPr>
              <w:pStyle w:val="TableParagraph"/>
              <w:spacing w:before="63"/>
              <w:ind w:right="656"/>
              <w:rPr>
                <w:sz w:val="21"/>
              </w:rPr>
            </w:pPr>
            <w:r>
              <w:rPr>
                <w:rFonts w:hint="eastAsia"/>
                <w:sz w:val="21"/>
              </w:rPr>
              <w:t>南昌市卫生防疫站</w:t>
            </w:r>
          </w:p>
        </w:tc>
        <w:tc>
          <w:tcPr>
            <w:tcW w:w="2843" w:type="dxa"/>
            <w:vAlign w:val="center"/>
          </w:tcPr>
          <w:p w:rsidR="00B04AE3" w:rsidRDefault="00B04AE3">
            <w:pPr>
              <w:pStyle w:val="TableParagraph"/>
              <w:spacing w:before="63"/>
              <w:ind w:left="755" w:right="752"/>
              <w:rPr>
                <w:sz w:val="21"/>
              </w:rPr>
            </w:pPr>
            <w:r>
              <w:rPr>
                <w:rFonts w:hint="eastAsia"/>
                <w:sz w:val="21"/>
              </w:rPr>
              <w:t>办公室</w:t>
            </w:r>
          </w:p>
        </w:tc>
        <w:tc>
          <w:tcPr>
            <w:tcW w:w="2843" w:type="dxa"/>
            <w:vAlign w:val="center"/>
          </w:tcPr>
          <w:p w:rsidR="00B04AE3" w:rsidRDefault="00B04AE3">
            <w:pPr>
              <w:pStyle w:val="TableParagraph"/>
              <w:spacing w:before="76"/>
              <w:ind w:right="752"/>
              <w:rPr>
                <w:rFonts w:ascii="Times New Roman"/>
                <w:sz w:val="21"/>
                <w:lang w:val="en-US"/>
              </w:rPr>
            </w:pPr>
            <w:r>
              <w:rPr>
                <w:rFonts w:ascii="Times New Roman"/>
                <w:sz w:val="21"/>
              </w:rPr>
              <w:t>079</w:t>
            </w:r>
            <w:r>
              <w:rPr>
                <w:rFonts w:ascii="Times New Roman"/>
                <w:sz w:val="21"/>
                <w:lang w:val="en-US"/>
              </w:rPr>
              <w:t>1</w:t>
            </w:r>
            <w:r>
              <w:rPr>
                <w:rFonts w:ascii="Times New Roman"/>
                <w:sz w:val="21"/>
              </w:rPr>
              <w:t>-</w:t>
            </w:r>
            <w:r>
              <w:rPr>
                <w:rFonts w:ascii="Arial" w:hAnsi="Arial" w:cs="Arial"/>
                <w:color w:val="333333"/>
                <w:sz w:val="19"/>
                <w:szCs w:val="19"/>
                <w:shd w:val="clear" w:color="auto" w:fill="FFFFFF"/>
              </w:rPr>
              <w:t>86767172</w:t>
            </w:r>
          </w:p>
        </w:tc>
      </w:tr>
      <w:tr w:rsidR="00B04AE3">
        <w:trPr>
          <w:trHeight w:val="396"/>
          <w:jc w:val="center"/>
        </w:trPr>
        <w:tc>
          <w:tcPr>
            <w:tcW w:w="2842" w:type="dxa"/>
            <w:vAlign w:val="center"/>
          </w:tcPr>
          <w:p w:rsidR="00B04AE3" w:rsidRDefault="00B04AE3">
            <w:pPr>
              <w:pStyle w:val="TableParagraph"/>
              <w:spacing w:before="63"/>
              <w:ind w:left="666" w:right="656"/>
              <w:rPr>
                <w:sz w:val="21"/>
              </w:rPr>
            </w:pPr>
            <w:r>
              <w:rPr>
                <w:rFonts w:hint="eastAsia"/>
                <w:sz w:val="21"/>
              </w:rPr>
              <w:t>市政府</w:t>
            </w:r>
          </w:p>
        </w:tc>
        <w:tc>
          <w:tcPr>
            <w:tcW w:w="2843" w:type="dxa"/>
            <w:vAlign w:val="center"/>
          </w:tcPr>
          <w:p w:rsidR="00B04AE3" w:rsidRDefault="00B04AE3">
            <w:pPr>
              <w:pStyle w:val="TableParagraph"/>
              <w:spacing w:before="63"/>
              <w:ind w:left="760" w:right="752"/>
              <w:rPr>
                <w:sz w:val="21"/>
              </w:rPr>
            </w:pPr>
            <w:r>
              <w:rPr>
                <w:rFonts w:hint="eastAsia"/>
                <w:sz w:val="21"/>
              </w:rPr>
              <w:t>办公室</w:t>
            </w:r>
          </w:p>
        </w:tc>
        <w:tc>
          <w:tcPr>
            <w:tcW w:w="2843" w:type="dxa"/>
            <w:vAlign w:val="center"/>
          </w:tcPr>
          <w:p w:rsidR="00B04AE3" w:rsidRDefault="00B04AE3">
            <w:pPr>
              <w:pStyle w:val="TableParagraph"/>
              <w:spacing w:before="77"/>
              <w:ind w:right="752"/>
              <w:rPr>
                <w:rFonts w:ascii="Times New Roman"/>
                <w:sz w:val="21"/>
              </w:rPr>
            </w:pPr>
            <w:r>
              <w:rPr>
                <w:rFonts w:ascii="Arial" w:hAnsi="Arial" w:cs="Arial"/>
                <w:color w:val="333333"/>
                <w:sz w:val="19"/>
                <w:szCs w:val="19"/>
                <w:shd w:val="clear" w:color="auto" w:fill="FFFFFF"/>
              </w:rPr>
              <w:t>0791-83883866</w:t>
            </w:r>
          </w:p>
        </w:tc>
      </w:tr>
      <w:tr w:rsidR="00B04AE3">
        <w:trPr>
          <w:trHeight w:val="397"/>
          <w:jc w:val="center"/>
        </w:trPr>
        <w:tc>
          <w:tcPr>
            <w:tcW w:w="2842" w:type="dxa"/>
            <w:vAlign w:val="center"/>
          </w:tcPr>
          <w:p w:rsidR="00B04AE3" w:rsidRDefault="00B04AE3">
            <w:pPr>
              <w:pStyle w:val="TableParagraph"/>
              <w:spacing w:before="62"/>
              <w:ind w:left="661" w:right="656"/>
              <w:rPr>
                <w:sz w:val="21"/>
              </w:rPr>
            </w:pPr>
            <w:r>
              <w:rPr>
                <w:rFonts w:hint="eastAsia"/>
                <w:sz w:val="21"/>
              </w:rPr>
              <w:t>经济技术开发区管委会</w:t>
            </w:r>
          </w:p>
        </w:tc>
        <w:tc>
          <w:tcPr>
            <w:tcW w:w="2843" w:type="dxa"/>
            <w:vAlign w:val="center"/>
          </w:tcPr>
          <w:p w:rsidR="00B04AE3" w:rsidRDefault="00B04AE3">
            <w:pPr>
              <w:pStyle w:val="TableParagraph"/>
              <w:spacing w:before="62"/>
              <w:ind w:left="760" w:right="752"/>
              <w:rPr>
                <w:sz w:val="21"/>
              </w:rPr>
            </w:pPr>
            <w:r>
              <w:rPr>
                <w:rFonts w:hint="eastAsia"/>
                <w:sz w:val="21"/>
              </w:rPr>
              <w:t>办公室</w:t>
            </w:r>
          </w:p>
        </w:tc>
        <w:tc>
          <w:tcPr>
            <w:tcW w:w="2843" w:type="dxa"/>
            <w:vAlign w:val="center"/>
          </w:tcPr>
          <w:p w:rsidR="00B04AE3" w:rsidRDefault="00B04AE3">
            <w:pPr>
              <w:pStyle w:val="TableParagraph"/>
              <w:spacing w:before="76"/>
              <w:ind w:right="752"/>
              <w:rPr>
                <w:rFonts w:ascii="Times New Roman"/>
                <w:sz w:val="21"/>
              </w:rPr>
            </w:pPr>
            <w:r>
              <w:rPr>
                <w:rFonts w:ascii="Arial" w:hAnsi="Arial" w:cs="Arial"/>
                <w:color w:val="333333"/>
                <w:sz w:val="19"/>
                <w:szCs w:val="19"/>
                <w:shd w:val="clear" w:color="auto" w:fill="FFFFFF"/>
              </w:rPr>
              <w:t>0791-87121782</w:t>
            </w:r>
          </w:p>
        </w:tc>
      </w:tr>
      <w:tr w:rsidR="00B04AE3">
        <w:trPr>
          <w:trHeight w:val="397"/>
          <w:jc w:val="center"/>
        </w:trPr>
        <w:tc>
          <w:tcPr>
            <w:tcW w:w="2842" w:type="dxa"/>
            <w:vAlign w:val="center"/>
          </w:tcPr>
          <w:p w:rsidR="00B04AE3" w:rsidRDefault="00B04AE3">
            <w:pPr>
              <w:pStyle w:val="TableParagraph"/>
              <w:spacing w:before="63"/>
              <w:ind w:left="664" w:right="656"/>
              <w:rPr>
                <w:sz w:val="21"/>
              </w:rPr>
            </w:pPr>
            <w:r>
              <w:rPr>
                <w:rFonts w:hint="eastAsia"/>
                <w:sz w:val="21"/>
              </w:rPr>
              <w:t>医疗部门</w:t>
            </w:r>
          </w:p>
        </w:tc>
        <w:tc>
          <w:tcPr>
            <w:tcW w:w="2843" w:type="dxa"/>
            <w:vAlign w:val="center"/>
          </w:tcPr>
          <w:p w:rsidR="00B04AE3" w:rsidRDefault="00B04AE3">
            <w:pPr>
              <w:pStyle w:val="TableParagraph"/>
              <w:spacing w:before="63"/>
              <w:ind w:left="758" w:right="752"/>
              <w:rPr>
                <w:sz w:val="21"/>
              </w:rPr>
            </w:pPr>
            <w:r>
              <w:rPr>
                <w:rFonts w:hint="eastAsia"/>
                <w:sz w:val="21"/>
              </w:rPr>
              <w:t>市人民医院</w:t>
            </w:r>
          </w:p>
        </w:tc>
        <w:tc>
          <w:tcPr>
            <w:tcW w:w="2843" w:type="dxa"/>
            <w:vAlign w:val="center"/>
          </w:tcPr>
          <w:p w:rsidR="00B04AE3" w:rsidRDefault="00B04AE3">
            <w:pPr>
              <w:pStyle w:val="TableParagraph"/>
              <w:spacing w:before="77"/>
              <w:ind w:left="761" w:right="752"/>
              <w:rPr>
                <w:rFonts w:ascii="Times New Roman"/>
                <w:sz w:val="21"/>
              </w:rPr>
            </w:pPr>
            <w:r>
              <w:rPr>
                <w:rFonts w:ascii="Times New Roman"/>
                <w:sz w:val="21"/>
              </w:rPr>
              <w:t>120</w:t>
            </w:r>
          </w:p>
        </w:tc>
      </w:tr>
      <w:tr w:rsidR="00B04AE3">
        <w:trPr>
          <w:trHeight w:val="397"/>
          <w:jc w:val="center"/>
        </w:trPr>
        <w:tc>
          <w:tcPr>
            <w:tcW w:w="2842" w:type="dxa"/>
            <w:vAlign w:val="center"/>
          </w:tcPr>
          <w:p w:rsidR="00B04AE3" w:rsidRDefault="00B04AE3">
            <w:pPr>
              <w:pStyle w:val="TableParagraph"/>
              <w:spacing w:before="62"/>
              <w:ind w:left="664" w:right="656"/>
              <w:rPr>
                <w:sz w:val="21"/>
              </w:rPr>
            </w:pPr>
            <w:r>
              <w:rPr>
                <w:rFonts w:hint="eastAsia"/>
                <w:sz w:val="21"/>
              </w:rPr>
              <w:t>环境监测</w:t>
            </w:r>
          </w:p>
        </w:tc>
        <w:tc>
          <w:tcPr>
            <w:tcW w:w="2843" w:type="dxa"/>
            <w:vAlign w:val="center"/>
          </w:tcPr>
          <w:p w:rsidR="00B04AE3" w:rsidRDefault="00B04AE3">
            <w:pPr>
              <w:pStyle w:val="TableParagraph"/>
              <w:spacing w:before="62"/>
              <w:ind w:left="580"/>
              <w:rPr>
                <w:sz w:val="21"/>
              </w:rPr>
            </w:pPr>
            <w:r>
              <w:rPr>
                <w:rFonts w:hint="eastAsia"/>
                <w:sz w:val="21"/>
              </w:rPr>
              <w:t>南昌市环境监测站</w:t>
            </w:r>
          </w:p>
        </w:tc>
        <w:tc>
          <w:tcPr>
            <w:tcW w:w="2843" w:type="dxa"/>
            <w:vAlign w:val="center"/>
          </w:tcPr>
          <w:p w:rsidR="00B04AE3" w:rsidRDefault="00B04AE3">
            <w:pPr>
              <w:pStyle w:val="TableParagraph"/>
              <w:spacing w:before="76"/>
              <w:ind w:left="809"/>
              <w:rPr>
                <w:rFonts w:ascii="Times New Roman"/>
                <w:sz w:val="21"/>
              </w:rPr>
            </w:pPr>
            <w:r>
              <w:rPr>
                <w:rFonts w:ascii="Times New Roman"/>
                <w:sz w:val="21"/>
              </w:rPr>
              <w:t>0791-86356077</w:t>
            </w:r>
          </w:p>
        </w:tc>
      </w:tr>
    </w:tbl>
    <w:p w:rsidR="00B04AE3" w:rsidRDefault="00B04AE3"/>
    <w:sectPr w:rsidR="00B04AE3" w:rsidSect="004C50A6">
      <w:headerReference w:type="default" r:id="rId94"/>
      <w:footerReference w:type="default" r:id="rId95"/>
      <w:pgSz w:w="11910" w:h="16840"/>
      <w:pgMar w:top="1420" w:right="440" w:bottom="280" w:left="1020" w:header="0"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4AE3" w:rsidRDefault="00B04AE3" w:rsidP="004C50A6">
      <w:r>
        <w:separator/>
      </w:r>
    </w:p>
  </w:endnote>
  <w:endnote w:type="continuationSeparator" w:id="0">
    <w:p w:rsidR="00B04AE3" w:rsidRDefault="00B04AE3" w:rsidP="004C50A6">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080E0000" w:usb2="00000010" w:usb3="00000000" w:csb0="00040001"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微软雅黑">
    <w:altName w:val="??"/>
    <w:panose1 w:val="00000000000000000000"/>
    <w:charset w:val="86"/>
    <w:family w:val="swiss"/>
    <w:notTrueType/>
    <w:pitch w:val="default"/>
    <w:sig w:usb0="00000287" w:usb1="080E0000" w:usb2="00000010" w:usb3="00000000" w:csb0="0004001F" w:csb1="00000000"/>
  </w:font>
  <w:font w:name="仿宋_GB2312">
    <w:panose1 w:val="02010609030101010101"/>
    <w:charset w:val="86"/>
    <w:family w:val="modern"/>
    <w:pitch w:val="fixed"/>
    <w:sig w:usb0="00000001" w:usb1="080E0000" w:usb2="00000010" w:usb3="00000000" w:csb0="00040000" w:csb1="00000000"/>
  </w:font>
  <w:font w:name="仿宋">
    <w:altName w:val="微软雅黑"/>
    <w:panose1 w:val="00000000000000000000"/>
    <w:charset w:val="86"/>
    <w:family w:val="modern"/>
    <w:notTrueType/>
    <w:pitch w:val="default"/>
    <w:sig w:usb0="00000001" w:usb1="080E0000" w:usb2="00000010" w:usb3="00000000" w:csb0="00040000" w:csb1="00000000"/>
  </w:font>
  <w:font w:name="楷体">
    <w:altName w:val="楷体_GB2312"/>
    <w:panose1 w:val="00000000000000000000"/>
    <w:charset w:val="86"/>
    <w:family w:val="modern"/>
    <w:notTrueType/>
    <w:pitch w:val="default"/>
    <w:sig w:usb0="00000001" w:usb1="080E0000" w:usb2="00000010" w:usb3="00000000" w:csb0="00040000" w:csb1="00000000"/>
  </w:font>
  <w:font w:name="黑体">
    <w:altName w:val="Sim??"/>
    <w:panose1 w:val="02010600030101010101"/>
    <w:charset w:val="86"/>
    <w:family w:val="auto"/>
    <w:pitch w:val="variable"/>
    <w:sig w:usb0="00000001" w:usb1="080E0000" w:usb2="00000010" w:usb3="00000000" w:csb0="00040000" w:csb1="00000000"/>
  </w:font>
  <w:font w:name="Batang">
    <w:altName w:val="委?"/>
    <w:panose1 w:val="02030600000101010101"/>
    <w:charset w:val="81"/>
    <w:family w:val="roman"/>
    <w:pitch w:val="variable"/>
    <w:sig w:usb0="B00002AF" w:usb1="69D77CFB" w:usb2="00000030" w:usb3="00000000" w:csb0="0008009F" w:csb1="00000000"/>
  </w:font>
  <w:font w:name="MS Mincho">
    <w:altName w:val="昒? 瀡?"/>
    <w:panose1 w:val="02020609040205080304"/>
    <w:charset w:val="80"/>
    <w:family w:val="modern"/>
    <w:pitch w:val="fixed"/>
    <w:sig w:usb0="A00002BF" w:usb1="68C7FCFB" w:usb2="00000010" w:usb3="00000000" w:csb0="0002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49" type="#_x0000_t202" style="position:absolute;margin-left:293.3pt;margin-top:782.1pt;width:8.6pt;height:11pt;z-index:-251678720;mso-position-horizontal-relative:page;mso-position-vertical-relative:page" filled="f" stroked="f">
          <v:textbox inset="0,0,0,0">
            <w:txbxContent>
              <w:p w:rsidR="00B04AE3" w:rsidRDefault="00B04AE3">
                <w:pPr>
                  <w:spacing w:line="203" w:lineRule="exact"/>
                  <w:ind w:left="40"/>
                  <w:rPr>
                    <w:rFonts w:ascii="Calibri"/>
                    <w:sz w:val="18"/>
                  </w:rPr>
                </w:pPr>
                <w:r>
                  <w:rPr>
                    <w:rFonts w:ascii="Calibri"/>
                    <w:sz w:val="18"/>
                  </w:rPr>
                  <w:fldChar w:fldCharType="begin"/>
                </w:r>
                <w:r>
                  <w:rPr>
                    <w:rFonts w:ascii="Calibri"/>
                    <w:sz w:val="18"/>
                  </w:rPr>
                  <w:instrText xml:space="preserve"> PAGE </w:instrText>
                </w:r>
                <w:r>
                  <w:rPr>
                    <w:rFonts w:ascii="Calibri"/>
                    <w:sz w:val="18"/>
                  </w:rPr>
                  <w:fldChar w:fldCharType="separate"/>
                </w:r>
                <w:r>
                  <w:rPr>
                    <w:rFonts w:ascii="Calibri"/>
                    <w:noProof/>
                    <w:sz w:val="18"/>
                  </w:rPr>
                  <w:t>4</w:t>
                </w:r>
                <w:r>
                  <w:rPr>
                    <w:rFonts w:ascii="Calibri"/>
                    <w:sz w:val="18"/>
                  </w:rPr>
                  <w:fldChar w:fldCharType="end"/>
                </w:r>
              </w:p>
            </w:txbxContent>
          </v:textbox>
          <w10:wrap anchorx="page" anchory="pag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60" type="#_x0000_t202" style="position:absolute;margin-left:282.15pt;margin-top:781.2pt;width:13.1pt;height:12pt;z-index:-251667456;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43</w:t>
                </w:r>
                <w:r>
                  <w:rPr>
                    <w:rFonts w:ascii="Times New Roman"/>
                    <w:sz w:val="18"/>
                  </w:rPr>
                  <w:fldChar w:fldCharType="end"/>
                </w:r>
              </w:p>
            </w:txbxContent>
          </v:textbox>
          <w10:wrap anchorx="page" anchory="pag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62" type="#_x0000_t202" style="position:absolute;margin-left:282.15pt;margin-top:781.2pt;width:13.1pt;height:12pt;z-index:-251666432;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59</w:t>
                </w:r>
                <w:r>
                  <w:rPr>
                    <w:rFonts w:ascii="Times New Roman"/>
                    <w:sz w:val="18"/>
                  </w:rPr>
                  <w:fldChar w:fldCharType="end"/>
                </w:r>
              </w:p>
            </w:txbxContent>
          </v:textbox>
          <w10:wrap anchorx="page" anchory="pag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63" type="#_x0000_t202" style="position:absolute;margin-left:282.15pt;margin-top:781.2pt;width:13.1pt;height:12pt;z-index:-251665408;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73</w:t>
                </w:r>
                <w:r>
                  <w:rPr>
                    <w:rFonts w:ascii="Times New Roman"/>
                    <w:sz w:val="18"/>
                  </w:rPr>
                  <w:fldChar w:fldCharType="end"/>
                </w:r>
              </w:p>
            </w:txbxContent>
          </v:textbox>
          <w10:wrap anchorx="page" anchory="pag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64" type="#_x0000_t202" style="position:absolute;margin-left:282.15pt;margin-top:781.2pt;width:13.1pt;height:12pt;z-index:-251664384;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85</w:t>
                </w:r>
                <w:r>
                  <w:rPr>
                    <w:rFonts w:ascii="Times New Roman"/>
                    <w:sz w:val="18"/>
                  </w:rPr>
                  <w:fldChar w:fldCharType="end"/>
                </w:r>
              </w:p>
            </w:txbxContent>
          </v:textbox>
          <w10:wrap anchorx="page" anchory="pag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67" type="#_x0000_t202" style="position:absolute;margin-left:405.35pt;margin-top:534.6pt;width:13.1pt;height:12pt;z-index:-251661312;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90</w:t>
                </w:r>
                <w:r>
                  <w:rPr>
                    <w:rFonts w:ascii="Times New Roman"/>
                    <w:sz w:val="18"/>
                  </w:rPr>
                  <w:fldChar w:fldCharType="end"/>
                </w:r>
              </w:p>
            </w:txbxContent>
          </v:textbox>
          <w10:wrap anchorx="page" anchory="pag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68" type="#_x0000_t202" style="position:absolute;margin-left:405.35pt;margin-top:534.6pt;width:13.1pt;height:12pt;z-index:-251660288;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94</w:t>
                </w:r>
                <w:r>
                  <w:rPr>
                    <w:rFonts w:ascii="Times New Roman"/>
                    <w:sz w:val="18"/>
                  </w:rPr>
                  <w:fldChar w:fldCharType="end"/>
                </w:r>
              </w:p>
            </w:txbxContent>
          </v:textbox>
          <w10:wrap anchorx="page" anchory="pag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71" type="#_x0000_t202" style="position:absolute;margin-left:282.15pt;margin-top:781.2pt;width:13.1pt;height:12pt;z-index:-251657216;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96</w:t>
                </w:r>
                <w:r>
                  <w:rPr>
                    <w:rFonts w:ascii="Times New Roman"/>
                    <w:sz w:val="18"/>
                  </w:rPr>
                  <w:fldChar w:fldCharType="end"/>
                </w:r>
              </w:p>
            </w:txbxContent>
          </v:textbox>
          <w10:wrap anchorx="page" anchory="pag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72" type="#_x0000_t202" style="position:absolute;margin-left:279.85pt;margin-top:781.2pt;width:17.5pt;height:12pt;z-index:-251656192;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101</w:t>
                </w:r>
                <w:r>
                  <w:rPr>
                    <w:rFonts w:ascii="Times New Roman"/>
                    <w:sz w:val="18"/>
                  </w:rPr>
                  <w:fldChar w:fldCharType="end"/>
                </w:r>
              </w:p>
            </w:txbxContent>
          </v:textbox>
          <w10:wrap anchorx="page" anchory="pag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75" type="#_x0000_t202" style="position:absolute;margin-left:291.15pt;margin-top:770.9pt;width:13pt;height:12pt;z-index:-251653120;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 ROMAN </w:instrText>
                </w:r>
                <w:r>
                  <w:rPr>
                    <w:rFonts w:ascii="Times New Roman"/>
                    <w:sz w:val="18"/>
                  </w:rPr>
                  <w:fldChar w:fldCharType="separate"/>
                </w:r>
                <w:r>
                  <w:rPr>
                    <w:rFonts w:ascii="Times New Roman"/>
                    <w:noProof/>
                    <w:sz w:val="18"/>
                  </w:rPr>
                  <w:t>I</w:t>
                </w:r>
                <w:r>
                  <w:rPr>
                    <w:rFonts w:ascii="Times New Roman"/>
                    <w:sz w:val="18"/>
                  </w:rPr>
                  <w:fldChar w:fldCharType="end"/>
                </w:r>
              </w:p>
            </w:txbxContent>
          </v:textbox>
          <w10:wrap anchorx="page" anchory="pag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78" type="#_x0000_t202" style="position:absolute;margin-left:291.15pt;margin-top:794.9pt;width:13.1pt;height:12pt;z-index:-251650048;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4</w:t>
                </w:r>
                <w:r>
                  <w:rPr>
                    <w:rFonts w:ascii="Times New Roman"/>
                    <w:sz w:val="18"/>
                  </w:rPr>
                  <w:fldChar w:fldCharType="end"/>
                </w:r>
              </w:p>
            </w:txbxContent>
          </v:textbox>
          <w10:wrap anchorx="page" anchory="pag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80" type="#_x0000_t202" style="position:absolute;margin-left:291.15pt;margin-top:794.9pt;width:13.1pt;height:12pt;z-index:-251649024;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25</w:t>
                </w:r>
                <w:r>
                  <w:rPr>
                    <w:rFonts w:ascii="Times New Roman"/>
                    <w:sz w:val="18"/>
                  </w:rPr>
                  <w:fldChar w:fldCharType="end"/>
                </w:r>
              </w:p>
            </w:txbxContent>
          </v:textbox>
          <w10:wrap anchorx="page" anchory="pag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81" type="#_x0000_t202" style="position:absolute;margin-left:291.15pt;margin-top:794.9pt;width:13.1pt;height:12pt;z-index:-251648000;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30</w:t>
                </w:r>
                <w:r>
                  <w:rPr>
                    <w:rFonts w:ascii="Times New Roman"/>
                    <w:sz w:val="18"/>
                  </w:rPr>
                  <w:fldChar w:fldCharType="end"/>
                </w:r>
              </w:p>
            </w:txbxContent>
          </v:textbox>
          <w10:wrap anchorx="page" anchory="pag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82" type="#_x0000_t202" style="position:absolute;margin-left:291.15pt;margin-top:794.9pt;width:13.1pt;height:12pt;z-index:-251646976;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45</w:t>
                </w:r>
                <w:r>
                  <w:rPr>
                    <w:rFonts w:ascii="Times New Roman"/>
                    <w:sz w:val="18"/>
                  </w:rPr>
                  <w:fldChar w:fldCharType="end"/>
                </w:r>
              </w:p>
            </w:txbxContent>
          </v:textbox>
          <w10:wrap anchorx="page" anchory="pag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83" type="#_x0000_t202" style="position:absolute;margin-left:291.15pt;margin-top:794.9pt;width:13.1pt;height:12pt;z-index:-251645952;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53</w:t>
                </w:r>
                <w:r>
                  <w:rPr>
                    <w:rFonts w:ascii="Times New Roman"/>
                    <w:sz w:val="18"/>
                  </w:rPr>
                  <w:fldChar w:fldCharType="end"/>
                </w:r>
              </w:p>
            </w:txbxContent>
          </v:textbox>
          <w10:wrap anchorx="page" anchory="pag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86" type="#_x0000_t202" style="position:absolute;margin-left:291.15pt;margin-top:781.2pt;width:13.1pt;height:12pt;z-index:-251642880;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54</w:t>
                </w:r>
                <w:r>
                  <w:rPr>
                    <w:rFonts w:ascii="Times New Roman"/>
                    <w:sz w:val="18"/>
                  </w:rPr>
                  <w:fldChar w:fldCharType="end"/>
                </w:r>
              </w:p>
            </w:txbxContent>
          </v:textbox>
          <w10:wrap anchorx="page" anchory="pag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87" type="#_x0000_t202" style="position:absolute;margin-left:291.15pt;margin-top:781.2pt;width:13.1pt;height:12pt;z-index:-251641856;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55</w:t>
                </w:r>
                <w:r>
                  <w:rPr>
                    <w:rFonts w:ascii="Times New Roman"/>
                    <w:sz w:val="18"/>
                  </w:rPr>
                  <w:fldChar w:fldCharType="end"/>
                </w:r>
              </w:p>
            </w:txbxContent>
          </v:textbox>
          <w10:wrap anchorx="page" anchory="pag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52" type="#_x0000_t202" style="position:absolute;margin-left:291.15pt;margin-top:781.2pt;width:13pt;height:12pt;z-index:-251675648;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 ROMAN </w:instrText>
                </w:r>
                <w:r>
                  <w:rPr>
                    <w:rFonts w:ascii="Times New Roman"/>
                    <w:sz w:val="18"/>
                  </w:rPr>
                  <w:fldChar w:fldCharType="separate"/>
                </w:r>
                <w:r>
                  <w:rPr>
                    <w:rFonts w:ascii="Times New Roman"/>
                    <w:noProof/>
                    <w:sz w:val="18"/>
                  </w:rPr>
                  <w:t>III</w:t>
                </w:r>
                <w:r>
                  <w:rPr>
                    <w:rFonts w:ascii="Times New Roman"/>
                    <w:sz w:val="18"/>
                  </w:rPr>
                  <w:fldChar w:fldCharType="end"/>
                </w:r>
              </w:p>
            </w:txbxContent>
          </v:textbox>
          <w10:wrap anchorx="page" anchory="pag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90" type="#_x0000_t202" style="position:absolute;margin-left:293.4pt;margin-top:770.9pt;width:8.5pt;height:12pt;z-index:-251638784;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2</w:t>
                </w:r>
                <w:r>
                  <w:rPr>
                    <w:rFonts w:ascii="Times New Roman"/>
                    <w:sz w:val="18"/>
                  </w:rPr>
                  <w:fldChar w:fldCharType="end"/>
                </w:r>
              </w:p>
            </w:txbxContent>
          </v:textbox>
          <w10:wrap anchorx="page" anchory="pag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53" type="#_x0000_t202" style="position:absolute;margin-left:293.4pt;margin-top:781.2pt;width:8.5pt;height:12pt;z-index:-251674624;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7</w:t>
                </w:r>
                <w:r>
                  <w:rPr>
                    <w:rFonts w:ascii="Times New Roman"/>
                    <w:sz w:val="18"/>
                  </w:rPr>
                  <w:fldChar w:fldCharType="end"/>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56" type="#_x0000_t202" style="position:absolute;margin-left:284.4pt;margin-top:781.2pt;width:8.5pt;height:12pt;z-index:-251671552;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9</w:t>
                </w:r>
                <w:r>
                  <w:rPr>
                    <w:rFonts w:ascii="Times New Roman"/>
                    <w:sz w:val="18"/>
                  </w:rPr>
                  <w:fldChar w:fldCharType="end"/>
                </w:r>
              </w:p>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57" type="#_x0000_t202" style="position:absolute;margin-left:282.15pt;margin-top:781.2pt;width:13.1pt;height:12pt;z-index:-251670528;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22</w:t>
                </w:r>
                <w:r>
                  <w:rPr>
                    <w:rFonts w:ascii="Times New Roman"/>
                    <w:sz w:val="18"/>
                  </w:rPr>
                  <w:fldChar w:fldCharType="end"/>
                </w:r>
              </w:p>
            </w:txbxContent>
          </v:textbox>
          <w10:wrap anchorx="page" anchory="pag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58" type="#_x0000_t202" style="position:absolute;margin-left:282.15pt;margin-top:781.2pt;width:13.1pt;height:12pt;z-index:-251669504;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33</w:t>
                </w:r>
                <w:r>
                  <w:rPr>
                    <w:rFonts w:ascii="Times New Roman"/>
                    <w:sz w:val="18"/>
                  </w:rPr>
                  <w:fldChar w:fldCharType="end"/>
                </w:r>
              </w:p>
            </w:txbxContent>
          </v:textbox>
          <w10:wrap anchorx="page" anchory="pag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59" type="#_x0000_t202" style="position:absolute;margin-left:282.15pt;margin-top:781.2pt;width:13.1pt;height:12pt;z-index:-251668480;mso-position-horizontal-relative:page;mso-position-vertical-relative:page" filled="f" stroked="f">
          <v:textbox inset="0,0,0,0">
            <w:txbxContent>
              <w:p w:rsidR="00B04AE3" w:rsidRDefault="00B04AE3">
                <w:pPr>
                  <w:spacing w:before="12"/>
                  <w:ind w:left="40"/>
                  <w:rPr>
                    <w:rFonts w:ascii="Times New Roman"/>
                    <w:sz w:val="18"/>
                  </w:rPr>
                </w:pPr>
                <w:r>
                  <w:rPr>
                    <w:rFonts w:ascii="Times New Roman"/>
                    <w:sz w:val="18"/>
                  </w:rPr>
                  <w:fldChar w:fldCharType="begin"/>
                </w:r>
                <w:r>
                  <w:rPr>
                    <w:rFonts w:ascii="Times New Roman"/>
                    <w:sz w:val="18"/>
                  </w:rPr>
                  <w:instrText xml:space="preserve"> PAGE </w:instrText>
                </w:r>
                <w:r>
                  <w:rPr>
                    <w:rFonts w:ascii="Times New Roman"/>
                    <w:sz w:val="18"/>
                  </w:rPr>
                  <w:fldChar w:fldCharType="separate"/>
                </w:r>
                <w:r>
                  <w:rPr>
                    <w:rFonts w:ascii="Times New Roman"/>
                    <w:noProof/>
                    <w:sz w:val="18"/>
                  </w:rPr>
                  <w:t>41</w:t>
                </w:r>
                <w:r>
                  <w:rPr>
                    <w:rFonts w:ascii="Times New Roman"/>
                    <w:sz w:val="18"/>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4AE3" w:rsidRDefault="00B04AE3" w:rsidP="004C50A6">
      <w:r>
        <w:separator/>
      </w:r>
    </w:p>
  </w:footnote>
  <w:footnote w:type="continuationSeparator" w:id="0">
    <w:p w:rsidR="00B04AE3" w:rsidRDefault="00B04AE3" w:rsidP="004C50A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line id="_x0000_s2050" style="position:absolute;z-index:-251677696;mso-position-horizontal-relative:page;mso-position-vertical-relative:page" from="89.8pt,55.55pt" to="505.4pt,55.55pt" strokeweight=".72pt">
          <w10:wrap anchorx="page" anchory="page"/>
        </v:line>
      </w:pict>
    </w:r>
    <w:r>
      <w:rPr>
        <w:noProof/>
        <w:lang w:val="en-US"/>
      </w:rPr>
      <w:pict>
        <v:shapetype id="_x0000_t202" coordsize="21600,21600" o:spt="202" path="m,l,21600r21600,l21600,xe">
          <v:stroke joinstyle="miter"/>
          <v:path gradientshapeok="t" o:connecttype="rect"/>
        </v:shapetype>
        <v:shape id="_x0000_s2051" type="#_x0000_t202" style="position:absolute;margin-left:197.6pt;margin-top:42.9pt;width:200pt;height:11pt;z-index:-251676672;mso-position-horizontal-relative:page;mso-position-vertical-relative:page" filled="f" stroked="f">
          <v:textbox inset="0,0,0,0">
            <w:txbxContent>
              <w:p w:rsidR="00B04AE3" w:rsidRDefault="00B04AE3" w:rsidP="003446E2">
                <w:pPr>
                  <w:spacing w:line="220" w:lineRule="exact"/>
                  <w:ind w:left="20" w:firstLineChars="200" w:firstLine="31680"/>
                  <w:rPr>
                    <w:sz w:val="18"/>
                  </w:rPr>
                </w:pPr>
                <w:r>
                  <w:rPr>
                    <w:rFonts w:hint="eastAsia"/>
                    <w:sz w:val="18"/>
                  </w:rPr>
                  <w:t>南昌海立电器有限公司突发环境事件应急预案</w:t>
                </w:r>
              </w:p>
            </w:txbxContent>
          </v:textbox>
          <w10:wrap anchorx="page" anchory="pag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line id="_x0000_s2084" style="position:absolute;z-index:-251644928;mso-position-horizontal-relative:page;mso-position-vertical-relative:page" from="89.8pt,55.55pt" to="505.4pt,55.55pt" strokeweight=".72pt">
          <w10:wrap anchorx="page" anchory="page"/>
        </v:line>
      </w:pict>
    </w:r>
    <w:r>
      <w:rPr>
        <w:noProof/>
        <w:lang w:val="en-US"/>
      </w:rPr>
      <w:pict>
        <v:shapetype id="_x0000_t202" coordsize="21600,21600" o:spt="202" path="m,l,21600r21600,l21600,xe">
          <v:stroke joinstyle="miter"/>
          <v:path gradientshapeok="t" o:connecttype="rect"/>
        </v:shapetype>
        <v:shape id="_x0000_s2085" type="#_x0000_t202" style="position:absolute;margin-left:206.6pt;margin-top:42.9pt;width:182pt;height:11pt;z-index:-251643904;mso-position-horizontal-relative:page;mso-position-vertical-relative:page" filled="f" stroked="f">
          <v:textbox inset="0,0,0,0">
            <w:txbxContent>
              <w:p w:rsidR="00B04AE3" w:rsidRDefault="00B04AE3">
                <w:pPr>
                  <w:spacing w:line="220" w:lineRule="exact"/>
                  <w:ind w:left="20"/>
                  <w:rPr>
                    <w:sz w:val="18"/>
                  </w:rPr>
                </w:pPr>
                <w:r>
                  <w:rPr>
                    <w:rFonts w:hint="eastAsia"/>
                    <w:sz w:val="18"/>
                  </w:rPr>
                  <w:t>南昌海立电器有限公司环境风险评估报告</w:t>
                </w:r>
              </w:p>
            </w:txbxContent>
          </v:textbox>
          <w10:wrap anchorx="page" anchory="pag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88" type="#_x0000_t202" style="position:absolute;margin-left:274pt;margin-top:77.5pt;width:47.15pt;height:20pt;z-index:-251640832;mso-position-horizontal-relative:page;mso-position-vertical-relative:page" filled="f" stroked="f">
          <v:textbox inset="0,0,0,0">
            <w:txbxContent>
              <w:p w:rsidR="00B04AE3" w:rsidRDefault="00B04AE3">
                <w:pPr>
                  <w:spacing w:line="400" w:lineRule="exact"/>
                  <w:ind w:left="20"/>
                  <w:rPr>
                    <w:b/>
                    <w:sz w:val="36"/>
                  </w:rPr>
                </w:pPr>
                <w:r>
                  <w:rPr>
                    <w:rFonts w:hint="eastAsia"/>
                    <w:b/>
                    <w:sz w:val="36"/>
                  </w:rPr>
                  <w:t>前</w:t>
                </w:r>
                <w:r>
                  <w:rPr>
                    <w:b/>
                    <w:sz w:val="36"/>
                  </w:rPr>
                  <w:t xml:space="preserve"> </w:t>
                </w:r>
                <w:r>
                  <w:rPr>
                    <w:rFonts w:hint="eastAsia"/>
                    <w:b/>
                    <w:sz w:val="36"/>
                  </w:rPr>
                  <w:t>言</w:t>
                </w:r>
              </w:p>
            </w:txbxContent>
          </v:textbox>
          <w10:wrap anchorx="page" anchory="pag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shapetype id="_x0000_t202" coordsize="21600,21600" o:spt="202" path="m,l,21600r21600,l21600,xe">
          <v:stroke joinstyle="miter"/>
          <v:path gradientshapeok="t" o:connecttype="rect"/>
        </v:shapetype>
        <v:shape id="_x0000_s2089" type="#_x0000_t202" style="position:absolute;margin-left:278.6pt;margin-top:77.5pt;width:38.15pt;height:20pt;z-index:-251639808;mso-position-horizontal-relative:page;mso-position-vertical-relative:page" filled="f" stroked="f">
          <v:textbox inset="0,0,0,0">
            <w:txbxContent>
              <w:p w:rsidR="00B04AE3" w:rsidRDefault="00B04AE3">
                <w:pPr>
                  <w:spacing w:line="400" w:lineRule="exact"/>
                  <w:ind w:left="20"/>
                  <w:rPr>
                    <w:b/>
                    <w:sz w:val="36"/>
                  </w:rPr>
                </w:pPr>
                <w:r>
                  <w:rPr>
                    <w:rFonts w:hint="eastAsia"/>
                    <w:b/>
                    <w:sz w:val="36"/>
                  </w:rPr>
                  <w:t>目录</w:t>
                </w:r>
              </w:p>
            </w:txbxContent>
          </v:textbox>
          <w10:wrap anchorx="page" anchory="pag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line id="_x0000_s2054" style="position:absolute;z-index:-251673600;mso-position-horizontal-relative:page;mso-position-vertical-relative:page" from="89.8pt,55.55pt" to="505.4pt,55.55pt" strokeweight=".72pt">
          <w10:wrap anchorx="page" anchory="page"/>
        </v:line>
      </w:pict>
    </w:r>
    <w:r>
      <w:rPr>
        <w:noProof/>
        <w:lang w:val="en-US"/>
      </w:rPr>
      <w:pict>
        <v:shapetype id="_x0000_t202" coordsize="21600,21600" o:spt="202" path="m,l,21600r21600,l21600,xe">
          <v:stroke joinstyle="miter"/>
          <v:path gradientshapeok="t" o:connecttype="rect"/>
        </v:shapetype>
        <v:shape id="_x0000_s2055" type="#_x0000_t202" style="position:absolute;margin-left:197.6pt;margin-top:42.9pt;width:200pt;height:11pt;z-index:-251672576;mso-position-horizontal-relative:page;mso-position-vertical-relative:page" filled="f" stroked="f">
          <v:textbox inset="0,0,0,0">
            <w:txbxContent>
              <w:p w:rsidR="00B04AE3" w:rsidRDefault="00B04AE3">
                <w:pPr>
                  <w:spacing w:line="220" w:lineRule="exact"/>
                  <w:ind w:left="20"/>
                  <w:rPr>
                    <w:sz w:val="18"/>
                  </w:rPr>
                </w:pPr>
                <w:r>
                  <w:rPr>
                    <w:rFonts w:hint="eastAsia"/>
                    <w:sz w:val="18"/>
                  </w:rPr>
                  <w:t>南昌海立电器有限公司突发环境事件应急预案</w:t>
                </w:r>
              </w:p>
            </w:txbxContent>
          </v:textbox>
          <w10:wrap anchorx="page" anchory="pag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line id="_x0000_s2065" style="position:absolute;z-index:-251663360;mso-position-horizontal-relative:page;mso-position-vertical-relative:page" from="1in,55.55pt" to="769.9pt,55.55pt" strokeweight=".72pt">
          <w10:wrap anchorx="page" anchory="page"/>
        </v:line>
      </w:pict>
    </w:r>
    <w:r>
      <w:rPr>
        <w:noProof/>
        <w:lang w:val="en-US"/>
      </w:rPr>
      <w:pict>
        <v:shapetype id="_x0000_t202" coordsize="21600,21600" o:spt="202" path="m,l,21600r21600,l21600,xe">
          <v:stroke joinstyle="miter"/>
          <v:path gradientshapeok="t" o:connecttype="rect"/>
        </v:shapetype>
        <v:shape id="_x0000_s2066" type="#_x0000_t202" style="position:absolute;margin-left:320.95pt;margin-top:42.9pt;width:200pt;height:11pt;z-index:-251662336;mso-position-horizontal-relative:page;mso-position-vertical-relative:page" filled="f" stroked="f">
          <v:textbox inset="0,0,0,0">
            <w:txbxContent>
              <w:p w:rsidR="00B04AE3" w:rsidRDefault="00B04AE3">
                <w:pPr>
                  <w:spacing w:line="220" w:lineRule="exact"/>
                  <w:ind w:left="20"/>
                  <w:rPr>
                    <w:sz w:val="18"/>
                  </w:rPr>
                </w:pPr>
                <w:r>
                  <w:rPr>
                    <w:rFonts w:hint="eastAsia"/>
                    <w:sz w:val="18"/>
                  </w:rPr>
                  <w:t>南昌海立电器有限公司突发环境事件应急预案</w:t>
                </w:r>
              </w:p>
            </w:txbxContent>
          </v:textbox>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line id="_x0000_s2069" style="position:absolute;z-index:-251659264;mso-position-horizontal-relative:page;mso-position-vertical-relative:page" from="61.5pt,55.55pt" to="533.8pt,55.55pt" strokeweight=".72pt">
          <w10:wrap anchorx="page" anchory="page"/>
        </v:line>
      </w:pict>
    </w:r>
    <w:r>
      <w:rPr>
        <w:noProof/>
        <w:lang w:val="en-US"/>
      </w:rPr>
      <w:pict>
        <v:shapetype id="_x0000_t202" coordsize="21600,21600" o:spt="202" path="m,l,21600r21600,l21600,xe">
          <v:stroke joinstyle="miter"/>
          <v:path gradientshapeok="t" o:connecttype="rect"/>
        </v:shapetype>
        <v:shape id="_x0000_s2070" type="#_x0000_t202" style="position:absolute;margin-left:197.6pt;margin-top:42.9pt;width:200pt;height:11pt;z-index:-251658240;mso-position-horizontal-relative:page;mso-position-vertical-relative:page" filled="f" stroked="f">
          <v:textbox inset="0,0,0,0">
            <w:txbxContent>
              <w:p w:rsidR="00B04AE3" w:rsidRDefault="00B04AE3">
                <w:pPr>
                  <w:spacing w:line="220" w:lineRule="exact"/>
                  <w:ind w:left="20"/>
                  <w:rPr>
                    <w:sz w:val="18"/>
                  </w:rPr>
                </w:pPr>
                <w:r>
                  <w:rPr>
                    <w:rFonts w:hint="eastAsia"/>
                    <w:sz w:val="18"/>
                  </w:rPr>
                  <w:t>南昌海立电器有限公司突发环境事件应急预案</w:t>
                </w:r>
              </w:p>
            </w:txbxContent>
          </v:textbox>
          <w10:wrap anchorx="page" anchory="pag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line id="_x0000_s2073" style="position:absolute;z-index:-251655168;mso-position-horizontal-relative:page;mso-position-vertical-relative:page" from="90pt,55.55pt" to="505.3pt,55.55pt" strokeweight=".72pt">
          <w10:wrap anchorx="page" anchory="page"/>
        </v:line>
      </w:pict>
    </w:r>
    <w:r>
      <w:rPr>
        <w:noProof/>
        <w:lang w:val="en-US"/>
      </w:rPr>
      <w:pict>
        <v:shapetype id="_x0000_t202" coordsize="21600,21600" o:spt="202" path="m,l,21600r21600,l21600,xe">
          <v:stroke joinstyle="miter"/>
          <v:path gradientshapeok="t" o:connecttype="rect"/>
        </v:shapetype>
        <v:shape id="_x0000_s2074" type="#_x0000_t202" style="position:absolute;margin-left:206.6pt;margin-top:42.9pt;width:182pt;height:11pt;z-index:-251654144;mso-position-horizontal-relative:page;mso-position-vertical-relative:page" filled="f" stroked="f">
          <v:textbox inset="0,0,0,0">
            <w:txbxContent>
              <w:p w:rsidR="00B04AE3" w:rsidRDefault="00B04AE3">
                <w:pPr>
                  <w:spacing w:line="220" w:lineRule="exact"/>
                  <w:ind w:left="20"/>
                  <w:rPr>
                    <w:sz w:val="18"/>
                  </w:rPr>
                </w:pPr>
                <w:r>
                  <w:rPr>
                    <w:rFonts w:hint="eastAsia"/>
                    <w:sz w:val="18"/>
                  </w:rPr>
                  <w:t>南昌海立电器有限公司环境风险评估报告</w:t>
                </w:r>
              </w:p>
            </w:txbxContent>
          </v:textbox>
          <w10:wrap anchorx="page" anchory="pag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AE3" w:rsidRDefault="00B04AE3">
    <w:pPr>
      <w:pStyle w:val="BodyText"/>
      <w:spacing w:line="14" w:lineRule="auto"/>
      <w:rPr>
        <w:sz w:val="20"/>
      </w:rPr>
    </w:pPr>
    <w:r>
      <w:rPr>
        <w:noProof/>
        <w:lang w:val="en-US"/>
      </w:rPr>
      <w:pict>
        <v:line id="_x0000_s2076" style="position:absolute;z-index:-251652096;mso-position-horizontal-relative:page;mso-position-vertical-relative:page" from="90pt,49pt" to="505.3pt,49pt" strokeweight=".72pt">
          <w10:wrap anchorx="page" anchory="page"/>
        </v:line>
      </w:pict>
    </w:r>
    <w:r>
      <w:rPr>
        <w:noProof/>
        <w:lang w:val="en-US"/>
      </w:rPr>
      <w:pict>
        <v:shapetype id="_x0000_t202" coordsize="21600,21600" o:spt="202" path="m,l,21600r21600,l21600,xe">
          <v:stroke joinstyle="miter"/>
          <v:path gradientshapeok="t" o:connecttype="rect"/>
        </v:shapetype>
        <v:shape id="_x0000_s2077" type="#_x0000_t202" style="position:absolute;margin-left:206.6pt;margin-top:36.3pt;width:182pt;height:11pt;z-index:-251651072;mso-position-horizontal-relative:page;mso-position-vertical-relative:page" filled="f" stroked="f">
          <v:textbox inset="0,0,0,0">
            <w:txbxContent>
              <w:p w:rsidR="00B04AE3" w:rsidRDefault="00B04AE3">
                <w:pPr>
                  <w:spacing w:line="220" w:lineRule="exact"/>
                  <w:ind w:left="20"/>
                  <w:rPr>
                    <w:sz w:val="18"/>
                  </w:rPr>
                </w:pPr>
                <w:r>
                  <w:rPr>
                    <w:rFonts w:hint="eastAsia"/>
                    <w:sz w:val="18"/>
                  </w:rPr>
                  <w:t>南昌海立电器有限公司环境风险评估报告</w:t>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25EC3C5"/>
    <w:multiLevelType w:val="multilevel"/>
    <w:tmpl w:val="825EC3C5"/>
    <w:lvl w:ilvl="0">
      <w:start w:val="1"/>
      <w:numFmt w:val="decimal"/>
      <w:lvlText w:val="（%1）"/>
      <w:lvlJc w:val="left"/>
      <w:pPr>
        <w:ind w:left="535" w:hanging="527"/>
      </w:pPr>
      <w:rPr>
        <w:rFonts w:ascii="宋体" w:eastAsia="宋体" w:hAnsi="宋体" w:cs="宋体" w:hint="default"/>
        <w:spacing w:val="-1"/>
        <w:w w:val="99"/>
        <w:sz w:val="19"/>
        <w:szCs w:val="19"/>
      </w:rPr>
    </w:lvl>
    <w:lvl w:ilvl="1">
      <w:numFmt w:val="bullet"/>
      <w:lvlText w:val="•"/>
      <w:lvlJc w:val="left"/>
      <w:pPr>
        <w:ind w:left="1038" w:hanging="527"/>
      </w:pPr>
      <w:rPr>
        <w:rFonts w:hint="default"/>
      </w:rPr>
    </w:lvl>
    <w:lvl w:ilvl="2">
      <w:numFmt w:val="bullet"/>
      <w:lvlText w:val="•"/>
      <w:lvlJc w:val="left"/>
      <w:pPr>
        <w:ind w:left="1537" w:hanging="527"/>
      </w:pPr>
      <w:rPr>
        <w:rFonts w:hint="default"/>
      </w:rPr>
    </w:lvl>
    <w:lvl w:ilvl="3">
      <w:numFmt w:val="bullet"/>
      <w:lvlText w:val="•"/>
      <w:lvlJc w:val="left"/>
      <w:pPr>
        <w:ind w:left="2036" w:hanging="527"/>
      </w:pPr>
      <w:rPr>
        <w:rFonts w:hint="default"/>
      </w:rPr>
    </w:lvl>
    <w:lvl w:ilvl="4">
      <w:numFmt w:val="bullet"/>
      <w:lvlText w:val="•"/>
      <w:lvlJc w:val="left"/>
      <w:pPr>
        <w:ind w:left="2535" w:hanging="527"/>
      </w:pPr>
      <w:rPr>
        <w:rFonts w:hint="default"/>
      </w:rPr>
    </w:lvl>
    <w:lvl w:ilvl="5">
      <w:numFmt w:val="bullet"/>
      <w:lvlText w:val="•"/>
      <w:lvlJc w:val="left"/>
      <w:pPr>
        <w:ind w:left="3034" w:hanging="527"/>
      </w:pPr>
      <w:rPr>
        <w:rFonts w:hint="default"/>
      </w:rPr>
    </w:lvl>
    <w:lvl w:ilvl="6">
      <w:numFmt w:val="bullet"/>
      <w:lvlText w:val="•"/>
      <w:lvlJc w:val="left"/>
      <w:pPr>
        <w:ind w:left="3532" w:hanging="527"/>
      </w:pPr>
      <w:rPr>
        <w:rFonts w:hint="default"/>
      </w:rPr>
    </w:lvl>
    <w:lvl w:ilvl="7">
      <w:numFmt w:val="bullet"/>
      <w:lvlText w:val="•"/>
      <w:lvlJc w:val="left"/>
      <w:pPr>
        <w:ind w:left="4031" w:hanging="527"/>
      </w:pPr>
      <w:rPr>
        <w:rFonts w:hint="default"/>
      </w:rPr>
    </w:lvl>
    <w:lvl w:ilvl="8">
      <w:numFmt w:val="bullet"/>
      <w:lvlText w:val="•"/>
      <w:lvlJc w:val="left"/>
      <w:pPr>
        <w:ind w:left="4530" w:hanging="527"/>
      </w:pPr>
      <w:rPr>
        <w:rFonts w:hint="default"/>
      </w:rPr>
    </w:lvl>
  </w:abstractNum>
  <w:abstractNum w:abstractNumId="1">
    <w:nsid w:val="845B5372"/>
    <w:multiLevelType w:val="multilevel"/>
    <w:tmpl w:val="845B5372"/>
    <w:lvl w:ilvl="0">
      <w:start w:val="1"/>
      <w:numFmt w:val="decimal"/>
      <w:lvlText w:val="（%1）"/>
      <w:lvlJc w:val="left"/>
      <w:pPr>
        <w:ind w:left="108" w:hanging="525"/>
      </w:pPr>
      <w:rPr>
        <w:rFonts w:ascii="宋体" w:eastAsia="宋体" w:hAnsi="宋体" w:cs="宋体" w:hint="default"/>
        <w:spacing w:val="-25"/>
        <w:w w:val="99"/>
        <w:sz w:val="19"/>
        <w:szCs w:val="19"/>
      </w:rPr>
    </w:lvl>
    <w:lvl w:ilvl="1">
      <w:numFmt w:val="bullet"/>
      <w:lvlText w:val="•"/>
      <w:lvlJc w:val="left"/>
      <w:pPr>
        <w:ind w:left="941" w:hanging="525"/>
      </w:pPr>
      <w:rPr>
        <w:rFonts w:hint="default"/>
      </w:rPr>
    </w:lvl>
    <w:lvl w:ilvl="2">
      <w:numFmt w:val="bullet"/>
      <w:lvlText w:val="•"/>
      <w:lvlJc w:val="left"/>
      <w:pPr>
        <w:ind w:left="1783" w:hanging="525"/>
      </w:pPr>
      <w:rPr>
        <w:rFonts w:hint="default"/>
      </w:rPr>
    </w:lvl>
    <w:lvl w:ilvl="3">
      <w:numFmt w:val="bullet"/>
      <w:lvlText w:val="•"/>
      <w:lvlJc w:val="left"/>
      <w:pPr>
        <w:ind w:left="2625" w:hanging="525"/>
      </w:pPr>
      <w:rPr>
        <w:rFonts w:hint="default"/>
      </w:rPr>
    </w:lvl>
    <w:lvl w:ilvl="4">
      <w:numFmt w:val="bullet"/>
      <w:lvlText w:val="•"/>
      <w:lvlJc w:val="left"/>
      <w:pPr>
        <w:ind w:left="3467" w:hanging="525"/>
      </w:pPr>
      <w:rPr>
        <w:rFonts w:hint="default"/>
      </w:rPr>
    </w:lvl>
    <w:lvl w:ilvl="5">
      <w:numFmt w:val="bullet"/>
      <w:lvlText w:val="•"/>
      <w:lvlJc w:val="left"/>
      <w:pPr>
        <w:ind w:left="4309" w:hanging="525"/>
      </w:pPr>
      <w:rPr>
        <w:rFonts w:hint="default"/>
      </w:rPr>
    </w:lvl>
    <w:lvl w:ilvl="6">
      <w:numFmt w:val="bullet"/>
      <w:lvlText w:val="•"/>
      <w:lvlJc w:val="left"/>
      <w:pPr>
        <w:ind w:left="5150" w:hanging="525"/>
      </w:pPr>
      <w:rPr>
        <w:rFonts w:hint="default"/>
      </w:rPr>
    </w:lvl>
    <w:lvl w:ilvl="7">
      <w:numFmt w:val="bullet"/>
      <w:lvlText w:val="•"/>
      <w:lvlJc w:val="left"/>
      <w:pPr>
        <w:ind w:left="5992" w:hanging="525"/>
      </w:pPr>
      <w:rPr>
        <w:rFonts w:hint="default"/>
      </w:rPr>
    </w:lvl>
    <w:lvl w:ilvl="8">
      <w:numFmt w:val="bullet"/>
      <w:lvlText w:val="•"/>
      <w:lvlJc w:val="left"/>
      <w:pPr>
        <w:ind w:left="6834" w:hanging="525"/>
      </w:pPr>
      <w:rPr>
        <w:rFonts w:hint="default"/>
      </w:rPr>
    </w:lvl>
  </w:abstractNum>
  <w:abstractNum w:abstractNumId="2">
    <w:nsid w:val="883B3669"/>
    <w:multiLevelType w:val="multilevel"/>
    <w:tmpl w:val="883B3669"/>
    <w:lvl w:ilvl="0">
      <w:start w:val="1"/>
      <w:numFmt w:val="decimal"/>
      <w:lvlText w:val="（%1）"/>
      <w:lvlJc w:val="left"/>
      <w:pPr>
        <w:ind w:left="8" w:hanging="498"/>
      </w:pPr>
      <w:rPr>
        <w:rFonts w:ascii="宋体" w:eastAsia="宋体" w:hAnsi="宋体" w:cs="宋体" w:hint="default"/>
        <w:spacing w:val="-17"/>
        <w:w w:val="99"/>
        <w:sz w:val="19"/>
        <w:szCs w:val="19"/>
      </w:rPr>
    </w:lvl>
    <w:lvl w:ilvl="1">
      <w:numFmt w:val="bullet"/>
      <w:lvlText w:val="•"/>
      <w:lvlJc w:val="left"/>
      <w:pPr>
        <w:ind w:left="552" w:hanging="498"/>
      </w:pPr>
      <w:rPr>
        <w:rFonts w:hint="default"/>
      </w:rPr>
    </w:lvl>
    <w:lvl w:ilvl="2">
      <w:numFmt w:val="bullet"/>
      <w:lvlText w:val="•"/>
      <w:lvlJc w:val="left"/>
      <w:pPr>
        <w:ind w:left="1105" w:hanging="498"/>
      </w:pPr>
      <w:rPr>
        <w:rFonts w:hint="default"/>
      </w:rPr>
    </w:lvl>
    <w:lvl w:ilvl="3">
      <w:numFmt w:val="bullet"/>
      <w:lvlText w:val="•"/>
      <w:lvlJc w:val="left"/>
      <w:pPr>
        <w:ind w:left="1658" w:hanging="498"/>
      </w:pPr>
      <w:rPr>
        <w:rFonts w:hint="default"/>
      </w:rPr>
    </w:lvl>
    <w:lvl w:ilvl="4">
      <w:numFmt w:val="bullet"/>
      <w:lvlText w:val="•"/>
      <w:lvlJc w:val="left"/>
      <w:pPr>
        <w:ind w:left="2211" w:hanging="498"/>
      </w:pPr>
      <w:rPr>
        <w:rFonts w:hint="default"/>
      </w:rPr>
    </w:lvl>
    <w:lvl w:ilvl="5">
      <w:numFmt w:val="bullet"/>
      <w:lvlText w:val="•"/>
      <w:lvlJc w:val="left"/>
      <w:pPr>
        <w:ind w:left="2764" w:hanging="498"/>
      </w:pPr>
      <w:rPr>
        <w:rFonts w:hint="default"/>
      </w:rPr>
    </w:lvl>
    <w:lvl w:ilvl="6">
      <w:numFmt w:val="bullet"/>
      <w:lvlText w:val="•"/>
      <w:lvlJc w:val="left"/>
      <w:pPr>
        <w:ind w:left="3316" w:hanging="498"/>
      </w:pPr>
      <w:rPr>
        <w:rFonts w:hint="default"/>
      </w:rPr>
    </w:lvl>
    <w:lvl w:ilvl="7">
      <w:numFmt w:val="bullet"/>
      <w:lvlText w:val="•"/>
      <w:lvlJc w:val="left"/>
      <w:pPr>
        <w:ind w:left="3869" w:hanging="498"/>
      </w:pPr>
      <w:rPr>
        <w:rFonts w:hint="default"/>
      </w:rPr>
    </w:lvl>
    <w:lvl w:ilvl="8">
      <w:numFmt w:val="bullet"/>
      <w:lvlText w:val="•"/>
      <w:lvlJc w:val="left"/>
      <w:pPr>
        <w:ind w:left="4422" w:hanging="498"/>
      </w:pPr>
      <w:rPr>
        <w:rFonts w:hint="default"/>
      </w:rPr>
    </w:lvl>
  </w:abstractNum>
  <w:abstractNum w:abstractNumId="3">
    <w:nsid w:val="9239341B"/>
    <w:multiLevelType w:val="multilevel"/>
    <w:tmpl w:val="9239341B"/>
    <w:lvl w:ilvl="0">
      <w:start w:val="1"/>
      <w:numFmt w:val="decimal"/>
      <w:lvlText w:val="（%1）"/>
      <w:lvlJc w:val="left"/>
      <w:pPr>
        <w:ind w:left="2878" w:hanging="601"/>
      </w:pPr>
      <w:rPr>
        <w:rFonts w:ascii="宋体" w:eastAsia="宋体" w:hAnsi="宋体" w:cs="宋体" w:hint="default"/>
        <w:w w:val="100"/>
        <w:sz w:val="22"/>
        <w:szCs w:val="22"/>
      </w:rPr>
    </w:lvl>
    <w:lvl w:ilvl="1">
      <w:numFmt w:val="bullet"/>
      <w:lvlText w:val="•"/>
      <w:lvlJc w:val="left"/>
      <w:pPr>
        <w:ind w:left="3782" w:hanging="601"/>
      </w:pPr>
      <w:rPr>
        <w:rFonts w:hint="default"/>
      </w:rPr>
    </w:lvl>
    <w:lvl w:ilvl="2">
      <w:numFmt w:val="bullet"/>
      <w:lvlText w:val="•"/>
      <w:lvlJc w:val="left"/>
      <w:pPr>
        <w:ind w:left="4685" w:hanging="601"/>
      </w:pPr>
      <w:rPr>
        <w:rFonts w:hint="default"/>
      </w:rPr>
    </w:lvl>
    <w:lvl w:ilvl="3">
      <w:numFmt w:val="bullet"/>
      <w:lvlText w:val="•"/>
      <w:lvlJc w:val="left"/>
      <w:pPr>
        <w:ind w:left="5587" w:hanging="601"/>
      </w:pPr>
      <w:rPr>
        <w:rFonts w:hint="default"/>
      </w:rPr>
    </w:lvl>
    <w:lvl w:ilvl="4">
      <w:numFmt w:val="bullet"/>
      <w:lvlText w:val="•"/>
      <w:lvlJc w:val="left"/>
      <w:pPr>
        <w:ind w:left="6490" w:hanging="601"/>
      </w:pPr>
      <w:rPr>
        <w:rFonts w:hint="default"/>
      </w:rPr>
    </w:lvl>
    <w:lvl w:ilvl="5">
      <w:numFmt w:val="bullet"/>
      <w:lvlText w:val="•"/>
      <w:lvlJc w:val="left"/>
      <w:pPr>
        <w:ind w:left="7393" w:hanging="601"/>
      </w:pPr>
      <w:rPr>
        <w:rFonts w:hint="default"/>
      </w:rPr>
    </w:lvl>
    <w:lvl w:ilvl="6">
      <w:numFmt w:val="bullet"/>
      <w:lvlText w:val="•"/>
      <w:lvlJc w:val="left"/>
      <w:pPr>
        <w:ind w:left="8295" w:hanging="601"/>
      </w:pPr>
      <w:rPr>
        <w:rFonts w:hint="default"/>
      </w:rPr>
    </w:lvl>
    <w:lvl w:ilvl="7">
      <w:numFmt w:val="bullet"/>
      <w:lvlText w:val="•"/>
      <w:lvlJc w:val="left"/>
      <w:pPr>
        <w:ind w:left="9198" w:hanging="601"/>
      </w:pPr>
      <w:rPr>
        <w:rFonts w:hint="default"/>
      </w:rPr>
    </w:lvl>
    <w:lvl w:ilvl="8">
      <w:numFmt w:val="bullet"/>
      <w:lvlText w:val="•"/>
      <w:lvlJc w:val="left"/>
      <w:pPr>
        <w:ind w:left="10100" w:hanging="601"/>
      </w:pPr>
      <w:rPr>
        <w:rFonts w:hint="default"/>
      </w:rPr>
    </w:lvl>
  </w:abstractNum>
  <w:abstractNum w:abstractNumId="4">
    <w:nsid w:val="9C11E984"/>
    <w:multiLevelType w:val="multilevel"/>
    <w:tmpl w:val="9C11E984"/>
    <w:lvl w:ilvl="0">
      <w:start w:val="6"/>
      <w:numFmt w:val="decimal"/>
      <w:lvlText w:val="%1"/>
      <w:lvlJc w:val="left"/>
      <w:pPr>
        <w:ind w:left="1337" w:hanging="540"/>
      </w:pPr>
      <w:rPr>
        <w:rFonts w:cs="Times New Roman" w:hint="default"/>
      </w:rPr>
    </w:lvl>
    <w:lvl w:ilvl="1">
      <w:start w:val="1"/>
      <w:numFmt w:val="decimal"/>
      <w:lvlText w:val="%1.%2"/>
      <w:lvlJc w:val="left"/>
      <w:pPr>
        <w:ind w:left="1337" w:hanging="540"/>
      </w:pPr>
      <w:rPr>
        <w:rFonts w:cs="Times New Roman" w:hint="default"/>
      </w:rPr>
    </w:lvl>
    <w:lvl w:ilvl="2">
      <w:start w:val="1"/>
      <w:numFmt w:val="decimal"/>
      <w:lvlText w:val="%1.%2.%3"/>
      <w:lvlJc w:val="left"/>
      <w:pPr>
        <w:ind w:left="1337" w:hanging="540"/>
      </w:pPr>
      <w:rPr>
        <w:rFonts w:ascii="Times New Roman" w:eastAsia="Times New Roman" w:hAnsi="Times New Roman" w:cs="Times New Roman" w:hint="default"/>
        <w:b/>
        <w:bCs/>
        <w:w w:val="99"/>
        <w:sz w:val="24"/>
        <w:szCs w:val="24"/>
      </w:rPr>
    </w:lvl>
    <w:lvl w:ilvl="3">
      <w:numFmt w:val="bullet"/>
      <w:lvlText w:val="•"/>
      <w:lvlJc w:val="left"/>
      <w:pPr>
        <w:ind w:left="3909" w:hanging="540"/>
      </w:pPr>
      <w:rPr>
        <w:rFonts w:hint="default"/>
      </w:rPr>
    </w:lvl>
    <w:lvl w:ilvl="4">
      <w:numFmt w:val="bullet"/>
      <w:lvlText w:val="•"/>
      <w:lvlJc w:val="left"/>
      <w:pPr>
        <w:ind w:left="4766" w:hanging="540"/>
      </w:pPr>
      <w:rPr>
        <w:rFonts w:hint="default"/>
      </w:rPr>
    </w:lvl>
    <w:lvl w:ilvl="5">
      <w:numFmt w:val="bullet"/>
      <w:lvlText w:val="•"/>
      <w:lvlJc w:val="left"/>
      <w:pPr>
        <w:ind w:left="5623" w:hanging="540"/>
      </w:pPr>
      <w:rPr>
        <w:rFonts w:hint="default"/>
      </w:rPr>
    </w:lvl>
    <w:lvl w:ilvl="6">
      <w:numFmt w:val="bullet"/>
      <w:lvlText w:val="•"/>
      <w:lvlJc w:val="left"/>
      <w:pPr>
        <w:ind w:left="6479" w:hanging="540"/>
      </w:pPr>
      <w:rPr>
        <w:rFonts w:hint="default"/>
      </w:rPr>
    </w:lvl>
    <w:lvl w:ilvl="7">
      <w:numFmt w:val="bullet"/>
      <w:lvlText w:val="•"/>
      <w:lvlJc w:val="left"/>
      <w:pPr>
        <w:ind w:left="7336" w:hanging="540"/>
      </w:pPr>
      <w:rPr>
        <w:rFonts w:hint="default"/>
      </w:rPr>
    </w:lvl>
    <w:lvl w:ilvl="8">
      <w:numFmt w:val="bullet"/>
      <w:lvlText w:val="•"/>
      <w:lvlJc w:val="left"/>
      <w:pPr>
        <w:ind w:left="8192" w:hanging="540"/>
      </w:pPr>
      <w:rPr>
        <w:rFonts w:hint="default"/>
      </w:rPr>
    </w:lvl>
  </w:abstractNum>
  <w:abstractNum w:abstractNumId="5">
    <w:nsid w:val="9C8AC8EF"/>
    <w:multiLevelType w:val="multilevel"/>
    <w:tmpl w:val="9C8AC8EF"/>
    <w:lvl w:ilvl="0">
      <w:start w:val="3"/>
      <w:numFmt w:val="decimal"/>
      <w:lvlText w:val="%1"/>
      <w:lvlJc w:val="left"/>
      <w:pPr>
        <w:ind w:left="786" w:hanging="449"/>
      </w:pPr>
      <w:rPr>
        <w:rFonts w:cs="Times New Roman" w:hint="default"/>
      </w:rPr>
    </w:lvl>
    <w:lvl w:ilvl="1">
      <w:start w:val="3"/>
      <w:numFmt w:val="decimal"/>
      <w:lvlText w:val="%1.%2"/>
      <w:lvlJc w:val="left"/>
      <w:pPr>
        <w:ind w:left="786" w:hanging="449"/>
      </w:pPr>
      <w:rPr>
        <w:rFonts w:ascii="Times New Roman" w:eastAsia="Times New Roman" w:hAnsi="Times New Roman" w:cs="Times New Roman" w:hint="default"/>
        <w:b/>
        <w:bCs/>
        <w:spacing w:val="-1"/>
        <w:w w:val="100"/>
        <w:sz w:val="30"/>
        <w:szCs w:val="30"/>
      </w:rPr>
    </w:lvl>
    <w:lvl w:ilvl="2">
      <w:numFmt w:val="bullet"/>
      <w:lvlText w:val="•"/>
      <w:lvlJc w:val="left"/>
      <w:pPr>
        <w:ind w:left="2421" w:hanging="449"/>
      </w:pPr>
      <w:rPr>
        <w:rFonts w:hint="default"/>
      </w:rPr>
    </w:lvl>
    <w:lvl w:ilvl="3">
      <w:numFmt w:val="bullet"/>
      <w:lvlText w:val="•"/>
      <w:lvlJc w:val="left"/>
      <w:pPr>
        <w:ind w:left="3241" w:hanging="449"/>
      </w:pPr>
      <w:rPr>
        <w:rFonts w:hint="default"/>
      </w:rPr>
    </w:lvl>
    <w:lvl w:ilvl="4">
      <w:numFmt w:val="bullet"/>
      <w:lvlText w:val="•"/>
      <w:lvlJc w:val="left"/>
      <w:pPr>
        <w:ind w:left="4062" w:hanging="449"/>
      </w:pPr>
      <w:rPr>
        <w:rFonts w:hint="default"/>
      </w:rPr>
    </w:lvl>
    <w:lvl w:ilvl="5">
      <w:numFmt w:val="bullet"/>
      <w:lvlText w:val="•"/>
      <w:lvlJc w:val="left"/>
      <w:pPr>
        <w:ind w:left="4883" w:hanging="449"/>
      </w:pPr>
      <w:rPr>
        <w:rFonts w:hint="default"/>
      </w:rPr>
    </w:lvl>
    <w:lvl w:ilvl="6">
      <w:numFmt w:val="bullet"/>
      <w:lvlText w:val="•"/>
      <w:lvlJc w:val="left"/>
      <w:pPr>
        <w:ind w:left="5703" w:hanging="449"/>
      </w:pPr>
      <w:rPr>
        <w:rFonts w:hint="default"/>
      </w:rPr>
    </w:lvl>
    <w:lvl w:ilvl="7">
      <w:numFmt w:val="bullet"/>
      <w:lvlText w:val="•"/>
      <w:lvlJc w:val="left"/>
      <w:pPr>
        <w:ind w:left="6524" w:hanging="449"/>
      </w:pPr>
      <w:rPr>
        <w:rFonts w:hint="default"/>
      </w:rPr>
    </w:lvl>
    <w:lvl w:ilvl="8">
      <w:numFmt w:val="bullet"/>
      <w:lvlText w:val="•"/>
      <w:lvlJc w:val="left"/>
      <w:pPr>
        <w:ind w:left="7344" w:hanging="449"/>
      </w:pPr>
      <w:rPr>
        <w:rFonts w:hint="default"/>
      </w:rPr>
    </w:lvl>
  </w:abstractNum>
  <w:abstractNum w:abstractNumId="6">
    <w:nsid w:val="9F81B9F9"/>
    <w:multiLevelType w:val="multilevel"/>
    <w:tmpl w:val="9F81B9F9"/>
    <w:lvl w:ilvl="0">
      <w:start w:val="1"/>
      <w:numFmt w:val="decimal"/>
      <w:lvlText w:val="（%1）"/>
      <w:lvlJc w:val="left"/>
      <w:pPr>
        <w:ind w:left="535" w:hanging="527"/>
      </w:pPr>
      <w:rPr>
        <w:rFonts w:ascii="宋体" w:eastAsia="宋体" w:hAnsi="宋体" w:cs="宋体" w:hint="default"/>
        <w:spacing w:val="-73"/>
        <w:w w:val="99"/>
        <w:sz w:val="19"/>
        <w:szCs w:val="19"/>
      </w:rPr>
    </w:lvl>
    <w:lvl w:ilvl="1">
      <w:numFmt w:val="bullet"/>
      <w:lvlText w:val="•"/>
      <w:lvlJc w:val="left"/>
      <w:pPr>
        <w:ind w:left="1038" w:hanging="527"/>
      </w:pPr>
      <w:rPr>
        <w:rFonts w:hint="default"/>
      </w:rPr>
    </w:lvl>
    <w:lvl w:ilvl="2">
      <w:numFmt w:val="bullet"/>
      <w:lvlText w:val="•"/>
      <w:lvlJc w:val="left"/>
      <w:pPr>
        <w:ind w:left="1537" w:hanging="527"/>
      </w:pPr>
      <w:rPr>
        <w:rFonts w:hint="default"/>
      </w:rPr>
    </w:lvl>
    <w:lvl w:ilvl="3">
      <w:numFmt w:val="bullet"/>
      <w:lvlText w:val="•"/>
      <w:lvlJc w:val="left"/>
      <w:pPr>
        <w:ind w:left="2036" w:hanging="527"/>
      </w:pPr>
      <w:rPr>
        <w:rFonts w:hint="default"/>
      </w:rPr>
    </w:lvl>
    <w:lvl w:ilvl="4">
      <w:numFmt w:val="bullet"/>
      <w:lvlText w:val="•"/>
      <w:lvlJc w:val="left"/>
      <w:pPr>
        <w:ind w:left="2535" w:hanging="527"/>
      </w:pPr>
      <w:rPr>
        <w:rFonts w:hint="default"/>
      </w:rPr>
    </w:lvl>
    <w:lvl w:ilvl="5">
      <w:numFmt w:val="bullet"/>
      <w:lvlText w:val="•"/>
      <w:lvlJc w:val="left"/>
      <w:pPr>
        <w:ind w:left="3034" w:hanging="527"/>
      </w:pPr>
      <w:rPr>
        <w:rFonts w:hint="default"/>
      </w:rPr>
    </w:lvl>
    <w:lvl w:ilvl="6">
      <w:numFmt w:val="bullet"/>
      <w:lvlText w:val="•"/>
      <w:lvlJc w:val="left"/>
      <w:pPr>
        <w:ind w:left="3532" w:hanging="527"/>
      </w:pPr>
      <w:rPr>
        <w:rFonts w:hint="default"/>
      </w:rPr>
    </w:lvl>
    <w:lvl w:ilvl="7">
      <w:numFmt w:val="bullet"/>
      <w:lvlText w:val="•"/>
      <w:lvlJc w:val="left"/>
      <w:pPr>
        <w:ind w:left="4031" w:hanging="527"/>
      </w:pPr>
      <w:rPr>
        <w:rFonts w:hint="default"/>
      </w:rPr>
    </w:lvl>
    <w:lvl w:ilvl="8">
      <w:numFmt w:val="bullet"/>
      <w:lvlText w:val="•"/>
      <w:lvlJc w:val="left"/>
      <w:pPr>
        <w:ind w:left="4530" w:hanging="527"/>
      </w:pPr>
      <w:rPr>
        <w:rFonts w:hint="default"/>
      </w:rPr>
    </w:lvl>
  </w:abstractNum>
  <w:abstractNum w:abstractNumId="7">
    <w:nsid w:val="A0C93552"/>
    <w:multiLevelType w:val="multilevel"/>
    <w:tmpl w:val="A0C93552"/>
    <w:lvl w:ilvl="0">
      <w:start w:val="1"/>
      <w:numFmt w:val="decimal"/>
      <w:lvlText w:val="%1"/>
      <w:lvlJc w:val="left"/>
      <w:pPr>
        <w:ind w:left="1040" w:hanging="240"/>
      </w:pPr>
      <w:rPr>
        <w:rFonts w:ascii="Times New Roman" w:eastAsia="Times New Roman" w:hAnsi="Times New Roman" w:cs="Times New Roman" w:hint="default"/>
        <w:w w:val="100"/>
        <w:sz w:val="24"/>
        <w:szCs w:val="24"/>
      </w:rPr>
    </w:lvl>
    <w:lvl w:ilvl="1">
      <w:start w:val="1"/>
      <w:numFmt w:val="decimal"/>
      <w:lvlText w:val="%1.%2"/>
      <w:lvlJc w:val="left"/>
      <w:pPr>
        <w:ind w:left="1640" w:hanging="420"/>
      </w:pPr>
      <w:rPr>
        <w:rFonts w:ascii="Times New Roman" w:eastAsia="Times New Roman" w:hAnsi="Times New Roman" w:cs="Times New Roman" w:hint="default"/>
        <w:w w:val="100"/>
        <w:sz w:val="24"/>
        <w:szCs w:val="24"/>
      </w:rPr>
    </w:lvl>
    <w:lvl w:ilvl="2">
      <w:start w:val="1"/>
      <w:numFmt w:val="decimal"/>
      <w:lvlText w:val="%1.%2.%3"/>
      <w:lvlJc w:val="left"/>
      <w:pPr>
        <w:ind w:left="2240" w:hanging="600"/>
      </w:pPr>
      <w:rPr>
        <w:rFonts w:ascii="Times New Roman" w:eastAsia="Times New Roman" w:hAnsi="Times New Roman" w:cs="Times New Roman" w:hint="default"/>
        <w:w w:val="100"/>
        <w:sz w:val="24"/>
        <w:szCs w:val="24"/>
      </w:rPr>
    </w:lvl>
    <w:lvl w:ilvl="3">
      <w:numFmt w:val="bullet"/>
      <w:lvlText w:val="•"/>
      <w:lvlJc w:val="left"/>
      <w:pPr>
        <w:ind w:left="2240" w:hanging="600"/>
      </w:pPr>
      <w:rPr>
        <w:rFonts w:hint="default"/>
      </w:rPr>
    </w:lvl>
    <w:lvl w:ilvl="4">
      <w:numFmt w:val="bullet"/>
      <w:lvlText w:val="•"/>
      <w:lvlJc w:val="left"/>
      <w:pPr>
        <w:ind w:left="2360" w:hanging="600"/>
      </w:pPr>
      <w:rPr>
        <w:rFonts w:hint="default"/>
      </w:rPr>
    </w:lvl>
    <w:lvl w:ilvl="5">
      <w:numFmt w:val="bullet"/>
      <w:lvlText w:val="•"/>
      <w:lvlJc w:val="left"/>
      <w:pPr>
        <w:ind w:left="4740" w:hanging="600"/>
      </w:pPr>
      <w:rPr>
        <w:rFonts w:hint="default"/>
      </w:rPr>
    </w:lvl>
    <w:lvl w:ilvl="6">
      <w:numFmt w:val="bullet"/>
      <w:lvlText w:val="•"/>
      <w:lvlJc w:val="left"/>
      <w:pPr>
        <w:ind w:left="5773" w:hanging="600"/>
      </w:pPr>
      <w:rPr>
        <w:rFonts w:hint="default"/>
      </w:rPr>
    </w:lvl>
    <w:lvl w:ilvl="7">
      <w:numFmt w:val="bullet"/>
      <w:lvlText w:val="•"/>
      <w:lvlJc w:val="left"/>
      <w:pPr>
        <w:ind w:left="6806" w:hanging="600"/>
      </w:pPr>
      <w:rPr>
        <w:rFonts w:hint="default"/>
      </w:rPr>
    </w:lvl>
    <w:lvl w:ilvl="8">
      <w:numFmt w:val="bullet"/>
      <w:lvlText w:val="•"/>
      <w:lvlJc w:val="left"/>
      <w:pPr>
        <w:ind w:left="7839" w:hanging="600"/>
      </w:pPr>
      <w:rPr>
        <w:rFonts w:hint="default"/>
      </w:rPr>
    </w:lvl>
  </w:abstractNum>
  <w:abstractNum w:abstractNumId="8">
    <w:nsid w:val="A9AC3AA7"/>
    <w:multiLevelType w:val="multilevel"/>
    <w:tmpl w:val="A9AC3AA7"/>
    <w:lvl w:ilvl="0">
      <w:start w:val="1"/>
      <w:numFmt w:val="decimal"/>
      <w:lvlText w:val="（%1）"/>
      <w:lvlJc w:val="left"/>
      <w:pPr>
        <w:ind w:left="535" w:hanging="527"/>
      </w:pPr>
      <w:rPr>
        <w:rFonts w:ascii="宋体" w:eastAsia="宋体" w:hAnsi="宋体" w:cs="宋体" w:hint="default"/>
        <w:spacing w:val="-37"/>
        <w:w w:val="99"/>
        <w:sz w:val="19"/>
        <w:szCs w:val="19"/>
      </w:rPr>
    </w:lvl>
    <w:lvl w:ilvl="1">
      <w:numFmt w:val="bullet"/>
      <w:lvlText w:val="•"/>
      <w:lvlJc w:val="left"/>
      <w:pPr>
        <w:ind w:left="1038" w:hanging="527"/>
      </w:pPr>
      <w:rPr>
        <w:rFonts w:hint="default"/>
      </w:rPr>
    </w:lvl>
    <w:lvl w:ilvl="2">
      <w:numFmt w:val="bullet"/>
      <w:lvlText w:val="•"/>
      <w:lvlJc w:val="left"/>
      <w:pPr>
        <w:ind w:left="1537" w:hanging="527"/>
      </w:pPr>
      <w:rPr>
        <w:rFonts w:hint="default"/>
      </w:rPr>
    </w:lvl>
    <w:lvl w:ilvl="3">
      <w:numFmt w:val="bullet"/>
      <w:lvlText w:val="•"/>
      <w:lvlJc w:val="left"/>
      <w:pPr>
        <w:ind w:left="2036" w:hanging="527"/>
      </w:pPr>
      <w:rPr>
        <w:rFonts w:hint="default"/>
      </w:rPr>
    </w:lvl>
    <w:lvl w:ilvl="4">
      <w:numFmt w:val="bullet"/>
      <w:lvlText w:val="•"/>
      <w:lvlJc w:val="left"/>
      <w:pPr>
        <w:ind w:left="2535" w:hanging="527"/>
      </w:pPr>
      <w:rPr>
        <w:rFonts w:hint="default"/>
      </w:rPr>
    </w:lvl>
    <w:lvl w:ilvl="5">
      <w:numFmt w:val="bullet"/>
      <w:lvlText w:val="•"/>
      <w:lvlJc w:val="left"/>
      <w:pPr>
        <w:ind w:left="3034" w:hanging="527"/>
      </w:pPr>
      <w:rPr>
        <w:rFonts w:hint="default"/>
      </w:rPr>
    </w:lvl>
    <w:lvl w:ilvl="6">
      <w:numFmt w:val="bullet"/>
      <w:lvlText w:val="•"/>
      <w:lvlJc w:val="left"/>
      <w:pPr>
        <w:ind w:left="3532" w:hanging="527"/>
      </w:pPr>
      <w:rPr>
        <w:rFonts w:hint="default"/>
      </w:rPr>
    </w:lvl>
    <w:lvl w:ilvl="7">
      <w:numFmt w:val="bullet"/>
      <w:lvlText w:val="•"/>
      <w:lvlJc w:val="left"/>
      <w:pPr>
        <w:ind w:left="4031" w:hanging="527"/>
      </w:pPr>
      <w:rPr>
        <w:rFonts w:hint="default"/>
      </w:rPr>
    </w:lvl>
    <w:lvl w:ilvl="8">
      <w:numFmt w:val="bullet"/>
      <w:lvlText w:val="•"/>
      <w:lvlJc w:val="left"/>
      <w:pPr>
        <w:ind w:left="4530" w:hanging="527"/>
      </w:pPr>
      <w:rPr>
        <w:rFonts w:hint="default"/>
      </w:rPr>
    </w:lvl>
  </w:abstractNum>
  <w:abstractNum w:abstractNumId="9">
    <w:nsid w:val="B0F1ACD9"/>
    <w:multiLevelType w:val="multilevel"/>
    <w:tmpl w:val="B0F1ACD9"/>
    <w:lvl w:ilvl="0">
      <w:start w:val="6"/>
      <w:numFmt w:val="decimal"/>
      <w:lvlText w:val="%1"/>
      <w:lvlJc w:val="left"/>
      <w:pPr>
        <w:ind w:left="937" w:hanging="600"/>
      </w:pPr>
      <w:rPr>
        <w:rFonts w:cs="Times New Roman" w:hint="default"/>
      </w:rPr>
    </w:lvl>
    <w:lvl w:ilvl="1">
      <w:start w:val="2"/>
      <w:numFmt w:val="decimal"/>
      <w:lvlText w:val="%1.%2"/>
      <w:lvlJc w:val="left"/>
      <w:pPr>
        <w:ind w:left="937" w:hanging="600"/>
      </w:pPr>
      <w:rPr>
        <w:rFonts w:cs="Times New Roman" w:hint="default"/>
      </w:rPr>
    </w:lvl>
    <w:lvl w:ilvl="2">
      <w:start w:val="1"/>
      <w:numFmt w:val="decimal"/>
      <w:lvlText w:val="%1.%2.%3"/>
      <w:lvlJc w:val="left"/>
      <w:pPr>
        <w:ind w:left="937" w:hanging="600"/>
      </w:pPr>
      <w:rPr>
        <w:rFonts w:ascii="Times New Roman" w:eastAsia="Times New Roman" w:hAnsi="Times New Roman" w:cs="Times New Roman" w:hint="default"/>
        <w:b/>
        <w:bCs/>
        <w:w w:val="99"/>
        <w:sz w:val="24"/>
        <w:szCs w:val="24"/>
      </w:rPr>
    </w:lvl>
    <w:lvl w:ilvl="3">
      <w:start w:val="1"/>
      <w:numFmt w:val="decimal"/>
      <w:lvlText w:val="（%4）"/>
      <w:lvlJc w:val="left"/>
      <w:pPr>
        <w:ind w:left="337" w:hanging="604"/>
      </w:pPr>
      <w:rPr>
        <w:rFonts w:ascii="宋体" w:eastAsia="宋体" w:hAnsi="宋体" w:cs="宋体" w:hint="default"/>
        <w:w w:val="100"/>
        <w:sz w:val="22"/>
        <w:szCs w:val="22"/>
      </w:rPr>
    </w:lvl>
    <w:lvl w:ilvl="4">
      <w:numFmt w:val="bullet"/>
      <w:lvlText w:val="•"/>
      <w:lvlJc w:val="left"/>
      <w:pPr>
        <w:ind w:left="3622" w:hanging="604"/>
      </w:pPr>
      <w:rPr>
        <w:rFonts w:hint="default"/>
      </w:rPr>
    </w:lvl>
    <w:lvl w:ilvl="5">
      <w:numFmt w:val="bullet"/>
      <w:lvlText w:val="•"/>
      <w:lvlJc w:val="left"/>
      <w:pPr>
        <w:ind w:left="4516" w:hanging="604"/>
      </w:pPr>
      <w:rPr>
        <w:rFonts w:hint="default"/>
      </w:rPr>
    </w:lvl>
    <w:lvl w:ilvl="6">
      <w:numFmt w:val="bullet"/>
      <w:lvlText w:val="•"/>
      <w:lvlJc w:val="left"/>
      <w:pPr>
        <w:ind w:left="5410" w:hanging="604"/>
      </w:pPr>
      <w:rPr>
        <w:rFonts w:hint="default"/>
      </w:rPr>
    </w:lvl>
    <w:lvl w:ilvl="7">
      <w:numFmt w:val="bullet"/>
      <w:lvlText w:val="•"/>
      <w:lvlJc w:val="left"/>
      <w:pPr>
        <w:ind w:left="6304" w:hanging="604"/>
      </w:pPr>
      <w:rPr>
        <w:rFonts w:hint="default"/>
      </w:rPr>
    </w:lvl>
    <w:lvl w:ilvl="8">
      <w:numFmt w:val="bullet"/>
      <w:lvlText w:val="•"/>
      <w:lvlJc w:val="left"/>
      <w:pPr>
        <w:ind w:left="7198" w:hanging="604"/>
      </w:pPr>
      <w:rPr>
        <w:rFonts w:hint="default"/>
      </w:rPr>
    </w:lvl>
  </w:abstractNum>
  <w:abstractNum w:abstractNumId="10">
    <w:nsid w:val="B5E306ED"/>
    <w:multiLevelType w:val="multilevel"/>
    <w:tmpl w:val="B5E306ED"/>
    <w:lvl w:ilvl="0">
      <w:start w:val="12"/>
      <w:numFmt w:val="decimal"/>
      <w:lvlText w:val="%1"/>
      <w:lvlJc w:val="left"/>
      <w:pPr>
        <w:ind w:left="2102" w:hanging="300"/>
      </w:pPr>
      <w:rPr>
        <w:rFonts w:ascii="Times New Roman" w:eastAsia="Times New Roman" w:hAnsi="Times New Roman" w:cs="Times New Roman" w:hint="default"/>
        <w:w w:val="100"/>
        <w:sz w:val="24"/>
        <w:szCs w:val="24"/>
      </w:rPr>
    </w:lvl>
    <w:lvl w:ilvl="1">
      <w:start w:val="1"/>
      <w:numFmt w:val="decimal"/>
      <w:lvlText w:val="%1.%2"/>
      <w:lvlJc w:val="left"/>
      <w:pPr>
        <w:ind w:left="2757" w:hanging="480"/>
      </w:pPr>
      <w:rPr>
        <w:rFonts w:ascii="Times New Roman" w:eastAsia="Times New Roman" w:hAnsi="Times New Roman" w:cs="Times New Roman" w:hint="default"/>
        <w:w w:val="100"/>
        <w:sz w:val="24"/>
        <w:szCs w:val="24"/>
      </w:rPr>
    </w:lvl>
    <w:lvl w:ilvl="2">
      <w:numFmt w:val="bullet"/>
      <w:lvlText w:val="•"/>
      <w:lvlJc w:val="left"/>
      <w:pPr>
        <w:ind w:left="3776" w:hanging="480"/>
      </w:pPr>
      <w:rPr>
        <w:rFonts w:hint="default"/>
      </w:rPr>
    </w:lvl>
    <w:lvl w:ilvl="3">
      <w:numFmt w:val="bullet"/>
      <w:lvlText w:val="•"/>
      <w:lvlJc w:val="left"/>
      <w:pPr>
        <w:ind w:left="4792" w:hanging="480"/>
      </w:pPr>
      <w:rPr>
        <w:rFonts w:hint="default"/>
      </w:rPr>
    </w:lvl>
    <w:lvl w:ilvl="4">
      <w:numFmt w:val="bullet"/>
      <w:lvlText w:val="•"/>
      <w:lvlJc w:val="left"/>
      <w:pPr>
        <w:ind w:left="5808" w:hanging="480"/>
      </w:pPr>
      <w:rPr>
        <w:rFonts w:hint="default"/>
      </w:rPr>
    </w:lvl>
    <w:lvl w:ilvl="5">
      <w:numFmt w:val="bullet"/>
      <w:lvlText w:val="•"/>
      <w:lvlJc w:val="left"/>
      <w:pPr>
        <w:ind w:left="6824" w:hanging="480"/>
      </w:pPr>
      <w:rPr>
        <w:rFonts w:hint="default"/>
      </w:rPr>
    </w:lvl>
    <w:lvl w:ilvl="6">
      <w:numFmt w:val="bullet"/>
      <w:lvlText w:val="•"/>
      <w:lvlJc w:val="left"/>
      <w:pPr>
        <w:ind w:left="7841" w:hanging="480"/>
      </w:pPr>
      <w:rPr>
        <w:rFonts w:hint="default"/>
      </w:rPr>
    </w:lvl>
    <w:lvl w:ilvl="7">
      <w:numFmt w:val="bullet"/>
      <w:lvlText w:val="•"/>
      <w:lvlJc w:val="left"/>
      <w:pPr>
        <w:ind w:left="8857" w:hanging="480"/>
      </w:pPr>
      <w:rPr>
        <w:rFonts w:hint="default"/>
      </w:rPr>
    </w:lvl>
    <w:lvl w:ilvl="8">
      <w:numFmt w:val="bullet"/>
      <w:lvlText w:val="•"/>
      <w:lvlJc w:val="left"/>
      <w:pPr>
        <w:ind w:left="9873" w:hanging="480"/>
      </w:pPr>
      <w:rPr>
        <w:rFonts w:hint="default"/>
      </w:rPr>
    </w:lvl>
  </w:abstractNum>
  <w:abstractNum w:abstractNumId="11">
    <w:nsid w:val="BCECA0B4"/>
    <w:multiLevelType w:val="multilevel"/>
    <w:tmpl w:val="BCECA0B4"/>
    <w:lvl w:ilvl="0">
      <w:start w:val="3"/>
      <w:numFmt w:val="decimal"/>
      <w:lvlText w:val="%1"/>
      <w:lvlJc w:val="left"/>
      <w:pPr>
        <w:ind w:left="1356" w:hanging="560"/>
      </w:pPr>
      <w:rPr>
        <w:rFonts w:cs="Times New Roman" w:hint="default"/>
      </w:rPr>
    </w:lvl>
    <w:lvl w:ilvl="1">
      <w:start w:val="4"/>
      <w:numFmt w:val="decimal"/>
      <w:lvlText w:val="%1.%2"/>
      <w:lvlJc w:val="left"/>
      <w:pPr>
        <w:ind w:left="1356" w:hanging="560"/>
      </w:pPr>
      <w:rPr>
        <w:rFonts w:ascii="Times New Roman" w:eastAsia="Times New Roman" w:hAnsi="Times New Roman" w:cs="Times New Roman" w:hint="default"/>
        <w:b/>
        <w:bCs/>
        <w:spacing w:val="-1"/>
        <w:w w:val="99"/>
        <w:sz w:val="32"/>
        <w:szCs w:val="32"/>
      </w:rPr>
    </w:lvl>
    <w:lvl w:ilvl="2">
      <w:start w:val="1"/>
      <w:numFmt w:val="decimal"/>
      <w:lvlText w:val="%1.%2.%3"/>
      <w:lvlJc w:val="left"/>
      <w:pPr>
        <w:ind w:left="1277" w:hanging="720"/>
      </w:pPr>
      <w:rPr>
        <w:rFonts w:ascii="Times New Roman" w:eastAsia="Times New Roman" w:hAnsi="Times New Roman" w:cs="Times New Roman" w:hint="default"/>
        <w:b/>
        <w:bCs/>
        <w:spacing w:val="-60"/>
        <w:w w:val="99"/>
        <w:sz w:val="24"/>
        <w:szCs w:val="24"/>
      </w:rPr>
    </w:lvl>
    <w:lvl w:ilvl="3">
      <w:start w:val="1"/>
      <w:numFmt w:val="decimal"/>
      <w:lvlText w:val="（%4）"/>
      <w:lvlJc w:val="left"/>
      <w:pPr>
        <w:ind w:left="1878" w:hanging="601"/>
      </w:pPr>
      <w:rPr>
        <w:rFonts w:ascii="宋体" w:eastAsia="宋体" w:hAnsi="宋体" w:cs="宋体" w:hint="default"/>
        <w:w w:val="100"/>
        <w:sz w:val="22"/>
        <w:szCs w:val="22"/>
      </w:rPr>
    </w:lvl>
    <w:lvl w:ilvl="4">
      <w:numFmt w:val="bullet"/>
      <w:lvlText w:val="•"/>
      <w:lvlJc w:val="left"/>
      <w:pPr>
        <w:ind w:left="3886" w:hanging="601"/>
      </w:pPr>
      <w:rPr>
        <w:rFonts w:hint="default"/>
      </w:rPr>
    </w:lvl>
    <w:lvl w:ilvl="5">
      <w:numFmt w:val="bullet"/>
      <w:lvlText w:val="•"/>
      <w:lvlJc w:val="left"/>
      <w:pPr>
        <w:ind w:left="4889" w:hanging="601"/>
      </w:pPr>
      <w:rPr>
        <w:rFonts w:hint="default"/>
      </w:rPr>
    </w:lvl>
    <w:lvl w:ilvl="6">
      <w:numFmt w:val="bullet"/>
      <w:lvlText w:val="•"/>
      <w:lvlJc w:val="left"/>
      <w:pPr>
        <w:ind w:left="5893" w:hanging="601"/>
      </w:pPr>
      <w:rPr>
        <w:rFonts w:hint="default"/>
      </w:rPr>
    </w:lvl>
    <w:lvl w:ilvl="7">
      <w:numFmt w:val="bullet"/>
      <w:lvlText w:val="•"/>
      <w:lvlJc w:val="left"/>
      <w:pPr>
        <w:ind w:left="6896" w:hanging="601"/>
      </w:pPr>
      <w:rPr>
        <w:rFonts w:hint="default"/>
      </w:rPr>
    </w:lvl>
    <w:lvl w:ilvl="8">
      <w:numFmt w:val="bullet"/>
      <w:lvlText w:val="•"/>
      <w:lvlJc w:val="left"/>
      <w:pPr>
        <w:ind w:left="7899" w:hanging="601"/>
      </w:pPr>
      <w:rPr>
        <w:rFonts w:hint="default"/>
      </w:rPr>
    </w:lvl>
  </w:abstractNum>
  <w:abstractNum w:abstractNumId="12">
    <w:nsid w:val="BDA1395C"/>
    <w:multiLevelType w:val="multilevel"/>
    <w:tmpl w:val="BDA1395C"/>
    <w:lvl w:ilvl="0">
      <w:start w:val="1"/>
      <w:numFmt w:val="decimal"/>
      <w:lvlText w:val="（%1）"/>
      <w:lvlJc w:val="left"/>
      <w:pPr>
        <w:ind w:left="1881" w:hanging="601"/>
      </w:pPr>
      <w:rPr>
        <w:rFonts w:ascii="宋体" w:eastAsia="宋体" w:hAnsi="宋体" w:cs="宋体" w:hint="default"/>
        <w:w w:val="100"/>
        <w:sz w:val="22"/>
        <w:szCs w:val="22"/>
      </w:rPr>
    </w:lvl>
    <w:lvl w:ilvl="1">
      <w:numFmt w:val="bullet"/>
      <w:lvlText w:val="•"/>
      <w:lvlJc w:val="left"/>
      <w:pPr>
        <w:ind w:left="2682" w:hanging="601"/>
      </w:pPr>
      <w:rPr>
        <w:rFonts w:hint="default"/>
      </w:rPr>
    </w:lvl>
    <w:lvl w:ilvl="2">
      <w:numFmt w:val="bullet"/>
      <w:lvlText w:val="•"/>
      <w:lvlJc w:val="left"/>
      <w:pPr>
        <w:ind w:left="3485" w:hanging="601"/>
      </w:pPr>
      <w:rPr>
        <w:rFonts w:hint="default"/>
      </w:rPr>
    </w:lvl>
    <w:lvl w:ilvl="3">
      <w:numFmt w:val="bullet"/>
      <w:lvlText w:val="•"/>
      <w:lvlJc w:val="left"/>
      <w:pPr>
        <w:ind w:left="4287" w:hanging="601"/>
      </w:pPr>
      <w:rPr>
        <w:rFonts w:hint="default"/>
      </w:rPr>
    </w:lvl>
    <w:lvl w:ilvl="4">
      <w:numFmt w:val="bullet"/>
      <w:lvlText w:val="•"/>
      <w:lvlJc w:val="left"/>
      <w:pPr>
        <w:ind w:left="5090" w:hanging="601"/>
      </w:pPr>
      <w:rPr>
        <w:rFonts w:hint="default"/>
      </w:rPr>
    </w:lvl>
    <w:lvl w:ilvl="5">
      <w:numFmt w:val="bullet"/>
      <w:lvlText w:val="•"/>
      <w:lvlJc w:val="left"/>
      <w:pPr>
        <w:ind w:left="5893" w:hanging="601"/>
      </w:pPr>
      <w:rPr>
        <w:rFonts w:hint="default"/>
      </w:rPr>
    </w:lvl>
    <w:lvl w:ilvl="6">
      <w:numFmt w:val="bullet"/>
      <w:lvlText w:val="•"/>
      <w:lvlJc w:val="left"/>
      <w:pPr>
        <w:ind w:left="6695" w:hanging="601"/>
      </w:pPr>
      <w:rPr>
        <w:rFonts w:hint="default"/>
      </w:rPr>
    </w:lvl>
    <w:lvl w:ilvl="7">
      <w:numFmt w:val="bullet"/>
      <w:lvlText w:val="•"/>
      <w:lvlJc w:val="left"/>
      <w:pPr>
        <w:ind w:left="7498" w:hanging="601"/>
      </w:pPr>
      <w:rPr>
        <w:rFonts w:hint="default"/>
      </w:rPr>
    </w:lvl>
    <w:lvl w:ilvl="8">
      <w:numFmt w:val="bullet"/>
      <w:lvlText w:val="•"/>
      <w:lvlJc w:val="left"/>
      <w:pPr>
        <w:ind w:left="8300" w:hanging="601"/>
      </w:pPr>
      <w:rPr>
        <w:rFonts w:hint="default"/>
      </w:rPr>
    </w:lvl>
  </w:abstractNum>
  <w:abstractNum w:abstractNumId="13">
    <w:nsid w:val="BE923771"/>
    <w:multiLevelType w:val="multilevel"/>
    <w:tmpl w:val="BE923771"/>
    <w:lvl w:ilvl="0">
      <w:start w:val="7"/>
      <w:numFmt w:val="decimal"/>
      <w:lvlText w:val="%1"/>
      <w:lvlJc w:val="left"/>
      <w:pPr>
        <w:ind w:left="1417" w:hanging="600"/>
      </w:pPr>
      <w:rPr>
        <w:rFonts w:cs="Times New Roman" w:hint="default"/>
      </w:rPr>
    </w:lvl>
    <w:lvl w:ilvl="1">
      <w:start w:val="1"/>
      <w:numFmt w:val="decimal"/>
      <w:lvlText w:val="%1.%2"/>
      <w:lvlJc w:val="left"/>
      <w:pPr>
        <w:ind w:left="860" w:hanging="524"/>
      </w:pPr>
      <w:rPr>
        <w:rFonts w:cs="Times New Roman" w:hint="default"/>
        <w:b/>
        <w:bCs/>
        <w:spacing w:val="-3"/>
        <w:w w:val="99"/>
      </w:rPr>
    </w:lvl>
    <w:lvl w:ilvl="2">
      <w:start w:val="2"/>
      <w:numFmt w:val="decimal"/>
      <w:lvlText w:val="%1.%2.%3"/>
      <w:lvlJc w:val="left"/>
      <w:pPr>
        <w:ind w:left="1417" w:hanging="524"/>
      </w:pPr>
      <w:rPr>
        <w:rFonts w:ascii="Times New Roman" w:eastAsia="Times New Roman" w:hAnsi="Times New Roman" w:cs="Times New Roman" w:hint="default"/>
        <w:b/>
        <w:bCs/>
        <w:w w:val="99"/>
        <w:sz w:val="24"/>
        <w:szCs w:val="24"/>
      </w:rPr>
    </w:lvl>
    <w:lvl w:ilvl="3">
      <w:numFmt w:val="bullet"/>
      <w:lvlText w:val="•"/>
      <w:lvlJc w:val="left"/>
      <w:pPr>
        <w:ind w:left="3101" w:hanging="524"/>
      </w:pPr>
      <w:rPr>
        <w:rFonts w:hint="default"/>
      </w:rPr>
    </w:lvl>
    <w:lvl w:ilvl="4">
      <w:numFmt w:val="bullet"/>
      <w:lvlText w:val="•"/>
      <w:lvlJc w:val="left"/>
      <w:pPr>
        <w:ind w:left="3942" w:hanging="524"/>
      </w:pPr>
      <w:rPr>
        <w:rFonts w:hint="default"/>
      </w:rPr>
    </w:lvl>
    <w:lvl w:ilvl="5">
      <w:numFmt w:val="bullet"/>
      <w:lvlText w:val="•"/>
      <w:lvlJc w:val="left"/>
      <w:pPr>
        <w:ind w:left="4782" w:hanging="524"/>
      </w:pPr>
      <w:rPr>
        <w:rFonts w:hint="default"/>
      </w:rPr>
    </w:lvl>
    <w:lvl w:ilvl="6">
      <w:numFmt w:val="bullet"/>
      <w:lvlText w:val="•"/>
      <w:lvlJc w:val="left"/>
      <w:pPr>
        <w:ind w:left="5623" w:hanging="524"/>
      </w:pPr>
      <w:rPr>
        <w:rFonts w:hint="default"/>
      </w:rPr>
    </w:lvl>
    <w:lvl w:ilvl="7">
      <w:numFmt w:val="bullet"/>
      <w:lvlText w:val="•"/>
      <w:lvlJc w:val="left"/>
      <w:pPr>
        <w:ind w:left="6464" w:hanging="524"/>
      </w:pPr>
      <w:rPr>
        <w:rFonts w:hint="default"/>
      </w:rPr>
    </w:lvl>
    <w:lvl w:ilvl="8">
      <w:numFmt w:val="bullet"/>
      <w:lvlText w:val="•"/>
      <w:lvlJc w:val="left"/>
      <w:pPr>
        <w:ind w:left="7304" w:hanging="524"/>
      </w:pPr>
      <w:rPr>
        <w:rFonts w:hint="default"/>
      </w:rPr>
    </w:lvl>
  </w:abstractNum>
  <w:abstractNum w:abstractNumId="14">
    <w:nsid w:val="BF205925"/>
    <w:multiLevelType w:val="multilevel"/>
    <w:tmpl w:val="BF205925"/>
    <w:lvl w:ilvl="0">
      <w:start w:val="3"/>
      <w:numFmt w:val="decimal"/>
      <w:lvlText w:val="%1"/>
      <w:lvlJc w:val="left"/>
      <w:pPr>
        <w:ind w:left="2697" w:hanging="420"/>
      </w:pPr>
      <w:rPr>
        <w:rFonts w:cs="Times New Roman" w:hint="default"/>
      </w:rPr>
    </w:lvl>
    <w:lvl w:ilvl="1">
      <w:start w:val="1"/>
      <w:numFmt w:val="decimal"/>
      <w:lvlText w:val="%1.%2"/>
      <w:lvlJc w:val="left"/>
      <w:pPr>
        <w:ind w:left="2697" w:hanging="420"/>
      </w:pPr>
      <w:rPr>
        <w:rFonts w:ascii="Times New Roman" w:eastAsia="Times New Roman" w:hAnsi="Times New Roman" w:cs="Times New Roman" w:hint="default"/>
        <w:w w:val="100"/>
        <w:sz w:val="24"/>
        <w:szCs w:val="24"/>
      </w:rPr>
    </w:lvl>
    <w:lvl w:ilvl="2">
      <w:numFmt w:val="bullet"/>
      <w:lvlText w:val="•"/>
      <w:lvlJc w:val="left"/>
      <w:pPr>
        <w:ind w:left="2760" w:hanging="420"/>
      </w:pPr>
      <w:rPr>
        <w:rFonts w:hint="default"/>
      </w:rPr>
    </w:lvl>
    <w:lvl w:ilvl="3">
      <w:numFmt w:val="bullet"/>
      <w:lvlText w:val="•"/>
      <w:lvlJc w:val="left"/>
      <w:pPr>
        <w:ind w:left="3903" w:hanging="420"/>
      </w:pPr>
      <w:rPr>
        <w:rFonts w:hint="default"/>
      </w:rPr>
    </w:lvl>
    <w:lvl w:ilvl="4">
      <w:numFmt w:val="bullet"/>
      <w:lvlText w:val="•"/>
      <w:lvlJc w:val="left"/>
      <w:pPr>
        <w:ind w:left="5046" w:hanging="420"/>
      </w:pPr>
      <w:rPr>
        <w:rFonts w:hint="default"/>
      </w:rPr>
    </w:lvl>
    <w:lvl w:ilvl="5">
      <w:numFmt w:val="bullet"/>
      <w:lvlText w:val="•"/>
      <w:lvlJc w:val="left"/>
      <w:pPr>
        <w:ind w:left="6189" w:hanging="420"/>
      </w:pPr>
      <w:rPr>
        <w:rFonts w:hint="default"/>
      </w:rPr>
    </w:lvl>
    <w:lvl w:ilvl="6">
      <w:numFmt w:val="bullet"/>
      <w:lvlText w:val="•"/>
      <w:lvlJc w:val="left"/>
      <w:pPr>
        <w:ind w:left="7333" w:hanging="420"/>
      </w:pPr>
      <w:rPr>
        <w:rFonts w:hint="default"/>
      </w:rPr>
    </w:lvl>
    <w:lvl w:ilvl="7">
      <w:numFmt w:val="bullet"/>
      <w:lvlText w:val="•"/>
      <w:lvlJc w:val="left"/>
      <w:pPr>
        <w:ind w:left="8476" w:hanging="420"/>
      </w:pPr>
      <w:rPr>
        <w:rFonts w:hint="default"/>
      </w:rPr>
    </w:lvl>
    <w:lvl w:ilvl="8">
      <w:numFmt w:val="bullet"/>
      <w:lvlText w:val="•"/>
      <w:lvlJc w:val="left"/>
      <w:pPr>
        <w:ind w:left="9619" w:hanging="420"/>
      </w:pPr>
      <w:rPr>
        <w:rFonts w:hint="default"/>
      </w:rPr>
    </w:lvl>
  </w:abstractNum>
  <w:abstractNum w:abstractNumId="15">
    <w:nsid w:val="BF50FE6B"/>
    <w:multiLevelType w:val="multilevel"/>
    <w:tmpl w:val="BF50FE6B"/>
    <w:lvl w:ilvl="0">
      <w:start w:val="1"/>
      <w:numFmt w:val="decimal"/>
      <w:lvlText w:val="（%1）"/>
      <w:lvlJc w:val="left"/>
      <w:pPr>
        <w:ind w:left="535" w:hanging="527"/>
      </w:pPr>
      <w:rPr>
        <w:rFonts w:ascii="宋体" w:eastAsia="宋体" w:hAnsi="宋体" w:cs="宋体" w:hint="default"/>
        <w:spacing w:val="-1"/>
        <w:w w:val="99"/>
        <w:sz w:val="19"/>
        <w:szCs w:val="19"/>
      </w:rPr>
    </w:lvl>
    <w:lvl w:ilvl="1">
      <w:numFmt w:val="bullet"/>
      <w:lvlText w:val="•"/>
      <w:lvlJc w:val="left"/>
      <w:pPr>
        <w:ind w:left="1038" w:hanging="527"/>
      </w:pPr>
      <w:rPr>
        <w:rFonts w:hint="default"/>
      </w:rPr>
    </w:lvl>
    <w:lvl w:ilvl="2">
      <w:numFmt w:val="bullet"/>
      <w:lvlText w:val="•"/>
      <w:lvlJc w:val="left"/>
      <w:pPr>
        <w:ind w:left="1537" w:hanging="527"/>
      </w:pPr>
      <w:rPr>
        <w:rFonts w:hint="default"/>
      </w:rPr>
    </w:lvl>
    <w:lvl w:ilvl="3">
      <w:numFmt w:val="bullet"/>
      <w:lvlText w:val="•"/>
      <w:lvlJc w:val="left"/>
      <w:pPr>
        <w:ind w:left="2036" w:hanging="527"/>
      </w:pPr>
      <w:rPr>
        <w:rFonts w:hint="default"/>
      </w:rPr>
    </w:lvl>
    <w:lvl w:ilvl="4">
      <w:numFmt w:val="bullet"/>
      <w:lvlText w:val="•"/>
      <w:lvlJc w:val="left"/>
      <w:pPr>
        <w:ind w:left="2535" w:hanging="527"/>
      </w:pPr>
      <w:rPr>
        <w:rFonts w:hint="default"/>
      </w:rPr>
    </w:lvl>
    <w:lvl w:ilvl="5">
      <w:numFmt w:val="bullet"/>
      <w:lvlText w:val="•"/>
      <w:lvlJc w:val="left"/>
      <w:pPr>
        <w:ind w:left="3034" w:hanging="527"/>
      </w:pPr>
      <w:rPr>
        <w:rFonts w:hint="default"/>
      </w:rPr>
    </w:lvl>
    <w:lvl w:ilvl="6">
      <w:numFmt w:val="bullet"/>
      <w:lvlText w:val="•"/>
      <w:lvlJc w:val="left"/>
      <w:pPr>
        <w:ind w:left="3532" w:hanging="527"/>
      </w:pPr>
      <w:rPr>
        <w:rFonts w:hint="default"/>
      </w:rPr>
    </w:lvl>
    <w:lvl w:ilvl="7">
      <w:numFmt w:val="bullet"/>
      <w:lvlText w:val="•"/>
      <w:lvlJc w:val="left"/>
      <w:pPr>
        <w:ind w:left="4031" w:hanging="527"/>
      </w:pPr>
      <w:rPr>
        <w:rFonts w:hint="default"/>
      </w:rPr>
    </w:lvl>
    <w:lvl w:ilvl="8">
      <w:numFmt w:val="bullet"/>
      <w:lvlText w:val="•"/>
      <w:lvlJc w:val="left"/>
      <w:pPr>
        <w:ind w:left="4530" w:hanging="527"/>
      </w:pPr>
      <w:rPr>
        <w:rFonts w:hint="default"/>
      </w:rPr>
    </w:lvl>
  </w:abstractNum>
  <w:abstractNum w:abstractNumId="16">
    <w:nsid w:val="C0915F4F"/>
    <w:multiLevelType w:val="multilevel"/>
    <w:tmpl w:val="C0915F4F"/>
    <w:lvl w:ilvl="0">
      <w:start w:val="10"/>
      <w:numFmt w:val="decimal"/>
      <w:lvlText w:val="%1"/>
      <w:lvlJc w:val="left"/>
      <w:pPr>
        <w:ind w:left="937" w:hanging="600"/>
      </w:pPr>
      <w:rPr>
        <w:rFonts w:cs="Times New Roman" w:hint="default"/>
      </w:rPr>
    </w:lvl>
    <w:lvl w:ilvl="1">
      <w:start w:val="1"/>
      <w:numFmt w:val="decimal"/>
      <w:lvlText w:val="%1.%2"/>
      <w:lvlJc w:val="left"/>
      <w:pPr>
        <w:ind w:left="937" w:hanging="600"/>
      </w:pPr>
      <w:rPr>
        <w:rFonts w:ascii="Times New Roman" w:eastAsia="Times New Roman" w:hAnsi="Times New Roman" w:cs="Times New Roman" w:hint="default"/>
        <w:b/>
        <w:bCs/>
        <w:spacing w:val="-2"/>
        <w:w w:val="99"/>
        <w:sz w:val="30"/>
        <w:szCs w:val="30"/>
      </w:rPr>
    </w:lvl>
    <w:lvl w:ilvl="2">
      <w:start w:val="1"/>
      <w:numFmt w:val="decimal"/>
      <w:lvlText w:val="%1.%2.%3"/>
      <w:lvlJc w:val="left"/>
      <w:pPr>
        <w:ind w:left="997" w:hanging="660"/>
      </w:pPr>
      <w:rPr>
        <w:rFonts w:ascii="Times New Roman" w:eastAsia="Times New Roman" w:hAnsi="Times New Roman" w:cs="Times New Roman" w:hint="default"/>
        <w:b/>
        <w:bCs/>
        <w:w w:val="99"/>
        <w:sz w:val="24"/>
        <w:szCs w:val="24"/>
      </w:rPr>
    </w:lvl>
    <w:lvl w:ilvl="3">
      <w:start w:val="1"/>
      <w:numFmt w:val="decimal"/>
      <w:lvlText w:val="（%4）"/>
      <w:lvlJc w:val="left"/>
      <w:pPr>
        <w:ind w:left="337" w:hanging="604"/>
      </w:pPr>
      <w:rPr>
        <w:rFonts w:ascii="宋体" w:eastAsia="宋体" w:hAnsi="宋体" w:cs="宋体" w:hint="default"/>
        <w:w w:val="100"/>
        <w:sz w:val="22"/>
        <w:szCs w:val="22"/>
      </w:rPr>
    </w:lvl>
    <w:lvl w:ilvl="4">
      <w:numFmt w:val="bullet"/>
      <w:lvlText w:val="•"/>
      <w:lvlJc w:val="left"/>
      <w:pPr>
        <w:ind w:left="2140" w:hanging="604"/>
      </w:pPr>
      <w:rPr>
        <w:rFonts w:hint="default"/>
      </w:rPr>
    </w:lvl>
    <w:lvl w:ilvl="5">
      <w:numFmt w:val="bullet"/>
      <w:lvlText w:val="•"/>
      <w:lvlJc w:val="left"/>
      <w:pPr>
        <w:ind w:left="3281" w:hanging="604"/>
      </w:pPr>
      <w:rPr>
        <w:rFonts w:hint="default"/>
      </w:rPr>
    </w:lvl>
    <w:lvl w:ilvl="6">
      <w:numFmt w:val="bullet"/>
      <w:lvlText w:val="•"/>
      <w:lvlJc w:val="left"/>
      <w:pPr>
        <w:ind w:left="4422" w:hanging="604"/>
      </w:pPr>
      <w:rPr>
        <w:rFonts w:hint="default"/>
      </w:rPr>
    </w:lvl>
    <w:lvl w:ilvl="7">
      <w:numFmt w:val="bullet"/>
      <w:lvlText w:val="•"/>
      <w:lvlJc w:val="left"/>
      <w:pPr>
        <w:ind w:left="5563" w:hanging="604"/>
      </w:pPr>
      <w:rPr>
        <w:rFonts w:hint="default"/>
      </w:rPr>
    </w:lvl>
    <w:lvl w:ilvl="8">
      <w:numFmt w:val="bullet"/>
      <w:lvlText w:val="•"/>
      <w:lvlJc w:val="left"/>
      <w:pPr>
        <w:ind w:left="6704" w:hanging="604"/>
      </w:pPr>
      <w:rPr>
        <w:rFonts w:hint="default"/>
      </w:rPr>
    </w:lvl>
  </w:abstractNum>
  <w:abstractNum w:abstractNumId="17">
    <w:nsid w:val="C8879AEF"/>
    <w:multiLevelType w:val="multilevel"/>
    <w:tmpl w:val="C8879AEF"/>
    <w:lvl w:ilvl="0">
      <w:start w:val="1"/>
      <w:numFmt w:val="decimal"/>
      <w:lvlText w:val="%1"/>
      <w:lvlJc w:val="left"/>
      <w:pPr>
        <w:ind w:left="2246" w:hanging="449"/>
      </w:pPr>
      <w:rPr>
        <w:rFonts w:cs="Times New Roman" w:hint="default"/>
      </w:rPr>
    </w:lvl>
    <w:lvl w:ilvl="1">
      <w:start w:val="3"/>
      <w:numFmt w:val="decimal"/>
      <w:lvlText w:val="%1.%2"/>
      <w:lvlJc w:val="left"/>
      <w:pPr>
        <w:ind w:left="2246" w:hanging="449"/>
      </w:pPr>
      <w:rPr>
        <w:rFonts w:ascii="Times New Roman" w:eastAsia="Times New Roman" w:hAnsi="Times New Roman" w:cs="Times New Roman" w:hint="default"/>
        <w:b/>
        <w:bCs/>
        <w:spacing w:val="-1"/>
        <w:w w:val="100"/>
        <w:sz w:val="30"/>
        <w:szCs w:val="30"/>
      </w:rPr>
    </w:lvl>
    <w:lvl w:ilvl="2">
      <w:numFmt w:val="bullet"/>
      <w:lvlText w:val="•"/>
      <w:lvlJc w:val="left"/>
      <w:pPr>
        <w:ind w:left="4173" w:hanging="449"/>
      </w:pPr>
      <w:rPr>
        <w:rFonts w:hint="default"/>
      </w:rPr>
    </w:lvl>
    <w:lvl w:ilvl="3">
      <w:numFmt w:val="bullet"/>
      <w:lvlText w:val="•"/>
      <w:lvlJc w:val="left"/>
      <w:pPr>
        <w:ind w:left="5139" w:hanging="449"/>
      </w:pPr>
      <w:rPr>
        <w:rFonts w:hint="default"/>
      </w:rPr>
    </w:lvl>
    <w:lvl w:ilvl="4">
      <w:numFmt w:val="bullet"/>
      <w:lvlText w:val="•"/>
      <w:lvlJc w:val="left"/>
      <w:pPr>
        <w:ind w:left="6106" w:hanging="449"/>
      </w:pPr>
      <w:rPr>
        <w:rFonts w:hint="default"/>
      </w:rPr>
    </w:lvl>
    <w:lvl w:ilvl="5">
      <w:numFmt w:val="bullet"/>
      <w:lvlText w:val="•"/>
      <w:lvlJc w:val="left"/>
      <w:pPr>
        <w:ind w:left="7073" w:hanging="449"/>
      </w:pPr>
      <w:rPr>
        <w:rFonts w:hint="default"/>
      </w:rPr>
    </w:lvl>
    <w:lvl w:ilvl="6">
      <w:numFmt w:val="bullet"/>
      <w:lvlText w:val="•"/>
      <w:lvlJc w:val="left"/>
      <w:pPr>
        <w:ind w:left="8039" w:hanging="449"/>
      </w:pPr>
      <w:rPr>
        <w:rFonts w:hint="default"/>
      </w:rPr>
    </w:lvl>
    <w:lvl w:ilvl="7">
      <w:numFmt w:val="bullet"/>
      <w:lvlText w:val="•"/>
      <w:lvlJc w:val="left"/>
      <w:pPr>
        <w:ind w:left="9006" w:hanging="449"/>
      </w:pPr>
      <w:rPr>
        <w:rFonts w:hint="default"/>
      </w:rPr>
    </w:lvl>
    <w:lvl w:ilvl="8">
      <w:numFmt w:val="bullet"/>
      <w:lvlText w:val="•"/>
      <w:lvlJc w:val="left"/>
      <w:pPr>
        <w:ind w:left="9972" w:hanging="449"/>
      </w:pPr>
      <w:rPr>
        <w:rFonts w:hint="default"/>
      </w:rPr>
    </w:lvl>
  </w:abstractNum>
  <w:abstractNum w:abstractNumId="18">
    <w:nsid w:val="C90D1B09"/>
    <w:multiLevelType w:val="multilevel"/>
    <w:tmpl w:val="C90D1B09"/>
    <w:lvl w:ilvl="0">
      <w:start w:val="1"/>
      <w:numFmt w:val="decimal"/>
      <w:lvlText w:val="（%1）"/>
      <w:lvlJc w:val="left"/>
      <w:pPr>
        <w:ind w:left="535" w:hanging="527"/>
      </w:pPr>
      <w:rPr>
        <w:rFonts w:ascii="宋体" w:eastAsia="宋体" w:hAnsi="宋体" w:cs="宋体" w:hint="default"/>
        <w:spacing w:val="-1"/>
        <w:w w:val="99"/>
        <w:sz w:val="19"/>
        <w:szCs w:val="19"/>
      </w:rPr>
    </w:lvl>
    <w:lvl w:ilvl="1">
      <w:numFmt w:val="bullet"/>
      <w:lvlText w:val="•"/>
      <w:lvlJc w:val="left"/>
      <w:pPr>
        <w:ind w:left="1038" w:hanging="527"/>
      </w:pPr>
      <w:rPr>
        <w:rFonts w:hint="default"/>
      </w:rPr>
    </w:lvl>
    <w:lvl w:ilvl="2">
      <w:numFmt w:val="bullet"/>
      <w:lvlText w:val="•"/>
      <w:lvlJc w:val="left"/>
      <w:pPr>
        <w:ind w:left="1537" w:hanging="527"/>
      </w:pPr>
      <w:rPr>
        <w:rFonts w:hint="default"/>
      </w:rPr>
    </w:lvl>
    <w:lvl w:ilvl="3">
      <w:numFmt w:val="bullet"/>
      <w:lvlText w:val="•"/>
      <w:lvlJc w:val="left"/>
      <w:pPr>
        <w:ind w:left="2036" w:hanging="527"/>
      </w:pPr>
      <w:rPr>
        <w:rFonts w:hint="default"/>
      </w:rPr>
    </w:lvl>
    <w:lvl w:ilvl="4">
      <w:numFmt w:val="bullet"/>
      <w:lvlText w:val="•"/>
      <w:lvlJc w:val="left"/>
      <w:pPr>
        <w:ind w:left="2535" w:hanging="527"/>
      </w:pPr>
      <w:rPr>
        <w:rFonts w:hint="default"/>
      </w:rPr>
    </w:lvl>
    <w:lvl w:ilvl="5">
      <w:numFmt w:val="bullet"/>
      <w:lvlText w:val="•"/>
      <w:lvlJc w:val="left"/>
      <w:pPr>
        <w:ind w:left="3034" w:hanging="527"/>
      </w:pPr>
      <w:rPr>
        <w:rFonts w:hint="default"/>
      </w:rPr>
    </w:lvl>
    <w:lvl w:ilvl="6">
      <w:numFmt w:val="bullet"/>
      <w:lvlText w:val="•"/>
      <w:lvlJc w:val="left"/>
      <w:pPr>
        <w:ind w:left="3532" w:hanging="527"/>
      </w:pPr>
      <w:rPr>
        <w:rFonts w:hint="default"/>
      </w:rPr>
    </w:lvl>
    <w:lvl w:ilvl="7">
      <w:numFmt w:val="bullet"/>
      <w:lvlText w:val="•"/>
      <w:lvlJc w:val="left"/>
      <w:pPr>
        <w:ind w:left="4031" w:hanging="527"/>
      </w:pPr>
      <w:rPr>
        <w:rFonts w:hint="default"/>
      </w:rPr>
    </w:lvl>
    <w:lvl w:ilvl="8">
      <w:numFmt w:val="bullet"/>
      <w:lvlText w:val="•"/>
      <w:lvlJc w:val="left"/>
      <w:pPr>
        <w:ind w:left="4530" w:hanging="527"/>
      </w:pPr>
      <w:rPr>
        <w:rFonts w:hint="default"/>
      </w:rPr>
    </w:lvl>
  </w:abstractNum>
  <w:abstractNum w:abstractNumId="19">
    <w:nsid w:val="CF092B84"/>
    <w:multiLevelType w:val="multilevel"/>
    <w:tmpl w:val="CF092B84"/>
    <w:lvl w:ilvl="0">
      <w:start w:val="1"/>
      <w:numFmt w:val="decimal"/>
      <w:lvlText w:val="（%1）"/>
      <w:lvlJc w:val="left"/>
      <w:pPr>
        <w:ind w:left="2761" w:hanging="601"/>
      </w:pPr>
      <w:rPr>
        <w:rFonts w:ascii="宋体" w:eastAsia="宋体" w:hAnsi="宋体" w:cs="宋体" w:hint="default"/>
        <w:spacing w:val="-2"/>
        <w:w w:val="100"/>
        <w:sz w:val="22"/>
        <w:szCs w:val="22"/>
      </w:rPr>
    </w:lvl>
    <w:lvl w:ilvl="1">
      <w:numFmt w:val="bullet"/>
      <w:lvlText w:val="•"/>
      <w:lvlJc w:val="left"/>
      <w:pPr>
        <w:ind w:left="3674" w:hanging="601"/>
      </w:pPr>
      <w:rPr>
        <w:rFonts w:hint="default"/>
      </w:rPr>
    </w:lvl>
    <w:lvl w:ilvl="2">
      <w:numFmt w:val="bullet"/>
      <w:lvlText w:val="•"/>
      <w:lvlJc w:val="left"/>
      <w:pPr>
        <w:ind w:left="4589" w:hanging="601"/>
      </w:pPr>
      <w:rPr>
        <w:rFonts w:hint="default"/>
      </w:rPr>
    </w:lvl>
    <w:lvl w:ilvl="3">
      <w:numFmt w:val="bullet"/>
      <w:lvlText w:val="•"/>
      <w:lvlJc w:val="left"/>
      <w:pPr>
        <w:ind w:left="5503" w:hanging="601"/>
      </w:pPr>
      <w:rPr>
        <w:rFonts w:hint="default"/>
      </w:rPr>
    </w:lvl>
    <w:lvl w:ilvl="4">
      <w:numFmt w:val="bullet"/>
      <w:lvlText w:val="•"/>
      <w:lvlJc w:val="left"/>
      <w:pPr>
        <w:ind w:left="6418" w:hanging="601"/>
      </w:pPr>
      <w:rPr>
        <w:rFonts w:hint="default"/>
      </w:rPr>
    </w:lvl>
    <w:lvl w:ilvl="5">
      <w:numFmt w:val="bullet"/>
      <w:lvlText w:val="•"/>
      <w:lvlJc w:val="left"/>
      <w:pPr>
        <w:ind w:left="7333" w:hanging="601"/>
      </w:pPr>
      <w:rPr>
        <w:rFonts w:hint="default"/>
      </w:rPr>
    </w:lvl>
    <w:lvl w:ilvl="6">
      <w:numFmt w:val="bullet"/>
      <w:lvlText w:val="•"/>
      <w:lvlJc w:val="left"/>
      <w:pPr>
        <w:ind w:left="8247" w:hanging="601"/>
      </w:pPr>
      <w:rPr>
        <w:rFonts w:hint="default"/>
      </w:rPr>
    </w:lvl>
    <w:lvl w:ilvl="7">
      <w:numFmt w:val="bullet"/>
      <w:lvlText w:val="•"/>
      <w:lvlJc w:val="left"/>
      <w:pPr>
        <w:ind w:left="9162" w:hanging="601"/>
      </w:pPr>
      <w:rPr>
        <w:rFonts w:hint="default"/>
      </w:rPr>
    </w:lvl>
    <w:lvl w:ilvl="8">
      <w:numFmt w:val="bullet"/>
      <w:lvlText w:val="•"/>
      <w:lvlJc w:val="left"/>
      <w:pPr>
        <w:ind w:left="10076" w:hanging="601"/>
      </w:pPr>
      <w:rPr>
        <w:rFonts w:hint="default"/>
      </w:rPr>
    </w:lvl>
  </w:abstractNum>
  <w:abstractNum w:abstractNumId="20">
    <w:nsid w:val="D7F9FE59"/>
    <w:multiLevelType w:val="multilevel"/>
    <w:tmpl w:val="D7F9FE59"/>
    <w:lvl w:ilvl="0">
      <w:start w:val="2"/>
      <w:numFmt w:val="decimal"/>
      <w:lvlText w:val="%1"/>
      <w:lvlJc w:val="left"/>
      <w:pPr>
        <w:ind w:left="786" w:hanging="449"/>
      </w:pPr>
      <w:rPr>
        <w:rFonts w:cs="Times New Roman" w:hint="default"/>
      </w:rPr>
    </w:lvl>
    <w:lvl w:ilvl="1">
      <w:start w:val="1"/>
      <w:numFmt w:val="decimal"/>
      <w:lvlText w:val="%1.%2"/>
      <w:lvlJc w:val="left"/>
      <w:pPr>
        <w:ind w:left="786" w:hanging="449"/>
      </w:pPr>
      <w:rPr>
        <w:rFonts w:ascii="Times New Roman" w:eastAsia="Times New Roman" w:hAnsi="Times New Roman" w:cs="Times New Roman" w:hint="default"/>
        <w:b/>
        <w:bCs/>
        <w:spacing w:val="-1"/>
        <w:w w:val="100"/>
        <w:sz w:val="30"/>
        <w:szCs w:val="30"/>
      </w:rPr>
    </w:lvl>
    <w:lvl w:ilvl="2">
      <w:start w:val="1"/>
      <w:numFmt w:val="decimal"/>
      <w:lvlText w:val="%1.%2.%3"/>
      <w:lvlJc w:val="left"/>
      <w:pPr>
        <w:ind w:left="817" w:hanging="540"/>
      </w:pPr>
      <w:rPr>
        <w:rFonts w:ascii="Times New Roman" w:eastAsia="Times New Roman" w:hAnsi="Times New Roman" w:cs="Times New Roman" w:hint="default"/>
        <w:b/>
        <w:bCs/>
        <w:spacing w:val="-60"/>
        <w:w w:val="99"/>
        <w:sz w:val="24"/>
        <w:szCs w:val="24"/>
      </w:rPr>
    </w:lvl>
    <w:lvl w:ilvl="3">
      <w:start w:val="1"/>
      <w:numFmt w:val="decimal"/>
      <w:lvlText w:val="（%4）"/>
      <w:lvlJc w:val="left"/>
      <w:pPr>
        <w:ind w:left="1418" w:hanging="601"/>
      </w:pPr>
      <w:rPr>
        <w:rFonts w:ascii="宋体" w:eastAsia="宋体" w:hAnsi="宋体" w:cs="宋体" w:hint="default"/>
        <w:w w:val="100"/>
        <w:sz w:val="22"/>
        <w:szCs w:val="22"/>
      </w:rPr>
    </w:lvl>
    <w:lvl w:ilvl="4">
      <w:numFmt w:val="bullet"/>
      <w:lvlText w:val="•"/>
      <w:lvlJc w:val="left"/>
      <w:pPr>
        <w:ind w:left="1060" w:hanging="601"/>
      </w:pPr>
      <w:rPr>
        <w:rFonts w:hint="default"/>
      </w:rPr>
    </w:lvl>
    <w:lvl w:ilvl="5">
      <w:numFmt w:val="bullet"/>
      <w:lvlText w:val="•"/>
      <w:lvlJc w:val="left"/>
      <w:pPr>
        <w:ind w:left="1420" w:hanging="601"/>
      </w:pPr>
      <w:rPr>
        <w:rFonts w:hint="default"/>
      </w:rPr>
    </w:lvl>
    <w:lvl w:ilvl="6">
      <w:numFmt w:val="bullet"/>
      <w:lvlText w:val="•"/>
      <w:lvlJc w:val="left"/>
      <w:pPr>
        <w:ind w:left="2933" w:hanging="601"/>
      </w:pPr>
      <w:rPr>
        <w:rFonts w:hint="default"/>
      </w:rPr>
    </w:lvl>
    <w:lvl w:ilvl="7">
      <w:numFmt w:val="bullet"/>
      <w:lvlText w:val="•"/>
      <w:lvlJc w:val="left"/>
      <w:pPr>
        <w:ind w:left="4446" w:hanging="601"/>
      </w:pPr>
      <w:rPr>
        <w:rFonts w:hint="default"/>
      </w:rPr>
    </w:lvl>
    <w:lvl w:ilvl="8">
      <w:numFmt w:val="bullet"/>
      <w:lvlText w:val="•"/>
      <w:lvlJc w:val="left"/>
      <w:pPr>
        <w:ind w:left="5959" w:hanging="601"/>
      </w:pPr>
      <w:rPr>
        <w:rFonts w:hint="default"/>
      </w:rPr>
    </w:lvl>
  </w:abstractNum>
  <w:abstractNum w:abstractNumId="21">
    <w:nsid w:val="DAD3A854"/>
    <w:multiLevelType w:val="multilevel"/>
    <w:tmpl w:val="DAD3A854"/>
    <w:lvl w:ilvl="0">
      <w:start w:val="1"/>
      <w:numFmt w:val="decimal"/>
      <w:lvlText w:val="%1"/>
      <w:lvlJc w:val="left"/>
      <w:pPr>
        <w:ind w:left="1400" w:hanging="600"/>
      </w:pPr>
      <w:rPr>
        <w:rFonts w:cs="Times New Roman" w:hint="default"/>
      </w:rPr>
    </w:lvl>
    <w:lvl w:ilvl="1">
      <w:start w:val="3"/>
      <w:numFmt w:val="decimal"/>
      <w:lvlText w:val="%1.%2"/>
      <w:lvlJc w:val="left"/>
      <w:pPr>
        <w:ind w:left="1400" w:hanging="600"/>
      </w:pPr>
      <w:rPr>
        <w:rFonts w:cs="Times New Roman" w:hint="default"/>
      </w:rPr>
    </w:lvl>
    <w:lvl w:ilvl="2">
      <w:start w:val="1"/>
      <w:numFmt w:val="decimal"/>
      <w:lvlText w:val="%1.%2.%3"/>
      <w:lvlJc w:val="left"/>
      <w:pPr>
        <w:ind w:left="1400" w:hanging="600"/>
      </w:pPr>
      <w:rPr>
        <w:rFonts w:ascii="Times New Roman" w:eastAsia="Times New Roman" w:hAnsi="Times New Roman" w:cs="Times New Roman" w:hint="default"/>
        <w:b/>
        <w:bCs/>
        <w:w w:val="99"/>
        <w:sz w:val="24"/>
        <w:szCs w:val="24"/>
      </w:rPr>
    </w:lvl>
    <w:lvl w:ilvl="3">
      <w:start w:val="1"/>
      <w:numFmt w:val="decimal"/>
      <w:lvlText w:val="（%4）"/>
      <w:lvlJc w:val="left"/>
      <w:pPr>
        <w:ind w:left="1881" w:hanging="601"/>
      </w:pPr>
      <w:rPr>
        <w:rFonts w:ascii="宋体" w:eastAsia="宋体" w:hAnsi="宋体" w:cs="宋体" w:hint="default"/>
        <w:spacing w:val="-108"/>
        <w:w w:val="100"/>
        <w:sz w:val="22"/>
        <w:szCs w:val="22"/>
      </w:rPr>
    </w:lvl>
    <w:lvl w:ilvl="4">
      <w:numFmt w:val="bullet"/>
      <w:lvlText w:val="•"/>
      <w:lvlJc w:val="left"/>
      <w:pPr>
        <w:ind w:left="4555" w:hanging="601"/>
      </w:pPr>
      <w:rPr>
        <w:rFonts w:hint="default"/>
      </w:rPr>
    </w:lvl>
    <w:lvl w:ilvl="5">
      <w:numFmt w:val="bullet"/>
      <w:lvlText w:val="•"/>
      <w:lvlJc w:val="left"/>
      <w:pPr>
        <w:ind w:left="5447" w:hanging="601"/>
      </w:pPr>
      <w:rPr>
        <w:rFonts w:hint="default"/>
      </w:rPr>
    </w:lvl>
    <w:lvl w:ilvl="6">
      <w:numFmt w:val="bullet"/>
      <w:lvlText w:val="•"/>
      <w:lvlJc w:val="left"/>
      <w:pPr>
        <w:ind w:left="6338" w:hanging="601"/>
      </w:pPr>
      <w:rPr>
        <w:rFonts w:hint="default"/>
      </w:rPr>
    </w:lvl>
    <w:lvl w:ilvl="7">
      <w:numFmt w:val="bullet"/>
      <w:lvlText w:val="•"/>
      <w:lvlJc w:val="left"/>
      <w:pPr>
        <w:ind w:left="7230" w:hanging="601"/>
      </w:pPr>
      <w:rPr>
        <w:rFonts w:hint="default"/>
      </w:rPr>
    </w:lvl>
    <w:lvl w:ilvl="8">
      <w:numFmt w:val="bullet"/>
      <w:lvlText w:val="•"/>
      <w:lvlJc w:val="left"/>
      <w:pPr>
        <w:ind w:left="8122" w:hanging="601"/>
      </w:pPr>
      <w:rPr>
        <w:rFonts w:hint="default"/>
      </w:rPr>
    </w:lvl>
  </w:abstractNum>
  <w:abstractNum w:abstractNumId="22">
    <w:nsid w:val="DCBA6B53"/>
    <w:multiLevelType w:val="multilevel"/>
    <w:tmpl w:val="DCBA6B53"/>
    <w:lvl w:ilvl="0">
      <w:start w:val="1"/>
      <w:numFmt w:val="decimal"/>
      <w:lvlText w:val="（%1）"/>
      <w:lvlJc w:val="left"/>
      <w:pPr>
        <w:ind w:left="1418" w:hanging="601"/>
      </w:pPr>
      <w:rPr>
        <w:rFonts w:ascii="宋体" w:eastAsia="宋体" w:hAnsi="宋体" w:cs="宋体" w:hint="default"/>
        <w:w w:val="100"/>
        <w:sz w:val="22"/>
        <w:szCs w:val="22"/>
      </w:rPr>
    </w:lvl>
    <w:lvl w:ilvl="1">
      <w:numFmt w:val="bullet"/>
      <w:lvlText w:val="•"/>
      <w:lvlJc w:val="left"/>
      <w:pPr>
        <w:ind w:left="2176" w:hanging="601"/>
      </w:pPr>
      <w:rPr>
        <w:rFonts w:hint="default"/>
      </w:rPr>
    </w:lvl>
    <w:lvl w:ilvl="2">
      <w:numFmt w:val="bullet"/>
      <w:lvlText w:val="•"/>
      <w:lvlJc w:val="left"/>
      <w:pPr>
        <w:ind w:left="2933" w:hanging="601"/>
      </w:pPr>
      <w:rPr>
        <w:rFonts w:hint="default"/>
      </w:rPr>
    </w:lvl>
    <w:lvl w:ilvl="3">
      <w:numFmt w:val="bullet"/>
      <w:lvlText w:val="•"/>
      <w:lvlJc w:val="left"/>
      <w:pPr>
        <w:ind w:left="3689" w:hanging="601"/>
      </w:pPr>
      <w:rPr>
        <w:rFonts w:hint="default"/>
      </w:rPr>
    </w:lvl>
    <w:lvl w:ilvl="4">
      <w:numFmt w:val="bullet"/>
      <w:lvlText w:val="•"/>
      <w:lvlJc w:val="left"/>
      <w:pPr>
        <w:ind w:left="4446" w:hanging="601"/>
      </w:pPr>
      <w:rPr>
        <w:rFonts w:hint="default"/>
      </w:rPr>
    </w:lvl>
    <w:lvl w:ilvl="5">
      <w:numFmt w:val="bullet"/>
      <w:lvlText w:val="•"/>
      <w:lvlJc w:val="left"/>
      <w:pPr>
        <w:ind w:left="5203" w:hanging="601"/>
      </w:pPr>
      <w:rPr>
        <w:rFonts w:hint="default"/>
      </w:rPr>
    </w:lvl>
    <w:lvl w:ilvl="6">
      <w:numFmt w:val="bullet"/>
      <w:lvlText w:val="•"/>
      <w:lvlJc w:val="left"/>
      <w:pPr>
        <w:ind w:left="5959" w:hanging="601"/>
      </w:pPr>
      <w:rPr>
        <w:rFonts w:hint="default"/>
      </w:rPr>
    </w:lvl>
    <w:lvl w:ilvl="7">
      <w:numFmt w:val="bullet"/>
      <w:lvlText w:val="•"/>
      <w:lvlJc w:val="left"/>
      <w:pPr>
        <w:ind w:left="6716" w:hanging="601"/>
      </w:pPr>
      <w:rPr>
        <w:rFonts w:hint="default"/>
      </w:rPr>
    </w:lvl>
    <w:lvl w:ilvl="8">
      <w:numFmt w:val="bullet"/>
      <w:lvlText w:val="•"/>
      <w:lvlJc w:val="left"/>
      <w:pPr>
        <w:ind w:left="7472" w:hanging="601"/>
      </w:pPr>
      <w:rPr>
        <w:rFonts w:hint="default"/>
      </w:rPr>
    </w:lvl>
  </w:abstractNum>
  <w:abstractNum w:abstractNumId="23">
    <w:nsid w:val="E093A4B0"/>
    <w:multiLevelType w:val="multilevel"/>
    <w:tmpl w:val="E093A4B0"/>
    <w:lvl w:ilvl="0">
      <w:start w:val="8"/>
      <w:numFmt w:val="decimal"/>
      <w:lvlText w:val="%1"/>
      <w:lvlJc w:val="left"/>
      <w:pPr>
        <w:ind w:left="1057" w:hanging="720"/>
      </w:pPr>
      <w:rPr>
        <w:rFonts w:cs="Times New Roman" w:hint="default"/>
      </w:rPr>
    </w:lvl>
    <w:lvl w:ilvl="1">
      <w:start w:val="3"/>
      <w:numFmt w:val="decimal"/>
      <w:lvlText w:val="%1.%2"/>
      <w:lvlJc w:val="left"/>
      <w:pPr>
        <w:ind w:left="1057" w:hanging="720"/>
      </w:pPr>
      <w:rPr>
        <w:rFonts w:cs="Times New Roman" w:hint="default"/>
      </w:rPr>
    </w:lvl>
    <w:lvl w:ilvl="2">
      <w:start w:val="2"/>
      <w:numFmt w:val="decimal"/>
      <w:lvlText w:val="%1.%2.%3"/>
      <w:lvlJc w:val="left"/>
      <w:pPr>
        <w:ind w:left="1057" w:hanging="720"/>
      </w:pPr>
      <w:rPr>
        <w:rFonts w:cs="Times New Roman" w:hint="default"/>
      </w:rPr>
    </w:lvl>
    <w:lvl w:ilvl="3">
      <w:start w:val="1"/>
      <w:numFmt w:val="decimal"/>
      <w:lvlText w:val="%1.%2.%3.%4"/>
      <w:lvlJc w:val="left"/>
      <w:pPr>
        <w:ind w:left="1057" w:hanging="720"/>
      </w:pPr>
      <w:rPr>
        <w:rFonts w:ascii="Times New Roman" w:eastAsia="Times New Roman" w:hAnsi="Times New Roman" w:cs="Times New Roman" w:hint="default"/>
        <w:b/>
        <w:bCs/>
        <w:w w:val="99"/>
        <w:sz w:val="24"/>
        <w:szCs w:val="24"/>
      </w:rPr>
    </w:lvl>
    <w:lvl w:ilvl="4">
      <w:start w:val="1"/>
      <w:numFmt w:val="decimal"/>
      <w:lvlText w:val="（%5）"/>
      <w:lvlJc w:val="left"/>
      <w:pPr>
        <w:ind w:left="337" w:hanging="601"/>
      </w:pPr>
      <w:rPr>
        <w:rFonts w:ascii="宋体" w:eastAsia="宋体" w:hAnsi="宋体" w:cs="宋体" w:hint="default"/>
        <w:spacing w:val="-46"/>
        <w:w w:val="100"/>
        <w:sz w:val="22"/>
        <w:szCs w:val="22"/>
      </w:rPr>
    </w:lvl>
    <w:lvl w:ilvl="5">
      <w:numFmt w:val="bullet"/>
      <w:lvlText w:val="•"/>
      <w:lvlJc w:val="left"/>
      <w:pPr>
        <w:ind w:left="4582" w:hanging="601"/>
      </w:pPr>
      <w:rPr>
        <w:rFonts w:hint="default"/>
      </w:rPr>
    </w:lvl>
    <w:lvl w:ilvl="6">
      <w:numFmt w:val="bullet"/>
      <w:lvlText w:val="•"/>
      <w:lvlJc w:val="left"/>
      <w:pPr>
        <w:ind w:left="5463" w:hanging="601"/>
      </w:pPr>
      <w:rPr>
        <w:rFonts w:hint="default"/>
      </w:rPr>
    </w:lvl>
    <w:lvl w:ilvl="7">
      <w:numFmt w:val="bullet"/>
      <w:lvlText w:val="•"/>
      <w:lvlJc w:val="left"/>
      <w:pPr>
        <w:ind w:left="6344" w:hanging="601"/>
      </w:pPr>
      <w:rPr>
        <w:rFonts w:hint="default"/>
      </w:rPr>
    </w:lvl>
    <w:lvl w:ilvl="8">
      <w:numFmt w:val="bullet"/>
      <w:lvlText w:val="•"/>
      <w:lvlJc w:val="left"/>
      <w:pPr>
        <w:ind w:left="7224" w:hanging="601"/>
      </w:pPr>
      <w:rPr>
        <w:rFonts w:hint="default"/>
      </w:rPr>
    </w:lvl>
  </w:abstractNum>
  <w:abstractNum w:abstractNumId="24">
    <w:nsid w:val="E7B27C5B"/>
    <w:multiLevelType w:val="multilevel"/>
    <w:tmpl w:val="E7B27C5B"/>
    <w:lvl w:ilvl="0">
      <w:start w:val="2"/>
      <w:numFmt w:val="decimal"/>
      <w:lvlText w:val="%1"/>
      <w:lvlJc w:val="left"/>
      <w:pPr>
        <w:ind w:left="1359" w:hanging="560"/>
      </w:pPr>
      <w:rPr>
        <w:rFonts w:cs="Times New Roman" w:hint="default"/>
      </w:rPr>
    </w:lvl>
    <w:lvl w:ilvl="1">
      <w:start w:val="1"/>
      <w:numFmt w:val="decimal"/>
      <w:lvlText w:val="%1.%2"/>
      <w:lvlJc w:val="left"/>
      <w:pPr>
        <w:ind w:left="1359" w:hanging="560"/>
      </w:pPr>
      <w:rPr>
        <w:rFonts w:ascii="Times New Roman" w:eastAsia="Times New Roman" w:hAnsi="Times New Roman" w:cs="Times New Roman" w:hint="default"/>
        <w:b/>
        <w:bCs/>
        <w:spacing w:val="-1"/>
        <w:w w:val="99"/>
        <w:sz w:val="32"/>
        <w:szCs w:val="32"/>
      </w:rPr>
    </w:lvl>
    <w:lvl w:ilvl="2">
      <w:start w:val="1"/>
      <w:numFmt w:val="decimal"/>
      <w:lvlText w:val="%1.%2.%3"/>
      <w:lvlJc w:val="left"/>
      <w:pPr>
        <w:ind w:left="1400" w:hanging="600"/>
      </w:pPr>
      <w:rPr>
        <w:rFonts w:ascii="Times New Roman" w:eastAsia="Times New Roman" w:hAnsi="Times New Roman" w:cs="Times New Roman" w:hint="default"/>
        <w:b/>
        <w:bCs/>
        <w:w w:val="99"/>
        <w:sz w:val="24"/>
        <w:szCs w:val="24"/>
      </w:rPr>
    </w:lvl>
    <w:lvl w:ilvl="3">
      <w:start w:val="1"/>
      <w:numFmt w:val="decimal"/>
      <w:lvlText w:val="（%4）"/>
      <w:lvlJc w:val="left"/>
      <w:pPr>
        <w:ind w:left="1881" w:hanging="601"/>
      </w:pPr>
      <w:rPr>
        <w:rFonts w:ascii="宋体" w:eastAsia="宋体" w:hAnsi="宋体" w:cs="宋体" w:hint="default"/>
        <w:w w:val="100"/>
        <w:sz w:val="22"/>
        <w:szCs w:val="22"/>
      </w:rPr>
    </w:lvl>
    <w:lvl w:ilvl="4">
      <w:numFmt w:val="bullet"/>
      <w:lvlText w:val="•"/>
      <w:lvlJc w:val="left"/>
      <w:pPr>
        <w:ind w:left="1760" w:hanging="601"/>
      </w:pPr>
      <w:rPr>
        <w:rFonts w:hint="default"/>
      </w:rPr>
    </w:lvl>
    <w:lvl w:ilvl="5">
      <w:numFmt w:val="bullet"/>
      <w:lvlText w:val="•"/>
      <w:lvlJc w:val="left"/>
      <w:pPr>
        <w:ind w:left="1880" w:hanging="601"/>
      </w:pPr>
      <w:rPr>
        <w:rFonts w:hint="default"/>
      </w:rPr>
    </w:lvl>
    <w:lvl w:ilvl="6">
      <w:numFmt w:val="bullet"/>
      <w:lvlText w:val="•"/>
      <w:lvlJc w:val="left"/>
      <w:pPr>
        <w:ind w:left="3485" w:hanging="601"/>
      </w:pPr>
      <w:rPr>
        <w:rFonts w:hint="default"/>
      </w:rPr>
    </w:lvl>
    <w:lvl w:ilvl="7">
      <w:numFmt w:val="bullet"/>
      <w:lvlText w:val="•"/>
      <w:lvlJc w:val="left"/>
      <w:pPr>
        <w:ind w:left="5090" w:hanging="601"/>
      </w:pPr>
      <w:rPr>
        <w:rFonts w:hint="default"/>
      </w:rPr>
    </w:lvl>
    <w:lvl w:ilvl="8">
      <w:numFmt w:val="bullet"/>
      <w:lvlText w:val="•"/>
      <w:lvlJc w:val="left"/>
      <w:pPr>
        <w:ind w:left="6695" w:hanging="601"/>
      </w:pPr>
      <w:rPr>
        <w:rFonts w:hint="default"/>
      </w:rPr>
    </w:lvl>
  </w:abstractNum>
  <w:abstractNum w:abstractNumId="25">
    <w:nsid w:val="F0E89278"/>
    <w:multiLevelType w:val="multilevel"/>
    <w:tmpl w:val="F0E89278"/>
    <w:lvl w:ilvl="0">
      <w:start w:val="8"/>
      <w:numFmt w:val="decimal"/>
      <w:lvlText w:val="%1"/>
      <w:lvlJc w:val="left"/>
      <w:pPr>
        <w:ind w:left="1381" w:hanging="452"/>
      </w:pPr>
      <w:rPr>
        <w:rFonts w:cs="Times New Roman" w:hint="default"/>
      </w:rPr>
    </w:lvl>
    <w:lvl w:ilvl="1">
      <w:start w:val="5"/>
      <w:numFmt w:val="decimal"/>
      <w:lvlText w:val="%1.%2"/>
      <w:lvlJc w:val="left"/>
      <w:pPr>
        <w:ind w:left="1381" w:hanging="452"/>
      </w:pPr>
      <w:rPr>
        <w:rFonts w:ascii="Times New Roman" w:eastAsia="Times New Roman" w:hAnsi="Times New Roman" w:cs="Times New Roman" w:hint="default"/>
        <w:b/>
        <w:bCs/>
        <w:spacing w:val="-1"/>
        <w:w w:val="99"/>
        <w:sz w:val="30"/>
        <w:szCs w:val="30"/>
      </w:rPr>
    </w:lvl>
    <w:lvl w:ilvl="2">
      <w:start w:val="1"/>
      <w:numFmt w:val="decimal"/>
      <w:lvlText w:val="%1.%2.%3"/>
      <w:lvlJc w:val="left"/>
      <w:pPr>
        <w:ind w:left="1357" w:hanging="540"/>
      </w:pPr>
      <w:rPr>
        <w:rFonts w:ascii="Times New Roman" w:eastAsia="Times New Roman" w:hAnsi="Times New Roman" w:cs="Times New Roman" w:hint="default"/>
        <w:b/>
        <w:bCs/>
        <w:w w:val="99"/>
        <w:sz w:val="24"/>
        <w:szCs w:val="24"/>
      </w:rPr>
    </w:lvl>
    <w:lvl w:ilvl="3">
      <w:numFmt w:val="bullet"/>
      <w:lvlText w:val="•"/>
      <w:lvlJc w:val="left"/>
      <w:pPr>
        <w:ind w:left="3070" w:hanging="540"/>
      </w:pPr>
      <w:rPr>
        <w:rFonts w:hint="default"/>
      </w:rPr>
    </w:lvl>
    <w:lvl w:ilvl="4">
      <w:numFmt w:val="bullet"/>
      <w:lvlText w:val="•"/>
      <w:lvlJc w:val="left"/>
      <w:pPr>
        <w:ind w:left="3915" w:hanging="540"/>
      </w:pPr>
      <w:rPr>
        <w:rFonts w:hint="default"/>
      </w:rPr>
    </w:lvl>
    <w:lvl w:ilvl="5">
      <w:numFmt w:val="bullet"/>
      <w:lvlText w:val="•"/>
      <w:lvlJc w:val="left"/>
      <w:pPr>
        <w:ind w:left="4760" w:hanging="540"/>
      </w:pPr>
      <w:rPr>
        <w:rFonts w:hint="default"/>
      </w:rPr>
    </w:lvl>
    <w:lvl w:ilvl="6">
      <w:numFmt w:val="bullet"/>
      <w:lvlText w:val="•"/>
      <w:lvlJc w:val="left"/>
      <w:pPr>
        <w:ind w:left="5605" w:hanging="540"/>
      </w:pPr>
      <w:rPr>
        <w:rFonts w:hint="default"/>
      </w:rPr>
    </w:lvl>
    <w:lvl w:ilvl="7">
      <w:numFmt w:val="bullet"/>
      <w:lvlText w:val="•"/>
      <w:lvlJc w:val="left"/>
      <w:pPr>
        <w:ind w:left="6450" w:hanging="540"/>
      </w:pPr>
      <w:rPr>
        <w:rFonts w:hint="default"/>
      </w:rPr>
    </w:lvl>
    <w:lvl w:ilvl="8">
      <w:numFmt w:val="bullet"/>
      <w:lvlText w:val="•"/>
      <w:lvlJc w:val="left"/>
      <w:pPr>
        <w:ind w:left="7295" w:hanging="540"/>
      </w:pPr>
      <w:rPr>
        <w:rFonts w:hint="default"/>
      </w:rPr>
    </w:lvl>
  </w:abstractNum>
  <w:abstractNum w:abstractNumId="26">
    <w:nsid w:val="F4A942FE"/>
    <w:multiLevelType w:val="multilevel"/>
    <w:tmpl w:val="F4A942FE"/>
    <w:lvl w:ilvl="0">
      <w:start w:val="1"/>
      <w:numFmt w:val="decimal"/>
      <w:lvlText w:val="（%1）"/>
      <w:lvlJc w:val="left"/>
      <w:pPr>
        <w:ind w:left="9" w:hanging="525"/>
      </w:pPr>
      <w:rPr>
        <w:rFonts w:ascii="宋体" w:eastAsia="宋体" w:hAnsi="宋体" w:cs="宋体" w:hint="default"/>
        <w:spacing w:val="-1"/>
        <w:w w:val="99"/>
        <w:sz w:val="19"/>
        <w:szCs w:val="19"/>
      </w:rPr>
    </w:lvl>
    <w:lvl w:ilvl="1">
      <w:numFmt w:val="bullet"/>
      <w:lvlText w:val="•"/>
      <w:lvlJc w:val="left"/>
      <w:pPr>
        <w:ind w:left="711" w:hanging="525"/>
      </w:pPr>
      <w:rPr>
        <w:rFonts w:hint="default"/>
      </w:rPr>
    </w:lvl>
    <w:lvl w:ilvl="2">
      <w:numFmt w:val="bullet"/>
      <w:lvlText w:val="•"/>
      <w:lvlJc w:val="left"/>
      <w:pPr>
        <w:ind w:left="1422" w:hanging="525"/>
      </w:pPr>
      <w:rPr>
        <w:rFonts w:hint="default"/>
      </w:rPr>
    </w:lvl>
    <w:lvl w:ilvl="3">
      <w:numFmt w:val="bullet"/>
      <w:lvlText w:val="•"/>
      <w:lvlJc w:val="left"/>
      <w:pPr>
        <w:ind w:left="2134" w:hanging="525"/>
      </w:pPr>
      <w:rPr>
        <w:rFonts w:hint="default"/>
      </w:rPr>
    </w:lvl>
    <w:lvl w:ilvl="4">
      <w:numFmt w:val="bullet"/>
      <w:lvlText w:val="•"/>
      <w:lvlJc w:val="left"/>
      <w:pPr>
        <w:ind w:left="2845" w:hanging="525"/>
      </w:pPr>
      <w:rPr>
        <w:rFonts w:hint="default"/>
      </w:rPr>
    </w:lvl>
    <w:lvl w:ilvl="5">
      <w:numFmt w:val="bullet"/>
      <w:lvlText w:val="•"/>
      <w:lvlJc w:val="left"/>
      <w:pPr>
        <w:ind w:left="3557" w:hanging="525"/>
      </w:pPr>
      <w:rPr>
        <w:rFonts w:hint="default"/>
      </w:rPr>
    </w:lvl>
    <w:lvl w:ilvl="6">
      <w:numFmt w:val="bullet"/>
      <w:lvlText w:val="•"/>
      <w:lvlJc w:val="left"/>
      <w:pPr>
        <w:ind w:left="4268" w:hanging="525"/>
      </w:pPr>
      <w:rPr>
        <w:rFonts w:hint="default"/>
      </w:rPr>
    </w:lvl>
    <w:lvl w:ilvl="7">
      <w:numFmt w:val="bullet"/>
      <w:lvlText w:val="•"/>
      <w:lvlJc w:val="left"/>
      <w:pPr>
        <w:ind w:left="4979" w:hanging="525"/>
      </w:pPr>
      <w:rPr>
        <w:rFonts w:hint="default"/>
      </w:rPr>
    </w:lvl>
    <w:lvl w:ilvl="8">
      <w:numFmt w:val="bullet"/>
      <w:lvlText w:val="•"/>
      <w:lvlJc w:val="left"/>
      <w:pPr>
        <w:ind w:left="5691" w:hanging="525"/>
      </w:pPr>
      <w:rPr>
        <w:rFonts w:hint="default"/>
      </w:rPr>
    </w:lvl>
  </w:abstractNum>
  <w:abstractNum w:abstractNumId="27">
    <w:nsid w:val="F4B5D9F5"/>
    <w:multiLevelType w:val="multilevel"/>
    <w:tmpl w:val="F4B5D9F5"/>
    <w:lvl w:ilvl="0">
      <w:start w:val="1"/>
      <w:numFmt w:val="upperRoman"/>
      <w:lvlText w:val="%1"/>
      <w:lvlJc w:val="left"/>
      <w:pPr>
        <w:ind w:left="1797" w:hanging="140"/>
      </w:pPr>
      <w:rPr>
        <w:rFonts w:ascii="Times New Roman" w:eastAsia="Times New Roman" w:hAnsi="Times New Roman" w:cs="Times New Roman" w:hint="default"/>
        <w:w w:val="100"/>
        <w:sz w:val="24"/>
        <w:szCs w:val="24"/>
      </w:rPr>
    </w:lvl>
    <w:lvl w:ilvl="1">
      <w:numFmt w:val="bullet"/>
      <w:lvlText w:val="•"/>
      <w:lvlJc w:val="left"/>
      <w:pPr>
        <w:ind w:left="2810" w:hanging="140"/>
      </w:pPr>
      <w:rPr>
        <w:rFonts w:hint="default"/>
      </w:rPr>
    </w:lvl>
    <w:lvl w:ilvl="2">
      <w:numFmt w:val="bullet"/>
      <w:lvlText w:val="•"/>
      <w:lvlJc w:val="left"/>
      <w:pPr>
        <w:ind w:left="3821" w:hanging="140"/>
      </w:pPr>
      <w:rPr>
        <w:rFonts w:hint="default"/>
      </w:rPr>
    </w:lvl>
    <w:lvl w:ilvl="3">
      <w:numFmt w:val="bullet"/>
      <w:lvlText w:val="•"/>
      <w:lvlJc w:val="left"/>
      <w:pPr>
        <w:ind w:left="4831" w:hanging="140"/>
      </w:pPr>
      <w:rPr>
        <w:rFonts w:hint="default"/>
      </w:rPr>
    </w:lvl>
    <w:lvl w:ilvl="4">
      <w:numFmt w:val="bullet"/>
      <w:lvlText w:val="•"/>
      <w:lvlJc w:val="left"/>
      <w:pPr>
        <w:ind w:left="5842" w:hanging="140"/>
      </w:pPr>
      <w:rPr>
        <w:rFonts w:hint="default"/>
      </w:rPr>
    </w:lvl>
    <w:lvl w:ilvl="5">
      <w:numFmt w:val="bullet"/>
      <w:lvlText w:val="•"/>
      <w:lvlJc w:val="left"/>
      <w:pPr>
        <w:ind w:left="6853" w:hanging="140"/>
      </w:pPr>
      <w:rPr>
        <w:rFonts w:hint="default"/>
      </w:rPr>
    </w:lvl>
    <w:lvl w:ilvl="6">
      <w:numFmt w:val="bullet"/>
      <w:lvlText w:val="•"/>
      <w:lvlJc w:val="left"/>
      <w:pPr>
        <w:ind w:left="7863" w:hanging="140"/>
      </w:pPr>
      <w:rPr>
        <w:rFonts w:hint="default"/>
      </w:rPr>
    </w:lvl>
    <w:lvl w:ilvl="7">
      <w:numFmt w:val="bullet"/>
      <w:lvlText w:val="•"/>
      <w:lvlJc w:val="left"/>
      <w:pPr>
        <w:ind w:left="8874" w:hanging="140"/>
      </w:pPr>
      <w:rPr>
        <w:rFonts w:hint="default"/>
      </w:rPr>
    </w:lvl>
    <w:lvl w:ilvl="8">
      <w:numFmt w:val="bullet"/>
      <w:lvlText w:val="•"/>
      <w:lvlJc w:val="left"/>
      <w:pPr>
        <w:ind w:left="9884" w:hanging="140"/>
      </w:pPr>
      <w:rPr>
        <w:rFonts w:hint="default"/>
      </w:rPr>
    </w:lvl>
  </w:abstractNum>
  <w:abstractNum w:abstractNumId="28">
    <w:nsid w:val="F585BF25"/>
    <w:multiLevelType w:val="multilevel"/>
    <w:tmpl w:val="F585BF25"/>
    <w:lvl w:ilvl="0">
      <w:start w:val="4"/>
      <w:numFmt w:val="decimal"/>
      <w:lvlText w:val="%1"/>
      <w:lvlJc w:val="left"/>
      <w:pPr>
        <w:ind w:left="1356" w:hanging="560"/>
      </w:pPr>
      <w:rPr>
        <w:rFonts w:cs="Times New Roman" w:hint="default"/>
      </w:rPr>
    </w:lvl>
    <w:lvl w:ilvl="1">
      <w:start w:val="1"/>
      <w:numFmt w:val="decimal"/>
      <w:lvlText w:val="%1.%2"/>
      <w:lvlJc w:val="left"/>
      <w:pPr>
        <w:ind w:left="1356" w:hanging="560"/>
      </w:pPr>
      <w:rPr>
        <w:rFonts w:ascii="Times New Roman" w:eastAsia="Times New Roman" w:hAnsi="Times New Roman" w:cs="Times New Roman" w:hint="default"/>
        <w:b/>
        <w:bCs/>
        <w:spacing w:val="-1"/>
        <w:w w:val="99"/>
        <w:sz w:val="32"/>
        <w:szCs w:val="32"/>
      </w:rPr>
    </w:lvl>
    <w:lvl w:ilvl="2">
      <w:start w:val="1"/>
      <w:numFmt w:val="decimal"/>
      <w:lvlText w:val="（%3）"/>
      <w:lvlJc w:val="left"/>
      <w:pPr>
        <w:ind w:left="1864" w:hanging="597"/>
      </w:pPr>
      <w:rPr>
        <w:rFonts w:ascii="宋体" w:eastAsia="宋体" w:hAnsi="宋体" w:cs="宋体" w:hint="default"/>
        <w:spacing w:val="-5"/>
        <w:w w:val="100"/>
        <w:sz w:val="22"/>
        <w:szCs w:val="22"/>
      </w:rPr>
    </w:lvl>
    <w:lvl w:ilvl="3">
      <w:numFmt w:val="bullet"/>
      <w:lvlText w:val="•"/>
      <w:lvlJc w:val="left"/>
      <w:pPr>
        <w:ind w:left="3648" w:hanging="597"/>
      </w:pPr>
      <w:rPr>
        <w:rFonts w:hint="default"/>
      </w:rPr>
    </w:lvl>
    <w:lvl w:ilvl="4">
      <w:numFmt w:val="bullet"/>
      <w:lvlText w:val="•"/>
      <w:lvlJc w:val="left"/>
      <w:pPr>
        <w:ind w:left="4542" w:hanging="597"/>
      </w:pPr>
      <w:rPr>
        <w:rFonts w:hint="default"/>
      </w:rPr>
    </w:lvl>
    <w:lvl w:ilvl="5">
      <w:numFmt w:val="bullet"/>
      <w:lvlText w:val="•"/>
      <w:lvlJc w:val="left"/>
      <w:pPr>
        <w:ind w:left="5436" w:hanging="597"/>
      </w:pPr>
      <w:rPr>
        <w:rFonts w:hint="default"/>
      </w:rPr>
    </w:lvl>
    <w:lvl w:ilvl="6">
      <w:numFmt w:val="bullet"/>
      <w:lvlText w:val="•"/>
      <w:lvlJc w:val="left"/>
      <w:pPr>
        <w:ind w:left="6330" w:hanging="597"/>
      </w:pPr>
      <w:rPr>
        <w:rFonts w:hint="default"/>
      </w:rPr>
    </w:lvl>
    <w:lvl w:ilvl="7">
      <w:numFmt w:val="bullet"/>
      <w:lvlText w:val="•"/>
      <w:lvlJc w:val="left"/>
      <w:pPr>
        <w:ind w:left="7224" w:hanging="597"/>
      </w:pPr>
      <w:rPr>
        <w:rFonts w:hint="default"/>
      </w:rPr>
    </w:lvl>
    <w:lvl w:ilvl="8">
      <w:numFmt w:val="bullet"/>
      <w:lvlText w:val="•"/>
      <w:lvlJc w:val="left"/>
      <w:pPr>
        <w:ind w:left="8118" w:hanging="597"/>
      </w:pPr>
      <w:rPr>
        <w:rFonts w:hint="default"/>
      </w:rPr>
    </w:lvl>
  </w:abstractNum>
  <w:abstractNum w:abstractNumId="29">
    <w:nsid w:val="0053208E"/>
    <w:multiLevelType w:val="multilevel"/>
    <w:tmpl w:val="0053208E"/>
    <w:lvl w:ilvl="0">
      <w:start w:val="1"/>
      <w:numFmt w:val="decimal"/>
      <w:lvlText w:val="（%1）"/>
      <w:lvlJc w:val="left"/>
      <w:pPr>
        <w:ind w:left="2881" w:hanging="601"/>
      </w:pPr>
      <w:rPr>
        <w:rFonts w:ascii="宋体" w:eastAsia="宋体" w:hAnsi="宋体" w:cs="宋体" w:hint="default"/>
        <w:spacing w:val="-2"/>
        <w:w w:val="100"/>
        <w:sz w:val="22"/>
        <w:szCs w:val="22"/>
      </w:rPr>
    </w:lvl>
    <w:lvl w:ilvl="1">
      <w:numFmt w:val="bullet"/>
      <w:lvlText w:val="•"/>
      <w:lvlJc w:val="left"/>
      <w:pPr>
        <w:ind w:left="3782" w:hanging="601"/>
      </w:pPr>
      <w:rPr>
        <w:rFonts w:hint="default"/>
      </w:rPr>
    </w:lvl>
    <w:lvl w:ilvl="2">
      <w:numFmt w:val="bullet"/>
      <w:lvlText w:val="•"/>
      <w:lvlJc w:val="left"/>
      <w:pPr>
        <w:ind w:left="4685" w:hanging="601"/>
      </w:pPr>
      <w:rPr>
        <w:rFonts w:hint="default"/>
      </w:rPr>
    </w:lvl>
    <w:lvl w:ilvl="3">
      <w:numFmt w:val="bullet"/>
      <w:lvlText w:val="•"/>
      <w:lvlJc w:val="left"/>
      <w:pPr>
        <w:ind w:left="5587" w:hanging="601"/>
      </w:pPr>
      <w:rPr>
        <w:rFonts w:hint="default"/>
      </w:rPr>
    </w:lvl>
    <w:lvl w:ilvl="4">
      <w:numFmt w:val="bullet"/>
      <w:lvlText w:val="•"/>
      <w:lvlJc w:val="left"/>
      <w:pPr>
        <w:ind w:left="6490" w:hanging="601"/>
      </w:pPr>
      <w:rPr>
        <w:rFonts w:hint="default"/>
      </w:rPr>
    </w:lvl>
    <w:lvl w:ilvl="5">
      <w:numFmt w:val="bullet"/>
      <w:lvlText w:val="•"/>
      <w:lvlJc w:val="left"/>
      <w:pPr>
        <w:ind w:left="7393" w:hanging="601"/>
      </w:pPr>
      <w:rPr>
        <w:rFonts w:hint="default"/>
      </w:rPr>
    </w:lvl>
    <w:lvl w:ilvl="6">
      <w:numFmt w:val="bullet"/>
      <w:lvlText w:val="•"/>
      <w:lvlJc w:val="left"/>
      <w:pPr>
        <w:ind w:left="8295" w:hanging="601"/>
      </w:pPr>
      <w:rPr>
        <w:rFonts w:hint="default"/>
      </w:rPr>
    </w:lvl>
    <w:lvl w:ilvl="7">
      <w:numFmt w:val="bullet"/>
      <w:lvlText w:val="•"/>
      <w:lvlJc w:val="left"/>
      <w:pPr>
        <w:ind w:left="9198" w:hanging="601"/>
      </w:pPr>
      <w:rPr>
        <w:rFonts w:hint="default"/>
      </w:rPr>
    </w:lvl>
    <w:lvl w:ilvl="8">
      <w:numFmt w:val="bullet"/>
      <w:lvlText w:val="•"/>
      <w:lvlJc w:val="left"/>
      <w:pPr>
        <w:ind w:left="10100" w:hanging="601"/>
      </w:pPr>
      <w:rPr>
        <w:rFonts w:hint="default"/>
      </w:rPr>
    </w:lvl>
  </w:abstractNum>
  <w:abstractNum w:abstractNumId="30">
    <w:nsid w:val="01836A6D"/>
    <w:multiLevelType w:val="multilevel"/>
    <w:tmpl w:val="01836A6D"/>
    <w:lvl w:ilvl="0">
      <w:start w:val="1"/>
      <w:numFmt w:val="decimal"/>
      <w:lvlText w:val="（%1）"/>
      <w:lvlJc w:val="left"/>
      <w:pPr>
        <w:ind w:left="535" w:hanging="527"/>
      </w:pPr>
      <w:rPr>
        <w:rFonts w:ascii="宋体" w:eastAsia="宋体" w:hAnsi="宋体" w:cs="宋体" w:hint="default"/>
        <w:spacing w:val="-1"/>
        <w:w w:val="99"/>
        <w:sz w:val="19"/>
        <w:szCs w:val="19"/>
      </w:rPr>
    </w:lvl>
    <w:lvl w:ilvl="1">
      <w:numFmt w:val="bullet"/>
      <w:lvlText w:val="•"/>
      <w:lvlJc w:val="left"/>
      <w:pPr>
        <w:ind w:left="1038" w:hanging="527"/>
      </w:pPr>
      <w:rPr>
        <w:rFonts w:hint="default"/>
      </w:rPr>
    </w:lvl>
    <w:lvl w:ilvl="2">
      <w:numFmt w:val="bullet"/>
      <w:lvlText w:val="•"/>
      <w:lvlJc w:val="left"/>
      <w:pPr>
        <w:ind w:left="1537" w:hanging="527"/>
      </w:pPr>
      <w:rPr>
        <w:rFonts w:hint="default"/>
      </w:rPr>
    </w:lvl>
    <w:lvl w:ilvl="3">
      <w:numFmt w:val="bullet"/>
      <w:lvlText w:val="•"/>
      <w:lvlJc w:val="left"/>
      <w:pPr>
        <w:ind w:left="2036" w:hanging="527"/>
      </w:pPr>
      <w:rPr>
        <w:rFonts w:hint="default"/>
      </w:rPr>
    </w:lvl>
    <w:lvl w:ilvl="4">
      <w:numFmt w:val="bullet"/>
      <w:lvlText w:val="•"/>
      <w:lvlJc w:val="left"/>
      <w:pPr>
        <w:ind w:left="2535" w:hanging="527"/>
      </w:pPr>
      <w:rPr>
        <w:rFonts w:hint="default"/>
      </w:rPr>
    </w:lvl>
    <w:lvl w:ilvl="5">
      <w:numFmt w:val="bullet"/>
      <w:lvlText w:val="•"/>
      <w:lvlJc w:val="left"/>
      <w:pPr>
        <w:ind w:left="3034" w:hanging="527"/>
      </w:pPr>
      <w:rPr>
        <w:rFonts w:hint="default"/>
      </w:rPr>
    </w:lvl>
    <w:lvl w:ilvl="6">
      <w:numFmt w:val="bullet"/>
      <w:lvlText w:val="•"/>
      <w:lvlJc w:val="left"/>
      <w:pPr>
        <w:ind w:left="3532" w:hanging="527"/>
      </w:pPr>
      <w:rPr>
        <w:rFonts w:hint="default"/>
      </w:rPr>
    </w:lvl>
    <w:lvl w:ilvl="7">
      <w:numFmt w:val="bullet"/>
      <w:lvlText w:val="•"/>
      <w:lvlJc w:val="left"/>
      <w:pPr>
        <w:ind w:left="4031" w:hanging="527"/>
      </w:pPr>
      <w:rPr>
        <w:rFonts w:hint="default"/>
      </w:rPr>
    </w:lvl>
    <w:lvl w:ilvl="8">
      <w:numFmt w:val="bullet"/>
      <w:lvlText w:val="•"/>
      <w:lvlJc w:val="left"/>
      <w:pPr>
        <w:ind w:left="4530" w:hanging="527"/>
      </w:pPr>
      <w:rPr>
        <w:rFonts w:hint="default"/>
      </w:rPr>
    </w:lvl>
  </w:abstractNum>
  <w:abstractNum w:abstractNumId="31">
    <w:nsid w:val="0248C179"/>
    <w:multiLevelType w:val="multilevel"/>
    <w:tmpl w:val="0248C179"/>
    <w:lvl w:ilvl="0">
      <w:start w:val="1"/>
      <w:numFmt w:val="decimal"/>
      <w:lvlText w:val="（%1）"/>
      <w:lvlJc w:val="left"/>
      <w:pPr>
        <w:ind w:left="1797" w:hanging="601"/>
      </w:pPr>
      <w:rPr>
        <w:rFonts w:ascii="宋体" w:eastAsia="宋体" w:hAnsi="宋体" w:cs="宋体" w:hint="default"/>
        <w:spacing w:val="-12"/>
        <w:w w:val="100"/>
        <w:sz w:val="22"/>
        <w:szCs w:val="22"/>
      </w:rPr>
    </w:lvl>
    <w:lvl w:ilvl="1">
      <w:numFmt w:val="bullet"/>
      <w:lvlText w:val="•"/>
      <w:lvlJc w:val="left"/>
      <w:pPr>
        <w:ind w:left="2810" w:hanging="601"/>
      </w:pPr>
      <w:rPr>
        <w:rFonts w:hint="default"/>
      </w:rPr>
    </w:lvl>
    <w:lvl w:ilvl="2">
      <w:numFmt w:val="bullet"/>
      <w:lvlText w:val="•"/>
      <w:lvlJc w:val="left"/>
      <w:pPr>
        <w:ind w:left="3821" w:hanging="601"/>
      </w:pPr>
      <w:rPr>
        <w:rFonts w:hint="default"/>
      </w:rPr>
    </w:lvl>
    <w:lvl w:ilvl="3">
      <w:numFmt w:val="bullet"/>
      <w:lvlText w:val="•"/>
      <w:lvlJc w:val="left"/>
      <w:pPr>
        <w:ind w:left="4831" w:hanging="601"/>
      </w:pPr>
      <w:rPr>
        <w:rFonts w:hint="default"/>
      </w:rPr>
    </w:lvl>
    <w:lvl w:ilvl="4">
      <w:numFmt w:val="bullet"/>
      <w:lvlText w:val="•"/>
      <w:lvlJc w:val="left"/>
      <w:pPr>
        <w:ind w:left="5842" w:hanging="601"/>
      </w:pPr>
      <w:rPr>
        <w:rFonts w:hint="default"/>
      </w:rPr>
    </w:lvl>
    <w:lvl w:ilvl="5">
      <w:numFmt w:val="bullet"/>
      <w:lvlText w:val="•"/>
      <w:lvlJc w:val="left"/>
      <w:pPr>
        <w:ind w:left="6853" w:hanging="601"/>
      </w:pPr>
      <w:rPr>
        <w:rFonts w:hint="default"/>
      </w:rPr>
    </w:lvl>
    <w:lvl w:ilvl="6">
      <w:numFmt w:val="bullet"/>
      <w:lvlText w:val="•"/>
      <w:lvlJc w:val="left"/>
      <w:pPr>
        <w:ind w:left="7863" w:hanging="601"/>
      </w:pPr>
      <w:rPr>
        <w:rFonts w:hint="default"/>
      </w:rPr>
    </w:lvl>
    <w:lvl w:ilvl="7">
      <w:numFmt w:val="bullet"/>
      <w:lvlText w:val="•"/>
      <w:lvlJc w:val="left"/>
      <w:pPr>
        <w:ind w:left="8874" w:hanging="601"/>
      </w:pPr>
      <w:rPr>
        <w:rFonts w:hint="default"/>
      </w:rPr>
    </w:lvl>
    <w:lvl w:ilvl="8">
      <w:numFmt w:val="bullet"/>
      <w:lvlText w:val="•"/>
      <w:lvlJc w:val="left"/>
      <w:pPr>
        <w:ind w:left="9884" w:hanging="601"/>
      </w:pPr>
      <w:rPr>
        <w:rFonts w:hint="default"/>
      </w:rPr>
    </w:lvl>
  </w:abstractNum>
  <w:abstractNum w:abstractNumId="32">
    <w:nsid w:val="03D62ECE"/>
    <w:multiLevelType w:val="multilevel"/>
    <w:tmpl w:val="03D62ECE"/>
    <w:lvl w:ilvl="0">
      <w:start w:val="14"/>
      <w:numFmt w:val="decimal"/>
      <w:lvlText w:val="%1"/>
      <w:lvlJc w:val="left"/>
      <w:pPr>
        <w:ind w:left="2757" w:hanging="480"/>
      </w:pPr>
      <w:rPr>
        <w:rFonts w:cs="Times New Roman" w:hint="default"/>
      </w:rPr>
    </w:lvl>
    <w:lvl w:ilvl="1">
      <w:start w:val="1"/>
      <w:numFmt w:val="decimal"/>
      <w:lvlText w:val="%1.%2"/>
      <w:lvlJc w:val="left"/>
      <w:pPr>
        <w:ind w:left="2757" w:hanging="480"/>
      </w:pPr>
      <w:rPr>
        <w:rFonts w:ascii="Times New Roman" w:eastAsia="Times New Roman" w:hAnsi="Times New Roman" w:cs="Times New Roman" w:hint="default"/>
        <w:w w:val="100"/>
        <w:sz w:val="24"/>
        <w:szCs w:val="24"/>
      </w:rPr>
    </w:lvl>
    <w:lvl w:ilvl="2">
      <w:numFmt w:val="bullet"/>
      <w:lvlText w:val="•"/>
      <w:lvlJc w:val="left"/>
      <w:pPr>
        <w:ind w:left="4589" w:hanging="480"/>
      </w:pPr>
      <w:rPr>
        <w:rFonts w:hint="default"/>
      </w:rPr>
    </w:lvl>
    <w:lvl w:ilvl="3">
      <w:numFmt w:val="bullet"/>
      <w:lvlText w:val="•"/>
      <w:lvlJc w:val="left"/>
      <w:pPr>
        <w:ind w:left="5503" w:hanging="480"/>
      </w:pPr>
      <w:rPr>
        <w:rFonts w:hint="default"/>
      </w:rPr>
    </w:lvl>
    <w:lvl w:ilvl="4">
      <w:numFmt w:val="bullet"/>
      <w:lvlText w:val="•"/>
      <w:lvlJc w:val="left"/>
      <w:pPr>
        <w:ind w:left="6418" w:hanging="480"/>
      </w:pPr>
      <w:rPr>
        <w:rFonts w:hint="default"/>
      </w:rPr>
    </w:lvl>
    <w:lvl w:ilvl="5">
      <w:numFmt w:val="bullet"/>
      <w:lvlText w:val="•"/>
      <w:lvlJc w:val="left"/>
      <w:pPr>
        <w:ind w:left="7333" w:hanging="480"/>
      </w:pPr>
      <w:rPr>
        <w:rFonts w:hint="default"/>
      </w:rPr>
    </w:lvl>
    <w:lvl w:ilvl="6">
      <w:numFmt w:val="bullet"/>
      <w:lvlText w:val="•"/>
      <w:lvlJc w:val="left"/>
      <w:pPr>
        <w:ind w:left="8247" w:hanging="480"/>
      </w:pPr>
      <w:rPr>
        <w:rFonts w:hint="default"/>
      </w:rPr>
    </w:lvl>
    <w:lvl w:ilvl="7">
      <w:numFmt w:val="bullet"/>
      <w:lvlText w:val="•"/>
      <w:lvlJc w:val="left"/>
      <w:pPr>
        <w:ind w:left="9162" w:hanging="480"/>
      </w:pPr>
      <w:rPr>
        <w:rFonts w:hint="default"/>
      </w:rPr>
    </w:lvl>
    <w:lvl w:ilvl="8">
      <w:numFmt w:val="bullet"/>
      <w:lvlText w:val="•"/>
      <w:lvlJc w:val="left"/>
      <w:pPr>
        <w:ind w:left="10076" w:hanging="480"/>
      </w:pPr>
      <w:rPr>
        <w:rFonts w:hint="default"/>
      </w:rPr>
    </w:lvl>
  </w:abstractNum>
  <w:abstractNum w:abstractNumId="33">
    <w:nsid w:val="0CEF100B"/>
    <w:multiLevelType w:val="multilevel"/>
    <w:tmpl w:val="0CEF100B"/>
    <w:lvl w:ilvl="0">
      <w:start w:val="8"/>
      <w:numFmt w:val="decimal"/>
      <w:lvlText w:val="%1"/>
      <w:lvlJc w:val="left"/>
      <w:pPr>
        <w:ind w:left="786" w:hanging="449"/>
      </w:pPr>
      <w:rPr>
        <w:rFonts w:cs="Times New Roman" w:hint="default"/>
      </w:rPr>
    </w:lvl>
    <w:lvl w:ilvl="1">
      <w:start w:val="4"/>
      <w:numFmt w:val="decimal"/>
      <w:lvlText w:val="%1.%2"/>
      <w:lvlJc w:val="left"/>
      <w:pPr>
        <w:ind w:left="786" w:hanging="449"/>
      </w:pPr>
      <w:rPr>
        <w:rFonts w:ascii="Times New Roman" w:eastAsia="Times New Roman" w:hAnsi="Times New Roman" w:cs="Times New Roman" w:hint="default"/>
        <w:b/>
        <w:bCs/>
        <w:spacing w:val="-1"/>
        <w:w w:val="100"/>
        <w:sz w:val="30"/>
        <w:szCs w:val="30"/>
      </w:rPr>
    </w:lvl>
    <w:lvl w:ilvl="2">
      <w:start w:val="1"/>
      <w:numFmt w:val="decimal"/>
      <w:lvlText w:val="%1.%2.%3"/>
      <w:lvlJc w:val="left"/>
      <w:pPr>
        <w:ind w:left="1355" w:hanging="540"/>
      </w:pPr>
      <w:rPr>
        <w:rFonts w:ascii="Times New Roman" w:eastAsia="Times New Roman" w:hAnsi="Times New Roman" w:cs="Times New Roman" w:hint="default"/>
        <w:b/>
        <w:bCs/>
        <w:w w:val="99"/>
        <w:sz w:val="24"/>
        <w:szCs w:val="24"/>
      </w:rPr>
    </w:lvl>
    <w:lvl w:ilvl="3">
      <w:numFmt w:val="bullet"/>
      <w:lvlText w:val="•"/>
      <w:lvlJc w:val="left"/>
      <w:pPr>
        <w:ind w:left="3054" w:hanging="540"/>
      </w:pPr>
      <w:rPr>
        <w:rFonts w:hint="default"/>
      </w:rPr>
    </w:lvl>
    <w:lvl w:ilvl="4">
      <w:numFmt w:val="bullet"/>
      <w:lvlText w:val="•"/>
      <w:lvlJc w:val="left"/>
      <w:pPr>
        <w:ind w:left="3902" w:hanging="540"/>
      </w:pPr>
      <w:rPr>
        <w:rFonts w:hint="default"/>
      </w:rPr>
    </w:lvl>
    <w:lvl w:ilvl="5">
      <w:numFmt w:val="bullet"/>
      <w:lvlText w:val="•"/>
      <w:lvlJc w:val="left"/>
      <w:pPr>
        <w:ind w:left="4749" w:hanging="540"/>
      </w:pPr>
      <w:rPr>
        <w:rFonts w:hint="default"/>
      </w:rPr>
    </w:lvl>
    <w:lvl w:ilvl="6">
      <w:numFmt w:val="bullet"/>
      <w:lvlText w:val="•"/>
      <w:lvlJc w:val="left"/>
      <w:pPr>
        <w:ind w:left="5596" w:hanging="540"/>
      </w:pPr>
      <w:rPr>
        <w:rFonts w:hint="default"/>
      </w:rPr>
    </w:lvl>
    <w:lvl w:ilvl="7">
      <w:numFmt w:val="bullet"/>
      <w:lvlText w:val="•"/>
      <w:lvlJc w:val="left"/>
      <w:pPr>
        <w:ind w:left="6444" w:hanging="540"/>
      </w:pPr>
      <w:rPr>
        <w:rFonts w:hint="default"/>
      </w:rPr>
    </w:lvl>
    <w:lvl w:ilvl="8">
      <w:numFmt w:val="bullet"/>
      <w:lvlText w:val="•"/>
      <w:lvlJc w:val="left"/>
      <w:pPr>
        <w:ind w:left="7291" w:hanging="540"/>
      </w:pPr>
      <w:rPr>
        <w:rFonts w:hint="default"/>
      </w:rPr>
    </w:lvl>
  </w:abstractNum>
  <w:abstractNum w:abstractNumId="34">
    <w:nsid w:val="0E640482"/>
    <w:multiLevelType w:val="multilevel"/>
    <w:tmpl w:val="0E640482"/>
    <w:lvl w:ilvl="0">
      <w:start w:val="5"/>
      <w:numFmt w:val="decimal"/>
      <w:lvlText w:val="%1"/>
      <w:lvlJc w:val="left"/>
      <w:pPr>
        <w:ind w:left="786" w:hanging="449"/>
      </w:pPr>
      <w:rPr>
        <w:rFonts w:cs="Times New Roman" w:hint="default"/>
      </w:rPr>
    </w:lvl>
    <w:lvl w:ilvl="1">
      <w:start w:val="1"/>
      <w:numFmt w:val="decimal"/>
      <w:lvlText w:val="%1.%2"/>
      <w:lvlJc w:val="left"/>
      <w:pPr>
        <w:ind w:left="786" w:hanging="449"/>
      </w:pPr>
      <w:rPr>
        <w:rFonts w:ascii="Times New Roman" w:eastAsia="Times New Roman" w:hAnsi="Times New Roman" w:cs="Times New Roman" w:hint="default"/>
        <w:b/>
        <w:bCs/>
        <w:spacing w:val="-1"/>
        <w:w w:val="100"/>
        <w:sz w:val="30"/>
        <w:szCs w:val="30"/>
      </w:rPr>
    </w:lvl>
    <w:lvl w:ilvl="2">
      <w:start w:val="1"/>
      <w:numFmt w:val="decimal"/>
      <w:lvlText w:val="（%3）"/>
      <w:lvlJc w:val="left"/>
      <w:pPr>
        <w:ind w:left="1418" w:hanging="601"/>
      </w:pPr>
      <w:rPr>
        <w:rFonts w:ascii="宋体" w:eastAsia="宋体" w:hAnsi="宋体" w:cs="宋体" w:hint="default"/>
        <w:w w:val="100"/>
        <w:sz w:val="22"/>
        <w:szCs w:val="22"/>
      </w:rPr>
    </w:lvl>
    <w:lvl w:ilvl="3">
      <w:numFmt w:val="bullet"/>
      <w:lvlText w:val="•"/>
      <w:lvlJc w:val="left"/>
      <w:pPr>
        <w:ind w:left="2365" w:hanging="601"/>
      </w:pPr>
      <w:rPr>
        <w:rFonts w:hint="default"/>
      </w:rPr>
    </w:lvl>
    <w:lvl w:ilvl="4">
      <w:numFmt w:val="bullet"/>
      <w:lvlText w:val="•"/>
      <w:lvlJc w:val="left"/>
      <w:pPr>
        <w:ind w:left="3311" w:hanging="601"/>
      </w:pPr>
      <w:rPr>
        <w:rFonts w:hint="default"/>
      </w:rPr>
    </w:lvl>
    <w:lvl w:ilvl="5">
      <w:numFmt w:val="bullet"/>
      <w:lvlText w:val="•"/>
      <w:lvlJc w:val="left"/>
      <w:pPr>
        <w:ind w:left="4257" w:hanging="601"/>
      </w:pPr>
      <w:rPr>
        <w:rFonts w:hint="default"/>
      </w:rPr>
    </w:lvl>
    <w:lvl w:ilvl="6">
      <w:numFmt w:val="bullet"/>
      <w:lvlText w:val="•"/>
      <w:lvlJc w:val="left"/>
      <w:pPr>
        <w:ind w:left="5203" w:hanging="601"/>
      </w:pPr>
      <w:rPr>
        <w:rFonts w:hint="default"/>
      </w:rPr>
    </w:lvl>
    <w:lvl w:ilvl="7">
      <w:numFmt w:val="bullet"/>
      <w:lvlText w:val="•"/>
      <w:lvlJc w:val="left"/>
      <w:pPr>
        <w:ind w:left="6148" w:hanging="601"/>
      </w:pPr>
      <w:rPr>
        <w:rFonts w:hint="default"/>
      </w:rPr>
    </w:lvl>
    <w:lvl w:ilvl="8">
      <w:numFmt w:val="bullet"/>
      <w:lvlText w:val="•"/>
      <w:lvlJc w:val="left"/>
      <w:pPr>
        <w:ind w:left="7094" w:hanging="601"/>
      </w:pPr>
      <w:rPr>
        <w:rFonts w:hint="default"/>
      </w:rPr>
    </w:lvl>
  </w:abstractNum>
  <w:abstractNum w:abstractNumId="35">
    <w:nsid w:val="0F9F9CCA"/>
    <w:multiLevelType w:val="multilevel"/>
    <w:tmpl w:val="0F9F9CCA"/>
    <w:lvl w:ilvl="0">
      <w:start w:val="9"/>
      <w:numFmt w:val="decimal"/>
      <w:lvlText w:val="%1"/>
      <w:lvlJc w:val="left"/>
      <w:pPr>
        <w:ind w:left="1348" w:hanging="540"/>
      </w:pPr>
      <w:rPr>
        <w:rFonts w:cs="Times New Roman" w:hint="default"/>
      </w:rPr>
    </w:lvl>
    <w:lvl w:ilvl="1">
      <w:start w:val="3"/>
      <w:numFmt w:val="decimal"/>
      <w:lvlText w:val="%1.%2"/>
      <w:lvlJc w:val="left"/>
      <w:pPr>
        <w:ind w:left="1348" w:hanging="540"/>
      </w:pPr>
      <w:rPr>
        <w:rFonts w:cs="Times New Roman" w:hint="default"/>
      </w:rPr>
    </w:lvl>
    <w:lvl w:ilvl="2">
      <w:start w:val="1"/>
      <w:numFmt w:val="decimal"/>
      <w:lvlText w:val="%1.%2.%3"/>
      <w:lvlJc w:val="left"/>
      <w:pPr>
        <w:ind w:left="1348" w:hanging="540"/>
      </w:pPr>
      <w:rPr>
        <w:rFonts w:ascii="Times New Roman" w:eastAsia="Times New Roman" w:hAnsi="Times New Roman" w:cs="Times New Roman" w:hint="default"/>
        <w:b/>
        <w:bCs/>
        <w:w w:val="99"/>
        <w:sz w:val="24"/>
        <w:szCs w:val="24"/>
      </w:rPr>
    </w:lvl>
    <w:lvl w:ilvl="3">
      <w:numFmt w:val="bullet"/>
      <w:lvlText w:val="•"/>
      <w:lvlJc w:val="left"/>
      <w:pPr>
        <w:ind w:left="3633" w:hanging="540"/>
      </w:pPr>
      <w:rPr>
        <w:rFonts w:hint="default"/>
      </w:rPr>
    </w:lvl>
    <w:lvl w:ilvl="4">
      <w:numFmt w:val="bullet"/>
      <w:lvlText w:val="•"/>
      <w:lvlJc w:val="left"/>
      <w:pPr>
        <w:ind w:left="4398" w:hanging="540"/>
      </w:pPr>
      <w:rPr>
        <w:rFonts w:hint="default"/>
      </w:rPr>
    </w:lvl>
    <w:lvl w:ilvl="5">
      <w:numFmt w:val="bullet"/>
      <w:lvlText w:val="•"/>
      <w:lvlJc w:val="left"/>
      <w:pPr>
        <w:ind w:left="5163" w:hanging="540"/>
      </w:pPr>
      <w:rPr>
        <w:rFonts w:hint="default"/>
      </w:rPr>
    </w:lvl>
    <w:lvl w:ilvl="6">
      <w:numFmt w:val="bullet"/>
      <w:lvlText w:val="•"/>
      <w:lvlJc w:val="left"/>
      <w:pPr>
        <w:ind w:left="5927" w:hanging="540"/>
      </w:pPr>
      <w:rPr>
        <w:rFonts w:hint="default"/>
      </w:rPr>
    </w:lvl>
    <w:lvl w:ilvl="7">
      <w:numFmt w:val="bullet"/>
      <w:lvlText w:val="•"/>
      <w:lvlJc w:val="left"/>
      <w:pPr>
        <w:ind w:left="6692" w:hanging="540"/>
      </w:pPr>
      <w:rPr>
        <w:rFonts w:hint="default"/>
      </w:rPr>
    </w:lvl>
    <w:lvl w:ilvl="8">
      <w:numFmt w:val="bullet"/>
      <w:lvlText w:val="•"/>
      <w:lvlJc w:val="left"/>
      <w:pPr>
        <w:ind w:left="7456" w:hanging="540"/>
      </w:pPr>
      <w:rPr>
        <w:rFonts w:hint="default"/>
      </w:rPr>
    </w:lvl>
  </w:abstractNum>
  <w:abstractNum w:abstractNumId="36">
    <w:nsid w:val="1450273B"/>
    <w:multiLevelType w:val="multilevel"/>
    <w:tmpl w:val="1450273B"/>
    <w:lvl w:ilvl="0">
      <w:start w:val="3"/>
      <w:numFmt w:val="decimal"/>
      <w:lvlText w:val="%1"/>
      <w:lvlJc w:val="left"/>
      <w:pPr>
        <w:ind w:left="1356" w:hanging="560"/>
      </w:pPr>
      <w:rPr>
        <w:rFonts w:cs="Times New Roman" w:hint="default"/>
      </w:rPr>
    </w:lvl>
    <w:lvl w:ilvl="1">
      <w:start w:val="2"/>
      <w:numFmt w:val="decimal"/>
      <w:lvlText w:val="%1.%2"/>
      <w:lvlJc w:val="left"/>
      <w:pPr>
        <w:ind w:left="1356" w:hanging="560"/>
      </w:pPr>
      <w:rPr>
        <w:rFonts w:ascii="Times New Roman" w:eastAsia="Times New Roman" w:hAnsi="Times New Roman" w:cs="Times New Roman" w:hint="default"/>
        <w:b/>
        <w:bCs/>
        <w:spacing w:val="-1"/>
        <w:w w:val="99"/>
        <w:sz w:val="32"/>
        <w:szCs w:val="32"/>
      </w:rPr>
    </w:lvl>
    <w:lvl w:ilvl="2">
      <w:start w:val="1"/>
      <w:numFmt w:val="decimal"/>
      <w:lvlText w:val="%1.%2.%3"/>
      <w:lvlJc w:val="left"/>
      <w:pPr>
        <w:ind w:left="1517" w:hanging="720"/>
      </w:pPr>
      <w:rPr>
        <w:rFonts w:ascii="Times New Roman" w:eastAsia="Times New Roman" w:hAnsi="Times New Roman" w:cs="Times New Roman" w:hint="default"/>
        <w:b/>
        <w:bCs/>
        <w:w w:val="99"/>
        <w:sz w:val="24"/>
        <w:szCs w:val="24"/>
      </w:rPr>
    </w:lvl>
    <w:lvl w:ilvl="3">
      <w:start w:val="1"/>
      <w:numFmt w:val="decimal"/>
      <w:lvlText w:val="（%4）"/>
      <w:lvlJc w:val="left"/>
      <w:pPr>
        <w:ind w:left="797" w:hanging="601"/>
      </w:pPr>
      <w:rPr>
        <w:rFonts w:ascii="宋体" w:eastAsia="宋体" w:hAnsi="宋体" w:cs="宋体" w:hint="default"/>
        <w:spacing w:val="-16"/>
        <w:w w:val="100"/>
        <w:sz w:val="22"/>
        <w:szCs w:val="22"/>
      </w:rPr>
    </w:lvl>
    <w:lvl w:ilvl="4">
      <w:numFmt w:val="bullet"/>
      <w:lvlText w:val="•"/>
      <w:lvlJc w:val="left"/>
      <w:pPr>
        <w:ind w:left="3616" w:hanging="601"/>
      </w:pPr>
      <w:rPr>
        <w:rFonts w:hint="default"/>
      </w:rPr>
    </w:lvl>
    <w:lvl w:ilvl="5">
      <w:numFmt w:val="bullet"/>
      <w:lvlText w:val="•"/>
      <w:lvlJc w:val="left"/>
      <w:pPr>
        <w:ind w:left="4664" w:hanging="601"/>
      </w:pPr>
      <w:rPr>
        <w:rFonts w:hint="default"/>
      </w:rPr>
    </w:lvl>
    <w:lvl w:ilvl="6">
      <w:numFmt w:val="bullet"/>
      <w:lvlText w:val="•"/>
      <w:lvlJc w:val="left"/>
      <w:pPr>
        <w:ind w:left="5713" w:hanging="601"/>
      </w:pPr>
      <w:rPr>
        <w:rFonts w:hint="default"/>
      </w:rPr>
    </w:lvl>
    <w:lvl w:ilvl="7">
      <w:numFmt w:val="bullet"/>
      <w:lvlText w:val="•"/>
      <w:lvlJc w:val="left"/>
      <w:pPr>
        <w:ind w:left="6761" w:hanging="601"/>
      </w:pPr>
      <w:rPr>
        <w:rFonts w:hint="default"/>
      </w:rPr>
    </w:lvl>
    <w:lvl w:ilvl="8">
      <w:numFmt w:val="bullet"/>
      <w:lvlText w:val="•"/>
      <w:lvlJc w:val="left"/>
      <w:pPr>
        <w:ind w:left="7809" w:hanging="601"/>
      </w:pPr>
      <w:rPr>
        <w:rFonts w:hint="default"/>
      </w:rPr>
    </w:lvl>
  </w:abstractNum>
  <w:abstractNum w:abstractNumId="37">
    <w:nsid w:val="1ACDE60F"/>
    <w:multiLevelType w:val="multilevel"/>
    <w:tmpl w:val="1ACDE60F"/>
    <w:lvl w:ilvl="0">
      <w:start w:val="8"/>
      <w:numFmt w:val="decimal"/>
      <w:lvlText w:val="%1"/>
      <w:lvlJc w:val="left"/>
      <w:pPr>
        <w:ind w:left="877" w:hanging="540"/>
      </w:pPr>
      <w:rPr>
        <w:rFonts w:cs="Times New Roman" w:hint="default"/>
      </w:rPr>
    </w:lvl>
    <w:lvl w:ilvl="1">
      <w:start w:val="3"/>
      <w:numFmt w:val="decimal"/>
      <w:lvlText w:val="%1.%2"/>
      <w:lvlJc w:val="left"/>
      <w:pPr>
        <w:ind w:left="877" w:hanging="540"/>
      </w:pPr>
      <w:rPr>
        <w:rFonts w:cs="Times New Roman" w:hint="default"/>
      </w:rPr>
    </w:lvl>
    <w:lvl w:ilvl="2">
      <w:start w:val="3"/>
      <w:numFmt w:val="decimal"/>
      <w:lvlText w:val="%1.%2.%3"/>
      <w:lvlJc w:val="left"/>
      <w:pPr>
        <w:ind w:left="877" w:hanging="540"/>
      </w:pPr>
      <w:rPr>
        <w:rFonts w:ascii="Times New Roman" w:eastAsia="Times New Roman" w:hAnsi="Times New Roman" w:cs="Times New Roman" w:hint="default"/>
        <w:b/>
        <w:bCs/>
        <w:w w:val="99"/>
        <w:sz w:val="24"/>
        <w:szCs w:val="24"/>
      </w:rPr>
    </w:lvl>
    <w:lvl w:ilvl="3">
      <w:start w:val="1"/>
      <w:numFmt w:val="decimal"/>
      <w:lvlText w:val="%1.%2.%3.%4"/>
      <w:lvlJc w:val="left"/>
      <w:pPr>
        <w:ind w:left="1537" w:hanging="720"/>
      </w:pPr>
      <w:rPr>
        <w:rFonts w:ascii="Times New Roman" w:eastAsia="Times New Roman" w:hAnsi="Times New Roman" w:cs="Times New Roman" w:hint="default"/>
        <w:b/>
        <w:bCs/>
        <w:w w:val="99"/>
        <w:sz w:val="24"/>
        <w:szCs w:val="24"/>
      </w:rPr>
    </w:lvl>
    <w:lvl w:ilvl="4">
      <w:start w:val="1"/>
      <w:numFmt w:val="decimal"/>
      <w:lvlText w:val="（%5）"/>
      <w:lvlJc w:val="left"/>
      <w:pPr>
        <w:ind w:left="1418" w:hanging="601"/>
      </w:pPr>
      <w:rPr>
        <w:rFonts w:ascii="宋体" w:eastAsia="宋体" w:hAnsi="宋体" w:cs="宋体" w:hint="default"/>
        <w:w w:val="100"/>
        <w:sz w:val="22"/>
        <w:szCs w:val="22"/>
      </w:rPr>
    </w:lvl>
    <w:lvl w:ilvl="5">
      <w:numFmt w:val="bullet"/>
      <w:lvlText w:val="•"/>
      <w:lvlJc w:val="left"/>
      <w:pPr>
        <w:ind w:left="4332" w:hanging="601"/>
      </w:pPr>
      <w:rPr>
        <w:rFonts w:hint="default"/>
      </w:rPr>
    </w:lvl>
    <w:lvl w:ilvl="6">
      <w:numFmt w:val="bullet"/>
      <w:lvlText w:val="•"/>
      <w:lvlJc w:val="left"/>
      <w:pPr>
        <w:ind w:left="5263" w:hanging="601"/>
      </w:pPr>
      <w:rPr>
        <w:rFonts w:hint="default"/>
      </w:rPr>
    </w:lvl>
    <w:lvl w:ilvl="7">
      <w:numFmt w:val="bullet"/>
      <w:lvlText w:val="•"/>
      <w:lvlJc w:val="left"/>
      <w:pPr>
        <w:ind w:left="6193" w:hanging="601"/>
      </w:pPr>
      <w:rPr>
        <w:rFonts w:hint="default"/>
      </w:rPr>
    </w:lvl>
    <w:lvl w:ilvl="8">
      <w:numFmt w:val="bullet"/>
      <w:lvlText w:val="•"/>
      <w:lvlJc w:val="left"/>
      <w:pPr>
        <w:ind w:left="7124" w:hanging="601"/>
      </w:pPr>
      <w:rPr>
        <w:rFonts w:hint="default"/>
      </w:rPr>
    </w:lvl>
  </w:abstractNum>
  <w:abstractNum w:abstractNumId="38">
    <w:nsid w:val="243FCF68"/>
    <w:multiLevelType w:val="multilevel"/>
    <w:tmpl w:val="243FCF68"/>
    <w:lvl w:ilvl="0">
      <w:start w:val="8"/>
      <w:numFmt w:val="decimal"/>
      <w:lvlText w:val="%1"/>
      <w:lvlJc w:val="left"/>
      <w:pPr>
        <w:ind w:left="877" w:hanging="540"/>
      </w:pPr>
      <w:rPr>
        <w:rFonts w:cs="Times New Roman" w:hint="default"/>
      </w:rPr>
    </w:lvl>
    <w:lvl w:ilvl="1">
      <w:start w:val="3"/>
      <w:numFmt w:val="decimal"/>
      <w:lvlText w:val="%1.%2"/>
      <w:lvlJc w:val="left"/>
      <w:pPr>
        <w:ind w:left="877" w:hanging="540"/>
      </w:pPr>
      <w:rPr>
        <w:rFonts w:cs="Times New Roman" w:hint="default"/>
      </w:rPr>
    </w:lvl>
    <w:lvl w:ilvl="2">
      <w:start w:val="1"/>
      <w:numFmt w:val="decimal"/>
      <w:lvlText w:val="%1.%2.%3"/>
      <w:lvlJc w:val="left"/>
      <w:pPr>
        <w:ind w:left="877" w:hanging="540"/>
      </w:pPr>
      <w:rPr>
        <w:rFonts w:ascii="Times New Roman" w:eastAsia="Times New Roman" w:hAnsi="Times New Roman" w:cs="Times New Roman" w:hint="default"/>
        <w:b/>
        <w:bCs/>
        <w:w w:val="99"/>
        <w:sz w:val="24"/>
        <w:szCs w:val="24"/>
      </w:rPr>
    </w:lvl>
    <w:lvl w:ilvl="3">
      <w:start w:val="1"/>
      <w:numFmt w:val="decimal"/>
      <w:lvlText w:val="%4)"/>
      <w:lvlJc w:val="left"/>
      <w:pPr>
        <w:ind w:left="337" w:hanging="201"/>
      </w:pPr>
      <w:rPr>
        <w:rFonts w:ascii="Times New Roman" w:eastAsia="Times New Roman" w:hAnsi="Times New Roman" w:cs="Times New Roman" w:hint="default"/>
        <w:spacing w:val="-1"/>
        <w:w w:val="100"/>
        <w:sz w:val="22"/>
        <w:szCs w:val="22"/>
      </w:rPr>
    </w:lvl>
    <w:lvl w:ilvl="4">
      <w:numFmt w:val="bullet"/>
      <w:lvlText w:val="•"/>
      <w:lvlJc w:val="left"/>
      <w:pPr>
        <w:ind w:left="3582" w:hanging="201"/>
      </w:pPr>
      <w:rPr>
        <w:rFonts w:hint="default"/>
      </w:rPr>
    </w:lvl>
    <w:lvl w:ilvl="5">
      <w:numFmt w:val="bullet"/>
      <w:lvlText w:val="•"/>
      <w:lvlJc w:val="left"/>
      <w:pPr>
        <w:ind w:left="4482" w:hanging="201"/>
      </w:pPr>
      <w:rPr>
        <w:rFonts w:hint="default"/>
      </w:rPr>
    </w:lvl>
    <w:lvl w:ilvl="6">
      <w:numFmt w:val="bullet"/>
      <w:lvlText w:val="•"/>
      <w:lvlJc w:val="left"/>
      <w:pPr>
        <w:ind w:left="5383" w:hanging="201"/>
      </w:pPr>
      <w:rPr>
        <w:rFonts w:hint="default"/>
      </w:rPr>
    </w:lvl>
    <w:lvl w:ilvl="7">
      <w:numFmt w:val="bullet"/>
      <w:lvlText w:val="•"/>
      <w:lvlJc w:val="left"/>
      <w:pPr>
        <w:ind w:left="6284" w:hanging="201"/>
      </w:pPr>
      <w:rPr>
        <w:rFonts w:hint="default"/>
      </w:rPr>
    </w:lvl>
    <w:lvl w:ilvl="8">
      <w:numFmt w:val="bullet"/>
      <w:lvlText w:val="•"/>
      <w:lvlJc w:val="left"/>
      <w:pPr>
        <w:ind w:left="7184" w:hanging="201"/>
      </w:pPr>
      <w:rPr>
        <w:rFonts w:hint="default"/>
      </w:rPr>
    </w:lvl>
  </w:abstractNum>
  <w:abstractNum w:abstractNumId="39">
    <w:nsid w:val="2470EC97"/>
    <w:multiLevelType w:val="multilevel"/>
    <w:tmpl w:val="2470EC97"/>
    <w:lvl w:ilvl="0">
      <w:start w:val="1"/>
      <w:numFmt w:val="decimal"/>
      <w:lvlText w:val="%1"/>
      <w:lvlJc w:val="left"/>
      <w:pPr>
        <w:ind w:left="2320" w:hanging="524"/>
      </w:pPr>
      <w:rPr>
        <w:rFonts w:cs="Times New Roman" w:hint="default"/>
      </w:rPr>
    </w:lvl>
    <w:lvl w:ilvl="1">
      <w:start w:val="5"/>
      <w:numFmt w:val="decimal"/>
      <w:lvlText w:val="%1.%2"/>
      <w:lvlJc w:val="left"/>
      <w:pPr>
        <w:ind w:left="2320" w:hanging="524"/>
      </w:pPr>
      <w:rPr>
        <w:rFonts w:ascii="Times New Roman" w:eastAsia="Times New Roman" w:hAnsi="Times New Roman" w:cs="Times New Roman" w:hint="default"/>
        <w:b/>
        <w:bCs/>
        <w:spacing w:val="-3"/>
        <w:w w:val="99"/>
        <w:sz w:val="30"/>
        <w:szCs w:val="30"/>
      </w:rPr>
    </w:lvl>
    <w:lvl w:ilvl="2">
      <w:start w:val="1"/>
      <w:numFmt w:val="decimal"/>
      <w:lvlText w:val="%1.%2.%3"/>
      <w:lvlJc w:val="left"/>
      <w:pPr>
        <w:ind w:left="2337" w:hanging="540"/>
      </w:pPr>
      <w:rPr>
        <w:rFonts w:ascii="Times New Roman" w:eastAsia="Times New Roman" w:hAnsi="Times New Roman" w:cs="Times New Roman" w:hint="default"/>
        <w:b/>
        <w:bCs/>
        <w:w w:val="99"/>
        <w:sz w:val="24"/>
        <w:szCs w:val="24"/>
      </w:rPr>
    </w:lvl>
    <w:lvl w:ilvl="3">
      <w:numFmt w:val="bullet"/>
      <w:lvlText w:val="•"/>
      <w:lvlJc w:val="left"/>
      <w:pPr>
        <w:ind w:left="4465" w:hanging="540"/>
      </w:pPr>
      <w:rPr>
        <w:rFonts w:hint="default"/>
      </w:rPr>
    </w:lvl>
    <w:lvl w:ilvl="4">
      <w:numFmt w:val="bullet"/>
      <w:lvlText w:val="•"/>
      <w:lvlJc w:val="left"/>
      <w:pPr>
        <w:ind w:left="5528" w:hanging="540"/>
      </w:pPr>
      <w:rPr>
        <w:rFonts w:hint="default"/>
      </w:rPr>
    </w:lvl>
    <w:lvl w:ilvl="5">
      <w:numFmt w:val="bullet"/>
      <w:lvlText w:val="•"/>
      <w:lvlJc w:val="left"/>
      <w:pPr>
        <w:ind w:left="6591" w:hanging="540"/>
      </w:pPr>
      <w:rPr>
        <w:rFonts w:hint="default"/>
      </w:rPr>
    </w:lvl>
    <w:lvl w:ilvl="6">
      <w:numFmt w:val="bullet"/>
      <w:lvlText w:val="•"/>
      <w:lvlJc w:val="left"/>
      <w:pPr>
        <w:ind w:left="7654" w:hanging="540"/>
      </w:pPr>
      <w:rPr>
        <w:rFonts w:hint="default"/>
      </w:rPr>
    </w:lvl>
    <w:lvl w:ilvl="7">
      <w:numFmt w:val="bullet"/>
      <w:lvlText w:val="•"/>
      <w:lvlJc w:val="left"/>
      <w:pPr>
        <w:ind w:left="8717" w:hanging="540"/>
      </w:pPr>
      <w:rPr>
        <w:rFonts w:hint="default"/>
      </w:rPr>
    </w:lvl>
    <w:lvl w:ilvl="8">
      <w:numFmt w:val="bullet"/>
      <w:lvlText w:val="•"/>
      <w:lvlJc w:val="left"/>
      <w:pPr>
        <w:ind w:left="9780" w:hanging="540"/>
      </w:pPr>
      <w:rPr>
        <w:rFonts w:hint="default"/>
      </w:rPr>
    </w:lvl>
  </w:abstractNum>
  <w:abstractNum w:abstractNumId="40">
    <w:nsid w:val="25B654F3"/>
    <w:multiLevelType w:val="multilevel"/>
    <w:tmpl w:val="25B654F3"/>
    <w:lvl w:ilvl="0">
      <w:start w:val="1"/>
      <w:numFmt w:val="decimal"/>
      <w:lvlText w:val="%1"/>
      <w:lvlJc w:val="left"/>
      <w:pPr>
        <w:ind w:left="2157" w:hanging="360"/>
      </w:pPr>
      <w:rPr>
        <w:rFonts w:ascii="Times New Roman" w:eastAsia="Times New Roman" w:hAnsi="Times New Roman" w:cs="Times New Roman" w:hint="default"/>
        <w:b/>
        <w:bCs/>
        <w:w w:val="99"/>
        <w:sz w:val="36"/>
        <w:szCs w:val="36"/>
      </w:rPr>
    </w:lvl>
    <w:lvl w:ilvl="1">
      <w:start w:val="1"/>
      <w:numFmt w:val="decimal"/>
      <w:lvlText w:val="%1.%2"/>
      <w:lvlJc w:val="left"/>
      <w:pPr>
        <w:ind w:left="2246" w:hanging="449"/>
      </w:pPr>
      <w:rPr>
        <w:rFonts w:ascii="Times New Roman" w:eastAsia="Times New Roman" w:hAnsi="Times New Roman" w:cs="Times New Roman" w:hint="default"/>
        <w:b/>
        <w:bCs/>
        <w:spacing w:val="-1"/>
        <w:w w:val="100"/>
        <w:sz w:val="30"/>
        <w:szCs w:val="30"/>
      </w:rPr>
    </w:lvl>
    <w:lvl w:ilvl="2">
      <w:start w:val="1"/>
      <w:numFmt w:val="decimal"/>
      <w:lvlText w:val="（%3）"/>
      <w:lvlJc w:val="left"/>
      <w:pPr>
        <w:ind w:left="1797" w:hanging="604"/>
      </w:pPr>
      <w:rPr>
        <w:rFonts w:ascii="宋体" w:eastAsia="宋体" w:hAnsi="宋体" w:cs="宋体" w:hint="default"/>
        <w:w w:val="100"/>
        <w:sz w:val="22"/>
        <w:szCs w:val="22"/>
      </w:rPr>
    </w:lvl>
    <w:lvl w:ilvl="3">
      <w:numFmt w:val="bullet"/>
      <w:lvlText w:val="•"/>
      <w:lvlJc w:val="left"/>
      <w:pPr>
        <w:ind w:left="3448" w:hanging="604"/>
      </w:pPr>
      <w:rPr>
        <w:rFonts w:hint="default"/>
      </w:rPr>
    </w:lvl>
    <w:lvl w:ilvl="4">
      <w:numFmt w:val="bullet"/>
      <w:lvlText w:val="•"/>
      <w:lvlJc w:val="left"/>
      <w:pPr>
        <w:ind w:left="4656" w:hanging="604"/>
      </w:pPr>
      <w:rPr>
        <w:rFonts w:hint="default"/>
      </w:rPr>
    </w:lvl>
    <w:lvl w:ilvl="5">
      <w:numFmt w:val="bullet"/>
      <w:lvlText w:val="•"/>
      <w:lvlJc w:val="left"/>
      <w:pPr>
        <w:ind w:left="5864" w:hanging="604"/>
      </w:pPr>
      <w:rPr>
        <w:rFonts w:hint="default"/>
      </w:rPr>
    </w:lvl>
    <w:lvl w:ilvl="6">
      <w:numFmt w:val="bullet"/>
      <w:lvlText w:val="•"/>
      <w:lvlJc w:val="left"/>
      <w:pPr>
        <w:ind w:left="7073" w:hanging="604"/>
      </w:pPr>
      <w:rPr>
        <w:rFonts w:hint="default"/>
      </w:rPr>
    </w:lvl>
    <w:lvl w:ilvl="7">
      <w:numFmt w:val="bullet"/>
      <w:lvlText w:val="•"/>
      <w:lvlJc w:val="left"/>
      <w:pPr>
        <w:ind w:left="8281" w:hanging="604"/>
      </w:pPr>
      <w:rPr>
        <w:rFonts w:hint="default"/>
      </w:rPr>
    </w:lvl>
    <w:lvl w:ilvl="8">
      <w:numFmt w:val="bullet"/>
      <w:lvlText w:val="•"/>
      <w:lvlJc w:val="left"/>
      <w:pPr>
        <w:ind w:left="9489" w:hanging="604"/>
      </w:pPr>
      <w:rPr>
        <w:rFonts w:hint="default"/>
      </w:rPr>
    </w:lvl>
  </w:abstractNum>
  <w:abstractNum w:abstractNumId="41">
    <w:nsid w:val="2A8F537B"/>
    <w:multiLevelType w:val="multilevel"/>
    <w:tmpl w:val="2A8F537B"/>
    <w:lvl w:ilvl="0">
      <w:start w:val="5"/>
      <w:numFmt w:val="decimal"/>
      <w:lvlText w:val="（%1）"/>
      <w:lvlJc w:val="left"/>
      <w:pPr>
        <w:ind w:left="2878" w:hanging="601"/>
      </w:pPr>
      <w:rPr>
        <w:rFonts w:ascii="宋体" w:eastAsia="宋体" w:hAnsi="宋体" w:cs="宋体" w:hint="default"/>
        <w:spacing w:val="-1"/>
        <w:w w:val="100"/>
        <w:sz w:val="22"/>
        <w:szCs w:val="22"/>
      </w:rPr>
    </w:lvl>
    <w:lvl w:ilvl="1">
      <w:numFmt w:val="bullet"/>
      <w:lvlText w:val="•"/>
      <w:lvlJc w:val="left"/>
      <w:pPr>
        <w:ind w:left="3782" w:hanging="601"/>
      </w:pPr>
      <w:rPr>
        <w:rFonts w:hint="default"/>
      </w:rPr>
    </w:lvl>
    <w:lvl w:ilvl="2">
      <w:numFmt w:val="bullet"/>
      <w:lvlText w:val="•"/>
      <w:lvlJc w:val="left"/>
      <w:pPr>
        <w:ind w:left="4685" w:hanging="601"/>
      </w:pPr>
      <w:rPr>
        <w:rFonts w:hint="default"/>
      </w:rPr>
    </w:lvl>
    <w:lvl w:ilvl="3">
      <w:numFmt w:val="bullet"/>
      <w:lvlText w:val="•"/>
      <w:lvlJc w:val="left"/>
      <w:pPr>
        <w:ind w:left="5587" w:hanging="601"/>
      </w:pPr>
      <w:rPr>
        <w:rFonts w:hint="default"/>
      </w:rPr>
    </w:lvl>
    <w:lvl w:ilvl="4">
      <w:numFmt w:val="bullet"/>
      <w:lvlText w:val="•"/>
      <w:lvlJc w:val="left"/>
      <w:pPr>
        <w:ind w:left="6490" w:hanging="601"/>
      </w:pPr>
      <w:rPr>
        <w:rFonts w:hint="default"/>
      </w:rPr>
    </w:lvl>
    <w:lvl w:ilvl="5">
      <w:numFmt w:val="bullet"/>
      <w:lvlText w:val="•"/>
      <w:lvlJc w:val="left"/>
      <w:pPr>
        <w:ind w:left="7393" w:hanging="601"/>
      </w:pPr>
      <w:rPr>
        <w:rFonts w:hint="default"/>
      </w:rPr>
    </w:lvl>
    <w:lvl w:ilvl="6">
      <w:numFmt w:val="bullet"/>
      <w:lvlText w:val="•"/>
      <w:lvlJc w:val="left"/>
      <w:pPr>
        <w:ind w:left="8295" w:hanging="601"/>
      </w:pPr>
      <w:rPr>
        <w:rFonts w:hint="default"/>
      </w:rPr>
    </w:lvl>
    <w:lvl w:ilvl="7">
      <w:numFmt w:val="bullet"/>
      <w:lvlText w:val="•"/>
      <w:lvlJc w:val="left"/>
      <w:pPr>
        <w:ind w:left="9198" w:hanging="601"/>
      </w:pPr>
      <w:rPr>
        <w:rFonts w:hint="default"/>
      </w:rPr>
    </w:lvl>
    <w:lvl w:ilvl="8">
      <w:numFmt w:val="bullet"/>
      <w:lvlText w:val="•"/>
      <w:lvlJc w:val="left"/>
      <w:pPr>
        <w:ind w:left="10100" w:hanging="601"/>
      </w:pPr>
      <w:rPr>
        <w:rFonts w:hint="default"/>
      </w:rPr>
    </w:lvl>
  </w:abstractNum>
  <w:abstractNum w:abstractNumId="42">
    <w:nsid w:val="39A0D9AC"/>
    <w:multiLevelType w:val="multilevel"/>
    <w:tmpl w:val="39A0D9AC"/>
    <w:lvl w:ilvl="0">
      <w:start w:val="7"/>
      <w:numFmt w:val="decimal"/>
      <w:lvlText w:val="%1"/>
      <w:lvlJc w:val="left"/>
      <w:pPr>
        <w:ind w:left="1357" w:hanging="540"/>
      </w:pPr>
      <w:rPr>
        <w:rFonts w:cs="Times New Roman" w:hint="default"/>
      </w:rPr>
    </w:lvl>
    <w:lvl w:ilvl="1">
      <w:start w:val="2"/>
      <w:numFmt w:val="decimal"/>
      <w:lvlText w:val="%1.%2"/>
      <w:lvlJc w:val="left"/>
      <w:pPr>
        <w:ind w:left="1357" w:hanging="540"/>
      </w:pPr>
      <w:rPr>
        <w:rFonts w:cs="Times New Roman" w:hint="default"/>
      </w:rPr>
    </w:lvl>
    <w:lvl w:ilvl="2">
      <w:start w:val="1"/>
      <w:numFmt w:val="decimal"/>
      <w:lvlText w:val="%1.%2.%3"/>
      <w:lvlJc w:val="left"/>
      <w:pPr>
        <w:ind w:left="1357" w:hanging="540"/>
      </w:pPr>
      <w:rPr>
        <w:rFonts w:ascii="Times New Roman" w:eastAsia="Times New Roman" w:hAnsi="Times New Roman" w:cs="Times New Roman" w:hint="default"/>
        <w:b/>
        <w:bCs/>
        <w:w w:val="99"/>
        <w:sz w:val="24"/>
        <w:szCs w:val="24"/>
      </w:rPr>
    </w:lvl>
    <w:lvl w:ilvl="3">
      <w:numFmt w:val="bullet"/>
      <w:lvlText w:val="•"/>
      <w:lvlJc w:val="left"/>
      <w:pPr>
        <w:ind w:left="3647" w:hanging="540"/>
      </w:pPr>
      <w:rPr>
        <w:rFonts w:hint="default"/>
      </w:rPr>
    </w:lvl>
    <w:lvl w:ilvl="4">
      <w:numFmt w:val="bullet"/>
      <w:lvlText w:val="•"/>
      <w:lvlJc w:val="left"/>
      <w:pPr>
        <w:ind w:left="4410" w:hanging="540"/>
      </w:pPr>
      <w:rPr>
        <w:rFonts w:hint="default"/>
      </w:rPr>
    </w:lvl>
    <w:lvl w:ilvl="5">
      <w:numFmt w:val="bullet"/>
      <w:lvlText w:val="•"/>
      <w:lvlJc w:val="left"/>
      <w:pPr>
        <w:ind w:left="5173" w:hanging="540"/>
      </w:pPr>
      <w:rPr>
        <w:rFonts w:hint="default"/>
      </w:rPr>
    </w:lvl>
    <w:lvl w:ilvl="6">
      <w:numFmt w:val="bullet"/>
      <w:lvlText w:val="•"/>
      <w:lvlJc w:val="left"/>
      <w:pPr>
        <w:ind w:left="5935" w:hanging="540"/>
      </w:pPr>
      <w:rPr>
        <w:rFonts w:hint="default"/>
      </w:rPr>
    </w:lvl>
    <w:lvl w:ilvl="7">
      <w:numFmt w:val="bullet"/>
      <w:lvlText w:val="•"/>
      <w:lvlJc w:val="left"/>
      <w:pPr>
        <w:ind w:left="6698" w:hanging="540"/>
      </w:pPr>
      <w:rPr>
        <w:rFonts w:hint="default"/>
      </w:rPr>
    </w:lvl>
    <w:lvl w:ilvl="8">
      <w:numFmt w:val="bullet"/>
      <w:lvlText w:val="•"/>
      <w:lvlJc w:val="left"/>
      <w:pPr>
        <w:ind w:left="7460" w:hanging="540"/>
      </w:pPr>
      <w:rPr>
        <w:rFonts w:hint="default"/>
      </w:rPr>
    </w:lvl>
  </w:abstractNum>
  <w:abstractNum w:abstractNumId="43">
    <w:nsid w:val="40B249F9"/>
    <w:multiLevelType w:val="multilevel"/>
    <w:tmpl w:val="40B249F9"/>
    <w:lvl w:ilvl="0">
      <w:start w:val="9"/>
      <w:numFmt w:val="decimal"/>
      <w:lvlText w:val="%1"/>
      <w:lvlJc w:val="left"/>
      <w:pPr>
        <w:ind w:left="786" w:hanging="449"/>
      </w:pPr>
      <w:rPr>
        <w:rFonts w:cs="Times New Roman" w:hint="default"/>
      </w:rPr>
    </w:lvl>
    <w:lvl w:ilvl="1">
      <w:start w:val="1"/>
      <w:numFmt w:val="decimal"/>
      <w:lvlText w:val="%1.%2"/>
      <w:lvlJc w:val="left"/>
      <w:pPr>
        <w:ind w:left="786" w:hanging="449"/>
      </w:pPr>
      <w:rPr>
        <w:rFonts w:ascii="Times New Roman" w:eastAsia="Times New Roman" w:hAnsi="Times New Roman" w:cs="Times New Roman" w:hint="default"/>
        <w:b/>
        <w:bCs/>
        <w:spacing w:val="-1"/>
        <w:w w:val="100"/>
        <w:sz w:val="30"/>
        <w:szCs w:val="30"/>
      </w:rPr>
    </w:lvl>
    <w:lvl w:ilvl="2">
      <w:start w:val="1"/>
      <w:numFmt w:val="decimal"/>
      <w:lvlText w:val="（%3）"/>
      <w:lvlJc w:val="left"/>
      <w:pPr>
        <w:ind w:left="337" w:hanging="604"/>
      </w:pPr>
      <w:rPr>
        <w:rFonts w:ascii="宋体" w:eastAsia="宋体" w:hAnsi="宋体" w:cs="宋体" w:hint="default"/>
        <w:w w:val="100"/>
        <w:sz w:val="22"/>
        <w:szCs w:val="22"/>
      </w:rPr>
    </w:lvl>
    <w:lvl w:ilvl="3">
      <w:numFmt w:val="bullet"/>
      <w:lvlText w:val="•"/>
      <w:lvlJc w:val="left"/>
      <w:pPr>
        <w:ind w:left="2603" w:hanging="604"/>
      </w:pPr>
      <w:rPr>
        <w:rFonts w:hint="default"/>
      </w:rPr>
    </w:lvl>
    <w:lvl w:ilvl="4">
      <w:numFmt w:val="bullet"/>
      <w:lvlText w:val="•"/>
      <w:lvlJc w:val="left"/>
      <w:pPr>
        <w:ind w:left="3515" w:hanging="604"/>
      </w:pPr>
      <w:rPr>
        <w:rFonts w:hint="default"/>
      </w:rPr>
    </w:lvl>
    <w:lvl w:ilvl="5">
      <w:numFmt w:val="bullet"/>
      <w:lvlText w:val="•"/>
      <w:lvlJc w:val="left"/>
      <w:pPr>
        <w:ind w:left="4427" w:hanging="604"/>
      </w:pPr>
      <w:rPr>
        <w:rFonts w:hint="default"/>
      </w:rPr>
    </w:lvl>
    <w:lvl w:ilvl="6">
      <w:numFmt w:val="bullet"/>
      <w:lvlText w:val="•"/>
      <w:lvlJc w:val="left"/>
      <w:pPr>
        <w:ind w:left="5338" w:hanging="604"/>
      </w:pPr>
      <w:rPr>
        <w:rFonts w:hint="default"/>
      </w:rPr>
    </w:lvl>
    <w:lvl w:ilvl="7">
      <w:numFmt w:val="bullet"/>
      <w:lvlText w:val="•"/>
      <w:lvlJc w:val="left"/>
      <w:pPr>
        <w:ind w:left="6250" w:hanging="604"/>
      </w:pPr>
      <w:rPr>
        <w:rFonts w:hint="default"/>
      </w:rPr>
    </w:lvl>
    <w:lvl w:ilvl="8">
      <w:numFmt w:val="bullet"/>
      <w:lvlText w:val="•"/>
      <w:lvlJc w:val="left"/>
      <w:pPr>
        <w:ind w:left="7162" w:hanging="604"/>
      </w:pPr>
      <w:rPr>
        <w:rFonts w:hint="default"/>
      </w:rPr>
    </w:lvl>
  </w:abstractNum>
  <w:abstractNum w:abstractNumId="44">
    <w:nsid w:val="46A08BB8"/>
    <w:multiLevelType w:val="multilevel"/>
    <w:tmpl w:val="46A08BB8"/>
    <w:lvl w:ilvl="0">
      <w:start w:val="5"/>
      <w:numFmt w:val="decimal"/>
      <w:lvlText w:val="%1"/>
      <w:lvlJc w:val="left"/>
      <w:pPr>
        <w:ind w:left="337" w:hanging="540"/>
      </w:pPr>
      <w:rPr>
        <w:rFonts w:cs="Times New Roman" w:hint="default"/>
      </w:rPr>
    </w:lvl>
    <w:lvl w:ilvl="1">
      <w:start w:val="2"/>
      <w:numFmt w:val="decimal"/>
      <w:lvlText w:val="%1.%2"/>
      <w:lvlJc w:val="left"/>
      <w:pPr>
        <w:ind w:left="337" w:hanging="540"/>
      </w:pPr>
      <w:rPr>
        <w:rFonts w:cs="Times New Roman" w:hint="default"/>
      </w:rPr>
    </w:lvl>
    <w:lvl w:ilvl="2">
      <w:start w:val="1"/>
      <w:numFmt w:val="decimal"/>
      <w:lvlText w:val="%1.%2.%3"/>
      <w:lvlJc w:val="left"/>
      <w:pPr>
        <w:ind w:left="337" w:hanging="540"/>
      </w:pPr>
      <w:rPr>
        <w:rFonts w:ascii="Times New Roman" w:eastAsia="Times New Roman" w:hAnsi="Times New Roman" w:cs="Times New Roman" w:hint="default"/>
        <w:b/>
        <w:bCs/>
        <w:spacing w:val="-15"/>
        <w:w w:val="99"/>
        <w:sz w:val="24"/>
        <w:szCs w:val="24"/>
      </w:rPr>
    </w:lvl>
    <w:lvl w:ilvl="3">
      <w:start w:val="2"/>
      <w:numFmt w:val="decimal"/>
      <w:lvlText w:val="（%4）"/>
      <w:lvlJc w:val="left"/>
      <w:pPr>
        <w:ind w:left="817" w:hanging="601"/>
      </w:pPr>
      <w:rPr>
        <w:rFonts w:ascii="宋体" w:eastAsia="宋体" w:hAnsi="宋体" w:cs="宋体" w:hint="default"/>
        <w:spacing w:val="-17"/>
        <w:w w:val="100"/>
        <w:sz w:val="22"/>
        <w:szCs w:val="22"/>
      </w:rPr>
    </w:lvl>
    <w:lvl w:ilvl="4">
      <w:numFmt w:val="bullet"/>
      <w:lvlText w:val="•"/>
      <w:lvlJc w:val="left"/>
      <w:pPr>
        <w:ind w:left="2906" w:hanging="601"/>
      </w:pPr>
      <w:rPr>
        <w:rFonts w:hint="default"/>
      </w:rPr>
    </w:lvl>
    <w:lvl w:ilvl="5">
      <w:numFmt w:val="bullet"/>
      <w:lvlText w:val="•"/>
      <w:lvlJc w:val="left"/>
      <w:pPr>
        <w:ind w:left="3919" w:hanging="601"/>
      </w:pPr>
      <w:rPr>
        <w:rFonts w:hint="default"/>
      </w:rPr>
    </w:lvl>
    <w:lvl w:ilvl="6">
      <w:numFmt w:val="bullet"/>
      <w:lvlText w:val="•"/>
      <w:lvlJc w:val="left"/>
      <w:pPr>
        <w:ind w:left="4933" w:hanging="601"/>
      </w:pPr>
      <w:rPr>
        <w:rFonts w:hint="default"/>
      </w:rPr>
    </w:lvl>
    <w:lvl w:ilvl="7">
      <w:numFmt w:val="bullet"/>
      <w:lvlText w:val="•"/>
      <w:lvlJc w:val="left"/>
      <w:pPr>
        <w:ind w:left="5946" w:hanging="601"/>
      </w:pPr>
      <w:rPr>
        <w:rFonts w:hint="default"/>
      </w:rPr>
    </w:lvl>
    <w:lvl w:ilvl="8">
      <w:numFmt w:val="bullet"/>
      <w:lvlText w:val="•"/>
      <w:lvlJc w:val="left"/>
      <w:pPr>
        <w:ind w:left="6959" w:hanging="601"/>
      </w:pPr>
      <w:rPr>
        <w:rFonts w:hint="default"/>
      </w:rPr>
    </w:lvl>
  </w:abstractNum>
  <w:abstractNum w:abstractNumId="45">
    <w:nsid w:val="4A51D704"/>
    <w:multiLevelType w:val="multilevel"/>
    <w:tmpl w:val="4A51D704"/>
    <w:lvl w:ilvl="0">
      <w:start w:val="6"/>
      <w:numFmt w:val="decimal"/>
      <w:lvlText w:val="%1"/>
      <w:lvlJc w:val="left"/>
      <w:pPr>
        <w:ind w:left="1337" w:hanging="540"/>
      </w:pPr>
      <w:rPr>
        <w:rFonts w:cs="Times New Roman" w:hint="default"/>
      </w:rPr>
    </w:lvl>
    <w:lvl w:ilvl="1">
      <w:start w:val="2"/>
      <w:numFmt w:val="decimal"/>
      <w:lvlText w:val="%1.%2"/>
      <w:lvlJc w:val="left"/>
      <w:pPr>
        <w:ind w:left="1337" w:hanging="540"/>
      </w:pPr>
      <w:rPr>
        <w:rFonts w:cs="Times New Roman" w:hint="default"/>
      </w:rPr>
    </w:lvl>
    <w:lvl w:ilvl="2">
      <w:start w:val="1"/>
      <w:numFmt w:val="decimal"/>
      <w:lvlText w:val="%1.%2.%3"/>
      <w:lvlJc w:val="left"/>
      <w:pPr>
        <w:ind w:left="1337" w:hanging="540"/>
      </w:pPr>
      <w:rPr>
        <w:rFonts w:ascii="Times New Roman" w:eastAsia="Times New Roman" w:hAnsi="Times New Roman" w:cs="Times New Roman" w:hint="default"/>
        <w:b/>
        <w:bCs/>
        <w:w w:val="99"/>
        <w:sz w:val="24"/>
        <w:szCs w:val="24"/>
      </w:rPr>
    </w:lvl>
    <w:lvl w:ilvl="3">
      <w:start w:val="1"/>
      <w:numFmt w:val="decimal"/>
      <w:lvlText w:val="（%4）"/>
      <w:lvlJc w:val="left"/>
      <w:pPr>
        <w:ind w:left="1861" w:hanging="601"/>
      </w:pPr>
      <w:rPr>
        <w:rFonts w:ascii="宋体" w:eastAsia="宋体" w:hAnsi="宋体" w:cs="宋体" w:hint="default"/>
        <w:w w:val="100"/>
        <w:sz w:val="22"/>
        <w:szCs w:val="22"/>
      </w:rPr>
    </w:lvl>
    <w:lvl w:ilvl="4">
      <w:numFmt w:val="bullet"/>
      <w:lvlText w:val="•"/>
      <w:lvlJc w:val="left"/>
      <w:pPr>
        <w:ind w:left="4535" w:hanging="601"/>
      </w:pPr>
      <w:rPr>
        <w:rFonts w:hint="default"/>
      </w:rPr>
    </w:lvl>
    <w:lvl w:ilvl="5">
      <w:numFmt w:val="bullet"/>
      <w:lvlText w:val="•"/>
      <w:lvlJc w:val="left"/>
      <w:pPr>
        <w:ind w:left="5427" w:hanging="601"/>
      </w:pPr>
      <w:rPr>
        <w:rFonts w:hint="default"/>
      </w:rPr>
    </w:lvl>
    <w:lvl w:ilvl="6">
      <w:numFmt w:val="bullet"/>
      <w:lvlText w:val="•"/>
      <w:lvlJc w:val="left"/>
      <w:pPr>
        <w:ind w:left="6318" w:hanging="601"/>
      </w:pPr>
      <w:rPr>
        <w:rFonts w:hint="default"/>
      </w:rPr>
    </w:lvl>
    <w:lvl w:ilvl="7">
      <w:numFmt w:val="bullet"/>
      <w:lvlText w:val="•"/>
      <w:lvlJc w:val="left"/>
      <w:pPr>
        <w:ind w:left="7210" w:hanging="601"/>
      </w:pPr>
      <w:rPr>
        <w:rFonts w:hint="default"/>
      </w:rPr>
    </w:lvl>
    <w:lvl w:ilvl="8">
      <w:numFmt w:val="bullet"/>
      <w:lvlText w:val="•"/>
      <w:lvlJc w:val="left"/>
      <w:pPr>
        <w:ind w:left="8102" w:hanging="601"/>
      </w:pPr>
      <w:rPr>
        <w:rFonts w:hint="default"/>
      </w:rPr>
    </w:lvl>
  </w:abstractNum>
  <w:abstractNum w:abstractNumId="46">
    <w:nsid w:val="4C1BAE26"/>
    <w:multiLevelType w:val="multilevel"/>
    <w:tmpl w:val="4C1BAE26"/>
    <w:lvl w:ilvl="0">
      <w:start w:val="4"/>
      <w:numFmt w:val="decimal"/>
      <w:lvlText w:val="%1"/>
      <w:lvlJc w:val="left"/>
      <w:pPr>
        <w:ind w:left="860" w:hanging="524"/>
      </w:pPr>
      <w:rPr>
        <w:rFonts w:cs="Times New Roman" w:hint="default"/>
      </w:rPr>
    </w:lvl>
    <w:lvl w:ilvl="1">
      <w:start w:val="1"/>
      <w:numFmt w:val="decimal"/>
      <w:lvlText w:val="%1.%2"/>
      <w:lvlJc w:val="left"/>
      <w:pPr>
        <w:ind w:left="860" w:hanging="524"/>
      </w:pPr>
      <w:rPr>
        <w:rFonts w:ascii="Times New Roman" w:eastAsia="Times New Roman" w:hAnsi="Times New Roman" w:cs="Times New Roman" w:hint="default"/>
        <w:b/>
        <w:bCs/>
        <w:spacing w:val="-3"/>
        <w:w w:val="99"/>
        <w:sz w:val="30"/>
        <w:szCs w:val="30"/>
      </w:rPr>
    </w:lvl>
    <w:lvl w:ilvl="2">
      <w:start w:val="1"/>
      <w:numFmt w:val="decimal"/>
      <w:lvlText w:val="%1.%2.%3"/>
      <w:lvlJc w:val="left"/>
      <w:pPr>
        <w:ind w:left="937" w:hanging="600"/>
      </w:pPr>
      <w:rPr>
        <w:rFonts w:ascii="Times New Roman" w:eastAsia="Times New Roman" w:hAnsi="Times New Roman" w:cs="Times New Roman" w:hint="default"/>
        <w:b/>
        <w:bCs/>
        <w:w w:val="99"/>
        <w:sz w:val="24"/>
        <w:szCs w:val="24"/>
      </w:rPr>
    </w:lvl>
    <w:lvl w:ilvl="3">
      <w:start w:val="1"/>
      <w:numFmt w:val="decimal"/>
      <w:lvlText w:val="（%4）"/>
      <w:lvlJc w:val="left"/>
      <w:pPr>
        <w:ind w:left="1298" w:hanging="601"/>
      </w:pPr>
      <w:rPr>
        <w:rFonts w:ascii="宋体" w:eastAsia="宋体" w:hAnsi="宋体" w:cs="宋体" w:hint="default"/>
        <w:b/>
        <w:bCs/>
        <w:w w:val="99"/>
        <w:sz w:val="22"/>
        <w:szCs w:val="22"/>
      </w:rPr>
    </w:lvl>
    <w:lvl w:ilvl="4">
      <w:numFmt w:val="bullet"/>
      <w:lvlText w:val="•"/>
      <w:lvlJc w:val="left"/>
      <w:pPr>
        <w:ind w:left="3221" w:hanging="601"/>
      </w:pPr>
      <w:rPr>
        <w:rFonts w:hint="default"/>
      </w:rPr>
    </w:lvl>
    <w:lvl w:ilvl="5">
      <w:numFmt w:val="bullet"/>
      <w:lvlText w:val="•"/>
      <w:lvlJc w:val="left"/>
      <w:pPr>
        <w:ind w:left="4182" w:hanging="601"/>
      </w:pPr>
      <w:rPr>
        <w:rFonts w:hint="default"/>
      </w:rPr>
    </w:lvl>
    <w:lvl w:ilvl="6">
      <w:numFmt w:val="bullet"/>
      <w:lvlText w:val="•"/>
      <w:lvlJc w:val="left"/>
      <w:pPr>
        <w:ind w:left="5143" w:hanging="601"/>
      </w:pPr>
      <w:rPr>
        <w:rFonts w:hint="default"/>
      </w:rPr>
    </w:lvl>
    <w:lvl w:ilvl="7">
      <w:numFmt w:val="bullet"/>
      <w:lvlText w:val="•"/>
      <w:lvlJc w:val="left"/>
      <w:pPr>
        <w:ind w:left="6103" w:hanging="601"/>
      </w:pPr>
      <w:rPr>
        <w:rFonts w:hint="default"/>
      </w:rPr>
    </w:lvl>
    <w:lvl w:ilvl="8">
      <w:numFmt w:val="bullet"/>
      <w:lvlText w:val="•"/>
      <w:lvlJc w:val="left"/>
      <w:pPr>
        <w:ind w:left="7064" w:hanging="601"/>
      </w:pPr>
      <w:rPr>
        <w:rFonts w:hint="default"/>
      </w:rPr>
    </w:lvl>
  </w:abstractNum>
  <w:abstractNum w:abstractNumId="47">
    <w:nsid w:val="59ADCABA"/>
    <w:multiLevelType w:val="multilevel"/>
    <w:tmpl w:val="59ADCABA"/>
    <w:lvl w:ilvl="0">
      <w:start w:val="1"/>
      <w:numFmt w:val="decimal"/>
      <w:lvlText w:val="%1"/>
      <w:lvlJc w:val="left"/>
      <w:pPr>
        <w:ind w:left="2042" w:hanging="240"/>
      </w:pPr>
      <w:rPr>
        <w:rFonts w:ascii="Times New Roman" w:eastAsia="Times New Roman" w:hAnsi="Times New Roman" w:cs="Times New Roman" w:hint="default"/>
        <w:w w:val="100"/>
        <w:sz w:val="24"/>
        <w:szCs w:val="24"/>
      </w:rPr>
    </w:lvl>
    <w:lvl w:ilvl="1">
      <w:start w:val="1"/>
      <w:numFmt w:val="decimal"/>
      <w:lvlText w:val="%1.%2"/>
      <w:lvlJc w:val="left"/>
      <w:pPr>
        <w:ind w:left="2637" w:hanging="360"/>
      </w:pPr>
      <w:rPr>
        <w:rFonts w:ascii="Times New Roman" w:eastAsia="Times New Roman" w:hAnsi="Times New Roman" w:cs="Times New Roman" w:hint="default"/>
        <w:w w:val="100"/>
        <w:sz w:val="24"/>
        <w:szCs w:val="24"/>
      </w:rPr>
    </w:lvl>
    <w:lvl w:ilvl="2">
      <w:numFmt w:val="bullet"/>
      <w:lvlText w:val="•"/>
      <w:lvlJc w:val="left"/>
      <w:pPr>
        <w:ind w:left="3669" w:hanging="360"/>
      </w:pPr>
      <w:rPr>
        <w:rFonts w:hint="default"/>
      </w:rPr>
    </w:lvl>
    <w:lvl w:ilvl="3">
      <w:numFmt w:val="bullet"/>
      <w:lvlText w:val="•"/>
      <w:lvlJc w:val="left"/>
      <w:pPr>
        <w:ind w:left="4699" w:hanging="360"/>
      </w:pPr>
      <w:rPr>
        <w:rFonts w:hint="default"/>
      </w:rPr>
    </w:lvl>
    <w:lvl w:ilvl="4">
      <w:numFmt w:val="bullet"/>
      <w:lvlText w:val="•"/>
      <w:lvlJc w:val="left"/>
      <w:pPr>
        <w:ind w:left="5728" w:hanging="360"/>
      </w:pPr>
      <w:rPr>
        <w:rFonts w:hint="default"/>
      </w:rPr>
    </w:lvl>
    <w:lvl w:ilvl="5">
      <w:numFmt w:val="bullet"/>
      <w:lvlText w:val="•"/>
      <w:lvlJc w:val="left"/>
      <w:pPr>
        <w:ind w:left="6758" w:hanging="360"/>
      </w:pPr>
      <w:rPr>
        <w:rFonts w:hint="default"/>
      </w:rPr>
    </w:lvl>
    <w:lvl w:ilvl="6">
      <w:numFmt w:val="bullet"/>
      <w:lvlText w:val="•"/>
      <w:lvlJc w:val="left"/>
      <w:pPr>
        <w:ind w:left="7787" w:hanging="360"/>
      </w:pPr>
      <w:rPr>
        <w:rFonts w:hint="default"/>
      </w:rPr>
    </w:lvl>
    <w:lvl w:ilvl="7">
      <w:numFmt w:val="bullet"/>
      <w:lvlText w:val="•"/>
      <w:lvlJc w:val="left"/>
      <w:pPr>
        <w:ind w:left="8817" w:hanging="360"/>
      </w:pPr>
      <w:rPr>
        <w:rFonts w:hint="default"/>
      </w:rPr>
    </w:lvl>
    <w:lvl w:ilvl="8">
      <w:numFmt w:val="bullet"/>
      <w:lvlText w:val="•"/>
      <w:lvlJc w:val="left"/>
      <w:pPr>
        <w:ind w:left="9846" w:hanging="360"/>
      </w:pPr>
      <w:rPr>
        <w:rFonts w:hint="default"/>
      </w:rPr>
    </w:lvl>
  </w:abstractNum>
  <w:abstractNum w:abstractNumId="48">
    <w:nsid w:val="5A241D34"/>
    <w:multiLevelType w:val="multilevel"/>
    <w:tmpl w:val="5A241D34"/>
    <w:lvl w:ilvl="0">
      <w:start w:val="19"/>
      <w:numFmt w:val="decimal"/>
      <w:lvlText w:val="（%1）"/>
      <w:lvlJc w:val="left"/>
      <w:pPr>
        <w:ind w:left="2998" w:hanging="721"/>
      </w:pPr>
      <w:rPr>
        <w:rFonts w:ascii="宋体" w:eastAsia="宋体" w:hAnsi="宋体" w:cs="宋体" w:hint="default"/>
        <w:spacing w:val="-2"/>
        <w:w w:val="100"/>
        <w:sz w:val="22"/>
        <w:szCs w:val="22"/>
      </w:rPr>
    </w:lvl>
    <w:lvl w:ilvl="1">
      <w:numFmt w:val="bullet"/>
      <w:lvlText w:val="•"/>
      <w:lvlJc w:val="left"/>
      <w:pPr>
        <w:ind w:left="3890" w:hanging="721"/>
      </w:pPr>
      <w:rPr>
        <w:rFonts w:hint="default"/>
      </w:rPr>
    </w:lvl>
    <w:lvl w:ilvl="2">
      <w:numFmt w:val="bullet"/>
      <w:lvlText w:val="•"/>
      <w:lvlJc w:val="left"/>
      <w:pPr>
        <w:ind w:left="4781" w:hanging="721"/>
      </w:pPr>
      <w:rPr>
        <w:rFonts w:hint="default"/>
      </w:rPr>
    </w:lvl>
    <w:lvl w:ilvl="3">
      <w:numFmt w:val="bullet"/>
      <w:lvlText w:val="•"/>
      <w:lvlJc w:val="left"/>
      <w:pPr>
        <w:ind w:left="5671" w:hanging="721"/>
      </w:pPr>
      <w:rPr>
        <w:rFonts w:hint="default"/>
      </w:rPr>
    </w:lvl>
    <w:lvl w:ilvl="4">
      <w:numFmt w:val="bullet"/>
      <w:lvlText w:val="•"/>
      <w:lvlJc w:val="left"/>
      <w:pPr>
        <w:ind w:left="6562" w:hanging="721"/>
      </w:pPr>
      <w:rPr>
        <w:rFonts w:hint="default"/>
      </w:rPr>
    </w:lvl>
    <w:lvl w:ilvl="5">
      <w:numFmt w:val="bullet"/>
      <w:lvlText w:val="•"/>
      <w:lvlJc w:val="left"/>
      <w:pPr>
        <w:ind w:left="7453" w:hanging="721"/>
      </w:pPr>
      <w:rPr>
        <w:rFonts w:hint="default"/>
      </w:rPr>
    </w:lvl>
    <w:lvl w:ilvl="6">
      <w:numFmt w:val="bullet"/>
      <w:lvlText w:val="•"/>
      <w:lvlJc w:val="left"/>
      <w:pPr>
        <w:ind w:left="8343" w:hanging="721"/>
      </w:pPr>
      <w:rPr>
        <w:rFonts w:hint="default"/>
      </w:rPr>
    </w:lvl>
    <w:lvl w:ilvl="7">
      <w:numFmt w:val="bullet"/>
      <w:lvlText w:val="•"/>
      <w:lvlJc w:val="left"/>
      <w:pPr>
        <w:ind w:left="9234" w:hanging="721"/>
      </w:pPr>
      <w:rPr>
        <w:rFonts w:hint="default"/>
      </w:rPr>
    </w:lvl>
    <w:lvl w:ilvl="8">
      <w:numFmt w:val="bullet"/>
      <w:lvlText w:val="•"/>
      <w:lvlJc w:val="left"/>
      <w:pPr>
        <w:ind w:left="10124" w:hanging="721"/>
      </w:pPr>
      <w:rPr>
        <w:rFonts w:hint="default"/>
      </w:rPr>
    </w:lvl>
  </w:abstractNum>
  <w:abstractNum w:abstractNumId="49">
    <w:nsid w:val="5FCE4367"/>
    <w:multiLevelType w:val="multilevel"/>
    <w:tmpl w:val="5FCE4367"/>
    <w:lvl w:ilvl="0">
      <w:start w:val="1"/>
      <w:numFmt w:val="decimal"/>
      <w:lvlText w:val="（%1）"/>
      <w:lvlJc w:val="left"/>
      <w:pPr>
        <w:ind w:left="9" w:hanging="525"/>
      </w:pPr>
      <w:rPr>
        <w:rFonts w:ascii="宋体" w:eastAsia="宋体" w:hAnsi="宋体" w:cs="宋体" w:hint="default"/>
        <w:spacing w:val="-1"/>
        <w:w w:val="99"/>
        <w:sz w:val="19"/>
        <w:szCs w:val="19"/>
      </w:rPr>
    </w:lvl>
    <w:lvl w:ilvl="1">
      <w:numFmt w:val="bullet"/>
      <w:lvlText w:val="•"/>
      <w:lvlJc w:val="left"/>
      <w:pPr>
        <w:ind w:left="711" w:hanging="525"/>
      </w:pPr>
      <w:rPr>
        <w:rFonts w:hint="default"/>
      </w:rPr>
    </w:lvl>
    <w:lvl w:ilvl="2">
      <w:numFmt w:val="bullet"/>
      <w:lvlText w:val="•"/>
      <w:lvlJc w:val="left"/>
      <w:pPr>
        <w:ind w:left="1422" w:hanging="525"/>
      </w:pPr>
      <w:rPr>
        <w:rFonts w:hint="default"/>
      </w:rPr>
    </w:lvl>
    <w:lvl w:ilvl="3">
      <w:numFmt w:val="bullet"/>
      <w:lvlText w:val="•"/>
      <w:lvlJc w:val="left"/>
      <w:pPr>
        <w:ind w:left="2134" w:hanging="525"/>
      </w:pPr>
      <w:rPr>
        <w:rFonts w:hint="default"/>
      </w:rPr>
    </w:lvl>
    <w:lvl w:ilvl="4">
      <w:numFmt w:val="bullet"/>
      <w:lvlText w:val="•"/>
      <w:lvlJc w:val="left"/>
      <w:pPr>
        <w:ind w:left="2845" w:hanging="525"/>
      </w:pPr>
      <w:rPr>
        <w:rFonts w:hint="default"/>
      </w:rPr>
    </w:lvl>
    <w:lvl w:ilvl="5">
      <w:numFmt w:val="bullet"/>
      <w:lvlText w:val="•"/>
      <w:lvlJc w:val="left"/>
      <w:pPr>
        <w:ind w:left="3557" w:hanging="525"/>
      </w:pPr>
      <w:rPr>
        <w:rFonts w:hint="default"/>
      </w:rPr>
    </w:lvl>
    <w:lvl w:ilvl="6">
      <w:numFmt w:val="bullet"/>
      <w:lvlText w:val="•"/>
      <w:lvlJc w:val="left"/>
      <w:pPr>
        <w:ind w:left="4268" w:hanging="525"/>
      </w:pPr>
      <w:rPr>
        <w:rFonts w:hint="default"/>
      </w:rPr>
    </w:lvl>
    <w:lvl w:ilvl="7">
      <w:numFmt w:val="bullet"/>
      <w:lvlText w:val="•"/>
      <w:lvlJc w:val="left"/>
      <w:pPr>
        <w:ind w:left="4979" w:hanging="525"/>
      </w:pPr>
      <w:rPr>
        <w:rFonts w:hint="default"/>
      </w:rPr>
    </w:lvl>
    <w:lvl w:ilvl="8">
      <w:numFmt w:val="bullet"/>
      <w:lvlText w:val="•"/>
      <w:lvlJc w:val="left"/>
      <w:pPr>
        <w:ind w:left="5691" w:hanging="525"/>
      </w:pPr>
      <w:rPr>
        <w:rFonts w:hint="default"/>
      </w:rPr>
    </w:lvl>
  </w:abstractNum>
  <w:abstractNum w:abstractNumId="50">
    <w:nsid w:val="60382F6E"/>
    <w:multiLevelType w:val="multilevel"/>
    <w:tmpl w:val="60382F6E"/>
    <w:lvl w:ilvl="0">
      <w:start w:val="4"/>
      <w:numFmt w:val="decimal"/>
      <w:lvlText w:val="%1"/>
      <w:lvlJc w:val="left"/>
      <w:pPr>
        <w:ind w:left="786" w:hanging="449"/>
      </w:pPr>
      <w:rPr>
        <w:rFonts w:cs="Times New Roman" w:hint="default"/>
      </w:rPr>
    </w:lvl>
    <w:lvl w:ilvl="1">
      <w:start w:val="2"/>
      <w:numFmt w:val="decimal"/>
      <w:lvlText w:val="%1.%2"/>
      <w:lvlJc w:val="left"/>
      <w:pPr>
        <w:ind w:left="786" w:hanging="449"/>
      </w:pPr>
      <w:rPr>
        <w:rFonts w:ascii="Times New Roman" w:eastAsia="Times New Roman" w:hAnsi="Times New Roman" w:cs="Times New Roman" w:hint="default"/>
        <w:b/>
        <w:bCs/>
        <w:spacing w:val="-1"/>
        <w:w w:val="100"/>
        <w:sz w:val="30"/>
        <w:szCs w:val="30"/>
      </w:rPr>
    </w:lvl>
    <w:lvl w:ilvl="2">
      <w:start w:val="1"/>
      <w:numFmt w:val="decimal"/>
      <w:lvlText w:val="（%3）"/>
      <w:lvlJc w:val="left"/>
      <w:pPr>
        <w:ind w:left="337" w:hanging="604"/>
      </w:pPr>
      <w:rPr>
        <w:rFonts w:ascii="宋体" w:eastAsia="宋体" w:hAnsi="宋体" w:cs="宋体" w:hint="default"/>
        <w:w w:val="100"/>
        <w:sz w:val="22"/>
        <w:szCs w:val="22"/>
      </w:rPr>
    </w:lvl>
    <w:lvl w:ilvl="3">
      <w:numFmt w:val="bullet"/>
      <w:lvlText w:val="•"/>
      <w:lvlJc w:val="left"/>
      <w:pPr>
        <w:ind w:left="2603" w:hanging="604"/>
      </w:pPr>
      <w:rPr>
        <w:rFonts w:hint="default"/>
      </w:rPr>
    </w:lvl>
    <w:lvl w:ilvl="4">
      <w:numFmt w:val="bullet"/>
      <w:lvlText w:val="•"/>
      <w:lvlJc w:val="left"/>
      <w:pPr>
        <w:ind w:left="3515" w:hanging="604"/>
      </w:pPr>
      <w:rPr>
        <w:rFonts w:hint="default"/>
      </w:rPr>
    </w:lvl>
    <w:lvl w:ilvl="5">
      <w:numFmt w:val="bullet"/>
      <w:lvlText w:val="•"/>
      <w:lvlJc w:val="left"/>
      <w:pPr>
        <w:ind w:left="4427" w:hanging="604"/>
      </w:pPr>
      <w:rPr>
        <w:rFonts w:hint="default"/>
      </w:rPr>
    </w:lvl>
    <w:lvl w:ilvl="6">
      <w:numFmt w:val="bullet"/>
      <w:lvlText w:val="•"/>
      <w:lvlJc w:val="left"/>
      <w:pPr>
        <w:ind w:left="5338" w:hanging="604"/>
      </w:pPr>
      <w:rPr>
        <w:rFonts w:hint="default"/>
      </w:rPr>
    </w:lvl>
    <w:lvl w:ilvl="7">
      <w:numFmt w:val="bullet"/>
      <w:lvlText w:val="•"/>
      <w:lvlJc w:val="left"/>
      <w:pPr>
        <w:ind w:left="6250" w:hanging="604"/>
      </w:pPr>
      <w:rPr>
        <w:rFonts w:hint="default"/>
      </w:rPr>
    </w:lvl>
    <w:lvl w:ilvl="8">
      <w:numFmt w:val="bullet"/>
      <w:lvlText w:val="•"/>
      <w:lvlJc w:val="left"/>
      <w:pPr>
        <w:ind w:left="7162" w:hanging="604"/>
      </w:pPr>
      <w:rPr>
        <w:rFonts w:hint="default"/>
      </w:rPr>
    </w:lvl>
  </w:abstractNum>
  <w:abstractNum w:abstractNumId="51">
    <w:nsid w:val="610EFE5C"/>
    <w:multiLevelType w:val="multilevel"/>
    <w:tmpl w:val="610EFE5C"/>
    <w:lvl w:ilvl="0">
      <w:start w:val="1"/>
      <w:numFmt w:val="decimal"/>
      <w:lvlText w:val="（%1）"/>
      <w:lvlJc w:val="left"/>
      <w:pPr>
        <w:ind w:left="8" w:hanging="486"/>
      </w:pPr>
      <w:rPr>
        <w:rFonts w:ascii="宋体" w:eastAsia="宋体" w:hAnsi="宋体" w:cs="宋体" w:hint="default"/>
        <w:spacing w:val="-41"/>
        <w:w w:val="99"/>
        <w:sz w:val="19"/>
        <w:szCs w:val="19"/>
      </w:rPr>
    </w:lvl>
    <w:lvl w:ilvl="1">
      <w:numFmt w:val="bullet"/>
      <w:lvlText w:val="•"/>
      <w:lvlJc w:val="left"/>
      <w:pPr>
        <w:ind w:left="552" w:hanging="486"/>
      </w:pPr>
      <w:rPr>
        <w:rFonts w:hint="default"/>
      </w:rPr>
    </w:lvl>
    <w:lvl w:ilvl="2">
      <w:numFmt w:val="bullet"/>
      <w:lvlText w:val="•"/>
      <w:lvlJc w:val="left"/>
      <w:pPr>
        <w:ind w:left="1105" w:hanging="486"/>
      </w:pPr>
      <w:rPr>
        <w:rFonts w:hint="default"/>
      </w:rPr>
    </w:lvl>
    <w:lvl w:ilvl="3">
      <w:numFmt w:val="bullet"/>
      <w:lvlText w:val="•"/>
      <w:lvlJc w:val="left"/>
      <w:pPr>
        <w:ind w:left="1658" w:hanging="486"/>
      </w:pPr>
      <w:rPr>
        <w:rFonts w:hint="default"/>
      </w:rPr>
    </w:lvl>
    <w:lvl w:ilvl="4">
      <w:numFmt w:val="bullet"/>
      <w:lvlText w:val="•"/>
      <w:lvlJc w:val="left"/>
      <w:pPr>
        <w:ind w:left="2211" w:hanging="486"/>
      </w:pPr>
      <w:rPr>
        <w:rFonts w:hint="default"/>
      </w:rPr>
    </w:lvl>
    <w:lvl w:ilvl="5">
      <w:numFmt w:val="bullet"/>
      <w:lvlText w:val="•"/>
      <w:lvlJc w:val="left"/>
      <w:pPr>
        <w:ind w:left="2764" w:hanging="486"/>
      </w:pPr>
      <w:rPr>
        <w:rFonts w:hint="default"/>
      </w:rPr>
    </w:lvl>
    <w:lvl w:ilvl="6">
      <w:numFmt w:val="bullet"/>
      <w:lvlText w:val="•"/>
      <w:lvlJc w:val="left"/>
      <w:pPr>
        <w:ind w:left="3316" w:hanging="486"/>
      </w:pPr>
      <w:rPr>
        <w:rFonts w:hint="default"/>
      </w:rPr>
    </w:lvl>
    <w:lvl w:ilvl="7">
      <w:numFmt w:val="bullet"/>
      <w:lvlText w:val="•"/>
      <w:lvlJc w:val="left"/>
      <w:pPr>
        <w:ind w:left="3869" w:hanging="486"/>
      </w:pPr>
      <w:rPr>
        <w:rFonts w:hint="default"/>
      </w:rPr>
    </w:lvl>
    <w:lvl w:ilvl="8">
      <w:numFmt w:val="bullet"/>
      <w:lvlText w:val="•"/>
      <w:lvlJc w:val="left"/>
      <w:pPr>
        <w:ind w:left="4422" w:hanging="486"/>
      </w:pPr>
      <w:rPr>
        <w:rFonts w:hint="default"/>
      </w:rPr>
    </w:lvl>
  </w:abstractNum>
  <w:abstractNum w:abstractNumId="52">
    <w:nsid w:val="68B298F7"/>
    <w:multiLevelType w:val="multilevel"/>
    <w:tmpl w:val="68B298F7"/>
    <w:lvl w:ilvl="0">
      <w:start w:val="1"/>
      <w:numFmt w:val="decimal"/>
      <w:lvlText w:val="（%1）"/>
      <w:lvlJc w:val="left"/>
      <w:pPr>
        <w:ind w:left="1953" w:hanging="597"/>
      </w:pPr>
      <w:rPr>
        <w:rFonts w:ascii="宋体" w:eastAsia="宋体" w:hAnsi="宋体" w:cs="宋体" w:hint="default"/>
        <w:spacing w:val="-5"/>
        <w:w w:val="100"/>
        <w:sz w:val="22"/>
        <w:szCs w:val="22"/>
      </w:rPr>
    </w:lvl>
    <w:lvl w:ilvl="1">
      <w:numFmt w:val="bullet"/>
      <w:lvlText w:val="•"/>
      <w:lvlJc w:val="left"/>
      <w:pPr>
        <w:ind w:left="2754" w:hanging="597"/>
      </w:pPr>
      <w:rPr>
        <w:rFonts w:hint="default"/>
      </w:rPr>
    </w:lvl>
    <w:lvl w:ilvl="2">
      <w:numFmt w:val="bullet"/>
      <w:lvlText w:val="•"/>
      <w:lvlJc w:val="left"/>
      <w:pPr>
        <w:ind w:left="3549" w:hanging="597"/>
      </w:pPr>
      <w:rPr>
        <w:rFonts w:hint="default"/>
      </w:rPr>
    </w:lvl>
    <w:lvl w:ilvl="3">
      <w:numFmt w:val="bullet"/>
      <w:lvlText w:val="•"/>
      <w:lvlJc w:val="left"/>
      <w:pPr>
        <w:ind w:left="4343" w:hanging="597"/>
      </w:pPr>
      <w:rPr>
        <w:rFonts w:hint="default"/>
      </w:rPr>
    </w:lvl>
    <w:lvl w:ilvl="4">
      <w:numFmt w:val="bullet"/>
      <w:lvlText w:val="•"/>
      <w:lvlJc w:val="left"/>
      <w:pPr>
        <w:ind w:left="5138" w:hanging="597"/>
      </w:pPr>
      <w:rPr>
        <w:rFonts w:hint="default"/>
      </w:rPr>
    </w:lvl>
    <w:lvl w:ilvl="5">
      <w:numFmt w:val="bullet"/>
      <w:lvlText w:val="•"/>
      <w:lvlJc w:val="left"/>
      <w:pPr>
        <w:ind w:left="5933" w:hanging="597"/>
      </w:pPr>
      <w:rPr>
        <w:rFonts w:hint="default"/>
      </w:rPr>
    </w:lvl>
    <w:lvl w:ilvl="6">
      <w:numFmt w:val="bullet"/>
      <w:lvlText w:val="•"/>
      <w:lvlJc w:val="left"/>
      <w:pPr>
        <w:ind w:left="6727" w:hanging="597"/>
      </w:pPr>
      <w:rPr>
        <w:rFonts w:hint="default"/>
      </w:rPr>
    </w:lvl>
    <w:lvl w:ilvl="7">
      <w:numFmt w:val="bullet"/>
      <w:lvlText w:val="•"/>
      <w:lvlJc w:val="left"/>
      <w:pPr>
        <w:ind w:left="7522" w:hanging="597"/>
      </w:pPr>
      <w:rPr>
        <w:rFonts w:hint="default"/>
      </w:rPr>
    </w:lvl>
    <w:lvl w:ilvl="8">
      <w:numFmt w:val="bullet"/>
      <w:lvlText w:val="•"/>
      <w:lvlJc w:val="left"/>
      <w:pPr>
        <w:ind w:left="8316" w:hanging="597"/>
      </w:pPr>
      <w:rPr>
        <w:rFonts w:hint="default"/>
      </w:rPr>
    </w:lvl>
  </w:abstractNum>
  <w:abstractNum w:abstractNumId="53">
    <w:nsid w:val="72183CF9"/>
    <w:multiLevelType w:val="multilevel"/>
    <w:tmpl w:val="72183CF9"/>
    <w:lvl w:ilvl="0">
      <w:start w:val="1"/>
      <w:numFmt w:val="decimal"/>
      <w:lvlText w:val="%1"/>
      <w:lvlJc w:val="left"/>
      <w:pPr>
        <w:ind w:left="2337" w:hanging="540"/>
      </w:pPr>
      <w:rPr>
        <w:rFonts w:cs="Times New Roman" w:hint="default"/>
      </w:rPr>
    </w:lvl>
    <w:lvl w:ilvl="1">
      <w:start w:val="2"/>
      <w:numFmt w:val="decimal"/>
      <w:lvlText w:val="%1.%2"/>
      <w:lvlJc w:val="left"/>
      <w:pPr>
        <w:ind w:left="2337" w:hanging="540"/>
      </w:pPr>
      <w:rPr>
        <w:rFonts w:cs="Times New Roman" w:hint="default"/>
      </w:rPr>
    </w:lvl>
    <w:lvl w:ilvl="2">
      <w:start w:val="1"/>
      <w:numFmt w:val="decimal"/>
      <w:lvlText w:val="%1.%2.%3"/>
      <w:lvlJc w:val="left"/>
      <w:pPr>
        <w:ind w:left="2337" w:hanging="540"/>
      </w:pPr>
      <w:rPr>
        <w:rFonts w:ascii="Times New Roman" w:eastAsia="Times New Roman" w:hAnsi="Times New Roman" w:cs="Times New Roman" w:hint="default"/>
        <w:b/>
        <w:bCs/>
        <w:w w:val="99"/>
        <w:sz w:val="24"/>
        <w:szCs w:val="24"/>
      </w:rPr>
    </w:lvl>
    <w:lvl w:ilvl="3">
      <w:start w:val="1"/>
      <w:numFmt w:val="decimal"/>
      <w:lvlText w:val="（%4）"/>
      <w:lvlJc w:val="left"/>
      <w:pPr>
        <w:ind w:left="2758" w:hanging="601"/>
      </w:pPr>
      <w:rPr>
        <w:rFonts w:ascii="宋体" w:eastAsia="宋体" w:hAnsi="宋体" w:cs="宋体" w:hint="default"/>
        <w:spacing w:val="-60"/>
        <w:w w:val="100"/>
        <w:sz w:val="22"/>
        <w:szCs w:val="22"/>
      </w:rPr>
    </w:lvl>
    <w:lvl w:ilvl="4">
      <w:numFmt w:val="bullet"/>
      <w:lvlText w:val="•"/>
      <w:lvlJc w:val="left"/>
      <w:pPr>
        <w:ind w:left="5808" w:hanging="601"/>
      </w:pPr>
      <w:rPr>
        <w:rFonts w:hint="default"/>
      </w:rPr>
    </w:lvl>
    <w:lvl w:ilvl="5">
      <w:numFmt w:val="bullet"/>
      <w:lvlText w:val="•"/>
      <w:lvlJc w:val="left"/>
      <w:pPr>
        <w:ind w:left="6824" w:hanging="601"/>
      </w:pPr>
      <w:rPr>
        <w:rFonts w:hint="default"/>
      </w:rPr>
    </w:lvl>
    <w:lvl w:ilvl="6">
      <w:numFmt w:val="bullet"/>
      <w:lvlText w:val="•"/>
      <w:lvlJc w:val="left"/>
      <w:pPr>
        <w:ind w:left="7841" w:hanging="601"/>
      </w:pPr>
      <w:rPr>
        <w:rFonts w:hint="default"/>
      </w:rPr>
    </w:lvl>
    <w:lvl w:ilvl="7">
      <w:numFmt w:val="bullet"/>
      <w:lvlText w:val="•"/>
      <w:lvlJc w:val="left"/>
      <w:pPr>
        <w:ind w:left="8857" w:hanging="601"/>
      </w:pPr>
      <w:rPr>
        <w:rFonts w:hint="default"/>
      </w:rPr>
    </w:lvl>
    <w:lvl w:ilvl="8">
      <w:numFmt w:val="bullet"/>
      <w:lvlText w:val="•"/>
      <w:lvlJc w:val="left"/>
      <w:pPr>
        <w:ind w:left="9873" w:hanging="601"/>
      </w:pPr>
      <w:rPr>
        <w:rFonts w:hint="default"/>
      </w:rPr>
    </w:lvl>
  </w:abstractNum>
  <w:abstractNum w:abstractNumId="54">
    <w:nsid w:val="77633216"/>
    <w:multiLevelType w:val="multilevel"/>
    <w:tmpl w:val="77633216"/>
    <w:lvl w:ilvl="0">
      <w:start w:val="1"/>
      <w:numFmt w:val="decimal"/>
      <w:lvlText w:val="%1"/>
      <w:lvlJc w:val="left"/>
      <w:pPr>
        <w:ind w:left="1359" w:hanging="560"/>
      </w:pPr>
      <w:rPr>
        <w:rFonts w:cs="Times New Roman" w:hint="default"/>
      </w:rPr>
    </w:lvl>
    <w:lvl w:ilvl="1">
      <w:start w:val="1"/>
      <w:numFmt w:val="decimal"/>
      <w:lvlText w:val="%1.%2"/>
      <w:lvlJc w:val="left"/>
      <w:pPr>
        <w:ind w:left="1359" w:hanging="560"/>
      </w:pPr>
      <w:rPr>
        <w:rFonts w:ascii="Times New Roman" w:eastAsia="Times New Roman" w:hAnsi="Times New Roman" w:cs="Times New Roman" w:hint="default"/>
        <w:b/>
        <w:bCs/>
        <w:spacing w:val="-1"/>
        <w:w w:val="99"/>
        <w:sz w:val="32"/>
        <w:szCs w:val="32"/>
      </w:rPr>
    </w:lvl>
    <w:lvl w:ilvl="2">
      <w:start w:val="1"/>
      <w:numFmt w:val="decimal"/>
      <w:lvlText w:val="（%3）"/>
      <w:lvlJc w:val="left"/>
      <w:pPr>
        <w:ind w:left="800" w:hanging="601"/>
      </w:pPr>
      <w:rPr>
        <w:rFonts w:ascii="宋体" w:eastAsia="宋体" w:hAnsi="宋体" w:cs="宋体" w:hint="default"/>
        <w:w w:val="100"/>
        <w:sz w:val="22"/>
        <w:szCs w:val="22"/>
      </w:rPr>
    </w:lvl>
    <w:lvl w:ilvl="3">
      <w:numFmt w:val="bullet"/>
      <w:lvlText w:val="•"/>
      <w:lvlJc w:val="left"/>
      <w:pPr>
        <w:ind w:left="3259" w:hanging="601"/>
      </w:pPr>
      <w:rPr>
        <w:rFonts w:hint="default"/>
      </w:rPr>
    </w:lvl>
    <w:lvl w:ilvl="4">
      <w:numFmt w:val="bullet"/>
      <w:lvlText w:val="•"/>
      <w:lvlJc w:val="left"/>
      <w:pPr>
        <w:ind w:left="4208" w:hanging="601"/>
      </w:pPr>
      <w:rPr>
        <w:rFonts w:hint="default"/>
      </w:rPr>
    </w:lvl>
    <w:lvl w:ilvl="5">
      <w:numFmt w:val="bullet"/>
      <w:lvlText w:val="•"/>
      <w:lvlJc w:val="left"/>
      <w:pPr>
        <w:ind w:left="5158" w:hanging="601"/>
      </w:pPr>
      <w:rPr>
        <w:rFonts w:hint="default"/>
      </w:rPr>
    </w:lvl>
    <w:lvl w:ilvl="6">
      <w:numFmt w:val="bullet"/>
      <w:lvlText w:val="•"/>
      <w:lvlJc w:val="left"/>
      <w:pPr>
        <w:ind w:left="6107" w:hanging="601"/>
      </w:pPr>
      <w:rPr>
        <w:rFonts w:hint="default"/>
      </w:rPr>
    </w:lvl>
    <w:lvl w:ilvl="7">
      <w:numFmt w:val="bullet"/>
      <w:lvlText w:val="•"/>
      <w:lvlJc w:val="left"/>
      <w:pPr>
        <w:ind w:left="7057" w:hanging="601"/>
      </w:pPr>
      <w:rPr>
        <w:rFonts w:hint="default"/>
      </w:rPr>
    </w:lvl>
    <w:lvl w:ilvl="8">
      <w:numFmt w:val="bullet"/>
      <w:lvlText w:val="•"/>
      <w:lvlJc w:val="left"/>
      <w:pPr>
        <w:ind w:left="8006" w:hanging="601"/>
      </w:pPr>
      <w:rPr>
        <w:rFonts w:hint="default"/>
      </w:rPr>
    </w:lvl>
  </w:abstractNum>
  <w:abstractNum w:abstractNumId="55">
    <w:nsid w:val="77ECEA79"/>
    <w:multiLevelType w:val="multilevel"/>
    <w:tmpl w:val="77ECEA79"/>
    <w:lvl w:ilvl="0">
      <w:start w:val="7"/>
      <w:numFmt w:val="decimal"/>
      <w:lvlText w:val="%1"/>
      <w:lvlJc w:val="left"/>
      <w:pPr>
        <w:ind w:left="786" w:hanging="449"/>
      </w:pPr>
      <w:rPr>
        <w:rFonts w:cs="Times New Roman" w:hint="default"/>
      </w:rPr>
    </w:lvl>
    <w:lvl w:ilvl="1">
      <w:start w:val="1"/>
      <w:numFmt w:val="decimal"/>
      <w:lvlText w:val="%1.%2"/>
      <w:lvlJc w:val="left"/>
      <w:pPr>
        <w:ind w:left="786" w:hanging="449"/>
      </w:pPr>
      <w:rPr>
        <w:rFonts w:ascii="Times New Roman" w:eastAsia="Times New Roman" w:hAnsi="Times New Roman" w:cs="Times New Roman" w:hint="default"/>
        <w:b/>
        <w:bCs/>
        <w:spacing w:val="-1"/>
        <w:w w:val="100"/>
        <w:sz w:val="30"/>
        <w:szCs w:val="30"/>
      </w:rPr>
    </w:lvl>
    <w:lvl w:ilvl="2">
      <w:start w:val="1"/>
      <w:numFmt w:val="decimal"/>
      <w:lvlText w:val="（%3）"/>
      <w:lvlJc w:val="left"/>
      <w:pPr>
        <w:ind w:left="337" w:hanging="601"/>
      </w:pPr>
      <w:rPr>
        <w:rFonts w:ascii="宋体" w:eastAsia="宋体" w:hAnsi="宋体" w:cs="宋体" w:hint="default"/>
        <w:spacing w:val="-17"/>
        <w:w w:val="100"/>
        <w:sz w:val="22"/>
        <w:szCs w:val="22"/>
      </w:rPr>
    </w:lvl>
    <w:lvl w:ilvl="3">
      <w:numFmt w:val="bullet"/>
      <w:lvlText w:val="•"/>
      <w:lvlJc w:val="left"/>
      <w:pPr>
        <w:ind w:left="2313" w:hanging="601"/>
      </w:pPr>
      <w:rPr>
        <w:rFonts w:hint="default"/>
      </w:rPr>
    </w:lvl>
    <w:lvl w:ilvl="4">
      <w:numFmt w:val="bullet"/>
      <w:lvlText w:val="•"/>
      <w:lvlJc w:val="left"/>
      <w:pPr>
        <w:ind w:left="3266" w:hanging="601"/>
      </w:pPr>
      <w:rPr>
        <w:rFonts w:hint="default"/>
      </w:rPr>
    </w:lvl>
    <w:lvl w:ilvl="5">
      <w:numFmt w:val="bullet"/>
      <w:lvlText w:val="•"/>
      <w:lvlJc w:val="left"/>
      <w:pPr>
        <w:ind w:left="4219" w:hanging="601"/>
      </w:pPr>
      <w:rPr>
        <w:rFonts w:hint="default"/>
      </w:rPr>
    </w:lvl>
    <w:lvl w:ilvl="6">
      <w:numFmt w:val="bullet"/>
      <w:lvlText w:val="•"/>
      <w:lvlJc w:val="left"/>
      <w:pPr>
        <w:ind w:left="5173" w:hanging="601"/>
      </w:pPr>
      <w:rPr>
        <w:rFonts w:hint="default"/>
      </w:rPr>
    </w:lvl>
    <w:lvl w:ilvl="7">
      <w:numFmt w:val="bullet"/>
      <w:lvlText w:val="•"/>
      <w:lvlJc w:val="left"/>
      <w:pPr>
        <w:ind w:left="6126" w:hanging="601"/>
      </w:pPr>
      <w:rPr>
        <w:rFonts w:hint="default"/>
      </w:rPr>
    </w:lvl>
    <w:lvl w:ilvl="8">
      <w:numFmt w:val="bullet"/>
      <w:lvlText w:val="•"/>
      <w:lvlJc w:val="left"/>
      <w:pPr>
        <w:ind w:left="7079" w:hanging="601"/>
      </w:pPr>
      <w:rPr>
        <w:rFonts w:hint="default"/>
      </w:rPr>
    </w:lvl>
  </w:abstractNum>
  <w:abstractNum w:abstractNumId="56">
    <w:nsid w:val="7C246926"/>
    <w:multiLevelType w:val="multilevel"/>
    <w:tmpl w:val="7C246926"/>
    <w:lvl w:ilvl="0">
      <w:start w:val="6"/>
      <w:numFmt w:val="decimal"/>
      <w:lvlText w:val="%1"/>
      <w:lvlJc w:val="left"/>
      <w:pPr>
        <w:ind w:left="786" w:hanging="449"/>
      </w:pPr>
      <w:rPr>
        <w:rFonts w:cs="Times New Roman" w:hint="default"/>
      </w:rPr>
    </w:lvl>
    <w:lvl w:ilvl="1">
      <w:start w:val="3"/>
      <w:numFmt w:val="decimal"/>
      <w:lvlText w:val="%1.%2"/>
      <w:lvlJc w:val="left"/>
      <w:pPr>
        <w:ind w:left="786" w:hanging="449"/>
      </w:pPr>
      <w:rPr>
        <w:rFonts w:ascii="Times New Roman" w:eastAsia="Times New Roman" w:hAnsi="Times New Roman" w:cs="Times New Roman" w:hint="default"/>
        <w:b/>
        <w:bCs/>
        <w:spacing w:val="-1"/>
        <w:w w:val="100"/>
        <w:sz w:val="30"/>
        <w:szCs w:val="30"/>
      </w:rPr>
    </w:lvl>
    <w:lvl w:ilvl="2">
      <w:start w:val="1"/>
      <w:numFmt w:val="decimal"/>
      <w:lvlText w:val="（%3）"/>
      <w:lvlJc w:val="left"/>
      <w:pPr>
        <w:ind w:left="1418" w:hanging="601"/>
      </w:pPr>
      <w:rPr>
        <w:rFonts w:ascii="宋体" w:eastAsia="宋体" w:hAnsi="宋体" w:cs="宋体" w:hint="default"/>
        <w:w w:val="100"/>
        <w:sz w:val="22"/>
        <w:szCs w:val="22"/>
      </w:rPr>
    </w:lvl>
    <w:lvl w:ilvl="3">
      <w:numFmt w:val="bullet"/>
      <w:lvlText w:val="•"/>
      <w:lvlJc w:val="left"/>
      <w:pPr>
        <w:ind w:left="2365" w:hanging="601"/>
      </w:pPr>
      <w:rPr>
        <w:rFonts w:hint="default"/>
      </w:rPr>
    </w:lvl>
    <w:lvl w:ilvl="4">
      <w:numFmt w:val="bullet"/>
      <w:lvlText w:val="•"/>
      <w:lvlJc w:val="left"/>
      <w:pPr>
        <w:ind w:left="3311" w:hanging="601"/>
      </w:pPr>
      <w:rPr>
        <w:rFonts w:hint="default"/>
      </w:rPr>
    </w:lvl>
    <w:lvl w:ilvl="5">
      <w:numFmt w:val="bullet"/>
      <w:lvlText w:val="•"/>
      <w:lvlJc w:val="left"/>
      <w:pPr>
        <w:ind w:left="4257" w:hanging="601"/>
      </w:pPr>
      <w:rPr>
        <w:rFonts w:hint="default"/>
      </w:rPr>
    </w:lvl>
    <w:lvl w:ilvl="6">
      <w:numFmt w:val="bullet"/>
      <w:lvlText w:val="•"/>
      <w:lvlJc w:val="left"/>
      <w:pPr>
        <w:ind w:left="5203" w:hanging="601"/>
      </w:pPr>
      <w:rPr>
        <w:rFonts w:hint="default"/>
      </w:rPr>
    </w:lvl>
    <w:lvl w:ilvl="7">
      <w:numFmt w:val="bullet"/>
      <w:lvlText w:val="•"/>
      <w:lvlJc w:val="left"/>
      <w:pPr>
        <w:ind w:left="6148" w:hanging="601"/>
      </w:pPr>
      <w:rPr>
        <w:rFonts w:hint="default"/>
      </w:rPr>
    </w:lvl>
    <w:lvl w:ilvl="8">
      <w:numFmt w:val="bullet"/>
      <w:lvlText w:val="•"/>
      <w:lvlJc w:val="left"/>
      <w:pPr>
        <w:ind w:left="7094" w:hanging="601"/>
      </w:pPr>
      <w:rPr>
        <w:rFonts w:hint="default"/>
      </w:rPr>
    </w:lvl>
  </w:abstractNum>
  <w:abstractNum w:abstractNumId="57">
    <w:nsid w:val="7ED3A6B8"/>
    <w:multiLevelType w:val="singleLevel"/>
    <w:tmpl w:val="7ED3A6B8"/>
    <w:lvl w:ilvl="0">
      <w:start w:val="4"/>
      <w:numFmt w:val="decimal"/>
      <w:suff w:val="space"/>
      <w:lvlText w:val="(%1)"/>
      <w:lvlJc w:val="left"/>
      <w:rPr>
        <w:rFonts w:cs="Times New Roman"/>
      </w:rPr>
    </w:lvl>
  </w:abstractNum>
  <w:num w:numId="1">
    <w:abstractNumId w:val="29"/>
  </w:num>
  <w:num w:numId="2">
    <w:abstractNumId w:val="19"/>
  </w:num>
  <w:num w:numId="3">
    <w:abstractNumId w:val="47"/>
  </w:num>
  <w:num w:numId="4">
    <w:abstractNumId w:val="14"/>
  </w:num>
  <w:num w:numId="5">
    <w:abstractNumId w:val="10"/>
  </w:num>
  <w:num w:numId="6">
    <w:abstractNumId w:val="32"/>
  </w:num>
  <w:num w:numId="7">
    <w:abstractNumId w:val="40"/>
  </w:num>
  <w:num w:numId="8">
    <w:abstractNumId w:val="53"/>
  </w:num>
  <w:num w:numId="9">
    <w:abstractNumId w:val="31"/>
  </w:num>
  <w:num w:numId="10">
    <w:abstractNumId w:val="3"/>
  </w:num>
  <w:num w:numId="11">
    <w:abstractNumId w:val="57"/>
  </w:num>
  <w:num w:numId="12">
    <w:abstractNumId w:val="41"/>
  </w:num>
  <w:num w:numId="13">
    <w:abstractNumId w:val="48"/>
  </w:num>
  <w:num w:numId="14">
    <w:abstractNumId w:val="27"/>
  </w:num>
  <w:num w:numId="15">
    <w:abstractNumId w:val="17"/>
  </w:num>
  <w:num w:numId="16">
    <w:abstractNumId w:val="39"/>
  </w:num>
  <w:num w:numId="17">
    <w:abstractNumId w:val="22"/>
  </w:num>
  <w:num w:numId="18">
    <w:abstractNumId w:val="20"/>
  </w:num>
  <w:num w:numId="19">
    <w:abstractNumId w:val="5"/>
  </w:num>
  <w:num w:numId="20">
    <w:abstractNumId w:val="46"/>
  </w:num>
  <w:num w:numId="21">
    <w:abstractNumId w:val="50"/>
  </w:num>
  <w:num w:numId="22">
    <w:abstractNumId w:val="34"/>
  </w:num>
  <w:num w:numId="23">
    <w:abstractNumId w:val="44"/>
  </w:num>
  <w:num w:numId="24">
    <w:abstractNumId w:val="9"/>
  </w:num>
  <w:num w:numId="25">
    <w:abstractNumId w:val="56"/>
  </w:num>
  <w:num w:numId="26">
    <w:abstractNumId w:val="55"/>
  </w:num>
  <w:num w:numId="27">
    <w:abstractNumId w:val="13"/>
  </w:num>
  <w:num w:numId="28">
    <w:abstractNumId w:val="42"/>
  </w:num>
  <w:num w:numId="29">
    <w:abstractNumId w:val="38"/>
  </w:num>
  <w:num w:numId="30">
    <w:abstractNumId w:val="23"/>
  </w:num>
  <w:num w:numId="31">
    <w:abstractNumId w:val="1"/>
  </w:num>
  <w:num w:numId="32">
    <w:abstractNumId w:val="37"/>
  </w:num>
  <w:num w:numId="33">
    <w:abstractNumId w:val="33"/>
  </w:num>
  <w:num w:numId="34">
    <w:abstractNumId w:val="25"/>
  </w:num>
  <w:num w:numId="35">
    <w:abstractNumId w:val="43"/>
  </w:num>
  <w:num w:numId="36">
    <w:abstractNumId w:val="35"/>
  </w:num>
  <w:num w:numId="37">
    <w:abstractNumId w:val="16"/>
  </w:num>
  <w:num w:numId="38">
    <w:abstractNumId w:val="7"/>
  </w:num>
  <w:num w:numId="39">
    <w:abstractNumId w:val="54"/>
  </w:num>
  <w:num w:numId="40">
    <w:abstractNumId w:val="21"/>
  </w:num>
  <w:num w:numId="41">
    <w:abstractNumId w:val="24"/>
  </w:num>
  <w:num w:numId="42">
    <w:abstractNumId w:val="12"/>
  </w:num>
  <w:num w:numId="43">
    <w:abstractNumId w:val="36"/>
  </w:num>
  <w:num w:numId="44">
    <w:abstractNumId w:val="52"/>
  </w:num>
  <w:num w:numId="45">
    <w:abstractNumId w:val="11"/>
  </w:num>
  <w:num w:numId="46">
    <w:abstractNumId w:val="28"/>
  </w:num>
  <w:num w:numId="47">
    <w:abstractNumId w:val="4"/>
  </w:num>
  <w:num w:numId="48">
    <w:abstractNumId w:val="45"/>
  </w:num>
  <w:num w:numId="49">
    <w:abstractNumId w:val="8"/>
  </w:num>
  <w:num w:numId="50">
    <w:abstractNumId w:val="51"/>
  </w:num>
  <w:num w:numId="51">
    <w:abstractNumId w:val="0"/>
  </w:num>
  <w:num w:numId="52">
    <w:abstractNumId w:val="2"/>
  </w:num>
  <w:num w:numId="53">
    <w:abstractNumId w:val="30"/>
  </w:num>
  <w:num w:numId="54">
    <w:abstractNumId w:val="6"/>
  </w:num>
  <w:num w:numId="55">
    <w:abstractNumId w:val="15"/>
  </w:num>
  <w:num w:numId="56">
    <w:abstractNumId w:val="18"/>
  </w:num>
  <w:num w:numId="57">
    <w:abstractNumId w:val="26"/>
  </w:num>
  <w:num w:numId="58">
    <w:abstractNumId w:val="49"/>
  </w:num>
  <w:numIdMacAtCleanup w:val="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drawingGridHorizontalSpacing w:val="110"/>
  <w:noPunctuationKerning/>
  <w:characterSpacingControl w:val="doNotCompress"/>
  <w:noLineBreaksAfter w:lang="zh-CN" w:val="$([{£¥·‘“〈《「『【〔〖〝﹙﹛﹝＄（．［｛￡￥"/>
  <w:noLineBreaksBefore w:lang="zh-CN" w:val="!%),.:;&gt;?]}¢¨°·ˇˉ―‖’”…‰′″›℃∶、。〃〉》」』】〕〗〞︶︺︾﹀﹄﹚﹜﹞！＂％＇），．：；？］｀｜｝～￠"/>
  <w:hdrShapeDefaults>
    <o:shapedefaults v:ext="edit" spidmax="2091"/>
    <o:shapelayout v:ext="edit">
      <o:idmap v:ext="edit" data="2"/>
    </o:shapelayout>
  </w:hdrShapeDefaults>
  <w:footnotePr>
    <w:footnote w:id="-1"/>
    <w:footnote w:id="0"/>
  </w:footnotePr>
  <w:endnotePr>
    <w:endnote w:id="-1"/>
    <w:endnote w:id="0"/>
  </w:endnotePr>
  <w:compat>
    <w:ulTrailSpace/>
    <w:doNotExpandShiftReturn/>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C50A6"/>
    <w:rsid w:val="00064AF4"/>
    <w:rsid w:val="000C330E"/>
    <w:rsid w:val="002D1F72"/>
    <w:rsid w:val="003446E2"/>
    <w:rsid w:val="0045224D"/>
    <w:rsid w:val="00456902"/>
    <w:rsid w:val="004C50A6"/>
    <w:rsid w:val="00A522CB"/>
    <w:rsid w:val="00B04AE3"/>
    <w:rsid w:val="00B83FEB"/>
    <w:rsid w:val="00D750AA"/>
    <w:rsid w:val="00E05B4E"/>
    <w:rsid w:val="00E43F4D"/>
    <w:rsid w:val="03B141A6"/>
    <w:rsid w:val="06614411"/>
    <w:rsid w:val="121478CD"/>
    <w:rsid w:val="12FE4469"/>
    <w:rsid w:val="1A38590D"/>
    <w:rsid w:val="1BAB66A7"/>
    <w:rsid w:val="1E902AC3"/>
    <w:rsid w:val="1F2F417D"/>
    <w:rsid w:val="219973B3"/>
    <w:rsid w:val="22023BB6"/>
    <w:rsid w:val="263B60F9"/>
    <w:rsid w:val="27CE53E9"/>
    <w:rsid w:val="2B933141"/>
    <w:rsid w:val="2EB65811"/>
    <w:rsid w:val="2F012E11"/>
    <w:rsid w:val="30673288"/>
    <w:rsid w:val="30DD40CB"/>
    <w:rsid w:val="3177451C"/>
    <w:rsid w:val="321F49CB"/>
    <w:rsid w:val="35C60A77"/>
    <w:rsid w:val="387915E9"/>
    <w:rsid w:val="3BBC1296"/>
    <w:rsid w:val="3E5011BF"/>
    <w:rsid w:val="428F2104"/>
    <w:rsid w:val="45CE7A64"/>
    <w:rsid w:val="4B12517D"/>
    <w:rsid w:val="4CF42138"/>
    <w:rsid w:val="52A55FC1"/>
    <w:rsid w:val="533F19A5"/>
    <w:rsid w:val="543F3E86"/>
    <w:rsid w:val="54AF0285"/>
    <w:rsid w:val="570B1FC4"/>
    <w:rsid w:val="58386946"/>
    <w:rsid w:val="5B4D3E5D"/>
    <w:rsid w:val="6077308C"/>
    <w:rsid w:val="674C78E7"/>
    <w:rsid w:val="68474FEE"/>
    <w:rsid w:val="68686932"/>
    <w:rsid w:val="6DE02F81"/>
    <w:rsid w:val="6E617306"/>
    <w:rsid w:val="6F5648B0"/>
    <w:rsid w:val="6FB24FEC"/>
    <w:rsid w:val="705D1BF1"/>
    <w:rsid w:val="71057AE3"/>
    <w:rsid w:val="715121F9"/>
    <w:rsid w:val="72866386"/>
    <w:rsid w:val="74960961"/>
    <w:rsid w:val="76725573"/>
    <w:rsid w:val="76C02E4E"/>
    <w:rsid w:val="7CB2545B"/>
    <w:rsid w:val="7E006DB8"/>
    <w:rsid w:val="7ECA7466"/>
    <w:rsid w:val="7FF84B15"/>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hapeDefaults>
    <o:shapedefaults v:ext="edit" spidmax="209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locked="1" w:uiPriority="0"/>
    <w:lsdException w:name="HTML Bottom of Form" w:locked="1" w:uiPriority="0"/>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uiPriority="0"/>
    <w:lsdException w:name="annotation subject" w:semiHidden="1" w:unhideWhenUsed="1"/>
    <w:lsdException w:name="No List" w:locked="1" w:uiPriority="0"/>
    <w:lsdException w:name="Outline List 1" w:locked="1" w:uiPriority="0"/>
    <w:lsdException w:name="Outline List 2" w:locked="1" w:uiPriority="0"/>
    <w:lsdException w:name="Outline List 3" w:locked="1" w:uiPriority="0"/>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next w:val="Default"/>
    <w:qFormat/>
    <w:rsid w:val="004C50A6"/>
    <w:pPr>
      <w:widowControl w:val="0"/>
      <w:autoSpaceDE w:val="0"/>
      <w:autoSpaceDN w:val="0"/>
    </w:pPr>
    <w:rPr>
      <w:rFonts w:ascii="宋体" w:hAnsi="宋体" w:cs="宋体"/>
      <w:kern w:val="0"/>
      <w:sz w:val="22"/>
      <w:lang w:val="zh-CN"/>
    </w:rPr>
  </w:style>
  <w:style w:type="paragraph" w:styleId="Heading1">
    <w:name w:val="heading 1"/>
    <w:basedOn w:val="Normal"/>
    <w:next w:val="Normal"/>
    <w:link w:val="Heading1Char"/>
    <w:uiPriority w:val="99"/>
    <w:qFormat/>
    <w:rsid w:val="004C50A6"/>
    <w:pPr>
      <w:spacing w:before="68"/>
      <w:ind w:left="1236"/>
      <w:outlineLvl w:val="0"/>
    </w:pPr>
    <w:rPr>
      <w:b/>
      <w:bCs/>
      <w:sz w:val="44"/>
      <w:szCs w:val="44"/>
    </w:rPr>
  </w:style>
  <w:style w:type="paragraph" w:styleId="Heading2">
    <w:name w:val="heading 2"/>
    <w:basedOn w:val="Normal"/>
    <w:next w:val="Normal"/>
    <w:link w:val="Heading2Char"/>
    <w:uiPriority w:val="99"/>
    <w:qFormat/>
    <w:rsid w:val="004C50A6"/>
    <w:pPr>
      <w:ind w:left="1359" w:hanging="559"/>
      <w:outlineLvl w:val="1"/>
    </w:pPr>
    <w:rPr>
      <w:b/>
      <w:bCs/>
      <w:sz w:val="32"/>
      <w:szCs w:val="32"/>
    </w:rPr>
  </w:style>
  <w:style w:type="paragraph" w:styleId="Heading3">
    <w:name w:val="heading 3"/>
    <w:basedOn w:val="Normal"/>
    <w:next w:val="Normal"/>
    <w:link w:val="Heading3Char"/>
    <w:uiPriority w:val="99"/>
    <w:qFormat/>
    <w:rsid w:val="004C50A6"/>
    <w:pPr>
      <w:ind w:left="817"/>
      <w:outlineLvl w:val="2"/>
    </w:pPr>
    <w:rPr>
      <w:b/>
      <w:bCs/>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宋体" w:eastAsia="宋体" w:cs="宋体"/>
      <w:b/>
      <w:bCs/>
      <w:kern w:val="44"/>
      <w:sz w:val="44"/>
      <w:szCs w:val="44"/>
      <w:lang w:val="zh-CN"/>
    </w:rPr>
  </w:style>
  <w:style w:type="character" w:customStyle="1" w:styleId="Heading2Char">
    <w:name w:val="Heading 2 Char"/>
    <w:basedOn w:val="DefaultParagraphFont"/>
    <w:link w:val="Heading2"/>
    <w:uiPriority w:val="99"/>
    <w:semiHidden/>
    <w:locked/>
    <w:rPr>
      <w:rFonts w:ascii="Cambria" w:eastAsia="宋体" w:hAnsi="Cambria" w:cs="Times New Roman"/>
      <w:b/>
      <w:bCs/>
      <w:kern w:val="0"/>
      <w:sz w:val="32"/>
      <w:szCs w:val="32"/>
      <w:lang w:val="zh-CN"/>
    </w:rPr>
  </w:style>
  <w:style w:type="character" w:customStyle="1" w:styleId="Heading3Char">
    <w:name w:val="Heading 3 Char"/>
    <w:basedOn w:val="DefaultParagraphFont"/>
    <w:link w:val="Heading3"/>
    <w:uiPriority w:val="99"/>
    <w:semiHidden/>
    <w:locked/>
    <w:rPr>
      <w:rFonts w:ascii="宋体" w:eastAsia="宋体" w:cs="宋体"/>
      <w:b/>
      <w:bCs/>
      <w:kern w:val="0"/>
      <w:sz w:val="32"/>
      <w:szCs w:val="32"/>
      <w:lang w:val="zh-CN"/>
    </w:rPr>
  </w:style>
  <w:style w:type="paragraph" w:customStyle="1" w:styleId="Default">
    <w:name w:val="Default"/>
    <w:uiPriority w:val="99"/>
    <w:rsid w:val="004C50A6"/>
    <w:pPr>
      <w:widowControl w:val="0"/>
      <w:autoSpaceDE w:val="0"/>
      <w:autoSpaceDN w:val="0"/>
      <w:adjustRightInd w:val="0"/>
    </w:pPr>
    <w:rPr>
      <w:rFonts w:ascii="宋体" w:cs="宋体"/>
      <w:color w:val="000000"/>
      <w:kern w:val="0"/>
      <w:sz w:val="24"/>
      <w:szCs w:val="24"/>
    </w:rPr>
  </w:style>
  <w:style w:type="paragraph" w:styleId="BodyText">
    <w:name w:val="Body Text"/>
    <w:basedOn w:val="Normal"/>
    <w:link w:val="BodyTextChar"/>
    <w:uiPriority w:val="99"/>
    <w:rsid w:val="004C50A6"/>
    <w:rPr>
      <w:sz w:val="24"/>
      <w:szCs w:val="24"/>
    </w:rPr>
  </w:style>
  <w:style w:type="character" w:customStyle="1" w:styleId="BodyTextChar">
    <w:name w:val="Body Text Char"/>
    <w:basedOn w:val="DefaultParagraphFont"/>
    <w:link w:val="BodyText"/>
    <w:uiPriority w:val="99"/>
    <w:semiHidden/>
    <w:locked/>
    <w:rPr>
      <w:rFonts w:ascii="宋体" w:eastAsia="宋体" w:cs="宋体"/>
      <w:kern w:val="0"/>
      <w:sz w:val="22"/>
      <w:lang w:val="zh-CN"/>
    </w:rPr>
  </w:style>
  <w:style w:type="paragraph" w:styleId="TOC3">
    <w:name w:val="toc 3"/>
    <w:basedOn w:val="Normal"/>
    <w:next w:val="Normal"/>
    <w:uiPriority w:val="99"/>
    <w:rsid w:val="004C50A6"/>
    <w:pPr>
      <w:spacing w:before="161"/>
      <w:ind w:left="2240" w:hanging="600"/>
    </w:pPr>
    <w:rPr>
      <w:sz w:val="24"/>
      <w:szCs w:val="24"/>
    </w:rPr>
  </w:style>
  <w:style w:type="paragraph" w:styleId="Header">
    <w:name w:val="header"/>
    <w:basedOn w:val="Normal"/>
    <w:link w:val="HeaderChar"/>
    <w:uiPriority w:val="99"/>
    <w:rsid w:val="004C50A6"/>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character" w:customStyle="1" w:styleId="HeaderChar">
    <w:name w:val="Header Char"/>
    <w:basedOn w:val="DefaultParagraphFont"/>
    <w:link w:val="Header"/>
    <w:uiPriority w:val="99"/>
    <w:semiHidden/>
    <w:locked/>
    <w:rPr>
      <w:rFonts w:ascii="宋体" w:eastAsia="宋体" w:cs="宋体"/>
      <w:kern w:val="0"/>
      <w:sz w:val="18"/>
      <w:szCs w:val="18"/>
      <w:lang w:val="zh-CN"/>
    </w:rPr>
  </w:style>
  <w:style w:type="paragraph" w:styleId="TOC1">
    <w:name w:val="toc 1"/>
    <w:basedOn w:val="Normal"/>
    <w:next w:val="Normal"/>
    <w:uiPriority w:val="99"/>
    <w:rsid w:val="004C50A6"/>
    <w:pPr>
      <w:spacing w:before="161"/>
      <w:ind w:left="1040" w:hanging="240"/>
    </w:pPr>
    <w:rPr>
      <w:sz w:val="24"/>
      <w:szCs w:val="24"/>
    </w:rPr>
  </w:style>
  <w:style w:type="paragraph" w:styleId="TOC2">
    <w:name w:val="toc 2"/>
    <w:basedOn w:val="Normal"/>
    <w:next w:val="Normal"/>
    <w:uiPriority w:val="99"/>
    <w:rsid w:val="004C50A6"/>
    <w:pPr>
      <w:spacing w:before="160"/>
      <w:ind w:left="1640" w:hanging="420"/>
    </w:pPr>
    <w:rPr>
      <w:sz w:val="24"/>
      <w:szCs w:val="24"/>
    </w:rPr>
  </w:style>
  <w:style w:type="paragraph" w:styleId="NormalWeb">
    <w:name w:val="Normal (Web)"/>
    <w:basedOn w:val="Normal"/>
    <w:uiPriority w:val="99"/>
    <w:rsid w:val="004C50A6"/>
    <w:pPr>
      <w:spacing w:beforeAutospacing="1" w:afterAutospacing="1"/>
    </w:pPr>
    <w:rPr>
      <w:rFonts w:cs="Times New Roman"/>
      <w:sz w:val="24"/>
      <w:lang w:val="en-US"/>
    </w:rPr>
  </w:style>
  <w:style w:type="character" w:styleId="Hyperlink">
    <w:name w:val="Hyperlink"/>
    <w:basedOn w:val="DefaultParagraphFont"/>
    <w:uiPriority w:val="99"/>
    <w:rsid w:val="004C50A6"/>
    <w:rPr>
      <w:rFonts w:cs="Times New Roman"/>
      <w:color w:val="0000FF"/>
      <w:u w:val="single"/>
    </w:rPr>
  </w:style>
  <w:style w:type="table" w:styleId="TableGrid">
    <w:name w:val="Table Grid"/>
    <w:basedOn w:val="TableNormal"/>
    <w:uiPriority w:val="99"/>
    <w:rsid w:val="004C50A6"/>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99"/>
    <w:semiHidden/>
    <w:rsid w:val="004C50A6"/>
    <w:rPr>
      <w:kern w:val="0"/>
      <w:sz w:val="20"/>
      <w:szCs w:val="20"/>
    </w:rPr>
    <w:tblPr>
      <w:tblCellMar>
        <w:top w:w="0" w:type="dxa"/>
        <w:left w:w="0" w:type="dxa"/>
        <w:bottom w:w="0" w:type="dxa"/>
        <w:right w:w="0" w:type="dxa"/>
      </w:tblCellMar>
    </w:tblPr>
  </w:style>
  <w:style w:type="paragraph" w:styleId="ListParagraph">
    <w:name w:val="List Paragraph"/>
    <w:basedOn w:val="Normal"/>
    <w:uiPriority w:val="99"/>
    <w:qFormat/>
    <w:rsid w:val="004C50A6"/>
    <w:pPr>
      <w:ind w:left="337" w:hanging="601"/>
    </w:pPr>
  </w:style>
  <w:style w:type="paragraph" w:customStyle="1" w:styleId="TableParagraph">
    <w:name w:val="Table Paragraph"/>
    <w:basedOn w:val="Normal"/>
    <w:uiPriority w:val="99"/>
    <w:rsid w:val="004C50A6"/>
    <w:pPr>
      <w:jc w:val="center"/>
    </w:pPr>
  </w:style>
  <w:style w:type="paragraph" w:customStyle="1" w:styleId="a">
    <w:name w:val="表格中文字"/>
    <w:basedOn w:val="Normal"/>
    <w:uiPriority w:val="99"/>
    <w:rsid w:val="004C50A6"/>
    <w:pPr>
      <w:adjustRightInd w:val="0"/>
      <w:snapToGrid w:val="0"/>
      <w:jc w:val="center"/>
    </w:pPr>
    <w:rPr>
      <w:kern w:val="18"/>
      <w:sz w:val="20"/>
      <w:szCs w:val="21"/>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21" Type="http://schemas.openxmlformats.org/officeDocument/2006/relationships/hyperlink" Target="https://baike.so.com/doc/4163405-4363545.html" TargetMode="External"/><Relationship Id="rId34" Type="http://schemas.openxmlformats.org/officeDocument/2006/relationships/image" Target="media/image7.png"/><Relationship Id="rId42" Type="http://schemas.openxmlformats.org/officeDocument/2006/relationships/image" Target="media/image13.png"/><Relationship Id="rId47" Type="http://schemas.openxmlformats.org/officeDocument/2006/relationships/image" Target="media/image15.jpeg"/><Relationship Id="rId50" Type="http://schemas.openxmlformats.org/officeDocument/2006/relationships/footer" Target="footer17.xml"/><Relationship Id="rId55" Type="http://schemas.openxmlformats.org/officeDocument/2006/relationships/image" Target="media/image22.jpeg"/><Relationship Id="rId63" Type="http://schemas.openxmlformats.org/officeDocument/2006/relationships/footer" Target="footer20.xml"/><Relationship Id="rId68" Type="http://schemas.openxmlformats.org/officeDocument/2006/relationships/footer" Target="footer22.xml"/><Relationship Id="rId76" Type="http://schemas.openxmlformats.org/officeDocument/2006/relationships/image" Target="media/image32.png"/><Relationship Id="rId84" Type="http://schemas.openxmlformats.org/officeDocument/2006/relationships/image" Target="media/image36.png"/><Relationship Id="rId89" Type="http://schemas.openxmlformats.org/officeDocument/2006/relationships/footer" Target="footer29.xml"/><Relationship Id="rId97" Type="http://schemas.openxmlformats.org/officeDocument/2006/relationships/theme" Target="theme/theme1.xml"/><Relationship Id="rId7" Type="http://schemas.openxmlformats.org/officeDocument/2006/relationships/footer" Target="footer1.xml"/><Relationship Id="rId71" Type="http://schemas.openxmlformats.org/officeDocument/2006/relationships/image" Target="media/image27.png"/><Relationship Id="rId92" Type="http://schemas.openxmlformats.org/officeDocument/2006/relationships/header" Target="header14.xml"/><Relationship Id="rId2" Type="http://schemas.openxmlformats.org/officeDocument/2006/relationships/styles" Target="styles.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hyperlink" Target="http://baike.baidu.com/view/18841.htm" TargetMode="External"/><Relationship Id="rId24" Type="http://schemas.openxmlformats.org/officeDocument/2006/relationships/footer" Target="footer8.xml"/><Relationship Id="rId32" Type="http://schemas.openxmlformats.org/officeDocument/2006/relationships/footer" Target="footer13.xml"/><Relationship Id="rId37" Type="http://schemas.openxmlformats.org/officeDocument/2006/relationships/image" Target="media/image10.png"/><Relationship Id="rId40" Type="http://schemas.openxmlformats.org/officeDocument/2006/relationships/header" Target="header4.xml"/><Relationship Id="rId45" Type="http://schemas.openxmlformats.org/officeDocument/2006/relationships/header" Target="header5.xml"/><Relationship Id="rId53" Type="http://schemas.openxmlformats.org/officeDocument/2006/relationships/image" Target="media/image20.png"/><Relationship Id="rId58" Type="http://schemas.openxmlformats.org/officeDocument/2006/relationships/header" Target="header6.xml"/><Relationship Id="rId66" Type="http://schemas.openxmlformats.org/officeDocument/2006/relationships/footer" Target="footer21.xml"/><Relationship Id="rId74" Type="http://schemas.openxmlformats.org/officeDocument/2006/relationships/image" Target="media/image30.png"/><Relationship Id="rId79" Type="http://schemas.openxmlformats.org/officeDocument/2006/relationships/footer" Target="footer24.xml"/><Relationship Id="rId87" Type="http://schemas.openxmlformats.org/officeDocument/2006/relationships/footer" Target="footer28.xml"/><Relationship Id="rId5" Type="http://schemas.openxmlformats.org/officeDocument/2006/relationships/footnotes" Target="footnotes.xml"/><Relationship Id="rId61" Type="http://schemas.openxmlformats.org/officeDocument/2006/relationships/footer" Target="footer19.xml"/><Relationship Id="rId82" Type="http://schemas.openxmlformats.org/officeDocument/2006/relationships/header" Target="header10.xml"/><Relationship Id="rId90" Type="http://schemas.openxmlformats.org/officeDocument/2006/relationships/header" Target="header13.xml"/><Relationship Id="rId95" Type="http://schemas.openxmlformats.org/officeDocument/2006/relationships/footer" Target="footer32.xml"/><Relationship Id="rId19" Type="http://schemas.openxmlformats.org/officeDocument/2006/relationships/image" Target="media/image2.jpeg"/><Relationship Id="rId14" Type="http://schemas.openxmlformats.org/officeDocument/2006/relationships/footer" Target="footer5.xml"/><Relationship Id="rId22" Type="http://schemas.openxmlformats.org/officeDocument/2006/relationships/hyperlink" Target="https://baike.so.com/doc/5709801-5922522.html" TargetMode="External"/><Relationship Id="rId27" Type="http://schemas.openxmlformats.org/officeDocument/2006/relationships/footer" Target="footer10.xml"/><Relationship Id="rId30" Type="http://schemas.openxmlformats.org/officeDocument/2006/relationships/image" Target="media/image5.png"/><Relationship Id="rId35" Type="http://schemas.openxmlformats.org/officeDocument/2006/relationships/image" Target="media/image8.png"/><Relationship Id="rId43" Type="http://schemas.openxmlformats.org/officeDocument/2006/relationships/image" Target="media/image14.png"/><Relationship Id="rId48" Type="http://schemas.openxmlformats.org/officeDocument/2006/relationships/image" Target="media/image16.jpeg"/><Relationship Id="rId56" Type="http://schemas.openxmlformats.org/officeDocument/2006/relationships/image" Target="media/image23.jpeg"/><Relationship Id="rId64" Type="http://schemas.openxmlformats.org/officeDocument/2006/relationships/hyperlink" Target="https://baike.so.com/doc/717651-759720.html" TargetMode="External"/><Relationship Id="rId69" Type="http://schemas.openxmlformats.org/officeDocument/2006/relationships/footer" Target="footer23.xml"/><Relationship Id="rId77" Type="http://schemas.openxmlformats.org/officeDocument/2006/relationships/image" Target="media/image33.png"/><Relationship Id="rId8" Type="http://schemas.openxmlformats.org/officeDocument/2006/relationships/footer" Target="footer2.xml"/><Relationship Id="rId51" Type="http://schemas.openxmlformats.org/officeDocument/2006/relationships/image" Target="media/image18.png"/><Relationship Id="rId72" Type="http://schemas.openxmlformats.org/officeDocument/2006/relationships/image" Target="media/image28.png"/><Relationship Id="rId80" Type="http://schemas.openxmlformats.org/officeDocument/2006/relationships/footer" Target="footer25.xml"/><Relationship Id="rId85" Type="http://schemas.openxmlformats.org/officeDocument/2006/relationships/footer" Target="footer27.xml"/><Relationship Id="rId93" Type="http://schemas.openxmlformats.org/officeDocument/2006/relationships/footer" Target="footer31.xml"/><Relationship Id="rId3" Type="http://schemas.openxmlformats.org/officeDocument/2006/relationships/settings" Target="settings.xml"/><Relationship Id="rId12" Type="http://schemas.openxmlformats.org/officeDocument/2006/relationships/footer" Target="footer4.xml"/><Relationship Id="rId17" Type="http://schemas.openxmlformats.org/officeDocument/2006/relationships/footer" Target="footer6.xml"/><Relationship Id="rId25" Type="http://schemas.openxmlformats.org/officeDocument/2006/relationships/image" Target="media/image3.jpeg"/><Relationship Id="rId33" Type="http://schemas.openxmlformats.org/officeDocument/2006/relationships/image" Target="media/image6.jpeg"/><Relationship Id="rId38" Type="http://schemas.openxmlformats.org/officeDocument/2006/relationships/image" Target="media/image11.png"/><Relationship Id="rId46" Type="http://schemas.openxmlformats.org/officeDocument/2006/relationships/footer" Target="footer16.xml"/><Relationship Id="rId59" Type="http://schemas.openxmlformats.org/officeDocument/2006/relationships/footer" Target="footer18.xml"/><Relationship Id="rId67" Type="http://schemas.openxmlformats.org/officeDocument/2006/relationships/image" Target="media/image25.png"/><Relationship Id="rId20" Type="http://schemas.openxmlformats.org/officeDocument/2006/relationships/hyperlink" Target="https://baike.so.com/doc/804441-850993.html" TargetMode="External"/><Relationship Id="rId41" Type="http://schemas.openxmlformats.org/officeDocument/2006/relationships/footer" Target="footer14.xml"/><Relationship Id="rId54" Type="http://schemas.openxmlformats.org/officeDocument/2006/relationships/image" Target="media/image21.png"/><Relationship Id="rId62" Type="http://schemas.openxmlformats.org/officeDocument/2006/relationships/header" Target="header8.xml"/><Relationship Id="rId70" Type="http://schemas.openxmlformats.org/officeDocument/2006/relationships/image" Target="media/image26.png"/><Relationship Id="rId75" Type="http://schemas.openxmlformats.org/officeDocument/2006/relationships/image" Target="media/image31.png"/><Relationship Id="rId83" Type="http://schemas.openxmlformats.org/officeDocument/2006/relationships/footer" Target="footer26.xml"/><Relationship Id="rId88" Type="http://schemas.openxmlformats.org/officeDocument/2006/relationships/header" Target="header12.xml"/><Relationship Id="rId91" Type="http://schemas.openxmlformats.org/officeDocument/2006/relationships/footer" Target="footer30.xm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png"/><Relationship Id="rId23" Type="http://schemas.openxmlformats.org/officeDocument/2006/relationships/hyperlink" Target="https://baike.so.com/doc/717651-759720.html" TargetMode="External"/><Relationship Id="rId28" Type="http://schemas.openxmlformats.org/officeDocument/2006/relationships/image" Target="media/image4.jpeg"/><Relationship Id="rId36" Type="http://schemas.openxmlformats.org/officeDocument/2006/relationships/image" Target="media/image9.png"/><Relationship Id="rId49" Type="http://schemas.openxmlformats.org/officeDocument/2006/relationships/image" Target="media/image17.jpeg"/><Relationship Id="rId57" Type="http://schemas.openxmlformats.org/officeDocument/2006/relationships/image" Target="media/image24.jpeg"/><Relationship Id="rId10" Type="http://schemas.openxmlformats.org/officeDocument/2006/relationships/footer" Target="footer3.xml"/><Relationship Id="rId31" Type="http://schemas.openxmlformats.org/officeDocument/2006/relationships/footer" Target="footer12.xml"/><Relationship Id="rId44" Type="http://schemas.openxmlformats.org/officeDocument/2006/relationships/footer" Target="footer15.xml"/><Relationship Id="rId52" Type="http://schemas.openxmlformats.org/officeDocument/2006/relationships/image" Target="media/image19.png"/><Relationship Id="rId60" Type="http://schemas.openxmlformats.org/officeDocument/2006/relationships/header" Target="header7.xml"/><Relationship Id="rId65" Type="http://schemas.openxmlformats.org/officeDocument/2006/relationships/header" Target="header9.xml"/><Relationship Id="rId73" Type="http://schemas.openxmlformats.org/officeDocument/2006/relationships/image" Target="media/image29.png"/><Relationship Id="rId78" Type="http://schemas.openxmlformats.org/officeDocument/2006/relationships/image" Target="media/image34.png"/><Relationship Id="rId81" Type="http://schemas.openxmlformats.org/officeDocument/2006/relationships/image" Target="media/image35.png"/><Relationship Id="rId86" Type="http://schemas.openxmlformats.org/officeDocument/2006/relationships/header" Target="header11.xml"/><Relationship Id="rId94" Type="http://schemas.openxmlformats.org/officeDocument/2006/relationships/header" Target="header15.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footer" Target="footer7.xml"/><Relationship Id="rId3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32</TotalTime>
  <Pages>197</Pages>
  <Words>19355</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chenxl</cp:lastModifiedBy>
  <cp:revision>4</cp:revision>
  <dcterms:created xsi:type="dcterms:W3CDTF">2018-12-03T07:04:00Z</dcterms:created>
  <dcterms:modified xsi:type="dcterms:W3CDTF">2018-12-07T05:18:00Z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Acrobat Pro 11.0</vt:lpwstr>
  </property>
  <property fmtid="{D5CDD505-2E9C-101B-9397-08002B2CF9AE}" pid="3" name="KSOProductBuildVer">
    <vt:lpwstr>2052-11.1.0.7989</vt:lpwstr>
  </property>
</Properties>
</file>