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2620C">
      <w:pPr>
        <w:pStyle w:val="12"/>
        <w:spacing w:line="269" w:lineRule="auto"/>
        <w:rPr>
          <w:rFonts w:hint="default" w:ascii="Times New Roman" w:hAnsi="Times New Roman" w:eastAsia="宋体" w:cs="Times New Roman"/>
          <w:color w:val="auto"/>
        </w:rPr>
      </w:pPr>
    </w:p>
    <w:p w14:paraId="12AB0A04">
      <w:pPr>
        <w:pStyle w:val="12"/>
        <w:spacing w:line="269" w:lineRule="auto"/>
        <w:rPr>
          <w:rFonts w:hint="default" w:ascii="Times New Roman" w:hAnsi="Times New Roman" w:eastAsia="宋体" w:cs="Times New Roman"/>
          <w:color w:val="auto"/>
        </w:rPr>
      </w:pPr>
    </w:p>
    <w:p w14:paraId="524E2A55">
      <w:pPr>
        <w:pStyle w:val="12"/>
        <w:spacing w:line="269" w:lineRule="auto"/>
        <w:rPr>
          <w:rFonts w:hint="default" w:ascii="Times New Roman" w:hAnsi="Times New Roman" w:eastAsia="宋体" w:cs="Times New Roman"/>
          <w:color w:val="auto"/>
        </w:rPr>
      </w:pPr>
    </w:p>
    <w:p w14:paraId="4F5E0866">
      <w:pPr>
        <w:pStyle w:val="12"/>
        <w:spacing w:line="270" w:lineRule="auto"/>
        <w:rPr>
          <w:rFonts w:hint="default" w:ascii="Times New Roman" w:hAnsi="Times New Roman" w:eastAsia="宋体" w:cs="Times New Roman"/>
          <w:color w:val="auto"/>
        </w:rPr>
      </w:pPr>
    </w:p>
    <w:p w14:paraId="486B1DC1">
      <w:pPr>
        <w:spacing w:line="360" w:lineRule="auto"/>
        <w:jc w:val="center"/>
        <w:rPr>
          <w:rFonts w:hint="default" w:ascii="Times New Roman" w:hAnsi="Times New Roman" w:eastAsia="宋体" w:cs="Times New Roman"/>
          <w:b/>
          <w:bCs/>
          <w:color w:val="auto"/>
          <w:spacing w:val="4"/>
          <w:sz w:val="30"/>
          <w:szCs w:val="30"/>
          <w:lang w:eastAsia="zh-CN"/>
        </w:rPr>
      </w:pPr>
    </w:p>
    <w:p w14:paraId="5275094C">
      <w:pPr>
        <w:spacing w:line="360" w:lineRule="auto"/>
        <w:jc w:val="center"/>
        <w:rPr>
          <w:rFonts w:hint="default" w:ascii="Times New Roman" w:hAnsi="Times New Roman" w:eastAsia="宋体" w:cs="Times New Roman"/>
          <w:b/>
          <w:bCs/>
          <w:color w:val="auto"/>
          <w:spacing w:val="4"/>
          <w:sz w:val="40"/>
          <w:szCs w:val="40"/>
          <w:lang w:eastAsia="zh-CN"/>
        </w:rPr>
      </w:pPr>
      <w:r>
        <w:rPr>
          <w:rFonts w:hint="eastAsia" w:ascii="Times New Roman" w:hAnsi="Times New Roman" w:eastAsia="宋体" w:cs="Times New Roman"/>
          <w:b/>
          <w:bCs/>
          <w:color w:val="auto"/>
          <w:spacing w:val="4"/>
          <w:sz w:val="40"/>
          <w:szCs w:val="40"/>
          <w:lang w:eastAsia="zh-CN"/>
        </w:rPr>
        <w:t>南昌燎源建材有限公司表面处理加工项目</w:t>
      </w:r>
    </w:p>
    <w:p w14:paraId="37880D62">
      <w:pPr>
        <w:spacing w:line="360" w:lineRule="auto"/>
        <w:jc w:val="center"/>
        <w:rPr>
          <w:rFonts w:hint="default" w:ascii="Times New Roman" w:hAnsi="Times New Roman" w:eastAsia="宋体" w:cs="Times New Roman"/>
          <w:color w:val="auto"/>
          <w:sz w:val="52"/>
          <w:szCs w:val="52"/>
          <w:lang w:eastAsia="zh-CN"/>
        </w:rPr>
      </w:pPr>
      <w:r>
        <w:rPr>
          <w:rFonts w:hint="default" w:ascii="Times New Roman" w:hAnsi="Times New Roman" w:eastAsia="宋体" w:cs="Times New Roman"/>
          <w:b/>
          <w:bCs/>
          <w:color w:val="auto"/>
          <w:spacing w:val="4"/>
          <w:sz w:val="52"/>
          <w:szCs w:val="52"/>
          <w:lang w:eastAsia="zh-CN"/>
        </w:rPr>
        <w:t>风险评价专题</w:t>
      </w:r>
    </w:p>
    <w:p w14:paraId="2E34A2BC">
      <w:pPr>
        <w:pStyle w:val="12"/>
        <w:spacing w:line="360" w:lineRule="auto"/>
        <w:jc w:val="center"/>
        <w:rPr>
          <w:rFonts w:hint="default" w:ascii="Times New Roman" w:hAnsi="Times New Roman" w:eastAsia="宋体" w:cs="Times New Roman"/>
          <w:color w:val="auto"/>
          <w:lang w:eastAsia="zh-CN"/>
        </w:rPr>
      </w:pPr>
    </w:p>
    <w:p w14:paraId="6E9CD149">
      <w:pPr>
        <w:pStyle w:val="12"/>
        <w:spacing w:line="360" w:lineRule="auto"/>
        <w:jc w:val="center"/>
        <w:rPr>
          <w:rFonts w:hint="default" w:ascii="Times New Roman" w:hAnsi="Times New Roman" w:eastAsia="宋体" w:cs="Times New Roman"/>
          <w:color w:val="auto"/>
          <w:lang w:eastAsia="zh-CN"/>
        </w:rPr>
      </w:pPr>
    </w:p>
    <w:p w14:paraId="7579B8EC">
      <w:pPr>
        <w:pStyle w:val="12"/>
        <w:spacing w:line="360" w:lineRule="auto"/>
        <w:jc w:val="center"/>
        <w:rPr>
          <w:rFonts w:hint="default" w:ascii="Times New Roman" w:hAnsi="Times New Roman" w:eastAsia="宋体" w:cs="Times New Roman"/>
          <w:color w:val="auto"/>
          <w:lang w:eastAsia="zh-CN"/>
        </w:rPr>
      </w:pPr>
    </w:p>
    <w:p w14:paraId="6936209F">
      <w:pPr>
        <w:pStyle w:val="12"/>
        <w:spacing w:line="360" w:lineRule="auto"/>
        <w:jc w:val="center"/>
        <w:rPr>
          <w:rFonts w:hint="default" w:ascii="Times New Roman" w:hAnsi="Times New Roman" w:eastAsia="宋体" w:cs="Times New Roman"/>
          <w:color w:val="auto"/>
          <w:lang w:eastAsia="zh-CN"/>
        </w:rPr>
      </w:pPr>
    </w:p>
    <w:p w14:paraId="38AFE329">
      <w:pPr>
        <w:pStyle w:val="12"/>
        <w:spacing w:line="360" w:lineRule="auto"/>
        <w:jc w:val="center"/>
        <w:rPr>
          <w:rFonts w:hint="default" w:ascii="Times New Roman" w:hAnsi="Times New Roman" w:eastAsia="宋体" w:cs="Times New Roman"/>
          <w:color w:val="auto"/>
          <w:lang w:eastAsia="zh-CN"/>
        </w:rPr>
      </w:pPr>
    </w:p>
    <w:p w14:paraId="16AD8B38">
      <w:pPr>
        <w:pStyle w:val="12"/>
        <w:spacing w:line="360" w:lineRule="auto"/>
        <w:jc w:val="center"/>
        <w:rPr>
          <w:rFonts w:hint="default" w:ascii="Times New Roman" w:hAnsi="Times New Roman" w:eastAsia="宋体" w:cs="Times New Roman"/>
          <w:color w:val="auto"/>
          <w:lang w:eastAsia="zh-CN"/>
        </w:rPr>
      </w:pPr>
    </w:p>
    <w:p w14:paraId="10A21BDB">
      <w:pPr>
        <w:pStyle w:val="12"/>
        <w:spacing w:line="360" w:lineRule="auto"/>
        <w:jc w:val="center"/>
        <w:rPr>
          <w:rFonts w:hint="default" w:ascii="Times New Roman" w:hAnsi="Times New Roman" w:eastAsia="宋体" w:cs="Times New Roman"/>
          <w:color w:val="auto"/>
          <w:lang w:eastAsia="zh-CN"/>
        </w:rPr>
      </w:pPr>
    </w:p>
    <w:p w14:paraId="1550D220">
      <w:pPr>
        <w:pStyle w:val="12"/>
        <w:spacing w:line="360" w:lineRule="auto"/>
        <w:jc w:val="center"/>
        <w:rPr>
          <w:rFonts w:hint="default" w:ascii="Times New Roman" w:hAnsi="Times New Roman" w:eastAsia="宋体" w:cs="Times New Roman"/>
          <w:color w:val="auto"/>
          <w:lang w:eastAsia="zh-CN"/>
        </w:rPr>
      </w:pPr>
    </w:p>
    <w:p w14:paraId="13C0F90D">
      <w:pPr>
        <w:pStyle w:val="12"/>
        <w:spacing w:line="360" w:lineRule="auto"/>
        <w:jc w:val="center"/>
        <w:rPr>
          <w:rFonts w:hint="default" w:ascii="Times New Roman" w:hAnsi="Times New Roman" w:eastAsia="宋体" w:cs="Times New Roman"/>
          <w:color w:val="auto"/>
          <w:lang w:eastAsia="zh-CN"/>
        </w:rPr>
      </w:pPr>
    </w:p>
    <w:p w14:paraId="5E50FF4C">
      <w:pPr>
        <w:pStyle w:val="12"/>
        <w:spacing w:line="360" w:lineRule="auto"/>
        <w:jc w:val="center"/>
        <w:rPr>
          <w:rFonts w:hint="default" w:ascii="Times New Roman" w:hAnsi="Times New Roman" w:eastAsia="宋体" w:cs="Times New Roman"/>
          <w:color w:val="auto"/>
          <w:lang w:eastAsia="zh-CN"/>
        </w:rPr>
      </w:pPr>
    </w:p>
    <w:p w14:paraId="5117A0CC">
      <w:pPr>
        <w:pStyle w:val="12"/>
        <w:spacing w:line="360" w:lineRule="auto"/>
        <w:jc w:val="center"/>
        <w:rPr>
          <w:rFonts w:hint="default" w:ascii="Times New Roman" w:hAnsi="Times New Roman" w:eastAsia="宋体" w:cs="Times New Roman"/>
          <w:color w:val="auto"/>
          <w:lang w:eastAsia="zh-CN"/>
        </w:rPr>
      </w:pPr>
    </w:p>
    <w:p w14:paraId="23DDBFF7">
      <w:pPr>
        <w:pStyle w:val="12"/>
        <w:spacing w:line="360" w:lineRule="auto"/>
        <w:jc w:val="center"/>
        <w:rPr>
          <w:rFonts w:hint="default" w:ascii="Times New Roman" w:hAnsi="Times New Roman" w:eastAsia="宋体" w:cs="Times New Roman"/>
          <w:color w:val="auto"/>
          <w:lang w:eastAsia="zh-CN"/>
        </w:rPr>
      </w:pPr>
    </w:p>
    <w:p w14:paraId="77E1943A">
      <w:pPr>
        <w:pStyle w:val="12"/>
        <w:spacing w:line="360" w:lineRule="auto"/>
        <w:jc w:val="center"/>
        <w:rPr>
          <w:rFonts w:hint="default" w:ascii="Times New Roman" w:hAnsi="Times New Roman" w:eastAsia="宋体" w:cs="Times New Roman"/>
          <w:color w:val="auto"/>
          <w:lang w:eastAsia="zh-CN"/>
        </w:rPr>
      </w:pPr>
    </w:p>
    <w:p w14:paraId="65757E8F">
      <w:pPr>
        <w:pStyle w:val="12"/>
        <w:spacing w:line="360" w:lineRule="auto"/>
        <w:jc w:val="center"/>
        <w:rPr>
          <w:rFonts w:hint="default" w:ascii="Times New Roman" w:hAnsi="Times New Roman" w:eastAsia="宋体" w:cs="Times New Roman"/>
          <w:color w:val="auto"/>
          <w:lang w:eastAsia="zh-CN"/>
        </w:rPr>
      </w:pPr>
    </w:p>
    <w:p w14:paraId="2563E14C">
      <w:pPr>
        <w:pStyle w:val="12"/>
        <w:spacing w:line="360" w:lineRule="auto"/>
        <w:jc w:val="center"/>
        <w:rPr>
          <w:rFonts w:hint="default" w:ascii="Times New Roman" w:hAnsi="Times New Roman" w:eastAsia="宋体" w:cs="Times New Roman"/>
          <w:color w:val="auto"/>
          <w:lang w:eastAsia="zh-CN"/>
        </w:rPr>
      </w:pPr>
    </w:p>
    <w:p w14:paraId="69D775BC">
      <w:pPr>
        <w:pStyle w:val="12"/>
        <w:spacing w:line="360" w:lineRule="auto"/>
        <w:jc w:val="center"/>
        <w:rPr>
          <w:rFonts w:hint="default" w:ascii="Times New Roman" w:hAnsi="Times New Roman" w:eastAsia="宋体" w:cs="Times New Roman"/>
          <w:color w:val="auto"/>
          <w:lang w:eastAsia="zh-CN"/>
        </w:rPr>
      </w:pPr>
    </w:p>
    <w:p w14:paraId="703BA214">
      <w:pPr>
        <w:pStyle w:val="12"/>
        <w:spacing w:line="360" w:lineRule="auto"/>
        <w:jc w:val="center"/>
        <w:rPr>
          <w:rFonts w:hint="default" w:ascii="Times New Roman" w:hAnsi="Times New Roman" w:eastAsia="宋体" w:cs="Times New Roman"/>
          <w:color w:val="auto"/>
          <w:lang w:eastAsia="zh-CN"/>
        </w:rPr>
      </w:pPr>
    </w:p>
    <w:p w14:paraId="7CB48F1C">
      <w:pPr>
        <w:spacing w:line="360" w:lineRule="auto"/>
        <w:jc w:val="center"/>
        <w:rPr>
          <w:rFonts w:hint="default" w:ascii="Times New Roman" w:hAnsi="Times New Roman" w:eastAsia="宋体" w:cs="Times New Roman"/>
          <w:color w:val="auto"/>
          <w:sz w:val="32"/>
          <w:szCs w:val="32"/>
          <w:lang w:eastAsia="zh-CN"/>
        </w:rPr>
      </w:pPr>
      <w:r>
        <w:rPr>
          <w:rFonts w:hint="default" w:ascii="Times New Roman" w:hAnsi="Times New Roman" w:eastAsia="宋体" w:cs="Times New Roman"/>
          <w:b/>
          <w:bCs/>
          <w:color w:val="auto"/>
          <w:spacing w:val="-5"/>
          <w:sz w:val="32"/>
          <w:szCs w:val="32"/>
          <w:lang w:eastAsia="zh-CN"/>
        </w:rPr>
        <w:t>二</w:t>
      </w:r>
      <w:r>
        <w:rPr>
          <w:rFonts w:hint="default" w:ascii="Times New Roman" w:hAnsi="Times New Roman" w:eastAsia="宋体" w:cs="Times New Roman"/>
          <w:b/>
          <w:bCs/>
          <w:color w:val="auto"/>
          <w:spacing w:val="-5"/>
          <w:sz w:val="32"/>
          <w:szCs w:val="32"/>
          <w:lang w:val="en-US" w:eastAsia="zh-CN"/>
        </w:rPr>
        <w:t>零</w:t>
      </w:r>
      <w:r>
        <w:rPr>
          <w:rFonts w:hint="default" w:ascii="Times New Roman" w:hAnsi="Times New Roman" w:eastAsia="宋体" w:cs="Times New Roman"/>
          <w:b/>
          <w:bCs/>
          <w:color w:val="auto"/>
          <w:spacing w:val="-5"/>
          <w:sz w:val="32"/>
          <w:szCs w:val="32"/>
          <w:lang w:eastAsia="zh-CN"/>
        </w:rPr>
        <w:t>二</w:t>
      </w:r>
      <w:r>
        <w:rPr>
          <w:rFonts w:hint="eastAsia" w:ascii="Times New Roman" w:hAnsi="Times New Roman" w:eastAsia="宋体" w:cs="Times New Roman"/>
          <w:b/>
          <w:bCs/>
          <w:color w:val="auto"/>
          <w:spacing w:val="-5"/>
          <w:sz w:val="32"/>
          <w:szCs w:val="32"/>
          <w:lang w:val="en-US" w:eastAsia="zh-CN"/>
        </w:rPr>
        <w:t>六</w:t>
      </w:r>
      <w:r>
        <w:rPr>
          <w:rFonts w:hint="default" w:ascii="Times New Roman" w:hAnsi="Times New Roman" w:eastAsia="宋体" w:cs="Times New Roman"/>
          <w:b/>
          <w:bCs/>
          <w:color w:val="auto"/>
          <w:spacing w:val="-5"/>
          <w:sz w:val="32"/>
          <w:szCs w:val="32"/>
          <w:lang w:eastAsia="zh-CN"/>
        </w:rPr>
        <w:t>年</w:t>
      </w:r>
      <w:r>
        <w:rPr>
          <w:rFonts w:hint="eastAsia" w:ascii="Times New Roman" w:hAnsi="Times New Roman" w:eastAsia="宋体" w:cs="Times New Roman"/>
          <w:b/>
          <w:bCs/>
          <w:color w:val="auto"/>
          <w:spacing w:val="-5"/>
          <w:sz w:val="32"/>
          <w:szCs w:val="32"/>
          <w:lang w:val="en-US" w:eastAsia="zh-CN"/>
        </w:rPr>
        <w:t>四</w:t>
      </w:r>
      <w:r>
        <w:rPr>
          <w:rFonts w:hint="default" w:ascii="Times New Roman" w:hAnsi="Times New Roman" w:eastAsia="宋体" w:cs="Times New Roman"/>
          <w:b/>
          <w:bCs/>
          <w:color w:val="auto"/>
          <w:spacing w:val="-5"/>
          <w:sz w:val="32"/>
          <w:szCs w:val="32"/>
          <w:lang w:eastAsia="zh-CN"/>
        </w:rPr>
        <w:t>月</w:t>
      </w:r>
    </w:p>
    <w:p w14:paraId="5B24A40A">
      <w:pPr>
        <w:spacing w:line="221" w:lineRule="auto"/>
        <w:rPr>
          <w:rFonts w:hint="default" w:ascii="Times New Roman" w:hAnsi="Times New Roman" w:eastAsia="宋体" w:cs="Times New Roman"/>
          <w:color w:val="auto"/>
          <w:sz w:val="28"/>
          <w:szCs w:val="28"/>
          <w:lang w:eastAsia="zh-CN"/>
        </w:rPr>
        <w:sectPr>
          <w:headerReference r:id="rId5" w:type="default"/>
          <w:footerReference r:id="rId6" w:type="default"/>
          <w:pgSz w:w="11907" w:h="16840"/>
          <w:pgMar w:top="1418" w:right="1701" w:bottom="1418" w:left="1701" w:header="862" w:footer="1394" w:gutter="0"/>
          <w:cols w:space="720" w:num="1"/>
        </w:sectPr>
      </w:pPr>
    </w:p>
    <w:p w14:paraId="2D0A2707">
      <w:pPr>
        <w:pStyle w:val="12"/>
        <w:spacing w:line="306" w:lineRule="auto"/>
        <w:rPr>
          <w:rFonts w:hint="default" w:ascii="Times New Roman" w:hAnsi="Times New Roman" w:eastAsia="宋体" w:cs="Times New Roman"/>
          <w:color w:val="auto"/>
          <w:lang w:eastAsia="zh-CN"/>
        </w:rPr>
      </w:pPr>
    </w:p>
    <w:sdt>
      <w:sdtPr>
        <w:rPr>
          <w:rFonts w:ascii="宋体" w:hAnsi="宋体" w:eastAsia="宋体" w:cs="Arial"/>
          <w:snapToGrid w:val="0"/>
          <w:color w:val="000000"/>
          <w:sz w:val="32"/>
          <w:szCs w:val="32"/>
          <w:lang w:val="en-US" w:eastAsia="en-US" w:bidi="ar-SA"/>
        </w:rPr>
        <w:id w:val="147464645"/>
        <w15:color w:val="DBDBDB"/>
        <w:docPartObj>
          <w:docPartGallery w:val="Table of Contents"/>
          <w:docPartUnique/>
        </w:docPartObj>
      </w:sdtPr>
      <w:sdtEndPr>
        <w:rPr>
          <w:rFonts w:hint="default" w:ascii="Times New Roman" w:hAnsi="Times New Roman" w:eastAsia="宋体" w:cs="Times New Roman"/>
          <w:snapToGrid w:val="0"/>
          <w:color w:val="auto"/>
          <w:sz w:val="21"/>
          <w:szCs w:val="24"/>
          <w:lang w:val="en-US" w:eastAsia="zh-CN" w:bidi="ar-SA"/>
        </w:rPr>
      </w:sdtEndPr>
      <w:sdtContent>
        <w:p w14:paraId="52BD82A4">
          <w:pPr>
            <w:spacing w:before="0" w:beforeLines="0" w:after="0" w:afterLines="0" w:line="240" w:lineRule="auto"/>
            <w:ind w:left="0" w:leftChars="0" w:right="0" w:rightChars="0" w:firstLine="0" w:firstLineChars="0"/>
            <w:jc w:val="center"/>
            <w:rPr>
              <w:sz w:val="32"/>
              <w:szCs w:val="32"/>
            </w:rPr>
          </w:pPr>
          <w:r>
            <w:rPr>
              <w:rFonts w:ascii="宋体" w:hAnsi="宋体" w:eastAsia="宋体"/>
              <w:sz w:val="32"/>
              <w:szCs w:val="32"/>
            </w:rPr>
            <w:t>目录</w:t>
          </w:r>
        </w:p>
        <w:p w14:paraId="42D159EF">
          <w:pPr>
            <w:pStyle w:val="16"/>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color w:val="auto"/>
              <w:sz w:val="24"/>
              <w:szCs w:val="24"/>
              <w:lang w:eastAsia="zh-CN"/>
            </w:rPr>
            <w:instrText xml:space="preserve">TOC \o "1-3" \h \u </w:instrText>
          </w:r>
          <w:r>
            <w:rPr>
              <w:rFonts w:hint="default" w:ascii="Times New Roman" w:hAnsi="Times New Roman" w:eastAsia="宋体" w:cs="Times New Roman"/>
              <w:color w:val="auto"/>
              <w:sz w:val="24"/>
              <w:szCs w:val="24"/>
              <w:lang w:eastAsia="zh-CN"/>
            </w:rPr>
            <w:fldChar w:fldCharType="separate"/>
          </w: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_Toc1787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1. 总则</w:t>
          </w:r>
          <w:r>
            <w:rPr>
              <w:sz w:val="24"/>
              <w:szCs w:val="24"/>
            </w:rPr>
            <w:tab/>
          </w:r>
          <w:r>
            <w:rPr>
              <w:sz w:val="24"/>
              <w:szCs w:val="24"/>
            </w:rPr>
            <w:fldChar w:fldCharType="begin"/>
          </w:r>
          <w:r>
            <w:rPr>
              <w:sz w:val="24"/>
              <w:szCs w:val="24"/>
            </w:rPr>
            <w:instrText xml:space="preserve"> PAGEREF _Toc1787 \h </w:instrText>
          </w:r>
          <w:r>
            <w:rPr>
              <w:sz w:val="24"/>
              <w:szCs w:val="24"/>
            </w:rPr>
            <w:fldChar w:fldCharType="separate"/>
          </w:r>
          <w:r>
            <w:rPr>
              <w:sz w:val="24"/>
              <w:szCs w:val="24"/>
            </w:rPr>
            <w:t>1</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042A7E7E">
          <w:pPr>
            <w:pStyle w:val="16"/>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_Toc25084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2. 环境风险评价原则及程序</w:t>
          </w:r>
          <w:r>
            <w:rPr>
              <w:sz w:val="24"/>
              <w:szCs w:val="24"/>
            </w:rPr>
            <w:tab/>
          </w:r>
          <w:r>
            <w:rPr>
              <w:sz w:val="24"/>
              <w:szCs w:val="24"/>
            </w:rPr>
            <w:fldChar w:fldCharType="begin"/>
          </w:r>
          <w:r>
            <w:rPr>
              <w:sz w:val="24"/>
              <w:szCs w:val="24"/>
            </w:rPr>
            <w:instrText xml:space="preserve"> PAGEREF _Toc25084 \h </w:instrText>
          </w:r>
          <w:r>
            <w:rPr>
              <w:sz w:val="24"/>
              <w:szCs w:val="24"/>
            </w:rPr>
            <w:fldChar w:fldCharType="separate"/>
          </w:r>
          <w:r>
            <w:rPr>
              <w:sz w:val="24"/>
              <w:szCs w:val="24"/>
            </w:rPr>
            <w:t>1</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6B34D51F">
          <w:pPr>
            <w:pStyle w:val="16"/>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_Toc16048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3. 环境风险调查</w:t>
          </w:r>
          <w:r>
            <w:rPr>
              <w:sz w:val="24"/>
              <w:szCs w:val="24"/>
            </w:rPr>
            <w:tab/>
          </w:r>
          <w:r>
            <w:rPr>
              <w:sz w:val="24"/>
              <w:szCs w:val="24"/>
            </w:rPr>
            <w:fldChar w:fldCharType="begin"/>
          </w:r>
          <w:r>
            <w:rPr>
              <w:sz w:val="24"/>
              <w:szCs w:val="24"/>
            </w:rPr>
            <w:instrText xml:space="preserve"> PAGEREF _Toc16048 \h </w:instrText>
          </w:r>
          <w:r>
            <w:rPr>
              <w:sz w:val="24"/>
              <w:szCs w:val="24"/>
            </w:rPr>
            <w:fldChar w:fldCharType="separate"/>
          </w:r>
          <w:r>
            <w:rPr>
              <w:sz w:val="24"/>
              <w:szCs w:val="24"/>
            </w:rPr>
            <w:t>4</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46D864A6">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_Toc8218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3.1. 危险物质数量和分布情况</w:t>
          </w:r>
          <w:r>
            <w:rPr>
              <w:sz w:val="24"/>
              <w:szCs w:val="24"/>
            </w:rPr>
            <w:tab/>
          </w:r>
          <w:r>
            <w:rPr>
              <w:sz w:val="24"/>
              <w:szCs w:val="24"/>
            </w:rPr>
            <w:fldChar w:fldCharType="begin"/>
          </w:r>
          <w:r>
            <w:rPr>
              <w:sz w:val="24"/>
              <w:szCs w:val="24"/>
            </w:rPr>
            <w:instrText xml:space="preserve"> PAGEREF _Toc8218 \h </w:instrText>
          </w:r>
          <w:r>
            <w:rPr>
              <w:sz w:val="24"/>
              <w:szCs w:val="24"/>
            </w:rPr>
            <w:fldChar w:fldCharType="separate"/>
          </w:r>
          <w:r>
            <w:rPr>
              <w:sz w:val="24"/>
              <w:szCs w:val="24"/>
            </w:rPr>
            <w:t>4</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7BA424F6">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_Toc4921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3.2. 环境保护目标</w:t>
          </w:r>
          <w:r>
            <w:rPr>
              <w:sz w:val="24"/>
              <w:szCs w:val="24"/>
            </w:rPr>
            <w:tab/>
          </w:r>
          <w:r>
            <w:rPr>
              <w:sz w:val="24"/>
              <w:szCs w:val="24"/>
            </w:rPr>
            <w:fldChar w:fldCharType="begin"/>
          </w:r>
          <w:r>
            <w:rPr>
              <w:sz w:val="24"/>
              <w:szCs w:val="24"/>
            </w:rPr>
            <w:instrText xml:space="preserve"> PAGEREF _Toc4921 \h </w:instrText>
          </w:r>
          <w:r>
            <w:rPr>
              <w:sz w:val="24"/>
              <w:szCs w:val="24"/>
            </w:rPr>
            <w:fldChar w:fldCharType="separate"/>
          </w:r>
          <w:r>
            <w:rPr>
              <w:sz w:val="24"/>
              <w:szCs w:val="24"/>
            </w:rPr>
            <w:t>7</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01864FD2">
          <w:pPr>
            <w:pStyle w:val="16"/>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_Toc14841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4. 环境风险潜势初判</w:t>
          </w:r>
          <w:r>
            <w:rPr>
              <w:sz w:val="24"/>
              <w:szCs w:val="24"/>
            </w:rPr>
            <w:tab/>
          </w:r>
          <w:r>
            <w:rPr>
              <w:sz w:val="24"/>
              <w:szCs w:val="24"/>
            </w:rPr>
            <w:fldChar w:fldCharType="begin"/>
          </w:r>
          <w:r>
            <w:rPr>
              <w:sz w:val="24"/>
              <w:szCs w:val="24"/>
            </w:rPr>
            <w:instrText xml:space="preserve"> PAGEREF _Toc14841 \h </w:instrText>
          </w:r>
          <w:r>
            <w:rPr>
              <w:sz w:val="24"/>
              <w:szCs w:val="24"/>
            </w:rPr>
            <w:fldChar w:fldCharType="separate"/>
          </w:r>
          <w:r>
            <w:rPr>
              <w:sz w:val="24"/>
              <w:szCs w:val="24"/>
            </w:rPr>
            <w:t>10</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2A90F877">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_Toc13010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4.1. 环境风险潜势划分</w:t>
          </w:r>
          <w:r>
            <w:rPr>
              <w:sz w:val="24"/>
              <w:szCs w:val="24"/>
            </w:rPr>
            <w:tab/>
          </w:r>
          <w:r>
            <w:rPr>
              <w:sz w:val="24"/>
              <w:szCs w:val="24"/>
            </w:rPr>
            <w:fldChar w:fldCharType="begin"/>
          </w:r>
          <w:r>
            <w:rPr>
              <w:sz w:val="24"/>
              <w:szCs w:val="24"/>
            </w:rPr>
            <w:instrText xml:space="preserve"> PAGEREF _Toc13010 \h </w:instrText>
          </w:r>
          <w:r>
            <w:rPr>
              <w:sz w:val="24"/>
              <w:szCs w:val="24"/>
            </w:rPr>
            <w:fldChar w:fldCharType="separate"/>
          </w:r>
          <w:r>
            <w:rPr>
              <w:sz w:val="24"/>
              <w:szCs w:val="24"/>
            </w:rPr>
            <w:t>10</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1BD3F8EF">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_Toc30888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4.2. P的分级</w:t>
          </w:r>
          <w:r>
            <w:rPr>
              <w:sz w:val="24"/>
              <w:szCs w:val="24"/>
            </w:rPr>
            <w:tab/>
          </w:r>
          <w:r>
            <w:rPr>
              <w:sz w:val="24"/>
              <w:szCs w:val="24"/>
            </w:rPr>
            <w:fldChar w:fldCharType="begin"/>
          </w:r>
          <w:r>
            <w:rPr>
              <w:sz w:val="24"/>
              <w:szCs w:val="24"/>
            </w:rPr>
            <w:instrText xml:space="preserve"> PAGEREF _Toc30888 \h </w:instrText>
          </w:r>
          <w:r>
            <w:rPr>
              <w:sz w:val="24"/>
              <w:szCs w:val="24"/>
            </w:rPr>
            <w:fldChar w:fldCharType="separate"/>
          </w:r>
          <w:r>
            <w:rPr>
              <w:sz w:val="24"/>
              <w:szCs w:val="24"/>
            </w:rPr>
            <w:t>10</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3616C0D0">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_Toc28403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4.3. 行业及生产工艺（M）</w:t>
          </w:r>
          <w:r>
            <w:rPr>
              <w:sz w:val="24"/>
              <w:szCs w:val="24"/>
            </w:rPr>
            <w:tab/>
          </w:r>
          <w:r>
            <w:rPr>
              <w:sz w:val="24"/>
              <w:szCs w:val="24"/>
            </w:rPr>
            <w:fldChar w:fldCharType="begin"/>
          </w:r>
          <w:r>
            <w:rPr>
              <w:sz w:val="24"/>
              <w:szCs w:val="24"/>
            </w:rPr>
            <w:instrText xml:space="preserve"> PAGEREF _Toc28403 \h </w:instrText>
          </w:r>
          <w:r>
            <w:rPr>
              <w:sz w:val="24"/>
              <w:szCs w:val="24"/>
            </w:rPr>
            <w:fldChar w:fldCharType="separate"/>
          </w:r>
          <w:r>
            <w:rPr>
              <w:sz w:val="24"/>
              <w:szCs w:val="24"/>
            </w:rPr>
            <w:t>11</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14378FEC">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_Toc27103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4.4. 环境敏感程度（E）的分级确定</w:t>
          </w:r>
          <w:r>
            <w:rPr>
              <w:sz w:val="24"/>
              <w:szCs w:val="24"/>
            </w:rPr>
            <w:tab/>
          </w:r>
          <w:r>
            <w:rPr>
              <w:sz w:val="24"/>
              <w:szCs w:val="24"/>
            </w:rPr>
            <w:fldChar w:fldCharType="begin"/>
          </w:r>
          <w:r>
            <w:rPr>
              <w:sz w:val="24"/>
              <w:szCs w:val="24"/>
            </w:rPr>
            <w:instrText xml:space="preserve"> PAGEREF _Toc27103 \h </w:instrText>
          </w:r>
          <w:r>
            <w:rPr>
              <w:sz w:val="24"/>
              <w:szCs w:val="24"/>
            </w:rPr>
            <w:fldChar w:fldCharType="separate"/>
          </w:r>
          <w:r>
            <w:rPr>
              <w:sz w:val="24"/>
              <w:szCs w:val="24"/>
            </w:rPr>
            <w:t>11</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0D5A25BC">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_Toc34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4.5. 环境风险评价等级及评价范围</w:t>
          </w:r>
          <w:r>
            <w:rPr>
              <w:sz w:val="24"/>
              <w:szCs w:val="24"/>
            </w:rPr>
            <w:tab/>
          </w:r>
          <w:r>
            <w:rPr>
              <w:sz w:val="24"/>
              <w:szCs w:val="24"/>
            </w:rPr>
            <w:fldChar w:fldCharType="begin"/>
          </w:r>
          <w:r>
            <w:rPr>
              <w:sz w:val="24"/>
              <w:szCs w:val="24"/>
            </w:rPr>
            <w:instrText xml:space="preserve"> PAGEREF _Toc34 \h </w:instrText>
          </w:r>
          <w:r>
            <w:rPr>
              <w:sz w:val="24"/>
              <w:szCs w:val="24"/>
            </w:rPr>
            <w:fldChar w:fldCharType="separate"/>
          </w:r>
          <w:r>
            <w:rPr>
              <w:sz w:val="24"/>
              <w:szCs w:val="24"/>
            </w:rPr>
            <w:t>14</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1582DB41">
          <w:pPr>
            <w:pStyle w:val="16"/>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_Toc1778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5. 风险预测</w:t>
          </w:r>
          <w:r>
            <w:rPr>
              <w:sz w:val="24"/>
              <w:szCs w:val="24"/>
            </w:rPr>
            <w:tab/>
          </w:r>
          <w:r>
            <w:rPr>
              <w:sz w:val="24"/>
              <w:szCs w:val="24"/>
            </w:rPr>
            <w:fldChar w:fldCharType="begin"/>
          </w:r>
          <w:r>
            <w:rPr>
              <w:sz w:val="24"/>
              <w:szCs w:val="24"/>
            </w:rPr>
            <w:instrText xml:space="preserve"> PAGEREF _Toc1778 \h </w:instrText>
          </w:r>
          <w:r>
            <w:rPr>
              <w:sz w:val="24"/>
              <w:szCs w:val="24"/>
            </w:rPr>
            <w:fldChar w:fldCharType="separate"/>
          </w:r>
          <w:r>
            <w:rPr>
              <w:sz w:val="24"/>
              <w:szCs w:val="24"/>
            </w:rPr>
            <w:t>15</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465C9172">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_Toc14761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5.1. 风险识别</w:t>
          </w:r>
          <w:r>
            <w:rPr>
              <w:sz w:val="24"/>
              <w:szCs w:val="24"/>
            </w:rPr>
            <w:tab/>
          </w:r>
          <w:r>
            <w:rPr>
              <w:sz w:val="24"/>
              <w:szCs w:val="24"/>
            </w:rPr>
            <w:fldChar w:fldCharType="begin"/>
          </w:r>
          <w:r>
            <w:rPr>
              <w:sz w:val="24"/>
              <w:szCs w:val="24"/>
            </w:rPr>
            <w:instrText xml:space="preserve"> PAGEREF _Toc14761 \h </w:instrText>
          </w:r>
          <w:r>
            <w:rPr>
              <w:sz w:val="24"/>
              <w:szCs w:val="24"/>
            </w:rPr>
            <w:fldChar w:fldCharType="separate"/>
          </w:r>
          <w:r>
            <w:rPr>
              <w:sz w:val="24"/>
              <w:szCs w:val="24"/>
            </w:rPr>
            <w:t>15</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5547C51F">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_Toc8255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5.2. 风险源分析</w:t>
          </w:r>
          <w:r>
            <w:rPr>
              <w:sz w:val="24"/>
              <w:szCs w:val="24"/>
            </w:rPr>
            <w:tab/>
          </w:r>
          <w:r>
            <w:rPr>
              <w:sz w:val="24"/>
              <w:szCs w:val="24"/>
            </w:rPr>
            <w:fldChar w:fldCharType="begin"/>
          </w:r>
          <w:r>
            <w:rPr>
              <w:sz w:val="24"/>
              <w:szCs w:val="24"/>
            </w:rPr>
            <w:instrText xml:space="preserve"> PAGEREF _Toc8255 \h </w:instrText>
          </w:r>
          <w:r>
            <w:rPr>
              <w:sz w:val="24"/>
              <w:szCs w:val="24"/>
            </w:rPr>
            <w:fldChar w:fldCharType="separate"/>
          </w:r>
          <w:r>
            <w:rPr>
              <w:sz w:val="24"/>
              <w:szCs w:val="24"/>
            </w:rPr>
            <w:t>15</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5E435A30">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_Toc13247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5.3. 风险影响分析</w:t>
          </w:r>
          <w:r>
            <w:rPr>
              <w:sz w:val="24"/>
              <w:szCs w:val="24"/>
            </w:rPr>
            <w:tab/>
          </w:r>
          <w:r>
            <w:rPr>
              <w:sz w:val="24"/>
              <w:szCs w:val="24"/>
            </w:rPr>
            <w:fldChar w:fldCharType="begin"/>
          </w:r>
          <w:r>
            <w:rPr>
              <w:sz w:val="24"/>
              <w:szCs w:val="24"/>
            </w:rPr>
            <w:instrText xml:space="preserve"> PAGEREF _Toc13247 \h </w:instrText>
          </w:r>
          <w:r>
            <w:rPr>
              <w:sz w:val="24"/>
              <w:szCs w:val="24"/>
            </w:rPr>
            <w:fldChar w:fldCharType="separate"/>
          </w:r>
          <w:r>
            <w:rPr>
              <w:sz w:val="24"/>
              <w:szCs w:val="24"/>
            </w:rPr>
            <w:t>18</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57017F35">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_Toc6440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5.4. 风险措施</w:t>
          </w:r>
          <w:r>
            <w:rPr>
              <w:sz w:val="24"/>
              <w:szCs w:val="24"/>
            </w:rPr>
            <w:tab/>
          </w:r>
          <w:r>
            <w:rPr>
              <w:sz w:val="24"/>
              <w:szCs w:val="24"/>
            </w:rPr>
            <w:fldChar w:fldCharType="begin"/>
          </w:r>
          <w:r>
            <w:rPr>
              <w:sz w:val="24"/>
              <w:szCs w:val="24"/>
            </w:rPr>
            <w:instrText xml:space="preserve"> PAGEREF _Toc6440 \h </w:instrText>
          </w:r>
          <w:r>
            <w:rPr>
              <w:sz w:val="24"/>
              <w:szCs w:val="24"/>
            </w:rPr>
            <w:fldChar w:fldCharType="separate"/>
          </w:r>
          <w:r>
            <w:rPr>
              <w:sz w:val="24"/>
              <w:szCs w:val="24"/>
            </w:rPr>
            <w:t>19</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4A2B86A4">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_Toc26652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5.5. 突发环境事件应急预案编制要求</w:t>
          </w:r>
          <w:r>
            <w:rPr>
              <w:sz w:val="24"/>
              <w:szCs w:val="24"/>
            </w:rPr>
            <w:tab/>
          </w:r>
          <w:r>
            <w:rPr>
              <w:sz w:val="24"/>
              <w:szCs w:val="24"/>
            </w:rPr>
            <w:fldChar w:fldCharType="begin"/>
          </w:r>
          <w:r>
            <w:rPr>
              <w:sz w:val="24"/>
              <w:szCs w:val="24"/>
            </w:rPr>
            <w:instrText xml:space="preserve"> PAGEREF _Toc26652 \h </w:instrText>
          </w:r>
          <w:r>
            <w:rPr>
              <w:sz w:val="24"/>
              <w:szCs w:val="24"/>
            </w:rPr>
            <w:fldChar w:fldCharType="separate"/>
          </w:r>
          <w:r>
            <w:rPr>
              <w:sz w:val="24"/>
              <w:szCs w:val="24"/>
            </w:rPr>
            <w:t>23</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0AD3FB23">
          <w:pPr>
            <w:pStyle w:val="17"/>
            <w:tabs>
              <w:tab w:val="right" w:leader="dot" w:pos="8504"/>
            </w:tabs>
            <w:spacing w:line="360" w:lineRule="auto"/>
            <w:rPr>
              <w:sz w:val="24"/>
              <w:szCs w:val="24"/>
            </w:rPr>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_Toc8419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5.6. 环境风险评价结论</w:t>
          </w:r>
          <w:r>
            <w:rPr>
              <w:sz w:val="24"/>
              <w:szCs w:val="24"/>
            </w:rPr>
            <w:tab/>
          </w:r>
          <w:r>
            <w:rPr>
              <w:sz w:val="24"/>
              <w:szCs w:val="24"/>
            </w:rPr>
            <w:fldChar w:fldCharType="begin"/>
          </w:r>
          <w:r>
            <w:rPr>
              <w:sz w:val="24"/>
              <w:szCs w:val="24"/>
            </w:rPr>
            <w:instrText xml:space="preserve"> PAGEREF _Toc8419 \h </w:instrText>
          </w:r>
          <w:r>
            <w:rPr>
              <w:sz w:val="24"/>
              <w:szCs w:val="24"/>
            </w:rPr>
            <w:fldChar w:fldCharType="separate"/>
          </w:r>
          <w:r>
            <w:rPr>
              <w:sz w:val="24"/>
              <w:szCs w:val="24"/>
            </w:rPr>
            <w:t>24</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226BF759">
          <w:pPr>
            <w:pStyle w:val="17"/>
            <w:tabs>
              <w:tab w:val="right" w:leader="dot" w:pos="8504"/>
            </w:tabs>
            <w:spacing w:line="360" w:lineRule="auto"/>
          </w:pPr>
          <w:r>
            <w:rPr>
              <w:rFonts w:hint="default" w:ascii="Times New Roman" w:hAnsi="Times New Roman" w:eastAsia="宋体" w:cs="Times New Roman"/>
              <w:color w:val="auto"/>
              <w:sz w:val="24"/>
              <w:szCs w:val="24"/>
              <w:lang w:eastAsia="zh-CN"/>
            </w:rPr>
            <w:fldChar w:fldCharType="begin"/>
          </w:r>
          <w:r>
            <w:rPr>
              <w:rFonts w:hint="default" w:ascii="Times New Roman" w:hAnsi="Times New Roman" w:eastAsia="宋体" w:cs="Times New Roman"/>
              <w:sz w:val="24"/>
              <w:szCs w:val="24"/>
              <w:lang w:eastAsia="zh-CN"/>
            </w:rPr>
            <w:instrText xml:space="preserve"> HYPERLINK \l _Toc23574 </w:instrText>
          </w:r>
          <w:r>
            <w:rPr>
              <w:rFonts w:hint="default" w:ascii="Times New Roman" w:hAnsi="Times New Roman" w:eastAsia="宋体" w:cs="Times New Roman"/>
              <w:sz w:val="24"/>
              <w:szCs w:val="24"/>
              <w:lang w:eastAsia="zh-CN"/>
            </w:rPr>
            <w:fldChar w:fldCharType="separate"/>
          </w:r>
          <w:r>
            <w:rPr>
              <w:rFonts w:hint="default"/>
              <w:sz w:val="24"/>
              <w:szCs w:val="24"/>
              <w:lang w:eastAsia="zh-CN"/>
            </w:rPr>
            <w:t>5.7. 环境风险评价自查表</w:t>
          </w:r>
          <w:r>
            <w:rPr>
              <w:sz w:val="24"/>
              <w:szCs w:val="24"/>
            </w:rPr>
            <w:tab/>
          </w:r>
          <w:r>
            <w:rPr>
              <w:sz w:val="24"/>
              <w:szCs w:val="24"/>
            </w:rPr>
            <w:fldChar w:fldCharType="begin"/>
          </w:r>
          <w:r>
            <w:rPr>
              <w:sz w:val="24"/>
              <w:szCs w:val="24"/>
            </w:rPr>
            <w:instrText xml:space="preserve"> PAGEREF _Toc23574 \h </w:instrText>
          </w:r>
          <w:r>
            <w:rPr>
              <w:sz w:val="24"/>
              <w:szCs w:val="24"/>
            </w:rPr>
            <w:fldChar w:fldCharType="separate"/>
          </w:r>
          <w:r>
            <w:rPr>
              <w:sz w:val="24"/>
              <w:szCs w:val="24"/>
            </w:rPr>
            <w:t>25</w:t>
          </w:r>
          <w:r>
            <w:rPr>
              <w:sz w:val="24"/>
              <w:szCs w:val="24"/>
            </w:rPr>
            <w:fldChar w:fldCharType="end"/>
          </w:r>
          <w:r>
            <w:rPr>
              <w:rFonts w:hint="default" w:ascii="Times New Roman" w:hAnsi="Times New Roman" w:eastAsia="宋体" w:cs="Times New Roman"/>
              <w:color w:val="auto"/>
              <w:sz w:val="24"/>
              <w:szCs w:val="24"/>
              <w:lang w:eastAsia="zh-CN"/>
            </w:rPr>
            <w:fldChar w:fldCharType="end"/>
          </w:r>
        </w:p>
        <w:p w14:paraId="2FAE4F43">
          <w:pPr>
            <w:spacing w:line="219" w:lineRule="auto"/>
            <w:rPr>
              <w:rFonts w:hint="default" w:ascii="Times New Roman" w:hAnsi="Times New Roman" w:eastAsia="宋体" w:cs="Times New Roman"/>
              <w:snapToGrid w:val="0"/>
              <w:color w:val="auto"/>
              <w:sz w:val="21"/>
              <w:szCs w:val="24"/>
              <w:lang w:val="en-US" w:eastAsia="zh-CN" w:bidi="ar-SA"/>
            </w:rPr>
          </w:pPr>
          <w:r>
            <w:rPr>
              <w:rFonts w:hint="default" w:ascii="Times New Roman" w:hAnsi="Times New Roman" w:eastAsia="宋体" w:cs="Times New Roman"/>
              <w:color w:val="auto"/>
              <w:szCs w:val="24"/>
              <w:lang w:eastAsia="zh-CN"/>
            </w:rPr>
            <w:fldChar w:fldCharType="end"/>
          </w:r>
        </w:p>
      </w:sdtContent>
    </w:sdt>
    <w:p w14:paraId="6630AA94">
      <w:pPr>
        <w:spacing w:line="219" w:lineRule="auto"/>
        <w:rPr>
          <w:rFonts w:hint="default" w:ascii="Times New Roman" w:hAnsi="Times New Roman" w:eastAsia="宋体" w:cs="Times New Roman"/>
          <w:snapToGrid w:val="0"/>
          <w:color w:val="auto"/>
          <w:sz w:val="21"/>
          <w:szCs w:val="24"/>
          <w:lang w:val="en-US" w:eastAsia="zh-CN" w:bidi="ar-SA"/>
        </w:rPr>
        <w:sectPr>
          <w:headerReference r:id="rId7" w:type="default"/>
          <w:footerReference r:id="rId8" w:type="default"/>
          <w:pgSz w:w="11906" w:h="16839"/>
          <w:pgMar w:top="1418" w:right="1701" w:bottom="1418" w:left="1701" w:header="862" w:footer="1252" w:gutter="0"/>
          <w:cols w:space="720" w:num="1"/>
        </w:sectPr>
      </w:pPr>
    </w:p>
    <w:p w14:paraId="0BDF6F56">
      <w:pPr>
        <w:pStyle w:val="2"/>
        <w:bidi w:val="0"/>
        <w:rPr>
          <w:rFonts w:hint="default"/>
          <w:lang w:eastAsia="zh-CN"/>
        </w:rPr>
      </w:pPr>
      <w:bookmarkStart w:id="0" w:name="_Toc1787"/>
      <w:r>
        <w:rPr>
          <w:rFonts w:hint="default"/>
          <w:lang w:eastAsia="zh-CN"/>
        </w:rPr>
        <w:t>总则</w:t>
      </w:r>
      <w:bookmarkEnd w:id="0"/>
    </w:p>
    <w:p w14:paraId="7FA99192">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项目为电镀项目，涉及的原辅材料部分具有有毒、有害、腐蚀性等特性，在生产、储存、运输、使用乃至废弃物处置等环节存在发生重大环境风险事故的可能。环境风险分析及评价的主要目的就是查出可导致潜在环境事故发生的诱发因素，通过控制这些事故因素出现的条件，从而最终将综合环境污染风险降到尽可能低的水平；在环境事故不可避免而突发时，则保证已有相应的环境事故应急措施，从而最终将事故导致的损失降到尽可能低的水平。</w:t>
      </w:r>
    </w:p>
    <w:p w14:paraId="39BE0D5F">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环境风险分析的主要任务是进行风险因素识别，查出可导致潜在环境事故的诱发因素，估计这些事故因素出现的条件，如有可能则估计其出现的概率。风险评价的主要任务则是针对风险因素，评价这些事故因素的可控制性及事故的严重程度。事故风险应急管理的主要任务是针对环境风险因素和可能发生的事故，评估拟采用的事故应急措施，必要时提出建立相应的事故应急措施。</w:t>
      </w:r>
    </w:p>
    <w:p w14:paraId="0E80ED06">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根据《建设项目环境风险评价技术导则》（HJ169-2018），项目环境风险评价基本内容包括风险调查、环境风险潜势初判、风险识别、风险事故情形分析、风险预测与评价、环境风险管理等。</w:t>
      </w:r>
    </w:p>
    <w:p w14:paraId="360AB1BF">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为贯彻落实国家环保部《关于进一步加强环境影响评价管理防范环境风险的通知》（环发[2012]77号）、《关于切实加强风险防范严格环境影响评价管理的通知》（环发[2012]98号）文件的精神，落实各级环保部门开展环境风险排查工作的要求，根据有关文件精神，依据环发[2006]4号文附件三“环境风险排查技术重点”的要求以及HJ2.1-2016、HJ/T169-2016等技术导则，对本项目进行环境风险评价，编制环境风险评价章节。</w:t>
      </w:r>
    </w:p>
    <w:p w14:paraId="356CBBD9">
      <w:pPr>
        <w:pStyle w:val="2"/>
        <w:bidi w:val="0"/>
        <w:rPr>
          <w:rFonts w:hint="default"/>
          <w:lang w:eastAsia="zh-CN"/>
        </w:rPr>
      </w:pPr>
      <w:bookmarkStart w:id="1" w:name="_Toc25084"/>
      <w:r>
        <w:rPr>
          <w:rFonts w:hint="default"/>
          <w:lang w:eastAsia="zh-CN"/>
        </w:rPr>
        <w:t>环境风险评价原则及程序</w:t>
      </w:r>
      <w:bookmarkEnd w:id="1"/>
    </w:p>
    <w:p w14:paraId="11D170E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根据《建设项目环境风险评价技术导则》（HJ169-2018）和国家环境保护总局《关于防范环境风险加强环境影响评价管理的通知》，项目实施后环境风险评价的基本内容包括风险调查、环境风险潜势初判、风险识别、风险事故情形分析、风险预测与评价、环境风险管理等，其具体如下：</w:t>
      </w:r>
    </w:p>
    <w:p w14:paraId="39D12D8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1、</w:t>
      </w:r>
      <w:r>
        <w:rPr>
          <w:rFonts w:hint="default" w:ascii="Times New Roman" w:hAnsi="Times New Roman" w:eastAsia="宋体" w:cs="Times New Roman"/>
          <w:color w:val="auto"/>
          <w:spacing w:val="7"/>
          <w:sz w:val="24"/>
          <w:szCs w:val="24"/>
          <w:lang w:eastAsia="zh-CN"/>
        </w:rPr>
        <w:t>项目风险调查。在分析建设项目物质及工艺系统危险性和环境敏感性的基础下，进行风险潜势的判断，确定风险评价等级。</w:t>
      </w:r>
    </w:p>
    <w:p w14:paraId="698267F2">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2、</w:t>
      </w:r>
      <w:r>
        <w:rPr>
          <w:rFonts w:hint="default" w:ascii="Times New Roman" w:hAnsi="Times New Roman" w:eastAsia="宋体" w:cs="Times New Roman"/>
          <w:color w:val="auto"/>
          <w:spacing w:val="7"/>
          <w:sz w:val="24"/>
          <w:szCs w:val="24"/>
          <w:lang w:eastAsia="zh-CN"/>
        </w:rPr>
        <w:t>项目风险识别及风险事故情形分析。明确危险物质在生产系统中的主要分布，筛选具有代表性的风险事故情形，合理设定事故源项。</w:t>
      </w:r>
    </w:p>
    <w:p w14:paraId="5A13380D">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3、</w:t>
      </w:r>
      <w:r>
        <w:rPr>
          <w:rFonts w:hint="default" w:ascii="Times New Roman" w:hAnsi="Times New Roman" w:eastAsia="宋体" w:cs="Times New Roman"/>
          <w:color w:val="auto"/>
          <w:spacing w:val="7"/>
          <w:sz w:val="24"/>
          <w:szCs w:val="24"/>
          <w:lang w:eastAsia="zh-CN"/>
        </w:rPr>
        <w:t>开展预测评价。各环境要素按确定的评价工作等级分别预测评价，并分析说明环境风险危害范围与程度，提出环境风险防范的基本要求。</w:t>
      </w:r>
    </w:p>
    <w:p w14:paraId="2A5CB440">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4、</w:t>
      </w:r>
      <w:r>
        <w:rPr>
          <w:rFonts w:hint="default" w:ascii="Times New Roman" w:hAnsi="Times New Roman" w:eastAsia="宋体" w:cs="Times New Roman"/>
          <w:color w:val="auto"/>
          <w:spacing w:val="7"/>
          <w:sz w:val="24"/>
          <w:szCs w:val="24"/>
          <w:lang w:eastAsia="zh-CN"/>
        </w:rPr>
        <w:t>提出环境风险管理对策，明确环境风险防范措施及突发环境事件应急预案编制要求。</w:t>
      </w:r>
    </w:p>
    <w:p w14:paraId="721185E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5、</w:t>
      </w:r>
      <w:r>
        <w:rPr>
          <w:rFonts w:hint="default" w:ascii="Times New Roman" w:hAnsi="Times New Roman" w:eastAsia="宋体" w:cs="Times New Roman"/>
          <w:color w:val="auto"/>
          <w:spacing w:val="7"/>
          <w:sz w:val="24"/>
          <w:szCs w:val="24"/>
          <w:lang w:eastAsia="zh-CN"/>
        </w:rPr>
        <w:t>综合环境风险评价过程，给出评价结论与建议。环境风险评价应以突发性事故导致的危险物质环境急性损害防控为目标，对建设项目的环境风险进行分析、预测和评估，提出环境风险预防、控制、减缓措施，明确环境风险监控及应急建议要求，为建设项目环境风险防控提供科学依据。</w:t>
      </w:r>
    </w:p>
    <w:p w14:paraId="18368298">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环境风险评价工作程序见下图。</w:t>
      </w:r>
    </w:p>
    <w:p w14:paraId="78663415">
      <w:pPr>
        <w:jc w:val="center"/>
        <w:rPr>
          <w:rFonts w:hint="default" w:ascii="Times New Roman" w:hAnsi="Times New Roman" w:eastAsia="宋体" w:cs="Times New Roman"/>
          <w:color w:val="auto"/>
        </w:rPr>
      </w:pPr>
      <w:r>
        <w:rPr>
          <w:rFonts w:hint="default" w:ascii="Times New Roman" w:hAnsi="Times New Roman" w:eastAsia="宋体" w:cs="Times New Roman"/>
          <w:color w:val="auto"/>
          <w:position w:val="-160"/>
        </w:rPr>
        <w:drawing>
          <wp:inline distT="0" distB="0" distL="0" distR="0">
            <wp:extent cx="5269865" cy="5089525"/>
            <wp:effectExtent l="0" t="0" r="6985" b="15875"/>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12"/>
                    <a:stretch>
                      <a:fillRect/>
                    </a:stretch>
                  </pic:blipFill>
                  <pic:spPr>
                    <a:xfrm>
                      <a:off x="0" y="0"/>
                      <a:ext cx="5269991" cy="5090159"/>
                    </a:xfrm>
                    <a:prstGeom prst="rect">
                      <a:avLst/>
                    </a:prstGeom>
                  </pic:spPr>
                </pic:pic>
              </a:graphicData>
            </a:graphic>
          </wp:inline>
        </w:drawing>
      </w:r>
    </w:p>
    <w:p w14:paraId="1F7AFA4A">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图1.1-1环境风险评价工作程序</w:t>
      </w:r>
    </w:p>
    <w:p w14:paraId="25D5A2A2">
      <w:pPr>
        <w:spacing w:line="219" w:lineRule="auto"/>
        <w:rPr>
          <w:rFonts w:hint="default" w:ascii="Times New Roman" w:hAnsi="Times New Roman" w:eastAsia="宋体" w:cs="Times New Roman"/>
          <w:color w:val="auto"/>
          <w:sz w:val="24"/>
          <w:szCs w:val="24"/>
          <w:lang w:eastAsia="zh-CN"/>
        </w:rPr>
        <w:sectPr>
          <w:headerReference r:id="rId9" w:type="default"/>
          <w:footerReference r:id="rId10" w:type="default"/>
          <w:pgSz w:w="11906" w:h="16839"/>
          <w:pgMar w:top="1418" w:right="1701" w:bottom="1418" w:left="1701" w:header="862" w:footer="987" w:gutter="0"/>
          <w:pgNumType w:fmt="decimal" w:start="1"/>
          <w:cols w:space="720" w:num="1"/>
        </w:sectPr>
      </w:pPr>
    </w:p>
    <w:p w14:paraId="55B8554C">
      <w:pPr>
        <w:pStyle w:val="2"/>
        <w:bidi w:val="0"/>
        <w:rPr>
          <w:rFonts w:hint="default"/>
          <w:lang w:eastAsia="zh-CN"/>
        </w:rPr>
      </w:pPr>
      <w:bookmarkStart w:id="2" w:name="_Toc16048"/>
      <w:r>
        <w:rPr>
          <w:rFonts w:hint="default"/>
          <w:lang w:eastAsia="zh-CN"/>
        </w:rPr>
        <w:t>环境风险调查</w:t>
      </w:r>
      <w:bookmarkEnd w:id="2"/>
    </w:p>
    <w:p w14:paraId="10BC0880">
      <w:pPr>
        <w:pStyle w:val="3"/>
        <w:bidi w:val="0"/>
        <w:rPr>
          <w:rFonts w:hint="default"/>
          <w:lang w:eastAsia="zh-CN"/>
        </w:rPr>
      </w:pPr>
      <w:bookmarkStart w:id="3" w:name="_Toc8218"/>
      <w:r>
        <w:rPr>
          <w:rFonts w:hint="default"/>
          <w:lang w:eastAsia="zh-CN"/>
        </w:rPr>
        <w:t>危险物质数量和分布情况</w:t>
      </w:r>
      <w:bookmarkEnd w:id="3"/>
    </w:p>
    <w:p w14:paraId="222BF99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Times New Roman" w:hAnsi="Times New Roman"/>
          <w:color w:val="auto"/>
          <w:sz w:val="24"/>
          <w:highlight w:val="none"/>
        </w:rPr>
      </w:pPr>
      <w:r>
        <w:rPr>
          <w:rFonts w:hint="eastAsia" w:ascii="Times New Roman" w:hAnsi="Times New Roman"/>
          <w:color w:val="auto"/>
          <w:sz w:val="24"/>
          <w:highlight w:val="none"/>
        </w:rPr>
        <w:t>根据建设单位提供的资料可知，项目风险源主要为项目化学品原辅料，其中盐酸、</w:t>
      </w:r>
      <w:r>
        <w:rPr>
          <w:rFonts w:hint="eastAsia" w:ascii="Times New Roman" w:hAnsi="Times New Roman"/>
          <w:color w:val="auto"/>
          <w:sz w:val="24"/>
          <w:highlight w:val="none"/>
          <w:lang w:val="en-US" w:eastAsia="zh-CN"/>
        </w:rPr>
        <w:t>硝酸、</w:t>
      </w:r>
      <w:r>
        <w:rPr>
          <w:rFonts w:hint="eastAsia" w:ascii="Times New Roman" w:hAnsi="Times New Roman"/>
          <w:color w:val="auto"/>
          <w:sz w:val="24"/>
          <w:highlight w:val="none"/>
        </w:rPr>
        <w:t>氰化物原辅料均暂存于集控区化学品仓库及氰化物仓库</w:t>
      </w:r>
      <w:r>
        <w:rPr>
          <w:rFonts w:hint="eastAsia"/>
          <w:color w:val="auto"/>
          <w:sz w:val="24"/>
          <w:highlight w:val="none"/>
        </w:rPr>
        <w:t>；其余</w:t>
      </w:r>
      <w:r>
        <w:rPr>
          <w:rFonts w:hint="eastAsia" w:ascii="Times New Roman" w:hAnsi="Times New Roman"/>
          <w:color w:val="auto"/>
          <w:sz w:val="24"/>
          <w:highlight w:val="none"/>
          <w:lang w:val="en-US" w:eastAsia="zh-CN"/>
        </w:rPr>
        <w:t>铬酸酐、氯化镍、氨基磺酸镍、氯化铬</w:t>
      </w:r>
      <w:r>
        <w:rPr>
          <w:rFonts w:hint="eastAsia"/>
          <w:color w:val="auto"/>
          <w:sz w:val="24"/>
          <w:highlight w:val="none"/>
        </w:rPr>
        <w:t>等原辅料由</w:t>
      </w:r>
      <w:r>
        <w:rPr>
          <w:rFonts w:hint="eastAsia" w:ascii="Times New Roman" w:hAnsi="Times New Roman"/>
          <w:color w:val="auto"/>
          <w:sz w:val="24"/>
          <w:highlight w:val="none"/>
        </w:rPr>
        <w:t>建</w:t>
      </w:r>
      <w:r>
        <w:rPr>
          <w:rFonts w:hint="eastAsia"/>
          <w:color w:val="auto"/>
          <w:sz w:val="24"/>
          <w:highlight w:val="none"/>
        </w:rPr>
        <w:t>设单位自行购买，</w:t>
      </w:r>
      <w:r>
        <w:rPr>
          <w:rFonts w:hint="eastAsia"/>
          <w:color w:val="auto"/>
          <w:sz w:val="24"/>
          <w:highlight w:val="none"/>
          <w:lang w:val="en-US" w:eastAsia="zh-CN"/>
        </w:rPr>
        <w:t>储存于</w:t>
      </w:r>
      <w:r>
        <w:rPr>
          <w:rFonts w:hint="eastAsia"/>
          <w:color w:val="auto"/>
          <w:sz w:val="24"/>
          <w:highlight w:val="none"/>
        </w:rPr>
        <w:t>化学品原料暂存间</w:t>
      </w:r>
      <w:r>
        <w:rPr>
          <w:rFonts w:hint="eastAsia" w:ascii="Times New Roman" w:hAnsi="Times New Roman"/>
          <w:color w:val="auto"/>
          <w:sz w:val="24"/>
          <w:highlight w:val="none"/>
        </w:rPr>
        <w:t>，项目最大储存量主要考虑各镀槽中风险源在线量及车间暂存量。</w:t>
      </w:r>
    </w:p>
    <w:p w14:paraId="4B897E2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eastAsiaTheme="minorEastAsia"/>
          <w:color w:val="00B0F0"/>
          <w:kern w:val="0"/>
          <w:sz w:val="24"/>
          <w:szCs w:val="24"/>
          <w:highlight w:val="none"/>
          <w:lang w:val="en-US" w:eastAsia="zh-CN" w:bidi="ar"/>
        </w:rPr>
      </w:pPr>
      <w:r>
        <w:rPr>
          <w:rFonts w:hint="eastAsia" w:ascii="Times New Roman" w:hAnsi="Times New Roman"/>
          <w:color w:val="00B0F0"/>
          <w:sz w:val="24"/>
          <w:highlight w:val="none"/>
        </w:rPr>
        <w:t>a</w:t>
      </w:r>
      <w:r>
        <w:rPr>
          <w:rFonts w:hint="eastAsia" w:ascii="Times New Roman" w:hAnsi="Times New Roman"/>
          <w:color w:val="00B0F0"/>
          <w:sz w:val="24"/>
          <w:highlight w:val="none"/>
          <w:lang w:eastAsia="zh-CN"/>
        </w:rPr>
        <w:t>）</w:t>
      </w:r>
      <w:r>
        <w:rPr>
          <w:rFonts w:hint="eastAsia" w:ascii="Times New Roman" w:hAnsi="Times New Roman"/>
          <w:color w:val="00B0F0"/>
          <w:sz w:val="24"/>
          <w:highlight w:val="none"/>
          <w:lang w:val="en-US" w:eastAsia="zh-CN"/>
        </w:rPr>
        <w:t>铬酸酐、氯化镍、氨基磺酸镍、氯化铬、蓝锌水、光亮剂、柔软剂、甲基磺酸</w:t>
      </w:r>
      <w:r>
        <w:rPr>
          <w:rFonts w:hint="eastAsia"/>
          <w:color w:val="00B0F0"/>
          <w:sz w:val="24"/>
          <w:highlight w:val="none"/>
        </w:rPr>
        <w:t>等原辅料由</w:t>
      </w:r>
      <w:r>
        <w:rPr>
          <w:rFonts w:hint="eastAsia" w:ascii="Times New Roman" w:hAnsi="Times New Roman"/>
          <w:color w:val="00B0F0"/>
          <w:sz w:val="24"/>
          <w:highlight w:val="none"/>
        </w:rPr>
        <w:t>建</w:t>
      </w:r>
      <w:r>
        <w:rPr>
          <w:rFonts w:hint="eastAsia"/>
          <w:color w:val="00B0F0"/>
          <w:sz w:val="24"/>
          <w:highlight w:val="none"/>
        </w:rPr>
        <w:t>设单位自行购买，暂存于车间；风险源调查清单（暂存量）见</w:t>
      </w:r>
      <w:r>
        <w:rPr>
          <w:rFonts w:hint="eastAsia"/>
          <w:color w:val="00B0F0"/>
          <w:sz w:val="24"/>
          <w:highlight w:val="none"/>
          <w:lang w:eastAsia="zh-CN"/>
        </w:rPr>
        <w:t>下</w:t>
      </w:r>
      <w:r>
        <w:rPr>
          <w:rFonts w:hint="eastAsia"/>
          <w:color w:val="00B0F0"/>
          <w:sz w:val="24"/>
          <w:highlight w:val="none"/>
        </w:rPr>
        <w:t>表</w:t>
      </w:r>
      <w:r>
        <w:rPr>
          <w:rFonts w:hint="eastAsia"/>
          <w:color w:val="00B0F0"/>
          <w:sz w:val="24"/>
          <w:highlight w:val="none"/>
          <w:lang w:eastAsia="zh-CN"/>
        </w:rPr>
        <w:t>。</w:t>
      </w:r>
    </w:p>
    <w:p w14:paraId="758A1E5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bCs/>
          <w:color w:val="00B0F0"/>
          <w:kern w:val="0"/>
          <w:sz w:val="21"/>
          <w:szCs w:val="21"/>
          <w:highlight w:val="none"/>
          <w:lang w:val="en-US" w:eastAsia="zh-CN" w:bidi="ar"/>
        </w:rPr>
      </w:pPr>
      <w:r>
        <w:rPr>
          <w:rFonts w:hint="eastAsia" w:ascii="Times New Roman" w:hAnsi="Times New Roman" w:eastAsia="宋体" w:cs="Times New Roman"/>
          <w:b/>
          <w:bCs/>
          <w:color w:val="00B0F0"/>
          <w:kern w:val="0"/>
          <w:sz w:val="21"/>
          <w:szCs w:val="21"/>
          <w:highlight w:val="none"/>
          <w:lang w:val="en-US" w:eastAsia="zh-CN" w:bidi="ar"/>
        </w:rPr>
        <w:t>表2.1-1  建设项目风险源调查清单（暂存量）</w:t>
      </w:r>
    </w:p>
    <w:tbl>
      <w:tblPr>
        <w:tblStyle w:val="20"/>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1355"/>
        <w:gridCol w:w="1344"/>
        <w:gridCol w:w="1196"/>
        <w:gridCol w:w="839"/>
        <w:gridCol w:w="1156"/>
        <w:gridCol w:w="1144"/>
        <w:gridCol w:w="1147"/>
      </w:tblGrid>
      <w:tr w14:paraId="3DDB523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07" w:type="pct"/>
            <w:noWrap w:val="0"/>
            <w:vAlign w:val="center"/>
          </w:tcPr>
          <w:p w14:paraId="58E906F4">
            <w:pPr>
              <w:jc w:val="center"/>
              <w:rPr>
                <w:rFonts w:hint="default" w:ascii="Times New Roman" w:hAnsi="Times New Roman" w:cs="Times New Roman"/>
                <w:b/>
                <w:bCs/>
                <w:color w:val="00B0F0"/>
                <w:sz w:val="21"/>
                <w:szCs w:val="21"/>
                <w:highlight w:val="none"/>
              </w:rPr>
            </w:pPr>
            <w:r>
              <w:rPr>
                <w:rFonts w:hint="default" w:ascii="Times New Roman" w:hAnsi="Times New Roman" w:cs="Times New Roman"/>
                <w:b/>
                <w:bCs/>
                <w:color w:val="00B0F0"/>
                <w:sz w:val="21"/>
                <w:szCs w:val="21"/>
                <w:highlight w:val="none"/>
              </w:rPr>
              <w:t>序号</w:t>
            </w:r>
          </w:p>
        </w:tc>
        <w:tc>
          <w:tcPr>
            <w:tcW w:w="777" w:type="pct"/>
            <w:noWrap w:val="0"/>
            <w:vAlign w:val="center"/>
          </w:tcPr>
          <w:p w14:paraId="02EB1266">
            <w:pPr>
              <w:jc w:val="center"/>
              <w:rPr>
                <w:rFonts w:hint="default" w:ascii="Times New Roman" w:hAnsi="Times New Roman" w:cs="Times New Roman"/>
                <w:b/>
                <w:bCs/>
                <w:color w:val="00B0F0"/>
                <w:sz w:val="21"/>
                <w:szCs w:val="21"/>
                <w:highlight w:val="none"/>
              </w:rPr>
            </w:pPr>
            <w:r>
              <w:rPr>
                <w:rFonts w:hint="default" w:ascii="Times New Roman" w:hAnsi="Times New Roman" w:cs="Times New Roman"/>
                <w:b/>
                <w:bCs/>
                <w:color w:val="00B0F0"/>
                <w:sz w:val="21"/>
                <w:szCs w:val="21"/>
                <w:highlight w:val="none"/>
              </w:rPr>
              <w:t>危险物质</w:t>
            </w:r>
          </w:p>
        </w:tc>
        <w:tc>
          <w:tcPr>
            <w:tcW w:w="771" w:type="pct"/>
            <w:noWrap w:val="0"/>
            <w:vAlign w:val="center"/>
          </w:tcPr>
          <w:p w14:paraId="31925F0E">
            <w:pPr>
              <w:jc w:val="center"/>
              <w:rPr>
                <w:rFonts w:hint="default" w:ascii="Times New Roman" w:hAnsi="Times New Roman" w:cs="Times New Roman"/>
                <w:color w:val="00B0F0"/>
                <w:sz w:val="21"/>
                <w:szCs w:val="21"/>
                <w:highlight w:val="none"/>
              </w:rPr>
            </w:pPr>
            <w:r>
              <w:rPr>
                <w:rFonts w:hint="default" w:ascii="Times New Roman" w:hAnsi="Times New Roman" w:cs="Times New Roman"/>
                <w:b/>
                <w:bCs/>
                <w:color w:val="00B0F0"/>
                <w:sz w:val="21"/>
                <w:szCs w:val="21"/>
                <w:highlight w:val="none"/>
              </w:rPr>
              <w:t>主要成分</w:t>
            </w:r>
          </w:p>
        </w:tc>
        <w:tc>
          <w:tcPr>
            <w:tcW w:w="686" w:type="pct"/>
            <w:noWrap w:val="0"/>
            <w:vAlign w:val="center"/>
          </w:tcPr>
          <w:p w14:paraId="4DF71B52">
            <w:pPr>
              <w:jc w:val="center"/>
              <w:rPr>
                <w:rFonts w:hint="default" w:ascii="Times New Roman" w:hAnsi="Times New Roman" w:cs="Times New Roman"/>
                <w:b/>
                <w:bCs/>
                <w:color w:val="00B0F0"/>
                <w:sz w:val="21"/>
                <w:szCs w:val="21"/>
                <w:highlight w:val="none"/>
              </w:rPr>
            </w:pPr>
            <w:r>
              <w:rPr>
                <w:rFonts w:hint="default" w:ascii="Times New Roman" w:hAnsi="Times New Roman" w:cs="Times New Roman"/>
                <w:b/>
                <w:bCs/>
                <w:color w:val="00B0F0"/>
                <w:sz w:val="21"/>
                <w:szCs w:val="21"/>
                <w:highlight w:val="none"/>
              </w:rPr>
              <w:t>CAS号</w:t>
            </w:r>
          </w:p>
        </w:tc>
        <w:tc>
          <w:tcPr>
            <w:tcW w:w="481" w:type="pct"/>
            <w:noWrap w:val="0"/>
            <w:vAlign w:val="center"/>
          </w:tcPr>
          <w:p w14:paraId="4585A36E">
            <w:pPr>
              <w:jc w:val="center"/>
              <w:rPr>
                <w:rFonts w:hint="default" w:ascii="Times New Roman" w:hAnsi="Times New Roman" w:cs="Times New Roman" w:eastAsiaTheme="minorEastAsia"/>
                <w:b/>
                <w:bCs/>
                <w:color w:val="00B0F0"/>
                <w:sz w:val="21"/>
                <w:szCs w:val="21"/>
                <w:highlight w:val="none"/>
                <w:lang w:val="en-US" w:eastAsia="zh-CN"/>
              </w:rPr>
            </w:pPr>
            <w:r>
              <w:rPr>
                <w:rFonts w:hint="default" w:ascii="Times New Roman" w:hAnsi="Times New Roman" w:cs="Times New Roman"/>
                <w:b/>
                <w:bCs/>
                <w:color w:val="00B0F0"/>
                <w:sz w:val="21"/>
                <w:szCs w:val="21"/>
                <w:highlight w:val="none"/>
              </w:rPr>
              <w:t>最大储存量</w:t>
            </w:r>
            <w:r>
              <w:rPr>
                <w:rFonts w:hint="eastAsia" w:ascii="Times New Roman" w:hAnsi="Times New Roman" w:cs="Times New Roman"/>
                <w:b/>
                <w:bCs/>
                <w:color w:val="00B0F0"/>
                <w:sz w:val="21"/>
                <w:szCs w:val="21"/>
                <w:highlight w:val="none"/>
                <w:lang w:val="en-US" w:eastAsia="zh-CN"/>
              </w:rPr>
              <w:t>/t</w:t>
            </w:r>
          </w:p>
        </w:tc>
        <w:tc>
          <w:tcPr>
            <w:tcW w:w="662" w:type="pct"/>
            <w:noWrap w:val="0"/>
            <w:vAlign w:val="center"/>
          </w:tcPr>
          <w:p w14:paraId="736B7512">
            <w:pPr>
              <w:jc w:val="center"/>
              <w:rPr>
                <w:rFonts w:hint="default" w:ascii="Times New Roman" w:hAnsi="Times New Roman" w:cs="Times New Roman" w:eastAsiaTheme="minorEastAsia"/>
                <w:b/>
                <w:bCs/>
                <w:color w:val="00B0F0"/>
                <w:sz w:val="21"/>
                <w:szCs w:val="21"/>
                <w:highlight w:val="none"/>
                <w:lang w:val="en-US" w:eastAsia="zh-CN"/>
              </w:rPr>
            </w:pPr>
            <w:r>
              <w:rPr>
                <w:rFonts w:hint="eastAsia" w:ascii="Times New Roman" w:hAnsi="Times New Roman" w:cs="Times New Roman"/>
                <w:b/>
                <w:bCs/>
                <w:color w:val="00B0F0"/>
                <w:sz w:val="21"/>
                <w:szCs w:val="21"/>
                <w:highlight w:val="none"/>
                <w:lang w:val="en-US" w:eastAsia="zh-CN"/>
              </w:rPr>
              <w:t>临界量/t</w:t>
            </w:r>
          </w:p>
        </w:tc>
        <w:tc>
          <w:tcPr>
            <w:tcW w:w="656" w:type="pct"/>
            <w:noWrap w:val="0"/>
            <w:vAlign w:val="center"/>
          </w:tcPr>
          <w:p w14:paraId="0A722DFE">
            <w:pPr>
              <w:jc w:val="center"/>
              <w:rPr>
                <w:rFonts w:hint="default" w:ascii="Times New Roman" w:hAnsi="Times New Roman" w:cs="Times New Roman" w:eastAsiaTheme="minorEastAsia"/>
                <w:b/>
                <w:bCs/>
                <w:color w:val="00B0F0"/>
                <w:sz w:val="21"/>
                <w:szCs w:val="21"/>
                <w:highlight w:val="none"/>
                <w:lang w:val="en-US" w:eastAsia="zh-CN"/>
              </w:rPr>
            </w:pPr>
            <w:r>
              <w:rPr>
                <w:rFonts w:hint="eastAsia" w:ascii="Times New Roman" w:hAnsi="Times New Roman" w:cs="Times New Roman"/>
                <w:b/>
                <w:bCs/>
                <w:color w:val="00B0F0"/>
                <w:sz w:val="21"/>
                <w:szCs w:val="21"/>
                <w:highlight w:val="none"/>
                <w:lang w:val="en-US" w:eastAsia="zh-CN"/>
              </w:rPr>
              <w:t>Q值计算</w:t>
            </w:r>
          </w:p>
        </w:tc>
        <w:tc>
          <w:tcPr>
            <w:tcW w:w="658" w:type="pct"/>
            <w:noWrap w:val="0"/>
            <w:vAlign w:val="center"/>
          </w:tcPr>
          <w:p w14:paraId="6B6A9F25">
            <w:pPr>
              <w:jc w:val="center"/>
              <w:rPr>
                <w:rFonts w:hint="default" w:ascii="Times New Roman" w:hAnsi="Times New Roman" w:cs="Times New Roman"/>
                <w:b/>
                <w:bCs/>
                <w:color w:val="00B0F0"/>
                <w:sz w:val="21"/>
                <w:szCs w:val="21"/>
                <w:highlight w:val="none"/>
              </w:rPr>
            </w:pPr>
            <w:r>
              <w:rPr>
                <w:rFonts w:hint="default" w:ascii="Times New Roman" w:hAnsi="Times New Roman" w:cs="Times New Roman"/>
                <w:b/>
                <w:bCs/>
                <w:color w:val="00B0F0"/>
                <w:sz w:val="21"/>
                <w:szCs w:val="21"/>
                <w:highlight w:val="none"/>
              </w:rPr>
              <w:t>分布情况</w:t>
            </w:r>
          </w:p>
        </w:tc>
      </w:tr>
      <w:tr w14:paraId="11A6905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307" w:type="pct"/>
            <w:noWrap w:val="0"/>
            <w:vAlign w:val="center"/>
          </w:tcPr>
          <w:p w14:paraId="11328A06">
            <w:pPr>
              <w:jc w:val="center"/>
              <w:rPr>
                <w:rFonts w:hint="default" w:ascii="Times New Roman" w:hAnsi="Times New Roman" w:cs="Times New Roman"/>
                <w:color w:val="00B0F0"/>
                <w:sz w:val="21"/>
                <w:szCs w:val="21"/>
                <w:highlight w:val="none"/>
              </w:rPr>
            </w:pPr>
            <w:r>
              <w:rPr>
                <w:rFonts w:hint="default" w:ascii="Times New Roman" w:hAnsi="Times New Roman" w:cs="Times New Roman"/>
                <w:color w:val="00B0F0"/>
                <w:sz w:val="21"/>
                <w:szCs w:val="21"/>
                <w:highlight w:val="none"/>
              </w:rPr>
              <w:t>1</w:t>
            </w:r>
          </w:p>
        </w:tc>
        <w:tc>
          <w:tcPr>
            <w:tcW w:w="777" w:type="pct"/>
            <w:noWrap w:val="0"/>
            <w:vAlign w:val="center"/>
          </w:tcPr>
          <w:p w14:paraId="6CFC1E16">
            <w:pPr>
              <w:adjustRightInd w:val="0"/>
              <w:snapToGrid w:val="0"/>
              <w:jc w:val="center"/>
              <w:rPr>
                <w:rFonts w:hint="eastAsia" w:ascii="Times New Roman" w:hAnsi="Times New Roman" w:cs="Times New Roman" w:eastAsiaTheme="minorEastAsia"/>
                <w:color w:val="00B0F0"/>
                <w:sz w:val="21"/>
                <w:szCs w:val="21"/>
                <w:highlight w:val="none"/>
                <w:lang w:eastAsia="zh-CN"/>
              </w:rPr>
            </w:pPr>
            <w:r>
              <w:rPr>
                <w:rFonts w:hint="eastAsia" w:ascii="Times New Roman" w:hAnsi="Times New Roman" w:cs="Times New Roman" w:eastAsiaTheme="minorEastAsia"/>
                <w:color w:val="00B0F0"/>
                <w:sz w:val="21"/>
                <w:szCs w:val="21"/>
                <w:highlight w:val="none"/>
                <w:lang w:val="en-US" w:eastAsia="zh-CN"/>
              </w:rPr>
              <w:t>铬酸酐</w:t>
            </w:r>
          </w:p>
        </w:tc>
        <w:tc>
          <w:tcPr>
            <w:tcW w:w="771" w:type="pct"/>
            <w:noWrap w:val="0"/>
            <w:vAlign w:val="center"/>
          </w:tcPr>
          <w:p w14:paraId="2F80FEDE">
            <w:pPr>
              <w:jc w:val="center"/>
              <w:rPr>
                <w:rFonts w:hint="default" w:ascii="Times New Roman" w:hAnsi="Times New Roman" w:cs="Times New Roman"/>
                <w:color w:val="00B0F0"/>
                <w:sz w:val="21"/>
                <w:szCs w:val="21"/>
                <w:highlight w:val="none"/>
              </w:rPr>
            </w:pPr>
            <w:r>
              <w:rPr>
                <w:rFonts w:hint="default" w:ascii="Times New Roman" w:hAnsi="Times New Roman" w:cs="Times New Roman"/>
                <w:color w:val="00B0F0"/>
                <w:sz w:val="21"/>
                <w:szCs w:val="21"/>
                <w:highlight w:val="none"/>
                <w:shd w:val="clear" w:color="auto" w:fill="FFFFFF"/>
              </w:rPr>
              <w:t>Cr</w:t>
            </w:r>
            <w:r>
              <w:rPr>
                <w:rFonts w:hint="default" w:ascii="Times New Roman" w:hAnsi="Times New Roman" w:cs="Times New Roman"/>
                <w:color w:val="00B0F0"/>
                <w:sz w:val="21"/>
                <w:szCs w:val="21"/>
                <w:highlight w:val="none"/>
              </w:rPr>
              <w:t>O</w:t>
            </w:r>
            <w:r>
              <w:rPr>
                <w:rFonts w:hint="default" w:ascii="Times New Roman" w:hAnsi="Times New Roman" w:cs="Times New Roman"/>
                <w:color w:val="00B0F0"/>
                <w:sz w:val="21"/>
                <w:szCs w:val="21"/>
                <w:highlight w:val="none"/>
                <w:shd w:val="clear" w:color="auto" w:fill="FFFFFF"/>
                <w:vertAlign w:val="subscript"/>
              </w:rPr>
              <w:t>3</w:t>
            </w:r>
          </w:p>
        </w:tc>
        <w:tc>
          <w:tcPr>
            <w:tcW w:w="686" w:type="pct"/>
            <w:noWrap w:val="0"/>
            <w:vAlign w:val="center"/>
          </w:tcPr>
          <w:p w14:paraId="44AC867C">
            <w:pPr>
              <w:pStyle w:val="28"/>
              <w:tabs>
                <w:tab w:val="left" w:pos="425"/>
              </w:tabs>
              <w:adjustRightInd w:val="0"/>
              <w:snapToGrid w:val="0"/>
              <w:spacing w:before="0" w:after="0"/>
              <w:rPr>
                <w:rFonts w:hint="default" w:ascii="Times New Roman" w:hAnsi="Times New Roman" w:cs="Times New Roman"/>
                <w:color w:val="00B0F0"/>
                <w:sz w:val="21"/>
                <w:szCs w:val="21"/>
                <w:highlight w:val="none"/>
              </w:rPr>
            </w:pPr>
            <w:r>
              <w:rPr>
                <w:rFonts w:hint="default" w:ascii="Times New Roman" w:hAnsi="Times New Roman" w:cs="Times New Roman"/>
                <w:color w:val="00B0F0"/>
                <w:sz w:val="21"/>
                <w:szCs w:val="21"/>
                <w:highlight w:val="none"/>
              </w:rPr>
              <w:t>773894-5</w:t>
            </w:r>
          </w:p>
        </w:tc>
        <w:tc>
          <w:tcPr>
            <w:tcW w:w="481" w:type="pct"/>
            <w:noWrap w:val="0"/>
            <w:vAlign w:val="center"/>
          </w:tcPr>
          <w:p w14:paraId="7A90E913">
            <w:pPr>
              <w:pStyle w:val="27"/>
              <w:rPr>
                <w:rFonts w:hint="default" w:ascii="Times New Roman" w:hAnsi="Times New Roman" w:eastAsia="宋体" w:cs="Times New Roman"/>
                <w:color w:val="00B0F0"/>
                <w:sz w:val="21"/>
                <w:szCs w:val="21"/>
                <w:highlight w:val="none"/>
                <w:lang w:val="en-US" w:eastAsia="zh-CN"/>
              </w:rPr>
            </w:pPr>
            <w:r>
              <w:rPr>
                <w:rFonts w:hint="eastAsia" w:cs="Times New Roman"/>
                <w:color w:val="00B0F0"/>
                <w:sz w:val="21"/>
                <w:szCs w:val="21"/>
                <w:highlight w:val="none"/>
                <w:lang w:val="en-US" w:eastAsia="zh-CN"/>
              </w:rPr>
              <w:t>0.03</w:t>
            </w:r>
          </w:p>
        </w:tc>
        <w:tc>
          <w:tcPr>
            <w:tcW w:w="662" w:type="pct"/>
            <w:noWrap w:val="0"/>
            <w:vAlign w:val="center"/>
          </w:tcPr>
          <w:p w14:paraId="5B03F2C2">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0.25</w:t>
            </w:r>
          </w:p>
        </w:tc>
        <w:tc>
          <w:tcPr>
            <w:tcW w:w="656" w:type="pct"/>
            <w:noWrap w:val="0"/>
            <w:vAlign w:val="center"/>
          </w:tcPr>
          <w:p w14:paraId="42AAF8B7">
            <w:pPr>
              <w:pStyle w:val="27"/>
              <w:rPr>
                <w:rFonts w:hint="eastAsia" w:ascii="Times New Roman" w:hAnsi="Times New Roman" w:eastAsia="宋体" w:cs="Times New Roman"/>
                <w:color w:val="00B0F0"/>
                <w:sz w:val="21"/>
                <w:szCs w:val="21"/>
                <w:highlight w:val="none"/>
                <w:lang w:val="en-US" w:eastAsia="zh-CN"/>
              </w:rPr>
            </w:pPr>
            <w:r>
              <w:rPr>
                <w:rFonts w:hint="eastAsia" w:ascii="Times New Roman" w:hAnsi="Times New Roman" w:eastAsia="宋体" w:cs="Times New Roman"/>
                <w:color w:val="00B0F0"/>
                <w:sz w:val="21"/>
                <w:szCs w:val="21"/>
                <w:highlight w:val="none"/>
                <w:lang w:val="en-US" w:eastAsia="zh-CN"/>
              </w:rPr>
              <w:t>0.12</w:t>
            </w:r>
          </w:p>
        </w:tc>
        <w:tc>
          <w:tcPr>
            <w:tcW w:w="658" w:type="pct"/>
            <w:vMerge w:val="restart"/>
            <w:noWrap w:val="0"/>
            <w:vAlign w:val="center"/>
          </w:tcPr>
          <w:p w14:paraId="38E8310D">
            <w:pPr>
              <w:jc w:val="center"/>
              <w:rPr>
                <w:rFonts w:hint="default" w:ascii="Times New Roman" w:hAnsi="Times New Roman" w:cs="Times New Roman"/>
                <w:color w:val="00B0F0"/>
                <w:sz w:val="21"/>
                <w:szCs w:val="21"/>
                <w:highlight w:val="none"/>
              </w:rPr>
            </w:pPr>
            <w:r>
              <w:rPr>
                <w:rFonts w:hint="default" w:ascii="Times New Roman" w:hAnsi="Times New Roman" w:cs="Times New Roman"/>
                <w:color w:val="00B0F0"/>
                <w:sz w:val="21"/>
                <w:szCs w:val="21"/>
                <w:highlight w:val="none"/>
              </w:rPr>
              <w:t>车间原料暂存间</w:t>
            </w:r>
          </w:p>
        </w:tc>
      </w:tr>
      <w:tr w14:paraId="39F9C2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307" w:type="pct"/>
            <w:shd w:val="clear" w:color="auto" w:fill="auto"/>
            <w:noWrap w:val="0"/>
            <w:vAlign w:val="center"/>
          </w:tcPr>
          <w:p w14:paraId="1A1DCBAF">
            <w:pPr>
              <w:jc w:val="center"/>
              <w:rPr>
                <w:rFonts w:hint="eastAsia" w:ascii="Times New Roman" w:hAnsi="Times New Roman" w:cs="Times New Roman" w:eastAsiaTheme="minorEastAsia"/>
                <w:snapToGrid w:val="0"/>
                <w:color w:val="00B0F0"/>
                <w:sz w:val="21"/>
                <w:szCs w:val="21"/>
                <w:highlight w:val="none"/>
                <w:lang w:val="en-US" w:eastAsia="zh-CN" w:bidi="ar-SA"/>
              </w:rPr>
            </w:pPr>
            <w:r>
              <w:rPr>
                <w:rFonts w:hint="eastAsia" w:ascii="Times New Roman" w:hAnsi="Times New Roman" w:cs="Times New Roman"/>
                <w:color w:val="00B0F0"/>
                <w:sz w:val="21"/>
                <w:szCs w:val="21"/>
                <w:highlight w:val="none"/>
                <w:lang w:val="en-US" w:eastAsia="zh-CN"/>
              </w:rPr>
              <w:t>2</w:t>
            </w:r>
          </w:p>
        </w:tc>
        <w:tc>
          <w:tcPr>
            <w:tcW w:w="777" w:type="pct"/>
            <w:noWrap w:val="0"/>
            <w:vAlign w:val="center"/>
          </w:tcPr>
          <w:p w14:paraId="3707A371">
            <w:pPr>
              <w:adjustRightInd w:val="0"/>
              <w:snapToGrid w:val="0"/>
              <w:jc w:val="center"/>
              <w:rPr>
                <w:rFonts w:hint="default" w:ascii="Times New Roman" w:hAnsi="Times New Roman" w:cs="Times New Roman"/>
                <w:color w:val="00B0F0"/>
                <w:kern w:val="0"/>
                <w:sz w:val="21"/>
                <w:szCs w:val="21"/>
                <w:highlight w:val="none"/>
              </w:rPr>
            </w:pPr>
            <w:r>
              <w:rPr>
                <w:rFonts w:hint="default" w:ascii="Times New Roman" w:hAnsi="Times New Roman" w:cs="Times New Roman"/>
                <w:color w:val="00B0F0"/>
                <w:sz w:val="21"/>
                <w:szCs w:val="21"/>
                <w:highlight w:val="none"/>
              </w:rPr>
              <w:t>氯化镍</w:t>
            </w:r>
          </w:p>
        </w:tc>
        <w:tc>
          <w:tcPr>
            <w:tcW w:w="771" w:type="pct"/>
            <w:noWrap w:val="0"/>
            <w:vAlign w:val="center"/>
          </w:tcPr>
          <w:p w14:paraId="5D37D17E">
            <w:pPr>
              <w:jc w:val="center"/>
              <w:rPr>
                <w:rFonts w:hint="default" w:ascii="Times New Roman" w:hAnsi="Times New Roman" w:cs="Times New Roman"/>
                <w:color w:val="00B0F0"/>
                <w:sz w:val="21"/>
                <w:szCs w:val="21"/>
                <w:highlight w:val="none"/>
              </w:rPr>
            </w:pPr>
            <w:r>
              <w:rPr>
                <w:rFonts w:hint="default" w:ascii="Times New Roman" w:hAnsi="Times New Roman" w:eastAsia="宋体" w:cs="Times New Roman"/>
                <w:color w:val="0000FF"/>
                <w:kern w:val="2"/>
                <w:sz w:val="21"/>
                <w:szCs w:val="20"/>
                <w:highlight w:val="none"/>
                <w:lang w:val="en-US" w:bidi="ar-SA"/>
              </w:rPr>
              <w:t>NiCl</w:t>
            </w:r>
            <w:r>
              <w:rPr>
                <w:rFonts w:hint="default" w:ascii="Times New Roman" w:hAnsi="Times New Roman" w:eastAsia="宋体" w:cs="Times New Roman"/>
                <w:color w:val="0000FF"/>
                <w:kern w:val="2"/>
                <w:sz w:val="21"/>
                <w:szCs w:val="20"/>
                <w:highlight w:val="none"/>
                <w:vertAlign w:val="subscript"/>
                <w:lang w:val="en-US" w:bidi="ar-SA"/>
              </w:rPr>
              <w:t>2</w:t>
            </w:r>
            <w:r>
              <w:rPr>
                <w:rFonts w:hint="default" w:ascii="Times New Roman" w:hAnsi="Times New Roman" w:eastAsia="宋体" w:cs="Times New Roman"/>
                <w:color w:val="0000FF"/>
                <w:kern w:val="2"/>
                <w:sz w:val="21"/>
                <w:szCs w:val="20"/>
                <w:highlight w:val="none"/>
                <w:lang w:val="en-US" w:bidi="ar-SA"/>
              </w:rPr>
              <w:t>·6H</w:t>
            </w:r>
            <w:r>
              <w:rPr>
                <w:rFonts w:hint="default" w:ascii="Times New Roman" w:hAnsi="Times New Roman" w:eastAsia="宋体" w:cs="Times New Roman"/>
                <w:color w:val="0000FF"/>
                <w:kern w:val="2"/>
                <w:sz w:val="21"/>
                <w:szCs w:val="20"/>
                <w:highlight w:val="none"/>
                <w:vertAlign w:val="subscript"/>
                <w:lang w:val="en-US" w:bidi="ar-SA"/>
              </w:rPr>
              <w:t>2</w:t>
            </w:r>
            <w:r>
              <w:rPr>
                <w:rFonts w:hint="default" w:ascii="Times New Roman" w:hAnsi="Times New Roman" w:eastAsia="宋体" w:cs="Times New Roman"/>
                <w:color w:val="0000FF"/>
                <w:kern w:val="2"/>
                <w:sz w:val="21"/>
                <w:szCs w:val="20"/>
                <w:highlight w:val="none"/>
                <w:lang w:val="en-US" w:bidi="ar-SA"/>
              </w:rPr>
              <w:t>O</w:t>
            </w:r>
          </w:p>
        </w:tc>
        <w:tc>
          <w:tcPr>
            <w:tcW w:w="686" w:type="pct"/>
            <w:noWrap w:val="0"/>
            <w:vAlign w:val="center"/>
          </w:tcPr>
          <w:p w14:paraId="207C699E">
            <w:pPr>
              <w:pStyle w:val="28"/>
              <w:tabs>
                <w:tab w:val="left" w:pos="425"/>
              </w:tabs>
              <w:adjustRightInd w:val="0"/>
              <w:snapToGrid w:val="0"/>
              <w:spacing w:before="0" w:after="0"/>
              <w:rPr>
                <w:rFonts w:hint="default" w:ascii="Times New Roman" w:hAnsi="Times New Roman" w:cs="Times New Roman"/>
                <w:color w:val="00B0F0"/>
                <w:sz w:val="21"/>
                <w:szCs w:val="21"/>
                <w:highlight w:val="none"/>
              </w:rPr>
            </w:pPr>
            <w:r>
              <w:rPr>
                <w:rFonts w:hint="default" w:ascii="Times New Roman" w:hAnsi="Times New Roman" w:cs="Times New Roman"/>
                <w:color w:val="00B0F0"/>
                <w:sz w:val="21"/>
                <w:szCs w:val="21"/>
                <w:highlight w:val="none"/>
              </w:rPr>
              <w:t>7718-54-9</w:t>
            </w:r>
          </w:p>
        </w:tc>
        <w:tc>
          <w:tcPr>
            <w:tcW w:w="481" w:type="pct"/>
            <w:noWrap w:val="0"/>
            <w:vAlign w:val="center"/>
          </w:tcPr>
          <w:p w14:paraId="6352700D">
            <w:pPr>
              <w:pStyle w:val="27"/>
              <w:rPr>
                <w:rFonts w:hint="default" w:ascii="Times New Roman" w:hAnsi="Times New Roman" w:cs="Times New Roman"/>
                <w:color w:val="00B0F0"/>
                <w:sz w:val="21"/>
                <w:szCs w:val="21"/>
                <w:highlight w:val="none"/>
                <w:lang w:val="en-US"/>
              </w:rPr>
            </w:pPr>
            <w:r>
              <w:rPr>
                <w:rFonts w:hint="eastAsia" w:cs="Times New Roman"/>
                <w:color w:val="00B0F0"/>
                <w:sz w:val="21"/>
                <w:szCs w:val="21"/>
                <w:highlight w:val="none"/>
                <w:lang w:val="en-US" w:eastAsia="zh-CN"/>
              </w:rPr>
              <w:t>0.4</w:t>
            </w:r>
          </w:p>
        </w:tc>
        <w:tc>
          <w:tcPr>
            <w:tcW w:w="662" w:type="pct"/>
            <w:noWrap w:val="0"/>
            <w:vAlign w:val="center"/>
          </w:tcPr>
          <w:p w14:paraId="347C54FF">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0.25</w:t>
            </w:r>
          </w:p>
        </w:tc>
        <w:tc>
          <w:tcPr>
            <w:tcW w:w="656" w:type="pct"/>
            <w:noWrap w:val="0"/>
            <w:vAlign w:val="center"/>
          </w:tcPr>
          <w:p w14:paraId="0F2D8258">
            <w:pPr>
              <w:pStyle w:val="27"/>
              <w:rPr>
                <w:rFonts w:hint="default" w:ascii="Times New Roman" w:hAnsi="Times New Roman" w:eastAsia="宋体" w:cs="Times New Roman"/>
                <w:color w:val="00B0F0"/>
                <w:sz w:val="21"/>
                <w:szCs w:val="21"/>
                <w:highlight w:val="none"/>
                <w:lang w:val="en-US" w:eastAsia="zh-CN"/>
              </w:rPr>
            </w:pPr>
            <w:r>
              <w:rPr>
                <w:rFonts w:hint="eastAsia" w:cs="Times New Roman"/>
                <w:color w:val="00B0F0"/>
                <w:sz w:val="21"/>
                <w:szCs w:val="21"/>
                <w:highlight w:val="none"/>
                <w:lang w:val="en-US" w:eastAsia="zh-CN"/>
              </w:rPr>
              <w:t>1.6</w:t>
            </w:r>
          </w:p>
        </w:tc>
        <w:tc>
          <w:tcPr>
            <w:tcW w:w="658" w:type="pct"/>
            <w:vMerge w:val="continue"/>
            <w:noWrap w:val="0"/>
            <w:vAlign w:val="center"/>
          </w:tcPr>
          <w:p w14:paraId="2D3DD5B1">
            <w:pPr>
              <w:jc w:val="center"/>
              <w:rPr>
                <w:rFonts w:hint="default" w:ascii="Times New Roman" w:hAnsi="Times New Roman" w:cs="Times New Roman"/>
                <w:color w:val="00B0F0"/>
                <w:sz w:val="21"/>
                <w:szCs w:val="21"/>
                <w:highlight w:val="none"/>
              </w:rPr>
            </w:pPr>
          </w:p>
        </w:tc>
      </w:tr>
      <w:tr w14:paraId="7384A96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07" w:type="pct"/>
            <w:shd w:val="clear" w:color="auto" w:fill="auto"/>
            <w:noWrap w:val="0"/>
            <w:vAlign w:val="center"/>
          </w:tcPr>
          <w:p w14:paraId="66E220A6">
            <w:pPr>
              <w:jc w:val="center"/>
              <w:rPr>
                <w:rFonts w:hint="eastAsia" w:ascii="Times New Roman" w:hAnsi="Times New Roman" w:cs="Times New Roman" w:eastAsiaTheme="minorEastAsia"/>
                <w:snapToGrid w:val="0"/>
                <w:color w:val="00B0F0"/>
                <w:sz w:val="21"/>
                <w:szCs w:val="21"/>
                <w:highlight w:val="none"/>
                <w:lang w:val="en-US" w:eastAsia="zh-CN" w:bidi="ar-SA"/>
              </w:rPr>
            </w:pPr>
            <w:r>
              <w:rPr>
                <w:rFonts w:hint="eastAsia" w:ascii="Times New Roman" w:hAnsi="Times New Roman" w:cs="Times New Roman"/>
                <w:color w:val="00B0F0"/>
                <w:sz w:val="21"/>
                <w:szCs w:val="21"/>
                <w:highlight w:val="none"/>
                <w:lang w:val="en-US" w:eastAsia="zh-CN"/>
              </w:rPr>
              <w:t>3</w:t>
            </w:r>
          </w:p>
        </w:tc>
        <w:tc>
          <w:tcPr>
            <w:tcW w:w="777" w:type="pct"/>
            <w:noWrap w:val="0"/>
            <w:vAlign w:val="center"/>
          </w:tcPr>
          <w:p w14:paraId="3AF8CD3C">
            <w:pPr>
              <w:adjustRightInd w:val="0"/>
              <w:snapToGrid w:val="0"/>
              <w:jc w:val="center"/>
              <w:rPr>
                <w:rFonts w:hint="default" w:ascii="Times New Roman" w:hAnsi="Times New Roman" w:cs="Times New Roman"/>
                <w:color w:val="00B0F0"/>
                <w:sz w:val="21"/>
                <w:szCs w:val="21"/>
                <w:highlight w:val="none"/>
              </w:rPr>
            </w:pPr>
            <w:r>
              <w:rPr>
                <w:rFonts w:hint="default" w:ascii="Times New Roman" w:hAnsi="Times New Roman" w:eastAsia="宋体" w:cs="Times New Roman"/>
                <w:color w:val="00B0F0"/>
                <w:lang w:eastAsia="zh-CN"/>
              </w:rPr>
              <w:t>氨基磺酸镍</w:t>
            </w:r>
          </w:p>
        </w:tc>
        <w:tc>
          <w:tcPr>
            <w:tcW w:w="771" w:type="pct"/>
            <w:noWrap w:val="0"/>
            <w:vAlign w:val="center"/>
          </w:tcPr>
          <w:p w14:paraId="26605B56">
            <w:pPr>
              <w:jc w:val="center"/>
              <w:rPr>
                <w:rFonts w:hint="default" w:ascii="Times New Roman" w:hAnsi="Times New Roman" w:cs="Times New Roman"/>
                <w:color w:val="00B0F0"/>
                <w:sz w:val="21"/>
                <w:szCs w:val="21"/>
                <w:highlight w:val="none"/>
              </w:rPr>
            </w:pPr>
            <w:r>
              <w:rPr>
                <w:rFonts w:hint="default" w:ascii="Times New Roman" w:hAnsi="Times New Roman" w:eastAsia="宋体" w:cs="Times New Roman"/>
                <w:color w:val="00B0F0"/>
                <w:lang w:eastAsia="zh-CN"/>
              </w:rPr>
              <w:t>Ni（NH</w:t>
            </w:r>
            <w:r>
              <w:rPr>
                <w:rFonts w:hint="default" w:ascii="Times New Roman" w:hAnsi="Times New Roman" w:eastAsia="宋体" w:cs="Times New Roman"/>
                <w:color w:val="00B0F0"/>
                <w:vertAlign w:val="subscript"/>
                <w:lang w:eastAsia="zh-CN"/>
              </w:rPr>
              <w:t>2</w:t>
            </w:r>
            <w:r>
              <w:rPr>
                <w:rFonts w:hint="default" w:ascii="Times New Roman" w:hAnsi="Times New Roman" w:eastAsia="宋体" w:cs="Times New Roman"/>
                <w:color w:val="00B0F0"/>
                <w:lang w:eastAsia="zh-CN"/>
              </w:rPr>
              <w:t>SO</w:t>
            </w:r>
            <w:r>
              <w:rPr>
                <w:rFonts w:hint="default" w:ascii="Times New Roman" w:hAnsi="Times New Roman" w:eastAsia="宋体" w:cs="Times New Roman"/>
                <w:color w:val="00B0F0"/>
                <w:vertAlign w:val="subscript"/>
                <w:lang w:eastAsia="zh-CN"/>
              </w:rPr>
              <w:t>3</w:t>
            </w:r>
            <w:r>
              <w:rPr>
                <w:rFonts w:hint="default" w:ascii="Times New Roman" w:hAnsi="Times New Roman" w:eastAsia="宋体" w:cs="Times New Roman"/>
                <w:color w:val="00B0F0"/>
                <w:lang w:eastAsia="zh-CN"/>
              </w:rPr>
              <w:t>）</w:t>
            </w:r>
            <w:r>
              <w:rPr>
                <w:rFonts w:hint="default" w:ascii="Times New Roman" w:hAnsi="Times New Roman" w:eastAsia="宋体" w:cs="Times New Roman"/>
                <w:color w:val="00B0F0"/>
                <w:vertAlign w:val="subscript"/>
                <w:lang w:eastAsia="zh-CN"/>
              </w:rPr>
              <w:t>2</w:t>
            </w:r>
          </w:p>
        </w:tc>
        <w:tc>
          <w:tcPr>
            <w:tcW w:w="686" w:type="pct"/>
            <w:noWrap w:val="0"/>
            <w:vAlign w:val="center"/>
          </w:tcPr>
          <w:p w14:paraId="12EA50DC">
            <w:pPr>
              <w:pStyle w:val="28"/>
              <w:tabs>
                <w:tab w:val="left" w:pos="425"/>
              </w:tabs>
              <w:adjustRightInd w:val="0"/>
              <w:snapToGrid w:val="0"/>
              <w:spacing w:before="0" w:after="0"/>
              <w:rPr>
                <w:rFonts w:hint="default" w:ascii="Times New Roman" w:hAnsi="Times New Roman" w:cs="Times New Roman"/>
                <w:color w:val="00B0F0"/>
                <w:sz w:val="21"/>
                <w:szCs w:val="21"/>
                <w:highlight w:val="none"/>
              </w:rPr>
            </w:pPr>
            <w:r>
              <w:rPr>
                <w:rFonts w:hint="eastAsia" w:ascii="Times New Roman" w:hAnsi="Times New Roman" w:cs="Times New Roman"/>
                <w:color w:val="00B0F0"/>
                <w:sz w:val="21"/>
                <w:szCs w:val="21"/>
                <w:highlight w:val="none"/>
                <w:lang w:val="en-US" w:eastAsia="zh-CN"/>
              </w:rPr>
              <w:t>/</w:t>
            </w:r>
          </w:p>
        </w:tc>
        <w:tc>
          <w:tcPr>
            <w:tcW w:w="481" w:type="pct"/>
            <w:noWrap w:val="0"/>
            <w:vAlign w:val="center"/>
          </w:tcPr>
          <w:p w14:paraId="09B91A91">
            <w:pPr>
              <w:pStyle w:val="27"/>
              <w:rPr>
                <w:rFonts w:hint="default" w:ascii="Times New Roman" w:hAnsi="Times New Roman" w:cs="Times New Roman"/>
                <w:color w:val="00B0F0"/>
                <w:sz w:val="21"/>
                <w:szCs w:val="21"/>
                <w:highlight w:val="none"/>
                <w:lang w:val="en-US"/>
              </w:rPr>
            </w:pPr>
            <w:r>
              <w:rPr>
                <w:rFonts w:hint="eastAsia" w:cs="Times New Roman"/>
                <w:color w:val="00B0F0"/>
                <w:sz w:val="21"/>
                <w:szCs w:val="21"/>
                <w:highlight w:val="none"/>
                <w:lang w:val="en-US" w:eastAsia="zh-CN"/>
              </w:rPr>
              <w:t>0.117（以镍计）</w:t>
            </w:r>
          </w:p>
        </w:tc>
        <w:tc>
          <w:tcPr>
            <w:tcW w:w="662" w:type="pct"/>
            <w:noWrap w:val="0"/>
            <w:vAlign w:val="center"/>
          </w:tcPr>
          <w:p w14:paraId="1F65D94F">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0.25</w:t>
            </w:r>
          </w:p>
        </w:tc>
        <w:tc>
          <w:tcPr>
            <w:tcW w:w="656" w:type="pct"/>
            <w:noWrap w:val="0"/>
            <w:vAlign w:val="center"/>
          </w:tcPr>
          <w:p w14:paraId="27AE329B">
            <w:pPr>
              <w:pStyle w:val="27"/>
              <w:rPr>
                <w:rFonts w:hint="default" w:ascii="Times New Roman" w:hAnsi="Times New Roman" w:eastAsia="宋体" w:cs="Times New Roman"/>
                <w:color w:val="00B0F0"/>
                <w:sz w:val="21"/>
                <w:szCs w:val="21"/>
                <w:highlight w:val="none"/>
                <w:lang w:val="en-US" w:eastAsia="zh-CN"/>
              </w:rPr>
            </w:pPr>
            <w:r>
              <w:rPr>
                <w:rFonts w:hint="eastAsia" w:cs="Times New Roman"/>
                <w:color w:val="00B0F0"/>
                <w:sz w:val="21"/>
                <w:szCs w:val="21"/>
                <w:highlight w:val="none"/>
                <w:lang w:val="en-US" w:eastAsia="zh-CN"/>
              </w:rPr>
              <w:t>0.468</w:t>
            </w:r>
          </w:p>
        </w:tc>
        <w:tc>
          <w:tcPr>
            <w:tcW w:w="658" w:type="pct"/>
            <w:vMerge w:val="continue"/>
            <w:noWrap w:val="0"/>
            <w:vAlign w:val="center"/>
          </w:tcPr>
          <w:p w14:paraId="2ED78F41">
            <w:pPr>
              <w:jc w:val="center"/>
              <w:rPr>
                <w:rFonts w:hint="default" w:ascii="Times New Roman" w:hAnsi="Times New Roman" w:cs="Times New Roman"/>
                <w:color w:val="00B0F0"/>
                <w:sz w:val="21"/>
                <w:szCs w:val="21"/>
                <w:highlight w:val="none"/>
              </w:rPr>
            </w:pPr>
          </w:p>
        </w:tc>
      </w:tr>
      <w:tr w14:paraId="5E2999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07" w:type="pct"/>
            <w:shd w:val="clear" w:color="auto" w:fill="auto"/>
            <w:noWrap w:val="0"/>
            <w:vAlign w:val="center"/>
          </w:tcPr>
          <w:p w14:paraId="07CE0A6C">
            <w:pPr>
              <w:jc w:val="center"/>
              <w:rPr>
                <w:rFonts w:hint="eastAsia" w:ascii="Times New Roman" w:hAnsi="Times New Roman" w:cs="Times New Roman" w:eastAsiaTheme="minorEastAsia"/>
                <w:color w:val="00B0F0"/>
                <w:sz w:val="21"/>
                <w:szCs w:val="21"/>
                <w:highlight w:val="none"/>
                <w:lang w:val="en-US" w:eastAsia="zh-CN"/>
              </w:rPr>
            </w:pPr>
            <w:r>
              <w:rPr>
                <w:rFonts w:hint="eastAsia" w:ascii="Times New Roman" w:hAnsi="Times New Roman" w:cs="Times New Roman"/>
                <w:color w:val="00B0F0"/>
                <w:sz w:val="21"/>
                <w:szCs w:val="21"/>
                <w:highlight w:val="none"/>
                <w:lang w:val="en-US" w:eastAsia="zh-CN"/>
              </w:rPr>
              <w:t>4</w:t>
            </w:r>
          </w:p>
        </w:tc>
        <w:tc>
          <w:tcPr>
            <w:tcW w:w="777" w:type="pct"/>
            <w:noWrap w:val="0"/>
            <w:vAlign w:val="center"/>
          </w:tcPr>
          <w:p w14:paraId="405E552B">
            <w:pPr>
              <w:adjustRightInd w:val="0"/>
              <w:snapToGrid w:val="0"/>
              <w:jc w:val="center"/>
              <w:rPr>
                <w:rFonts w:hint="default" w:ascii="Times New Roman" w:hAnsi="Times New Roman" w:eastAsia="宋体" w:cs="Times New Roman"/>
                <w:color w:val="00B0F0"/>
                <w:lang w:val="en-US" w:eastAsia="zh-CN"/>
              </w:rPr>
            </w:pPr>
            <w:r>
              <w:rPr>
                <w:rFonts w:hint="eastAsia" w:ascii="Times New Roman" w:hAnsi="Times New Roman" w:eastAsia="宋体" w:cs="Times New Roman"/>
                <w:color w:val="00B0F0"/>
                <w:lang w:val="en-US" w:eastAsia="zh-CN"/>
              </w:rPr>
              <w:t>氯化铬</w:t>
            </w:r>
          </w:p>
        </w:tc>
        <w:tc>
          <w:tcPr>
            <w:tcW w:w="771" w:type="pct"/>
            <w:noWrap w:val="0"/>
            <w:vAlign w:val="center"/>
          </w:tcPr>
          <w:p w14:paraId="583C2BDC">
            <w:pPr>
              <w:jc w:val="center"/>
              <w:rPr>
                <w:rFonts w:hint="default" w:ascii="Times New Roman" w:hAnsi="Times New Roman" w:eastAsia="宋体" w:cs="Times New Roman"/>
                <w:color w:val="00B0F0"/>
                <w:lang w:eastAsia="zh-CN"/>
              </w:rPr>
            </w:pPr>
            <w:r>
              <w:rPr>
                <w:rFonts w:hint="default" w:ascii="Times New Roman" w:hAnsi="Times New Roman" w:eastAsia="宋体" w:cs="Times New Roman"/>
                <w:color w:val="00B0F0"/>
                <w:lang w:eastAsia="zh-CN"/>
              </w:rPr>
              <w:t>Cl</w:t>
            </w:r>
            <w:r>
              <w:rPr>
                <w:rFonts w:hint="default" w:ascii="Times New Roman" w:hAnsi="Times New Roman" w:eastAsia="宋体" w:cs="Times New Roman"/>
                <w:color w:val="00B0F0"/>
                <w:vertAlign w:val="subscript"/>
                <w:lang w:eastAsia="zh-CN"/>
              </w:rPr>
              <w:t>2</w:t>
            </w:r>
            <w:r>
              <w:rPr>
                <w:rFonts w:hint="default" w:ascii="Times New Roman" w:hAnsi="Times New Roman" w:eastAsia="宋体" w:cs="Times New Roman"/>
                <w:color w:val="00B0F0"/>
                <w:lang w:eastAsia="zh-CN"/>
              </w:rPr>
              <w:t>Cr</w:t>
            </w:r>
          </w:p>
        </w:tc>
        <w:tc>
          <w:tcPr>
            <w:tcW w:w="686" w:type="pct"/>
            <w:noWrap w:val="0"/>
            <w:vAlign w:val="center"/>
          </w:tcPr>
          <w:p w14:paraId="2A4E0A87">
            <w:pPr>
              <w:pStyle w:val="28"/>
              <w:tabs>
                <w:tab w:val="left" w:pos="425"/>
              </w:tabs>
              <w:adjustRightInd w:val="0"/>
              <w:snapToGrid w:val="0"/>
              <w:spacing w:before="0" w:after="0"/>
              <w:rPr>
                <w:rFonts w:hint="eastAsia" w:ascii="Times New Roman" w:hAnsi="Times New Roman" w:cs="Times New Roman"/>
                <w:color w:val="00B0F0"/>
                <w:sz w:val="21"/>
                <w:szCs w:val="21"/>
                <w:highlight w:val="none"/>
                <w:lang w:val="en-US" w:eastAsia="zh-CN"/>
              </w:rPr>
            </w:pPr>
            <w:r>
              <w:rPr>
                <w:rFonts w:hint="eastAsia" w:ascii="Times New Roman" w:hAnsi="Times New Roman" w:cs="Times New Roman"/>
                <w:color w:val="00B0F0"/>
                <w:sz w:val="21"/>
                <w:szCs w:val="21"/>
                <w:highlight w:val="none"/>
                <w:lang w:val="en-US" w:eastAsia="zh-CN"/>
              </w:rPr>
              <w:t>10049-05-5</w:t>
            </w:r>
          </w:p>
        </w:tc>
        <w:tc>
          <w:tcPr>
            <w:tcW w:w="481" w:type="pct"/>
            <w:noWrap w:val="0"/>
            <w:vAlign w:val="center"/>
          </w:tcPr>
          <w:p w14:paraId="61CACF6A">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0.04</w:t>
            </w:r>
          </w:p>
        </w:tc>
        <w:tc>
          <w:tcPr>
            <w:tcW w:w="662" w:type="pct"/>
            <w:noWrap w:val="0"/>
            <w:vAlign w:val="center"/>
          </w:tcPr>
          <w:p w14:paraId="348F6A87">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0.25</w:t>
            </w:r>
          </w:p>
        </w:tc>
        <w:tc>
          <w:tcPr>
            <w:tcW w:w="656" w:type="pct"/>
            <w:noWrap w:val="0"/>
            <w:vAlign w:val="center"/>
          </w:tcPr>
          <w:p w14:paraId="11AD176F">
            <w:pPr>
              <w:pStyle w:val="27"/>
              <w:rPr>
                <w:rFonts w:hint="eastAsia" w:ascii="Times New Roman" w:hAnsi="Times New Roman" w:eastAsia="宋体" w:cs="Times New Roman"/>
                <w:color w:val="00B0F0"/>
                <w:sz w:val="21"/>
                <w:szCs w:val="21"/>
                <w:highlight w:val="none"/>
                <w:lang w:val="en-US" w:eastAsia="zh-CN"/>
              </w:rPr>
            </w:pPr>
            <w:r>
              <w:rPr>
                <w:rFonts w:hint="eastAsia" w:ascii="Times New Roman" w:hAnsi="Times New Roman" w:eastAsia="宋体" w:cs="Times New Roman"/>
                <w:color w:val="00B0F0"/>
                <w:sz w:val="21"/>
                <w:szCs w:val="21"/>
                <w:highlight w:val="none"/>
                <w:lang w:val="en-US" w:eastAsia="zh-CN"/>
              </w:rPr>
              <w:t>0.16</w:t>
            </w:r>
          </w:p>
        </w:tc>
        <w:tc>
          <w:tcPr>
            <w:tcW w:w="658" w:type="pct"/>
            <w:vMerge w:val="continue"/>
            <w:noWrap w:val="0"/>
            <w:vAlign w:val="center"/>
          </w:tcPr>
          <w:p w14:paraId="00137B5F">
            <w:pPr>
              <w:jc w:val="center"/>
              <w:rPr>
                <w:rFonts w:hint="default" w:ascii="Times New Roman" w:hAnsi="Times New Roman" w:cs="Times New Roman"/>
                <w:color w:val="00B0F0"/>
                <w:sz w:val="21"/>
                <w:szCs w:val="21"/>
                <w:highlight w:val="none"/>
              </w:rPr>
            </w:pPr>
          </w:p>
        </w:tc>
      </w:tr>
      <w:tr w14:paraId="5921CD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07" w:type="pct"/>
            <w:shd w:val="clear" w:color="auto" w:fill="auto"/>
            <w:noWrap w:val="0"/>
            <w:vAlign w:val="center"/>
          </w:tcPr>
          <w:p w14:paraId="029495E5">
            <w:pPr>
              <w:jc w:val="center"/>
              <w:rPr>
                <w:rFonts w:hint="eastAsia" w:ascii="Times New Roman" w:hAnsi="Times New Roman" w:cs="Times New Roman" w:eastAsiaTheme="minorEastAsia"/>
                <w:snapToGrid w:val="0"/>
                <w:color w:val="00B0F0"/>
                <w:sz w:val="21"/>
                <w:szCs w:val="21"/>
                <w:highlight w:val="none"/>
                <w:lang w:val="en-US" w:eastAsia="zh-CN" w:bidi="ar-SA"/>
              </w:rPr>
            </w:pPr>
            <w:r>
              <w:rPr>
                <w:rFonts w:hint="eastAsia" w:ascii="Times New Roman" w:hAnsi="Times New Roman" w:cs="Times New Roman"/>
                <w:color w:val="00B0F0"/>
                <w:sz w:val="21"/>
                <w:szCs w:val="21"/>
                <w:highlight w:val="none"/>
                <w:lang w:val="en-US" w:eastAsia="zh-CN"/>
              </w:rPr>
              <w:t>5</w:t>
            </w:r>
          </w:p>
        </w:tc>
        <w:tc>
          <w:tcPr>
            <w:tcW w:w="777" w:type="pct"/>
            <w:noWrap w:val="0"/>
            <w:vAlign w:val="center"/>
          </w:tcPr>
          <w:p w14:paraId="4CC7509E">
            <w:pPr>
              <w:jc w:val="center"/>
              <w:rPr>
                <w:rFonts w:hint="default" w:ascii="Times New Roman" w:hAnsi="Times New Roman" w:cs="Times New Roman"/>
                <w:color w:val="00B0F0"/>
                <w:sz w:val="21"/>
                <w:szCs w:val="21"/>
                <w:highlight w:val="none"/>
              </w:rPr>
            </w:pPr>
            <w:r>
              <w:rPr>
                <w:rFonts w:hint="default" w:ascii="Times New Roman" w:hAnsi="Times New Roman" w:cs="Times New Roman"/>
                <w:color w:val="00B0F0"/>
                <w:sz w:val="21"/>
                <w:szCs w:val="21"/>
                <w:highlight w:val="none"/>
                <w:lang w:val="en-US" w:eastAsia="zh-CN"/>
              </w:rPr>
              <w:t>蓝锌水</w:t>
            </w:r>
          </w:p>
        </w:tc>
        <w:tc>
          <w:tcPr>
            <w:tcW w:w="771" w:type="pct"/>
            <w:noWrap w:val="0"/>
            <w:vAlign w:val="center"/>
          </w:tcPr>
          <w:p w14:paraId="58FDEB6C">
            <w:pPr>
              <w:jc w:val="center"/>
              <w:rPr>
                <w:rFonts w:hint="default" w:ascii="Times New Roman" w:hAnsi="Times New Roman" w:cs="Times New Roman"/>
                <w:color w:val="00B0F0"/>
                <w:sz w:val="21"/>
                <w:szCs w:val="21"/>
                <w:highlight w:val="none"/>
                <w:shd w:val="clear" w:color="auto" w:fill="FFFFFF"/>
              </w:rPr>
            </w:pPr>
            <w:r>
              <w:rPr>
                <w:rFonts w:hint="eastAsia" w:ascii="Times New Roman" w:hAnsi="Times New Roman" w:cs="Times New Roman"/>
                <w:color w:val="00B0F0"/>
                <w:sz w:val="21"/>
                <w:szCs w:val="21"/>
                <w:highlight w:val="none"/>
                <w:lang w:val="en-US" w:eastAsia="zh-CN"/>
              </w:rPr>
              <w:t>/</w:t>
            </w:r>
          </w:p>
        </w:tc>
        <w:tc>
          <w:tcPr>
            <w:tcW w:w="686" w:type="pct"/>
            <w:noWrap w:val="0"/>
            <w:vAlign w:val="center"/>
          </w:tcPr>
          <w:p w14:paraId="1FB757F3">
            <w:pPr>
              <w:pStyle w:val="28"/>
              <w:tabs>
                <w:tab w:val="left" w:pos="425"/>
              </w:tabs>
              <w:adjustRightInd w:val="0"/>
              <w:snapToGrid w:val="0"/>
              <w:spacing w:before="0" w:after="0"/>
              <w:rPr>
                <w:rFonts w:hint="default" w:ascii="Times New Roman" w:hAnsi="Times New Roman" w:cs="Times New Roman"/>
                <w:color w:val="00B0F0"/>
                <w:sz w:val="21"/>
                <w:szCs w:val="21"/>
                <w:highlight w:val="none"/>
              </w:rPr>
            </w:pPr>
            <w:r>
              <w:rPr>
                <w:rFonts w:hint="eastAsia" w:ascii="Times New Roman" w:hAnsi="Times New Roman" w:cs="Times New Roman"/>
                <w:color w:val="00B0F0"/>
                <w:sz w:val="21"/>
                <w:szCs w:val="21"/>
                <w:highlight w:val="none"/>
                <w:lang w:val="en-US" w:eastAsia="zh-CN"/>
              </w:rPr>
              <w:t>/</w:t>
            </w:r>
          </w:p>
        </w:tc>
        <w:tc>
          <w:tcPr>
            <w:tcW w:w="481" w:type="pct"/>
            <w:noWrap w:val="0"/>
            <w:vAlign w:val="center"/>
          </w:tcPr>
          <w:p w14:paraId="44A2043E">
            <w:pPr>
              <w:pStyle w:val="27"/>
              <w:rPr>
                <w:rFonts w:hint="default" w:ascii="Times New Roman" w:hAnsi="Times New Roman" w:eastAsia="宋体" w:cs="Times New Roman"/>
                <w:color w:val="00B0F0"/>
                <w:sz w:val="21"/>
                <w:szCs w:val="21"/>
                <w:highlight w:val="none"/>
                <w:lang w:val="en-US" w:eastAsia="zh-CN"/>
              </w:rPr>
            </w:pPr>
            <w:r>
              <w:rPr>
                <w:rFonts w:hint="eastAsia" w:cs="Times New Roman"/>
                <w:color w:val="00B0F0"/>
                <w:sz w:val="21"/>
                <w:szCs w:val="21"/>
                <w:highlight w:val="none"/>
                <w:lang w:val="en-US" w:eastAsia="zh-CN"/>
              </w:rPr>
              <w:t>0.5</w:t>
            </w:r>
          </w:p>
        </w:tc>
        <w:tc>
          <w:tcPr>
            <w:tcW w:w="662" w:type="pct"/>
            <w:noWrap w:val="0"/>
            <w:vAlign w:val="center"/>
          </w:tcPr>
          <w:p w14:paraId="731EC55C">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0.25</w:t>
            </w:r>
          </w:p>
        </w:tc>
        <w:tc>
          <w:tcPr>
            <w:tcW w:w="656" w:type="pct"/>
            <w:noWrap w:val="0"/>
            <w:vAlign w:val="center"/>
          </w:tcPr>
          <w:p w14:paraId="1E5C0C50">
            <w:pPr>
              <w:pStyle w:val="27"/>
              <w:rPr>
                <w:rFonts w:hint="eastAsia" w:ascii="Times New Roman" w:hAnsi="Times New Roman" w:eastAsia="宋体" w:cs="Times New Roman"/>
                <w:color w:val="00B0F0"/>
                <w:sz w:val="21"/>
                <w:szCs w:val="21"/>
                <w:highlight w:val="none"/>
                <w:lang w:val="en-US" w:eastAsia="zh-CN"/>
              </w:rPr>
            </w:pPr>
            <w:r>
              <w:rPr>
                <w:rFonts w:hint="eastAsia" w:ascii="Times New Roman" w:hAnsi="Times New Roman" w:eastAsia="宋体" w:cs="Times New Roman"/>
                <w:color w:val="00B0F0"/>
                <w:sz w:val="21"/>
                <w:szCs w:val="21"/>
                <w:highlight w:val="none"/>
                <w:lang w:val="en-US" w:eastAsia="zh-CN"/>
              </w:rPr>
              <w:t>2</w:t>
            </w:r>
          </w:p>
        </w:tc>
        <w:tc>
          <w:tcPr>
            <w:tcW w:w="658" w:type="pct"/>
            <w:vMerge w:val="continue"/>
            <w:noWrap w:val="0"/>
            <w:vAlign w:val="center"/>
          </w:tcPr>
          <w:p w14:paraId="2F0DAE10">
            <w:pPr>
              <w:jc w:val="center"/>
              <w:rPr>
                <w:rFonts w:hint="default" w:ascii="Times New Roman" w:hAnsi="Times New Roman" w:cs="Times New Roman"/>
                <w:color w:val="00B0F0"/>
                <w:sz w:val="21"/>
                <w:szCs w:val="21"/>
                <w:highlight w:val="none"/>
              </w:rPr>
            </w:pPr>
          </w:p>
        </w:tc>
      </w:tr>
      <w:tr w14:paraId="26B3C6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07" w:type="pct"/>
            <w:noWrap w:val="0"/>
            <w:vAlign w:val="center"/>
          </w:tcPr>
          <w:p w14:paraId="158CBC1A">
            <w:pPr>
              <w:pStyle w:val="27"/>
              <w:rPr>
                <w:rFonts w:hint="eastAsia" w:ascii="Times New Roman" w:hAnsi="Times New Roman" w:eastAsia="宋体" w:cs="Times New Roman"/>
                <w:color w:val="00B0F0"/>
                <w:sz w:val="21"/>
                <w:szCs w:val="21"/>
                <w:highlight w:val="none"/>
                <w:lang w:eastAsia="zh-CN"/>
              </w:rPr>
            </w:pPr>
            <w:r>
              <w:rPr>
                <w:rFonts w:hint="eastAsia" w:cs="Times New Roman"/>
                <w:color w:val="00B0F0"/>
                <w:sz w:val="21"/>
                <w:szCs w:val="21"/>
                <w:highlight w:val="none"/>
                <w:lang w:val="en-US" w:eastAsia="zh-CN"/>
              </w:rPr>
              <w:t>6</w:t>
            </w:r>
          </w:p>
        </w:tc>
        <w:tc>
          <w:tcPr>
            <w:tcW w:w="777" w:type="pct"/>
            <w:noWrap w:val="0"/>
            <w:vAlign w:val="center"/>
          </w:tcPr>
          <w:p w14:paraId="209FB6A2">
            <w:pPr>
              <w:jc w:val="center"/>
              <w:rPr>
                <w:rFonts w:hint="default" w:ascii="Times New Roman" w:hAnsi="Times New Roman" w:cs="Times New Roman"/>
                <w:color w:val="00B0F0"/>
                <w:sz w:val="21"/>
                <w:szCs w:val="21"/>
                <w:highlight w:val="none"/>
                <w:lang w:val="en-US"/>
              </w:rPr>
            </w:pPr>
            <w:r>
              <w:rPr>
                <w:rFonts w:hint="eastAsia" w:ascii="Times New Roman" w:hAnsi="Times New Roman" w:eastAsia="宋体" w:cs="Times New Roman"/>
                <w:color w:val="00B0F0"/>
                <w:lang w:val="en-US" w:eastAsia="zh-CN"/>
              </w:rPr>
              <w:t>光亮剂、柔软剂、甲基磺酸</w:t>
            </w:r>
          </w:p>
        </w:tc>
        <w:tc>
          <w:tcPr>
            <w:tcW w:w="771" w:type="pct"/>
            <w:noWrap w:val="0"/>
            <w:vAlign w:val="center"/>
          </w:tcPr>
          <w:p w14:paraId="235C9513">
            <w:pPr>
              <w:jc w:val="center"/>
              <w:rPr>
                <w:rFonts w:hint="default" w:ascii="Times New Roman" w:hAnsi="Times New Roman" w:cs="Times New Roman"/>
                <w:color w:val="00B0F0"/>
                <w:sz w:val="21"/>
                <w:szCs w:val="21"/>
                <w:highlight w:val="none"/>
              </w:rPr>
            </w:pPr>
            <w:r>
              <w:rPr>
                <w:rFonts w:hint="eastAsia" w:ascii="Times New Roman" w:hAnsi="Times New Roman" w:cs="Times New Roman"/>
                <w:color w:val="00B0F0"/>
                <w:sz w:val="21"/>
                <w:szCs w:val="21"/>
                <w:highlight w:val="none"/>
                <w:lang w:val="en-US" w:eastAsia="zh-CN"/>
              </w:rPr>
              <w:t>/</w:t>
            </w:r>
          </w:p>
        </w:tc>
        <w:tc>
          <w:tcPr>
            <w:tcW w:w="686" w:type="pct"/>
            <w:noWrap w:val="0"/>
            <w:vAlign w:val="center"/>
          </w:tcPr>
          <w:p w14:paraId="32F81D18">
            <w:pPr>
              <w:pStyle w:val="28"/>
              <w:tabs>
                <w:tab w:val="left" w:pos="425"/>
              </w:tabs>
              <w:adjustRightInd w:val="0"/>
              <w:snapToGrid w:val="0"/>
              <w:spacing w:before="0" w:after="0"/>
              <w:rPr>
                <w:rFonts w:hint="default" w:ascii="Times New Roman" w:hAnsi="Times New Roman" w:cs="Times New Roman"/>
                <w:color w:val="00B0F0"/>
                <w:kern w:val="0"/>
                <w:sz w:val="21"/>
                <w:szCs w:val="21"/>
                <w:highlight w:val="none"/>
              </w:rPr>
            </w:pPr>
            <w:r>
              <w:rPr>
                <w:rFonts w:hint="eastAsia" w:ascii="Times New Roman" w:hAnsi="Times New Roman" w:cs="Times New Roman"/>
                <w:color w:val="00B0F0"/>
                <w:sz w:val="21"/>
                <w:szCs w:val="21"/>
                <w:highlight w:val="none"/>
                <w:lang w:val="en-US" w:eastAsia="zh-CN"/>
              </w:rPr>
              <w:t>/</w:t>
            </w:r>
          </w:p>
        </w:tc>
        <w:tc>
          <w:tcPr>
            <w:tcW w:w="481" w:type="pct"/>
            <w:noWrap w:val="0"/>
            <w:vAlign w:val="center"/>
          </w:tcPr>
          <w:p w14:paraId="4EAB6E7B">
            <w:pPr>
              <w:pStyle w:val="27"/>
              <w:rPr>
                <w:rFonts w:hint="default" w:ascii="Times New Roman" w:hAnsi="Times New Roman" w:cs="Times New Roman"/>
                <w:color w:val="00B0F0"/>
                <w:sz w:val="21"/>
                <w:szCs w:val="21"/>
                <w:highlight w:val="none"/>
                <w:lang w:val="en-US"/>
              </w:rPr>
            </w:pPr>
            <w:r>
              <w:rPr>
                <w:rFonts w:hint="eastAsia" w:cs="Times New Roman"/>
                <w:color w:val="00B0F0"/>
                <w:sz w:val="21"/>
                <w:szCs w:val="21"/>
                <w:highlight w:val="none"/>
                <w:lang w:val="en-US" w:eastAsia="zh-CN"/>
              </w:rPr>
              <w:t>0.13</w:t>
            </w:r>
          </w:p>
        </w:tc>
        <w:tc>
          <w:tcPr>
            <w:tcW w:w="662" w:type="pct"/>
            <w:noWrap w:val="0"/>
            <w:vAlign w:val="center"/>
          </w:tcPr>
          <w:p w14:paraId="1635C4CA">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100</w:t>
            </w:r>
          </w:p>
        </w:tc>
        <w:tc>
          <w:tcPr>
            <w:tcW w:w="656" w:type="pct"/>
            <w:noWrap w:val="0"/>
            <w:vAlign w:val="center"/>
          </w:tcPr>
          <w:p w14:paraId="77E8F85E">
            <w:pPr>
              <w:pStyle w:val="27"/>
              <w:rPr>
                <w:rFonts w:hint="eastAsia" w:ascii="Times New Roman" w:hAnsi="Times New Roman" w:eastAsia="宋体" w:cs="Times New Roman"/>
                <w:color w:val="00B0F0"/>
                <w:sz w:val="21"/>
                <w:szCs w:val="21"/>
                <w:highlight w:val="none"/>
                <w:lang w:val="en-US" w:eastAsia="zh-CN"/>
              </w:rPr>
            </w:pPr>
            <w:r>
              <w:rPr>
                <w:rFonts w:hint="eastAsia" w:ascii="Times New Roman" w:hAnsi="Times New Roman" w:eastAsia="宋体" w:cs="Times New Roman"/>
                <w:color w:val="00B0F0"/>
                <w:sz w:val="21"/>
                <w:szCs w:val="21"/>
                <w:highlight w:val="none"/>
                <w:lang w:val="en-US" w:eastAsia="zh-CN"/>
              </w:rPr>
              <w:t>0.0013</w:t>
            </w:r>
          </w:p>
        </w:tc>
        <w:tc>
          <w:tcPr>
            <w:tcW w:w="658" w:type="pct"/>
            <w:vMerge w:val="continue"/>
            <w:noWrap w:val="0"/>
            <w:vAlign w:val="center"/>
          </w:tcPr>
          <w:p w14:paraId="16A6EEF4">
            <w:pPr>
              <w:jc w:val="center"/>
              <w:rPr>
                <w:rFonts w:hint="default" w:ascii="Times New Roman" w:hAnsi="Times New Roman" w:cs="Times New Roman"/>
                <w:color w:val="00B0F0"/>
                <w:sz w:val="21"/>
                <w:szCs w:val="21"/>
                <w:highlight w:val="none"/>
              </w:rPr>
            </w:pPr>
          </w:p>
        </w:tc>
      </w:tr>
      <w:tr w14:paraId="7FB3A3C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07" w:type="pct"/>
            <w:noWrap w:val="0"/>
            <w:vAlign w:val="center"/>
          </w:tcPr>
          <w:p w14:paraId="3E224CDA">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7</w:t>
            </w:r>
          </w:p>
        </w:tc>
        <w:tc>
          <w:tcPr>
            <w:tcW w:w="777" w:type="pct"/>
            <w:noWrap w:val="0"/>
            <w:vAlign w:val="center"/>
          </w:tcPr>
          <w:p w14:paraId="66E01EFE">
            <w:pPr>
              <w:jc w:val="center"/>
              <w:rPr>
                <w:rFonts w:hint="default" w:ascii="Times New Roman" w:hAnsi="Times New Roman" w:eastAsia="宋体" w:cs="Times New Roman"/>
                <w:color w:val="00B0F0"/>
                <w:lang w:val="en-US" w:eastAsia="zh-CN"/>
              </w:rPr>
            </w:pPr>
            <w:r>
              <w:rPr>
                <w:rFonts w:hint="eastAsia" w:ascii="Times New Roman" w:hAnsi="Times New Roman" w:eastAsia="宋体" w:cs="Times New Roman"/>
                <w:color w:val="00B0F0"/>
                <w:lang w:val="en-US" w:eastAsia="zh-CN"/>
              </w:rPr>
              <w:t>次氯酸钠</w:t>
            </w:r>
          </w:p>
        </w:tc>
        <w:tc>
          <w:tcPr>
            <w:tcW w:w="771" w:type="pct"/>
            <w:noWrap w:val="0"/>
            <w:vAlign w:val="center"/>
          </w:tcPr>
          <w:p w14:paraId="5FDA737A">
            <w:pPr>
              <w:jc w:val="center"/>
              <w:rPr>
                <w:rFonts w:hint="eastAsia" w:ascii="Times New Roman" w:hAnsi="Times New Roman" w:cs="Times New Roman"/>
                <w:color w:val="00B0F0"/>
                <w:sz w:val="21"/>
                <w:szCs w:val="21"/>
                <w:highlight w:val="none"/>
                <w:lang w:val="en-US" w:eastAsia="zh-CN"/>
              </w:rPr>
            </w:pPr>
            <w:r>
              <w:rPr>
                <w:rFonts w:hint="eastAsia" w:ascii="Times New Roman" w:hAnsi="Times New Roman" w:cs="Times New Roman"/>
                <w:color w:val="00B0F0"/>
                <w:sz w:val="21"/>
                <w:szCs w:val="21"/>
                <w:highlight w:val="none"/>
                <w:lang w:val="en-US" w:eastAsia="zh-CN"/>
              </w:rPr>
              <w:t>NaClO</w:t>
            </w:r>
          </w:p>
        </w:tc>
        <w:tc>
          <w:tcPr>
            <w:tcW w:w="686" w:type="pct"/>
            <w:noWrap w:val="0"/>
            <w:vAlign w:val="center"/>
          </w:tcPr>
          <w:p w14:paraId="099F746B">
            <w:pPr>
              <w:pStyle w:val="28"/>
              <w:tabs>
                <w:tab w:val="left" w:pos="425"/>
              </w:tabs>
              <w:adjustRightInd w:val="0"/>
              <w:snapToGrid w:val="0"/>
              <w:spacing w:before="0" w:after="0"/>
              <w:rPr>
                <w:rFonts w:hint="default" w:ascii="Times New Roman" w:hAnsi="Times New Roman" w:cs="Times New Roman"/>
                <w:color w:val="00B0F0"/>
                <w:sz w:val="21"/>
                <w:szCs w:val="21"/>
                <w:highlight w:val="none"/>
                <w:lang w:val="en-US" w:eastAsia="zh-CN"/>
              </w:rPr>
            </w:pPr>
            <w:r>
              <w:rPr>
                <w:rFonts w:hint="eastAsia" w:ascii="Times New Roman" w:hAnsi="Times New Roman" w:cs="Times New Roman"/>
                <w:color w:val="00B0F0"/>
                <w:sz w:val="21"/>
                <w:szCs w:val="21"/>
                <w:highlight w:val="none"/>
                <w:lang w:val="en-US" w:eastAsia="zh-CN"/>
              </w:rPr>
              <w:t>7681-52-9</w:t>
            </w:r>
          </w:p>
        </w:tc>
        <w:tc>
          <w:tcPr>
            <w:tcW w:w="481" w:type="pct"/>
            <w:noWrap w:val="0"/>
            <w:vAlign w:val="center"/>
          </w:tcPr>
          <w:p w14:paraId="299612A5">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0.05</w:t>
            </w:r>
          </w:p>
        </w:tc>
        <w:tc>
          <w:tcPr>
            <w:tcW w:w="662" w:type="pct"/>
            <w:noWrap w:val="0"/>
            <w:vAlign w:val="center"/>
          </w:tcPr>
          <w:p w14:paraId="3DE1782A">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5</w:t>
            </w:r>
          </w:p>
        </w:tc>
        <w:tc>
          <w:tcPr>
            <w:tcW w:w="656" w:type="pct"/>
            <w:noWrap w:val="0"/>
            <w:vAlign w:val="center"/>
          </w:tcPr>
          <w:p w14:paraId="7744408F">
            <w:pPr>
              <w:pStyle w:val="27"/>
              <w:rPr>
                <w:rFonts w:hint="default" w:ascii="Times New Roman" w:hAnsi="Times New Roman" w:eastAsia="宋体" w:cs="Times New Roman"/>
                <w:color w:val="00B0F0"/>
                <w:sz w:val="21"/>
                <w:szCs w:val="21"/>
                <w:highlight w:val="none"/>
                <w:lang w:val="en-US" w:eastAsia="zh-CN"/>
              </w:rPr>
            </w:pPr>
            <w:r>
              <w:rPr>
                <w:rFonts w:hint="eastAsia" w:cs="Times New Roman"/>
                <w:color w:val="00B0F0"/>
                <w:sz w:val="21"/>
                <w:szCs w:val="21"/>
                <w:highlight w:val="none"/>
                <w:lang w:val="en-US" w:eastAsia="zh-CN"/>
              </w:rPr>
              <w:t>0.01</w:t>
            </w:r>
          </w:p>
        </w:tc>
        <w:tc>
          <w:tcPr>
            <w:tcW w:w="658" w:type="pct"/>
            <w:vMerge w:val="continue"/>
            <w:noWrap w:val="0"/>
            <w:vAlign w:val="center"/>
          </w:tcPr>
          <w:p w14:paraId="05E78292">
            <w:pPr>
              <w:jc w:val="center"/>
              <w:rPr>
                <w:rFonts w:hint="default" w:ascii="Times New Roman" w:hAnsi="Times New Roman" w:cs="Times New Roman"/>
                <w:color w:val="00B0F0"/>
                <w:sz w:val="21"/>
                <w:szCs w:val="21"/>
                <w:highlight w:val="none"/>
              </w:rPr>
            </w:pPr>
          </w:p>
        </w:tc>
      </w:tr>
      <w:tr w14:paraId="3601D6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07" w:type="pct"/>
            <w:noWrap w:val="0"/>
            <w:vAlign w:val="center"/>
          </w:tcPr>
          <w:p w14:paraId="17186119">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8</w:t>
            </w:r>
          </w:p>
        </w:tc>
        <w:tc>
          <w:tcPr>
            <w:tcW w:w="777" w:type="pct"/>
            <w:noWrap w:val="0"/>
            <w:vAlign w:val="center"/>
          </w:tcPr>
          <w:p w14:paraId="6B019E67">
            <w:pPr>
              <w:jc w:val="center"/>
              <w:rPr>
                <w:rFonts w:hint="default" w:ascii="Times New Roman" w:hAnsi="Times New Roman" w:eastAsia="宋体" w:cs="Times New Roman"/>
                <w:color w:val="00B0F0"/>
                <w:lang w:val="en-US" w:eastAsia="zh-CN"/>
              </w:rPr>
            </w:pPr>
            <w:r>
              <w:rPr>
                <w:rFonts w:hint="eastAsia" w:ascii="Times New Roman" w:hAnsi="Times New Roman" w:eastAsia="宋体" w:cs="Times New Roman"/>
                <w:color w:val="00B0F0"/>
                <w:lang w:val="en-US" w:eastAsia="zh-CN"/>
              </w:rPr>
              <w:t>废机油</w:t>
            </w:r>
          </w:p>
        </w:tc>
        <w:tc>
          <w:tcPr>
            <w:tcW w:w="771" w:type="pct"/>
            <w:noWrap w:val="0"/>
            <w:vAlign w:val="center"/>
          </w:tcPr>
          <w:p w14:paraId="34AB72E0">
            <w:pPr>
              <w:jc w:val="center"/>
              <w:rPr>
                <w:rFonts w:hint="default" w:ascii="Times New Roman" w:hAnsi="Times New Roman" w:cs="Times New Roman"/>
                <w:color w:val="00B0F0"/>
                <w:sz w:val="21"/>
                <w:szCs w:val="21"/>
                <w:highlight w:val="none"/>
                <w:lang w:val="en-US" w:eastAsia="zh-CN"/>
              </w:rPr>
            </w:pPr>
            <w:r>
              <w:rPr>
                <w:rFonts w:hint="eastAsia" w:ascii="Times New Roman" w:hAnsi="Times New Roman" w:cs="Times New Roman"/>
                <w:color w:val="00B0F0"/>
                <w:sz w:val="21"/>
                <w:szCs w:val="21"/>
                <w:highlight w:val="none"/>
                <w:lang w:val="en-US" w:eastAsia="zh-CN"/>
              </w:rPr>
              <w:t>/</w:t>
            </w:r>
          </w:p>
        </w:tc>
        <w:tc>
          <w:tcPr>
            <w:tcW w:w="686" w:type="pct"/>
            <w:noWrap w:val="0"/>
            <w:vAlign w:val="center"/>
          </w:tcPr>
          <w:p w14:paraId="5D59B1CC">
            <w:pPr>
              <w:pStyle w:val="28"/>
              <w:tabs>
                <w:tab w:val="left" w:pos="425"/>
              </w:tabs>
              <w:adjustRightInd w:val="0"/>
              <w:snapToGrid w:val="0"/>
              <w:spacing w:before="0" w:after="0"/>
              <w:rPr>
                <w:rFonts w:hint="default" w:ascii="Times New Roman" w:hAnsi="Times New Roman" w:cs="Times New Roman"/>
                <w:color w:val="00B0F0"/>
                <w:sz w:val="21"/>
                <w:szCs w:val="21"/>
                <w:highlight w:val="none"/>
                <w:lang w:val="en-US" w:eastAsia="zh-CN"/>
              </w:rPr>
            </w:pPr>
            <w:r>
              <w:rPr>
                <w:rFonts w:hint="eastAsia" w:ascii="Times New Roman" w:hAnsi="Times New Roman" w:cs="Times New Roman"/>
                <w:color w:val="00B0F0"/>
                <w:sz w:val="21"/>
                <w:szCs w:val="21"/>
                <w:highlight w:val="none"/>
                <w:lang w:val="en-US" w:eastAsia="zh-CN"/>
              </w:rPr>
              <w:t>/</w:t>
            </w:r>
          </w:p>
        </w:tc>
        <w:tc>
          <w:tcPr>
            <w:tcW w:w="481" w:type="pct"/>
            <w:noWrap w:val="0"/>
            <w:vAlign w:val="center"/>
          </w:tcPr>
          <w:p w14:paraId="17736045">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0.025（按半年产生量）</w:t>
            </w:r>
          </w:p>
        </w:tc>
        <w:tc>
          <w:tcPr>
            <w:tcW w:w="662" w:type="pct"/>
            <w:noWrap w:val="0"/>
            <w:vAlign w:val="center"/>
          </w:tcPr>
          <w:p w14:paraId="3866808B">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2500</w:t>
            </w:r>
          </w:p>
        </w:tc>
        <w:tc>
          <w:tcPr>
            <w:tcW w:w="656" w:type="pct"/>
            <w:noWrap w:val="0"/>
            <w:vAlign w:val="center"/>
          </w:tcPr>
          <w:p w14:paraId="226246E3">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0.00001</w:t>
            </w:r>
          </w:p>
        </w:tc>
        <w:tc>
          <w:tcPr>
            <w:tcW w:w="658" w:type="pct"/>
            <w:vMerge w:val="continue"/>
            <w:noWrap w:val="0"/>
            <w:vAlign w:val="center"/>
          </w:tcPr>
          <w:p w14:paraId="78ED24BE">
            <w:pPr>
              <w:jc w:val="center"/>
              <w:rPr>
                <w:rFonts w:hint="default" w:ascii="Times New Roman" w:hAnsi="Times New Roman" w:cs="Times New Roman"/>
                <w:color w:val="00B0F0"/>
                <w:sz w:val="21"/>
                <w:szCs w:val="21"/>
                <w:highlight w:val="none"/>
              </w:rPr>
            </w:pPr>
          </w:p>
        </w:tc>
      </w:tr>
      <w:tr w14:paraId="68DC07B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685" w:type="pct"/>
            <w:gridSpan w:val="6"/>
            <w:noWrap w:val="0"/>
            <w:vAlign w:val="center"/>
          </w:tcPr>
          <w:p w14:paraId="6A8D157D">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Q值合计</w:t>
            </w:r>
          </w:p>
        </w:tc>
        <w:tc>
          <w:tcPr>
            <w:tcW w:w="656" w:type="pct"/>
            <w:noWrap w:val="0"/>
            <w:vAlign w:val="center"/>
          </w:tcPr>
          <w:p w14:paraId="25858FC2">
            <w:pPr>
              <w:pStyle w:val="27"/>
              <w:rPr>
                <w:rFonts w:hint="default" w:cs="Times New Roman"/>
                <w:color w:val="00B0F0"/>
                <w:sz w:val="21"/>
                <w:szCs w:val="21"/>
                <w:highlight w:val="none"/>
                <w:lang w:val="en-US" w:eastAsia="zh-CN"/>
              </w:rPr>
            </w:pPr>
            <w:r>
              <w:rPr>
                <w:rFonts w:hint="eastAsia" w:cs="Times New Roman"/>
                <w:color w:val="00B0F0"/>
                <w:sz w:val="21"/>
                <w:szCs w:val="21"/>
                <w:highlight w:val="none"/>
                <w:lang w:val="en-US" w:eastAsia="zh-CN"/>
              </w:rPr>
              <w:t>4.35931</w:t>
            </w:r>
          </w:p>
        </w:tc>
        <w:tc>
          <w:tcPr>
            <w:tcW w:w="658" w:type="pct"/>
            <w:noWrap w:val="0"/>
            <w:vAlign w:val="center"/>
          </w:tcPr>
          <w:p w14:paraId="4438A015">
            <w:pPr>
              <w:jc w:val="center"/>
              <w:rPr>
                <w:rFonts w:hint="default" w:ascii="Times New Roman" w:hAnsi="Times New Roman" w:cs="Times New Roman"/>
                <w:color w:val="00B0F0"/>
                <w:sz w:val="21"/>
                <w:szCs w:val="21"/>
                <w:highlight w:val="none"/>
              </w:rPr>
            </w:pPr>
          </w:p>
        </w:tc>
      </w:tr>
    </w:tbl>
    <w:p w14:paraId="394CFC86">
      <w:pPr>
        <w:spacing w:line="360" w:lineRule="auto"/>
        <w:ind w:firstLine="480" w:firstLineChars="200"/>
        <w:jc w:val="both"/>
        <w:rPr>
          <w:rFonts w:hint="default" w:ascii="Times New Roman" w:hAnsi="Times New Roman" w:eastAsia="宋体" w:cs="Times New Roman"/>
          <w:color w:val="auto"/>
          <w:spacing w:val="7"/>
          <w:sz w:val="24"/>
          <w:szCs w:val="24"/>
          <w:lang w:eastAsia="zh-CN"/>
        </w:rPr>
      </w:pPr>
      <w:r>
        <w:rPr>
          <w:rFonts w:hint="eastAsia" w:ascii="宋体" w:hAnsi="宋体" w:eastAsia="宋体" w:cs="宋体"/>
          <w:color w:val="00B0F0"/>
          <w:kern w:val="0"/>
          <w:sz w:val="24"/>
          <w:szCs w:val="24"/>
          <w:highlight w:val="none"/>
          <w:lang w:val="en-US" w:eastAsia="zh-CN" w:bidi="ar"/>
        </w:rPr>
        <w:t>b）根据各槽液中风险物质含量得出项目各风险源镀槽最大储</w:t>
      </w:r>
      <w:r>
        <w:rPr>
          <w:rFonts w:hint="eastAsia" w:ascii="宋体" w:hAnsi="宋体" w:eastAsia="宋体" w:cs="宋体"/>
          <w:color w:val="auto"/>
          <w:kern w:val="0"/>
          <w:sz w:val="24"/>
          <w:szCs w:val="24"/>
          <w:highlight w:val="none"/>
          <w:lang w:val="en-US" w:eastAsia="zh-CN" w:bidi="ar"/>
        </w:rPr>
        <w:t>存量。危险物质数量和危险物质分布情况、生产工艺特点，具体详见表</w:t>
      </w:r>
      <w:r>
        <w:rPr>
          <w:rFonts w:hint="default" w:ascii="Times New Roman" w:hAnsi="Times New Roman" w:eastAsia="宋体" w:cs="Times New Roman"/>
          <w:color w:val="auto"/>
          <w:kern w:val="0"/>
          <w:sz w:val="24"/>
          <w:szCs w:val="24"/>
          <w:highlight w:val="none"/>
          <w:lang w:val="en-US" w:eastAsia="zh-CN" w:bidi="ar"/>
        </w:rPr>
        <w:t>2.1-2</w:t>
      </w:r>
      <w:r>
        <w:rPr>
          <w:rFonts w:hint="default" w:ascii="Times New Roman" w:hAnsi="Times New Roman" w:eastAsia="宋体" w:cs="Times New Roman"/>
          <w:color w:val="auto"/>
          <w:spacing w:val="7"/>
          <w:sz w:val="24"/>
          <w:szCs w:val="24"/>
          <w:lang w:eastAsia="zh-CN"/>
        </w:rPr>
        <w:t>。</w:t>
      </w:r>
    </w:p>
    <w:p w14:paraId="48B077BC">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表2.1-2建设项目风险源调查清单（最大存在总量）</w:t>
      </w:r>
    </w:p>
    <w:p w14:paraId="36194B5A">
      <w:pPr>
        <w:spacing w:line="15" w:lineRule="exact"/>
        <w:rPr>
          <w:rFonts w:hint="default" w:ascii="Times New Roman" w:hAnsi="Times New Roman" w:eastAsia="宋体" w:cs="Times New Roman"/>
          <w:color w:val="auto"/>
          <w:lang w:eastAsia="zh-CN"/>
        </w:rPr>
      </w:pPr>
    </w:p>
    <w:tbl>
      <w:tblPr>
        <w:tblStyle w:val="25"/>
        <w:tblW w:w="50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18"/>
        <w:gridCol w:w="815"/>
        <w:gridCol w:w="959"/>
        <w:gridCol w:w="959"/>
        <w:gridCol w:w="966"/>
        <w:gridCol w:w="803"/>
        <w:gridCol w:w="1159"/>
        <w:gridCol w:w="843"/>
        <w:gridCol w:w="813"/>
        <w:gridCol w:w="808"/>
      </w:tblGrid>
      <w:tr w14:paraId="0D47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Align w:val="center"/>
          </w:tcPr>
          <w:p w14:paraId="0616C515">
            <w:pPr>
              <w:jc w:val="center"/>
              <w:rPr>
                <w:rFonts w:hint="default" w:ascii="Times New Roman" w:hAnsi="Times New Roman" w:eastAsia="宋体" w:cs="Times New Roman"/>
                <w:b/>
                <w:bCs/>
                <w:color w:val="auto"/>
                <w:spacing w:val="-8"/>
                <w:sz w:val="18"/>
                <w:szCs w:val="18"/>
              </w:rPr>
            </w:pPr>
            <w:r>
              <w:rPr>
                <w:rFonts w:hint="default" w:ascii="Times New Roman" w:hAnsi="Times New Roman" w:eastAsia="宋体" w:cs="Times New Roman"/>
                <w:b/>
                <w:bCs/>
                <w:color w:val="auto"/>
                <w:spacing w:val="-8"/>
                <w:sz w:val="18"/>
                <w:szCs w:val="18"/>
              </w:rPr>
              <w:t>序号</w:t>
            </w:r>
          </w:p>
        </w:tc>
        <w:tc>
          <w:tcPr>
            <w:tcW w:w="477" w:type="pct"/>
            <w:vAlign w:val="center"/>
          </w:tcPr>
          <w:p w14:paraId="21AC75A5">
            <w:pPr>
              <w:jc w:val="center"/>
              <w:rPr>
                <w:rFonts w:hint="default" w:ascii="Times New Roman" w:hAnsi="Times New Roman" w:eastAsia="宋体" w:cs="Times New Roman"/>
                <w:b/>
                <w:bCs/>
                <w:color w:val="auto"/>
                <w:spacing w:val="-8"/>
                <w:sz w:val="18"/>
                <w:szCs w:val="18"/>
              </w:rPr>
            </w:pPr>
            <w:r>
              <w:rPr>
                <w:rFonts w:hint="default" w:ascii="Times New Roman" w:hAnsi="Times New Roman" w:eastAsia="宋体" w:cs="Times New Roman"/>
                <w:b/>
                <w:bCs/>
                <w:color w:val="auto"/>
                <w:spacing w:val="-8"/>
                <w:sz w:val="18"/>
                <w:szCs w:val="18"/>
              </w:rPr>
              <w:t>名称</w:t>
            </w:r>
          </w:p>
        </w:tc>
        <w:tc>
          <w:tcPr>
            <w:tcW w:w="561" w:type="pct"/>
            <w:vAlign w:val="center"/>
          </w:tcPr>
          <w:p w14:paraId="7809A9E9">
            <w:pPr>
              <w:jc w:val="center"/>
              <w:rPr>
                <w:rFonts w:hint="default" w:ascii="Times New Roman" w:hAnsi="Times New Roman" w:eastAsia="宋体" w:cs="Times New Roman"/>
                <w:b/>
                <w:bCs/>
                <w:color w:val="auto"/>
                <w:spacing w:val="-8"/>
                <w:sz w:val="18"/>
                <w:szCs w:val="18"/>
              </w:rPr>
            </w:pPr>
            <w:r>
              <w:rPr>
                <w:rFonts w:hint="default" w:ascii="Times New Roman" w:hAnsi="Times New Roman" w:eastAsia="宋体" w:cs="Times New Roman"/>
                <w:b/>
                <w:bCs/>
                <w:color w:val="auto"/>
                <w:spacing w:val="-8"/>
                <w:sz w:val="18"/>
                <w:szCs w:val="18"/>
              </w:rPr>
              <w:t>含量</w:t>
            </w:r>
          </w:p>
        </w:tc>
        <w:tc>
          <w:tcPr>
            <w:tcW w:w="561" w:type="pct"/>
            <w:vAlign w:val="center"/>
          </w:tcPr>
          <w:p w14:paraId="18C78811">
            <w:pPr>
              <w:jc w:val="center"/>
              <w:rPr>
                <w:rFonts w:hint="default" w:ascii="Times New Roman" w:hAnsi="Times New Roman" w:eastAsia="宋体" w:cs="Times New Roman"/>
                <w:b/>
                <w:bCs/>
                <w:color w:val="auto"/>
                <w:spacing w:val="-8"/>
                <w:sz w:val="18"/>
                <w:szCs w:val="18"/>
              </w:rPr>
            </w:pPr>
            <w:r>
              <w:rPr>
                <w:rFonts w:hint="default" w:ascii="Times New Roman" w:hAnsi="Times New Roman" w:eastAsia="宋体" w:cs="Times New Roman"/>
                <w:b/>
                <w:bCs/>
                <w:color w:val="auto"/>
                <w:spacing w:val="-8"/>
                <w:sz w:val="18"/>
                <w:szCs w:val="18"/>
              </w:rPr>
              <w:t>镀槽名称</w:t>
            </w:r>
          </w:p>
        </w:tc>
        <w:tc>
          <w:tcPr>
            <w:tcW w:w="565" w:type="pct"/>
            <w:vAlign w:val="center"/>
          </w:tcPr>
          <w:p w14:paraId="60CC0546">
            <w:pPr>
              <w:jc w:val="center"/>
              <w:rPr>
                <w:rFonts w:hint="default" w:ascii="Times New Roman" w:hAnsi="Times New Roman" w:eastAsia="宋体" w:cs="Times New Roman"/>
                <w:b/>
                <w:bCs/>
                <w:color w:val="auto"/>
                <w:spacing w:val="-8"/>
                <w:sz w:val="18"/>
                <w:szCs w:val="18"/>
                <w:lang w:eastAsia="zh-CN"/>
              </w:rPr>
            </w:pPr>
            <w:r>
              <w:rPr>
                <w:rFonts w:hint="default" w:ascii="Times New Roman" w:hAnsi="Times New Roman" w:eastAsia="宋体" w:cs="Times New Roman"/>
                <w:b/>
                <w:bCs/>
                <w:color w:val="auto"/>
                <w:spacing w:val="-8"/>
                <w:sz w:val="18"/>
                <w:szCs w:val="18"/>
                <w:lang w:eastAsia="zh-CN"/>
              </w:rPr>
              <w:t>槽体（有效）容积（</w:t>
            </w:r>
            <w:r>
              <w:rPr>
                <w:rFonts w:hint="eastAsia" w:ascii="Times New Roman" w:hAnsi="Times New Roman" w:eastAsia="宋体" w:cs="Times New Roman"/>
                <w:b/>
                <w:bCs/>
                <w:color w:val="auto"/>
                <w:spacing w:val="-8"/>
                <w:sz w:val="18"/>
                <w:szCs w:val="18"/>
                <w:lang w:val="en-US" w:eastAsia="zh-CN"/>
              </w:rPr>
              <w:t>m</w:t>
            </w:r>
            <w:r>
              <w:rPr>
                <w:rFonts w:hint="eastAsia" w:ascii="Times New Roman" w:hAnsi="Times New Roman" w:eastAsia="宋体" w:cs="Times New Roman"/>
                <w:b/>
                <w:bCs/>
                <w:color w:val="auto"/>
                <w:spacing w:val="-8"/>
                <w:sz w:val="18"/>
                <w:szCs w:val="18"/>
                <w:vertAlign w:val="superscript"/>
                <w:lang w:val="en-US" w:eastAsia="zh-CN"/>
              </w:rPr>
              <w:t>3</w:t>
            </w:r>
            <w:r>
              <w:rPr>
                <w:rFonts w:hint="default" w:ascii="Times New Roman" w:hAnsi="Times New Roman" w:eastAsia="宋体" w:cs="Times New Roman"/>
                <w:b/>
                <w:bCs/>
                <w:color w:val="auto"/>
                <w:spacing w:val="-8"/>
                <w:sz w:val="18"/>
                <w:szCs w:val="18"/>
                <w:lang w:eastAsia="zh-CN"/>
              </w:rPr>
              <w:t>）</w:t>
            </w:r>
          </w:p>
        </w:tc>
        <w:tc>
          <w:tcPr>
            <w:tcW w:w="470" w:type="pct"/>
            <w:vAlign w:val="center"/>
          </w:tcPr>
          <w:p w14:paraId="02A3C7D0">
            <w:pPr>
              <w:jc w:val="center"/>
              <w:rPr>
                <w:rFonts w:hint="default" w:ascii="Times New Roman" w:hAnsi="Times New Roman" w:eastAsia="宋体" w:cs="Times New Roman"/>
                <w:b/>
                <w:bCs/>
                <w:color w:val="auto"/>
                <w:spacing w:val="-8"/>
                <w:sz w:val="18"/>
                <w:szCs w:val="18"/>
              </w:rPr>
            </w:pPr>
            <w:r>
              <w:rPr>
                <w:rFonts w:hint="default" w:ascii="Times New Roman" w:hAnsi="Times New Roman" w:eastAsia="宋体" w:cs="Times New Roman"/>
                <w:b/>
                <w:bCs/>
                <w:color w:val="auto"/>
                <w:spacing w:val="-8"/>
                <w:sz w:val="18"/>
                <w:szCs w:val="18"/>
              </w:rPr>
              <w:t>槽体数量（个）</w:t>
            </w:r>
          </w:p>
        </w:tc>
        <w:tc>
          <w:tcPr>
            <w:tcW w:w="678" w:type="pct"/>
            <w:vAlign w:val="center"/>
          </w:tcPr>
          <w:p w14:paraId="32206EB0">
            <w:pPr>
              <w:jc w:val="center"/>
              <w:rPr>
                <w:rFonts w:hint="default" w:ascii="Times New Roman" w:hAnsi="Times New Roman" w:eastAsia="宋体" w:cs="Times New Roman"/>
                <w:b/>
                <w:bCs/>
                <w:color w:val="auto"/>
                <w:spacing w:val="-8"/>
                <w:sz w:val="18"/>
                <w:szCs w:val="18"/>
                <w:lang w:eastAsia="zh-CN"/>
              </w:rPr>
            </w:pPr>
            <w:r>
              <w:rPr>
                <w:rFonts w:hint="default" w:ascii="Times New Roman" w:hAnsi="Times New Roman" w:eastAsia="宋体" w:cs="Times New Roman"/>
                <w:b/>
                <w:bCs/>
                <w:color w:val="auto"/>
                <w:spacing w:val="-8"/>
                <w:sz w:val="18"/>
                <w:szCs w:val="18"/>
                <w:lang w:eastAsia="zh-CN"/>
              </w:rPr>
              <w:t>危险物质</w:t>
            </w:r>
            <w:r>
              <w:rPr>
                <w:rFonts w:hint="eastAsia" w:ascii="Times New Roman" w:hAnsi="Times New Roman" w:eastAsia="宋体" w:cs="Times New Roman"/>
                <w:b/>
                <w:bCs/>
                <w:color w:val="auto"/>
                <w:spacing w:val="-8"/>
                <w:sz w:val="18"/>
                <w:szCs w:val="18"/>
                <w:lang w:val="en-US" w:eastAsia="zh-CN"/>
              </w:rPr>
              <w:t>在线量</w:t>
            </w:r>
            <w:r>
              <w:rPr>
                <w:rFonts w:hint="default" w:ascii="Times New Roman" w:hAnsi="Times New Roman" w:eastAsia="宋体" w:cs="Times New Roman"/>
                <w:b/>
                <w:bCs/>
                <w:color w:val="auto"/>
                <w:spacing w:val="-8"/>
                <w:sz w:val="18"/>
                <w:szCs w:val="18"/>
                <w:lang w:eastAsia="zh-CN"/>
              </w:rPr>
              <w:t>（t）</w:t>
            </w:r>
          </w:p>
        </w:tc>
        <w:tc>
          <w:tcPr>
            <w:tcW w:w="493" w:type="pct"/>
            <w:vAlign w:val="center"/>
          </w:tcPr>
          <w:p w14:paraId="165189D0">
            <w:pPr>
              <w:jc w:val="center"/>
              <w:rPr>
                <w:rFonts w:hint="default" w:ascii="Times New Roman" w:hAnsi="Times New Roman" w:eastAsia="宋体" w:cs="Times New Roman"/>
                <w:b/>
                <w:bCs/>
                <w:color w:val="auto"/>
                <w:spacing w:val="-8"/>
                <w:sz w:val="18"/>
                <w:szCs w:val="18"/>
                <w:lang w:val="en-US" w:eastAsia="zh-CN"/>
              </w:rPr>
            </w:pPr>
            <w:r>
              <w:rPr>
                <w:rFonts w:hint="default" w:ascii="Times New Roman" w:hAnsi="Times New Roman" w:eastAsia="宋体" w:cs="Times New Roman"/>
                <w:b/>
                <w:bCs/>
                <w:color w:val="auto"/>
                <w:spacing w:val="-8"/>
                <w:sz w:val="18"/>
                <w:szCs w:val="18"/>
                <w:lang w:val="en-US" w:eastAsia="zh-CN"/>
              </w:rPr>
              <w:t>临界值</w:t>
            </w:r>
          </w:p>
          <w:p w14:paraId="593DF294">
            <w:pPr>
              <w:jc w:val="center"/>
              <w:rPr>
                <w:rFonts w:hint="default" w:ascii="Times New Roman" w:hAnsi="Times New Roman" w:eastAsia="宋体" w:cs="Times New Roman"/>
                <w:b/>
                <w:bCs/>
                <w:color w:val="auto"/>
                <w:spacing w:val="-8"/>
                <w:sz w:val="18"/>
                <w:szCs w:val="18"/>
                <w:lang w:eastAsia="zh-CN"/>
              </w:rPr>
            </w:pPr>
            <w:r>
              <w:rPr>
                <w:rFonts w:hint="default" w:ascii="Times New Roman" w:hAnsi="Times New Roman" w:eastAsia="宋体" w:cs="Times New Roman"/>
                <w:b/>
                <w:bCs/>
                <w:color w:val="auto"/>
                <w:spacing w:val="-8"/>
                <w:sz w:val="18"/>
                <w:szCs w:val="18"/>
                <w:lang w:val="en-US" w:eastAsia="zh-CN"/>
              </w:rPr>
              <w:t>（t）</w:t>
            </w:r>
          </w:p>
        </w:tc>
        <w:tc>
          <w:tcPr>
            <w:tcW w:w="473" w:type="pct"/>
            <w:vAlign w:val="center"/>
          </w:tcPr>
          <w:p w14:paraId="7AE7C107">
            <w:pPr>
              <w:jc w:val="center"/>
              <w:rPr>
                <w:rFonts w:hint="default" w:ascii="Times New Roman" w:hAnsi="Times New Roman" w:eastAsia="宋体" w:cs="Times New Roman"/>
                <w:b/>
                <w:bCs/>
                <w:color w:val="auto"/>
                <w:spacing w:val="-8"/>
                <w:sz w:val="18"/>
                <w:szCs w:val="18"/>
              </w:rPr>
            </w:pPr>
            <w:r>
              <w:rPr>
                <w:rFonts w:hint="default" w:ascii="Times New Roman" w:hAnsi="Times New Roman" w:eastAsia="宋体" w:cs="Times New Roman"/>
                <w:b/>
                <w:bCs/>
                <w:color w:val="auto"/>
                <w:spacing w:val="-8"/>
                <w:sz w:val="18"/>
                <w:szCs w:val="18"/>
              </w:rPr>
              <w:t>合计（t）</w:t>
            </w:r>
          </w:p>
        </w:tc>
        <w:tc>
          <w:tcPr>
            <w:tcW w:w="473" w:type="pct"/>
            <w:vAlign w:val="center"/>
          </w:tcPr>
          <w:p w14:paraId="5F92670E">
            <w:pPr>
              <w:jc w:val="center"/>
              <w:rPr>
                <w:rFonts w:hint="default" w:ascii="Times New Roman" w:hAnsi="Times New Roman" w:eastAsia="宋体" w:cs="Times New Roman"/>
                <w:b/>
                <w:bCs/>
                <w:color w:val="auto"/>
                <w:spacing w:val="-8"/>
                <w:sz w:val="18"/>
                <w:szCs w:val="18"/>
                <w:lang w:val="en-US" w:eastAsia="zh-CN"/>
              </w:rPr>
            </w:pPr>
            <w:r>
              <w:rPr>
                <w:rFonts w:hint="eastAsia" w:ascii="Times New Roman" w:hAnsi="Times New Roman" w:eastAsia="宋体" w:cs="Times New Roman"/>
                <w:b/>
                <w:bCs/>
                <w:color w:val="auto"/>
                <w:spacing w:val="-8"/>
                <w:sz w:val="18"/>
                <w:szCs w:val="18"/>
                <w:lang w:val="en-US" w:eastAsia="zh-CN"/>
              </w:rPr>
              <w:t>Q值计算</w:t>
            </w:r>
          </w:p>
        </w:tc>
      </w:tr>
      <w:tr w14:paraId="6950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restart"/>
            <w:vAlign w:val="center"/>
          </w:tcPr>
          <w:p w14:paraId="091D2372">
            <w:pPr>
              <w:jc w:val="center"/>
              <w:rPr>
                <w:rFonts w:hint="eastAsia" w:ascii="Times New Roman" w:hAnsi="Times New Roman" w:eastAsia="宋体" w:cs="Times New Roman"/>
                <w:color w:val="auto"/>
                <w:spacing w:val="-8"/>
                <w:sz w:val="18"/>
                <w:szCs w:val="18"/>
                <w:lang w:eastAsia="zh-CN"/>
              </w:rPr>
            </w:pPr>
            <w:r>
              <w:rPr>
                <w:rFonts w:hint="eastAsia" w:ascii="Times New Roman" w:hAnsi="Times New Roman" w:eastAsia="宋体" w:cs="Times New Roman"/>
                <w:color w:val="auto"/>
                <w:spacing w:val="-8"/>
                <w:sz w:val="18"/>
                <w:szCs w:val="18"/>
                <w:lang w:val="en-US" w:eastAsia="zh-CN"/>
              </w:rPr>
              <w:t>1</w:t>
            </w:r>
          </w:p>
        </w:tc>
        <w:tc>
          <w:tcPr>
            <w:tcW w:w="477" w:type="pct"/>
            <w:vMerge w:val="restart"/>
            <w:vAlign w:val="center"/>
          </w:tcPr>
          <w:p w14:paraId="49A2B557">
            <w:pPr>
              <w:pStyle w:val="24"/>
              <w:jc w:val="center"/>
              <w:rPr>
                <w:rFonts w:hint="default" w:ascii="Times New Roman" w:hAnsi="Times New Roman" w:eastAsia="宋体" w:cs="Times New Roman"/>
                <w:color w:val="auto"/>
                <w:spacing w:val="-8"/>
                <w:sz w:val="18"/>
                <w:szCs w:val="18"/>
                <w:lang w:eastAsia="zh-CN"/>
              </w:rPr>
            </w:pPr>
            <w:r>
              <w:rPr>
                <w:rFonts w:hint="default" w:ascii="Times New Roman" w:hAnsi="Times New Roman" w:eastAsia="宋体" w:cs="Times New Roman"/>
                <w:color w:val="auto"/>
                <w:spacing w:val="-8"/>
                <w:sz w:val="18"/>
                <w:szCs w:val="18"/>
                <w:lang w:val="en-US" w:eastAsia="zh-CN"/>
              </w:rPr>
              <w:t>盐酸</w:t>
            </w:r>
          </w:p>
        </w:tc>
        <w:tc>
          <w:tcPr>
            <w:tcW w:w="561" w:type="pct"/>
            <w:vAlign w:val="center"/>
          </w:tcPr>
          <w:p w14:paraId="16FA514D">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5</w:t>
            </w:r>
            <w:r>
              <w:rPr>
                <w:rFonts w:hint="default" w:ascii="Times New Roman" w:hAnsi="Times New Roman" w:eastAsia="宋体" w:cs="Times New Roman"/>
                <w:color w:val="auto"/>
                <w:spacing w:val="-8"/>
                <w:sz w:val="18"/>
                <w:szCs w:val="18"/>
                <w:lang w:val="en-US" w:eastAsia="zh-CN"/>
              </w:rPr>
              <w:t>%</w:t>
            </w:r>
          </w:p>
        </w:tc>
        <w:tc>
          <w:tcPr>
            <w:tcW w:w="561" w:type="pct"/>
            <w:shd w:val="clear" w:color="auto" w:fill="auto"/>
            <w:vAlign w:val="center"/>
          </w:tcPr>
          <w:p w14:paraId="243AFB4B">
            <w:pPr>
              <w:pStyle w:val="24"/>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1#线酸洗槽</w:t>
            </w:r>
          </w:p>
        </w:tc>
        <w:tc>
          <w:tcPr>
            <w:tcW w:w="565" w:type="pct"/>
            <w:shd w:val="clear" w:color="auto" w:fill="auto"/>
            <w:vAlign w:val="center"/>
          </w:tcPr>
          <w:p w14:paraId="13E8839F">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4</w:t>
            </w:r>
          </w:p>
        </w:tc>
        <w:tc>
          <w:tcPr>
            <w:tcW w:w="470" w:type="pct"/>
            <w:shd w:val="clear" w:color="auto" w:fill="auto"/>
            <w:vAlign w:val="center"/>
          </w:tcPr>
          <w:p w14:paraId="32DF05E0">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4</w:t>
            </w:r>
          </w:p>
        </w:tc>
        <w:tc>
          <w:tcPr>
            <w:tcW w:w="678" w:type="pct"/>
            <w:vAlign w:val="center"/>
          </w:tcPr>
          <w:p w14:paraId="485D4484">
            <w:pPr>
              <w:keepNext w:val="0"/>
              <w:keepLines w:val="0"/>
              <w:widowControl/>
              <w:suppressLineNumbers w:val="0"/>
              <w:jc w:val="center"/>
              <w:textAlignment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0.8</w:t>
            </w:r>
          </w:p>
        </w:tc>
        <w:tc>
          <w:tcPr>
            <w:tcW w:w="493" w:type="pct"/>
            <w:vMerge w:val="restart"/>
            <w:vAlign w:val="center"/>
          </w:tcPr>
          <w:p w14:paraId="2440CFF7">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7.5</w:t>
            </w:r>
          </w:p>
        </w:tc>
        <w:tc>
          <w:tcPr>
            <w:tcW w:w="473" w:type="pct"/>
            <w:vMerge w:val="restart"/>
            <w:vAlign w:val="center"/>
          </w:tcPr>
          <w:p w14:paraId="470913F6">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2.085</w:t>
            </w:r>
          </w:p>
        </w:tc>
        <w:tc>
          <w:tcPr>
            <w:tcW w:w="473" w:type="pct"/>
            <w:vMerge w:val="restart"/>
            <w:vAlign w:val="center"/>
          </w:tcPr>
          <w:p w14:paraId="1B94CB15">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0.278</w:t>
            </w:r>
          </w:p>
        </w:tc>
      </w:tr>
      <w:tr w14:paraId="4741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23B2B604">
            <w:pPr>
              <w:jc w:val="center"/>
              <w:rPr>
                <w:rFonts w:hint="default" w:ascii="Times New Roman" w:hAnsi="Times New Roman" w:eastAsia="宋体" w:cs="Times New Roman"/>
                <w:color w:val="auto"/>
                <w:spacing w:val="-8"/>
                <w:sz w:val="18"/>
                <w:szCs w:val="18"/>
              </w:rPr>
            </w:pPr>
          </w:p>
        </w:tc>
        <w:tc>
          <w:tcPr>
            <w:tcW w:w="477" w:type="pct"/>
            <w:vMerge w:val="continue"/>
            <w:vAlign w:val="center"/>
          </w:tcPr>
          <w:p w14:paraId="1FCD1EE1">
            <w:pPr>
              <w:jc w:val="center"/>
              <w:rPr>
                <w:rFonts w:hint="default" w:ascii="Times New Roman" w:hAnsi="Times New Roman" w:eastAsia="宋体" w:cs="Times New Roman"/>
                <w:color w:val="auto"/>
                <w:spacing w:val="-8"/>
                <w:sz w:val="18"/>
                <w:szCs w:val="18"/>
              </w:rPr>
            </w:pPr>
          </w:p>
        </w:tc>
        <w:tc>
          <w:tcPr>
            <w:tcW w:w="561" w:type="pct"/>
            <w:shd w:val="clear" w:color="auto" w:fill="auto"/>
            <w:vAlign w:val="center"/>
          </w:tcPr>
          <w:p w14:paraId="6C7CC731">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5</w:t>
            </w:r>
            <w:r>
              <w:rPr>
                <w:rFonts w:hint="default" w:ascii="Times New Roman" w:hAnsi="Times New Roman" w:eastAsia="宋体" w:cs="Times New Roman"/>
                <w:color w:val="auto"/>
                <w:spacing w:val="-8"/>
                <w:sz w:val="18"/>
                <w:szCs w:val="18"/>
                <w:lang w:val="en-US" w:eastAsia="zh-CN"/>
              </w:rPr>
              <w:t>%</w:t>
            </w:r>
          </w:p>
        </w:tc>
        <w:tc>
          <w:tcPr>
            <w:tcW w:w="561" w:type="pct"/>
            <w:shd w:val="clear" w:color="auto" w:fill="auto"/>
            <w:vAlign w:val="center"/>
          </w:tcPr>
          <w:p w14:paraId="46428264">
            <w:pPr>
              <w:pStyle w:val="24"/>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2#线酸洗槽</w:t>
            </w:r>
          </w:p>
        </w:tc>
        <w:tc>
          <w:tcPr>
            <w:tcW w:w="565" w:type="pct"/>
            <w:shd w:val="clear" w:color="auto" w:fill="auto"/>
            <w:vAlign w:val="center"/>
          </w:tcPr>
          <w:p w14:paraId="627E703D">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4</w:t>
            </w:r>
          </w:p>
        </w:tc>
        <w:tc>
          <w:tcPr>
            <w:tcW w:w="470" w:type="pct"/>
            <w:shd w:val="clear" w:color="auto" w:fill="auto"/>
            <w:vAlign w:val="center"/>
          </w:tcPr>
          <w:p w14:paraId="2EEC103D">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4</w:t>
            </w:r>
          </w:p>
        </w:tc>
        <w:tc>
          <w:tcPr>
            <w:tcW w:w="678" w:type="pct"/>
            <w:shd w:val="clear" w:color="auto" w:fill="auto"/>
            <w:vAlign w:val="center"/>
          </w:tcPr>
          <w:p w14:paraId="05F76EA9">
            <w:pPr>
              <w:keepNext w:val="0"/>
              <w:keepLines w:val="0"/>
              <w:widowControl/>
              <w:suppressLineNumbers w:val="0"/>
              <w:jc w:val="center"/>
              <w:textAlignment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snapToGrid w:val="0"/>
                <w:color w:val="auto"/>
                <w:spacing w:val="-8"/>
                <w:sz w:val="18"/>
                <w:szCs w:val="18"/>
                <w:lang w:val="en-US" w:eastAsia="zh-CN" w:bidi="ar-SA"/>
              </w:rPr>
              <w:t>0.8</w:t>
            </w:r>
          </w:p>
        </w:tc>
        <w:tc>
          <w:tcPr>
            <w:tcW w:w="493" w:type="pct"/>
            <w:vMerge w:val="continue"/>
            <w:vAlign w:val="center"/>
          </w:tcPr>
          <w:p w14:paraId="4B3068C4">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5ADA7F70">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2EF5D140">
            <w:pPr>
              <w:jc w:val="center"/>
              <w:rPr>
                <w:rFonts w:hint="default" w:ascii="Times New Roman" w:hAnsi="Times New Roman" w:eastAsia="宋体" w:cs="Times New Roman"/>
                <w:color w:val="auto"/>
                <w:spacing w:val="-8"/>
                <w:sz w:val="18"/>
                <w:szCs w:val="18"/>
              </w:rPr>
            </w:pPr>
          </w:p>
        </w:tc>
      </w:tr>
      <w:tr w14:paraId="7F0B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755C5ABE">
            <w:pPr>
              <w:jc w:val="center"/>
              <w:rPr>
                <w:rFonts w:hint="default" w:ascii="Times New Roman" w:hAnsi="Times New Roman" w:eastAsia="宋体" w:cs="Times New Roman"/>
                <w:color w:val="auto"/>
                <w:spacing w:val="-8"/>
                <w:sz w:val="18"/>
                <w:szCs w:val="18"/>
              </w:rPr>
            </w:pPr>
          </w:p>
        </w:tc>
        <w:tc>
          <w:tcPr>
            <w:tcW w:w="477" w:type="pct"/>
            <w:vMerge w:val="continue"/>
            <w:vAlign w:val="center"/>
          </w:tcPr>
          <w:p w14:paraId="3AD0B2EE">
            <w:pPr>
              <w:jc w:val="center"/>
              <w:rPr>
                <w:rFonts w:hint="default" w:ascii="Times New Roman" w:hAnsi="Times New Roman" w:eastAsia="宋体" w:cs="Times New Roman"/>
                <w:color w:val="auto"/>
                <w:spacing w:val="-8"/>
                <w:sz w:val="18"/>
                <w:szCs w:val="18"/>
              </w:rPr>
            </w:pPr>
          </w:p>
        </w:tc>
        <w:tc>
          <w:tcPr>
            <w:tcW w:w="561" w:type="pct"/>
            <w:shd w:val="clear" w:color="auto" w:fill="auto"/>
            <w:vAlign w:val="center"/>
          </w:tcPr>
          <w:p w14:paraId="55F4A4FE">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20</w:t>
            </w:r>
            <w:r>
              <w:rPr>
                <w:rFonts w:hint="default" w:ascii="Times New Roman" w:hAnsi="Times New Roman" w:eastAsia="宋体" w:cs="Times New Roman"/>
                <w:color w:val="auto"/>
                <w:spacing w:val="-8"/>
                <w:sz w:val="18"/>
                <w:szCs w:val="18"/>
                <w:lang w:val="en-US" w:eastAsia="zh-CN"/>
              </w:rPr>
              <w:t>%</w:t>
            </w:r>
          </w:p>
        </w:tc>
        <w:tc>
          <w:tcPr>
            <w:tcW w:w="561" w:type="pct"/>
            <w:shd w:val="clear" w:color="auto" w:fill="auto"/>
            <w:vAlign w:val="center"/>
          </w:tcPr>
          <w:p w14:paraId="481F3691">
            <w:pPr>
              <w:pStyle w:val="24"/>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3#线浓酸槽</w:t>
            </w:r>
          </w:p>
        </w:tc>
        <w:tc>
          <w:tcPr>
            <w:tcW w:w="565" w:type="pct"/>
            <w:shd w:val="clear" w:color="auto" w:fill="auto"/>
            <w:vAlign w:val="center"/>
          </w:tcPr>
          <w:p w14:paraId="144D9D2D">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0.6</w:t>
            </w:r>
          </w:p>
        </w:tc>
        <w:tc>
          <w:tcPr>
            <w:tcW w:w="470" w:type="pct"/>
            <w:shd w:val="clear" w:color="auto" w:fill="auto"/>
            <w:vAlign w:val="center"/>
          </w:tcPr>
          <w:p w14:paraId="5D70594F">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shd w:val="clear" w:color="auto" w:fill="auto"/>
            <w:vAlign w:val="center"/>
          </w:tcPr>
          <w:p w14:paraId="71CEB196">
            <w:pPr>
              <w:keepNext w:val="0"/>
              <w:keepLines w:val="0"/>
              <w:widowControl/>
              <w:suppressLineNumbers w:val="0"/>
              <w:jc w:val="center"/>
              <w:textAlignment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snapToGrid w:val="0"/>
                <w:color w:val="auto"/>
                <w:spacing w:val="-8"/>
                <w:sz w:val="18"/>
                <w:szCs w:val="18"/>
                <w:lang w:val="en-US" w:eastAsia="zh-CN" w:bidi="ar-SA"/>
              </w:rPr>
              <w:t>0.12</w:t>
            </w:r>
          </w:p>
        </w:tc>
        <w:tc>
          <w:tcPr>
            <w:tcW w:w="493" w:type="pct"/>
            <w:vMerge w:val="continue"/>
            <w:vAlign w:val="center"/>
          </w:tcPr>
          <w:p w14:paraId="65613F36">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341C27FA">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127EA741">
            <w:pPr>
              <w:jc w:val="center"/>
              <w:rPr>
                <w:rFonts w:hint="default" w:ascii="Times New Roman" w:hAnsi="Times New Roman" w:eastAsia="宋体" w:cs="Times New Roman"/>
                <w:color w:val="auto"/>
                <w:spacing w:val="-8"/>
                <w:sz w:val="18"/>
                <w:szCs w:val="18"/>
              </w:rPr>
            </w:pPr>
          </w:p>
        </w:tc>
      </w:tr>
      <w:tr w14:paraId="1D41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005D32B8">
            <w:pPr>
              <w:jc w:val="center"/>
              <w:rPr>
                <w:rFonts w:hint="default" w:ascii="Times New Roman" w:hAnsi="Times New Roman" w:eastAsia="宋体" w:cs="Times New Roman"/>
                <w:color w:val="auto"/>
                <w:spacing w:val="-8"/>
                <w:sz w:val="18"/>
                <w:szCs w:val="18"/>
              </w:rPr>
            </w:pPr>
          </w:p>
        </w:tc>
        <w:tc>
          <w:tcPr>
            <w:tcW w:w="477" w:type="pct"/>
            <w:vMerge w:val="continue"/>
            <w:vAlign w:val="center"/>
          </w:tcPr>
          <w:p w14:paraId="211454E9">
            <w:pPr>
              <w:jc w:val="center"/>
              <w:rPr>
                <w:rFonts w:hint="default" w:ascii="Times New Roman" w:hAnsi="Times New Roman" w:eastAsia="宋体" w:cs="Times New Roman"/>
                <w:color w:val="auto"/>
                <w:spacing w:val="-8"/>
                <w:sz w:val="18"/>
                <w:szCs w:val="18"/>
              </w:rPr>
            </w:pPr>
          </w:p>
        </w:tc>
        <w:tc>
          <w:tcPr>
            <w:tcW w:w="561" w:type="pct"/>
            <w:shd w:val="clear" w:color="auto" w:fill="auto"/>
            <w:vAlign w:val="center"/>
          </w:tcPr>
          <w:p w14:paraId="5269A48A">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5</w:t>
            </w:r>
            <w:r>
              <w:rPr>
                <w:rFonts w:hint="default" w:ascii="Times New Roman" w:hAnsi="Times New Roman" w:eastAsia="宋体" w:cs="Times New Roman"/>
                <w:color w:val="auto"/>
                <w:spacing w:val="-8"/>
                <w:sz w:val="18"/>
                <w:szCs w:val="18"/>
                <w:lang w:val="en-US" w:eastAsia="zh-CN"/>
              </w:rPr>
              <w:t>%</w:t>
            </w:r>
          </w:p>
        </w:tc>
        <w:tc>
          <w:tcPr>
            <w:tcW w:w="561" w:type="pct"/>
            <w:shd w:val="clear" w:color="auto" w:fill="auto"/>
            <w:vAlign w:val="center"/>
          </w:tcPr>
          <w:p w14:paraId="0E2F6C91">
            <w:pPr>
              <w:pStyle w:val="24"/>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3#线淡酸槽</w:t>
            </w:r>
          </w:p>
        </w:tc>
        <w:tc>
          <w:tcPr>
            <w:tcW w:w="565" w:type="pct"/>
            <w:shd w:val="clear" w:color="auto" w:fill="auto"/>
            <w:vAlign w:val="center"/>
          </w:tcPr>
          <w:p w14:paraId="5F47B561">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2</w:t>
            </w:r>
          </w:p>
        </w:tc>
        <w:tc>
          <w:tcPr>
            <w:tcW w:w="470" w:type="pct"/>
            <w:shd w:val="clear" w:color="auto" w:fill="auto"/>
            <w:vAlign w:val="center"/>
          </w:tcPr>
          <w:p w14:paraId="06BACC5C">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shd w:val="clear" w:color="auto" w:fill="auto"/>
            <w:vAlign w:val="center"/>
          </w:tcPr>
          <w:p w14:paraId="6943107E">
            <w:pPr>
              <w:keepNext w:val="0"/>
              <w:keepLines w:val="0"/>
              <w:widowControl/>
              <w:suppressLineNumbers w:val="0"/>
              <w:jc w:val="center"/>
              <w:textAlignment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snapToGrid w:val="0"/>
                <w:color w:val="auto"/>
                <w:spacing w:val="-8"/>
                <w:sz w:val="18"/>
                <w:szCs w:val="18"/>
                <w:lang w:val="en-US" w:eastAsia="zh-CN" w:bidi="ar-SA"/>
              </w:rPr>
              <w:t>0.1</w:t>
            </w:r>
          </w:p>
        </w:tc>
        <w:tc>
          <w:tcPr>
            <w:tcW w:w="493" w:type="pct"/>
            <w:vMerge w:val="continue"/>
            <w:vAlign w:val="center"/>
          </w:tcPr>
          <w:p w14:paraId="2E811140">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2F94D83D">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09686287">
            <w:pPr>
              <w:jc w:val="center"/>
              <w:rPr>
                <w:rFonts w:hint="default" w:ascii="Times New Roman" w:hAnsi="Times New Roman" w:eastAsia="宋体" w:cs="Times New Roman"/>
                <w:color w:val="auto"/>
                <w:spacing w:val="-8"/>
                <w:sz w:val="18"/>
                <w:szCs w:val="18"/>
              </w:rPr>
            </w:pPr>
          </w:p>
        </w:tc>
      </w:tr>
      <w:tr w14:paraId="6570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4A4E60AD">
            <w:pPr>
              <w:jc w:val="center"/>
              <w:rPr>
                <w:rFonts w:hint="default" w:ascii="Times New Roman" w:hAnsi="Times New Roman" w:eastAsia="宋体" w:cs="Times New Roman"/>
                <w:color w:val="auto"/>
                <w:spacing w:val="-8"/>
                <w:sz w:val="18"/>
                <w:szCs w:val="18"/>
              </w:rPr>
            </w:pPr>
          </w:p>
        </w:tc>
        <w:tc>
          <w:tcPr>
            <w:tcW w:w="477" w:type="pct"/>
            <w:vMerge w:val="continue"/>
            <w:vAlign w:val="center"/>
          </w:tcPr>
          <w:p w14:paraId="09891DCE">
            <w:pPr>
              <w:jc w:val="center"/>
              <w:rPr>
                <w:rFonts w:hint="default" w:ascii="Times New Roman" w:hAnsi="Times New Roman" w:eastAsia="宋体" w:cs="Times New Roman"/>
                <w:color w:val="auto"/>
                <w:spacing w:val="-8"/>
                <w:sz w:val="18"/>
                <w:szCs w:val="18"/>
              </w:rPr>
            </w:pPr>
          </w:p>
        </w:tc>
        <w:tc>
          <w:tcPr>
            <w:tcW w:w="561" w:type="pct"/>
            <w:shd w:val="clear" w:color="auto" w:fill="auto"/>
            <w:vAlign w:val="center"/>
          </w:tcPr>
          <w:p w14:paraId="48A2427B">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5</w:t>
            </w:r>
            <w:r>
              <w:rPr>
                <w:rFonts w:hint="default" w:ascii="Times New Roman" w:hAnsi="Times New Roman" w:eastAsia="宋体" w:cs="Times New Roman"/>
                <w:color w:val="auto"/>
                <w:spacing w:val="-8"/>
                <w:sz w:val="18"/>
                <w:szCs w:val="18"/>
                <w:lang w:val="en-US" w:eastAsia="zh-CN"/>
              </w:rPr>
              <w:t>%</w:t>
            </w:r>
          </w:p>
        </w:tc>
        <w:tc>
          <w:tcPr>
            <w:tcW w:w="561" w:type="pct"/>
            <w:shd w:val="clear" w:color="auto" w:fill="auto"/>
            <w:vAlign w:val="center"/>
          </w:tcPr>
          <w:p w14:paraId="6B561255">
            <w:pPr>
              <w:pStyle w:val="24"/>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4#线酸洗槽</w:t>
            </w:r>
          </w:p>
        </w:tc>
        <w:tc>
          <w:tcPr>
            <w:tcW w:w="565" w:type="pct"/>
            <w:shd w:val="clear" w:color="auto" w:fill="auto"/>
            <w:vAlign w:val="center"/>
          </w:tcPr>
          <w:p w14:paraId="7DF72073">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0.5</w:t>
            </w:r>
          </w:p>
        </w:tc>
        <w:tc>
          <w:tcPr>
            <w:tcW w:w="470" w:type="pct"/>
            <w:shd w:val="clear" w:color="auto" w:fill="auto"/>
            <w:vAlign w:val="center"/>
          </w:tcPr>
          <w:p w14:paraId="439E743F">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shd w:val="clear" w:color="auto" w:fill="auto"/>
            <w:vAlign w:val="center"/>
          </w:tcPr>
          <w:p w14:paraId="4040BB37">
            <w:pPr>
              <w:keepNext w:val="0"/>
              <w:keepLines w:val="0"/>
              <w:widowControl/>
              <w:suppressLineNumbers w:val="0"/>
              <w:jc w:val="center"/>
              <w:textAlignment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snapToGrid w:val="0"/>
                <w:color w:val="auto"/>
                <w:spacing w:val="-8"/>
                <w:sz w:val="18"/>
                <w:szCs w:val="18"/>
                <w:lang w:val="en-US" w:eastAsia="zh-CN" w:bidi="ar-SA"/>
              </w:rPr>
              <w:t>0.025</w:t>
            </w:r>
          </w:p>
        </w:tc>
        <w:tc>
          <w:tcPr>
            <w:tcW w:w="493" w:type="pct"/>
            <w:vMerge w:val="continue"/>
            <w:vAlign w:val="center"/>
          </w:tcPr>
          <w:p w14:paraId="1A7620C3">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4DD13673">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0395BED1">
            <w:pPr>
              <w:jc w:val="center"/>
              <w:rPr>
                <w:rFonts w:hint="default" w:ascii="Times New Roman" w:hAnsi="Times New Roman" w:eastAsia="宋体" w:cs="Times New Roman"/>
                <w:color w:val="auto"/>
                <w:spacing w:val="-8"/>
                <w:sz w:val="18"/>
                <w:szCs w:val="18"/>
              </w:rPr>
            </w:pPr>
          </w:p>
        </w:tc>
      </w:tr>
      <w:tr w14:paraId="10D09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6341BD53">
            <w:pPr>
              <w:jc w:val="center"/>
              <w:rPr>
                <w:rFonts w:hint="default" w:ascii="Times New Roman" w:hAnsi="Times New Roman" w:eastAsia="宋体" w:cs="Times New Roman"/>
                <w:color w:val="auto"/>
                <w:spacing w:val="-8"/>
                <w:sz w:val="18"/>
                <w:szCs w:val="18"/>
              </w:rPr>
            </w:pPr>
          </w:p>
        </w:tc>
        <w:tc>
          <w:tcPr>
            <w:tcW w:w="477" w:type="pct"/>
            <w:vMerge w:val="continue"/>
            <w:vAlign w:val="center"/>
          </w:tcPr>
          <w:p w14:paraId="5A25CB60">
            <w:pPr>
              <w:jc w:val="center"/>
              <w:rPr>
                <w:rFonts w:hint="default" w:ascii="Times New Roman" w:hAnsi="Times New Roman" w:eastAsia="宋体" w:cs="Times New Roman"/>
                <w:color w:val="auto"/>
                <w:spacing w:val="-8"/>
                <w:sz w:val="18"/>
                <w:szCs w:val="18"/>
              </w:rPr>
            </w:pPr>
          </w:p>
        </w:tc>
        <w:tc>
          <w:tcPr>
            <w:tcW w:w="561" w:type="pct"/>
            <w:shd w:val="clear" w:color="auto" w:fill="auto"/>
            <w:vAlign w:val="center"/>
          </w:tcPr>
          <w:p w14:paraId="4AFD9F9D">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5</w:t>
            </w:r>
            <w:r>
              <w:rPr>
                <w:rFonts w:hint="default" w:ascii="Times New Roman" w:hAnsi="Times New Roman" w:eastAsia="宋体" w:cs="Times New Roman"/>
                <w:color w:val="auto"/>
                <w:spacing w:val="-8"/>
                <w:sz w:val="18"/>
                <w:szCs w:val="18"/>
                <w:lang w:val="en-US" w:eastAsia="zh-CN"/>
              </w:rPr>
              <w:t>%</w:t>
            </w:r>
          </w:p>
        </w:tc>
        <w:tc>
          <w:tcPr>
            <w:tcW w:w="561" w:type="pct"/>
            <w:shd w:val="clear" w:color="auto" w:fill="auto"/>
            <w:vAlign w:val="center"/>
          </w:tcPr>
          <w:p w14:paraId="5C5B2585">
            <w:pPr>
              <w:pStyle w:val="24"/>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6#线酸洗槽</w:t>
            </w:r>
          </w:p>
        </w:tc>
        <w:tc>
          <w:tcPr>
            <w:tcW w:w="565" w:type="pct"/>
            <w:shd w:val="clear" w:color="auto" w:fill="auto"/>
            <w:vAlign w:val="center"/>
          </w:tcPr>
          <w:p w14:paraId="5092B27A">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0.8</w:t>
            </w:r>
          </w:p>
        </w:tc>
        <w:tc>
          <w:tcPr>
            <w:tcW w:w="470" w:type="pct"/>
            <w:shd w:val="clear" w:color="auto" w:fill="auto"/>
            <w:vAlign w:val="center"/>
          </w:tcPr>
          <w:p w14:paraId="742095C1">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3</w:t>
            </w:r>
          </w:p>
        </w:tc>
        <w:tc>
          <w:tcPr>
            <w:tcW w:w="678" w:type="pct"/>
            <w:vAlign w:val="center"/>
          </w:tcPr>
          <w:p w14:paraId="69C50D74">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0.12</w:t>
            </w:r>
          </w:p>
        </w:tc>
        <w:tc>
          <w:tcPr>
            <w:tcW w:w="493" w:type="pct"/>
            <w:vMerge w:val="continue"/>
            <w:vAlign w:val="center"/>
          </w:tcPr>
          <w:p w14:paraId="7A37517B">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78AA3393">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58218BDF">
            <w:pPr>
              <w:jc w:val="center"/>
              <w:rPr>
                <w:rFonts w:hint="default" w:ascii="Times New Roman" w:hAnsi="Times New Roman" w:eastAsia="宋体" w:cs="Times New Roman"/>
                <w:color w:val="auto"/>
                <w:spacing w:val="-8"/>
                <w:sz w:val="18"/>
                <w:szCs w:val="18"/>
              </w:rPr>
            </w:pPr>
          </w:p>
        </w:tc>
      </w:tr>
      <w:tr w14:paraId="11EB4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2E3244D9">
            <w:pPr>
              <w:jc w:val="center"/>
              <w:rPr>
                <w:rFonts w:hint="default" w:ascii="Times New Roman" w:hAnsi="Times New Roman" w:eastAsia="宋体" w:cs="Times New Roman"/>
                <w:color w:val="auto"/>
                <w:spacing w:val="-8"/>
                <w:sz w:val="18"/>
                <w:szCs w:val="18"/>
              </w:rPr>
            </w:pPr>
          </w:p>
        </w:tc>
        <w:tc>
          <w:tcPr>
            <w:tcW w:w="477" w:type="pct"/>
            <w:vMerge w:val="continue"/>
            <w:vAlign w:val="center"/>
          </w:tcPr>
          <w:p w14:paraId="1863CC8A">
            <w:pPr>
              <w:jc w:val="center"/>
              <w:rPr>
                <w:rFonts w:hint="default" w:ascii="Times New Roman" w:hAnsi="Times New Roman" w:eastAsia="宋体" w:cs="Times New Roman"/>
                <w:color w:val="auto"/>
                <w:spacing w:val="-8"/>
                <w:sz w:val="18"/>
                <w:szCs w:val="18"/>
              </w:rPr>
            </w:pPr>
          </w:p>
        </w:tc>
        <w:tc>
          <w:tcPr>
            <w:tcW w:w="561" w:type="pct"/>
            <w:shd w:val="clear" w:color="auto" w:fill="auto"/>
            <w:vAlign w:val="center"/>
          </w:tcPr>
          <w:p w14:paraId="17719408">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5</w:t>
            </w:r>
            <w:r>
              <w:rPr>
                <w:rFonts w:hint="default" w:ascii="Times New Roman" w:hAnsi="Times New Roman" w:eastAsia="宋体" w:cs="Times New Roman"/>
                <w:color w:val="auto"/>
                <w:spacing w:val="-8"/>
                <w:sz w:val="18"/>
                <w:szCs w:val="18"/>
                <w:lang w:val="en-US" w:eastAsia="zh-CN"/>
              </w:rPr>
              <w:t>%</w:t>
            </w:r>
          </w:p>
        </w:tc>
        <w:tc>
          <w:tcPr>
            <w:tcW w:w="561" w:type="pct"/>
            <w:shd w:val="clear" w:color="auto" w:fill="auto"/>
            <w:vAlign w:val="center"/>
          </w:tcPr>
          <w:p w14:paraId="56129193">
            <w:pPr>
              <w:pStyle w:val="24"/>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8#线酸洗槽</w:t>
            </w:r>
          </w:p>
        </w:tc>
        <w:tc>
          <w:tcPr>
            <w:tcW w:w="565" w:type="pct"/>
            <w:shd w:val="clear" w:color="auto" w:fill="auto"/>
            <w:vAlign w:val="center"/>
          </w:tcPr>
          <w:p w14:paraId="51F59725">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0.8</w:t>
            </w:r>
          </w:p>
        </w:tc>
        <w:tc>
          <w:tcPr>
            <w:tcW w:w="470" w:type="pct"/>
            <w:shd w:val="clear" w:color="auto" w:fill="auto"/>
            <w:vAlign w:val="center"/>
          </w:tcPr>
          <w:p w14:paraId="703E9500">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z w:val="18"/>
                <w:szCs w:val="18"/>
                <w:lang w:val="en-US" w:eastAsia="zh-CN"/>
              </w:rPr>
              <w:t>3</w:t>
            </w:r>
          </w:p>
        </w:tc>
        <w:tc>
          <w:tcPr>
            <w:tcW w:w="678" w:type="pct"/>
            <w:vAlign w:val="center"/>
          </w:tcPr>
          <w:p w14:paraId="34975A92">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0.12</w:t>
            </w:r>
          </w:p>
        </w:tc>
        <w:tc>
          <w:tcPr>
            <w:tcW w:w="493" w:type="pct"/>
            <w:vMerge w:val="continue"/>
            <w:vAlign w:val="center"/>
          </w:tcPr>
          <w:p w14:paraId="0AC26550">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64715040">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5B5467A3">
            <w:pPr>
              <w:jc w:val="center"/>
              <w:rPr>
                <w:rFonts w:hint="default" w:ascii="Times New Roman" w:hAnsi="Times New Roman" w:eastAsia="宋体" w:cs="Times New Roman"/>
                <w:color w:val="auto"/>
                <w:spacing w:val="-8"/>
                <w:sz w:val="18"/>
                <w:szCs w:val="18"/>
              </w:rPr>
            </w:pPr>
          </w:p>
        </w:tc>
      </w:tr>
      <w:tr w14:paraId="2FBF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restart"/>
            <w:vAlign w:val="center"/>
          </w:tcPr>
          <w:p w14:paraId="2244E112">
            <w:pPr>
              <w:jc w:val="center"/>
              <w:rPr>
                <w:rFonts w:hint="eastAsia"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2</w:t>
            </w:r>
          </w:p>
        </w:tc>
        <w:tc>
          <w:tcPr>
            <w:tcW w:w="477" w:type="pct"/>
            <w:vMerge w:val="restart"/>
            <w:vAlign w:val="center"/>
          </w:tcPr>
          <w:p w14:paraId="1219CA9E">
            <w:pPr>
              <w:jc w:val="center"/>
              <w:rPr>
                <w:rFonts w:hint="eastAsia"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硝酸</w:t>
            </w:r>
          </w:p>
        </w:tc>
        <w:tc>
          <w:tcPr>
            <w:tcW w:w="561" w:type="pct"/>
            <w:vAlign w:val="center"/>
          </w:tcPr>
          <w:p w14:paraId="5927141B">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1%</w:t>
            </w:r>
          </w:p>
        </w:tc>
        <w:tc>
          <w:tcPr>
            <w:tcW w:w="561" w:type="pct"/>
            <w:vAlign w:val="center"/>
          </w:tcPr>
          <w:p w14:paraId="1ADDDAA1">
            <w:pPr>
              <w:pStyle w:val="24"/>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cs="Times New Roman"/>
                <w:color w:val="auto"/>
                <w:spacing w:val="-8"/>
                <w:sz w:val="18"/>
                <w:szCs w:val="18"/>
                <w:lang w:val="en-US" w:eastAsia="zh-CN"/>
              </w:rPr>
              <w:t>1#线一次出光槽</w:t>
            </w:r>
          </w:p>
        </w:tc>
        <w:tc>
          <w:tcPr>
            <w:tcW w:w="565" w:type="pct"/>
            <w:vAlign w:val="center"/>
          </w:tcPr>
          <w:p w14:paraId="35205A55">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4</w:t>
            </w:r>
          </w:p>
        </w:tc>
        <w:tc>
          <w:tcPr>
            <w:tcW w:w="470" w:type="pct"/>
            <w:vAlign w:val="center"/>
          </w:tcPr>
          <w:p w14:paraId="7786F316">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1</w:t>
            </w:r>
          </w:p>
        </w:tc>
        <w:tc>
          <w:tcPr>
            <w:tcW w:w="678" w:type="pct"/>
            <w:vAlign w:val="center"/>
          </w:tcPr>
          <w:p w14:paraId="3DF08BD7">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0.04</w:t>
            </w:r>
          </w:p>
        </w:tc>
        <w:tc>
          <w:tcPr>
            <w:tcW w:w="493" w:type="pct"/>
            <w:vMerge w:val="restart"/>
            <w:vAlign w:val="center"/>
          </w:tcPr>
          <w:p w14:paraId="263777A1">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7.5</w:t>
            </w:r>
          </w:p>
        </w:tc>
        <w:tc>
          <w:tcPr>
            <w:tcW w:w="473" w:type="pct"/>
            <w:vMerge w:val="restart"/>
            <w:vAlign w:val="center"/>
          </w:tcPr>
          <w:p w14:paraId="00013CA8">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0.138</w:t>
            </w:r>
          </w:p>
        </w:tc>
        <w:tc>
          <w:tcPr>
            <w:tcW w:w="473" w:type="pct"/>
            <w:vMerge w:val="restart"/>
            <w:vAlign w:val="center"/>
          </w:tcPr>
          <w:p w14:paraId="65123349">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0.0184</w:t>
            </w:r>
          </w:p>
        </w:tc>
      </w:tr>
      <w:tr w14:paraId="0D18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6CC82849">
            <w:pPr>
              <w:jc w:val="center"/>
              <w:rPr>
                <w:rFonts w:hint="default" w:ascii="Times New Roman" w:hAnsi="Times New Roman" w:eastAsia="宋体" w:cs="Times New Roman"/>
                <w:color w:val="auto"/>
                <w:spacing w:val="-8"/>
                <w:sz w:val="18"/>
                <w:szCs w:val="18"/>
              </w:rPr>
            </w:pPr>
          </w:p>
        </w:tc>
        <w:tc>
          <w:tcPr>
            <w:tcW w:w="477" w:type="pct"/>
            <w:vMerge w:val="continue"/>
            <w:vAlign w:val="center"/>
          </w:tcPr>
          <w:p w14:paraId="6491BBEB">
            <w:pPr>
              <w:jc w:val="center"/>
              <w:rPr>
                <w:rFonts w:hint="default" w:ascii="Times New Roman" w:hAnsi="Times New Roman" w:eastAsia="宋体" w:cs="Times New Roman"/>
                <w:color w:val="auto"/>
                <w:spacing w:val="-8"/>
                <w:sz w:val="18"/>
                <w:szCs w:val="18"/>
              </w:rPr>
            </w:pPr>
          </w:p>
        </w:tc>
        <w:tc>
          <w:tcPr>
            <w:tcW w:w="561" w:type="pct"/>
            <w:shd w:val="clear" w:color="auto" w:fill="auto"/>
            <w:vAlign w:val="center"/>
          </w:tcPr>
          <w:p w14:paraId="00ADC0D0">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0.65%</w:t>
            </w:r>
          </w:p>
        </w:tc>
        <w:tc>
          <w:tcPr>
            <w:tcW w:w="561" w:type="pct"/>
            <w:shd w:val="clear" w:color="auto" w:fill="auto"/>
            <w:vAlign w:val="center"/>
          </w:tcPr>
          <w:p w14:paraId="0973E129">
            <w:pPr>
              <w:pStyle w:val="24"/>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1#线二次出光槽</w:t>
            </w:r>
          </w:p>
        </w:tc>
        <w:tc>
          <w:tcPr>
            <w:tcW w:w="565" w:type="pct"/>
            <w:shd w:val="clear" w:color="auto" w:fill="auto"/>
            <w:vAlign w:val="center"/>
          </w:tcPr>
          <w:p w14:paraId="438A9C5B">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4</w:t>
            </w:r>
          </w:p>
        </w:tc>
        <w:tc>
          <w:tcPr>
            <w:tcW w:w="470" w:type="pct"/>
            <w:shd w:val="clear" w:color="auto" w:fill="auto"/>
            <w:vAlign w:val="center"/>
          </w:tcPr>
          <w:p w14:paraId="76C9E8CA">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1</w:t>
            </w:r>
          </w:p>
        </w:tc>
        <w:tc>
          <w:tcPr>
            <w:tcW w:w="678" w:type="pct"/>
            <w:vAlign w:val="center"/>
          </w:tcPr>
          <w:p w14:paraId="316C52B4">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0.026</w:t>
            </w:r>
          </w:p>
        </w:tc>
        <w:tc>
          <w:tcPr>
            <w:tcW w:w="493" w:type="pct"/>
            <w:vMerge w:val="continue"/>
            <w:vAlign w:val="center"/>
          </w:tcPr>
          <w:p w14:paraId="207FF89B">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6D2D45A3">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4BE2724A">
            <w:pPr>
              <w:jc w:val="center"/>
              <w:rPr>
                <w:rFonts w:hint="default" w:ascii="Times New Roman" w:hAnsi="Times New Roman" w:eastAsia="宋体" w:cs="Times New Roman"/>
                <w:color w:val="auto"/>
                <w:spacing w:val="-8"/>
                <w:sz w:val="18"/>
                <w:szCs w:val="18"/>
              </w:rPr>
            </w:pPr>
          </w:p>
        </w:tc>
      </w:tr>
      <w:tr w14:paraId="7B93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1DD742A9">
            <w:pPr>
              <w:jc w:val="center"/>
              <w:rPr>
                <w:rFonts w:hint="default" w:ascii="Times New Roman" w:hAnsi="Times New Roman" w:eastAsia="宋体" w:cs="Times New Roman"/>
                <w:color w:val="auto"/>
                <w:spacing w:val="-8"/>
                <w:sz w:val="18"/>
                <w:szCs w:val="18"/>
              </w:rPr>
            </w:pPr>
          </w:p>
        </w:tc>
        <w:tc>
          <w:tcPr>
            <w:tcW w:w="477" w:type="pct"/>
            <w:vMerge w:val="continue"/>
            <w:vAlign w:val="center"/>
          </w:tcPr>
          <w:p w14:paraId="69751365">
            <w:pPr>
              <w:jc w:val="center"/>
              <w:rPr>
                <w:rFonts w:hint="default" w:ascii="Times New Roman" w:hAnsi="Times New Roman" w:eastAsia="宋体" w:cs="Times New Roman"/>
                <w:color w:val="auto"/>
                <w:spacing w:val="-8"/>
                <w:sz w:val="18"/>
                <w:szCs w:val="18"/>
              </w:rPr>
            </w:pPr>
          </w:p>
        </w:tc>
        <w:tc>
          <w:tcPr>
            <w:tcW w:w="561" w:type="pct"/>
            <w:shd w:val="clear" w:color="auto" w:fill="auto"/>
            <w:vAlign w:val="center"/>
          </w:tcPr>
          <w:p w14:paraId="0585959E">
            <w:pPr>
              <w:jc w:val="center"/>
              <w:rPr>
                <w:rFonts w:hint="eastAsia"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1%</w:t>
            </w:r>
          </w:p>
        </w:tc>
        <w:tc>
          <w:tcPr>
            <w:tcW w:w="561" w:type="pct"/>
            <w:shd w:val="clear" w:color="auto" w:fill="auto"/>
            <w:vAlign w:val="center"/>
          </w:tcPr>
          <w:p w14:paraId="4B3D6A51">
            <w:pPr>
              <w:pStyle w:val="24"/>
              <w:jc w:val="center"/>
              <w:rPr>
                <w:rFonts w:hint="eastAsia"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2#线一次出光槽</w:t>
            </w:r>
          </w:p>
        </w:tc>
        <w:tc>
          <w:tcPr>
            <w:tcW w:w="565" w:type="pct"/>
            <w:shd w:val="clear" w:color="auto" w:fill="auto"/>
            <w:vAlign w:val="center"/>
          </w:tcPr>
          <w:p w14:paraId="35CE3215">
            <w:pPr>
              <w:jc w:val="center"/>
              <w:rPr>
                <w:rFonts w:hint="eastAsia"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4</w:t>
            </w:r>
          </w:p>
        </w:tc>
        <w:tc>
          <w:tcPr>
            <w:tcW w:w="470" w:type="pct"/>
            <w:shd w:val="clear" w:color="auto" w:fill="auto"/>
            <w:vAlign w:val="center"/>
          </w:tcPr>
          <w:p w14:paraId="25E067C7">
            <w:pPr>
              <w:jc w:val="center"/>
              <w:rPr>
                <w:rFonts w:hint="eastAsia"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1</w:t>
            </w:r>
          </w:p>
        </w:tc>
        <w:tc>
          <w:tcPr>
            <w:tcW w:w="678" w:type="pct"/>
            <w:vAlign w:val="center"/>
          </w:tcPr>
          <w:p w14:paraId="4B2BAC2B">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0.04</w:t>
            </w:r>
          </w:p>
        </w:tc>
        <w:tc>
          <w:tcPr>
            <w:tcW w:w="493" w:type="pct"/>
            <w:vMerge w:val="continue"/>
            <w:vAlign w:val="center"/>
          </w:tcPr>
          <w:p w14:paraId="6479DA41">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50B09505">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198253DB">
            <w:pPr>
              <w:jc w:val="center"/>
              <w:rPr>
                <w:rFonts w:hint="default" w:ascii="Times New Roman" w:hAnsi="Times New Roman" w:eastAsia="宋体" w:cs="Times New Roman"/>
                <w:color w:val="auto"/>
                <w:spacing w:val="-8"/>
                <w:sz w:val="18"/>
                <w:szCs w:val="18"/>
              </w:rPr>
            </w:pPr>
          </w:p>
        </w:tc>
      </w:tr>
      <w:tr w14:paraId="4C9D4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311A675E">
            <w:pPr>
              <w:jc w:val="center"/>
              <w:rPr>
                <w:rFonts w:hint="default" w:ascii="Times New Roman" w:hAnsi="Times New Roman" w:eastAsia="宋体" w:cs="Times New Roman"/>
                <w:color w:val="auto"/>
                <w:spacing w:val="-8"/>
                <w:sz w:val="18"/>
                <w:szCs w:val="18"/>
              </w:rPr>
            </w:pPr>
          </w:p>
        </w:tc>
        <w:tc>
          <w:tcPr>
            <w:tcW w:w="477" w:type="pct"/>
            <w:vMerge w:val="continue"/>
            <w:vAlign w:val="center"/>
          </w:tcPr>
          <w:p w14:paraId="6BAA74FB">
            <w:pPr>
              <w:jc w:val="center"/>
              <w:rPr>
                <w:rFonts w:hint="default" w:ascii="Times New Roman" w:hAnsi="Times New Roman" w:eastAsia="宋体" w:cs="Times New Roman"/>
                <w:color w:val="auto"/>
                <w:spacing w:val="-8"/>
                <w:sz w:val="18"/>
                <w:szCs w:val="18"/>
              </w:rPr>
            </w:pPr>
          </w:p>
        </w:tc>
        <w:tc>
          <w:tcPr>
            <w:tcW w:w="561" w:type="pct"/>
            <w:shd w:val="clear" w:color="auto" w:fill="auto"/>
            <w:vAlign w:val="center"/>
          </w:tcPr>
          <w:p w14:paraId="28B08FA5">
            <w:pPr>
              <w:jc w:val="center"/>
              <w:rPr>
                <w:rFonts w:hint="eastAsia"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0.65%</w:t>
            </w:r>
          </w:p>
        </w:tc>
        <w:tc>
          <w:tcPr>
            <w:tcW w:w="561" w:type="pct"/>
            <w:shd w:val="clear" w:color="auto" w:fill="auto"/>
            <w:vAlign w:val="center"/>
          </w:tcPr>
          <w:p w14:paraId="5F64EA1B">
            <w:pPr>
              <w:pStyle w:val="24"/>
              <w:jc w:val="center"/>
              <w:rPr>
                <w:rFonts w:hint="eastAsia"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2#线二次出光槽</w:t>
            </w:r>
          </w:p>
        </w:tc>
        <w:tc>
          <w:tcPr>
            <w:tcW w:w="565" w:type="pct"/>
            <w:shd w:val="clear" w:color="auto" w:fill="auto"/>
            <w:vAlign w:val="center"/>
          </w:tcPr>
          <w:p w14:paraId="27B6A7E6">
            <w:pPr>
              <w:jc w:val="center"/>
              <w:rPr>
                <w:rFonts w:hint="eastAsia"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4</w:t>
            </w:r>
          </w:p>
        </w:tc>
        <w:tc>
          <w:tcPr>
            <w:tcW w:w="470" w:type="pct"/>
            <w:shd w:val="clear" w:color="auto" w:fill="auto"/>
            <w:vAlign w:val="center"/>
          </w:tcPr>
          <w:p w14:paraId="7977D0C2">
            <w:pPr>
              <w:jc w:val="center"/>
              <w:rPr>
                <w:rFonts w:hint="eastAsia"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1</w:t>
            </w:r>
          </w:p>
        </w:tc>
        <w:tc>
          <w:tcPr>
            <w:tcW w:w="678" w:type="pct"/>
            <w:vAlign w:val="center"/>
          </w:tcPr>
          <w:p w14:paraId="05B1D48A">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0.026</w:t>
            </w:r>
          </w:p>
        </w:tc>
        <w:tc>
          <w:tcPr>
            <w:tcW w:w="493" w:type="pct"/>
            <w:vMerge w:val="continue"/>
            <w:vAlign w:val="center"/>
          </w:tcPr>
          <w:p w14:paraId="3E427E84">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09C325E1">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2BFB34D8">
            <w:pPr>
              <w:jc w:val="center"/>
              <w:rPr>
                <w:rFonts w:hint="default" w:ascii="Times New Roman" w:hAnsi="Times New Roman" w:eastAsia="宋体" w:cs="Times New Roman"/>
                <w:color w:val="auto"/>
                <w:spacing w:val="-8"/>
                <w:sz w:val="18"/>
                <w:szCs w:val="18"/>
              </w:rPr>
            </w:pPr>
          </w:p>
        </w:tc>
      </w:tr>
      <w:tr w14:paraId="3E271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507DDED7">
            <w:pPr>
              <w:jc w:val="center"/>
              <w:rPr>
                <w:rFonts w:hint="default" w:ascii="Times New Roman" w:hAnsi="Times New Roman" w:eastAsia="宋体" w:cs="Times New Roman"/>
                <w:color w:val="auto"/>
                <w:spacing w:val="-8"/>
                <w:sz w:val="18"/>
                <w:szCs w:val="18"/>
              </w:rPr>
            </w:pPr>
          </w:p>
        </w:tc>
        <w:tc>
          <w:tcPr>
            <w:tcW w:w="477" w:type="pct"/>
            <w:vMerge w:val="continue"/>
            <w:vAlign w:val="center"/>
          </w:tcPr>
          <w:p w14:paraId="77F2B289">
            <w:pPr>
              <w:jc w:val="center"/>
              <w:rPr>
                <w:rFonts w:hint="default" w:ascii="Times New Roman" w:hAnsi="Times New Roman" w:eastAsia="宋体" w:cs="Times New Roman"/>
                <w:color w:val="auto"/>
                <w:spacing w:val="-8"/>
                <w:sz w:val="18"/>
                <w:szCs w:val="18"/>
              </w:rPr>
            </w:pPr>
          </w:p>
        </w:tc>
        <w:tc>
          <w:tcPr>
            <w:tcW w:w="561" w:type="pct"/>
            <w:shd w:val="clear" w:color="auto" w:fill="auto"/>
            <w:vAlign w:val="center"/>
          </w:tcPr>
          <w:p w14:paraId="6100CD32">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1%</w:t>
            </w:r>
          </w:p>
        </w:tc>
        <w:tc>
          <w:tcPr>
            <w:tcW w:w="561" w:type="pct"/>
            <w:shd w:val="clear" w:color="auto" w:fill="auto"/>
            <w:vAlign w:val="center"/>
          </w:tcPr>
          <w:p w14:paraId="45639040">
            <w:pPr>
              <w:pStyle w:val="24"/>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3#线出光槽</w:t>
            </w:r>
          </w:p>
        </w:tc>
        <w:tc>
          <w:tcPr>
            <w:tcW w:w="565" w:type="pct"/>
            <w:shd w:val="clear" w:color="auto" w:fill="auto"/>
            <w:vAlign w:val="center"/>
          </w:tcPr>
          <w:p w14:paraId="0C35ACDF">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0.6</w:t>
            </w:r>
          </w:p>
        </w:tc>
        <w:tc>
          <w:tcPr>
            <w:tcW w:w="470" w:type="pct"/>
            <w:shd w:val="clear" w:color="auto" w:fill="auto"/>
            <w:vAlign w:val="center"/>
          </w:tcPr>
          <w:p w14:paraId="36DAE804">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1</w:t>
            </w:r>
          </w:p>
        </w:tc>
        <w:tc>
          <w:tcPr>
            <w:tcW w:w="678" w:type="pct"/>
            <w:vAlign w:val="center"/>
          </w:tcPr>
          <w:p w14:paraId="5BBE131F">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0.006</w:t>
            </w:r>
          </w:p>
        </w:tc>
        <w:tc>
          <w:tcPr>
            <w:tcW w:w="493" w:type="pct"/>
            <w:vMerge w:val="continue"/>
            <w:vAlign w:val="center"/>
          </w:tcPr>
          <w:p w14:paraId="30065283">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2ED7BDD0">
            <w:pPr>
              <w:jc w:val="center"/>
              <w:rPr>
                <w:rFonts w:hint="default" w:ascii="Times New Roman" w:hAnsi="Times New Roman" w:eastAsia="宋体" w:cs="Times New Roman"/>
                <w:color w:val="auto"/>
                <w:spacing w:val="-8"/>
                <w:sz w:val="18"/>
                <w:szCs w:val="18"/>
              </w:rPr>
            </w:pPr>
          </w:p>
        </w:tc>
        <w:tc>
          <w:tcPr>
            <w:tcW w:w="473" w:type="pct"/>
            <w:vMerge w:val="continue"/>
            <w:vAlign w:val="center"/>
          </w:tcPr>
          <w:p w14:paraId="6E363527">
            <w:pPr>
              <w:jc w:val="center"/>
              <w:rPr>
                <w:rFonts w:hint="default" w:ascii="Times New Roman" w:hAnsi="Times New Roman" w:eastAsia="宋体" w:cs="Times New Roman"/>
                <w:color w:val="auto"/>
                <w:spacing w:val="-8"/>
                <w:sz w:val="18"/>
                <w:szCs w:val="18"/>
              </w:rPr>
            </w:pPr>
          </w:p>
        </w:tc>
      </w:tr>
      <w:tr w14:paraId="6E472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restart"/>
            <w:vAlign w:val="center"/>
          </w:tcPr>
          <w:p w14:paraId="53B3E7AF">
            <w:pPr>
              <w:jc w:val="center"/>
              <w:rPr>
                <w:rFonts w:hint="default" w:ascii="Times New Roman" w:hAnsi="Times New Roman" w:eastAsia="宋体" w:cs="Times New Roman"/>
                <w:color w:val="auto"/>
                <w:spacing w:val="1"/>
                <w:sz w:val="18"/>
                <w:szCs w:val="18"/>
                <w:lang w:val="en-US" w:eastAsia="zh-CN"/>
              </w:rPr>
            </w:pPr>
            <w:r>
              <w:rPr>
                <w:rFonts w:hint="eastAsia" w:ascii="Times New Roman" w:hAnsi="Times New Roman" w:eastAsia="宋体" w:cs="Times New Roman"/>
                <w:color w:val="auto"/>
                <w:spacing w:val="1"/>
                <w:sz w:val="18"/>
                <w:szCs w:val="18"/>
                <w:lang w:val="en-US" w:eastAsia="zh-CN"/>
              </w:rPr>
              <w:t>3</w:t>
            </w:r>
          </w:p>
        </w:tc>
        <w:tc>
          <w:tcPr>
            <w:tcW w:w="477" w:type="pct"/>
            <w:vMerge w:val="restart"/>
            <w:vAlign w:val="center"/>
          </w:tcPr>
          <w:p w14:paraId="179236C9">
            <w:pPr>
              <w:pStyle w:val="24"/>
              <w:jc w:val="center"/>
              <w:rPr>
                <w:rFonts w:hint="default" w:ascii="Times New Roman" w:hAnsi="Times New Roman" w:eastAsia="宋体" w:cs="Times New Roman"/>
                <w:color w:val="auto"/>
                <w:spacing w:val="5"/>
                <w:sz w:val="18"/>
                <w:szCs w:val="18"/>
                <w:lang w:val="en-US" w:eastAsia="zh-CN"/>
              </w:rPr>
            </w:pPr>
            <w:r>
              <w:rPr>
                <w:rFonts w:hint="eastAsia" w:ascii="Times New Roman" w:hAnsi="Times New Roman" w:cs="Times New Roman"/>
                <w:color w:val="auto"/>
                <w:spacing w:val="5"/>
                <w:sz w:val="18"/>
                <w:szCs w:val="18"/>
                <w:lang w:val="en-US" w:eastAsia="zh-CN"/>
              </w:rPr>
              <w:t>镍及其化合物</w:t>
            </w:r>
          </w:p>
        </w:tc>
        <w:tc>
          <w:tcPr>
            <w:tcW w:w="561" w:type="pct"/>
            <w:vAlign w:val="center"/>
          </w:tcPr>
          <w:p w14:paraId="2E436F2F">
            <w:pPr>
              <w:jc w:val="center"/>
              <w:rPr>
                <w:rFonts w:hint="default" w:ascii="Times New Roman" w:hAnsi="Times New Roman" w:eastAsia="宋体" w:cs="Times New Roman"/>
                <w:color w:val="auto"/>
                <w:spacing w:val="2"/>
                <w:position w:val="3"/>
                <w:sz w:val="18"/>
                <w:szCs w:val="18"/>
                <w:lang w:val="en-US" w:eastAsia="zh-CN"/>
              </w:rPr>
            </w:pPr>
            <w:r>
              <w:rPr>
                <w:rFonts w:hint="eastAsia" w:ascii="Times New Roman" w:hAnsi="Times New Roman" w:eastAsia="宋体" w:cs="Times New Roman"/>
                <w:color w:val="auto"/>
                <w:spacing w:val="2"/>
                <w:position w:val="3"/>
                <w:sz w:val="18"/>
                <w:szCs w:val="18"/>
                <w:lang w:val="en-US" w:eastAsia="zh-CN"/>
              </w:rPr>
              <w:t>12g/L</w:t>
            </w:r>
          </w:p>
        </w:tc>
        <w:tc>
          <w:tcPr>
            <w:tcW w:w="561" w:type="pct"/>
            <w:vAlign w:val="center"/>
          </w:tcPr>
          <w:p w14:paraId="58041EB5">
            <w:pPr>
              <w:pStyle w:val="24"/>
              <w:jc w:val="center"/>
              <w:rPr>
                <w:rFonts w:hint="default" w:ascii="Times New Roman" w:hAnsi="Times New Roman" w:eastAsia="宋体" w:cs="Times New Roman"/>
                <w:color w:val="auto"/>
                <w:spacing w:val="7"/>
                <w:sz w:val="18"/>
                <w:szCs w:val="18"/>
                <w:lang w:val="en-US" w:eastAsia="zh-CN"/>
              </w:rPr>
            </w:pPr>
            <w:r>
              <w:rPr>
                <w:rFonts w:hint="eastAsia" w:ascii="Times New Roman" w:hAnsi="Times New Roman" w:cs="Times New Roman"/>
                <w:color w:val="auto"/>
                <w:spacing w:val="7"/>
                <w:sz w:val="18"/>
                <w:szCs w:val="18"/>
                <w:lang w:val="en-US" w:eastAsia="zh-CN"/>
              </w:rPr>
              <w:t>2#线</w:t>
            </w:r>
            <w:r>
              <w:rPr>
                <w:rFonts w:hint="eastAsia" w:cs="Times New Roman"/>
                <w:color w:val="auto"/>
                <w:sz w:val="18"/>
                <w:szCs w:val="18"/>
                <w:lang w:val="en-US" w:eastAsia="zh-CN"/>
              </w:rPr>
              <w:t>二级镀锌镍合金槽</w:t>
            </w:r>
          </w:p>
        </w:tc>
        <w:tc>
          <w:tcPr>
            <w:tcW w:w="565" w:type="pct"/>
            <w:vAlign w:val="center"/>
          </w:tcPr>
          <w:p w14:paraId="0DC3FF0D">
            <w:pPr>
              <w:jc w:val="center"/>
              <w:rPr>
                <w:rFonts w:hint="default" w:ascii="Times New Roman" w:hAnsi="Times New Roman" w:eastAsia="宋体" w:cs="Times New Roman"/>
                <w:color w:val="auto"/>
                <w:spacing w:val="4"/>
                <w:sz w:val="18"/>
                <w:szCs w:val="18"/>
                <w:lang w:val="en-US" w:eastAsia="zh-CN"/>
              </w:rPr>
            </w:pPr>
            <w:r>
              <w:rPr>
                <w:rFonts w:hint="eastAsia" w:ascii="Times New Roman" w:hAnsi="Times New Roman" w:eastAsia="宋体" w:cs="Times New Roman"/>
                <w:color w:val="auto"/>
                <w:spacing w:val="4"/>
                <w:sz w:val="18"/>
                <w:szCs w:val="18"/>
                <w:lang w:val="en-US" w:eastAsia="zh-CN"/>
              </w:rPr>
              <w:t>16</w:t>
            </w:r>
          </w:p>
        </w:tc>
        <w:tc>
          <w:tcPr>
            <w:tcW w:w="470" w:type="pct"/>
            <w:vAlign w:val="center"/>
          </w:tcPr>
          <w:p w14:paraId="2A6D5B5B">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w:t>
            </w:r>
          </w:p>
        </w:tc>
        <w:tc>
          <w:tcPr>
            <w:tcW w:w="678" w:type="pct"/>
            <w:vAlign w:val="center"/>
          </w:tcPr>
          <w:p w14:paraId="440461F3">
            <w:pPr>
              <w:keepNext w:val="0"/>
              <w:keepLines w:val="0"/>
              <w:widowControl/>
              <w:suppressLineNumbers w:val="0"/>
              <w:jc w:val="center"/>
              <w:textAlignment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0.384</w:t>
            </w:r>
          </w:p>
        </w:tc>
        <w:tc>
          <w:tcPr>
            <w:tcW w:w="493" w:type="pct"/>
            <w:vMerge w:val="restart"/>
            <w:vAlign w:val="center"/>
          </w:tcPr>
          <w:p w14:paraId="4CD4A11D">
            <w:pPr>
              <w:jc w:val="center"/>
              <w:rPr>
                <w:rFonts w:hint="default" w:ascii="Times New Roman" w:hAnsi="Times New Roman" w:eastAsia="宋体" w:cs="Times New Roman"/>
                <w:color w:val="auto"/>
                <w:spacing w:val="2"/>
                <w:sz w:val="18"/>
                <w:szCs w:val="18"/>
                <w:lang w:val="en-US" w:eastAsia="zh-CN"/>
              </w:rPr>
            </w:pPr>
            <w:r>
              <w:rPr>
                <w:rFonts w:hint="eastAsia" w:ascii="Times New Roman" w:hAnsi="Times New Roman" w:eastAsia="宋体" w:cs="Times New Roman"/>
                <w:color w:val="auto"/>
                <w:spacing w:val="2"/>
                <w:sz w:val="18"/>
                <w:szCs w:val="18"/>
                <w:lang w:val="en-US" w:eastAsia="zh-CN"/>
              </w:rPr>
              <w:t>0.25</w:t>
            </w:r>
          </w:p>
        </w:tc>
        <w:tc>
          <w:tcPr>
            <w:tcW w:w="473" w:type="pct"/>
            <w:vMerge w:val="restart"/>
            <w:vAlign w:val="center"/>
          </w:tcPr>
          <w:p w14:paraId="6EB62B8A">
            <w:pPr>
              <w:jc w:val="center"/>
              <w:rPr>
                <w:rFonts w:hint="default" w:ascii="Times New Roman" w:hAnsi="Times New Roman" w:eastAsia="宋体" w:cs="Times New Roman"/>
                <w:color w:val="auto"/>
                <w:spacing w:val="3"/>
                <w:sz w:val="18"/>
                <w:szCs w:val="18"/>
                <w:lang w:val="en-US" w:eastAsia="zh-CN"/>
              </w:rPr>
            </w:pPr>
            <w:r>
              <w:rPr>
                <w:rFonts w:hint="eastAsia" w:ascii="Times New Roman" w:hAnsi="Times New Roman" w:eastAsia="宋体" w:cs="Times New Roman"/>
                <w:color w:val="auto"/>
                <w:spacing w:val="3"/>
                <w:sz w:val="18"/>
                <w:szCs w:val="18"/>
                <w:lang w:val="en-US" w:eastAsia="zh-CN"/>
              </w:rPr>
              <w:t>0.4608</w:t>
            </w:r>
          </w:p>
        </w:tc>
        <w:tc>
          <w:tcPr>
            <w:tcW w:w="473" w:type="pct"/>
            <w:vMerge w:val="restart"/>
            <w:vAlign w:val="center"/>
          </w:tcPr>
          <w:p w14:paraId="1E10BD19">
            <w:pPr>
              <w:jc w:val="center"/>
              <w:rPr>
                <w:rFonts w:hint="default" w:ascii="Times New Roman" w:hAnsi="Times New Roman" w:eastAsia="宋体" w:cs="Times New Roman"/>
                <w:color w:val="auto"/>
                <w:spacing w:val="3"/>
                <w:sz w:val="18"/>
                <w:szCs w:val="18"/>
                <w:lang w:val="en-US" w:eastAsia="zh-CN"/>
              </w:rPr>
            </w:pPr>
            <w:r>
              <w:rPr>
                <w:rFonts w:hint="eastAsia" w:ascii="Times New Roman" w:hAnsi="Times New Roman" w:eastAsia="宋体" w:cs="Times New Roman"/>
                <w:color w:val="auto"/>
                <w:spacing w:val="3"/>
                <w:sz w:val="18"/>
                <w:szCs w:val="18"/>
                <w:lang w:val="en-US" w:eastAsia="zh-CN"/>
              </w:rPr>
              <w:t>1.8432</w:t>
            </w:r>
          </w:p>
        </w:tc>
      </w:tr>
      <w:tr w14:paraId="5CC89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7B370B3B">
            <w:pPr>
              <w:jc w:val="center"/>
              <w:rPr>
                <w:rFonts w:hint="eastAsia" w:ascii="Times New Roman" w:hAnsi="Times New Roman" w:eastAsia="宋体" w:cs="Times New Roman"/>
                <w:color w:val="auto"/>
                <w:spacing w:val="1"/>
                <w:sz w:val="18"/>
                <w:szCs w:val="18"/>
                <w:lang w:val="en-US" w:eastAsia="zh-CN"/>
              </w:rPr>
            </w:pPr>
          </w:p>
        </w:tc>
        <w:tc>
          <w:tcPr>
            <w:tcW w:w="477" w:type="pct"/>
            <w:vMerge w:val="continue"/>
            <w:vAlign w:val="center"/>
          </w:tcPr>
          <w:p w14:paraId="626F0613">
            <w:pPr>
              <w:pStyle w:val="24"/>
              <w:jc w:val="center"/>
              <w:rPr>
                <w:rFonts w:hint="eastAsia" w:ascii="Times New Roman" w:hAnsi="Times New Roman" w:cs="Times New Roman"/>
                <w:color w:val="auto"/>
                <w:spacing w:val="5"/>
                <w:sz w:val="18"/>
                <w:szCs w:val="18"/>
                <w:lang w:val="en-US" w:eastAsia="zh-CN"/>
              </w:rPr>
            </w:pPr>
          </w:p>
        </w:tc>
        <w:tc>
          <w:tcPr>
            <w:tcW w:w="561" w:type="pct"/>
            <w:shd w:val="clear" w:color="auto" w:fill="auto"/>
            <w:vAlign w:val="center"/>
          </w:tcPr>
          <w:p w14:paraId="704EC6EB">
            <w:pPr>
              <w:jc w:val="center"/>
              <w:rPr>
                <w:rFonts w:hint="eastAsia" w:ascii="Times New Roman" w:hAnsi="Times New Roman" w:eastAsia="宋体" w:cs="Times New Roman"/>
                <w:snapToGrid w:val="0"/>
                <w:color w:val="auto"/>
                <w:spacing w:val="2"/>
                <w:position w:val="3"/>
                <w:sz w:val="18"/>
                <w:szCs w:val="18"/>
                <w:lang w:val="en-US" w:eastAsia="zh-CN" w:bidi="ar-SA"/>
              </w:rPr>
            </w:pPr>
            <w:r>
              <w:rPr>
                <w:rFonts w:hint="eastAsia" w:ascii="Times New Roman" w:hAnsi="Times New Roman" w:eastAsia="宋体" w:cs="Times New Roman"/>
                <w:color w:val="auto"/>
                <w:spacing w:val="2"/>
                <w:position w:val="3"/>
                <w:sz w:val="18"/>
                <w:szCs w:val="18"/>
                <w:lang w:val="en-US" w:eastAsia="zh-CN"/>
              </w:rPr>
              <w:t>12g/L</w:t>
            </w:r>
          </w:p>
        </w:tc>
        <w:tc>
          <w:tcPr>
            <w:tcW w:w="561" w:type="pct"/>
            <w:shd w:val="clear" w:color="auto" w:fill="auto"/>
            <w:vAlign w:val="center"/>
          </w:tcPr>
          <w:p w14:paraId="7FB985DE">
            <w:pPr>
              <w:pStyle w:val="24"/>
              <w:jc w:val="center"/>
              <w:rPr>
                <w:rFonts w:hint="eastAsia" w:ascii="Times New Roman" w:hAnsi="Times New Roman" w:eastAsia="宋体" w:cs="Times New Roman"/>
                <w:snapToGrid w:val="0"/>
                <w:color w:val="auto"/>
                <w:spacing w:val="7"/>
                <w:sz w:val="18"/>
                <w:szCs w:val="18"/>
                <w:lang w:val="en-US" w:eastAsia="zh-CN" w:bidi="ar-SA"/>
              </w:rPr>
            </w:pPr>
            <w:r>
              <w:rPr>
                <w:rFonts w:hint="eastAsia" w:ascii="Times New Roman" w:hAnsi="Times New Roman" w:cs="Times New Roman"/>
                <w:color w:val="auto"/>
                <w:spacing w:val="7"/>
                <w:sz w:val="18"/>
                <w:szCs w:val="18"/>
                <w:lang w:val="en-US" w:eastAsia="zh-CN"/>
              </w:rPr>
              <w:t>6#线</w:t>
            </w:r>
            <w:r>
              <w:rPr>
                <w:rFonts w:hint="eastAsia" w:cs="Times New Roman"/>
                <w:color w:val="auto"/>
                <w:sz w:val="18"/>
                <w:szCs w:val="18"/>
                <w:lang w:val="en-US" w:eastAsia="zh-CN"/>
              </w:rPr>
              <w:t>二级镀锌镍合金槽</w:t>
            </w:r>
          </w:p>
        </w:tc>
        <w:tc>
          <w:tcPr>
            <w:tcW w:w="565" w:type="pct"/>
            <w:shd w:val="clear" w:color="auto" w:fill="auto"/>
            <w:vAlign w:val="center"/>
          </w:tcPr>
          <w:p w14:paraId="6F629C16">
            <w:pPr>
              <w:jc w:val="center"/>
              <w:rPr>
                <w:rFonts w:hint="default" w:ascii="Times New Roman" w:hAnsi="Times New Roman" w:eastAsia="宋体" w:cs="Times New Roman"/>
                <w:snapToGrid w:val="0"/>
                <w:color w:val="auto"/>
                <w:spacing w:val="4"/>
                <w:sz w:val="18"/>
                <w:szCs w:val="18"/>
                <w:lang w:val="en-US" w:eastAsia="zh-CN" w:bidi="ar-SA"/>
              </w:rPr>
            </w:pPr>
            <w:r>
              <w:rPr>
                <w:rFonts w:hint="eastAsia" w:ascii="Times New Roman" w:hAnsi="Times New Roman" w:eastAsia="宋体" w:cs="Times New Roman"/>
                <w:color w:val="auto"/>
                <w:spacing w:val="4"/>
                <w:sz w:val="18"/>
                <w:szCs w:val="18"/>
                <w:lang w:val="en-US" w:eastAsia="zh-CN"/>
              </w:rPr>
              <w:t>3.2</w:t>
            </w:r>
          </w:p>
        </w:tc>
        <w:tc>
          <w:tcPr>
            <w:tcW w:w="470" w:type="pct"/>
            <w:shd w:val="clear" w:color="auto" w:fill="auto"/>
            <w:vAlign w:val="center"/>
          </w:tcPr>
          <w:p w14:paraId="46B02C55">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2</w:t>
            </w:r>
          </w:p>
        </w:tc>
        <w:tc>
          <w:tcPr>
            <w:tcW w:w="678" w:type="pct"/>
            <w:vAlign w:val="center"/>
          </w:tcPr>
          <w:p w14:paraId="3C339D26">
            <w:pPr>
              <w:keepNext w:val="0"/>
              <w:keepLines w:val="0"/>
              <w:widowControl/>
              <w:suppressLineNumbers w:val="0"/>
              <w:jc w:val="center"/>
              <w:textAlignment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0.0768</w:t>
            </w:r>
          </w:p>
        </w:tc>
        <w:tc>
          <w:tcPr>
            <w:tcW w:w="493" w:type="pct"/>
            <w:vMerge w:val="continue"/>
            <w:vAlign w:val="center"/>
          </w:tcPr>
          <w:p w14:paraId="0059ECBF">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1B2928DA">
            <w:pPr>
              <w:jc w:val="center"/>
              <w:rPr>
                <w:rFonts w:hint="eastAsia" w:ascii="Times New Roman" w:hAnsi="Times New Roman" w:eastAsia="宋体" w:cs="Times New Roman"/>
                <w:color w:val="auto"/>
                <w:spacing w:val="3"/>
                <w:sz w:val="18"/>
                <w:szCs w:val="18"/>
                <w:lang w:val="en-US" w:eastAsia="zh-CN"/>
              </w:rPr>
            </w:pPr>
          </w:p>
        </w:tc>
        <w:tc>
          <w:tcPr>
            <w:tcW w:w="473" w:type="pct"/>
            <w:vMerge w:val="continue"/>
            <w:vAlign w:val="center"/>
          </w:tcPr>
          <w:p w14:paraId="19FC5DE4">
            <w:pPr>
              <w:jc w:val="center"/>
              <w:rPr>
                <w:rFonts w:hint="eastAsia" w:ascii="Times New Roman" w:hAnsi="Times New Roman" w:eastAsia="宋体" w:cs="Times New Roman"/>
                <w:color w:val="auto"/>
                <w:spacing w:val="3"/>
                <w:sz w:val="18"/>
                <w:szCs w:val="18"/>
                <w:lang w:val="en-US" w:eastAsia="zh-CN"/>
              </w:rPr>
            </w:pPr>
          </w:p>
        </w:tc>
      </w:tr>
      <w:tr w14:paraId="272BD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Align w:val="center"/>
          </w:tcPr>
          <w:p w14:paraId="5F330743">
            <w:pPr>
              <w:jc w:val="center"/>
              <w:rPr>
                <w:rFonts w:hint="eastAsia" w:ascii="Times New Roman" w:hAnsi="Times New Roman" w:eastAsia="宋体" w:cs="Times New Roman"/>
                <w:color w:val="auto"/>
                <w:sz w:val="18"/>
                <w:szCs w:val="18"/>
                <w:lang w:eastAsia="zh-CN"/>
              </w:rPr>
            </w:pPr>
            <w:r>
              <w:rPr>
                <w:rFonts w:hint="eastAsia" w:ascii="Times New Roman" w:hAnsi="Times New Roman" w:eastAsia="宋体" w:cs="Times New Roman"/>
                <w:color w:val="auto"/>
                <w:spacing w:val="1"/>
                <w:sz w:val="18"/>
                <w:szCs w:val="18"/>
                <w:lang w:val="en-US" w:eastAsia="zh-CN"/>
              </w:rPr>
              <w:t>4</w:t>
            </w:r>
          </w:p>
        </w:tc>
        <w:tc>
          <w:tcPr>
            <w:tcW w:w="477" w:type="pct"/>
            <w:vAlign w:val="center"/>
          </w:tcPr>
          <w:p w14:paraId="64C6CE93">
            <w:pPr>
              <w:pStyle w:val="24"/>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pacing w:val="5"/>
                <w:sz w:val="18"/>
                <w:szCs w:val="18"/>
              </w:rPr>
              <w:t>氯化镍</w:t>
            </w:r>
          </w:p>
        </w:tc>
        <w:tc>
          <w:tcPr>
            <w:tcW w:w="561" w:type="pct"/>
            <w:vAlign w:val="center"/>
          </w:tcPr>
          <w:p w14:paraId="74DBDCD2">
            <w:pPr>
              <w:jc w:val="center"/>
              <w:rPr>
                <w:rFonts w:hint="default" w:ascii="Times New Roman" w:hAnsi="Times New Roman" w:eastAsia="宋体" w:cs="Times New Roman"/>
                <w:color w:val="auto"/>
                <w:sz w:val="18"/>
                <w:szCs w:val="18"/>
              </w:rPr>
            </w:pPr>
            <w:r>
              <w:rPr>
                <w:rFonts w:hint="eastAsia" w:ascii="Times New Roman" w:hAnsi="Times New Roman" w:eastAsia="宋体" w:cs="Times New Roman"/>
                <w:color w:val="auto"/>
                <w:spacing w:val="2"/>
                <w:position w:val="3"/>
                <w:sz w:val="18"/>
                <w:szCs w:val="18"/>
                <w:lang w:val="en-US" w:eastAsia="zh-CN"/>
              </w:rPr>
              <w:t>20</w:t>
            </w:r>
            <w:r>
              <w:rPr>
                <w:rFonts w:hint="default" w:ascii="Times New Roman" w:hAnsi="Times New Roman" w:eastAsia="宋体" w:cs="Times New Roman"/>
                <w:color w:val="auto"/>
                <w:spacing w:val="2"/>
                <w:position w:val="3"/>
                <w:sz w:val="18"/>
                <w:szCs w:val="18"/>
              </w:rPr>
              <w:t>g/L</w:t>
            </w:r>
          </w:p>
        </w:tc>
        <w:tc>
          <w:tcPr>
            <w:tcW w:w="561" w:type="pct"/>
            <w:vAlign w:val="center"/>
          </w:tcPr>
          <w:p w14:paraId="2F021A3A">
            <w:pPr>
              <w:pStyle w:val="24"/>
              <w:jc w:val="center"/>
              <w:rPr>
                <w:rFonts w:hint="default" w:ascii="Times New Roman" w:hAnsi="Times New Roman" w:eastAsia="宋体" w:cs="Times New Roman"/>
                <w:color w:val="auto"/>
                <w:sz w:val="18"/>
                <w:szCs w:val="18"/>
              </w:rPr>
            </w:pPr>
            <w:r>
              <w:rPr>
                <w:rFonts w:hint="eastAsia" w:ascii="Times New Roman" w:hAnsi="Times New Roman" w:cs="Times New Roman"/>
                <w:color w:val="auto"/>
                <w:spacing w:val="7"/>
                <w:sz w:val="18"/>
                <w:szCs w:val="18"/>
                <w:lang w:val="en-US" w:eastAsia="zh-CN"/>
              </w:rPr>
              <w:t>5#线镀镍槽</w:t>
            </w:r>
          </w:p>
        </w:tc>
        <w:tc>
          <w:tcPr>
            <w:tcW w:w="565" w:type="pct"/>
            <w:vAlign w:val="center"/>
          </w:tcPr>
          <w:p w14:paraId="681EA873">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pacing w:val="4"/>
                <w:sz w:val="18"/>
                <w:szCs w:val="18"/>
                <w:lang w:val="en-US" w:eastAsia="zh-CN"/>
              </w:rPr>
              <w:t>2</w:t>
            </w:r>
          </w:p>
        </w:tc>
        <w:tc>
          <w:tcPr>
            <w:tcW w:w="470" w:type="pct"/>
            <w:vAlign w:val="center"/>
          </w:tcPr>
          <w:p w14:paraId="60B0F7D9">
            <w:pPr>
              <w:jc w:val="center"/>
              <w:rPr>
                <w:rFonts w:hint="eastAsia" w:ascii="Times New Roman" w:hAnsi="Times New Roman" w:eastAsia="宋体" w:cs="Times New Roman"/>
                <w:color w:val="auto"/>
                <w:sz w:val="18"/>
                <w:szCs w:val="18"/>
                <w:lang w:eastAsia="zh-CN"/>
              </w:rPr>
            </w:pPr>
            <w:r>
              <w:rPr>
                <w:rFonts w:hint="eastAsia" w:ascii="Times New Roman" w:hAnsi="Times New Roman" w:eastAsia="宋体" w:cs="Times New Roman"/>
                <w:color w:val="auto"/>
                <w:sz w:val="18"/>
                <w:szCs w:val="18"/>
                <w:lang w:val="en-US" w:eastAsia="zh-CN"/>
              </w:rPr>
              <w:t>3</w:t>
            </w:r>
          </w:p>
        </w:tc>
        <w:tc>
          <w:tcPr>
            <w:tcW w:w="678" w:type="pct"/>
            <w:vAlign w:val="center"/>
          </w:tcPr>
          <w:p w14:paraId="482D85D8">
            <w:pPr>
              <w:keepNext w:val="0"/>
              <w:keepLines w:val="0"/>
              <w:widowControl/>
              <w:suppressLineNumbers w:val="0"/>
              <w:jc w:val="center"/>
              <w:textAlignment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0.12</w:t>
            </w:r>
          </w:p>
        </w:tc>
        <w:tc>
          <w:tcPr>
            <w:tcW w:w="493" w:type="pct"/>
            <w:vAlign w:val="center"/>
          </w:tcPr>
          <w:p w14:paraId="45F55518">
            <w:pPr>
              <w:jc w:val="center"/>
              <w:rPr>
                <w:rFonts w:hint="default" w:ascii="Times New Roman" w:hAnsi="Times New Roman" w:eastAsia="宋体" w:cs="Times New Roman"/>
                <w:color w:val="auto"/>
                <w:sz w:val="18"/>
                <w:szCs w:val="18"/>
                <w:lang w:val="en-US"/>
              </w:rPr>
            </w:pPr>
            <w:r>
              <w:rPr>
                <w:rFonts w:hint="eastAsia" w:ascii="Times New Roman" w:hAnsi="Times New Roman" w:eastAsia="宋体" w:cs="Times New Roman"/>
                <w:color w:val="auto"/>
                <w:spacing w:val="2"/>
                <w:sz w:val="18"/>
                <w:szCs w:val="18"/>
                <w:lang w:val="en-US" w:eastAsia="zh-CN"/>
              </w:rPr>
              <w:t>0.25</w:t>
            </w:r>
          </w:p>
        </w:tc>
        <w:tc>
          <w:tcPr>
            <w:tcW w:w="473" w:type="pct"/>
            <w:vAlign w:val="center"/>
          </w:tcPr>
          <w:p w14:paraId="0574DEFB">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pacing w:val="3"/>
                <w:sz w:val="18"/>
                <w:szCs w:val="18"/>
                <w:lang w:val="en-US" w:eastAsia="zh-CN"/>
              </w:rPr>
              <w:t>0.12</w:t>
            </w:r>
          </w:p>
        </w:tc>
        <w:tc>
          <w:tcPr>
            <w:tcW w:w="473" w:type="pct"/>
            <w:vAlign w:val="center"/>
          </w:tcPr>
          <w:p w14:paraId="2B582EA9">
            <w:pPr>
              <w:jc w:val="center"/>
              <w:rPr>
                <w:rFonts w:hint="default" w:ascii="Times New Roman" w:hAnsi="Times New Roman" w:eastAsia="宋体" w:cs="Times New Roman"/>
                <w:color w:val="auto"/>
                <w:spacing w:val="3"/>
                <w:sz w:val="18"/>
                <w:szCs w:val="18"/>
                <w:lang w:val="en-US" w:eastAsia="zh-CN"/>
              </w:rPr>
            </w:pPr>
            <w:r>
              <w:rPr>
                <w:rFonts w:hint="eastAsia" w:ascii="Times New Roman" w:hAnsi="Times New Roman" w:eastAsia="宋体" w:cs="Times New Roman"/>
                <w:color w:val="auto"/>
                <w:spacing w:val="3"/>
                <w:sz w:val="18"/>
                <w:szCs w:val="18"/>
                <w:lang w:val="en-US" w:eastAsia="zh-CN"/>
              </w:rPr>
              <w:t>0.48</w:t>
            </w:r>
          </w:p>
        </w:tc>
      </w:tr>
      <w:tr w14:paraId="6CAF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Align w:val="center"/>
          </w:tcPr>
          <w:p w14:paraId="59CB89B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w:t>
            </w:r>
          </w:p>
        </w:tc>
        <w:tc>
          <w:tcPr>
            <w:tcW w:w="477" w:type="pct"/>
            <w:vAlign w:val="center"/>
          </w:tcPr>
          <w:p w14:paraId="09D6DF0E">
            <w:pPr>
              <w:pStyle w:val="24"/>
              <w:jc w:val="center"/>
              <w:rPr>
                <w:rFonts w:hint="eastAsia" w:ascii="Times New Roman" w:hAnsi="Times New Roman" w:eastAsia="宋体" w:cs="Times New Roman"/>
                <w:color w:val="auto"/>
                <w:spacing w:val="7"/>
                <w:sz w:val="18"/>
                <w:szCs w:val="18"/>
                <w:lang w:val="en-US" w:eastAsia="zh-CN"/>
              </w:rPr>
            </w:pPr>
            <w:r>
              <w:rPr>
                <w:rFonts w:hint="eastAsia" w:ascii="Times New Roman" w:hAnsi="Times New Roman" w:cs="Times New Roman"/>
                <w:color w:val="auto"/>
                <w:spacing w:val="7"/>
                <w:sz w:val="18"/>
                <w:szCs w:val="18"/>
                <w:lang w:val="en-US" w:eastAsia="zh-CN"/>
              </w:rPr>
              <w:t>氨基磺酸镍</w:t>
            </w:r>
          </w:p>
        </w:tc>
        <w:tc>
          <w:tcPr>
            <w:tcW w:w="561" w:type="pct"/>
            <w:vAlign w:val="center"/>
          </w:tcPr>
          <w:p w14:paraId="7669B414">
            <w:pPr>
              <w:jc w:val="center"/>
              <w:rPr>
                <w:rFonts w:hint="eastAsia" w:ascii="Times New Roman" w:hAnsi="Times New Roman" w:eastAsia="宋体" w:cs="Times New Roman"/>
                <w:color w:val="auto"/>
                <w:spacing w:val="3"/>
                <w:position w:val="3"/>
                <w:sz w:val="18"/>
                <w:szCs w:val="18"/>
                <w:lang w:val="en-US" w:eastAsia="zh-CN"/>
              </w:rPr>
            </w:pPr>
            <w:r>
              <w:rPr>
                <w:rFonts w:hint="eastAsia" w:ascii="Times New Roman" w:hAnsi="Times New Roman" w:eastAsia="宋体" w:cs="Times New Roman"/>
                <w:color w:val="auto"/>
                <w:spacing w:val="3"/>
                <w:position w:val="3"/>
                <w:sz w:val="18"/>
                <w:szCs w:val="18"/>
                <w:lang w:val="en-US" w:eastAsia="zh-CN"/>
              </w:rPr>
              <w:t>240</w:t>
            </w:r>
            <w:r>
              <w:rPr>
                <w:rFonts w:hint="default" w:ascii="Times New Roman" w:hAnsi="Times New Roman" w:eastAsia="宋体" w:cs="Times New Roman"/>
                <w:color w:val="auto"/>
                <w:spacing w:val="3"/>
                <w:position w:val="3"/>
                <w:sz w:val="18"/>
                <w:szCs w:val="18"/>
              </w:rPr>
              <w:t>g/L</w:t>
            </w:r>
          </w:p>
        </w:tc>
        <w:tc>
          <w:tcPr>
            <w:tcW w:w="561" w:type="pct"/>
            <w:vAlign w:val="center"/>
          </w:tcPr>
          <w:p w14:paraId="30E9E7D5">
            <w:pPr>
              <w:pStyle w:val="24"/>
              <w:jc w:val="center"/>
              <w:rPr>
                <w:rFonts w:hint="default" w:ascii="Times New Roman" w:hAnsi="Times New Roman" w:eastAsia="宋体" w:cs="Times New Roman"/>
                <w:color w:val="auto"/>
                <w:spacing w:val="7"/>
                <w:sz w:val="18"/>
                <w:szCs w:val="18"/>
              </w:rPr>
            </w:pPr>
            <w:r>
              <w:rPr>
                <w:rFonts w:hint="eastAsia" w:ascii="Times New Roman" w:hAnsi="Times New Roman" w:cs="Times New Roman"/>
                <w:color w:val="auto"/>
                <w:spacing w:val="7"/>
                <w:sz w:val="18"/>
                <w:szCs w:val="18"/>
                <w:lang w:val="en-US" w:eastAsia="zh-CN"/>
              </w:rPr>
              <w:t>5#线镀镍槽</w:t>
            </w:r>
          </w:p>
        </w:tc>
        <w:tc>
          <w:tcPr>
            <w:tcW w:w="565" w:type="pct"/>
            <w:vAlign w:val="center"/>
          </w:tcPr>
          <w:p w14:paraId="2C7AD1B9">
            <w:pPr>
              <w:jc w:val="center"/>
              <w:rPr>
                <w:rFonts w:hint="default" w:ascii="Times New Roman" w:hAnsi="Times New Roman" w:eastAsia="宋体" w:cs="Times New Roman"/>
                <w:color w:val="auto"/>
                <w:spacing w:val="4"/>
                <w:sz w:val="18"/>
                <w:szCs w:val="18"/>
                <w:lang w:val="en-US" w:eastAsia="zh-CN"/>
              </w:rPr>
            </w:pPr>
            <w:r>
              <w:rPr>
                <w:rFonts w:hint="eastAsia" w:ascii="Times New Roman" w:hAnsi="Times New Roman" w:eastAsia="宋体" w:cs="Times New Roman"/>
                <w:color w:val="auto"/>
                <w:spacing w:val="-8"/>
                <w:sz w:val="18"/>
                <w:szCs w:val="18"/>
                <w:lang w:val="en-US" w:eastAsia="zh-CN"/>
              </w:rPr>
              <w:t>2</w:t>
            </w:r>
          </w:p>
        </w:tc>
        <w:tc>
          <w:tcPr>
            <w:tcW w:w="470" w:type="pct"/>
            <w:vAlign w:val="center"/>
          </w:tcPr>
          <w:p w14:paraId="0CAB3DE6">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pacing w:val="-8"/>
                <w:sz w:val="18"/>
                <w:szCs w:val="18"/>
                <w:lang w:val="en-US" w:eastAsia="zh-CN"/>
              </w:rPr>
              <w:t>3</w:t>
            </w:r>
          </w:p>
        </w:tc>
        <w:tc>
          <w:tcPr>
            <w:tcW w:w="678" w:type="pct"/>
            <w:vAlign w:val="center"/>
          </w:tcPr>
          <w:p w14:paraId="77A61BDB">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1.44</w:t>
            </w:r>
          </w:p>
        </w:tc>
        <w:tc>
          <w:tcPr>
            <w:tcW w:w="493" w:type="pct"/>
            <w:vAlign w:val="center"/>
          </w:tcPr>
          <w:p w14:paraId="3E2D6602">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0.25</w:t>
            </w:r>
          </w:p>
        </w:tc>
        <w:tc>
          <w:tcPr>
            <w:tcW w:w="473" w:type="pct"/>
            <w:vAlign w:val="center"/>
          </w:tcPr>
          <w:p w14:paraId="2820FB59">
            <w:pPr>
              <w:jc w:val="center"/>
              <w:rPr>
                <w:rFonts w:hint="default" w:ascii="Times New Roman" w:hAnsi="Times New Roman" w:eastAsia="宋体" w:cs="Times New Roman"/>
                <w:color w:val="auto"/>
                <w:spacing w:val="3"/>
                <w:sz w:val="18"/>
                <w:szCs w:val="18"/>
                <w:lang w:val="en-US" w:eastAsia="zh-CN"/>
              </w:rPr>
            </w:pPr>
            <w:r>
              <w:rPr>
                <w:rFonts w:hint="eastAsia" w:ascii="Times New Roman" w:hAnsi="Times New Roman" w:eastAsia="宋体" w:cs="Times New Roman"/>
                <w:color w:val="auto"/>
                <w:spacing w:val="3"/>
                <w:sz w:val="18"/>
                <w:szCs w:val="18"/>
                <w:lang w:val="en-US" w:eastAsia="zh-CN"/>
              </w:rPr>
              <w:t>1.44</w:t>
            </w:r>
          </w:p>
        </w:tc>
        <w:tc>
          <w:tcPr>
            <w:tcW w:w="473" w:type="pct"/>
            <w:vAlign w:val="center"/>
          </w:tcPr>
          <w:p w14:paraId="30688C64">
            <w:pPr>
              <w:jc w:val="center"/>
              <w:rPr>
                <w:rFonts w:hint="default" w:ascii="Times New Roman" w:hAnsi="Times New Roman" w:eastAsia="宋体" w:cs="Times New Roman"/>
                <w:color w:val="auto"/>
                <w:spacing w:val="3"/>
                <w:sz w:val="18"/>
                <w:szCs w:val="18"/>
                <w:lang w:val="en-US" w:eastAsia="zh-CN"/>
              </w:rPr>
            </w:pPr>
            <w:r>
              <w:rPr>
                <w:rFonts w:hint="eastAsia" w:ascii="Times New Roman" w:hAnsi="Times New Roman" w:eastAsia="宋体" w:cs="Times New Roman"/>
                <w:color w:val="auto"/>
                <w:spacing w:val="3"/>
                <w:sz w:val="18"/>
                <w:szCs w:val="18"/>
                <w:lang w:val="en-US" w:eastAsia="zh-CN"/>
              </w:rPr>
              <w:t>5.76</w:t>
            </w:r>
          </w:p>
        </w:tc>
      </w:tr>
      <w:tr w14:paraId="7FF6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Align w:val="center"/>
          </w:tcPr>
          <w:p w14:paraId="4C5B958C">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w:t>
            </w:r>
          </w:p>
        </w:tc>
        <w:tc>
          <w:tcPr>
            <w:tcW w:w="477" w:type="pct"/>
            <w:vAlign w:val="center"/>
          </w:tcPr>
          <w:p w14:paraId="37C826FA">
            <w:pPr>
              <w:jc w:val="center"/>
              <w:rPr>
                <w:rFonts w:hint="default" w:ascii="Times New Roman" w:hAnsi="Times New Roman" w:cs="Times New Roman" w:eastAsiaTheme="minorEastAsia"/>
                <w:color w:val="auto"/>
                <w:sz w:val="18"/>
                <w:szCs w:val="18"/>
                <w:lang w:val="en-US" w:eastAsia="zh-CN"/>
              </w:rPr>
            </w:pPr>
            <w:r>
              <w:rPr>
                <w:rFonts w:hint="default" w:ascii="Times New Roman" w:hAnsi="Times New Roman" w:eastAsia="宋体" w:cs="Times New Roman"/>
                <w:color w:val="auto"/>
                <w:spacing w:val="7"/>
                <w:sz w:val="18"/>
                <w:szCs w:val="18"/>
              </w:rPr>
              <w:t>氰化</w:t>
            </w:r>
            <w:r>
              <w:rPr>
                <w:rFonts w:hint="eastAsia" w:ascii="Times New Roman" w:hAnsi="Times New Roman" w:eastAsia="宋体" w:cs="Times New Roman"/>
                <w:color w:val="auto"/>
                <w:spacing w:val="7"/>
                <w:sz w:val="18"/>
                <w:szCs w:val="18"/>
                <w:lang w:val="en-US" w:eastAsia="zh-CN"/>
              </w:rPr>
              <w:t>银</w:t>
            </w:r>
            <w:r>
              <w:rPr>
                <w:rFonts w:hint="eastAsia" w:ascii="Times New Roman" w:hAnsi="Times New Roman" w:cs="Times New Roman"/>
                <w:color w:val="auto"/>
                <w:spacing w:val="7"/>
                <w:sz w:val="18"/>
                <w:szCs w:val="18"/>
                <w:lang w:val="en-US" w:eastAsia="zh-CN"/>
              </w:rPr>
              <w:t>钾</w:t>
            </w:r>
            <w:r>
              <w:rPr>
                <w:rFonts w:hint="eastAsia"/>
                <w:color w:val="auto"/>
                <w:sz w:val="18"/>
                <w:szCs w:val="18"/>
                <w:lang w:eastAsia="zh-CN"/>
              </w:rPr>
              <w:t>（</w:t>
            </w:r>
            <w:r>
              <w:rPr>
                <w:rFonts w:hint="eastAsia"/>
                <w:color w:val="auto"/>
                <w:sz w:val="18"/>
                <w:szCs w:val="18"/>
                <w:lang w:val="en-US" w:eastAsia="zh-CN"/>
              </w:rPr>
              <w:t>银及其化合物</w:t>
            </w:r>
            <w:commentRangeStart w:id="0"/>
            <w:commentRangeStart w:id="1"/>
            <w:r>
              <w:commentReference w:id="0"/>
            </w:r>
            <w:commentRangeEnd w:id="0"/>
            <w:commentRangeEnd w:id="1"/>
            <w:r>
              <w:commentReference w:id="1"/>
            </w:r>
            <w:r>
              <w:rPr>
                <w:rFonts w:hint="eastAsia"/>
                <w:color w:val="auto"/>
                <w:sz w:val="18"/>
                <w:szCs w:val="18"/>
                <w:lang w:val="en-US" w:eastAsia="zh-CN"/>
              </w:rPr>
              <w:t>）</w:t>
            </w:r>
          </w:p>
        </w:tc>
        <w:tc>
          <w:tcPr>
            <w:tcW w:w="561" w:type="pct"/>
            <w:vAlign w:val="center"/>
          </w:tcPr>
          <w:p w14:paraId="5ACF6F61">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r>
              <w:rPr>
                <w:rFonts w:hint="default" w:ascii="Times New Roman" w:hAnsi="Times New Roman" w:eastAsia="宋体" w:cs="Times New Roman"/>
                <w:color w:val="auto"/>
                <w:spacing w:val="3"/>
                <w:position w:val="3"/>
                <w:sz w:val="18"/>
                <w:szCs w:val="18"/>
              </w:rPr>
              <w:t>g/L</w:t>
            </w:r>
          </w:p>
        </w:tc>
        <w:tc>
          <w:tcPr>
            <w:tcW w:w="561" w:type="pct"/>
            <w:vAlign w:val="center"/>
          </w:tcPr>
          <w:p w14:paraId="07E6529B">
            <w:pPr>
              <w:pStyle w:val="24"/>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pacing w:val="-8"/>
                <w:sz w:val="18"/>
                <w:szCs w:val="18"/>
                <w:lang w:val="en-US" w:eastAsia="zh-CN"/>
              </w:rPr>
              <w:t>8#线氰化镀银槽</w:t>
            </w:r>
          </w:p>
        </w:tc>
        <w:tc>
          <w:tcPr>
            <w:tcW w:w="565" w:type="pct"/>
            <w:shd w:val="clear" w:color="auto" w:fill="auto"/>
            <w:vAlign w:val="center"/>
          </w:tcPr>
          <w:p w14:paraId="3007387E">
            <w:pPr>
              <w:jc w:val="center"/>
              <w:rPr>
                <w:rFonts w:hint="default"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pacing w:val="-8"/>
                <w:sz w:val="18"/>
                <w:szCs w:val="18"/>
                <w:lang w:val="en-US" w:eastAsia="zh-CN"/>
              </w:rPr>
              <w:t>0.8</w:t>
            </w:r>
          </w:p>
        </w:tc>
        <w:tc>
          <w:tcPr>
            <w:tcW w:w="470" w:type="pct"/>
            <w:shd w:val="clear" w:color="auto" w:fill="auto"/>
            <w:vAlign w:val="center"/>
          </w:tcPr>
          <w:p w14:paraId="69E42F5F">
            <w:pPr>
              <w:jc w:val="center"/>
              <w:rPr>
                <w:rFonts w:hint="default"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pacing w:val="-8"/>
                <w:sz w:val="18"/>
                <w:szCs w:val="18"/>
                <w:lang w:val="en-US" w:eastAsia="zh-CN"/>
              </w:rPr>
              <w:t>4</w:t>
            </w:r>
          </w:p>
        </w:tc>
        <w:tc>
          <w:tcPr>
            <w:tcW w:w="678" w:type="pct"/>
            <w:vAlign w:val="center"/>
          </w:tcPr>
          <w:p w14:paraId="46A1FE4C">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0.0128</w:t>
            </w:r>
          </w:p>
        </w:tc>
        <w:tc>
          <w:tcPr>
            <w:tcW w:w="493" w:type="pct"/>
            <w:vAlign w:val="center"/>
          </w:tcPr>
          <w:p w14:paraId="4D06B53E">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0.25</w:t>
            </w:r>
          </w:p>
        </w:tc>
        <w:tc>
          <w:tcPr>
            <w:tcW w:w="473" w:type="pct"/>
            <w:vAlign w:val="center"/>
          </w:tcPr>
          <w:p w14:paraId="755BA1AE">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0.0128</w:t>
            </w:r>
          </w:p>
        </w:tc>
        <w:tc>
          <w:tcPr>
            <w:tcW w:w="473" w:type="pct"/>
            <w:vAlign w:val="center"/>
          </w:tcPr>
          <w:p w14:paraId="176AF086">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0.0512</w:t>
            </w:r>
          </w:p>
        </w:tc>
      </w:tr>
      <w:tr w14:paraId="186FA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restart"/>
            <w:vAlign w:val="center"/>
          </w:tcPr>
          <w:p w14:paraId="11EFE621">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7</w:t>
            </w:r>
          </w:p>
        </w:tc>
        <w:tc>
          <w:tcPr>
            <w:tcW w:w="477" w:type="pct"/>
            <w:vMerge w:val="restart"/>
            <w:vAlign w:val="center"/>
          </w:tcPr>
          <w:p w14:paraId="26919FA9">
            <w:pPr>
              <w:pStyle w:val="24"/>
              <w:jc w:val="center"/>
              <w:rPr>
                <w:rFonts w:hint="default" w:ascii="Times New Roman" w:hAnsi="Times New Roman" w:cs="Times New Roman"/>
                <w:color w:val="auto"/>
                <w:spacing w:val="7"/>
                <w:sz w:val="18"/>
                <w:szCs w:val="18"/>
                <w:lang w:val="en-US" w:eastAsia="zh-CN"/>
              </w:rPr>
            </w:pPr>
            <w:r>
              <w:rPr>
                <w:rFonts w:hint="eastAsia" w:ascii="Times New Roman" w:hAnsi="Times New Roman" w:cs="Times New Roman"/>
                <w:color w:val="auto"/>
                <w:spacing w:val="7"/>
                <w:sz w:val="18"/>
                <w:szCs w:val="18"/>
                <w:lang w:val="en-US" w:eastAsia="zh-CN"/>
              </w:rPr>
              <w:t>氰化钠</w:t>
            </w:r>
          </w:p>
        </w:tc>
        <w:tc>
          <w:tcPr>
            <w:tcW w:w="561" w:type="pct"/>
            <w:vAlign w:val="center"/>
          </w:tcPr>
          <w:p w14:paraId="6D804198">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80g/L</w:t>
            </w:r>
          </w:p>
        </w:tc>
        <w:tc>
          <w:tcPr>
            <w:tcW w:w="561" w:type="pct"/>
            <w:vAlign w:val="center"/>
          </w:tcPr>
          <w:p w14:paraId="08F075F0">
            <w:pPr>
              <w:pStyle w:val="24"/>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cs="Times New Roman"/>
                <w:color w:val="auto"/>
                <w:spacing w:val="-8"/>
                <w:sz w:val="18"/>
                <w:szCs w:val="18"/>
                <w:lang w:val="en-US" w:eastAsia="zh-CN"/>
              </w:rPr>
              <w:t>4#线氰化镀铜槽</w:t>
            </w:r>
          </w:p>
        </w:tc>
        <w:tc>
          <w:tcPr>
            <w:tcW w:w="565" w:type="pct"/>
            <w:vAlign w:val="center"/>
          </w:tcPr>
          <w:p w14:paraId="18B2F109">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2.6</w:t>
            </w:r>
          </w:p>
        </w:tc>
        <w:tc>
          <w:tcPr>
            <w:tcW w:w="470" w:type="pct"/>
            <w:vAlign w:val="center"/>
          </w:tcPr>
          <w:p w14:paraId="79C63D02">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3</w:t>
            </w:r>
          </w:p>
        </w:tc>
        <w:tc>
          <w:tcPr>
            <w:tcW w:w="678" w:type="pct"/>
            <w:vAlign w:val="center"/>
          </w:tcPr>
          <w:p w14:paraId="33A15F1D">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0.624</w:t>
            </w:r>
          </w:p>
        </w:tc>
        <w:tc>
          <w:tcPr>
            <w:tcW w:w="493" w:type="pct"/>
            <w:vMerge w:val="restart"/>
            <w:vAlign w:val="center"/>
          </w:tcPr>
          <w:p w14:paraId="497EA8C8">
            <w:pPr>
              <w:jc w:val="center"/>
              <w:rPr>
                <w:rFonts w:hint="default" w:ascii="Times New Roman" w:hAnsi="Times New Roman" w:eastAsia="宋体" w:cs="Times New Roman"/>
                <w:color w:val="auto"/>
                <w:spacing w:val="2"/>
                <w:sz w:val="18"/>
                <w:szCs w:val="18"/>
                <w:lang w:val="en-US" w:eastAsia="zh-CN"/>
              </w:rPr>
            </w:pPr>
            <w:r>
              <w:rPr>
                <w:rFonts w:hint="eastAsia" w:ascii="Times New Roman" w:hAnsi="Times New Roman" w:eastAsia="宋体" w:cs="Times New Roman"/>
                <w:color w:val="auto"/>
                <w:spacing w:val="2"/>
                <w:sz w:val="18"/>
                <w:szCs w:val="18"/>
                <w:lang w:val="en-US" w:eastAsia="zh-CN"/>
              </w:rPr>
              <w:t>0.25</w:t>
            </w:r>
          </w:p>
        </w:tc>
        <w:tc>
          <w:tcPr>
            <w:tcW w:w="473" w:type="pct"/>
            <w:vMerge w:val="restart"/>
            <w:vAlign w:val="center"/>
          </w:tcPr>
          <w:p w14:paraId="3EA89733">
            <w:pPr>
              <w:pStyle w:val="24"/>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1.008</w:t>
            </w:r>
          </w:p>
        </w:tc>
        <w:tc>
          <w:tcPr>
            <w:tcW w:w="473" w:type="pct"/>
            <w:vMerge w:val="restart"/>
            <w:vAlign w:val="center"/>
          </w:tcPr>
          <w:p w14:paraId="56F2FF4B">
            <w:pPr>
              <w:pStyle w:val="24"/>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4.032</w:t>
            </w:r>
          </w:p>
        </w:tc>
      </w:tr>
      <w:tr w14:paraId="4822B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7E60596A">
            <w:pPr>
              <w:jc w:val="center"/>
              <w:rPr>
                <w:rFonts w:hint="default" w:ascii="Times New Roman" w:hAnsi="Times New Roman" w:eastAsia="宋体" w:cs="Times New Roman"/>
                <w:color w:val="auto"/>
                <w:sz w:val="18"/>
                <w:szCs w:val="18"/>
              </w:rPr>
            </w:pPr>
          </w:p>
        </w:tc>
        <w:tc>
          <w:tcPr>
            <w:tcW w:w="477" w:type="pct"/>
            <w:vMerge w:val="continue"/>
            <w:vAlign w:val="center"/>
          </w:tcPr>
          <w:p w14:paraId="42769EE1">
            <w:pPr>
              <w:pStyle w:val="24"/>
              <w:jc w:val="center"/>
              <w:rPr>
                <w:rFonts w:hint="eastAsia" w:ascii="Times New Roman" w:hAnsi="Times New Roman" w:cs="Times New Roman"/>
                <w:color w:val="auto"/>
                <w:spacing w:val="7"/>
                <w:sz w:val="18"/>
                <w:szCs w:val="18"/>
                <w:lang w:val="en-US" w:eastAsia="zh-CN"/>
              </w:rPr>
            </w:pPr>
          </w:p>
        </w:tc>
        <w:tc>
          <w:tcPr>
            <w:tcW w:w="561" w:type="pct"/>
            <w:shd w:val="clear" w:color="auto" w:fill="auto"/>
            <w:vAlign w:val="center"/>
          </w:tcPr>
          <w:p w14:paraId="69E1CACE">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120g/L</w:t>
            </w:r>
          </w:p>
        </w:tc>
        <w:tc>
          <w:tcPr>
            <w:tcW w:w="561" w:type="pct"/>
            <w:shd w:val="clear" w:color="auto" w:fill="auto"/>
            <w:vAlign w:val="center"/>
          </w:tcPr>
          <w:p w14:paraId="7AF1BB48">
            <w:pPr>
              <w:pStyle w:val="24"/>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cs="Times New Roman"/>
                <w:color w:val="auto"/>
                <w:spacing w:val="-8"/>
                <w:sz w:val="18"/>
                <w:szCs w:val="18"/>
                <w:lang w:val="en-US" w:eastAsia="zh-CN"/>
              </w:rPr>
              <w:t>8#线氰化镀银槽</w:t>
            </w:r>
          </w:p>
        </w:tc>
        <w:tc>
          <w:tcPr>
            <w:tcW w:w="565" w:type="pct"/>
            <w:shd w:val="clear" w:color="auto" w:fill="auto"/>
            <w:vAlign w:val="center"/>
          </w:tcPr>
          <w:p w14:paraId="6962362C">
            <w:pPr>
              <w:jc w:val="center"/>
              <w:rPr>
                <w:rFonts w:hint="default"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0.8</w:t>
            </w:r>
          </w:p>
        </w:tc>
        <w:tc>
          <w:tcPr>
            <w:tcW w:w="470" w:type="pct"/>
            <w:shd w:val="clear" w:color="auto" w:fill="auto"/>
            <w:vAlign w:val="center"/>
          </w:tcPr>
          <w:p w14:paraId="2049F275">
            <w:pPr>
              <w:jc w:val="center"/>
              <w:rPr>
                <w:rFonts w:hint="eastAsia" w:ascii="Times New Roman" w:hAnsi="Times New Roman" w:eastAsia="宋体" w:cs="Times New Roman"/>
                <w:snapToGrid w:val="0"/>
                <w:color w:val="auto"/>
                <w:spacing w:val="-8"/>
                <w:sz w:val="18"/>
                <w:szCs w:val="18"/>
                <w:lang w:val="en-US" w:eastAsia="zh-CN" w:bidi="ar-SA"/>
              </w:rPr>
            </w:pPr>
            <w:r>
              <w:rPr>
                <w:rFonts w:hint="eastAsia" w:ascii="Times New Roman" w:hAnsi="Times New Roman" w:eastAsia="宋体" w:cs="Times New Roman"/>
                <w:color w:val="auto"/>
                <w:spacing w:val="-8"/>
                <w:sz w:val="18"/>
                <w:szCs w:val="18"/>
                <w:lang w:val="en-US" w:eastAsia="zh-CN"/>
              </w:rPr>
              <w:t>4</w:t>
            </w:r>
          </w:p>
        </w:tc>
        <w:tc>
          <w:tcPr>
            <w:tcW w:w="678" w:type="pct"/>
            <w:vAlign w:val="center"/>
          </w:tcPr>
          <w:p w14:paraId="5436C202">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0.384</w:t>
            </w:r>
          </w:p>
        </w:tc>
        <w:tc>
          <w:tcPr>
            <w:tcW w:w="493" w:type="pct"/>
            <w:vMerge w:val="continue"/>
            <w:vAlign w:val="center"/>
          </w:tcPr>
          <w:p w14:paraId="0E23A187">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6A7DB6B4">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437AC15B">
            <w:pPr>
              <w:pStyle w:val="24"/>
              <w:jc w:val="center"/>
              <w:rPr>
                <w:rFonts w:hint="default" w:ascii="Times New Roman" w:hAnsi="Times New Roman" w:eastAsia="宋体" w:cs="Times New Roman"/>
                <w:color w:val="auto"/>
                <w:sz w:val="18"/>
                <w:szCs w:val="18"/>
                <w:lang w:val="en-US" w:eastAsia="zh-CN"/>
              </w:rPr>
            </w:pPr>
          </w:p>
        </w:tc>
      </w:tr>
      <w:tr w14:paraId="5B9C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Align w:val="center"/>
          </w:tcPr>
          <w:p w14:paraId="52976C52">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8</w:t>
            </w:r>
          </w:p>
        </w:tc>
        <w:tc>
          <w:tcPr>
            <w:tcW w:w="477" w:type="pct"/>
            <w:vAlign w:val="center"/>
          </w:tcPr>
          <w:p w14:paraId="321CC0DA">
            <w:pPr>
              <w:pStyle w:val="24"/>
              <w:jc w:val="center"/>
              <w:rPr>
                <w:rFonts w:hint="default" w:ascii="Times New Roman" w:hAnsi="Times New Roman" w:cs="Times New Roman"/>
                <w:color w:val="auto"/>
                <w:spacing w:val="7"/>
                <w:sz w:val="18"/>
                <w:szCs w:val="18"/>
                <w:lang w:val="en-US" w:eastAsia="zh-CN"/>
              </w:rPr>
            </w:pPr>
            <w:r>
              <w:rPr>
                <w:rFonts w:hint="eastAsia" w:ascii="Times New Roman" w:hAnsi="Times New Roman" w:cs="Times New Roman"/>
                <w:color w:val="auto"/>
                <w:spacing w:val="7"/>
                <w:sz w:val="18"/>
                <w:szCs w:val="18"/>
                <w:lang w:val="en-US" w:eastAsia="zh-CN"/>
              </w:rPr>
              <w:t>氰化亚铜（以铜及其化合物计）</w:t>
            </w:r>
          </w:p>
        </w:tc>
        <w:tc>
          <w:tcPr>
            <w:tcW w:w="561" w:type="pct"/>
            <w:vAlign w:val="center"/>
          </w:tcPr>
          <w:p w14:paraId="385F2E19">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70g/L</w:t>
            </w:r>
          </w:p>
        </w:tc>
        <w:tc>
          <w:tcPr>
            <w:tcW w:w="561" w:type="pct"/>
            <w:vAlign w:val="center"/>
          </w:tcPr>
          <w:p w14:paraId="7C305BC0">
            <w:pPr>
              <w:pStyle w:val="24"/>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cs="Times New Roman"/>
                <w:color w:val="auto"/>
                <w:spacing w:val="-8"/>
                <w:sz w:val="18"/>
                <w:szCs w:val="18"/>
                <w:lang w:val="en-US" w:eastAsia="zh-CN"/>
              </w:rPr>
              <w:t>4#线氰化镀铜槽</w:t>
            </w:r>
          </w:p>
        </w:tc>
        <w:tc>
          <w:tcPr>
            <w:tcW w:w="565" w:type="pct"/>
            <w:vAlign w:val="center"/>
          </w:tcPr>
          <w:p w14:paraId="567D7560">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2.6</w:t>
            </w:r>
          </w:p>
        </w:tc>
        <w:tc>
          <w:tcPr>
            <w:tcW w:w="470" w:type="pct"/>
            <w:vAlign w:val="center"/>
          </w:tcPr>
          <w:p w14:paraId="0F6AFB7E">
            <w:pPr>
              <w:jc w:val="center"/>
              <w:rPr>
                <w:rFonts w:hint="default" w:ascii="Times New Roman" w:hAnsi="Times New Roman" w:eastAsia="宋体" w:cs="Times New Roman"/>
                <w:color w:val="auto"/>
                <w:spacing w:val="-8"/>
                <w:sz w:val="18"/>
                <w:szCs w:val="18"/>
                <w:lang w:val="en-US" w:eastAsia="zh-CN"/>
              </w:rPr>
            </w:pPr>
            <w:r>
              <w:rPr>
                <w:rFonts w:hint="eastAsia" w:ascii="Times New Roman" w:hAnsi="Times New Roman" w:eastAsia="宋体" w:cs="Times New Roman"/>
                <w:color w:val="auto"/>
                <w:spacing w:val="-8"/>
                <w:sz w:val="18"/>
                <w:szCs w:val="18"/>
                <w:lang w:val="en-US" w:eastAsia="zh-CN"/>
              </w:rPr>
              <w:t>3</w:t>
            </w:r>
          </w:p>
        </w:tc>
        <w:tc>
          <w:tcPr>
            <w:tcW w:w="678" w:type="pct"/>
            <w:vAlign w:val="center"/>
          </w:tcPr>
          <w:p w14:paraId="7A888DA9">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0.546</w:t>
            </w:r>
          </w:p>
        </w:tc>
        <w:tc>
          <w:tcPr>
            <w:tcW w:w="493" w:type="pct"/>
            <w:vAlign w:val="center"/>
          </w:tcPr>
          <w:p w14:paraId="02AFB89A">
            <w:pPr>
              <w:jc w:val="center"/>
              <w:rPr>
                <w:rFonts w:hint="default" w:ascii="Times New Roman" w:hAnsi="Times New Roman" w:eastAsia="宋体" w:cs="Times New Roman"/>
                <w:color w:val="auto"/>
                <w:spacing w:val="2"/>
                <w:sz w:val="18"/>
                <w:szCs w:val="18"/>
                <w:lang w:val="en-US" w:eastAsia="zh-CN"/>
              </w:rPr>
            </w:pPr>
            <w:r>
              <w:rPr>
                <w:rFonts w:hint="eastAsia" w:ascii="Times New Roman" w:hAnsi="Times New Roman" w:eastAsia="宋体" w:cs="Times New Roman"/>
                <w:color w:val="auto"/>
                <w:spacing w:val="2"/>
                <w:sz w:val="18"/>
                <w:szCs w:val="18"/>
                <w:lang w:val="en-US" w:eastAsia="zh-CN"/>
              </w:rPr>
              <w:t>0.25</w:t>
            </w:r>
          </w:p>
        </w:tc>
        <w:tc>
          <w:tcPr>
            <w:tcW w:w="473" w:type="pct"/>
            <w:vAlign w:val="center"/>
          </w:tcPr>
          <w:p w14:paraId="48297099">
            <w:pPr>
              <w:pStyle w:val="24"/>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0.546</w:t>
            </w:r>
          </w:p>
        </w:tc>
        <w:tc>
          <w:tcPr>
            <w:tcW w:w="473" w:type="pct"/>
            <w:vAlign w:val="center"/>
          </w:tcPr>
          <w:p w14:paraId="7F936244">
            <w:pPr>
              <w:pStyle w:val="24"/>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0.2184</w:t>
            </w:r>
          </w:p>
        </w:tc>
      </w:tr>
      <w:tr w14:paraId="23F1C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restart"/>
            <w:vAlign w:val="center"/>
          </w:tcPr>
          <w:p w14:paraId="5E665EC4">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9</w:t>
            </w:r>
          </w:p>
        </w:tc>
        <w:tc>
          <w:tcPr>
            <w:tcW w:w="477" w:type="pct"/>
            <w:vMerge w:val="restart"/>
            <w:vAlign w:val="center"/>
          </w:tcPr>
          <w:p w14:paraId="01EC0261">
            <w:pPr>
              <w:pStyle w:val="24"/>
              <w:jc w:val="center"/>
              <w:rPr>
                <w:rFonts w:hint="eastAsia" w:ascii="Times New Roman" w:hAnsi="Times New Roman" w:cs="Times New Roman"/>
                <w:color w:val="auto"/>
                <w:spacing w:val="7"/>
                <w:sz w:val="18"/>
                <w:szCs w:val="18"/>
                <w:lang w:val="en-US" w:eastAsia="zh-CN"/>
              </w:rPr>
            </w:pPr>
            <w:r>
              <w:rPr>
                <w:rFonts w:hint="eastAsia" w:ascii="Times New Roman" w:hAnsi="Times New Roman" w:cs="Times New Roman"/>
                <w:color w:val="auto"/>
                <w:spacing w:val="7"/>
                <w:sz w:val="18"/>
                <w:szCs w:val="18"/>
                <w:lang w:val="en-US" w:eastAsia="zh-CN"/>
              </w:rPr>
              <w:t>铬及其化合物</w:t>
            </w:r>
          </w:p>
        </w:tc>
        <w:tc>
          <w:tcPr>
            <w:tcW w:w="561" w:type="pct"/>
            <w:vAlign w:val="center"/>
          </w:tcPr>
          <w:p w14:paraId="5CD488B6">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w:t>
            </w:r>
            <w:r>
              <w:rPr>
                <w:rFonts w:hint="default" w:ascii="Times New Roman" w:hAnsi="Times New Roman" w:eastAsia="宋体" w:cs="Times New Roman"/>
                <w:color w:val="auto"/>
                <w:spacing w:val="3"/>
                <w:position w:val="3"/>
                <w:sz w:val="18"/>
                <w:szCs w:val="18"/>
              </w:rPr>
              <w:t>g/L</w:t>
            </w:r>
          </w:p>
        </w:tc>
        <w:tc>
          <w:tcPr>
            <w:tcW w:w="561" w:type="pct"/>
            <w:vAlign w:val="center"/>
          </w:tcPr>
          <w:p w14:paraId="1D5C96A0">
            <w:pPr>
              <w:pStyle w:val="24"/>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1#线蓝白钝</w:t>
            </w:r>
          </w:p>
        </w:tc>
        <w:tc>
          <w:tcPr>
            <w:tcW w:w="565" w:type="pct"/>
            <w:vAlign w:val="center"/>
          </w:tcPr>
          <w:p w14:paraId="03DD8F32">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70" w:type="pct"/>
            <w:vAlign w:val="center"/>
          </w:tcPr>
          <w:p w14:paraId="44E148A5">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w:t>
            </w:r>
          </w:p>
        </w:tc>
        <w:tc>
          <w:tcPr>
            <w:tcW w:w="678" w:type="pct"/>
            <w:vAlign w:val="center"/>
          </w:tcPr>
          <w:p w14:paraId="61E182BC">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0.02</w:t>
            </w:r>
          </w:p>
        </w:tc>
        <w:tc>
          <w:tcPr>
            <w:tcW w:w="493" w:type="pct"/>
            <w:vMerge w:val="restart"/>
            <w:vAlign w:val="center"/>
          </w:tcPr>
          <w:p w14:paraId="610F66B0">
            <w:pPr>
              <w:jc w:val="center"/>
              <w:rPr>
                <w:rFonts w:hint="default" w:ascii="Times New Roman" w:hAnsi="Times New Roman" w:eastAsia="宋体" w:cs="Times New Roman"/>
                <w:color w:val="auto"/>
                <w:spacing w:val="2"/>
                <w:sz w:val="18"/>
                <w:szCs w:val="18"/>
                <w:lang w:val="en-US" w:eastAsia="zh-CN"/>
              </w:rPr>
            </w:pPr>
            <w:r>
              <w:rPr>
                <w:rFonts w:hint="eastAsia" w:ascii="Times New Roman" w:hAnsi="Times New Roman" w:eastAsia="宋体" w:cs="Times New Roman"/>
                <w:color w:val="auto"/>
                <w:spacing w:val="2"/>
                <w:sz w:val="18"/>
                <w:szCs w:val="18"/>
                <w:lang w:val="en-US" w:eastAsia="zh-CN"/>
              </w:rPr>
              <w:t>0.25</w:t>
            </w:r>
          </w:p>
        </w:tc>
        <w:tc>
          <w:tcPr>
            <w:tcW w:w="473" w:type="pct"/>
            <w:vMerge w:val="restart"/>
            <w:vAlign w:val="center"/>
          </w:tcPr>
          <w:p w14:paraId="566A5E37">
            <w:pPr>
              <w:pStyle w:val="24"/>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0.374</w:t>
            </w:r>
          </w:p>
        </w:tc>
        <w:tc>
          <w:tcPr>
            <w:tcW w:w="473" w:type="pct"/>
            <w:vMerge w:val="restart"/>
            <w:vAlign w:val="center"/>
          </w:tcPr>
          <w:p w14:paraId="69AEA6E6">
            <w:pPr>
              <w:pStyle w:val="24"/>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1.496</w:t>
            </w:r>
          </w:p>
        </w:tc>
      </w:tr>
      <w:tr w14:paraId="0B005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09D9B335">
            <w:pPr>
              <w:jc w:val="center"/>
              <w:rPr>
                <w:rFonts w:hint="default" w:ascii="Times New Roman" w:hAnsi="Times New Roman" w:eastAsia="宋体" w:cs="Times New Roman"/>
                <w:color w:val="auto"/>
                <w:sz w:val="18"/>
                <w:szCs w:val="18"/>
              </w:rPr>
            </w:pPr>
          </w:p>
        </w:tc>
        <w:tc>
          <w:tcPr>
            <w:tcW w:w="477" w:type="pct"/>
            <w:vMerge w:val="continue"/>
            <w:vAlign w:val="center"/>
          </w:tcPr>
          <w:p w14:paraId="129AD319">
            <w:pPr>
              <w:pStyle w:val="24"/>
              <w:jc w:val="center"/>
              <w:rPr>
                <w:rFonts w:hint="eastAsia" w:ascii="Times New Roman" w:hAnsi="Times New Roman" w:cs="Times New Roman"/>
                <w:color w:val="auto"/>
                <w:spacing w:val="7"/>
                <w:sz w:val="18"/>
                <w:szCs w:val="18"/>
                <w:lang w:val="en-US" w:eastAsia="zh-CN"/>
              </w:rPr>
            </w:pPr>
          </w:p>
        </w:tc>
        <w:tc>
          <w:tcPr>
            <w:tcW w:w="561" w:type="pct"/>
            <w:vAlign w:val="center"/>
          </w:tcPr>
          <w:p w14:paraId="4EB9883F">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w:t>
            </w:r>
            <w:r>
              <w:rPr>
                <w:rFonts w:hint="default" w:ascii="Times New Roman" w:hAnsi="Times New Roman" w:eastAsia="宋体" w:cs="Times New Roman"/>
                <w:color w:val="auto"/>
                <w:spacing w:val="3"/>
                <w:position w:val="3"/>
                <w:sz w:val="18"/>
                <w:szCs w:val="18"/>
              </w:rPr>
              <w:t>g/L</w:t>
            </w:r>
          </w:p>
        </w:tc>
        <w:tc>
          <w:tcPr>
            <w:tcW w:w="561" w:type="pct"/>
            <w:vAlign w:val="center"/>
          </w:tcPr>
          <w:p w14:paraId="5AFA28AB">
            <w:pPr>
              <w:pStyle w:val="24"/>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1#线白锌钝</w:t>
            </w:r>
          </w:p>
        </w:tc>
        <w:tc>
          <w:tcPr>
            <w:tcW w:w="565" w:type="pct"/>
            <w:vAlign w:val="center"/>
          </w:tcPr>
          <w:p w14:paraId="10BAB576">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70" w:type="pct"/>
            <w:vAlign w:val="center"/>
          </w:tcPr>
          <w:p w14:paraId="4ED45383">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w:t>
            </w:r>
          </w:p>
        </w:tc>
        <w:tc>
          <w:tcPr>
            <w:tcW w:w="678" w:type="pct"/>
            <w:vAlign w:val="center"/>
          </w:tcPr>
          <w:p w14:paraId="3D63E06F">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0.02</w:t>
            </w:r>
          </w:p>
        </w:tc>
        <w:tc>
          <w:tcPr>
            <w:tcW w:w="493" w:type="pct"/>
            <w:vMerge w:val="continue"/>
            <w:vAlign w:val="center"/>
          </w:tcPr>
          <w:p w14:paraId="4BEF70D1">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72FF4C33">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405FCB54">
            <w:pPr>
              <w:pStyle w:val="24"/>
              <w:jc w:val="center"/>
              <w:rPr>
                <w:rFonts w:hint="default" w:ascii="Times New Roman" w:hAnsi="Times New Roman" w:eastAsia="宋体" w:cs="Times New Roman"/>
                <w:color w:val="auto"/>
                <w:sz w:val="18"/>
                <w:szCs w:val="18"/>
                <w:lang w:val="en-US" w:eastAsia="zh-CN"/>
              </w:rPr>
            </w:pPr>
          </w:p>
        </w:tc>
      </w:tr>
      <w:tr w14:paraId="5FF8D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0185BE3B">
            <w:pPr>
              <w:jc w:val="center"/>
              <w:rPr>
                <w:rFonts w:hint="default" w:ascii="Times New Roman" w:hAnsi="Times New Roman" w:eastAsia="宋体" w:cs="Times New Roman"/>
                <w:color w:val="auto"/>
                <w:sz w:val="18"/>
                <w:szCs w:val="18"/>
              </w:rPr>
            </w:pPr>
          </w:p>
        </w:tc>
        <w:tc>
          <w:tcPr>
            <w:tcW w:w="477" w:type="pct"/>
            <w:vMerge w:val="continue"/>
            <w:vAlign w:val="center"/>
          </w:tcPr>
          <w:p w14:paraId="09EF2123">
            <w:pPr>
              <w:pStyle w:val="24"/>
              <w:jc w:val="center"/>
              <w:rPr>
                <w:rFonts w:hint="eastAsia" w:ascii="Times New Roman" w:hAnsi="Times New Roman" w:cs="Times New Roman"/>
                <w:color w:val="auto"/>
                <w:spacing w:val="7"/>
                <w:sz w:val="18"/>
                <w:szCs w:val="18"/>
                <w:lang w:val="en-US" w:eastAsia="zh-CN"/>
              </w:rPr>
            </w:pPr>
          </w:p>
        </w:tc>
        <w:tc>
          <w:tcPr>
            <w:tcW w:w="561" w:type="pct"/>
            <w:vAlign w:val="center"/>
          </w:tcPr>
          <w:p w14:paraId="5E3A0DA4">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w:t>
            </w:r>
          </w:p>
        </w:tc>
        <w:tc>
          <w:tcPr>
            <w:tcW w:w="561" w:type="pct"/>
            <w:vAlign w:val="center"/>
          </w:tcPr>
          <w:p w14:paraId="453EC3FD">
            <w:pPr>
              <w:pStyle w:val="24"/>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1#线彩钝</w:t>
            </w:r>
          </w:p>
        </w:tc>
        <w:tc>
          <w:tcPr>
            <w:tcW w:w="565" w:type="pct"/>
            <w:vAlign w:val="center"/>
          </w:tcPr>
          <w:p w14:paraId="67D5A7A0">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70" w:type="pct"/>
            <w:vAlign w:val="center"/>
          </w:tcPr>
          <w:p w14:paraId="45387CEE">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w:t>
            </w:r>
          </w:p>
        </w:tc>
        <w:tc>
          <w:tcPr>
            <w:tcW w:w="678" w:type="pct"/>
            <w:vAlign w:val="center"/>
          </w:tcPr>
          <w:p w14:paraId="44785880">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0.12</w:t>
            </w:r>
          </w:p>
        </w:tc>
        <w:tc>
          <w:tcPr>
            <w:tcW w:w="493" w:type="pct"/>
            <w:vMerge w:val="continue"/>
            <w:vAlign w:val="center"/>
          </w:tcPr>
          <w:p w14:paraId="002449B4">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0E0052D5">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6518F82F">
            <w:pPr>
              <w:pStyle w:val="24"/>
              <w:jc w:val="center"/>
              <w:rPr>
                <w:rFonts w:hint="default" w:ascii="Times New Roman" w:hAnsi="Times New Roman" w:eastAsia="宋体" w:cs="Times New Roman"/>
                <w:color w:val="auto"/>
                <w:sz w:val="18"/>
                <w:szCs w:val="18"/>
                <w:lang w:val="en-US" w:eastAsia="zh-CN"/>
              </w:rPr>
            </w:pPr>
          </w:p>
        </w:tc>
      </w:tr>
      <w:tr w14:paraId="64264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1C38D0F5">
            <w:pPr>
              <w:jc w:val="center"/>
              <w:rPr>
                <w:rFonts w:hint="default" w:ascii="Times New Roman" w:hAnsi="Times New Roman" w:eastAsia="宋体" w:cs="Times New Roman"/>
                <w:color w:val="auto"/>
                <w:sz w:val="18"/>
                <w:szCs w:val="18"/>
              </w:rPr>
            </w:pPr>
          </w:p>
        </w:tc>
        <w:tc>
          <w:tcPr>
            <w:tcW w:w="477" w:type="pct"/>
            <w:vMerge w:val="continue"/>
            <w:vAlign w:val="center"/>
          </w:tcPr>
          <w:p w14:paraId="13A546E8">
            <w:pPr>
              <w:pStyle w:val="24"/>
              <w:jc w:val="center"/>
              <w:rPr>
                <w:rFonts w:hint="eastAsia" w:ascii="Times New Roman" w:hAnsi="Times New Roman" w:cs="Times New Roman"/>
                <w:color w:val="auto"/>
                <w:spacing w:val="7"/>
                <w:sz w:val="18"/>
                <w:szCs w:val="18"/>
                <w:lang w:val="en-US" w:eastAsia="zh-CN"/>
              </w:rPr>
            </w:pPr>
          </w:p>
        </w:tc>
        <w:tc>
          <w:tcPr>
            <w:tcW w:w="561" w:type="pct"/>
            <w:shd w:val="clear" w:color="auto" w:fill="auto"/>
            <w:vAlign w:val="center"/>
          </w:tcPr>
          <w:p w14:paraId="6F86DEC4">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5</w:t>
            </w:r>
            <w:r>
              <w:rPr>
                <w:rFonts w:hint="default" w:ascii="Times New Roman" w:hAnsi="Times New Roman" w:eastAsia="宋体" w:cs="Times New Roman"/>
                <w:color w:val="auto"/>
                <w:spacing w:val="3"/>
                <w:position w:val="3"/>
                <w:sz w:val="18"/>
                <w:szCs w:val="18"/>
              </w:rPr>
              <w:t>g/L</w:t>
            </w:r>
          </w:p>
        </w:tc>
        <w:tc>
          <w:tcPr>
            <w:tcW w:w="561" w:type="pct"/>
            <w:shd w:val="clear" w:color="auto" w:fill="auto"/>
            <w:vAlign w:val="center"/>
          </w:tcPr>
          <w:p w14:paraId="1FD7D933">
            <w:pPr>
              <w:pStyle w:val="24"/>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cs="Times New Roman"/>
                <w:color w:val="auto"/>
                <w:sz w:val="18"/>
                <w:szCs w:val="18"/>
                <w:lang w:val="en-US" w:eastAsia="zh-CN"/>
              </w:rPr>
              <w:t>2#线蓝白钝</w:t>
            </w:r>
          </w:p>
        </w:tc>
        <w:tc>
          <w:tcPr>
            <w:tcW w:w="565" w:type="pct"/>
            <w:shd w:val="clear" w:color="auto" w:fill="auto"/>
            <w:vAlign w:val="center"/>
          </w:tcPr>
          <w:p w14:paraId="451A944F">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4</w:t>
            </w:r>
          </w:p>
        </w:tc>
        <w:tc>
          <w:tcPr>
            <w:tcW w:w="470" w:type="pct"/>
            <w:shd w:val="clear" w:color="auto" w:fill="auto"/>
            <w:vAlign w:val="center"/>
          </w:tcPr>
          <w:p w14:paraId="0829B656">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vAlign w:val="center"/>
          </w:tcPr>
          <w:p w14:paraId="7667E36C">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0.02</w:t>
            </w:r>
          </w:p>
        </w:tc>
        <w:tc>
          <w:tcPr>
            <w:tcW w:w="493" w:type="pct"/>
            <w:vMerge w:val="continue"/>
            <w:vAlign w:val="center"/>
          </w:tcPr>
          <w:p w14:paraId="4CBCB6AD">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5220AF09">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115016A7">
            <w:pPr>
              <w:pStyle w:val="24"/>
              <w:jc w:val="center"/>
              <w:rPr>
                <w:rFonts w:hint="default" w:ascii="Times New Roman" w:hAnsi="Times New Roman" w:eastAsia="宋体" w:cs="Times New Roman"/>
                <w:color w:val="auto"/>
                <w:sz w:val="18"/>
                <w:szCs w:val="18"/>
                <w:lang w:val="en-US" w:eastAsia="zh-CN"/>
              </w:rPr>
            </w:pPr>
          </w:p>
        </w:tc>
      </w:tr>
      <w:tr w14:paraId="1A58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455D0188">
            <w:pPr>
              <w:jc w:val="center"/>
              <w:rPr>
                <w:rFonts w:hint="default" w:ascii="Times New Roman" w:hAnsi="Times New Roman" w:eastAsia="宋体" w:cs="Times New Roman"/>
                <w:color w:val="auto"/>
                <w:sz w:val="18"/>
                <w:szCs w:val="18"/>
              </w:rPr>
            </w:pPr>
          </w:p>
        </w:tc>
        <w:tc>
          <w:tcPr>
            <w:tcW w:w="477" w:type="pct"/>
            <w:vMerge w:val="continue"/>
            <w:vAlign w:val="center"/>
          </w:tcPr>
          <w:p w14:paraId="5B1F8C56">
            <w:pPr>
              <w:pStyle w:val="24"/>
              <w:jc w:val="center"/>
              <w:rPr>
                <w:rFonts w:hint="eastAsia" w:ascii="Times New Roman" w:hAnsi="Times New Roman" w:cs="Times New Roman"/>
                <w:color w:val="auto"/>
                <w:spacing w:val="7"/>
                <w:sz w:val="18"/>
                <w:szCs w:val="18"/>
                <w:lang w:val="en-US" w:eastAsia="zh-CN"/>
              </w:rPr>
            </w:pPr>
          </w:p>
        </w:tc>
        <w:tc>
          <w:tcPr>
            <w:tcW w:w="561" w:type="pct"/>
            <w:shd w:val="clear" w:color="auto" w:fill="auto"/>
            <w:vAlign w:val="center"/>
          </w:tcPr>
          <w:p w14:paraId="769D5CA5">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5</w:t>
            </w:r>
            <w:r>
              <w:rPr>
                <w:rFonts w:hint="default" w:ascii="Times New Roman" w:hAnsi="Times New Roman" w:eastAsia="宋体" w:cs="Times New Roman"/>
                <w:color w:val="auto"/>
                <w:spacing w:val="3"/>
                <w:position w:val="3"/>
                <w:sz w:val="18"/>
                <w:szCs w:val="18"/>
              </w:rPr>
              <w:t>g/L</w:t>
            </w:r>
          </w:p>
        </w:tc>
        <w:tc>
          <w:tcPr>
            <w:tcW w:w="561" w:type="pct"/>
            <w:shd w:val="clear" w:color="auto" w:fill="auto"/>
            <w:vAlign w:val="center"/>
          </w:tcPr>
          <w:p w14:paraId="7B746D2A">
            <w:pPr>
              <w:pStyle w:val="24"/>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cs="Times New Roman"/>
                <w:color w:val="auto"/>
                <w:sz w:val="18"/>
                <w:szCs w:val="18"/>
                <w:lang w:val="en-US" w:eastAsia="zh-CN"/>
              </w:rPr>
              <w:t>2#线白锌钝</w:t>
            </w:r>
          </w:p>
        </w:tc>
        <w:tc>
          <w:tcPr>
            <w:tcW w:w="565" w:type="pct"/>
            <w:shd w:val="clear" w:color="auto" w:fill="auto"/>
            <w:vAlign w:val="center"/>
          </w:tcPr>
          <w:p w14:paraId="4B21881D">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4</w:t>
            </w:r>
          </w:p>
        </w:tc>
        <w:tc>
          <w:tcPr>
            <w:tcW w:w="470" w:type="pct"/>
            <w:shd w:val="clear" w:color="auto" w:fill="auto"/>
            <w:vAlign w:val="center"/>
          </w:tcPr>
          <w:p w14:paraId="363E7ACA">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vAlign w:val="center"/>
          </w:tcPr>
          <w:p w14:paraId="7EF93625">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0.02</w:t>
            </w:r>
          </w:p>
        </w:tc>
        <w:tc>
          <w:tcPr>
            <w:tcW w:w="493" w:type="pct"/>
            <w:vMerge w:val="continue"/>
            <w:vAlign w:val="center"/>
          </w:tcPr>
          <w:p w14:paraId="0D6D3326">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5096FFAF">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34DD4879">
            <w:pPr>
              <w:pStyle w:val="24"/>
              <w:jc w:val="center"/>
              <w:rPr>
                <w:rFonts w:hint="default" w:ascii="Times New Roman" w:hAnsi="Times New Roman" w:eastAsia="宋体" w:cs="Times New Roman"/>
                <w:color w:val="auto"/>
                <w:sz w:val="18"/>
                <w:szCs w:val="18"/>
                <w:lang w:val="en-US" w:eastAsia="zh-CN"/>
              </w:rPr>
            </w:pPr>
          </w:p>
        </w:tc>
      </w:tr>
      <w:tr w14:paraId="4D69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230D2667">
            <w:pPr>
              <w:jc w:val="center"/>
              <w:rPr>
                <w:rFonts w:hint="default" w:ascii="Times New Roman" w:hAnsi="Times New Roman" w:eastAsia="宋体" w:cs="Times New Roman"/>
                <w:color w:val="auto"/>
                <w:sz w:val="18"/>
                <w:szCs w:val="18"/>
              </w:rPr>
            </w:pPr>
          </w:p>
        </w:tc>
        <w:tc>
          <w:tcPr>
            <w:tcW w:w="477" w:type="pct"/>
            <w:vMerge w:val="continue"/>
            <w:vAlign w:val="center"/>
          </w:tcPr>
          <w:p w14:paraId="3082001D">
            <w:pPr>
              <w:pStyle w:val="24"/>
              <w:jc w:val="center"/>
              <w:rPr>
                <w:rFonts w:hint="eastAsia" w:ascii="Times New Roman" w:hAnsi="Times New Roman" w:cs="Times New Roman"/>
                <w:color w:val="auto"/>
                <w:spacing w:val="7"/>
                <w:sz w:val="18"/>
                <w:szCs w:val="18"/>
                <w:lang w:val="en-US" w:eastAsia="zh-CN"/>
              </w:rPr>
            </w:pPr>
          </w:p>
        </w:tc>
        <w:tc>
          <w:tcPr>
            <w:tcW w:w="561" w:type="pct"/>
            <w:shd w:val="clear" w:color="auto" w:fill="auto"/>
            <w:vAlign w:val="center"/>
          </w:tcPr>
          <w:p w14:paraId="35A58B90">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3%</w:t>
            </w:r>
          </w:p>
        </w:tc>
        <w:tc>
          <w:tcPr>
            <w:tcW w:w="561" w:type="pct"/>
            <w:shd w:val="clear" w:color="auto" w:fill="auto"/>
            <w:vAlign w:val="center"/>
          </w:tcPr>
          <w:p w14:paraId="1BC9592F">
            <w:pPr>
              <w:pStyle w:val="24"/>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cs="Times New Roman"/>
                <w:color w:val="auto"/>
                <w:sz w:val="18"/>
                <w:szCs w:val="18"/>
                <w:lang w:val="en-US" w:eastAsia="zh-CN"/>
              </w:rPr>
              <w:t>2#线彩钝</w:t>
            </w:r>
          </w:p>
        </w:tc>
        <w:tc>
          <w:tcPr>
            <w:tcW w:w="565" w:type="pct"/>
            <w:shd w:val="clear" w:color="auto" w:fill="auto"/>
            <w:vAlign w:val="center"/>
          </w:tcPr>
          <w:p w14:paraId="71FCEC44">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4</w:t>
            </w:r>
          </w:p>
        </w:tc>
        <w:tc>
          <w:tcPr>
            <w:tcW w:w="470" w:type="pct"/>
            <w:shd w:val="clear" w:color="auto" w:fill="auto"/>
            <w:vAlign w:val="center"/>
          </w:tcPr>
          <w:p w14:paraId="16E409A6">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vAlign w:val="center"/>
          </w:tcPr>
          <w:p w14:paraId="176ECABE">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0.12</w:t>
            </w:r>
          </w:p>
        </w:tc>
        <w:tc>
          <w:tcPr>
            <w:tcW w:w="493" w:type="pct"/>
            <w:vMerge w:val="continue"/>
            <w:vAlign w:val="center"/>
          </w:tcPr>
          <w:p w14:paraId="2EC4B64E">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24738489">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12E10DED">
            <w:pPr>
              <w:pStyle w:val="24"/>
              <w:jc w:val="center"/>
              <w:rPr>
                <w:rFonts w:hint="default" w:ascii="Times New Roman" w:hAnsi="Times New Roman" w:eastAsia="宋体" w:cs="Times New Roman"/>
                <w:color w:val="auto"/>
                <w:sz w:val="18"/>
                <w:szCs w:val="18"/>
                <w:lang w:val="en-US" w:eastAsia="zh-CN"/>
              </w:rPr>
            </w:pPr>
          </w:p>
        </w:tc>
      </w:tr>
      <w:tr w14:paraId="31A2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315CF198">
            <w:pPr>
              <w:jc w:val="center"/>
              <w:rPr>
                <w:rFonts w:hint="default" w:ascii="Times New Roman" w:hAnsi="Times New Roman" w:eastAsia="宋体" w:cs="Times New Roman"/>
                <w:color w:val="auto"/>
                <w:sz w:val="18"/>
                <w:szCs w:val="18"/>
              </w:rPr>
            </w:pPr>
          </w:p>
        </w:tc>
        <w:tc>
          <w:tcPr>
            <w:tcW w:w="477" w:type="pct"/>
            <w:vMerge w:val="continue"/>
            <w:vAlign w:val="center"/>
          </w:tcPr>
          <w:p w14:paraId="00A1329C">
            <w:pPr>
              <w:pStyle w:val="24"/>
              <w:jc w:val="center"/>
              <w:rPr>
                <w:rFonts w:hint="eastAsia" w:ascii="Times New Roman" w:hAnsi="Times New Roman" w:cs="Times New Roman"/>
                <w:color w:val="auto"/>
                <w:spacing w:val="7"/>
                <w:sz w:val="18"/>
                <w:szCs w:val="18"/>
                <w:lang w:val="en-US" w:eastAsia="zh-CN"/>
              </w:rPr>
            </w:pPr>
          </w:p>
        </w:tc>
        <w:tc>
          <w:tcPr>
            <w:tcW w:w="561" w:type="pct"/>
            <w:shd w:val="clear" w:color="auto" w:fill="auto"/>
            <w:vAlign w:val="center"/>
          </w:tcPr>
          <w:p w14:paraId="6E4C5A0C">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5</w:t>
            </w:r>
            <w:r>
              <w:rPr>
                <w:rFonts w:hint="default" w:ascii="Times New Roman" w:hAnsi="Times New Roman" w:eastAsia="宋体" w:cs="Times New Roman"/>
                <w:color w:val="auto"/>
                <w:spacing w:val="3"/>
                <w:position w:val="3"/>
                <w:sz w:val="18"/>
                <w:szCs w:val="18"/>
              </w:rPr>
              <w:t>g/L</w:t>
            </w:r>
          </w:p>
        </w:tc>
        <w:tc>
          <w:tcPr>
            <w:tcW w:w="561" w:type="pct"/>
            <w:shd w:val="clear" w:color="auto" w:fill="auto"/>
            <w:vAlign w:val="center"/>
          </w:tcPr>
          <w:p w14:paraId="44BC6FE1">
            <w:pPr>
              <w:pStyle w:val="24"/>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cs="Times New Roman"/>
                <w:color w:val="auto"/>
                <w:sz w:val="18"/>
                <w:szCs w:val="18"/>
                <w:lang w:val="en-US" w:eastAsia="zh-CN"/>
              </w:rPr>
              <w:t>3#线蓝白钝</w:t>
            </w:r>
          </w:p>
        </w:tc>
        <w:tc>
          <w:tcPr>
            <w:tcW w:w="565" w:type="pct"/>
            <w:shd w:val="clear" w:color="auto" w:fill="auto"/>
            <w:vAlign w:val="center"/>
          </w:tcPr>
          <w:p w14:paraId="39BBE7B8">
            <w:pPr>
              <w:jc w:val="center"/>
              <w:rPr>
                <w:rFonts w:hint="default"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0.6</w:t>
            </w:r>
          </w:p>
        </w:tc>
        <w:tc>
          <w:tcPr>
            <w:tcW w:w="470" w:type="pct"/>
            <w:shd w:val="clear" w:color="auto" w:fill="auto"/>
            <w:vAlign w:val="center"/>
          </w:tcPr>
          <w:p w14:paraId="2CD09220">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vAlign w:val="center"/>
          </w:tcPr>
          <w:p w14:paraId="040387E8">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0.003</w:t>
            </w:r>
          </w:p>
        </w:tc>
        <w:tc>
          <w:tcPr>
            <w:tcW w:w="493" w:type="pct"/>
            <w:vMerge w:val="continue"/>
            <w:vAlign w:val="center"/>
          </w:tcPr>
          <w:p w14:paraId="69B201DF">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6C3AC24A">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4B6A2B48">
            <w:pPr>
              <w:pStyle w:val="24"/>
              <w:jc w:val="center"/>
              <w:rPr>
                <w:rFonts w:hint="default" w:ascii="Times New Roman" w:hAnsi="Times New Roman" w:eastAsia="宋体" w:cs="Times New Roman"/>
                <w:color w:val="auto"/>
                <w:sz w:val="18"/>
                <w:szCs w:val="18"/>
                <w:lang w:val="en-US" w:eastAsia="zh-CN"/>
              </w:rPr>
            </w:pPr>
          </w:p>
        </w:tc>
      </w:tr>
      <w:tr w14:paraId="6DB6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48340171">
            <w:pPr>
              <w:jc w:val="center"/>
              <w:rPr>
                <w:rFonts w:hint="default" w:ascii="Times New Roman" w:hAnsi="Times New Roman" w:eastAsia="宋体" w:cs="Times New Roman"/>
                <w:color w:val="auto"/>
                <w:sz w:val="18"/>
                <w:szCs w:val="18"/>
              </w:rPr>
            </w:pPr>
          </w:p>
        </w:tc>
        <w:tc>
          <w:tcPr>
            <w:tcW w:w="477" w:type="pct"/>
            <w:vMerge w:val="continue"/>
            <w:vAlign w:val="center"/>
          </w:tcPr>
          <w:p w14:paraId="4C13422B">
            <w:pPr>
              <w:pStyle w:val="24"/>
              <w:jc w:val="center"/>
              <w:rPr>
                <w:rFonts w:hint="eastAsia" w:ascii="Times New Roman" w:hAnsi="Times New Roman" w:cs="Times New Roman"/>
                <w:color w:val="auto"/>
                <w:spacing w:val="7"/>
                <w:sz w:val="18"/>
                <w:szCs w:val="18"/>
                <w:lang w:val="en-US" w:eastAsia="zh-CN"/>
              </w:rPr>
            </w:pPr>
          </w:p>
        </w:tc>
        <w:tc>
          <w:tcPr>
            <w:tcW w:w="561" w:type="pct"/>
            <w:shd w:val="clear" w:color="auto" w:fill="auto"/>
            <w:vAlign w:val="center"/>
          </w:tcPr>
          <w:p w14:paraId="122704F6">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5</w:t>
            </w:r>
            <w:r>
              <w:rPr>
                <w:rFonts w:hint="default" w:ascii="Times New Roman" w:hAnsi="Times New Roman" w:eastAsia="宋体" w:cs="Times New Roman"/>
                <w:color w:val="auto"/>
                <w:spacing w:val="3"/>
                <w:position w:val="3"/>
                <w:sz w:val="18"/>
                <w:szCs w:val="18"/>
              </w:rPr>
              <w:t>g/L</w:t>
            </w:r>
          </w:p>
        </w:tc>
        <w:tc>
          <w:tcPr>
            <w:tcW w:w="561" w:type="pct"/>
            <w:shd w:val="clear" w:color="auto" w:fill="auto"/>
            <w:vAlign w:val="center"/>
          </w:tcPr>
          <w:p w14:paraId="09617FD6">
            <w:pPr>
              <w:pStyle w:val="24"/>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cs="Times New Roman"/>
                <w:color w:val="auto"/>
                <w:sz w:val="18"/>
                <w:szCs w:val="18"/>
                <w:lang w:val="en-US" w:eastAsia="zh-CN"/>
              </w:rPr>
              <w:t>3#线白锌钝</w:t>
            </w:r>
          </w:p>
        </w:tc>
        <w:tc>
          <w:tcPr>
            <w:tcW w:w="565" w:type="pct"/>
            <w:shd w:val="clear" w:color="auto" w:fill="auto"/>
            <w:vAlign w:val="center"/>
          </w:tcPr>
          <w:p w14:paraId="1FFDF22D">
            <w:pPr>
              <w:jc w:val="center"/>
              <w:rPr>
                <w:rFonts w:hint="default"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0.6</w:t>
            </w:r>
          </w:p>
        </w:tc>
        <w:tc>
          <w:tcPr>
            <w:tcW w:w="470" w:type="pct"/>
            <w:shd w:val="clear" w:color="auto" w:fill="auto"/>
            <w:vAlign w:val="center"/>
          </w:tcPr>
          <w:p w14:paraId="6390D48E">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vAlign w:val="center"/>
          </w:tcPr>
          <w:p w14:paraId="4874D1DE">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0.003</w:t>
            </w:r>
          </w:p>
        </w:tc>
        <w:tc>
          <w:tcPr>
            <w:tcW w:w="493" w:type="pct"/>
            <w:vMerge w:val="continue"/>
            <w:vAlign w:val="center"/>
          </w:tcPr>
          <w:p w14:paraId="36BBE4E6">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522E522E">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252BF402">
            <w:pPr>
              <w:pStyle w:val="24"/>
              <w:jc w:val="center"/>
              <w:rPr>
                <w:rFonts w:hint="default" w:ascii="Times New Roman" w:hAnsi="Times New Roman" w:eastAsia="宋体" w:cs="Times New Roman"/>
                <w:color w:val="auto"/>
                <w:sz w:val="18"/>
                <w:szCs w:val="18"/>
                <w:lang w:val="en-US" w:eastAsia="zh-CN"/>
              </w:rPr>
            </w:pPr>
          </w:p>
        </w:tc>
      </w:tr>
      <w:tr w14:paraId="36C4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1A179B6B">
            <w:pPr>
              <w:jc w:val="center"/>
              <w:rPr>
                <w:rFonts w:hint="default" w:ascii="Times New Roman" w:hAnsi="Times New Roman" w:eastAsia="宋体" w:cs="Times New Roman"/>
                <w:color w:val="auto"/>
                <w:sz w:val="18"/>
                <w:szCs w:val="18"/>
              </w:rPr>
            </w:pPr>
          </w:p>
        </w:tc>
        <w:tc>
          <w:tcPr>
            <w:tcW w:w="477" w:type="pct"/>
            <w:vMerge w:val="continue"/>
            <w:vAlign w:val="center"/>
          </w:tcPr>
          <w:p w14:paraId="37B418D5">
            <w:pPr>
              <w:pStyle w:val="24"/>
              <w:jc w:val="center"/>
              <w:rPr>
                <w:rFonts w:hint="eastAsia" w:ascii="Times New Roman" w:hAnsi="Times New Roman" w:cs="Times New Roman"/>
                <w:color w:val="auto"/>
                <w:spacing w:val="7"/>
                <w:sz w:val="18"/>
                <w:szCs w:val="18"/>
                <w:lang w:val="en-US" w:eastAsia="zh-CN"/>
              </w:rPr>
            </w:pPr>
          </w:p>
        </w:tc>
        <w:tc>
          <w:tcPr>
            <w:tcW w:w="561" w:type="pct"/>
            <w:shd w:val="clear" w:color="auto" w:fill="auto"/>
            <w:vAlign w:val="center"/>
          </w:tcPr>
          <w:p w14:paraId="0EECEDF1">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3%</w:t>
            </w:r>
          </w:p>
        </w:tc>
        <w:tc>
          <w:tcPr>
            <w:tcW w:w="561" w:type="pct"/>
            <w:shd w:val="clear" w:color="auto" w:fill="auto"/>
            <w:vAlign w:val="center"/>
          </w:tcPr>
          <w:p w14:paraId="54D212F3">
            <w:pPr>
              <w:pStyle w:val="24"/>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cs="Times New Roman"/>
                <w:color w:val="auto"/>
                <w:sz w:val="18"/>
                <w:szCs w:val="18"/>
                <w:lang w:val="en-US" w:eastAsia="zh-CN"/>
              </w:rPr>
              <w:t>3#线彩钝</w:t>
            </w:r>
          </w:p>
        </w:tc>
        <w:tc>
          <w:tcPr>
            <w:tcW w:w="565" w:type="pct"/>
            <w:shd w:val="clear" w:color="auto" w:fill="auto"/>
            <w:vAlign w:val="center"/>
          </w:tcPr>
          <w:p w14:paraId="4628AE8B">
            <w:pPr>
              <w:jc w:val="center"/>
              <w:rPr>
                <w:rFonts w:hint="default"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0.6</w:t>
            </w:r>
          </w:p>
        </w:tc>
        <w:tc>
          <w:tcPr>
            <w:tcW w:w="470" w:type="pct"/>
            <w:shd w:val="clear" w:color="auto" w:fill="auto"/>
            <w:vAlign w:val="center"/>
          </w:tcPr>
          <w:p w14:paraId="2BD4ACEC">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vAlign w:val="center"/>
          </w:tcPr>
          <w:p w14:paraId="18FF71A2">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0.018</w:t>
            </w:r>
          </w:p>
        </w:tc>
        <w:tc>
          <w:tcPr>
            <w:tcW w:w="493" w:type="pct"/>
            <w:vMerge w:val="continue"/>
            <w:vAlign w:val="center"/>
          </w:tcPr>
          <w:p w14:paraId="08448813">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384393DE">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61EEFD76">
            <w:pPr>
              <w:pStyle w:val="24"/>
              <w:jc w:val="center"/>
              <w:rPr>
                <w:rFonts w:hint="default" w:ascii="Times New Roman" w:hAnsi="Times New Roman" w:eastAsia="宋体" w:cs="Times New Roman"/>
                <w:color w:val="auto"/>
                <w:sz w:val="18"/>
                <w:szCs w:val="18"/>
                <w:lang w:val="en-US" w:eastAsia="zh-CN"/>
              </w:rPr>
            </w:pPr>
          </w:p>
        </w:tc>
      </w:tr>
      <w:tr w14:paraId="0F3F6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0692B36B">
            <w:pPr>
              <w:jc w:val="center"/>
              <w:rPr>
                <w:rFonts w:hint="default" w:ascii="Times New Roman" w:hAnsi="Times New Roman" w:eastAsia="宋体" w:cs="Times New Roman"/>
                <w:color w:val="auto"/>
                <w:sz w:val="18"/>
                <w:szCs w:val="18"/>
              </w:rPr>
            </w:pPr>
          </w:p>
        </w:tc>
        <w:tc>
          <w:tcPr>
            <w:tcW w:w="477" w:type="pct"/>
            <w:vMerge w:val="continue"/>
            <w:vAlign w:val="center"/>
          </w:tcPr>
          <w:p w14:paraId="4DE4CA80">
            <w:pPr>
              <w:pStyle w:val="24"/>
              <w:jc w:val="center"/>
              <w:rPr>
                <w:rFonts w:hint="eastAsia" w:ascii="Times New Roman" w:hAnsi="Times New Roman" w:cs="Times New Roman"/>
                <w:color w:val="auto"/>
                <w:spacing w:val="7"/>
                <w:sz w:val="18"/>
                <w:szCs w:val="18"/>
                <w:lang w:val="en-US" w:eastAsia="zh-CN"/>
              </w:rPr>
            </w:pPr>
          </w:p>
        </w:tc>
        <w:tc>
          <w:tcPr>
            <w:tcW w:w="561" w:type="pct"/>
            <w:shd w:val="clear" w:color="auto" w:fill="auto"/>
            <w:vAlign w:val="center"/>
          </w:tcPr>
          <w:p w14:paraId="570C5568">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3%</w:t>
            </w:r>
          </w:p>
        </w:tc>
        <w:tc>
          <w:tcPr>
            <w:tcW w:w="561" w:type="pct"/>
            <w:shd w:val="clear" w:color="auto" w:fill="auto"/>
            <w:vAlign w:val="center"/>
          </w:tcPr>
          <w:p w14:paraId="43F8630F">
            <w:pPr>
              <w:pStyle w:val="24"/>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cs="Times New Roman"/>
                <w:color w:val="auto"/>
                <w:sz w:val="18"/>
                <w:szCs w:val="18"/>
                <w:lang w:val="en-US" w:eastAsia="zh-CN"/>
              </w:rPr>
              <w:t>5#线钝化</w:t>
            </w:r>
          </w:p>
        </w:tc>
        <w:tc>
          <w:tcPr>
            <w:tcW w:w="565" w:type="pct"/>
            <w:shd w:val="clear" w:color="auto" w:fill="auto"/>
            <w:vAlign w:val="center"/>
          </w:tcPr>
          <w:p w14:paraId="2CEAFCCE">
            <w:pPr>
              <w:jc w:val="center"/>
              <w:rPr>
                <w:rFonts w:hint="default"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0.5</w:t>
            </w:r>
          </w:p>
        </w:tc>
        <w:tc>
          <w:tcPr>
            <w:tcW w:w="470" w:type="pct"/>
            <w:shd w:val="clear" w:color="auto" w:fill="auto"/>
            <w:vAlign w:val="center"/>
          </w:tcPr>
          <w:p w14:paraId="7628A177">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vAlign w:val="center"/>
          </w:tcPr>
          <w:p w14:paraId="3BFA17AE">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0.015</w:t>
            </w:r>
          </w:p>
        </w:tc>
        <w:tc>
          <w:tcPr>
            <w:tcW w:w="493" w:type="pct"/>
            <w:vMerge w:val="continue"/>
            <w:vAlign w:val="center"/>
          </w:tcPr>
          <w:p w14:paraId="698AA236">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11D57FC2">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09079245">
            <w:pPr>
              <w:pStyle w:val="24"/>
              <w:jc w:val="center"/>
              <w:rPr>
                <w:rFonts w:hint="default" w:ascii="Times New Roman" w:hAnsi="Times New Roman" w:eastAsia="宋体" w:cs="Times New Roman"/>
                <w:color w:val="auto"/>
                <w:sz w:val="18"/>
                <w:szCs w:val="18"/>
                <w:lang w:val="en-US" w:eastAsia="zh-CN"/>
              </w:rPr>
            </w:pPr>
          </w:p>
        </w:tc>
      </w:tr>
      <w:tr w14:paraId="3A5D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vMerge w:val="continue"/>
            <w:vAlign w:val="center"/>
          </w:tcPr>
          <w:p w14:paraId="42DD80FB">
            <w:pPr>
              <w:jc w:val="center"/>
              <w:rPr>
                <w:rFonts w:hint="default" w:ascii="Times New Roman" w:hAnsi="Times New Roman" w:eastAsia="宋体" w:cs="Times New Roman"/>
                <w:color w:val="auto"/>
                <w:sz w:val="18"/>
                <w:szCs w:val="18"/>
              </w:rPr>
            </w:pPr>
          </w:p>
        </w:tc>
        <w:tc>
          <w:tcPr>
            <w:tcW w:w="477" w:type="pct"/>
            <w:vMerge w:val="continue"/>
            <w:vAlign w:val="center"/>
          </w:tcPr>
          <w:p w14:paraId="37C92FB4">
            <w:pPr>
              <w:pStyle w:val="24"/>
              <w:jc w:val="center"/>
              <w:rPr>
                <w:rFonts w:hint="eastAsia" w:ascii="Times New Roman" w:hAnsi="Times New Roman" w:cs="Times New Roman"/>
                <w:color w:val="auto"/>
                <w:spacing w:val="7"/>
                <w:sz w:val="18"/>
                <w:szCs w:val="18"/>
                <w:lang w:val="en-US" w:eastAsia="zh-CN"/>
              </w:rPr>
            </w:pPr>
          </w:p>
        </w:tc>
        <w:tc>
          <w:tcPr>
            <w:tcW w:w="561" w:type="pct"/>
            <w:shd w:val="clear" w:color="auto" w:fill="auto"/>
            <w:vAlign w:val="center"/>
          </w:tcPr>
          <w:p w14:paraId="35918331">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3%</w:t>
            </w:r>
          </w:p>
        </w:tc>
        <w:tc>
          <w:tcPr>
            <w:tcW w:w="561" w:type="pct"/>
            <w:shd w:val="clear" w:color="auto" w:fill="auto"/>
            <w:vAlign w:val="center"/>
          </w:tcPr>
          <w:p w14:paraId="68525DC3">
            <w:pPr>
              <w:pStyle w:val="24"/>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cs="Times New Roman"/>
                <w:color w:val="auto"/>
                <w:sz w:val="18"/>
                <w:szCs w:val="18"/>
                <w:lang w:val="en-US" w:eastAsia="zh-CN"/>
              </w:rPr>
              <w:t>6#线钝化</w:t>
            </w:r>
          </w:p>
        </w:tc>
        <w:tc>
          <w:tcPr>
            <w:tcW w:w="565" w:type="pct"/>
            <w:shd w:val="clear" w:color="auto" w:fill="auto"/>
            <w:vAlign w:val="center"/>
          </w:tcPr>
          <w:p w14:paraId="4015B37F">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0.5</w:t>
            </w:r>
          </w:p>
        </w:tc>
        <w:tc>
          <w:tcPr>
            <w:tcW w:w="470" w:type="pct"/>
            <w:shd w:val="clear" w:color="auto" w:fill="auto"/>
            <w:vAlign w:val="center"/>
          </w:tcPr>
          <w:p w14:paraId="341B0B17">
            <w:pPr>
              <w:jc w:val="center"/>
              <w:rPr>
                <w:rFonts w:hint="eastAsia" w:ascii="Times New Roman" w:hAnsi="Times New Roman" w:eastAsia="宋体" w:cs="Times New Roman"/>
                <w:snapToGrid w:val="0"/>
                <w:color w:val="auto"/>
                <w:sz w:val="18"/>
                <w:szCs w:val="18"/>
                <w:lang w:val="en-US" w:eastAsia="zh-CN" w:bidi="ar-SA"/>
              </w:rPr>
            </w:pPr>
            <w:r>
              <w:rPr>
                <w:rFonts w:hint="eastAsia" w:ascii="Times New Roman" w:hAnsi="Times New Roman" w:eastAsia="宋体" w:cs="Times New Roman"/>
                <w:color w:val="auto"/>
                <w:sz w:val="18"/>
                <w:szCs w:val="18"/>
                <w:lang w:val="en-US" w:eastAsia="zh-CN"/>
              </w:rPr>
              <w:t>1</w:t>
            </w:r>
          </w:p>
        </w:tc>
        <w:tc>
          <w:tcPr>
            <w:tcW w:w="678" w:type="pct"/>
            <w:vAlign w:val="center"/>
          </w:tcPr>
          <w:p w14:paraId="39715A94">
            <w:pPr>
              <w:keepNext w:val="0"/>
              <w:keepLines w:val="0"/>
              <w:widowControl/>
              <w:suppressLineNumbers w:val="0"/>
              <w:jc w:val="center"/>
              <w:textAlignment w:val="center"/>
              <w:rPr>
                <w:rFonts w:hint="default" w:ascii="Times New Roman" w:hAnsi="Times New Roman" w:eastAsia="宋体" w:cs="Times New Roman"/>
                <w:i w:val="0"/>
                <w:iCs w:val="0"/>
                <w:snapToGrid w:val="0"/>
                <w:color w:val="auto"/>
                <w:kern w:val="0"/>
                <w:sz w:val="18"/>
                <w:szCs w:val="18"/>
                <w:u w:val="none"/>
                <w:lang w:val="en-US" w:eastAsia="zh-CN" w:bidi="ar"/>
              </w:rPr>
            </w:pPr>
            <w:r>
              <w:rPr>
                <w:rFonts w:hint="eastAsia" w:ascii="Times New Roman" w:hAnsi="Times New Roman" w:eastAsia="宋体" w:cs="Times New Roman"/>
                <w:i w:val="0"/>
                <w:iCs w:val="0"/>
                <w:snapToGrid w:val="0"/>
                <w:color w:val="auto"/>
                <w:kern w:val="0"/>
                <w:sz w:val="18"/>
                <w:szCs w:val="18"/>
                <w:u w:val="none"/>
                <w:lang w:val="en-US" w:eastAsia="zh-CN" w:bidi="ar"/>
              </w:rPr>
              <w:t>0.015</w:t>
            </w:r>
          </w:p>
        </w:tc>
        <w:tc>
          <w:tcPr>
            <w:tcW w:w="493" w:type="pct"/>
            <w:vMerge w:val="continue"/>
            <w:vAlign w:val="center"/>
          </w:tcPr>
          <w:p w14:paraId="3D73C6E3">
            <w:pPr>
              <w:jc w:val="center"/>
              <w:rPr>
                <w:rFonts w:hint="eastAsia" w:ascii="Times New Roman" w:hAnsi="Times New Roman" w:eastAsia="宋体" w:cs="Times New Roman"/>
                <w:color w:val="auto"/>
                <w:spacing w:val="2"/>
                <w:sz w:val="18"/>
                <w:szCs w:val="18"/>
                <w:lang w:val="en-US" w:eastAsia="zh-CN"/>
              </w:rPr>
            </w:pPr>
          </w:p>
        </w:tc>
        <w:tc>
          <w:tcPr>
            <w:tcW w:w="473" w:type="pct"/>
            <w:vMerge w:val="continue"/>
            <w:vAlign w:val="center"/>
          </w:tcPr>
          <w:p w14:paraId="4184181F">
            <w:pPr>
              <w:pStyle w:val="24"/>
              <w:jc w:val="center"/>
              <w:rPr>
                <w:rFonts w:hint="default" w:ascii="Times New Roman" w:hAnsi="Times New Roman" w:eastAsia="宋体" w:cs="Times New Roman"/>
                <w:color w:val="auto"/>
                <w:sz w:val="18"/>
                <w:szCs w:val="18"/>
                <w:lang w:val="en-US" w:eastAsia="zh-CN"/>
              </w:rPr>
            </w:pPr>
          </w:p>
        </w:tc>
        <w:tc>
          <w:tcPr>
            <w:tcW w:w="473" w:type="pct"/>
            <w:vMerge w:val="continue"/>
            <w:vAlign w:val="center"/>
          </w:tcPr>
          <w:p w14:paraId="0E0A90FC">
            <w:pPr>
              <w:pStyle w:val="24"/>
              <w:jc w:val="center"/>
              <w:rPr>
                <w:rFonts w:hint="default" w:ascii="Times New Roman" w:hAnsi="Times New Roman" w:eastAsia="宋体" w:cs="Times New Roman"/>
                <w:color w:val="auto"/>
                <w:sz w:val="18"/>
                <w:szCs w:val="18"/>
                <w:lang w:val="en-US" w:eastAsia="zh-CN"/>
              </w:rPr>
            </w:pPr>
          </w:p>
        </w:tc>
      </w:tr>
      <w:tr w14:paraId="7F0CE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526" w:type="pct"/>
            <w:gridSpan w:val="9"/>
            <w:vAlign w:val="center"/>
          </w:tcPr>
          <w:p w14:paraId="0B157D92">
            <w:pPr>
              <w:pStyle w:val="24"/>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Q值合计</w:t>
            </w:r>
          </w:p>
        </w:tc>
        <w:tc>
          <w:tcPr>
            <w:tcW w:w="473" w:type="pct"/>
            <w:vAlign w:val="center"/>
          </w:tcPr>
          <w:p w14:paraId="23C158FE">
            <w:pPr>
              <w:pStyle w:val="24"/>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14.1772</w:t>
            </w:r>
          </w:p>
        </w:tc>
      </w:tr>
    </w:tbl>
    <w:p w14:paraId="74D98E5C">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根据建设单位提供的项目资料可知，集控区仓库及内部建设危险化学品库风险防范措施要求如下：</w:t>
      </w:r>
    </w:p>
    <w:p w14:paraId="019F1C5C">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“危险化学品的存储和使用应符合《电镀化学品运输、存储、使用安全规程》（AQ3019-2008）等有关规定的要求。</w:t>
      </w:r>
    </w:p>
    <w:p w14:paraId="64F5DC6D">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1、</w:t>
      </w:r>
      <w:r>
        <w:rPr>
          <w:rFonts w:hint="default" w:ascii="Times New Roman" w:hAnsi="Times New Roman" w:eastAsia="宋体" w:cs="Times New Roman"/>
          <w:color w:val="auto"/>
          <w:spacing w:val="7"/>
          <w:sz w:val="24"/>
          <w:szCs w:val="24"/>
          <w:lang w:eastAsia="zh-CN"/>
        </w:rPr>
        <w:t>设立专门的危化品仓库，根据化学品不同特性，分别采用袋、桶和瓶等贮存，危化品库安装通风设备，并注意设备的防静电措施。</w:t>
      </w:r>
    </w:p>
    <w:p w14:paraId="0F5F6B89">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2、</w:t>
      </w:r>
      <w:r>
        <w:rPr>
          <w:rFonts w:hint="default" w:ascii="Times New Roman" w:hAnsi="Times New Roman" w:eastAsia="宋体" w:cs="Times New Roman"/>
          <w:color w:val="auto"/>
          <w:spacing w:val="7"/>
          <w:sz w:val="24"/>
          <w:szCs w:val="24"/>
          <w:lang w:eastAsia="zh-CN"/>
        </w:rPr>
        <w:t>在装卸化学危险物品前，要预先做好准备工作，了解物品性质，检查装卸搬运的工具是否牢固，不牢固的应予以更换或修理。如工具上曾被易燃物、有机物、酸、碱等污染的，必须清洗后方可使用。</w:t>
      </w:r>
    </w:p>
    <w:p w14:paraId="38077F05">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3、</w:t>
      </w:r>
      <w:r>
        <w:rPr>
          <w:rFonts w:hint="default" w:ascii="Times New Roman" w:hAnsi="Times New Roman" w:eastAsia="宋体" w:cs="Times New Roman"/>
          <w:color w:val="auto"/>
          <w:spacing w:val="7"/>
          <w:sz w:val="24"/>
          <w:szCs w:val="24"/>
          <w:lang w:eastAsia="zh-CN"/>
        </w:rPr>
        <w:t>操作人员应根据不同物资的危险特性，分别穿戴相应的防护用具。防护用具包括工作服、橡皮围裙、橡皮袖罩、橡皮手套、长筒胶靴、防毒面具、滤毒口罩、纱口罩、纱手套和护目镜等。操作前应由专人检查用具是否妥善，穿戴是否合适。操作后应进行清洗或消毒，放在专用的箱柜中保管。</w:t>
      </w:r>
    </w:p>
    <w:p w14:paraId="3936722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4、</w:t>
      </w:r>
      <w:r>
        <w:rPr>
          <w:rFonts w:hint="default" w:ascii="Times New Roman" w:hAnsi="Times New Roman" w:eastAsia="宋体" w:cs="Times New Roman"/>
          <w:color w:val="auto"/>
          <w:spacing w:val="7"/>
          <w:sz w:val="24"/>
          <w:szCs w:val="24"/>
          <w:lang w:eastAsia="zh-CN"/>
        </w:rPr>
        <w:t>化学危险物品撒落在地面、车板上时，应及时扫除，对易燃易爆品应用松软物经水浸湿后扫除。</w:t>
      </w:r>
    </w:p>
    <w:p w14:paraId="638AD535">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5、</w:t>
      </w:r>
      <w:r>
        <w:rPr>
          <w:rFonts w:hint="default" w:ascii="Times New Roman" w:hAnsi="Times New Roman" w:eastAsia="宋体" w:cs="Times New Roman"/>
          <w:color w:val="auto"/>
          <w:spacing w:val="7"/>
          <w:sz w:val="24"/>
          <w:szCs w:val="24"/>
          <w:lang w:eastAsia="zh-CN"/>
        </w:rPr>
        <w:t>在装卸化学危险物品时，不得饮酒、吸烟。工作完毕后根据工作情况和危险品的性质，及时清洗手、脸、漱口或淋浴。必须保持现场空气流通，</w:t>
      </w:r>
    </w:p>
    <w:p w14:paraId="5548D27B">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如果发现恶心、头晕等中毒现象，应立即到新鲜空气处休息，脱去工作服和防护用具，清洗皮肤沾染部分，重者送医院诊治。</w:t>
      </w:r>
    </w:p>
    <w:p w14:paraId="3BCA17CB">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6、</w:t>
      </w:r>
      <w:r>
        <w:rPr>
          <w:rFonts w:hint="default" w:ascii="Times New Roman" w:hAnsi="Times New Roman" w:eastAsia="宋体" w:cs="Times New Roman"/>
          <w:color w:val="auto"/>
          <w:spacing w:val="7"/>
          <w:sz w:val="24"/>
          <w:szCs w:val="24"/>
          <w:lang w:eastAsia="zh-CN"/>
        </w:rPr>
        <w:t>在现场须备有清水、苏打水或醋酸等，以备急救时应用。</w:t>
      </w:r>
    </w:p>
    <w:p w14:paraId="7085994B">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7、</w:t>
      </w:r>
      <w:r>
        <w:rPr>
          <w:rFonts w:hint="default" w:ascii="Times New Roman" w:hAnsi="Times New Roman" w:eastAsia="宋体" w:cs="Times New Roman"/>
          <w:color w:val="auto"/>
          <w:spacing w:val="7"/>
          <w:sz w:val="24"/>
          <w:szCs w:val="24"/>
          <w:lang w:eastAsia="zh-CN"/>
        </w:rPr>
        <w:t>尽量减少人体与物品包装的接触，工作完毕后以肥皂和水清洗手脸和淋浴后才可进食饮水。对防护用具和使用工具，须经仔细洗刷，污水不得随便流散，应引入污水站进行处理。</w:t>
      </w:r>
    </w:p>
    <w:p w14:paraId="456C8A62">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8、</w:t>
      </w:r>
      <w:r>
        <w:rPr>
          <w:rFonts w:hint="default" w:ascii="Times New Roman" w:hAnsi="Times New Roman" w:eastAsia="宋体" w:cs="Times New Roman"/>
          <w:color w:val="auto"/>
          <w:spacing w:val="7"/>
          <w:sz w:val="24"/>
          <w:szCs w:val="24"/>
          <w:lang w:eastAsia="zh-CN"/>
        </w:rPr>
        <w:t>危险化学品库地面采用防腐、防渗设计，修建防腐、防渗的地沟和事故水池，一旦发生泄漏事故，收集的危险化学品及清洗废水均泵入污水站处理。</w:t>
      </w:r>
    </w:p>
    <w:p w14:paraId="646031BD">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9、</w:t>
      </w:r>
      <w:r>
        <w:rPr>
          <w:rFonts w:hint="default" w:ascii="Times New Roman" w:hAnsi="Times New Roman" w:eastAsia="宋体" w:cs="Times New Roman"/>
          <w:color w:val="auto"/>
          <w:spacing w:val="7"/>
          <w:sz w:val="24"/>
          <w:szCs w:val="24"/>
          <w:lang w:eastAsia="zh-CN"/>
        </w:rPr>
        <w:t>加强氰化物的严格管理，贮存要求如下：</w:t>
      </w:r>
    </w:p>
    <w:p w14:paraId="61DC0916">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氰化物采用专用储柜单独存放，专用储柜必须符合“严密、坚固、通风、干燥”要求，并与周围生活区、办公区等重要设施保持安全距离；氰化物的专用储柜必须设置相应的防火、防爆、防潮、防盗及防泄漏等安全设施；应该设置防盗报警装置并处于正常适用状态；严格执行购运许可制度；建立健全“双人领、双人用、双人管、双把锁、双本帐”五双制度；尽可能减少氰化物在集控区内的贮存量，可能情况下与当地供应商签订协议，实现日用日送。</w:t>
      </w:r>
    </w:p>
    <w:p w14:paraId="5F7510DA">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采取上述措施后，危险化学品暂存环境风险较小，在可接受的范围内。</w:t>
      </w:r>
    </w:p>
    <w:p w14:paraId="2D3E6BDA">
      <w:pPr>
        <w:pStyle w:val="3"/>
        <w:bidi w:val="0"/>
        <w:rPr>
          <w:rFonts w:hint="default"/>
          <w:lang w:eastAsia="zh-CN"/>
        </w:rPr>
      </w:pPr>
      <w:bookmarkStart w:id="4" w:name="_Toc4921"/>
      <w:r>
        <w:rPr>
          <w:rFonts w:hint="default"/>
          <w:lang w:eastAsia="zh-CN"/>
        </w:rPr>
        <w:t>环境保护目标</w:t>
      </w:r>
      <w:bookmarkEnd w:id="4"/>
    </w:p>
    <w:p w14:paraId="20E329EB">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本项目环境敏感目标调查一览表见</w:t>
      </w:r>
      <w:r>
        <w:rPr>
          <w:rFonts w:hint="default" w:ascii="Times New Roman" w:hAnsi="Times New Roman" w:eastAsia="宋体" w:cs="Times New Roman"/>
          <w:color w:val="auto"/>
          <w:spacing w:val="7"/>
          <w:sz w:val="24"/>
          <w:szCs w:val="24"/>
          <w:lang w:val="en-US" w:eastAsia="zh-CN"/>
        </w:rPr>
        <w:t>下表</w:t>
      </w:r>
      <w:r>
        <w:rPr>
          <w:rFonts w:hint="default" w:ascii="Times New Roman" w:hAnsi="Times New Roman" w:eastAsia="宋体" w:cs="Times New Roman"/>
          <w:color w:val="auto"/>
          <w:spacing w:val="7"/>
          <w:sz w:val="24"/>
          <w:szCs w:val="24"/>
          <w:lang w:eastAsia="zh-CN"/>
        </w:rPr>
        <w:t>。</w:t>
      </w:r>
    </w:p>
    <w:p w14:paraId="4112ABCC">
      <w:pPr>
        <w:spacing w:before="100"/>
        <w:jc w:val="center"/>
        <w:rPr>
          <w:rFonts w:hint="default" w:ascii="Times New Roman" w:hAnsi="Times New Roman" w:eastAsia="宋体" w:cs="Times New Roman"/>
          <w:b/>
          <w:bCs/>
          <w:color w:val="auto"/>
          <w:spacing w:val="6"/>
          <w:sz w:val="20"/>
          <w:szCs w:val="20"/>
          <w:lang w:val="en-US" w:eastAsia="zh-CN"/>
        </w:rPr>
      </w:pPr>
      <w:r>
        <w:rPr>
          <w:rFonts w:hint="default" w:ascii="Times New Roman" w:hAnsi="Times New Roman" w:eastAsia="宋体" w:cs="Times New Roman"/>
          <w:b/>
          <w:bCs/>
          <w:color w:val="auto"/>
          <w:spacing w:val="6"/>
          <w:sz w:val="20"/>
          <w:szCs w:val="20"/>
          <w:lang w:eastAsia="zh-CN"/>
        </w:rPr>
        <w:t>表2.2-1</w:t>
      </w:r>
      <w:r>
        <w:rPr>
          <w:rFonts w:hint="default" w:ascii="Times New Roman" w:hAnsi="Times New Roman" w:eastAsia="宋体" w:cs="Times New Roman"/>
          <w:b/>
          <w:bCs/>
          <w:color w:val="auto"/>
          <w:spacing w:val="6"/>
          <w:sz w:val="20"/>
          <w:szCs w:val="20"/>
          <w:lang w:val="en-US" w:eastAsia="zh-CN"/>
        </w:rPr>
        <w:t>本项目环境敏感特征表</w:t>
      </w:r>
    </w:p>
    <w:tbl>
      <w:tblPr>
        <w:tblStyle w:val="21"/>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880"/>
        <w:gridCol w:w="2104"/>
        <w:gridCol w:w="1217"/>
        <w:gridCol w:w="1218"/>
        <w:gridCol w:w="1218"/>
        <w:gridCol w:w="1218"/>
      </w:tblGrid>
      <w:tr w14:paraId="1F52168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restart"/>
            <w:tcBorders>
              <w:left w:val="single" w:color="auto" w:sz="4" w:space="0"/>
            </w:tcBorders>
            <w:vAlign w:val="center"/>
          </w:tcPr>
          <w:p w14:paraId="042E55B0">
            <w:pPr>
              <w:widowControl w:val="0"/>
              <w:jc w:val="center"/>
              <w:rPr>
                <w:rFonts w:hint="default" w:ascii="Times New Roman" w:hAnsi="Times New Roman" w:eastAsia="宋体" w:cs="Times New Roman"/>
                <w:b/>
                <w:bCs/>
                <w:color w:val="auto"/>
                <w:spacing w:val="-1"/>
                <w:position w:val="3"/>
                <w:sz w:val="20"/>
                <w:szCs w:val="20"/>
                <w:lang w:val="en-US" w:eastAsia="zh-CN"/>
              </w:rPr>
            </w:pPr>
            <w:r>
              <w:rPr>
                <w:rFonts w:hint="default" w:ascii="Times New Roman" w:hAnsi="Times New Roman" w:eastAsia="宋体" w:cs="Times New Roman"/>
                <w:b/>
                <w:bCs/>
                <w:color w:val="auto"/>
                <w:spacing w:val="-1"/>
                <w:position w:val="3"/>
                <w:sz w:val="20"/>
                <w:szCs w:val="20"/>
                <w:lang w:val="en-US" w:eastAsia="zh-CN"/>
              </w:rPr>
              <w:t>类别</w:t>
            </w:r>
          </w:p>
        </w:tc>
        <w:tc>
          <w:tcPr>
            <w:tcW w:w="7855" w:type="dxa"/>
            <w:gridSpan w:val="6"/>
            <w:tcBorders>
              <w:right w:val="single" w:color="auto" w:sz="4" w:space="0"/>
            </w:tcBorders>
            <w:vAlign w:val="center"/>
          </w:tcPr>
          <w:p w14:paraId="7DD8DA67">
            <w:pPr>
              <w:widowControl w:val="0"/>
              <w:jc w:val="center"/>
              <w:rPr>
                <w:rFonts w:hint="default" w:ascii="Times New Roman" w:hAnsi="Times New Roman" w:eastAsia="宋体" w:cs="Times New Roman"/>
                <w:b/>
                <w:bCs/>
                <w:color w:val="auto"/>
                <w:spacing w:val="-1"/>
                <w:position w:val="3"/>
                <w:sz w:val="20"/>
                <w:szCs w:val="20"/>
                <w:lang w:val="en-US" w:eastAsia="zh-CN"/>
              </w:rPr>
            </w:pPr>
            <w:r>
              <w:rPr>
                <w:rFonts w:hint="default" w:ascii="Times New Roman" w:hAnsi="Times New Roman" w:eastAsia="宋体" w:cs="Times New Roman"/>
                <w:b/>
                <w:bCs/>
                <w:color w:val="auto"/>
                <w:spacing w:val="-1"/>
                <w:position w:val="3"/>
                <w:sz w:val="20"/>
                <w:szCs w:val="20"/>
                <w:lang w:val="en-US" w:eastAsia="zh-CN"/>
              </w:rPr>
              <w:t>环境敏感特征</w:t>
            </w:r>
          </w:p>
        </w:tc>
      </w:tr>
      <w:tr w14:paraId="5D49C7C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86482F6">
            <w:pPr>
              <w:widowControl w:val="0"/>
              <w:jc w:val="center"/>
              <w:rPr>
                <w:rFonts w:hint="default" w:ascii="Times New Roman" w:hAnsi="Times New Roman" w:eastAsia="宋体" w:cs="Times New Roman"/>
                <w:b/>
                <w:bCs/>
                <w:color w:val="auto"/>
                <w:spacing w:val="-1"/>
                <w:position w:val="3"/>
                <w:sz w:val="20"/>
                <w:szCs w:val="20"/>
                <w:lang w:val="en-US" w:eastAsia="zh-CN"/>
              </w:rPr>
            </w:pPr>
          </w:p>
        </w:tc>
        <w:tc>
          <w:tcPr>
            <w:tcW w:w="7855" w:type="dxa"/>
            <w:gridSpan w:val="6"/>
            <w:tcBorders>
              <w:right w:val="single" w:color="auto" w:sz="4" w:space="0"/>
            </w:tcBorders>
            <w:vAlign w:val="center"/>
          </w:tcPr>
          <w:p w14:paraId="4ECE1178">
            <w:pPr>
              <w:widowControl w:val="0"/>
              <w:jc w:val="center"/>
              <w:rPr>
                <w:rFonts w:hint="default" w:ascii="Times New Roman" w:hAnsi="Times New Roman" w:eastAsia="宋体" w:cs="Times New Roman"/>
                <w:b/>
                <w:bCs/>
                <w:color w:val="auto"/>
                <w:spacing w:val="-1"/>
                <w:position w:val="3"/>
                <w:sz w:val="20"/>
                <w:szCs w:val="20"/>
                <w:lang w:val="en-US" w:eastAsia="zh-CN"/>
              </w:rPr>
            </w:pPr>
            <w:r>
              <w:rPr>
                <w:rFonts w:hint="default" w:ascii="Times New Roman" w:hAnsi="Times New Roman" w:eastAsia="宋体" w:cs="Times New Roman"/>
                <w:b/>
                <w:bCs/>
                <w:color w:val="auto"/>
                <w:spacing w:val="-1"/>
                <w:position w:val="3"/>
                <w:sz w:val="20"/>
                <w:szCs w:val="20"/>
                <w:lang w:val="en-US" w:eastAsia="zh-CN"/>
              </w:rPr>
              <w:t>厂界周边5km范围内</w:t>
            </w:r>
          </w:p>
        </w:tc>
      </w:tr>
      <w:tr w14:paraId="18E0774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F0872A5">
            <w:pPr>
              <w:widowControl w:val="0"/>
              <w:jc w:val="center"/>
              <w:rPr>
                <w:rFonts w:hint="default" w:ascii="Times New Roman" w:hAnsi="Times New Roman" w:eastAsia="宋体" w:cs="Times New Roman"/>
                <w:b/>
                <w:bCs/>
                <w:color w:val="auto"/>
                <w:spacing w:val="-1"/>
                <w:position w:val="3"/>
                <w:sz w:val="20"/>
                <w:szCs w:val="20"/>
                <w:lang w:val="en-US" w:eastAsia="zh-CN"/>
              </w:rPr>
            </w:pPr>
          </w:p>
        </w:tc>
        <w:tc>
          <w:tcPr>
            <w:tcW w:w="880" w:type="dxa"/>
            <w:vAlign w:val="center"/>
          </w:tcPr>
          <w:p w14:paraId="23B05DB9">
            <w:pPr>
              <w:widowControl w:val="0"/>
              <w:jc w:val="center"/>
              <w:rPr>
                <w:rFonts w:hint="default" w:ascii="Times New Roman" w:hAnsi="Times New Roman" w:eastAsia="宋体" w:cs="Times New Roman"/>
                <w:b/>
                <w:bCs/>
                <w:color w:val="auto"/>
                <w:spacing w:val="-1"/>
                <w:position w:val="3"/>
                <w:sz w:val="20"/>
                <w:szCs w:val="20"/>
                <w:lang w:val="en-US" w:eastAsia="zh-CN"/>
              </w:rPr>
            </w:pPr>
            <w:r>
              <w:rPr>
                <w:rFonts w:hint="default" w:ascii="Times New Roman" w:hAnsi="Times New Roman" w:eastAsia="宋体" w:cs="Times New Roman"/>
                <w:b/>
                <w:bCs/>
                <w:color w:val="auto"/>
                <w:spacing w:val="-1"/>
                <w:position w:val="3"/>
                <w:sz w:val="20"/>
                <w:szCs w:val="20"/>
                <w:lang w:val="en-US" w:eastAsia="zh-CN"/>
              </w:rPr>
              <w:t>序号</w:t>
            </w:r>
          </w:p>
        </w:tc>
        <w:tc>
          <w:tcPr>
            <w:tcW w:w="2104" w:type="dxa"/>
            <w:vAlign w:val="center"/>
          </w:tcPr>
          <w:p w14:paraId="2C9F0DB4">
            <w:pPr>
              <w:widowControl w:val="0"/>
              <w:jc w:val="center"/>
              <w:rPr>
                <w:rFonts w:hint="default" w:ascii="Times New Roman" w:hAnsi="Times New Roman" w:eastAsia="宋体" w:cs="Times New Roman"/>
                <w:b/>
                <w:bCs/>
                <w:color w:val="auto"/>
                <w:spacing w:val="-1"/>
                <w:position w:val="3"/>
                <w:sz w:val="20"/>
                <w:szCs w:val="20"/>
                <w:lang w:val="en-US" w:eastAsia="zh-CN"/>
              </w:rPr>
            </w:pPr>
            <w:r>
              <w:rPr>
                <w:rFonts w:hint="default" w:ascii="Times New Roman" w:hAnsi="Times New Roman" w:eastAsia="宋体" w:cs="Times New Roman"/>
                <w:b/>
                <w:bCs/>
                <w:color w:val="auto"/>
                <w:spacing w:val="-1"/>
                <w:position w:val="3"/>
                <w:sz w:val="20"/>
                <w:szCs w:val="20"/>
                <w:lang w:val="en-US" w:eastAsia="zh-CN"/>
              </w:rPr>
              <w:t>敏感目标名称</w:t>
            </w:r>
          </w:p>
        </w:tc>
        <w:tc>
          <w:tcPr>
            <w:tcW w:w="1217" w:type="dxa"/>
            <w:vAlign w:val="center"/>
          </w:tcPr>
          <w:p w14:paraId="403748F7">
            <w:pPr>
              <w:widowControl w:val="0"/>
              <w:jc w:val="center"/>
              <w:rPr>
                <w:rFonts w:hint="default" w:ascii="Times New Roman" w:hAnsi="Times New Roman" w:eastAsia="宋体" w:cs="Times New Roman"/>
                <w:b/>
                <w:bCs/>
                <w:color w:val="auto"/>
                <w:spacing w:val="-1"/>
                <w:position w:val="3"/>
                <w:sz w:val="20"/>
                <w:szCs w:val="20"/>
                <w:lang w:val="en-US" w:eastAsia="zh-CN"/>
              </w:rPr>
            </w:pPr>
            <w:r>
              <w:rPr>
                <w:rFonts w:hint="default" w:ascii="Times New Roman" w:hAnsi="Times New Roman" w:eastAsia="宋体" w:cs="Times New Roman"/>
                <w:b/>
                <w:bCs/>
                <w:color w:val="auto"/>
                <w:spacing w:val="-1"/>
                <w:position w:val="3"/>
                <w:sz w:val="20"/>
                <w:szCs w:val="20"/>
                <w:lang w:val="en-US" w:eastAsia="zh-CN"/>
              </w:rPr>
              <w:t>相对方位</w:t>
            </w:r>
          </w:p>
        </w:tc>
        <w:tc>
          <w:tcPr>
            <w:tcW w:w="1218" w:type="dxa"/>
            <w:vAlign w:val="center"/>
          </w:tcPr>
          <w:p w14:paraId="634AFE85">
            <w:pPr>
              <w:widowControl w:val="0"/>
              <w:jc w:val="center"/>
              <w:rPr>
                <w:rFonts w:hint="default" w:ascii="Times New Roman" w:hAnsi="Times New Roman" w:eastAsia="宋体" w:cs="Times New Roman"/>
                <w:b/>
                <w:bCs/>
                <w:color w:val="auto"/>
                <w:spacing w:val="-1"/>
                <w:position w:val="3"/>
                <w:sz w:val="20"/>
                <w:szCs w:val="20"/>
                <w:lang w:val="en-US" w:eastAsia="zh-CN"/>
              </w:rPr>
            </w:pPr>
            <w:r>
              <w:rPr>
                <w:rFonts w:hint="default" w:ascii="Times New Roman" w:hAnsi="Times New Roman" w:eastAsia="宋体" w:cs="Times New Roman"/>
                <w:b/>
                <w:bCs/>
                <w:color w:val="auto"/>
                <w:spacing w:val="-1"/>
                <w:position w:val="3"/>
                <w:sz w:val="20"/>
                <w:szCs w:val="20"/>
                <w:lang w:val="en-US" w:eastAsia="zh-CN"/>
              </w:rPr>
              <w:t>距离/m</w:t>
            </w:r>
          </w:p>
        </w:tc>
        <w:tc>
          <w:tcPr>
            <w:tcW w:w="1218" w:type="dxa"/>
            <w:vAlign w:val="center"/>
          </w:tcPr>
          <w:p w14:paraId="6465F7CE">
            <w:pPr>
              <w:widowControl w:val="0"/>
              <w:jc w:val="center"/>
              <w:rPr>
                <w:rFonts w:hint="default" w:ascii="Times New Roman" w:hAnsi="Times New Roman" w:eastAsia="宋体" w:cs="Times New Roman"/>
                <w:b/>
                <w:bCs/>
                <w:color w:val="auto"/>
                <w:spacing w:val="-1"/>
                <w:position w:val="3"/>
                <w:sz w:val="20"/>
                <w:szCs w:val="20"/>
                <w:lang w:val="en-US" w:eastAsia="zh-CN"/>
              </w:rPr>
            </w:pPr>
            <w:r>
              <w:rPr>
                <w:rFonts w:hint="default" w:ascii="Times New Roman" w:hAnsi="Times New Roman" w:eastAsia="宋体" w:cs="Times New Roman"/>
                <w:b/>
                <w:bCs/>
                <w:color w:val="auto"/>
                <w:spacing w:val="-1"/>
                <w:position w:val="3"/>
                <w:sz w:val="20"/>
                <w:szCs w:val="20"/>
                <w:lang w:val="en-US" w:eastAsia="zh-CN"/>
              </w:rPr>
              <w:t>属性</w:t>
            </w:r>
          </w:p>
        </w:tc>
        <w:tc>
          <w:tcPr>
            <w:tcW w:w="1218" w:type="dxa"/>
            <w:tcBorders>
              <w:right w:val="single" w:color="auto" w:sz="4" w:space="0"/>
            </w:tcBorders>
            <w:vAlign w:val="center"/>
          </w:tcPr>
          <w:p w14:paraId="203CF767">
            <w:pPr>
              <w:widowControl w:val="0"/>
              <w:jc w:val="center"/>
              <w:rPr>
                <w:rFonts w:hint="default" w:ascii="Times New Roman" w:hAnsi="Times New Roman" w:eastAsia="宋体" w:cs="Times New Roman"/>
                <w:b/>
                <w:bCs/>
                <w:color w:val="auto"/>
                <w:spacing w:val="-1"/>
                <w:position w:val="3"/>
                <w:sz w:val="20"/>
                <w:szCs w:val="20"/>
                <w:lang w:val="en-US" w:eastAsia="zh-CN"/>
              </w:rPr>
            </w:pPr>
            <w:r>
              <w:rPr>
                <w:rFonts w:hint="default" w:ascii="Times New Roman" w:hAnsi="Times New Roman" w:eastAsia="宋体" w:cs="Times New Roman"/>
                <w:b/>
                <w:bCs/>
                <w:color w:val="auto"/>
                <w:spacing w:val="-1"/>
                <w:position w:val="3"/>
                <w:sz w:val="20"/>
                <w:szCs w:val="20"/>
                <w:lang w:val="en-US" w:eastAsia="zh-CN"/>
              </w:rPr>
              <w:t>人口数</w:t>
            </w:r>
          </w:p>
        </w:tc>
      </w:tr>
      <w:tr w14:paraId="58422B0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restart"/>
            <w:tcBorders>
              <w:left w:val="single" w:color="auto" w:sz="4" w:space="0"/>
            </w:tcBorders>
            <w:vAlign w:val="center"/>
          </w:tcPr>
          <w:p w14:paraId="7E40685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环境空气</w:t>
            </w:r>
          </w:p>
        </w:tc>
        <w:tc>
          <w:tcPr>
            <w:tcW w:w="880" w:type="dxa"/>
            <w:vAlign w:val="center"/>
          </w:tcPr>
          <w:p w14:paraId="67F553B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w:t>
            </w:r>
          </w:p>
        </w:tc>
        <w:tc>
          <w:tcPr>
            <w:tcW w:w="2104" w:type="dxa"/>
            <w:vAlign w:val="center"/>
          </w:tcPr>
          <w:p w14:paraId="0123459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新下</w:t>
            </w:r>
          </w:p>
        </w:tc>
        <w:tc>
          <w:tcPr>
            <w:tcW w:w="1217" w:type="dxa"/>
            <w:vAlign w:val="center"/>
          </w:tcPr>
          <w:p w14:paraId="03D218B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3D88698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4590</w:t>
            </w:r>
          </w:p>
        </w:tc>
        <w:tc>
          <w:tcPr>
            <w:tcW w:w="1218" w:type="dxa"/>
            <w:vAlign w:val="center"/>
          </w:tcPr>
          <w:p w14:paraId="3DCFDC5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F7698F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64</w:t>
            </w:r>
          </w:p>
        </w:tc>
      </w:tr>
      <w:tr w14:paraId="6F999B1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C5DF9C5">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03428D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w:t>
            </w:r>
          </w:p>
        </w:tc>
        <w:tc>
          <w:tcPr>
            <w:tcW w:w="2104" w:type="dxa"/>
            <w:vAlign w:val="center"/>
          </w:tcPr>
          <w:p w14:paraId="1A2D58D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沥背村</w:t>
            </w:r>
          </w:p>
        </w:tc>
        <w:tc>
          <w:tcPr>
            <w:tcW w:w="1217" w:type="dxa"/>
            <w:vAlign w:val="center"/>
          </w:tcPr>
          <w:p w14:paraId="6CB0371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7294A07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3568</w:t>
            </w:r>
          </w:p>
        </w:tc>
        <w:tc>
          <w:tcPr>
            <w:tcW w:w="1218" w:type="dxa"/>
            <w:vAlign w:val="center"/>
          </w:tcPr>
          <w:p w14:paraId="7B9366F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DC414B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368</w:t>
            </w:r>
          </w:p>
        </w:tc>
      </w:tr>
      <w:tr w14:paraId="4EA1317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6920FBF">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7210D1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w:t>
            </w:r>
          </w:p>
        </w:tc>
        <w:tc>
          <w:tcPr>
            <w:tcW w:w="2104" w:type="dxa"/>
            <w:vAlign w:val="center"/>
          </w:tcPr>
          <w:p w14:paraId="2650A9B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大社宫</w:t>
            </w:r>
          </w:p>
        </w:tc>
        <w:tc>
          <w:tcPr>
            <w:tcW w:w="1217" w:type="dxa"/>
            <w:vAlign w:val="center"/>
          </w:tcPr>
          <w:p w14:paraId="40863CD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144E825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2581</w:t>
            </w:r>
          </w:p>
        </w:tc>
        <w:tc>
          <w:tcPr>
            <w:tcW w:w="1218" w:type="dxa"/>
            <w:vAlign w:val="center"/>
          </w:tcPr>
          <w:p w14:paraId="7C858EC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E7075C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95</w:t>
            </w:r>
          </w:p>
        </w:tc>
      </w:tr>
      <w:tr w14:paraId="175B399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1F32A72">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976D55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w:t>
            </w:r>
          </w:p>
        </w:tc>
        <w:tc>
          <w:tcPr>
            <w:tcW w:w="2104" w:type="dxa"/>
            <w:vAlign w:val="center"/>
          </w:tcPr>
          <w:p w14:paraId="6C5342C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杨家</w:t>
            </w:r>
          </w:p>
        </w:tc>
        <w:tc>
          <w:tcPr>
            <w:tcW w:w="1217" w:type="dxa"/>
            <w:vAlign w:val="center"/>
          </w:tcPr>
          <w:p w14:paraId="2331D6B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56DA23C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2097</w:t>
            </w:r>
          </w:p>
        </w:tc>
        <w:tc>
          <w:tcPr>
            <w:tcW w:w="1218" w:type="dxa"/>
            <w:vAlign w:val="center"/>
          </w:tcPr>
          <w:p w14:paraId="5674389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E4819E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288</w:t>
            </w:r>
          </w:p>
        </w:tc>
      </w:tr>
      <w:tr w14:paraId="4A963D6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C300CB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002E8B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w:t>
            </w:r>
          </w:p>
        </w:tc>
        <w:tc>
          <w:tcPr>
            <w:tcW w:w="2104" w:type="dxa"/>
            <w:vAlign w:val="center"/>
          </w:tcPr>
          <w:p w14:paraId="225B4C2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旧下</w:t>
            </w:r>
          </w:p>
        </w:tc>
        <w:tc>
          <w:tcPr>
            <w:tcW w:w="1217" w:type="dxa"/>
            <w:vAlign w:val="center"/>
          </w:tcPr>
          <w:p w14:paraId="260CB59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24FF071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4362</w:t>
            </w:r>
          </w:p>
        </w:tc>
        <w:tc>
          <w:tcPr>
            <w:tcW w:w="1218" w:type="dxa"/>
            <w:vAlign w:val="center"/>
          </w:tcPr>
          <w:p w14:paraId="2AAC4BC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BD16DD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65</w:t>
            </w:r>
          </w:p>
        </w:tc>
      </w:tr>
      <w:tr w14:paraId="134F13A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07C88F2">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733097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w:t>
            </w:r>
          </w:p>
        </w:tc>
        <w:tc>
          <w:tcPr>
            <w:tcW w:w="2104" w:type="dxa"/>
            <w:vAlign w:val="center"/>
          </w:tcPr>
          <w:p w14:paraId="00585CD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礼坊垄</w:t>
            </w:r>
          </w:p>
        </w:tc>
        <w:tc>
          <w:tcPr>
            <w:tcW w:w="1217" w:type="dxa"/>
            <w:vAlign w:val="center"/>
          </w:tcPr>
          <w:p w14:paraId="379CB94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47DBD9C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4913</w:t>
            </w:r>
          </w:p>
        </w:tc>
        <w:tc>
          <w:tcPr>
            <w:tcW w:w="1218" w:type="dxa"/>
            <w:vAlign w:val="center"/>
          </w:tcPr>
          <w:p w14:paraId="21AE946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85B32A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198</w:t>
            </w:r>
          </w:p>
        </w:tc>
      </w:tr>
      <w:tr w14:paraId="528FB4F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E4E7AE5">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E4A09B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w:t>
            </w:r>
          </w:p>
        </w:tc>
        <w:tc>
          <w:tcPr>
            <w:tcW w:w="2104" w:type="dxa"/>
            <w:vAlign w:val="center"/>
          </w:tcPr>
          <w:p w14:paraId="1E7E51E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下南村</w:t>
            </w:r>
          </w:p>
        </w:tc>
        <w:tc>
          <w:tcPr>
            <w:tcW w:w="1217" w:type="dxa"/>
            <w:vAlign w:val="center"/>
          </w:tcPr>
          <w:p w14:paraId="58A46C4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317EFB1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4452</w:t>
            </w:r>
          </w:p>
        </w:tc>
        <w:tc>
          <w:tcPr>
            <w:tcW w:w="1218" w:type="dxa"/>
            <w:vAlign w:val="center"/>
          </w:tcPr>
          <w:p w14:paraId="3F6134C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80CF68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368</w:t>
            </w:r>
          </w:p>
        </w:tc>
      </w:tr>
      <w:tr w14:paraId="749DCE9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A1D93F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948E21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w:t>
            </w:r>
          </w:p>
        </w:tc>
        <w:tc>
          <w:tcPr>
            <w:tcW w:w="2104" w:type="dxa"/>
            <w:vAlign w:val="center"/>
          </w:tcPr>
          <w:p w14:paraId="1661464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樟树徐家</w:t>
            </w:r>
          </w:p>
        </w:tc>
        <w:tc>
          <w:tcPr>
            <w:tcW w:w="1217" w:type="dxa"/>
            <w:vAlign w:val="center"/>
          </w:tcPr>
          <w:p w14:paraId="3DAB89E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70D1F4A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3217</w:t>
            </w:r>
          </w:p>
        </w:tc>
        <w:tc>
          <w:tcPr>
            <w:tcW w:w="1218" w:type="dxa"/>
            <w:vAlign w:val="center"/>
          </w:tcPr>
          <w:p w14:paraId="0C1D949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BCC698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215</w:t>
            </w:r>
          </w:p>
        </w:tc>
      </w:tr>
      <w:tr w14:paraId="37757C7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8513BD3">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2B2284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w:t>
            </w:r>
          </w:p>
        </w:tc>
        <w:tc>
          <w:tcPr>
            <w:tcW w:w="2104" w:type="dxa"/>
            <w:vAlign w:val="center"/>
          </w:tcPr>
          <w:p w14:paraId="0C3AD79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下程垄</w:t>
            </w:r>
          </w:p>
        </w:tc>
        <w:tc>
          <w:tcPr>
            <w:tcW w:w="1217" w:type="dxa"/>
            <w:vAlign w:val="center"/>
          </w:tcPr>
          <w:p w14:paraId="4C943BA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1D42606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2791</w:t>
            </w:r>
          </w:p>
        </w:tc>
        <w:tc>
          <w:tcPr>
            <w:tcW w:w="1218" w:type="dxa"/>
            <w:vAlign w:val="center"/>
          </w:tcPr>
          <w:p w14:paraId="5505BAE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C2A56D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249</w:t>
            </w:r>
          </w:p>
        </w:tc>
      </w:tr>
      <w:tr w14:paraId="7089EE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B30056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379ED8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w:t>
            </w:r>
          </w:p>
        </w:tc>
        <w:tc>
          <w:tcPr>
            <w:tcW w:w="2104" w:type="dxa"/>
            <w:vAlign w:val="center"/>
          </w:tcPr>
          <w:p w14:paraId="2AC06AF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青石桥</w:t>
            </w:r>
          </w:p>
        </w:tc>
        <w:tc>
          <w:tcPr>
            <w:tcW w:w="1217" w:type="dxa"/>
            <w:vAlign w:val="center"/>
          </w:tcPr>
          <w:p w14:paraId="5DCDC6E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3C0BD42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2767</w:t>
            </w:r>
          </w:p>
        </w:tc>
        <w:tc>
          <w:tcPr>
            <w:tcW w:w="1218" w:type="dxa"/>
            <w:vAlign w:val="center"/>
          </w:tcPr>
          <w:p w14:paraId="6AC4494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ADA9BD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152</w:t>
            </w:r>
          </w:p>
        </w:tc>
      </w:tr>
      <w:tr w14:paraId="20F5E95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2E73E8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7A13FB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w:t>
            </w:r>
          </w:p>
        </w:tc>
        <w:tc>
          <w:tcPr>
            <w:tcW w:w="2104" w:type="dxa"/>
            <w:vAlign w:val="center"/>
          </w:tcPr>
          <w:p w14:paraId="619005E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上程垄</w:t>
            </w:r>
          </w:p>
        </w:tc>
        <w:tc>
          <w:tcPr>
            <w:tcW w:w="1217" w:type="dxa"/>
            <w:vAlign w:val="center"/>
          </w:tcPr>
          <w:p w14:paraId="22351D8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1985DDC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2190</w:t>
            </w:r>
          </w:p>
        </w:tc>
        <w:tc>
          <w:tcPr>
            <w:tcW w:w="1218" w:type="dxa"/>
            <w:vAlign w:val="center"/>
          </w:tcPr>
          <w:p w14:paraId="2E08E85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CB3570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89</w:t>
            </w:r>
          </w:p>
        </w:tc>
      </w:tr>
      <w:tr w14:paraId="1C07EA5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90275F7">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9392BA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w:t>
            </w:r>
          </w:p>
        </w:tc>
        <w:tc>
          <w:tcPr>
            <w:tcW w:w="2104" w:type="dxa"/>
            <w:vAlign w:val="center"/>
          </w:tcPr>
          <w:p w14:paraId="1C72721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东岗村</w:t>
            </w:r>
          </w:p>
        </w:tc>
        <w:tc>
          <w:tcPr>
            <w:tcW w:w="1217" w:type="dxa"/>
            <w:vAlign w:val="center"/>
          </w:tcPr>
          <w:p w14:paraId="4438E4E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44EFBA4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1900</w:t>
            </w:r>
          </w:p>
        </w:tc>
        <w:tc>
          <w:tcPr>
            <w:tcW w:w="1218" w:type="dxa"/>
            <w:vAlign w:val="center"/>
          </w:tcPr>
          <w:p w14:paraId="134D39C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5DA96C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296</w:t>
            </w:r>
          </w:p>
        </w:tc>
      </w:tr>
      <w:tr w14:paraId="0714735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9F1AF43">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AA6C81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13</w:t>
            </w:r>
          </w:p>
        </w:tc>
        <w:tc>
          <w:tcPr>
            <w:tcW w:w="2104" w:type="dxa"/>
            <w:vAlign w:val="center"/>
          </w:tcPr>
          <w:p w14:paraId="60320D7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东岗小学</w:t>
            </w:r>
          </w:p>
        </w:tc>
        <w:tc>
          <w:tcPr>
            <w:tcW w:w="1217" w:type="dxa"/>
            <w:vAlign w:val="center"/>
          </w:tcPr>
          <w:p w14:paraId="3CF9B1A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1776400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2109</w:t>
            </w:r>
          </w:p>
        </w:tc>
        <w:tc>
          <w:tcPr>
            <w:tcW w:w="1218" w:type="dxa"/>
            <w:vAlign w:val="center"/>
          </w:tcPr>
          <w:p w14:paraId="5F0F784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60D85E4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145</w:t>
            </w:r>
          </w:p>
        </w:tc>
      </w:tr>
      <w:tr w14:paraId="0971255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7" w:type="dxa"/>
            <w:vMerge w:val="continue"/>
            <w:tcBorders>
              <w:left w:val="single" w:color="auto" w:sz="4" w:space="0"/>
            </w:tcBorders>
            <w:vAlign w:val="center"/>
          </w:tcPr>
          <w:p w14:paraId="58A3C038">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B3431A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14</w:t>
            </w:r>
          </w:p>
        </w:tc>
        <w:tc>
          <w:tcPr>
            <w:tcW w:w="2104" w:type="dxa"/>
            <w:vAlign w:val="center"/>
          </w:tcPr>
          <w:p w14:paraId="6A6B0E3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岗前村</w:t>
            </w:r>
          </w:p>
        </w:tc>
        <w:tc>
          <w:tcPr>
            <w:tcW w:w="1217" w:type="dxa"/>
            <w:vAlign w:val="center"/>
          </w:tcPr>
          <w:p w14:paraId="19CEF2D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38D81E8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1492</w:t>
            </w:r>
          </w:p>
        </w:tc>
        <w:tc>
          <w:tcPr>
            <w:tcW w:w="1218" w:type="dxa"/>
            <w:vAlign w:val="center"/>
          </w:tcPr>
          <w:p w14:paraId="5862715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7EC53B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458</w:t>
            </w:r>
          </w:p>
        </w:tc>
      </w:tr>
      <w:tr w14:paraId="7EE6C73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1DFEA48">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4F95C6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15</w:t>
            </w:r>
          </w:p>
        </w:tc>
        <w:tc>
          <w:tcPr>
            <w:tcW w:w="2104" w:type="dxa"/>
            <w:vAlign w:val="center"/>
          </w:tcPr>
          <w:p w14:paraId="722A29C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宝城邓家</w:t>
            </w:r>
          </w:p>
        </w:tc>
        <w:tc>
          <w:tcPr>
            <w:tcW w:w="1217" w:type="dxa"/>
            <w:vAlign w:val="center"/>
          </w:tcPr>
          <w:p w14:paraId="3A1BD92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7E77C23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4840</w:t>
            </w:r>
          </w:p>
        </w:tc>
        <w:tc>
          <w:tcPr>
            <w:tcW w:w="1218" w:type="dxa"/>
            <w:vAlign w:val="center"/>
          </w:tcPr>
          <w:p w14:paraId="1574FFE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87F989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212</w:t>
            </w:r>
          </w:p>
        </w:tc>
      </w:tr>
      <w:tr w14:paraId="52F644F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6314A1F">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4B67A9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16</w:t>
            </w:r>
          </w:p>
        </w:tc>
        <w:tc>
          <w:tcPr>
            <w:tcW w:w="2104" w:type="dxa"/>
            <w:vAlign w:val="center"/>
          </w:tcPr>
          <w:p w14:paraId="3EF48C8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宝城章家</w:t>
            </w:r>
          </w:p>
        </w:tc>
        <w:tc>
          <w:tcPr>
            <w:tcW w:w="1217" w:type="dxa"/>
            <w:vAlign w:val="center"/>
          </w:tcPr>
          <w:p w14:paraId="64B9F8D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4587D80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4524</w:t>
            </w:r>
          </w:p>
        </w:tc>
        <w:tc>
          <w:tcPr>
            <w:tcW w:w="1218" w:type="dxa"/>
            <w:vAlign w:val="center"/>
          </w:tcPr>
          <w:p w14:paraId="1FA74E4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B16780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188</w:t>
            </w:r>
          </w:p>
        </w:tc>
      </w:tr>
      <w:tr w14:paraId="734D995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5595091">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394048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17</w:t>
            </w:r>
          </w:p>
        </w:tc>
        <w:tc>
          <w:tcPr>
            <w:tcW w:w="2104" w:type="dxa"/>
            <w:vAlign w:val="center"/>
          </w:tcPr>
          <w:p w14:paraId="202A8A5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山下徐家</w:t>
            </w:r>
          </w:p>
        </w:tc>
        <w:tc>
          <w:tcPr>
            <w:tcW w:w="1217" w:type="dxa"/>
            <w:vAlign w:val="center"/>
          </w:tcPr>
          <w:p w14:paraId="0D4FFE1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4322F67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4136</w:t>
            </w:r>
          </w:p>
        </w:tc>
        <w:tc>
          <w:tcPr>
            <w:tcW w:w="1218" w:type="dxa"/>
            <w:vAlign w:val="center"/>
          </w:tcPr>
          <w:p w14:paraId="0B35A76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86755D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184</w:t>
            </w:r>
          </w:p>
        </w:tc>
      </w:tr>
      <w:tr w14:paraId="6F612D9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35DE9AF">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D84909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18</w:t>
            </w:r>
          </w:p>
        </w:tc>
        <w:tc>
          <w:tcPr>
            <w:tcW w:w="2104" w:type="dxa"/>
            <w:vAlign w:val="center"/>
          </w:tcPr>
          <w:p w14:paraId="358B6BC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张公新城小学</w:t>
            </w:r>
          </w:p>
        </w:tc>
        <w:tc>
          <w:tcPr>
            <w:tcW w:w="1217" w:type="dxa"/>
            <w:vAlign w:val="center"/>
          </w:tcPr>
          <w:p w14:paraId="60E44FD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440F6DA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4757</w:t>
            </w:r>
          </w:p>
        </w:tc>
        <w:tc>
          <w:tcPr>
            <w:tcW w:w="1218" w:type="dxa"/>
            <w:vAlign w:val="center"/>
          </w:tcPr>
          <w:p w14:paraId="0AB4537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6BDBC44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125</w:t>
            </w:r>
          </w:p>
        </w:tc>
      </w:tr>
      <w:tr w14:paraId="45B5FD2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2EB306D">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89FEBD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19</w:t>
            </w:r>
          </w:p>
        </w:tc>
        <w:tc>
          <w:tcPr>
            <w:tcW w:w="2104" w:type="dxa"/>
            <w:vAlign w:val="center"/>
          </w:tcPr>
          <w:p w14:paraId="5849B8E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上门村</w:t>
            </w:r>
          </w:p>
        </w:tc>
        <w:tc>
          <w:tcPr>
            <w:tcW w:w="1217" w:type="dxa"/>
            <w:vAlign w:val="center"/>
          </w:tcPr>
          <w:p w14:paraId="68E838E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2073247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4122</w:t>
            </w:r>
          </w:p>
        </w:tc>
        <w:tc>
          <w:tcPr>
            <w:tcW w:w="1218" w:type="dxa"/>
            <w:vAlign w:val="center"/>
          </w:tcPr>
          <w:p w14:paraId="0C1A7DB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8DA066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367</w:t>
            </w:r>
          </w:p>
        </w:tc>
      </w:tr>
      <w:tr w14:paraId="13CD6B7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AAF3AAD">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247265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20</w:t>
            </w:r>
          </w:p>
        </w:tc>
        <w:tc>
          <w:tcPr>
            <w:tcW w:w="2104" w:type="dxa"/>
            <w:vAlign w:val="center"/>
          </w:tcPr>
          <w:p w14:paraId="6BDB3B8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礼门</w:t>
            </w:r>
          </w:p>
        </w:tc>
        <w:tc>
          <w:tcPr>
            <w:tcW w:w="1217" w:type="dxa"/>
            <w:vAlign w:val="center"/>
          </w:tcPr>
          <w:p w14:paraId="6B43C8B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2B3F972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4778</w:t>
            </w:r>
          </w:p>
        </w:tc>
        <w:tc>
          <w:tcPr>
            <w:tcW w:w="1218" w:type="dxa"/>
            <w:vAlign w:val="center"/>
          </w:tcPr>
          <w:p w14:paraId="623C062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EAD8A2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96</w:t>
            </w:r>
          </w:p>
        </w:tc>
      </w:tr>
      <w:tr w14:paraId="28EE51F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B715E43">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238A79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21</w:t>
            </w:r>
          </w:p>
        </w:tc>
        <w:tc>
          <w:tcPr>
            <w:tcW w:w="2104" w:type="dxa"/>
            <w:vAlign w:val="center"/>
          </w:tcPr>
          <w:p w14:paraId="2B9BC3A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铺里村</w:t>
            </w:r>
          </w:p>
        </w:tc>
        <w:tc>
          <w:tcPr>
            <w:tcW w:w="1217" w:type="dxa"/>
            <w:vAlign w:val="center"/>
          </w:tcPr>
          <w:p w14:paraId="4F8C0A4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01ACE9F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4190</w:t>
            </w:r>
          </w:p>
        </w:tc>
        <w:tc>
          <w:tcPr>
            <w:tcW w:w="1218" w:type="dxa"/>
            <w:vAlign w:val="center"/>
          </w:tcPr>
          <w:p w14:paraId="260D69A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5DC74E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72</w:t>
            </w:r>
          </w:p>
        </w:tc>
      </w:tr>
      <w:tr w14:paraId="2AB62DA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285D1AD">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0E6894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22</w:t>
            </w:r>
          </w:p>
        </w:tc>
        <w:tc>
          <w:tcPr>
            <w:tcW w:w="2104" w:type="dxa"/>
            <w:vAlign w:val="center"/>
          </w:tcPr>
          <w:p w14:paraId="0A97569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樟树郑家</w:t>
            </w:r>
          </w:p>
        </w:tc>
        <w:tc>
          <w:tcPr>
            <w:tcW w:w="1217" w:type="dxa"/>
            <w:vAlign w:val="center"/>
          </w:tcPr>
          <w:p w14:paraId="615C157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24B3D80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4304</w:t>
            </w:r>
          </w:p>
        </w:tc>
        <w:tc>
          <w:tcPr>
            <w:tcW w:w="1218" w:type="dxa"/>
            <w:vAlign w:val="center"/>
          </w:tcPr>
          <w:p w14:paraId="42CB995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A20556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284</w:t>
            </w:r>
          </w:p>
        </w:tc>
      </w:tr>
      <w:tr w14:paraId="68E4F58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A39254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921BB4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23</w:t>
            </w:r>
          </w:p>
        </w:tc>
        <w:tc>
          <w:tcPr>
            <w:tcW w:w="2104" w:type="dxa"/>
            <w:vAlign w:val="center"/>
          </w:tcPr>
          <w:p w14:paraId="7D80948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沙溪邓家</w:t>
            </w:r>
          </w:p>
        </w:tc>
        <w:tc>
          <w:tcPr>
            <w:tcW w:w="1217" w:type="dxa"/>
            <w:vAlign w:val="center"/>
          </w:tcPr>
          <w:p w14:paraId="22C29CA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57AD70E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2133</w:t>
            </w:r>
          </w:p>
        </w:tc>
        <w:tc>
          <w:tcPr>
            <w:tcW w:w="1218" w:type="dxa"/>
            <w:vAlign w:val="center"/>
          </w:tcPr>
          <w:p w14:paraId="7A71EF0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6B4669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272</w:t>
            </w:r>
          </w:p>
        </w:tc>
      </w:tr>
      <w:tr w14:paraId="08AF7F7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B88154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6A672D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24</w:t>
            </w:r>
          </w:p>
        </w:tc>
        <w:tc>
          <w:tcPr>
            <w:tcW w:w="2104" w:type="dxa"/>
            <w:vAlign w:val="center"/>
          </w:tcPr>
          <w:p w14:paraId="0868DD0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相公桥姜家</w:t>
            </w:r>
          </w:p>
        </w:tc>
        <w:tc>
          <w:tcPr>
            <w:tcW w:w="1217" w:type="dxa"/>
            <w:vAlign w:val="center"/>
          </w:tcPr>
          <w:p w14:paraId="4CA0E3C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0644B22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4625</w:t>
            </w:r>
          </w:p>
        </w:tc>
        <w:tc>
          <w:tcPr>
            <w:tcW w:w="1218" w:type="dxa"/>
            <w:vAlign w:val="center"/>
          </w:tcPr>
          <w:p w14:paraId="1DC7D05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71F1F3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222</w:t>
            </w:r>
          </w:p>
        </w:tc>
      </w:tr>
      <w:tr w14:paraId="4B372E6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843B7C5">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25B182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25</w:t>
            </w:r>
          </w:p>
        </w:tc>
        <w:tc>
          <w:tcPr>
            <w:tcW w:w="2104" w:type="dxa"/>
            <w:vAlign w:val="center"/>
          </w:tcPr>
          <w:p w14:paraId="3E85955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铺里舒家</w:t>
            </w:r>
          </w:p>
        </w:tc>
        <w:tc>
          <w:tcPr>
            <w:tcW w:w="1217" w:type="dxa"/>
            <w:vAlign w:val="center"/>
          </w:tcPr>
          <w:p w14:paraId="66BACC2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0E92D50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4506</w:t>
            </w:r>
          </w:p>
        </w:tc>
        <w:tc>
          <w:tcPr>
            <w:tcW w:w="1218" w:type="dxa"/>
            <w:vAlign w:val="center"/>
          </w:tcPr>
          <w:p w14:paraId="4E0A672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FC8EA7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259</w:t>
            </w:r>
          </w:p>
        </w:tc>
      </w:tr>
      <w:tr w14:paraId="76EB047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BC348D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0EE71F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26</w:t>
            </w:r>
          </w:p>
        </w:tc>
        <w:tc>
          <w:tcPr>
            <w:tcW w:w="2104" w:type="dxa"/>
            <w:vAlign w:val="center"/>
          </w:tcPr>
          <w:p w14:paraId="0D4DB1D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大塘邹家</w:t>
            </w:r>
          </w:p>
        </w:tc>
        <w:tc>
          <w:tcPr>
            <w:tcW w:w="1217" w:type="dxa"/>
            <w:vAlign w:val="center"/>
          </w:tcPr>
          <w:p w14:paraId="22A2258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1FB2AE1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4434</w:t>
            </w:r>
          </w:p>
        </w:tc>
        <w:tc>
          <w:tcPr>
            <w:tcW w:w="1218" w:type="dxa"/>
            <w:vAlign w:val="center"/>
          </w:tcPr>
          <w:p w14:paraId="58C904E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8938D3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46</w:t>
            </w:r>
          </w:p>
        </w:tc>
      </w:tr>
      <w:tr w14:paraId="1A1D4FE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832EE7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F7ECF2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27</w:t>
            </w:r>
          </w:p>
        </w:tc>
        <w:tc>
          <w:tcPr>
            <w:tcW w:w="2104" w:type="dxa"/>
            <w:vAlign w:val="center"/>
          </w:tcPr>
          <w:p w14:paraId="24C9C9D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西岗山邓家</w:t>
            </w:r>
          </w:p>
        </w:tc>
        <w:tc>
          <w:tcPr>
            <w:tcW w:w="1217" w:type="dxa"/>
            <w:vAlign w:val="center"/>
          </w:tcPr>
          <w:p w14:paraId="44D0F3A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57293DE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4024</w:t>
            </w:r>
          </w:p>
        </w:tc>
        <w:tc>
          <w:tcPr>
            <w:tcW w:w="1218" w:type="dxa"/>
            <w:vAlign w:val="center"/>
          </w:tcPr>
          <w:p w14:paraId="0C38279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403B4B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289</w:t>
            </w:r>
          </w:p>
        </w:tc>
      </w:tr>
      <w:tr w14:paraId="3C1776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B3A7E3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EF2AB6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28</w:t>
            </w:r>
          </w:p>
        </w:tc>
        <w:tc>
          <w:tcPr>
            <w:tcW w:w="2104" w:type="dxa"/>
            <w:vAlign w:val="center"/>
          </w:tcPr>
          <w:p w14:paraId="23615DF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庄头</w:t>
            </w:r>
          </w:p>
        </w:tc>
        <w:tc>
          <w:tcPr>
            <w:tcW w:w="1217" w:type="dxa"/>
            <w:vAlign w:val="center"/>
          </w:tcPr>
          <w:p w14:paraId="31FB1C5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66DC6F5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3424</w:t>
            </w:r>
          </w:p>
        </w:tc>
        <w:tc>
          <w:tcPr>
            <w:tcW w:w="1218" w:type="dxa"/>
            <w:vAlign w:val="center"/>
          </w:tcPr>
          <w:p w14:paraId="7F049EF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81C867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300</w:t>
            </w:r>
          </w:p>
        </w:tc>
      </w:tr>
      <w:tr w14:paraId="7557658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7" w:type="dxa"/>
            <w:vMerge w:val="continue"/>
            <w:tcBorders>
              <w:left w:val="single" w:color="auto" w:sz="4" w:space="0"/>
            </w:tcBorders>
            <w:vAlign w:val="center"/>
          </w:tcPr>
          <w:p w14:paraId="04F9D9F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6F1BA1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29</w:t>
            </w:r>
          </w:p>
        </w:tc>
        <w:tc>
          <w:tcPr>
            <w:tcW w:w="2104" w:type="dxa"/>
            <w:vAlign w:val="center"/>
          </w:tcPr>
          <w:p w14:paraId="4934CE1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窑上邓家</w:t>
            </w:r>
          </w:p>
        </w:tc>
        <w:tc>
          <w:tcPr>
            <w:tcW w:w="1217" w:type="dxa"/>
            <w:vAlign w:val="center"/>
          </w:tcPr>
          <w:p w14:paraId="389BEEF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3122E20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2580</w:t>
            </w:r>
          </w:p>
        </w:tc>
        <w:tc>
          <w:tcPr>
            <w:tcW w:w="1218" w:type="dxa"/>
            <w:vAlign w:val="center"/>
          </w:tcPr>
          <w:p w14:paraId="0841F12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CC70F9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416</w:t>
            </w:r>
          </w:p>
        </w:tc>
      </w:tr>
      <w:tr w14:paraId="74BB54F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09C840D">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DF6438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30</w:t>
            </w:r>
          </w:p>
        </w:tc>
        <w:tc>
          <w:tcPr>
            <w:tcW w:w="2104" w:type="dxa"/>
            <w:vAlign w:val="center"/>
          </w:tcPr>
          <w:p w14:paraId="579BB79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城上辜家</w:t>
            </w:r>
          </w:p>
        </w:tc>
        <w:tc>
          <w:tcPr>
            <w:tcW w:w="1217" w:type="dxa"/>
            <w:vAlign w:val="center"/>
          </w:tcPr>
          <w:p w14:paraId="7F7878D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664AB26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2801</w:t>
            </w:r>
          </w:p>
        </w:tc>
        <w:tc>
          <w:tcPr>
            <w:tcW w:w="1218" w:type="dxa"/>
            <w:vAlign w:val="center"/>
          </w:tcPr>
          <w:p w14:paraId="21EFE53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9B2947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128</w:t>
            </w:r>
          </w:p>
        </w:tc>
      </w:tr>
      <w:tr w14:paraId="4E3CDAF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jc w:val="center"/>
        </w:trPr>
        <w:tc>
          <w:tcPr>
            <w:tcW w:w="667" w:type="dxa"/>
            <w:vMerge w:val="continue"/>
            <w:tcBorders>
              <w:left w:val="single" w:color="auto" w:sz="4" w:space="0"/>
            </w:tcBorders>
            <w:vAlign w:val="center"/>
          </w:tcPr>
          <w:p w14:paraId="169D343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245BEA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31</w:t>
            </w:r>
          </w:p>
        </w:tc>
        <w:tc>
          <w:tcPr>
            <w:tcW w:w="2104" w:type="dxa"/>
            <w:vAlign w:val="center"/>
          </w:tcPr>
          <w:p w14:paraId="1BAFF07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窑上吴家</w:t>
            </w:r>
          </w:p>
        </w:tc>
        <w:tc>
          <w:tcPr>
            <w:tcW w:w="1217" w:type="dxa"/>
            <w:vAlign w:val="center"/>
          </w:tcPr>
          <w:p w14:paraId="14705D2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0856CEB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1994</w:t>
            </w:r>
          </w:p>
        </w:tc>
        <w:tc>
          <w:tcPr>
            <w:tcW w:w="1218" w:type="dxa"/>
            <w:vAlign w:val="center"/>
          </w:tcPr>
          <w:p w14:paraId="58B95FC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1673CE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320</w:t>
            </w:r>
          </w:p>
        </w:tc>
      </w:tr>
      <w:tr w14:paraId="5C3BD31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203CC4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5B29DB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32</w:t>
            </w:r>
          </w:p>
        </w:tc>
        <w:tc>
          <w:tcPr>
            <w:tcW w:w="2104" w:type="dxa"/>
            <w:vAlign w:val="center"/>
          </w:tcPr>
          <w:p w14:paraId="4781808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邓坊村</w:t>
            </w:r>
          </w:p>
        </w:tc>
        <w:tc>
          <w:tcPr>
            <w:tcW w:w="1217" w:type="dxa"/>
            <w:vAlign w:val="center"/>
          </w:tcPr>
          <w:p w14:paraId="11B98B8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东北</w:t>
            </w:r>
          </w:p>
        </w:tc>
        <w:tc>
          <w:tcPr>
            <w:tcW w:w="1218" w:type="dxa"/>
            <w:vAlign w:val="center"/>
          </w:tcPr>
          <w:p w14:paraId="5840235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1807</w:t>
            </w:r>
          </w:p>
        </w:tc>
        <w:tc>
          <w:tcPr>
            <w:tcW w:w="1218" w:type="dxa"/>
            <w:vAlign w:val="center"/>
          </w:tcPr>
          <w:p w14:paraId="5085EB1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613E31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254</w:t>
            </w:r>
          </w:p>
        </w:tc>
      </w:tr>
      <w:tr w14:paraId="10FC624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4B7377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834DFD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33</w:t>
            </w:r>
          </w:p>
        </w:tc>
        <w:tc>
          <w:tcPr>
            <w:tcW w:w="2104" w:type="dxa"/>
            <w:vAlign w:val="center"/>
          </w:tcPr>
          <w:p w14:paraId="572A752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高墩村</w:t>
            </w:r>
          </w:p>
        </w:tc>
        <w:tc>
          <w:tcPr>
            <w:tcW w:w="1217" w:type="dxa"/>
            <w:vAlign w:val="center"/>
          </w:tcPr>
          <w:p w14:paraId="414CA5C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6515C6A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3309</w:t>
            </w:r>
          </w:p>
        </w:tc>
        <w:tc>
          <w:tcPr>
            <w:tcW w:w="1218" w:type="dxa"/>
            <w:vAlign w:val="center"/>
          </w:tcPr>
          <w:p w14:paraId="13886CD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E579B7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304</w:t>
            </w:r>
          </w:p>
        </w:tc>
      </w:tr>
      <w:tr w14:paraId="30C1EF3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DCA8FE5">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2C67B3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34</w:t>
            </w:r>
          </w:p>
        </w:tc>
        <w:tc>
          <w:tcPr>
            <w:tcW w:w="2104" w:type="dxa"/>
            <w:vAlign w:val="center"/>
          </w:tcPr>
          <w:p w14:paraId="18BEC2B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新野鸡垄</w:t>
            </w:r>
          </w:p>
        </w:tc>
        <w:tc>
          <w:tcPr>
            <w:tcW w:w="1217" w:type="dxa"/>
            <w:vAlign w:val="center"/>
          </w:tcPr>
          <w:p w14:paraId="292A7D1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4499D4F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1413</w:t>
            </w:r>
          </w:p>
        </w:tc>
        <w:tc>
          <w:tcPr>
            <w:tcW w:w="1218" w:type="dxa"/>
            <w:vAlign w:val="center"/>
          </w:tcPr>
          <w:p w14:paraId="51B8B7D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395A36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168</w:t>
            </w:r>
          </w:p>
        </w:tc>
      </w:tr>
      <w:tr w14:paraId="4DACE03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0859A1B">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8D4CBF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35</w:t>
            </w:r>
          </w:p>
        </w:tc>
        <w:tc>
          <w:tcPr>
            <w:tcW w:w="2104" w:type="dxa"/>
            <w:vAlign w:val="center"/>
          </w:tcPr>
          <w:p w14:paraId="5E5C336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城上</w:t>
            </w:r>
          </w:p>
        </w:tc>
        <w:tc>
          <w:tcPr>
            <w:tcW w:w="1217" w:type="dxa"/>
            <w:vAlign w:val="center"/>
          </w:tcPr>
          <w:p w14:paraId="3DF6779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32E39BF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2355</w:t>
            </w:r>
          </w:p>
        </w:tc>
        <w:tc>
          <w:tcPr>
            <w:tcW w:w="1218" w:type="dxa"/>
            <w:vAlign w:val="center"/>
          </w:tcPr>
          <w:p w14:paraId="315AEA5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A4DF4C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432</w:t>
            </w:r>
          </w:p>
        </w:tc>
      </w:tr>
      <w:tr w14:paraId="1C4421D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04E87EB">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431DCA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w:t>
            </w:r>
          </w:p>
        </w:tc>
        <w:tc>
          <w:tcPr>
            <w:tcW w:w="2104" w:type="dxa"/>
            <w:vAlign w:val="center"/>
          </w:tcPr>
          <w:p w14:paraId="0395718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铜岭村</w:t>
            </w:r>
          </w:p>
        </w:tc>
        <w:tc>
          <w:tcPr>
            <w:tcW w:w="1217" w:type="dxa"/>
            <w:vAlign w:val="center"/>
          </w:tcPr>
          <w:p w14:paraId="33034DA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089FB13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3971</w:t>
            </w:r>
          </w:p>
        </w:tc>
        <w:tc>
          <w:tcPr>
            <w:tcW w:w="1218" w:type="dxa"/>
            <w:vAlign w:val="center"/>
          </w:tcPr>
          <w:p w14:paraId="52E2FA9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F7872A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168</w:t>
            </w:r>
          </w:p>
        </w:tc>
      </w:tr>
      <w:tr w14:paraId="57A5D5F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3A8999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586EA3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37</w:t>
            </w:r>
          </w:p>
        </w:tc>
        <w:tc>
          <w:tcPr>
            <w:tcW w:w="2104" w:type="dxa"/>
            <w:vAlign w:val="center"/>
          </w:tcPr>
          <w:p w14:paraId="03BA1F9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铜岭小学</w:t>
            </w:r>
          </w:p>
        </w:tc>
        <w:tc>
          <w:tcPr>
            <w:tcW w:w="1217" w:type="dxa"/>
            <w:vAlign w:val="center"/>
          </w:tcPr>
          <w:p w14:paraId="23B8037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22ABBB6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4617</w:t>
            </w:r>
          </w:p>
        </w:tc>
        <w:tc>
          <w:tcPr>
            <w:tcW w:w="1218" w:type="dxa"/>
            <w:vAlign w:val="center"/>
          </w:tcPr>
          <w:p w14:paraId="2025F1E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4C666E9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136</w:t>
            </w:r>
          </w:p>
        </w:tc>
      </w:tr>
      <w:tr w14:paraId="09DB36E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8BEB117">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C024C1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38</w:t>
            </w:r>
          </w:p>
        </w:tc>
        <w:tc>
          <w:tcPr>
            <w:tcW w:w="2104" w:type="dxa"/>
            <w:vAlign w:val="center"/>
          </w:tcPr>
          <w:p w14:paraId="4E962CB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城上小学</w:t>
            </w:r>
          </w:p>
        </w:tc>
        <w:tc>
          <w:tcPr>
            <w:tcW w:w="1217" w:type="dxa"/>
            <w:vAlign w:val="center"/>
          </w:tcPr>
          <w:p w14:paraId="054466E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0AC46C2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2815</w:t>
            </w:r>
          </w:p>
        </w:tc>
        <w:tc>
          <w:tcPr>
            <w:tcW w:w="1218" w:type="dxa"/>
            <w:vAlign w:val="center"/>
          </w:tcPr>
          <w:p w14:paraId="650151B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45701C5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188</w:t>
            </w:r>
          </w:p>
        </w:tc>
      </w:tr>
      <w:tr w14:paraId="53B016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49BD35E">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507F6D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39</w:t>
            </w:r>
          </w:p>
        </w:tc>
        <w:tc>
          <w:tcPr>
            <w:tcW w:w="2104" w:type="dxa"/>
            <w:vAlign w:val="center"/>
          </w:tcPr>
          <w:p w14:paraId="4053A8F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邓坊小学</w:t>
            </w:r>
          </w:p>
        </w:tc>
        <w:tc>
          <w:tcPr>
            <w:tcW w:w="1217" w:type="dxa"/>
            <w:vAlign w:val="center"/>
          </w:tcPr>
          <w:p w14:paraId="0A1B6E3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195191E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1708</w:t>
            </w:r>
          </w:p>
        </w:tc>
        <w:tc>
          <w:tcPr>
            <w:tcW w:w="1218" w:type="dxa"/>
            <w:vAlign w:val="center"/>
          </w:tcPr>
          <w:p w14:paraId="0B54D34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6CA9EDE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142</w:t>
            </w:r>
          </w:p>
        </w:tc>
      </w:tr>
      <w:tr w14:paraId="457FE17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9DB130F">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230978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40</w:t>
            </w:r>
          </w:p>
        </w:tc>
        <w:tc>
          <w:tcPr>
            <w:tcW w:w="2104" w:type="dxa"/>
            <w:vAlign w:val="center"/>
          </w:tcPr>
          <w:p w14:paraId="316D3D6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公馆村</w:t>
            </w:r>
          </w:p>
        </w:tc>
        <w:tc>
          <w:tcPr>
            <w:tcW w:w="1217" w:type="dxa"/>
            <w:vAlign w:val="center"/>
          </w:tcPr>
          <w:p w14:paraId="611440A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71437E1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2210</w:t>
            </w:r>
          </w:p>
        </w:tc>
        <w:tc>
          <w:tcPr>
            <w:tcW w:w="1218" w:type="dxa"/>
            <w:vAlign w:val="center"/>
          </w:tcPr>
          <w:p w14:paraId="3ADC8AA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4772A5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184</w:t>
            </w:r>
          </w:p>
        </w:tc>
      </w:tr>
      <w:tr w14:paraId="367C3EB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5B8FB68">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13CDBA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41</w:t>
            </w:r>
          </w:p>
        </w:tc>
        <w:tc>
          <w:tcPr>
            <w:tcW w:w="2104" w:type="dxa"/>
            <w:vAlign w:val="center"/>
          </w:tcPr>
          <w:p w14:paraId="0AF5C8D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邵窝村</w:t>
            </w:r>
          </w:p>
        </w:tc>
        <w:tc>
          <w:tcPr>
            <w:tcW w:w="1217" w:type="dxa"/>
            <w:vAlign w:val="center"/>
          </w:tcPr>
          <w:p w14:paraId="7CDBAB4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4384440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3679</w:t>
            </w:r>
          </w:p>
        </w:tc>
        <w:tc>
          <w:tcPr>
            <w:tcW w:w="1218" w:type="dxa"/>
            <w:vAlign w:val="center"/>
          </w:tcPr>
          <w:p w14:paraId="17931A2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565878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240</w:t>
            </w:r>
          </w:p>
        </w:tc>
      </w:tr>
      <w:tr w14:paraId="4571391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EC2269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C980A2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42</w:t>
            </w:r>
          </w:p>
        </w:tc>
        <w:tc>
          <w:tcPr>
            <w:tcW w:w="2104" w:type="dxa"/>
            <w:vAlign w:val="center"/>
          </w:tcPr>
          <w:p w14:paraId="09EBA5C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张公镇邵窝小学</w:t>
            </w:r>
          </w:p>
        </w:tc>
        <w:tc>
          <w:tcPr>
            <w:tcW w:w="1217" w:type="dxa"/>
            <w:vAlign w:val="center"/>
          </w:tcPr>
          <w:p w14:paraId="7EC5ABE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49B6423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3831</w:t>
            </w:r>
          </w:p>
        </w:tc>
        <w:tc>
          <w:tcPr>
            <w:tcW w:w="1218" w:type="dxa"/>
            <w:vAlign w:val="center"/>
          </w:tcPr>
          <w:p w14:paraId="3CB4D7C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4BFE54D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115</w:t>
            </w:r>
          </w:p>
        </w:tc>
      </w:tr>
      <w:tr w14:paraId="01E5A67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3485842">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E6D2AF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43</w:t>
            </w:r>
          </w:p>
        </w:tc>
        <w:tc>
          <w:tcPr>
            <w:tcW w:w="2104" w:type="dxa"/>
            <w:vAlign w:val="center"/>
          </w:tcPr>
          <w:p w14:paraId="5D04BE9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王家村</w:t>
            </w:r>
          </w:p>
        </w:tc>
        <w:tc>
          <w:tcPr>
            <w:tcW w:w="1217" w:type="dxa"/>
            <w:vAlign w:val="center"/>
          </w:tcPr>
          <w:p w14:paraId="377C29B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18F6CEC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4322</w:t>
            </w:r>
          </w:p>
        </w:tc>
        <w:tc>
          <w:tcPr>
            <w:tcW w:w="1218" w:type="dxa"/>
            <w:vAlign w:val="center"/>
          </w:tcPr>
          <w:p w14:paraId="53A4F12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F790A9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35</w:t>
            </w:r>
          </w:p>
        </w:tc>
      </w:tr>
      <w:tr w14:paraId="7F04282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0243A8B">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5CB4F7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44</w:t>
            </w:r>
          </w:p>
        </w:tc>
        <w:tc>
          <w:tcPr>
            <w:tcW w:w="2104" w:type="dxa"/>
            <w:vAlign w:val="center"/>
          </w:tcPr>
          <w:p w14:paraId="498671A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胡家村</w:t>
            </w:r>
          </w:p>
        </w:tc>
        <w:tc>
          <w:tcPr>
            <w:tcW w:w="1217" w:type="dxa"/>
            <w:vAlign w:val="center"/>
          </w:tcPr>
          <w:p w14:paraId="00AB093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1FB8D92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4458</w:t>
            </w:r>
          </w:p>
        </w:tc>
        <w:tc>
          <w:tcPr>
            <w:tcW w:w="1218" w:type="dxa"/>
            <w:vAlign w:val="center"/>
          </w:tcPr>
          <w:p w14:paraId="68450BD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94AC5A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144</w:t>
            </w:r>
          </w:p>
        </w:tc>
      </w:tr>
      <w:tr w14:paraId="6F2AAC0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1476C4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7CDE66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45</w:t>
            </w:r>
          </w:p>
        </w:tc>
        <w:tc>
          <w:tcPr>
            <w:tcW w:w="2104" w:type="dxa"/>
            <w:vAlign w:val="center"/>
          </w:tcPr>
          <w:p w14:paraId="2EC4970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朱家桥</w:t>
            </w:r>
          </w:p>
        </w:tc>
        <w:tc>
          <w:tcPr>
            <w:tcW w:w="1217" w:type="dxa"/>
            <w:vAlign w:val="center"/>
          </w:tcPr>
          <w:p w14:paraId="0496B8E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647BC36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1942</w:t>
            </w:r>
          </w:p>
        </w:tc>
        <w:tc>
          <w:tcPr>
            <w:tcW w:w="1218" w:type="dxa"/>
            <w:vAlign w:val="center"/>
          </w:tcPr>
          <w:p w14:paraId="47513B3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3F3670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140</w:t>
            </w:r>
          </w:p>
        </w:tc>
      </w:tr>
      <w:tr w14:paraId="3108828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DC29602">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7131A4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46</w:t>
            </w:r>
          </w:p>
        </w:tc>
        <w:tc>
          <w:tcPr>
            <w:tcW w:w="2104" w:type="dxa"/>
            <w:vAlign w:val="center"/>
          </w:tcPr>
          <w:p w14:paraId="692FD2C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湖潭村</w:t>
            </w:r>
          </w:p>
        </w:tc>
        <w:tc>
          <w:tcPr>
            <w:tcW w:w="1217" w:type="dxa"/>
            <w:vAlign w:val="center"/>
          </w:tcPr>
          <w:p w14:paraId="35E84F4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67CBA4B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1863</w:t>
            </w:r>
          </w:p>
        </w:tc>
        <w:tc>
          <w:tcPr>
            <w:tcW w:w="1218" w:type="dxa"/>
            <w:vAlign w:val="center"/>
          </w:tcPr>
          <w:p w14:paraId="043978C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16513F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469</w:t>
            </w:r>
          </w:p>
        </w:tc>
      </w:tr>
      <w:tr w14:paraId="20967C5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81DE5CC">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0DB2C4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47</w:t>
            </w:r>
          </w:p>
        </w:tc>
        <w:tc>
          <w:tcPr>
            <w:tcW w:w="2104" w:type="dxa"/>
            <w:vAlign w:val="center"/>
          </w:tcPr>
          <w:p w14:paraId="0A75788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田里章家</w:t>
            </w:r>
          </w:p>
        </w:tc>
        <w:tc>
          <w:tcPr>
            <w:tcW w:w="1217" w:type="dxa"/>
            <w:vAlign w:val="center"/>
          </w:tcPr>
          <w:p w14:paraId="03AB9E2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2BD5371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2611</w:t>
            </w:r>
          </w:p>
        </w:tc>
        <w:tc>
          <w:tcPr>
            <w:tcW w:w="1218" w:type="dxa"/>
            <w:vAlign w:val="center"/>
          </w:tcPr>
          <w:p w14:paraId="5C13C07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03C9AB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438</w:t>
            </w:r>
          </w:p>
        </w:tc>
      </w:tr>
      <w:tr w14:paraId="50AF385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8CB9328">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59B508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48</w:t>
            </w:r>
          </w:p>
        </w:tc>
        <w:tc>
          <w:tcPr>
            <w:tcW w:w="2104" w:type="dxa"/>
            <w:vAlign w:val="center"/>
          </w:tcPr>
          <w:p w14:paraId="783FDAE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井上李家</w:t>
            </w:r>
          </w:p>
        </w:tc>
        <w:tc>
          <w:tcPr>
            <w:tcW w:w="1217" w:type="dxa"/>
            <w:vAlign w:val="center"/>
          </w:tcPr>
          <w:p w14:paraId="25DEC0E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0C931DC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3233</w:t>
            </w:r>
          </w:p>
        </w:tc>
        <w:tc>
          <w:tcPr>
            <w:tcW w:w="1218" w:type="dxa"/>
            <w:vAlign w:val="center"/>
          </w:tcPr>
          <w:p w14:paraId="33D4DBC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01F270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224</w:t>
            </w:r>
          </w:p>
        </w:tc>
      </w:tr>
      <w:tr w14:paraId="5494ED3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DD2B37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BCFF97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49</w:t>
            </w:r>
          </w:p>
        </w:tc>
        <w:tc>
          <w:tcPr>
            <w:tcW w:w="2104" w:type="dxa"/>
            <w:vAlign w:val="center"/>
          </w:tcPr>
          <w:p w14:paraId="6C7C18B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藕塘</w:t>
            </w:r>
          </w:p>
        </w:tc>
        <w:tc>
          <w:tcPr>
            <w:tcW w:w="1217" w:type="dxa"/>
            <w:vAlign w:val="center"/>
          </w:tcPr>
          <w:p w14:paraId="1DF78DD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7C243D1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3885</w:t>
            </w:r>
          </w:p>
        </w:tc>
        <w:tc>
          <w:tcPr>
            <w:tcW w:w="1218" w:type="dxa"/>
            <w:vAlign w:val="center"/>
          </w:tcPr>
          <w:p w14:paraId="55D80F9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ECBEA0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128</w:t>
            </w:r>
          </w:p>
        </w:tc>
      </w:tr>
      <w:tr w14:paraId="7CD06DB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47B5B58">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E9A103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50</w:t>
            </w:r>
          </w:p>
        </w:tc>
        <w:tc>
          <w:tcPr>
            <w:tcW w:w="2104" w:type="dxa"/>
            <w:vAlign w:val="center"/>
          </w:tcPr>
          <w:p w14:paraId="052940F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冠保吴村</w:t>
            </w:r>
          </w:p>
        </w:tc>
        <w:tc>
          <w:tcPr>
            <w:tcW w:w="1217" w:type="dxa"/>
            <w:vAlign w:val="center"/>
          </w:tcPr>
          <w:p w14:paraId="0683E04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5B5C0AE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3725</w:t>
            </w:r>
          </w:p>
        </w:tc>
        <w:tc>
          <w:tcPr>
            <w:tcW w:w="1218" w:type="dxa"/>
            <w:vAlign w:val="center"/>
          </w:tcPr>
          <w:p w14:paraId="5DE6806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3C32FA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456</w:t>
            </w:r>
          </w:p>
        </w:tc>
      </w:tr>
      <w:tr w14:paraId="4D1AA99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35F330B">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D47488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51</w:t>
            </w:r>
          </w:p>
        </w:tc>
        <w:tc>
          <w:tcPr>
            <w:tcW w:w="2104" w:type="dxa"/>
            <w:vAlign w:val="center"/>
          </w:tcPr>
          <w:p w14:paraId="45E4DE6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前途小学</w:t>
            </w:r>
          </w:p>
        </w:tc>
        <w:tc>
          <w:tcPr>
            <w:tcW w:w="1217" w:type="dxa"/>
            <w:vAlign w:val="center"/>
          </w:tcPr>
          <w:p w14:paraId="7A7E17A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39B9D82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3715</w:t>
            </w:r>
          </w:p>
        </w:tc>
        <w:tc>
          <w:tcPr>
            <w:tcW w:w="1218" w:type="dxa"/>
            <w:vAlign w:val="center"/>
          </w:tcPr>
          <w:p w14:paraId="5D79C6E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5CF54D3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125</w:t>
            </w:r>
          </w:p>
        </w:tc>
      </w:tr>
      <w:tr w14:paraId="19D4C9E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A627924">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4FCBF8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52</w:t>
            </w:r>
          </w:p>
        </w:tc>
        <w:tc>
          <w:tcPr>
            <w:tcW w:w="2104" w:type="dxa"/>
            <w:vAlign w:val="center"/>
          </w:tcPr>
          <w:p w14:paraId="05CD33F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前途村</w:t>
            </w:r>
          </w:p>
        </w:tc>
        <w:tc>
          <w:tcPr>
            <w:tcW w:w="1217" w:type="dxa"/>
            <w:vAlign w:val="center"/>
          </w:tcPr>
          <w:p w14:paraId="5ADF405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246BCEE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3207</w:t>
            </w:r>
          </w:p>
        </w:tc>
        <w:tc>
          <w:tcPr>
            <w:tcW w:w="1218" w:type="dxa"/>
            <w:vAlign w:val="center"/>
          </w:tcPr>
          <w:p w14:paraId="0B87C96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7E14AF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756</w:t>
            </w:r>
          </w:p>
        </w:tc>
      </w:tr>
      <w:tr w14:paraId="0DD3019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DF1931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BAD0A4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53</w:t>
            </w:r>
          </w:p>
        </w:tc>
        <w:tc>
          <w:tcPr>
            <w:tcW w:w="2104" w:type="dxa"/>
            <w:vAlign w:val="center"/>
          </w:tcPr>
          <w:p w14:paraId="248C162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前途中学</w:t>
            </w:r>
          </w:p>
        </w:tc>
        <w:tc>
          <w:tcPr>
            <w:tcW w:w="1217" w:type="dxa"/>
            <w:vAlign w:val="center"/>
          </w:tcPr>
          <w:p w14:paraId="72125A8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0058C6E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3489</w:t>
            </w:r>
          </w:p>
        </w:tc>
        <w:tc>
          <w:tcPr>
            <w:tcW w:w="1218" w:type="dxa"/>
            <w:vAlign w:val="center"/>
          </w:tcPr>
          <w:p w14:paraId="4F19084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7DAE15E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1322</w:t>
            </w:r>
          </w:p>
        </w:tc>
      </w:tr>
      <w:tr w14:paraId="22860A8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3A49F3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078180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54</w:t>
            </w:r>
          </w:p>
        </w:tc>
        <w:tc>
          <w:tcPr>
            <w:tcW w:w="2104" w:type="dxa"/>
            <w:vAlign w:val="center"/>
          </w:tcPr>
          <w:p w14:paraId="07A4337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中垄李村</w:t>
            </w:r>
          </w:p>
        </w:tc>
        <w:tc>
          <w:tcPr>
            <w:tcW w:w="1217" w:type="dxa"/>
            <w:vAlign w:val="center"/>
          </w:tcPr>
          <w:p w14:paraId="0562462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773C6EF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4412</w:t>
            </w:r>
          </w:p>
        </w:tc>
        <w:tc>
          <w:tcPr>
            <w:tcW w:w="1218" w:type="dxa"/>
            <w:vAlign w:val="center"/>
          </w:tcPr>
          <w:p w14:paraId="7FDCF66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33146A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268</w:t>
            </w:r>
          </w:p>
        </w:tc>
      </w:tr>
      <w:tr w14:paraId="3B54D6A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907E60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81970F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55</w:t>
            </w:r>
          </w:p>
        </w:tc>
        <w:tc>
          <w:tcPr>
            <w:tcW w:w="2104" w:type="dxa"/>
            <w:vAlign w:val="center"/>
          </w:tcPr>
          <w:p w14:paraId="67FCD8C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金井刘家</w:t>
            </w:r>
          </w:p>
        </w:tc>
        <w:tc>
          <w:tcPr>
            <w:tcW w:w="1217" w:type="dxa"/>
            <w:vAlign w:val="center"/>
          </w:tcPr>
          <w:p w14:paraId="1655FFB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5800C84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4320</w:t>
            </w:r>
          </w:p>
        </w:tc>
        <w:tc>
          <w:tcPr>
            <w:tcW w:w="1218" w:type="dxa"/>
            <w:vAlign w:val="center"/>
          </w:tcPr>
          <w:p w14:paraId="451AF91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1154FD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388</w:t>
            </w:r>
          </w:p>
        </w:tc>
      </w:tr>
      <w:tr w14:paraId="1C67CE9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BA5E4A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77C6CD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56</w:t>
            </w:r>
          </w:p>
        </w:tc>
        <w:tc>
          <w:tcPr>
            <w:tcW w:w="2104" w:type="dxa"/>
            <w:vAlign w:val="center"/>
          </w:tcPr>
          <w:p w14:paraId="4257B2A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陶田</w:t>
            </w:r>
          </w:p>
        </w:tc>
        <w:tc>
          <w:tcPr>
            <w:tcW w:w="1217" w:type="dxa"/>
            <w:vAlign w:val="center"/>
          </w:tcPr>
          <w:p w14:paraId="742E6B4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652FE41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3483</w:t>
            </w:r>
          </w:p>
        </w:tc>
        <w:tc>
          <w:tcPr>
            <w:tcW w:w="1218" w:type="dxa"/>
            <w:vAlign w:val="center"/>
          </w:tcPr>
          <w:p w14:paraId="688993E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B00602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135</w:t>
            </w:r>
          </w:p>
        </w:tc>
      </w:tr>
      <w:tr w14:paraId="46C8C1C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3EEB45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C92E80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57</w:t>
            </w:r>
          </w:p>
        </w:tc>
        <w:tc>
          <w:tcPr>
            <w:tcW w:w="2104" w:type="dxa"/>
            <w:vAlign w:val="center"/>
          </w:tcPr>
          <w:p w14:paraId="2B71706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丰溪</w:t>
            </w:r>
          </w:p>
        </w:tc>
        <w:tc>
          <w:tcPr>
            <w:tcW w:w="1217" w:type="dxa"/>
            <w:vAlign w:val="center"/>
          </w:tcPr>
          <w:p w14:paraId="165FBDD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39B3F13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3620</w:t>
            </w:r>
          </w:p>
        </w:tc>
        <w:tc>
          <w:tcPr>
            <w:tcW w:w="1218" w:type="dxa"/>
            <w:vAlign w:val="center"/>
          </w:tcPr>
          <w:p w14:paraId="2B98EB2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562000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109</w:t>
            </w:r>
          </w:p>
        </w:tc>
      </w:tr>
      <w:tr w14:paraId="64E42F5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C73C022">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E6E577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58</w:t>
            </w:r>
          </w:p>
        </w:tc>
        <w:tc>
          <w:tcPr>
            <w:tcW w:w="2104" w:type="dxa"/>
            <w:vAlign w:val="center"/>
          </w:tcPr>
          <w:p w14:paraId="29EC705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新雷家</w:t>
            </w:r>
          </w:p>
        </w:tc>
        <w:tc>
          <w:tcPr>
            <w:tcW w:w="1217" w:type="dxa"/>
            <w:vAlign w:val="center"/>
          </w:tcPr>
          <w:p w14:paraId="22304F6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29706D6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3029</w:t>
            </w:r>
          </w:p>
        </w:tc>
        <w:tc>
          <w:tcPr>
            <w:tcW w:w="1218" w:type="dxa"/>
            <w:vAlign w:val="center"/>
          </w:tcPr>
          <w:p w14:paraId="5537F65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836AC2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232</w:t>
            </w:r>
          </w:p>
        </w:tc>
      </w:tr>
      <w:tr w14:paraId="44FFA8C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2356661">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C2466A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59</w:t>
            </w:r>
          </w:p>
        </w:tc>
        <w:tc>
          <w:tcPr>
            <w:tcW w:w="2104" w:type="dxa"/>
            <w:vAlign w:val="center"/>
          </w:tcPr>
          <w:p w14:paraId="12183AF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长塘村</w:t>
            </w:r>
          </w:p>
        </w:tc>
        <w:tc>
          <w:tcPr>
            <w:tcW w:w="1217" w:type="dxa"/>
            <w:vAlign w:val="center"/>
          </w:tcPr>
          <w:p w14:paraId="6E0C4CF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1CCA6E6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3984</w:t>
            </w:r>
          </w:p>
        </w:tc>
        <w:tc>
          <w:tcPr>
            <w:tcW w:w="1218" w:type="dxa"/>
            <w:vAlign w:val="center"/>
          </w:tcPr>
          <w:p w14:paraId="53F9123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BF2DEC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152</w:t>
            </w:r>
          </w:p>
        </w:tc>
      </w:tr>
      <w:tr w14:paraId="168E498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02259B2">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34C8EA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60</w:t>
            </w:r>
          </w:p>
        </w:tc>
        <w:tc>
          <w:tcPr>
            <w:tcW w:w="2104" w:type="dxa"/>
            <w:vAlign w:val="center"/>
          </w:tcPr>
          <w:p w14:paraId="0026353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文港中学</w:t>
            </w:r>
          </w:p>
        </w:tc>
        <w:tc>
          <w:tcPr>
            <w:tcW w:w="1217" w:type="dxa"/>
            <w:vAlign w:val="center"/>
          </w:tcPr>
          <w:p w14:paraId="245A4A8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57ABA32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2696</w:t>
            </w:r>
          </w:p>
        </w:tc>
        <w:tc>
          <w:tcPr>
            <w:tcW w:w="1218" w:type="dxa"/>
            <w:vAlign w:val="center"/>
          </w:tcPr>
          <w:p w14:paraId="146EB3F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1A9298E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1384</w:t>
            </w:r>
          </w:p>
        </w:tc>
      </w:tr>
      <w:tr w14:paraId="1B37EC1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2C3E3CB">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E46D30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61</w:t>
            </w:r>
          </w:p>
        </w:tc>
        <w:tc>
          <w:tcPr>
            <w:tcW w:w="2104" w:type="dxa"/>
            <w:vAlign w:val="center"/>
          </w:tcPr>
          <w:p w14:paraId="0126703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明德小学</w:t>
            </w:r>
          </w:p>
        </w:tc>
        <w:tc>
          <w:tcPr>
            <w:tcW w:w="1217" w:type="dxa"/>
            <w:vAlign w:val="center"/>
          </w:tcPr>
          <w:p w14:paraId="79D116F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47882DC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2412</w:t>
            </w:r>
          </w:p>
        </w:tc>
        <w:tc>
          <w:tcPr>
            <w:tcW w:w="1218" w:type="dxa"/>
            <w:vAlign w:val="center"/>
          </w:tcPr>
          <w:p w14:paraId="4E8B2F7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60262DB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106</w:t>
            </w:r>
          </w:p>
        </w:tc>
      </w:tr>
      <w:tr w14:paraId="6773CEC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604E7F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10DF50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62</w:t>
            </w:r>
          </w:p>
        </w:tc>
        <w:tc>
          <w:tcPr>
            <w:tcW w:w="2104" w:type="dxa"/>
            <w:vAlign w:val="center"/>
          </w:tcPr>
          <w:p w14:paraId="6987156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珠港新村</w:t>
            </w:r>
          </w:p>
        </w:tc>
        <w:tc>
          <w:tcPr>
            <w:tcW w:w="1217" w:type="dxa"/>
            <w:vAlign w:val="center"/>
          </w:tcPr>
          <w:p w14:paraId="7963FCA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0780FC2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1150</w:t>
            </w:r>
          </w:p>
        </w:tc>
        <w:tc>
          <w:tcPr>
            <w:tcW w:w="1218" w:type="dxa"/>
            <w:vAlign w:val="center"/>
          </w:tcPr>
          <w:p w14:paraId="660673A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EBB8B7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1736</w:t>
            </w:r>
          </w:p>
        </w:tc>
      </w:tr>
      <w:tr w14:paraId="25DB7DE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33B86CC">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CAC71E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63</w:t>
            </w:r>
          </w:p>
        </w:tc>
        <w:tc>
          <w:tcPr>
            <w:tcW w:w="2104" w:type="dxa"/>
            <w:vAlign w:val="center"/>
          </w:tcPr>
          <w:p w14:paraId="116CD7D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嵩山段家</w:t>
            </w:r>
          </w:p>
        </w:tc>
        <w:tc>
          <w:tcPr>
            <w:tcW w:w="1217" w:type="dxa"/>
            <w:vAlign w:val="center"/>
          </w:tcPr>
          <w:p w14:paraId="7D018C0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3813BB6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797</w:t>
            </w:r>
          </w:p>
        </w:tc>
        <w:tc>
          <w:tcPr>
            <w:tcW w:w="1218" w:type="dxa"/>
            <w:vAlign w:val="center"/>
          </w:tcPr>
          <w:p w14:paraId="11DDB71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7D020B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244</w:t>
            </w:r>
          </w:p>
        </w:tc>
      </w:tr>
      <w:tr w14:paraId="331C645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A09CFC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12A78D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64</w:t>
            </w:r>
          </w:p>
        </w:tc>
        <w:tc>
          <w:tcPr>
            <w:tcW w:w="2104" w:type="dxa"/>
            <w:vAlign w:val="center"/>
          </w:tcPr>
          <w:p w14:paraId="37568B3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泉溪徐家</w:t>
            </w:r>
          </w:p>
        </w:tc>
        <w:tc>
          <w:tcPr>
            <w:tcW w:w="1217" w:type="dxa"/>
            <w:vAlign w:val="center"/>
          </w:tcPr>
          <w:p w14:paraId="66F0EA8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5DDF264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2997</w:t>
            </w:r>
          </w:p>
        </w:tc>
        <w:tc>
          <w:tcPr>
            <w:tcW w:w="1218" w:type="dxa"/>
            <w:vAlign w:val="center"/>
          </w:tcPr>
          <w:p w14:paraId="6352930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42D6F5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180</w:t>
            </w:r>
          </w:p>
        </w:tc>
      </w:tr>
      <w:tr w14:paraId="4DEAB5D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1E44B3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D7F300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65</w:t>
            </w:r>
          </w:p>
        </w:tc>
        <w:tc>
          <w:tcPr>
            <w:tcW w:w="2104" w:type="dxa"/>
            <w:vAlign w:val="center"/>
          </w:tcPr>
          <w:p w14:paraId="4F27B30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泉溪吴家</w:t>
            </w:r>
          </w:p>
        </w:tc>
        <w:tc>
          <w:tcPr>
            <w:tcW w:w="1217" w:type="dxa"/>
            <w:vAlign w:val="center"/>
          </w:tcPr>
          <w:p w14:paraId="5E81980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04B5349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3101</w:t>
            </w:r>
          </w:p>
        </w:tc>
        <w:tc>
          <w:tcPr>
            <w:tcW w:w="1218" w:type="dxa"/>
            <w:vAlign w:val="center"/>
          </w:tcPr>
          <w:p w14:paraId="2053D32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2BBE13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208</w:t>
            </w:r>
          </w:p>
        </w:tc>
      </w:tr>
      <w:tr w14:paraId="3CED7A0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C678B6E">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8E9633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66</w:t>
            </w:r>
          </w:p>
        </w:tc>
        <w:tc>
          <w:tcPr>
            <w:tcW w:w="2104" w:type="dxa"/>
            <w:vAlign w:val="center"/>
          </w:tcPr>
          <w:p w14:paraId="43CF1F2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李家港</w:t>
            </w:r>
          </w:p>
        </w:tc>
        <w:tc>
          <w:tcPr>
            <w:tcW w:w="1217" w:type="dxa"/>
            <w:vAlign w:val="center"/>
          </w:tcPr>
          <w:p w14:paraId="39ECC32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36B3B85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3668</w:t>
            </w:r>
          </w:p>
        </w:tc>
        <w:tc>
          <w:tcPr>
            <w:tcW w:w="1218" w:type="dxa"/>
            <w:vAlign w:val="center"/>
          </w:tcPr>
          <w:p w14:paraId="418ACCF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99B03D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88</w:t>
            </w:r>
          </w:p>
        </w:tc>
      </w:tr>
      <w:tr w14:paraId="77D5454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0F26C24">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E40BB6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67</w:t>
            </w:r>
          </w:p>
        </w:tc>
        <w:tc>
          <w:tcPr>
            <w:tcW w:w="2104" w:type="dxa"/>
            <w:vAlign w:val="center"/>
          </w:tcPr>
          <w:p w14:paraId="72E898E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上范</w:t>
            </w:r>
          </w:p>
        </w:tc>
        <w:tc>
          <w:tcPr>
            <w:tcW w:w="1217" w:type="dxa"/>
            <w:vAlign w:val="center"/>
          </w:tcPr>
          <w:p w14:paraId="6DCDA56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7DE15D0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3606</w:t>
            </w:r>
          </w:p>
        </w:tc>
        <w:tc>
          <w:tcPr>
            <w:tcW w:w="1218" w:type="dxa"/>
            <w:vAlign w:val="center"/>
          </w:tcPr>
          <w:p w14:paraId="208FA7A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87D4B0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256</w:t>
            </w:r>
          </w:p>
        </w:tc>
      </w:tr>
      <w:tr w14:paraId="32222B5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341B89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6CED3E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68</w:t>
            </w:r>
          </w:p>
        </w:tc>
        <w:tc>
          <w:tcPr>
            <w:tcW w:w="2104" w:type="dxa"/>
            <w:vAlign w:val="center"/>
          </w:tcPr>
          <w:p w14:paraId="540E230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下范</w:t>
            </w:r>
          </w:p>
        </w:tc>
        <w:tc>
          <w:tcPr>
            <w:tcW w:w="1217" w:type="dxa"/>
            <w:vAlign w:val="center"/>
          </w:tcPr>
          <w:p w14:paraId="4C3CB2F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6BD100C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4461</w:t>
            </w:r>
          </w:p>
        </w:tc>
        <w:tc>
          <w:tcPr>
            <w:tcW w:w="1218" w:type="dxa"/>
            <w:vAlign w:val="center"/>
          </w:tcPr>
          <w:p w14:paraId="7BC8DDB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6CF8A1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220</w:t>
            </w:r>
          </w:p>
        </w:tc>
      </w:tr>
      <w:tr w14:paraId="2972545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36C845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F4AB81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69</w:t>
            </w:r>
          </w:p>
        </w:tc>
        <w:tc>
          <w:tcPr>
            <w:tcW w:w="2104" w:type="dxa"/>
            <w:vAlign w:val="center"/>
          </w:tcPr>
          <w:p w14:paraId="5883556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桃李吴家</w:t>
            </w:r>
          </w:p>
        </w:tc>
        <w:tc>
          <w:tcPr>
            <w:tcW w:w="1217" w:type="dxa"/>
            <w:vAlign w:val="center"/>
          </w:tcPr>
          <w:p w14:paraId="08FF2FA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0E21C16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4573</w:t>
            </w:r>
          </w:p>
        </w:tc>
        <w:tc>
          <w:tcPr>
            <w:tcW w:w="1218" w:type="dxa"/>
            <w:vAlign w:val="center"/>
          </w:tcPr>
          <w:p w14:paraId="6175D0F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06D1CE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368</w:t>
            </w:r>
          </w:p>
        </w:tc>
      </w:tr>
      <w:tr w14:paraId="426C326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DAF1E51">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73D7CF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70</w:t>
            </w:r>
          </w:p>
        </w:tc>
        <w:tc>
          <w:tcPr>
            <w:tcW w:w="2104" w:type="dxa"/>
            <w:vAlign w:val="center"/>
          </w:tcPr>
          <w:p w14:paraId="2F71CEF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新岭村</w:t>
            </w:r>
          </w:p>
        </w:tc>
        <w:tc>
          <w:tcPr>
            <w:tcW w:w="1217" w:type="dxa"/>
            <w:vAlign w:val="center"/>
          </w:tcPr>
          <w:p w14:paraId="78EB81D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03BD80B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4529</w:t>
            </w:r>
          </w:p>
        </w:tc>
        <w:tc>
          <w:tcPr>
            <w:tcW w:w="1218" w:type="dxa"/>
            <w:vAlign w:val="center"/>
          </w:tcPr>
          <w:p w14:paraId="1E08FC1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608708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204</w:t>
            </w:r>
          </w:p>
        </w:tc>
      </w:tr>
      <w:tr w14:paraId="0377AE7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B402B83">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653932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71</w:t>
            </w:r>
          </w:p>
        </w:tc>
        <w:tc>
          <w:tcPr>
            <w:tcW w:w="2104" w:type="dxa"/>
            <w:vAlign w:val="center"/>
          </w:tcPr>
          <w:p w14:paraId="025804C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新岭小学</w:t>
            </w:r>
          </w:p>
        </w:tc>
        <w:tc>
          <w:tcPr>
            <w:tcW w:w="1217" w:type="dxa"/>
            <w:vAlign w:val="center"/>
          </w:tcPr>
          <w:p w14:paraId="2ECB249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53DB515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4695</w:t>
            </w:r>
          </w:p>
        </w:tc>
        <w:tc>
          <w:tcPr>
            <w:tcW w:w="1218" w:type="dxa"/>
            <w:vAlign w:val="center"/>
          </w:tcPr>
          <w:p w14:paraId="47F5EDA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FA213F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116</w:t>
            </w:r>
          </w:p>
        </w:tc>
      </w:tr>
      <w:tr w14:paraId="4C201B3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E18ECDE">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529549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72</w:t>
            </w:r>
          </w:p>
        </w:tc>
        <w:tc>
          <w:tcPr>
            <w:tcW w:w="2104" w:type="dxa"/>
            <w:vAlign w:val="center"/>
          </w:tcPr>
          <w:p w14:paraId="0636B60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老雷村</w:t>
            </w:r>
          </w:p>
        </w:tc>
        <w:tc>
          <w:tcPr>
            <w:tcW w:w="1217" w:type="dxa"/>
            <w:vAlign w:val="center"/>
          </w:tcPr>
          <w:p w14:paraId="60FA072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6BA5BF1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4248</w:t>
            </w:r>
          </w:p>
        </w:tc>
        <w:tc>
          <w:tcPr>
            <w:tcW w:w="1218" w:type="dxa"/>
            <w:vAlign w:val="center"/>
          </w:tcPr>
          <w:p w14:paraId="62337A1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BBAE22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80</w:t>
            </w:r>
          </w:p>
        </w:tc>
      </w:tr>
      <w:tr w14:paraId="182536A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1CA0C5C">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821415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73</w:t>
            </w:r>
          </w:p>
        </w:tc>
        <w:tc>
          <w:tcPr>
            <w:tcW w:w="2104" w:type="dxa"/>
            <w:vAlign w:val="center"/>
          </w:tcPr>
          <w:p w14:paraId="6F398BB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上郭头</w:t>
            </w:r>
          </w:p>
        </w:tc>
        <w:tc>
          <w:tcPr>
            <w:tcW w:w="1217" w:type="dxa"/>
            <w:vAlign w:val="center"/>
          </w:tcPr>
          <w:p w14:paraId="290858F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31D16B2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4714</w:t>
            </w:r>
          </w:p>
        </w:tc>
        <w:tc>
          <w:tcPr>
            <w:tcW w:w="1218" w:type="dxa"/>
            <w:vAlign w:val="center"/>
          </w:tcPr>
          <w:p w14:paraId="07874BA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037C4F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204</w:t>
            </w:r>
          </w:p>
        </w:tc>
      </w:tr>
      <w:tr w14:paraId="0E6DBBE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4AB5EE8">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FE284F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74</w:t>
            </w:r>
          </w:p>
        </w:tc>
        <w:tc>
          <w:tcPr>
            <w:tcW w:w="2104" w:type="dxa"/>
            <w:vAlign w:val="center"/>
          </w:tcPr>
          <w:p w14:paraId="70C92B6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下郭头</w:t>
            </w:r>
          </w:p>
        </w:tc>
        <w:tc>
          <w:tcPr>
            <w:tcW w:w="1217" w:type="dxa"/>
            <w:vAlign w:val="center"/>
          </w:tcPr>
          <w:p w14:paraId="2BDD97C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22D2BD7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4712</w:t>
            </w:r>
          </w:p>
        </w:tc>
        <w:tc>
          <w:tcPr>
            <w:tcW w:w="1218" w:type="dxa"/>
            <w:vAlign w:val="center"/>
          </w:tcPr>
          <w:p w14:paraId="7E370FC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F039CE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180</w:t>
            </w:r>
          </w:p>
        </w:tc>
      </w:tr>
      <w:tr w14:paraId="67E2470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F521B35">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C8F969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75</w:t>
            </w:r>
          </w:p>
        </w:tc>
        <w:tc>
          <w:tcPr>
            <w:tcW w:w="2104" w:type="dxa"/>
            <w:vAlign w:val="center"/>
          </w:tcPr>
          <w:p w14:paraId="0AE125B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周坊村</w:t>
            </w:r>
          </w:p>
        </w:tc>
        <w:tc>
          <w:tcPr>
            <w:tcW w:w="1217" w:type="dxa"/>
            <w:vAlign w:val="center"/>
          </w:tcPr>
          <w:p w14:paraId="46675EA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东南</w:t>
            </w:r>
          </w:p>
        </w:tc>
        <w:tc>
          <w:tcPr>
            <w:tcW w:w="1218" w:type="dxa"/>
            <w:vAlign w:val="center"/>
          </w:tcPr>
          <w:p w14:paraId="4C97109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4490</w:t>
            </w:r>
          </w:p>
        </w:tc>
        <w:tc>
          <w:tcPr>
            <w:tcW w:w="1218" w:type="dxa"/>
            <w:vAlign w:val="center"/>
          </w:tcPr>
          <w:p w14:paraId="7F41E03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0598AB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392</w:t>
            </w:r>
          </w:p>
        </w:tc>
      </w:tr>
      <w:tr w14:paraId="36F4DF8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EF2543E">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5C6FBA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76</w:t>
            </w:r>
          </w:p>
        </w:tc>
        <w:tc>
          <w:tcPr>
            <w:tcW w:w="2104" w:type="dxa"/>
            <w:vAlign w:val="center"/>
          </w:tcPr>
          <w:p w14:paraId="6375DFA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奇门村</w:t>
            </w:r>
          </w:p>
        </w:tc>
        <w:tc>
          <w:tcPr>
            <w:tcW w:w="1217" w:type="dxa"/>
            <w:vAlign w:val="center"/>
          </w:tcPr>
          <w:p w14:paraId="4DBC3DF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654F5AB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3654</w:t>
            </w:r>
          </w:p>
        </w:tc>
        <w:tc>
          <w:tcPr>
            <w:tcW w:w="1218" w:type="dxa"/>
            <w:vAlign w:val="center"/>
          </w:tcPr>
          <w:p w14:paraId="1E16491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9176C2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412</w:t>
            </w:r>
          </w:p>
        </w:tc>
      </w:tr>
      <w:tr w14:paraId="3B776EE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7BC734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49FE49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77</w:t>
            </w:r>
          </w:p>
        </w:tc>
        <w:tc>
          <w:tcPr>
            <w:tcW w:w="2104" w:type="dxa"/>
            <w:vAlign w:val="center"/>
          </w:tcPr>
          <w:p w14:paraId="6A71F31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上屋村</w:t>
            </w:r>
          </w:p>
        </w:tc>
        <w:tc>
          <w:tcPr>
            <w:tcW w:w="1217" w:type="dxa"/>
            <w:vAlign w:val="center"/>
          </w:tcPr>
          <w:p w14:paraId="1335F5F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1314BF5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4063</w:t>
            </w:r>
          </w:p>
        </w:tc>
        <w:tc>
          <w:tcPr>
            <w:tcW w:w="1218" w:type="dxa"/>
            <w:vAlign w:val="center"/>
          </w:tcPr>
          <w:p w14:paraId="2B3E754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C0AD63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236</w:t>
            </w:r>
          </w:p>
        </w:tc>
      </w:tr>
      <w:tr w14:paraId="6451352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45F640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35470D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78</w:t>
            </w:r>
          </w:p>
        </w:tc>
        <w:tc>
          <w:tcPr>
            <w:tcW w:w="2104" w:type="dxa"/>
            <w:vAlign w:val="center"/>
          </w:tcPr>
          <w:p w14:paraId="71945A2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翁门村</w:t>
            </w:r>
          </w:p>
        </w:tc>
        <w:tc>
          <w:tcPr>
            <w:tcW w:w="1217" w:type="dxa"/>
            <w:vAlign w:val="center"/>
          </w:tcPr>
          <w:p w14:paraId="6437B2D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4879589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4296</w:t>
            </w:r>
          </w:p>
        </w:tc>
        <w:tc>
          <w:tcPr>
            <w:tcW w:w="1218" w:type="dxa"/>
            <w:vAlign w:val="center"/>
          </w:tcPr>
          <w:p w14:paraId="6B5CAE4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0D06FF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384</w:t>
            </w:r>
          </w:p>
        </w:tc>
      </w:tr>
      <w:tr w14:paraId="6F8E50C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0B3989C">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D02D59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79</w:t>
            </w:r>
          </w:p>
        </w:tc>
        <w:tc>
          <w:tcPr>
            <w:tcW w:w="2104" w:type="dxa"/>
            <w:vAlign w:val="center"/>
          </w:tcPr>
          <w:p w14:paraId="5C9B680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港西村</w:t>
            </w:r>
          </w:p>
        </w:tc>
        <w:tc>
          <w:tcPr>
            <w:tcW w:w="1217" w:type="dxa"/>
            <w:vAlign w:val="center"/>
          </w:tcPr>
          <w:p w14:paraId="2D33237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236D820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4843</w:t>
            </w:r>
          </w:p>
        </w:tc>
        <w:tc>
          <w:tcPr>
            <w:tcW w:w="1218" w:type="dxa"/>
            <w:vAlign w:val="center"/>
          </w:tcPr>
          <w:p w14:paraId="7768043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E67A3B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424</w:t>
            </w:r>
          </w:p>
        </w:tc>
      </w:tr>
      <w:tr w14:paraId="61DC836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38FD4AE">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D05238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80</w:t>
            </w:r>
          </w:p>
        </w:tc>
        <w:tc>
          <w:tcPr>
            <w:tcW w:w="2104" w:type="dxa"/>
            <w:vAlign w:val="center"/>
          </w:tcPr>
          <w:p w14:paraId="2516458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渡头村</w:t>
            </w:r>
          </w:p>
        </w:tc>
        <w:tc>
          <w:tcPr>
            <w:tcW w:w="1217" w:type="dxa"/>
            <w:vAlign w:val="center"/>
          </w:tcPr>
          <w:p w14:paraId="382F52F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5C8B6A2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3875</w:t>
            </w:r>
          </w:p>
        </w:tc>
        <w:tc>
          <w:tcPr>
            <w:tcW w:w="1218" w:type="dxa"/>
            <w:vAlign w:val="center"/>
          </w:tcPr>
          <w:p w14:paraId="6716D46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272E99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212</w:t>
            </w:r>
          </w:p>
        </w:tc>
      </w:tr>
      <w:tr w14:paraId="10FA295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BB32B2E">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8DFADE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81</w:t>
            </w:r>
          </w:p>
        </w:tc>
        <w:tc>
          <w:tcPr>
            <w:tcW w:w="2104" w:type="dxa"/>
            <w:vAlign w:val="center"/>
          </w:tcPr>
          <w:p w14:paraId="144CB6F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文港镇</w:t>
            </w:r>
          </w:p>
        </w:tc>
        <w:tc>
          <w:tcPr>
            <w:tcW w:w="1217" w:type="dxa"/>
            <w:vAlign w:val="center"/>
          </w:tcPr>
          <w:p w14:paraId="4168E77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1A698BF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2049</w:t>
            </w:r>
          </w:p>
        </w:tc>
        <w:tc>
          <w:tcPr>
            <w:tcW w:w="1218" w:type="dxa"/>
            <w:vAlign w:val="center"/>
          </w:tcPr>
          <w:p w14:paraId="0A35362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6949F3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16567</w:t>
            </w:r>
          </w:p>
        </w:tc>
      </w:tr>
      <w:tr w14:paraId="595A6B0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C37336B">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749542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82</w:t>
            </w:r>
          </w:p>
        </w:tc>
        <w:tc>
          <w:tcPr>
            <w:tcW w:w="2104" w:type="dxa"/>
            <w:vAlign w:val="center"/>
          </w:tcPr>
          <w:p w14:paraId="3F6B34E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山上</w:t>
            </w:r>
          </w:p>
        </w:tc>
        <w:tc>
          <w:tcPr>
            <w:tcW w:w="1217" w:type="dxa"/>
            <w:vAlign w:val="center"/>
          </w:tcPr>
          <w:p w14:paraId="157556E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6E0EE6A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1333</w:t>
            </w:r>
          </w:p>
        </w:tc>
        <w:tc>
          <w:tcPr>
            <w:tcW w:w="1218" w:type="dxa"/>
            <w:vAlign w:val="center"/>
          </w:tcPr>
          <w:p w14:paraId="7794472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51745E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211</w:t>
            </w:r>
          </w:p>
        </w:tc>
      </w:tr>
      <w:tr w14:paraId="375DDDF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94721F7">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4CAB17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83</w:t>
            </w:r>
          </w:p>
        </w:tc>
        <w:tc>
          <w:tcPr>
            <w:tcW w:w="2104" w:type="dxa"/>
            <w:vAlign w:val="center"/>
          </w:tcPr>
          <w:p w14:paraId="0AFCE64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张罗村</w:t>
            </w:r>
          </w:p>
        </w:tc>
        <w:tc>
          <w:tcPr>
            <w:tcW w:w="1217" w:type="dxa"/>
            <w:vAlign w:val="center"/>
          </w:tcPr>
          <w:p w14:paraId="008C764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4D0C531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2474</w:t>
            </w:r>
          </w:p>
        </w:tc>
        <w:tc>
          <w:tcPr>
            <w:tcW w:w="1218" w:type="dxa"/>
            <w:vAlign w:val="center"/>
          </w:tcPr>
          <w:p w14:paraId="473F2BC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7C1E4F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432</w:t>
            </w:r>
          </w:p>
        </w:tc>
      </w:tr>
      <w:tr w14:paraId="785C096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12C9E61">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5582C0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84</w:t>
            </w:r>
          </w:p>
        </w:tc>
        <w:tc>
          <w:tcPr>
            <w:tcW w:w="2104" w:type="dxa"/>
            <w:vAlign w:val="center"/>
          </w:tcPr>
          <w:p w14:paraId="0EAD379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南湾村</w:t>
            </w:r>
          </w:p>
        </w:tc>
        <w:tc>
          <w:tcPr>
            <w:tcW w:w="1217" w:type="dxa"/>
            <w:vAlign w:val="center"/>
          </w:tcPr>
          <w:p w14:paraId="2FC95B7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69769FE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1744</w:t>
            </w:r>
          </w:p>
        </w:tc>
        <w:tc>
          <w:tcPr>
            <w:tcW w:w="1218" w:type="dxa"/>
            <w:vAlign w:val="center"/>
          </w:tcPr>
          <w:p w14:paraId="1104F91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9BB0CD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496</w:t>
            </w:r>
          </w:p>
        </w:tc>
      </w:tr>
      <w:tr w14:paraId="52CE116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AEF43B4">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9C5E07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85</w:t>
            </w:r>
          </w:p>
        </w:tc>
        <w:tc>
          <w:tcPr>
            <w:tcW w:w="2104" w:type="dxa"/>
            <w:vAlign w:val="center"/>
          </w:tcPr>
          <w:p w14:paraId="635F6C2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东溪上村</w:t>
            </w:r>
          </w:p>
        </w:tc>
        <w:tc>
          <w:tcPr>
            <w:tcW w:w="1217" w:type="dxa"/>
            <w:vAlign w:val="center"/>
          </w:tcPr>
          <w:p w14:paraId="1F6EF7D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7864419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985</w:t>
            </w:r>
          </w:p>
        </w:tc>
        <w:tc>
          <w:tcPr>
            <w:tcW w:w="1218" w:type="dxa"/>
            <w:vAlign w:val="center"/>
          </w:tcPr>
          <w:p w14:paraId="6EBB37A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F3D8DF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232</w:t>
            </w:r>
          </w:p>
        </w:tc>
      </w:tr>
      <w:tr w14:paraId="74B13D1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A6DA77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C30348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86</w:t>
            </w:r>
          </w:p>
        </w:tc>
        <w:tc>
          <w:tcPr>
            <w:tcW w:w="2104" w:type="dxa"/>
            <w:vAlign w:val="center"/>
          </w:tcPr>
          <w:p w14:paraId="7EC4FBB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东溪下村</w:t>
            </w:r>
          </w:p>
        </w:tc>
        <w:tc>
          <w:tcPr>
            <w:tcW w:w="1217" w:type="dxa"/>
            <w:vAlign w:val="center"/>
          </w:tcPr>
          <w:p w14:paraId="2BA532D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4191A83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1385</w:t>
            </w:r>
          </w:p>
        </w:tc>
        <w:tc>
          <w:tcPr>
            <w:tcW w:w="1218" w:type="dxa"/>
            <w:vAlign w:val="center"/>
          </w:tcPr>
          <w:p w14:paraId="4D7163C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546FD1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372</w:t>
            </w:r>
          </w:p>
        </w:tc>
      </w:tr>
      <w:tr w14:paraId="0E9392E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8E77F84">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9F1116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87</w:t>
            </w:r>
          </w:p>
        </w:tc>
        <w:tc>
          <w:tcPr>
            <w:tcW w:w="2104" w:type="dxa"/>
            <w:vAlign w:val="center"/>
          </w:tcPr>
          <w:p w14:paraId="7092ECB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姜家村</w:t>
            </w:r>
          </w:p>
        </w:tc>
        <w:tc>
          <w:tcPr>
            <w:tcW w:w="1217" w:type="dxa"/>
            <w:vAlign w:val="center"/>
          </w:tcPr>
          <w:p w14:paraId="346FBCA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746194F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2687</w:t>
            </w:r>
          </w:p>
        </w:tc>
        <w:tc>
          <w:tcPr>
            <w:tcW w:w="1218" w:type="dxa"/>
            <w:vAlign w:val="center"/>
          </w:tcPr>
          <w:p w14:paraId="39865D7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2FC4CD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88</w:t>
            </w:r>
          </w:p>
        </w:tc>
      </w:tr>
      <w:tr w14:paraId="0080A61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645E19D">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91EED0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88</w:t>
            </w:r>
          </w:p>
        </w:tc>
        <w:tc>
          <w:tcPr>
            <w:tcW w:w="2104" w:type="dxa"/>
            <w:vAlign w:val="center"/>
          </w:tcPr>
          <w:p w14:paraId="4FB380B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周家村</w:t>
            </w:r>
          </w:p>
        </w:tc>
        <w:tc>
          <w:tcPr>
            <w:tcW w:w="1217" w:type="dxa"/>
            <w:vAlign w:val="center"/>
          </w:tcPr>
          <w:p w14:paraId="6FDCF64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263FAFF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2650</w:t>
            </w:r>
          </w:p>
        </w:tc>
        <w:tc>
          <w:tcPr>
            <w:tcW w:w="1218" w:type="dxa"/>
            <w:vAlign w:val="center"/>
          </w:tcPr>
          <w:p w14:paraId="5C3FAC5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62F0F8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26</w:t>
            </w:r>
          </w:p>
        </w:tc>
      </w:tr>
      <w:tr w14:paraId="4DA5F87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3E95495">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0B6285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89</w:t>
            </w:r>
          </w:p>
        </w:tc>
        <w:tc>
          <w:tcPr>
            <w:tcW w:w="2104" w:type="dxa"/>
            <w:vAlign w:val="center"/>
          </w:tcPr>
          <w:p w14:paraId="7F3B0A9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新田村</w:t>
            </w:r>
          </w:p>
        </w:tc>
        <w:tc>
          <w:tcPr>
            <w:tcW w:w="1217" w:type="dxa"/>
            <w:vAlign w:val="center"/>
          </w:tcPr>
          <w:p w14:paraId="14C5113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3305BE3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3359</w:t>
            </w:r>
          </w:p>
        </w:tc>
        <w:tc>
          <w:tcPr>
            <w:tcW w:w="1218" w:type="dxa"/>
            <w:vAlign w:val="center"/>
          </w:tcPr>
          <w:p w14:paraId="751142D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4F665A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136</w:t>
            </w:r>
          </w:p>
        </w:tc>
      </w:tr>
      <w:tr w14:paraId="7A1EEF2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9F153A1">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9B9D50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90</w:t>
            </w:r>
          </w:p>
        </w:tc>
        <w:tc>
          <w:tcPr>
            <w:tcW w:w="2104" w:type="dxa"/>
            <w:vAlign w:val="center"/>
          </w:tcPr>
          <w:p w14:paraId="6598A7B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灌上</w:t>
            </w:r>
          </w:p>
        </w:tc>
        <w:tc>
          <w:tcPr>
            <w:tcW w:w="1217" w:type="dxa"/>
            <w:vAlign w:val="center"/>
          </w:tcPr>
          <w:p w14:paraId="2A9FF28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1A1EE32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3368</w:t>
            </w:r>
          </w:p>
        </w:tc>
        <w:tc>
          <w:tcPr>
            <w:tcW w:w="1218" w:type="dxa"/>
            <w:vAlign w:val="center"/>
          </w:tcPr>
          <w:p w14:paraId="4673D96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915492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108</w:t>
            </w:r>
          </w:p>
        </w:tc>
      </w:tr>
      <w:tr w14:paraId="0CFEAA5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5B8F9C3">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0106364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91</w:t>
            </w:r>
          </w:p>
        </w:tc>
        <w:tc>
          <w:tcPr>
            <w:tcW w:w="2104" w:type="dxa"/>
            <w:vAlign w:val="center"/>
          </w:tcPr>
          <w:p w14:paraId="4F40EA3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胡家村</w:t>
            </w:r>
          </w:p>
        </w:tc>
        <w:tc>
          <w:tcPr>
            <w:tcW w:w="1217" w:type="dxa"/>
            <w:vAlign w:val="center"/>
          </w:tcPr>
          <w:p w14:paraId="706533F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1FCE21B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4019</w:t>
            </w:r>
          </w:p>
        </w:tc>
        <w:tc>
          <w:tcPr>
            <w:tcW w:w="1218" w:type="dxa"/>
            <w:vAlign w:val="center"/>
          </w:tcPr>
          <w:p w14:paraId="7C18CC5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74A56D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264</w:t>
            </w:r>
          </w:p>
        </w:tc>
      </w:tr>
      <w:tr w14:paraId="79FCD19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73BAF64">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FFE067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92</w:t>
            </w:r>
          </w:p>
        </w:tc>
        <w:tc>
          <w:tcPr>
            <w:tcW w:w="2104" w:type="dxa"/>
            <w:vAlign w:val="center"/>
          </w:tcPr>
          <w:p w14:paraId="0F39627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下徐村</w:t>
            </w:r>
          </w:p>
        </w:tc>
        <w:tc>
          <w:tcPr>
            <w:tcW w:w="1217" w:type="dxa"/>
            <w:vAlign w:val="center"/>
          </w:tcPr>
          <w:p w14:paraId="0E9F4AB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12E9FF9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3486</w:t>
            </w:r>
          </w:p>
        </w:tc>
        <w:tc>
          <w:tcPr>
            <w:tcW w:w="1218" w:type="dxa"/>
            <w:vAlign w:val="center"/>
          </w:tcPr>
          <w:p w14:paraId="7E965D8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17EA1C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164</w:t>
            </w:r>
          </w:p>
        </w:tc>
      </w:tr>
      <w:tr w14:paraId="03C443B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AE4E56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5AA39A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93</w:t>
            </w:r>
          </w:p>
        </w:tc>
        <w:tc>
          <w:tcPr>
            <w:tcW w:w="2104" w:type="dxa"/>
            <w:vAlign w:val="center"/>
          </w:tcPr>
          <w:p w14:paraId="3B8B6A1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上埠孟家</w:t>
            </w:r>
          </w:p>
        </w:tc>
        <w:tc>
          <w:tcPr>
            <w:tcW w:w="1217" w:type="dxa"/>
            <w:vAlign w:val="center"/>
          </w:tcPr>
          <w:p w14:paraId="2E1C8D7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280F352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3972</w:t>
            </w:r>
          </w:p>
        </w:tc>
        <w:tc>
          <w:tcPr>
            <w:tcW w:w="1218" w:type="dxa"/>
            <w:vAlign w:val="center"/>
          </w:tcPr>
          <w:p w14:paraId="6C50712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8D2236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158</w:t>
            </w:r>
          </w:p>
        </w:tc>
      </w:tr>
      <w:tr w14:paraId="14C419C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06FD407">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EDDCE6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94</w:t>
            </w:r>
          </w:p>
        </w:tc>
        <w:tc>
          <w:tcPr>
            <w:tcW w:w="2104" w:type="dxa"/>
            <w:vAlign w:val="center"/>
          </w:tcPr>
          <w:p w14:paraId="1CD00B0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沔溪</w:t>
            </w:r>
          </w:p>
        </w:tc>
        <w:tc>
          <w:tcPr>
            <w:tcW w:w="1217" w:type="dxa"/>
            <w:vAlign w:val="center"/>
          </w:tcPr>
          <w:p w14:paraId="44C9DF7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68E73FB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3296</w:t>
            </w:r>
          </w:p>
        </w:tc>
        <w:tc>
          <w:tcPr>
            <w:tcW w:w="1218" w:type="dxa"/>
            <w:vAlign w:val="center"/>
          </w:tcPr>
          <w:p w14:paraId="3B87303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F170F0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108</w:t>
            </w:r>
          </w:p>
        </w:tc>
      </w:tr>
      <w:tr w14:paraId="7FD0E28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849E671">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7EDE3A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95</w:t>
            </w:r>
          </w:p>
        </w:tc>
        <w:tc>
          <w:tcPr>
            <w:tcW w:w="2104" w:type="dxa"/>
            <w:vAlign w:val="center"/>
          </w:tcPr>
          <w:p w14:paraId="27A43E0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大河村</w:t>
            </w:r>
          </w:p>
        </w:tc>
        <w:tc>
          <w:tcPr>
            <w:tcW w:w="1217" w:type="dxa"/>
            <w:vAlign w:val="center"/>
          </w:tcPr>
          <w:p w14:paraId="2CFB6E2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446A744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3069</w:t>
            </w:r>
          </w:p>
        </w:tc>
        <w:tc>
          <w:tcPr>
            <w:tcW w:w="1218" w:type="dxa"/>
            <w:vAlign w:val="center"/>
          </w:tcPr>
          <w:p w14:paraId="4BA8577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03724B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352</w:t>
            </w:r>
          </w:p>
        </w:tc>
      </w:tr>
      <w:tr w14:paraId="21EED73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4044044">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695E0B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96</w:t>
            </w:r>
          </w:p>
        </w:tc>
        <w:tc>
          <w:tcPr>
            <w:tcW w:w="2104" w:type="dxa"/>
            <w:vAlign w:val="center"/>
          </w:tcPr>
          <w:p w14:paraId="4BB1EA7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沙河村</w:t>
            </w:r>
          </w:p>
        </w:tc>
        <w:tc>
          <w:tcPr>
            <w:tcW w:w="1217" w:type="dxa"/>
            <w:vAlign w:val="center"/>
          </w:tcPr>
          <w:p w14:paraId="6EBD805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1EF2FE3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2735</w:t>
            </w:r>
          </w:p>
        </w:tc>
        <w:tc>
          <w:tcPr>
            <w:tcW w:w="1218" w:type="dxa"/>
            <w:vAlign w:val="center"/>
          </w:tcPr>
          <w:p w14:paraId="2DAEA87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C8AE23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836</w:t>
            </w:r>
          </w:p>
        </w:tc>
      </w:tr>
      <w:tr w14:paraId="4DCD789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12FEFA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9EAE40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97</w:t>
            </w:r>
          </w:p>
        </w:tc>
        <w:tc>
          <w:tcPr>
            <w:tcW w:w="2104" w:type="dxa"/>
            <w:vAlign w:val="center"/>
          </w:tcPr>
          <w:p w14:paraId="01F7A99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州上</w:t>
            </w:r>
          </w:p>
        </w:tc>
        <w:tc>
          <w:tcPr>
            <w:tcW w:w="1217" w:type="dxa"/>
            <w:vAlign w:val="center"/>
          </w:tcPr>
          <w:p w14:paraId="6AB3043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272DE89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4411</w:t>
            </w:r>
          </w:p>
        </w:tc>
        <w:tc>
          <w:tcPr>
            <w:tcW w:w="1218" w:type="dxa"/>
            <w:vAlign w:val="center"/>
          </w:tcPr>
          <w:p w14:paraId="0B77A5C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F9C317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132</w:t>
            </w:r>
          </w:p>
        </w:tc>
      </w:tr>
      <w:tr w14:paraId="2306308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D141FDE">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BAC025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98</w:t>
            </w:r>
          </w:p>
        </w:tc>
        <w:tc>
          <w:tcPr>
            <w:tcW w:w="2104" w:type="dxa"/>
            <w:vAlign w:val="center"/>
          </w:tcPr>
          <w:p w14:paraId="794B4C8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文港小学</w:t>
            </w:r>
          </w:p>
        </w:tc>
        <w:tc>
          <w:tcPr>
            <w:tcW w:w="1217" w:type="dxa"/>
            <w:vAlign w:val="center"/>
          </w:tcPr>
          <w:p w14:paraId="76DBFC4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西南</w:t>
            </w:r>
          </w:p>
        </w:tc>
        <w:tc>
          <w:tcPr>
            <w:tcW w:w="1218" w:type="dxa"/>
            <w:vAlign w:val="center"/>
          </w:tcPr>
          <w:p w14:paraId="76A25C2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3274</w:t>
            </w:r>
          </w:p>
        </w:tc>
        <w:tc>
          <w:tcPr>
            <w:tcW w:w="1218" w:type="dxa"/>
            <w:vAlign w:val="center"/>
          </w:tcPr>
          <w:p w14:paraId="4DE9DC4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4A22BB8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1037</w:t>
            </w:r>
          </w:p>
        </w:tc>
      </w:tr>
      <w:tr w14:paraId="6D08589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50A406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E44639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99</w:t>
            </w:r>
          </w:p>
        </w:tc>
        <w:tc>
          <w:tcPr>
            <w:tcW w:w="2104" w:type="dxa"/>
            <w:vAlign w:val="center"/>
          </w:tcPr>
          <w:p w14:paraId="6500DD5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大溪祝家</w:t>
            </w:r>
          </w:p>
        </w:tc>
        <w:tc>
          <w:tcPr>
            <w:tcW w:w="1217" w:type="dxa"/>
            <w:vAlign w:val="center"/>
          </w:tcPr>
          <w:p w14:paraId="282F0C4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1746F66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4081</w:t>
            </w:r>
          </w:p>
        </w:tc>
        <w:tc>
          <w:tcPr>
            <w:tcW w:w="1218" w:type="dxa"/>
            <w:vAlign w:val="center"/>
          </w:tcPr>
          <w:p w14:paraId="5F5DB44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4A514F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205</w:t>
            </w:r>
          </w:p>
        </w:tc>
      </w:tr>
      <w:tr w14:paraId="637B5F1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454D773">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636CEE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100</w:t>
            </w:r>
          </w:p>
        </w:tc>
        <w:tc>
          <w:tcPr>
            <w:tcW w:w="2104" w:type="dxa"/>
            <w:vAlign w:val="center"/>
          </w:tcPr>
          <w:p w14:paraId="7C5ACD7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大溪村</w:t>
            </w:r>
          </w:p>
        </w:tc>
        <w:tc>
          <w:tcPr>
            <w:tcW w:w="1217" w:type="dxa"/>
            <w:vAlign w:val="center"/>
          </w:tcPr>
          <w:p w14:paraId="6702B35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3AC90B4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4039</w:t>
            </w:r>
          </w:p>
        </w:tc>
        <w:tc>
          <w:tcPr>
            <w:tcW w:w="1218" w:type="dxa"/>
            <w:vAlign w:val="center"/>
          </w:tcPr>
          <w:p w14:paraId="75F0F70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552B7D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341</w:t>
            </w:r>
          </w:p>
        </w:tc>
      </w:tr>
      <w:tr w14:paraId="6253E71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0CDCCF5">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B07184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101</w:t>
            </w:r>
          </w:p>
        </w:tc>
        <w:tc>
          <w:tcPr>
            <w:tcW w:w="2104" w:type="dxa"/>
            <w:vAlign w:val="center"/>
          </w:tcPr>
          <w:p w14:paraId="1CE0EBE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双溪邹家</w:t>
            </w:r>
          </w:p>
        </w:tc>
        <w:tc>
          <w:tcPr>
            <w:tcW w:w="1217" w:type="dxa"/>
            <w:vAlign w:val="center"/>
          </w:tcPr>
          <w:p w14:paraId="1E8CE74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5006FF4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4805</w:t>
            </w:r>
          </w:p>
        </w:tc>
        <w:tc>
          <w:tcPr>
            <w:tcW w:w="1218" w:type="dxa"/>
            <w:vAlign w:val="center"/>
          </w:tcPr>
          <w:p w14:paraId="64E2396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B6D83F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152</w:t>
            </w:r>
          </w:p>
        </w:tc>
      </w:tr>
      <w:tr w14:paraId="4E3DC4B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080A79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40B3575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102</w:t>
            </w:r>
          </w:p>
        </w:tc>
        <w:tc>
          <w:tcPr>
            <w:tcW w:w="2104" w:type="dxa"/>
            <w:vAlign w:val="center"/>
          </w:tcPr>
          <w:p w14:paraId="312B797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搪下</w:t>
            </w:r>
          </w:p>
        </w:tc>
        <w:tc>
          <w:tcPr>
            <w:tcW w:w="1217" w:type="dxa"/>
            <w:vAlign w:val="center"/>
          </w:tcPr>
          <w:p w14:paraId="2EAF0B2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2202EAF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3023</w:t>
            </w:r>
          </w:p>
        </w:tc>
        <w:tc>
          <w:tcPr>
            <w:tcW w:w="1218" w:type="dxa"/>
            <w:vAlign w:val="center"/>
          </w:tcPr>
          <w:p w14:paraId="5EB76E4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502CB53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106</w:t>
            </w:r>
          </w:p>
        </w:tc>
      </w:tr>
      <w:tr w14:paraId="5503960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E6216E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639139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103</w:t>
            </w:r>
          </w:p>
        </w:tc>
        <w:tc>
          <w:tcPr>
            <w:tcW w:w="2104" w:type="dxa"/>
            <w:vAlign w:val="center"/>
          </w:tcPr>
          <w:p w14:paraId="400F592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搪上</w:t>
            </w:r>
          </w:p>
        </w:tc>
        <w:tc>
          <w:tcPr>
            <w:tcW w:w="1217" w:type="dxa"/>
            <w:vAlign w:val="center"/>
          </w:tcPr>
          <w:p w14:paraId="0E181B3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2E0FD60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2920</w:t>
            </w:r>
          </w:p>
        </w:tc>
        <w:tc>
          <w:tcPr>
            <w:tcW w:w="1218" w:type="dxa"/>
            <w:vAlign w:val="center"/>
          </w:tcPr>
          <w:p w14:paraId="7C0C152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AAF3EC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95</w:t>
            </w:r>
          </w:p>
        </w:tc>
      </w:tr>
      <w:tr w14:paraId="14EC620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374215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776467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104</w:t>
            </w:r>
          </w:p>
        </w:tc>
        <w:tc>
          <w:tcPr>
            <w:tcW w:w="2104" w:type="dxa"/>
            <w:vAlign w:val="center"/>
          </w:tcPr>
          <w:p w14:paraId="2E61200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毛下村</w:t>
            </w:r>
          </w:p>
        </w:tc>
        <w:tc>
          <w:tcPr>
            <w:tcW w:w="1217" w:type="dxa"/>
            <w:vAlign w:val="center"/>
          </w:tcPr>
          <w:p w14:paraId="2CDE3B2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4481FCF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2228</w:t>
            </w:r>
          </w:p>
        </w:tc>
        <w:tc>
          <w:tcPr>
            <w:tcW w:w="1218" w:type="dxa"/>
            <w:vAlign w:val="center"/>
          </w:tcPr>
          <w:p w14:paraId="1DE11B1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F26D7A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88</w:t>
            </w:r>
          </w:p>
        </w:tc>
      </w:tr>
      <w:tr w14:paraId="61EDA5F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845C845">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5AE4F3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105</w:t>
            </w:r>
          </w:p>
        </w:tc>
        <w:tc>
          <w:tcPr>
            <w:tcW w:w="2104" w:type="dxa"/>
            <w:vAlign w:val="center"/>
          </w:tcPr>
          <w:p w14:paraId="6BAD4A2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鲍家庄</w:t>
            </w:r>
          </w:p>
        </w:tc>
        <w:tc>
          <w:tcPr>
            <w:tcW w:w="1217" w:type="dxa"/>
            <w:vAlign w:val="center"/>
          </w:tcPr>
          <w:p w14:paraId="5A86F27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48E141D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2780</w:t>
            </w:r>
          </w:p>
        </w:tc>
        <w:tc>
          <w:tcPr>
            <w:tcW w:w="1218" w:type="dxa"/>
            <w:vAlign w:val="center"/>
          </w:tcPr>
          <w:p w14:paraId="1BE91A9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236687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208</w:t>
            </w:r>
          </w:p>
        </w:tc>
      </w:tr>
      <w:tr w14:paraId="3432339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2DBDD12">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26F880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106</w:t>
            </w:r>
          </w:p>
        </w:tc>
        <w:tc>
          <w:tcPr>
            <w:tcW w:w="2104" w:type="dxa"/>
            <w:vAlign w:val="center"/>
          </w:tcPr>
          <w:p w14:paraId="7346174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牛骨岭游家</w:t>
            </w:r>
          </w:p>
        </w:tc>
        <w:tc>
          <w:tcPr>
            <w:tcW w:w="1217" w:type="dxa"/>
            <w:vAlign w:val="center"/>
          </w:tcPr>
          <w:p w14:paraId="123A06B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45659C0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3598</w:t>
            </w:r>
          </w:p>
        </w:tc>
        <w:tc>
          <w:tcPr>
            <w:tcW w:w="1218" w:type="dxa"/>
            <w:vAlign w:val="center"/>
          </w:tcPr>
          <w:p w14:paraId="48B31D0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B59C4E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296</w:t>
            </w:r>
          </w:p>
        </w:tc>
      </w:tr>
      <w:tr w14:paraId="24B3CA4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7C09678">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5B9661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107</w:t>
            </w:r>
          </w:p>
        </w:tc>
        <w:tc>
          <w:tcPr>
            <w:tcW w:w="2104" w:type="dxa"/>
            <w:vAlign w:val="center"/>
          </w:tcPr>
          <w:p w14:paraId="0F33A65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牛骨岭甘家</w:t>
            </w:r>
          </w:p>
        </w:tc>
        <w:tc>
          <w:tcPr>
            <w:tcW w:w="1217" w:type="dxa"/>
            <w:vAlign w:val="center"/>
          </w:tcPr>
          <w:p w14:paraId="4317770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3E7769A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3449</w:t>
            </w:r>
          </w:p>
        </w:tc>
        <w:tc>
          <w:tcPr>
            <w:tcW w:w="1218" w:type="dxa"/>
            <w:vAlign w:val="center"/>
          </w:tcPr>
          <w:p w14:paraId="58BDFB7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1BF3C1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152</w:t>
            </w:r>
          </w:p>
        </w:tc>
      </w:tr>
      <w:tr w14:paraId="7C354FF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D6BE4B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704D52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108</w:t>
            </w:r>
          </w:p>
        </w:tc>
        <w:tc>
          <w:tcPr>
            <w:tcW w:w="2104" w:type="dxa"/>
            <w:vAlign w:val="center"/>
          </w:tcPr>
          <w:p w14:paraId="37CACDF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泉溪村</w:t>
            </w:r>
          </w:p>
        </w:tc>
        <w:tc>
          <w:tcPr>
            <w:tcW w:w="1217" w:type="dxa"/>
            <w:vAlign w:val="center"/>
          </w:tcPr>
          <w:p w14:paraId="0CD18FC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7B98268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2320</w:t>
            </w:r>
          </w:p>
        </w:tc>
        <w:tc>
          <w:tcPr>
            <w:tcW w:w="1218" w:type="dxa"/>
            <w:vAlign w:val="center"/>
          </w:tcPr>
          <w:p w14:paraId="158CBA1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BD7830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260</w:t>
            </w:r>
          </w:p>
        </w:tc>
      </w:tr>
      <w:tr w14:paraId="2C32113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4C8FC8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8AC4F4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109</w:t>
            </w:r>
          </w:p>
        </w:tc>
        <w:tc>
          <w:tcPr>
            <w:tcW w:w="2104" w:type="dxa"/>
            <w:vAlign w:val="center"/>
          </w:tcPr>
          <w:p w14:paraId="40BAB9A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泉溪郑家</w:t>
            </w:r>
          </w:p>
        </w:tc>
        <w:tc>
          <w:tcPr>
            <w:tcW w:w="1217" w:type="dxa"/>
            <w:vAlign w:val="center"/>
          </w:tcPr>
          <w:p w14:paraId="3293244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44BFD14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1359</w:t>
            </w:r>
          </w:p>
        </w:tc>
        <w:tc>
          <w:tcPr>
            <w:tcW w:w="1218" w:type="dxa"/>
            <w:vAlign w:val="center"/>
          </w:tcPr>
          <w:p w14:paraId="608E0C7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725FB1B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289</w:t>
            </w:r>
          </w:p>
        </w:tc>
      </w:tr>
      <w:tr w14:paraId="5E3ABF7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70C0E75">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C52F26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110</w:t>
            </w:r>
          </w:p>
        </w:tc>
        <w:tc>
          <w:tcPr>
            <w:tcW w:w="2104" w:type="dxa"/>
            <w:vAlign w:val="center"/>
          </w:tcPr>
          <w:p w14:paraId="4510FBE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山脚下</w:t>
            </w:r>
          </w:p>
        </w:tc>
        <w:tc>
          <w:tcPr>
            <w:tcW w:w="1217" w:type="dxa"/>
            <w:vAlign w:val="center"/>
          </w:tcPr>
          <w:p w14:paraId="327BD9F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039E4AA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3958</w:t>
            </w:r>
          </w:p>
        </w:tc>
        <w:tc>
          <w:tcPr>
            <w:tcW w:w="1218" w:type="dxa"/>
            <w:vAlign w:val="center"/>
          </w:tcPr>
          <w:p w14:paraId="4AEB3F1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021755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96</w:t>
            </w:r>
          </w:p>
        </w:tc>
      </w:tr>
      <w:tr w14:paraId="7678AEC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A27926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58E88F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111</w:t>
            </w:r>
          </w:p>
        </w:tc>
        <w:tc>
          <w:tcPr>
            <w:tcW w:w="2104" w:type="dxa"/>
            <w:vAlign w:val="center"/>
          </w:tcPr>
          <w:p w14:paraId="6464F81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柏树下</w:t>
            </w:r>
          </w:p>
        </w:tc>
        <w:tc>
          <w:tcPr>
            <w:tcW w:w="1217" w:type="dxa"/>
            <w:vAlign w:val="center"/>
          </w:tcPr>
          <w:p w14:paraId="1E4D0B5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0EFB8F9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4056</w:t>
            </w:r>
          </w:p>
        </w:tc>
        <w:tc>
          <w:tcPr>
            <w:tcW w:w="1218" w:type="dxa"/>
            <w:vAlign w:val="center"/>
          </w:tcPr>
          <w:p w14:paraId="36AD4F5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173E2C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36</w:t>
            </w:r>
          </w:p>
        </w:tc>
      </w:tr>
      <w:tr w14:paraId="476A41D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B6AE7B2">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87EC41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112</w:t>
            </w:r>
          </w:p>
        </w:tc>
        <w:tc>
          <w:tcPr>
            <w:tcW w:w="2104" w:type="dxa"/>
            <w:vAlign w:val="center"/>
          </w:tcPr>
          <w:p w14:paraId="556AC44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联里村</w:t>
            </w:r>
          </w:p>
        </w:tc>
        <w:tc>
          <w:tcPr>
            <w:tcW w:w="1217" w:type="dxa"/>
            <w:vAlign w:val="center"/>
          </w:tcPr>
          <w:p w14:paraId="61BC46B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005855C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4393</w:t>
            </w:r>
          </w:p>
        </w:tc>
        <w:tc>
          <w:tcPr>
            <w:tcW w:w="1218" w:type="dxa"/>
            <w:vAlign w:val="center"/>
          </w:tcPr>
          <w:p w14:paraId="3959378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4A27E3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328</w:t>
            </w:r>
          </w:p>
        </w:tc>
      </w:tr>
      <w:tr w14:paraId="74F748C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450B132">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018A77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113</w:t>
            </w:r>
          </w:p>
        </w:tc>
        <w:tc>
          <w:tcPr>
            <w:tcW w:w="2104" w:type="dxa"/>
            <w:vAlign w:val="center"/>
          </w:tcPr>
          <w:p w14:paraId="072A763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联里小学</w:t>
            </w:r>
          </w:p>
        </w:tc>
        <w:tc>
          <w:tcPr>
            <w:tcW w:w="1217" w:type="dxa"/>
            <w:vAlign w:val="center"/>
          </w:tcPr>
          <w:p w14:paraId="65095B7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6A6A8B6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4610</w:t>
            </w:r>
          </w:p>
        </w:tc>
        <w:tc>
          <w:tcPr>
            <w:tcW w:w="1218" w:type="dxa"/>
            <w:vAlign w:val="center"/>
          </w:tcPr>
          <w:p w14:paraId="389E9A6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文教区</w:t>
            </w:r>
          </w:p>
        </w:tc>
        <w:tc>
          <w:tcPr>
            <w:tcW w:w="1218" w:type="dxa"/>
            <w:tcBorders>
              <w:right w:val="single" w:color="auto" w:sz="4" w:space="0"/>
            </w:tcBorders>
            <w:vAlign w:val="center"/>
          </w:tcPr>
          <w:p w14:paraId="0C8DFA0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200</w:t>
            </w:r>
          </w:p>
        </w:tc>
      </w:tr>
      <w:tr w14:paraId="36B74DB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5E4E0E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EB2894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114</w:t>
            </w:r>
          </w:p>
        </w:tc>
        <w:tc>
          <w:tcPr>
            <w:tcW w:w="2104" w:type="dxa"/>
            <w:vAlign w:val="center"/>
          </w:tcPr>
          <w:p w14:paraId="72616F0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浪埂上</w:t>
            </w:r>
          </w:p>
        </w:tc>
        <w:tc>
          <w:tcPr>
            <w:tcW w:w="1217" w:type="dxa"/>
            <w:vAlign w:val="center"/>
          </w:tcPr>
          <w:p w14:paraId="1399413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6945733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4690</w:t>
            </w:r>
          </w:p>
        </w:tc>
        <w:tc>
          <w:tcPr>
            <w:tcW w:w="1218" w:type="dxa"/>
            <w:vAlign w:val="center"/>
          </w:tcPr>
          <w:p w14:paraId="6067CF7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8A7A65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86</w:t>
            </w:r>
          </w:p>
        </w:tc>
      </w:tr>
      <w:tr w14:paraId="093FD90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C82E451">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2B1C34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115</w:t>
            </w:r>
          </w:p>
        </w:tc>
        <w:tc>
          <w:tcPr>
            <w:tcW w:w="2104" w:type="dxa"/>
            <w:vAlign w:val="center"/>
          </w:tcPr>
          <w:p w14:paraId="19D6FA9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樟棋</w:t>
            </w:r>
          </w:p>
        </w:tc>
        <w:tc>
          <w:tcPr>
            <w:tcW w:w="1217" w:type="dxa"/>
            <w:vAlign w:val="center"/>
          </w:tcPr>
          <w:p w14:paraId="6591CB7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18C6672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4031</w:t>
            </w:r>
          </w:p>
        </w:tc>
        <w:tc>
          <w:tcPr>
            <w:tcW w:w="1218" w:type="dxa"/>
            <w:vAlign w:val="center"/>
          </w:tcPr>
          <w:p w14:paraId="7F68981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A9DE6C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128</w:t>
            </w:r>
          </w:p>
        </w:tc>
      </w:tr>
      <w:tr w14:paraId="19BA3FE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DD99D01">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CB9021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116</w:t>
            </w:r>
          </w:p>
        </w:tc>
        <w:tc>
          <w:tcPr>
            <w:tcW w:w="2104" w:type="dxa"/>
            <w:vAlign w:val="center"/>
          </w:tcPr>
          <w:p w14:paraId="0E5920E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油店</w:t>
            </w:r>
          </w:p>
        </w:tc>
        <w:tc>
          <w:tcPr>
            <w:tcW w:w="1217" w:type="dxa"/>
            <w:vAlign w:val="center"/>
          </w:tcPr>
          <w:p w14:paraId="6488648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721B22C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3879</w:t>
            </w:r>
          </w:p>
        </w:tc>
        <w:tc>
          <w:tcPr>
            <w:tcW w:w="1218" w:type="dxa"/>
            <w:vAlign w:val="center"/>
          </w:tcPr>
          <w:p w14:paraId="4B0D08D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411E8B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272</w:t>
            </w:r>
          </w:p>
        </w:tc>
      </w:tr>
      <w:tr w14:paraId="103031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6C681F7">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7B32F9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117</w:t>
            </w:r>
          </w:p>
        </w:tc>
        <w:tc>
          <w:tcPr>
            <w:tcW w:w="2104" w:type="dxa"/>
            <w:vAlign w:val="center"/>
          </w:tcPr>
          <w:p w14:paraId="26C512A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新村</w:t>
            </w:r>
          </w:p>
        </w:tc>
        <w:tc>
          <w:tcPr>
            <w:tcW w:w="1217" w:type="dxa"/>
            <w:vAlign w:val="center"/>
          </w:tcPr>
          <w:p w14:paraId="6CDD8DC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2647E01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3431</w:t>
            </w:r>
          </w:p>
        </w:tc>
        <w:tc>
          <w:tcPr>
            <w:tcW w:w="1218" w:type="dxa"/>
            <w:vAlign w:val="center"/>
          </w:tcPr>
          <w:p w14:paraId="653F773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EA672B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467</w:t>
            </w:r>
          </w:p>
        </w:tc>
      </w:tr>
      <w:tr w14:paraId="456F952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703AEFF">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4742ED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118</w:t>
            </w:r>
          </w:p>
        </w:tc>
        <w:tc>
          <w:tcPr>
            <w:tcW w:w="2104" w:type="dxa"/>
            <w:vAlign w:val="center"/>
          </w:tcPr>
          <w:p w14:paraId="438F2B6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巷里村</w:t>
            </w:r>
          </w:p>
        </w:tc>
        <w:tc>
          <w:tcPr>
            <w:tcW w:w="1217" w:type="dxa"/>
            <w:vAlign w:val="center"/>
          </w:tcPr>
          <w:p w14:paraId="3BF0D3F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4B5F01B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3040</w:t>
            </w:r>
          </w:p>
        </w:tc>
        <w:tc>
          <w:tcPr>
            <w:tcW w:w="1218" w:type="dxa"/>
            <w:vAlign w:val="center"/>
          </w:tcPr>
          <w:p w14:paraId="62EF3C1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4C9D733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285</w:t>
            </w:r>
          </w:p>
        </w:tc>
      </w:tr>
      <w:tr w14:paraId="060A634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AE4B68D">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DAB9B7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119</w:t>
            </w:r>
          </w:p>
        </w:tc>
        <w:tc>
          <w:tcPr>
            <w:tcW w:w="2104" w:type="dxa"/>
            <w:vAlign w:val="center"/>
          </w:tcPr>
          <w:p w14:paraId="1D91629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杨德清</w:t>
            </w:r>
          </w:p>
        </w:tc>
        <w:tc>
          <w:tcPr>
            <w:tcW w:w="1217" w:type="dxa"/>
            <w:vAlign w:val="center"/>
          </w:tcPr>
          <w:p w14:paraId="7849FD2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029B1A7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3296</w:t>
            </w:r>
          </w:p>
        </w:tc>
        <w:tc>
          <w:tcPr>
            <w:tcW w:w="1218" w:type="dxa"/>
            <w:vAlign w:val="center"/>
          </w:tcPr>
          <w:p w14:paraId="496BDDE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3B5E66D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104</w:t>
            </w:r>
          </w:p>
        </w:tc>
      </w:tr>
      <w:tr w14:paraId="33D2AE3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57DC661A">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78DAC1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120</w:t>
            </w:r>
          </w:p>
        </w:tc>
        <w:tc>
          <w:tcPr>
            <w:tcW w:w="2104" w:type="dxa"/>
            <w:vAlign w:val="center"/>
          </w:tcPr>
          <w:p w14:paraId="4BE38E7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祠堂黄村</w:t>
            </w:r>
          </w:p>
        </w:tc>
        <w:tc>
          <w:tcPr>
            <w:tcW w:w="1217" w:type="dxa"/>
            <w:vAlign w:val="center"/>
          </w:tcPr>
          <w:p w14:paraId="03B0601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4A0BCFC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3811</w:t>
            </w:r>
          </w:p>
        </w:tc>
        <w:tc>
          <w:tcPr>
            <w:tcW w:w="1218" w:type="dxa"/>
            <w:vAlign w:val="center"/>
          </w:tcPr>
          <w:p w14:paraId="6612377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5F4867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248</w:t>
            </w:r>
          </w:p>
        </w:tc>
      </w:tr>
      <w:tr w14:paraId="0A3247B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3325CF1">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D78926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121</w:t>
            </w:r>
          </w:p>
        </w:tc>
        <w:tc>
          <w:tcPr>
            <w:tcW w:w="2104" w:type="dxa"/>
            <w:vAlign w:val="center"/>
          </w:tcPr>
          <w:p w14:paraId="270342C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白沙村</w:t>
            </w:r>
          </w:p>
        </w:tc>
        <w:tc>
          <w:tcPr>
            <w:tcW w:w="1217" w:type="dxa"/>
            <w:vAlign w:val="center"/>
          </w:tcPr>
          <w:p w14:paraId="214A189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6261291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4227</w:t>
            </w:r>
          </w:p>
        </w:tc>
        <w:tc>
          <w:tcPr>
            <w:tcW w:w="1218" w:type="dxa"/>
            <w:vAlign w:val="center"/>
          </w:tcPr>
          <w:p w14:paraId="4DC2ACE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8554CA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484</w:t>
            </w:r>
          </w:p>
        </w:tc>
      </w:tr>
      <w:tr w14:paraId="5D634AE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4FC984E">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272470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122</w:t>
            </w:r>
          </w:p>
        </w:tc>
        <w:tc>
          <w:tcPr>
            <w:tcW w:w="2104" w:type="dxa"/>
            <w:vAlign w:val="center"/>
          </w:tcPr>
          <w:p w14:paraId="36BE999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高车埠</w:t>
            </w:r>
          </w:p>
        </w:tc>
        <w:tc>
          <w:tcPr>
            <w:tcW w:w="1217" w:type="dxa"/>
            <w:vAlign w:val="center"/>
          </w:tcPr>
          <w:p w14:paraId="23138BB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6DFFAE9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3729</w:t>
            </w:r>
          </w:p>
        </w:tc>
        <w:tc>
          <w:tcPr>
            <w:tcW w:w="1218" w:type="dxa"/>
            <w:vAlign w:val="center"/>
          </w:tcPr>
          <w:p w14:paraId="502A909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281E37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128</w:t>
            </w:r>
          </w:p>
        </w:tc>
      </w:tr>
      <w:tr w14:paraId="486CABA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6C4C5AB">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3C63D8C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123</w:t>
            </w:r>
          </w:p>
        </w:tc>
        <w:tc>
          <w:tcPr>
            <w:tcW w:w="2104" w:type="dxa"/>
            <w:vAlign w:val="center"/>
          </w:tcPr>
          <w:p w14:paraId="78C11C5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湖头李村</w:t>
            </w:r>
          </w:p>
        </w:tc>
        <w:tc>
          <w:tcPr>
            <w:tcW w:w="1217" w:type="dxa"/>
            <w:vAlign w:val="center"/>
          </w:tcPr>
          <w:p w14:paraId="1838FF3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28CBB70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3436</w:t>
            </w:r>
          </w:p>
        </w:tc>
        <w:tc>
          <w:tcPr>
            <w:tcW w:w="1218" w:type="dxa"/>
            <w:vAlign w:val="center"/>
          </w:tcPr>
          <w:p w14:paraId="57E8832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12C1A3A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144</w:t>
            </w:r>
          </w:p>
        </w:tc>
      </w:tr>
      <w:tr w14:paraId="1C7E2E6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4324BFF9">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120DE0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124</w:t>
            </w:r>
          </w:p>
        </w:tc>
        <w:tc>
          <w:tcPr>
            <w:tcW w:w="2104" w:type="dxa"/>
            <w:vAlign w:val="center"/>
          </w:tcPr>
          <w:p w14:paraId="4FB6437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垱背陈</w:t>
            </w:r>
          </w:p>
        </w:tc>
        <w:tc>
          <w:tcPr>
            <w:tcW w:w="1217" w:type="dxa"/>
            <w:vAlign w:val="center"/>
          </w:tcPr>
          <w:p w14:paraId="080BACD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51BCF23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3198</w:t>
            </w:r>
          </w:p>
        </w:tc>
        <w:tc>
          <w:tcPr>
            <w:tcW w:w="1218" w:type="dxa"/>
            <w:vAlign w:val="center"/>
          </w:tcPr>
          <w:p w14:paraId="55DC662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083AF74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200</w:t>
            </w:r>
          </w:p>
        </w:tc>
      </w:tr>
      <w:tr w14:paraId="2622843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6A74E8B7">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435D19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125</w:t>
            </w:r>
          </w:p>
        </w:tc>
        <w:tc>
          <w:tcPr>
            <w:tcW w:w="2104" w:type="dxa"/>
            <w:vAlign w:val="center"/>
          </w:tcPr>
          <w:p w14:paraId="1EF525D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塘古里</w:t>
            </w:r>
          </w:p>
        </w:tc>
        <w:tc>
          <w:tcPr>
            <w:tcW w:w="1217" w:type="dxa"/>
            <w:vAlign w:val="center"/>
          </w:tcPr>
          <w:p w14:paraId="743BD26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212E656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2872</w:t>
            </w:r>
          </w:p>
        </w:tc>
        <w:tc>
          <w:tcPr>
            <w:tcW w:w="1218" w:type="dxa"/>
            <w:vAlign w:val="center"/>
          </w:tcPr>
          <w:p w14:paraId="17EE608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653B9F9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216</w:t>
            </w:r>
          </w:p>
        </w:tc>
      </w:tr>
      <w:tr w14:paraId="4C1EC87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5E47CDC">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529062C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126</w:t>
            </w:r>
          </w:p>
        </w:tc>
        <w:tc>
          <w:tcPr>
            <w:tcW w:w="2104" w:type="dxa"/>
            <w:vAlign w:val="center"/>
          </w:tcPr>
          <w:p w14:paraId="65BEA8B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赤岸何家</w:t>
            </w:r>
          </w:p>
        </w:tc>
        <w:tc>
          <w:tcPr>
            <w:tcW w:w="1217" w:type="dxa"/>
            <w:vAlign w:val="center"/>
          </w:tcPr>
          <w:p w14:paraId="208DF89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西北</w:t>
            </w:r>
          </w:p>
        </w:tc>
        <w:tc>
          <w:tcPr>
            <w:tcW w:w="1218" w:type="dxa"/>
            <w:vAlign w:val="center"/>
          </w:tcPr>
          <w:p w14:paraId="53976D3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4874</w:t>
            </w:r>
          </w:p>
        </w:tc>
        <w:tc>
          <w:tcPr>
            <w:tcW w:w="1218" w:type="dxa"/>
            <w:vAlign w:val="center"/>
          </w:tcPr>
          <w:p w14:paraId="3B543EB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居住区</w:t>
            </w:r>
          </w:p>
        </w:tc>
        <w:tc>
          <w:tcPr>
            <w:tcW w:w="1218" w:type="dxa"/>
            <w:tcBorders>
              <w:right w:val="single" w:color="auto" w:sz="4" w:space="0"/>
            </w:tcBorders>
            <w:vAlign w:val="center"/>
          </w:tcPr>
          <w:p w14:paraId="2AE2C97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150</w:t>
            </w:r>
          </w:p>
        </w:tc>
      </w:tr>
      <w:tr w14:paraId="40B3777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FAD2824">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6637" w:type="dxa"/>
            <w:gridSpan w:val="5"/>
            <w:vAlign w:val="center"/>
          </w:tcPr>
          <w:p w14:paraId="75B8097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厂址周边500m范围内人口数小计</w:t>
            </w:r>
          </w:p>
        </w:tc>
        <w:tc>
          <w:tcPr>
            <w:tcW w:w="1218" w:type="dxa"/>
            <w:tcBorders>
              <w:right w:val="single" w:color="auto" w:sz="4" w:space="0"/>
            </w:tcBorders>
            <w:vAlign w:val="center"/>
          </w:tcPr>
          <w:p w14:paraId="33BE844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0</w:t>
            </w:r>
          </w:p>
        </w:tc>
      </w:tr>
      <w:tr w14:paraId="6BC1FEF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76565196">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6637" w:type="dxa"/>
            <w:gridSpan w:val="5"/>
            <w:vAlign w:val="center"/>
          </w:tcPr>
          <w:p w14:paraId="4812B0B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厂址周边5km范围内人口数小计</w:t>
            </w:r>
          </w:p>
        </w:tc>
        <w:tc>
          <w:tcPr>
            <w:tcW w:w="1218" w:type="dxa"/>
            <w:tcBorders>
              <w:right w:val="single" w:color="auto" w:sz="4" w:space="0"/>
            </w:tcBorders>
            <w:vAlign w:val="center"/>
          </w:tcPr>
          <w:p w14:paraId="7933142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49799</w:t>
            </w:r>
          </w:p>
        </w:tc>
      </w:tr>
      <w:tr w14:paraId="46A6B6A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DCDF291">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6637" w:type="dxa"/>
            <w:gridSpan w:val="5"/>
            <w:vAlign w:val="center"/>
          </w:tcPr>
          <w:p w14:paraId="4628B85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大气环境敏感程度</w:t>
            </w:r>
          </w:p>
        </w:tc>
        <w:tc>
          <w:tcPr>
            <w:tcW w:w="1218" w:type="dxa"/>
            <w:tcBorders>
              <w:right w:val="single" w:color="auto" w:sz="4" w:space="0"/>
            </w:tcBorders>
            <w:vAlign w:val="center"/>
          </w:tcPr>
          <w:p w14:paraId="5CAE24C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E2</w:t>
            </w:r>
          </w:p>
        </w:tc>
      </w:tr>
      <w:tr w14:paraId="18A3886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restart"/>
            <w:tcBorders>
              <w:left w:val="single" w:color="auto" w:sz="4" w:space="0"/>
            </w:tcBorders>
            <w:vAlign w:val="center"/>
          </w:tcPr>
          <w:p w14:paraId="1638F0B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地表水</w:t>
            </w:r>
          </w:p>
        </w:tc>
        <w:tc>
          <w:tcPr>
            <w:tcW w:w="7855" w:type="dxa"/>
            <w:gridSpan w:val="6"/>
            <w:tcBorders>
              <w:right w:val="single" w:color="auto" w:sz="4" w:space="0"/>
            </w:tcBorders>
            <w:vAlign w:val="center"/>
          </w:tcPr>
          <w:p w14:paraId="44F0504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受纳水体</w:t>
            </w:r>
          </w:p>
        </w:tc>
      </w:tr>
      <w:tr w14:paraId="1073EBC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7C03FB8">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748B079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序号</w:t>
            </w:r>
          </w:p>
        </w:tc>
        <w:tc>
          <w:tcPr>
            <w:tcW w:w="2104" w:type="dxa"/>
            <w:vAlign w:val="center"/>
          </w:tcPr>
          <w:p w14:paraId="63FBDE8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受纳水体名称</w:t>
            </w:r>
          </w:p>
        </w:tc>
        <w:tc>
          <w:tcPr>
            <w:tcW w:w="2435" w:type="dxa"/>
            <w:gridSpan w:val="2"/>
            <w:vAlign w:val="center"/>
          </w:tcPr>
          <w:p w14:paraId="256E24B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排放点水域环境功能</w:t>
            </w:r>
          </w:p>
        </w:tc>
        <w:tc>
          <w:tcPr>
            <w:tcW w:w="2436" w:type="dxa"/>
            <w:gridSpan w:val="2"/>
            <w:tcBorders>
              <w:right w:val="single" w:color="auto" w:sz="4" w:space="0"/>
            </w:tcBorders>
            <w:vAlign w:val="center"/>
          </w:tcPr>
          <w:p w14:paraId="6E7D82C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24h内流经范围/km</w:t>
            </w:r>
          </w:p>
        </w:tc>
      </w:tr>
      <w:tr w14:paraId="4876C15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223BB1B7">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2DE9481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1</w:t>
            </w:r>
          </w:p>
        </w:tc>
        <w:tc>
          <w:tcPr>
            <w:tcW w:w="2104" w:type="dxa"/>
            <w:vAlign w:val="center"/>
          </w:tcPr>
          <w:p w14:paraId="6A9E672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抚河</w:t>
            </w:r>
          </w:p>
        </w:tc>
        <w:tc>
          <w:tcPr>
            <w:tcW w:w="2435" w:type="dxa"/>
            <w:gridSpan w:val="2"/>
            <w:vAlign w:val="center"/>
          </w:tcPr>
          <w:p w14:paraId="6714A99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Ⅲ</w:t>
            </w:r>
          </w:p>
        </w:tc>
        <w:tc>
          <w:tcPr>
            <w:tcW w:w="2436" w:type="dxa"/>
            <w:gridSpan w:val="2"/>
            <w:tcBorders>
              <w:right w:val="single" w:color="auto" w:sz="4" w:space="0"/>
            </w:tcBorders>
            <w:vAlign w:val="center"/>
          </w:tcPr>
          <w:p w14:paraId="6DB4DB0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r>
      <w:tr w14:paraId="7B30500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67CFFB0">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7855" w:type="dxa"/>
            <w:gridSpan w:val="6"/>
            <w:tcBorders>
              <w:right w:val="single" w:color="auto" w:sz="4" w:space="0"/>
            </w:tcBorders>
            <w:vAlign w:val="center"/>
          </w:tcPr>
          <w:p w14:paraId="6E849E9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内陆水体排放点下游10km（近岸海域一个潮周期最大水平距离两倍）范围内敏感目标</w:t>
            </w:r>
          </w:p>
        </w:tc>
      </w:tr>
      <w:tr w14:paraId="6992B10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2D14D33">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34F125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序号</w:t>
            </w:r>
          </w:p>
        </w:tc>
        <w:tc>
          <w:tcPr>
            <w:tcW w:w="2104" w:type="dxa"/>
            <w:vAlign w:val="center"/>
          </w:tcPr>
          <w:p w14:paraId="53B203D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敏感目标名称</w:t>
            </w:r>
          </w:p>
        </w:tc>
        <w:tc>
          <w:tcPr>
            <w:tcW w:w="1217" w:type="dxa"/>
            <w:vAlign w:val="center"/>
          </w:tcPr>
          <w:p w14:paraId="51664B7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环境敏感特征</w:t>
            </w:r>
          </w:p>
        </w:tc>
        <w:tc>
          <w:tcPr>
            <w:tcW w:w="1218" w:type="dxa"/>
            <w:vAlign w:val="center"/>
          </w:tcPr>
          <w:p w14:paraId="27E1379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水质目标</w:t>
            </w:r>
          </w:p>
        </w:tc>
        <w:tc>
          <w:tcPr>
            <w:tcW w:w="2436" w:type="dxa"/>
            <w:gridSpan w:val="2"/>
            <w:tcBorders>
              <w:right w:val="single" w:color="auto" w:sz="4" w:space="0"/>
            </w:tcBorders>
            <w:vAlign w:val="center"/>
          </w:tcPr>
          <w:p w14:paraId="7E6ACC5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与排放点位置</w:t>
            </w:r>
          </w:p>
        </w:tc>
      </w:tr>
      <w:tr w14:paraId="6F97BA0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399242BD">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1D22E7B2">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c>
          <w:tcPr>
            <w:tcW w:w="2104" w:type="dxa"/>
            <w:vAlign w:val="center"/>
          </w:tcPr>
          <w:p w14:paraId="5E17CB3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c>
          <w:tcPr>
            <w:tcW w:w="1217" w:type="dxa"/>
            <w:vAlign w:val="center"/>
          </w:tcPr>
          <w:p w14:paraId="51C2A16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c>
          <w:tcPr>
            <w:tcW w:w="1218" w:type="dxa"/>
            <w:vAlign w:val="center"/>
          </w:tcPr>
          <w:p w14:paraId="2149714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c>
          <w:tcPr>
            <w:tcW w:w="2436" w:type="dxa"/>
            <w:gridSpan w:val="2"/>
            <w:tcBorders>
              <w:right w:val="single" w:color="auto" w:sz="4" w:space="0"/>
            </w:tcBorders>
            <w:vAlign w:val="center"/>
          </w:tcPr>
          <w:p w14:paraId="1620F8B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r>
      <w:tr w14:paraId="56A1370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restart"/>
            <w:tcBorders>
              <w:left w:val="single" w:color="auto" w:sz="4" w:space="0"/>
            </w:tcBorders>
            <w:vAlign w:val="center"/>
          </w:tcPr>
          <w:p w14:paraId="3D61375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地下水</w:t>
            </w:r>
          </w:p>
        </w:tc>
        <w:tc>
          <w:tcPr>
            <w:tcW w:w="880" w:type="dxa"/>
            <w:vAlign w:val="center"/>
          </w:tcPr>
          <w:p w14:paraId="23AF494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序号</w:t>
            </w:r>
          </w:p>
        </w:tc>
        <w:tc>
          <w:tcPr>
            <w:tcW w:w="2104" w:type="dxa"/>
            <w:vAlign w:val="center"/>
          </w:tcPr>
          <w:p w14:paraId="66C03C1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敏感目标名称</w:t>
            </w:r>
          </w:p>
        </w:tc>
        <w:tc>
          <w:tcPr>
            <w:tcW w:w="1217" w:type="dxa"/>
            <w:vAlign w:val="center"/>
          </w:tcPr>
          <w:p w14:paraId="5350528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环境敏感特征</w:t>
            </w:r>
          </w:p>
        </w:tc>
        <w:tc>
          <w:tcPr>
            <w:tcW w:w="1218" w:type="dxa"/>
            <w:vAlign w:val="center"/>
          </w:tcPr>
          <w:p w14:paraId="29B958B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水质目标</w:t>
            </w:r>
          </w:p>
        </w:tc>
        <w:tc>
          <w:tcPr>
            <w:tcW w:w="1218" w:type="dxa"/>
            <w:vAlign w:val="center"/>
          </w:tcPr>
          <w:p w14:paraId="25E8CAF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包气带防污性能</w:t>
            </w:r>
          </w:p>
        </w:tc>
        <w:tc>
          <w:tcPr>
            <w:tcW w:w="1218" w:type="dxa"/>
            <w:tcBorders>
              <w:right w:val="single" w:color="auto" w:sz="4" w:space="0"/>
            </w:tcBorders>
            <w:vAlign w:val="center"/>
          </w:tcPr>
          <w:p w14:paraId="62F0A2D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与下游厂界距离/m</w:t>
            </w:r>
          </w:p>
        </w:tc>
      </w:tr>
      <w:tr w14:paraId="748C8C1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1F0A1ACC">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880" w:type="dxa"/>
            <w:vAlign w:val="center"/>
          </w:tcPr>
          <w:p w14:paraId="6F173E5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c>
          <w:tcPr>
            <w:tcW w:w="2104" w:type="dxa"/>
            <w:vAlign w:val="center"/>
          </w:tcPr>
          <w:p w14:paraId="5F4F016A">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c>
          <w:tcPr>
            <w:tcW w:w="1217" w:type="dxa"/>
            <w:vAlign w:val="center"/>
          </w:tcPr>
          <w:p w14:paraId="5409FF43">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c>
          <w:tcPr>
            <w:tcW w:w="1218" w:type="dxa"/>
            <w:vAlign w:val="center"/>
          </w:tcPr>
          <w:p w14:paraId="00A8DD4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c>
          <w:tcPr>
            <w:tcW w:w="1218" w:type="dxa"/>
            <w:vAlign w:val="center"/>
          </w:tcPr>
          <w:p w14:paraId="6F4E1B1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c>
          <w:tcPr>
            <w:tcW w:w="1218" w:type="dxa"/>
            <w:tcBorders>
              <w:right w:val="single" w:color="auto" w:sz="4" w:space="0"/>
            </w:tcBorders>
            <w:vAlign w:val="center"/>
          </w:tcPr>
          <w:p w14:paraId="6582399C">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w:t>
            </w:r>
          </w:p>
        </w:tc>
      </w:tr>
      <w:tr w14:paraId="19FB4F4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tcBorders>
              <w:left w:val="single" w:color="auto" w:sz="4" w:space="0"/>
            </w:tcBorders>
            <w:vAlign w:val="center"/>
          </w:tcPr>
          <w:p w14:paraId="0316F4CD">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6637" w:type="dxa"/>
            <w:gridSpan w:val="5"/>
            <w:vAlign w:val="center"/>
          </w:tcPr>
          <w:p w14:paraId="2C0B9ED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地下水环境敏感程度E值</w:t>
            </w:r>
          </w:p>
        </w:tc>
        <w:tc>
          <w:tcPr>
            <w:tcW w:w="1218" w:type="dxa"/>
            <w:tcBorders>
              <w:right w:val="single" w:color="auto" w:sz="4" w:space="0"/>
            </w:tcBorders>
            <w:vAlign w:val="center"/>
          </w:tcPr>
          <w:p w14:paraId="340CC25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E3</w:t>
            </w:r>
          </w:p>
        </w:tc>
      </w:tr>
    </w:tbl>
    <w:p w14:paraId="46F18F1C">
      <w:pPr>
        <w:pStyle w:val="2"/>
        <w:bidi w:val="0"/>
        <w:rPr>
          <w:rFonts w:hint="default"/>
          <w:lang w:eastAsia="zh-CN"/>
        </w:rPr>
      </w:pPr>
      <w:bookmarkStart w:id="5" w:name="_Toc14841"/>
      <w:r>
        <w:rPr>
          <w:rFonts w:hint="default"/>
          <w:lang w:eastAsia="zh-CN"/>
        </w:rPr>
        <w:t>环境风险潜势初判</w:t>
      </w:r>
      <w:bookmarkEnd w:id="5"/>
    </w:p>
    <w:p w14:paraId="7B22DCDD">
      <w:pPr>
        <w:pStyle w:val="3"/>
        <w:bidi w:val="0"/>
        <w:rPr>
          <w:rFonts w:hint="default"/>
          <w:lang w:eastAsia="zh-CN"/>
        </w:rPr>
      </w:pPr>
      <w:bookmarkStart w:id="6" w:name="_Toc13010"/>
      <w:r>
        <w:rPr>
          <w:rFonts w:hint="default"/>
          <w:lang w:eastAsia="zh-CN"/>
        </w:rPr>
        <w:t>环境风险潜势划分</w:t>
      </w:r>
      <w:bookmarkEnd w:id="6"/>
    </w:p>
    <w:p w14:paraId="30216E7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建设项目环境风险潜势划分为I、II、III、IV/IV+级。根据建设项目涉及的物质和工艺系统的危险性及其所在地的环境敏感程度，结合事故情形下环境影响途径，对建设项目潜在环境危害程度进行概化分析，按照表3.1-1确定环境风险潜势。</w:t>
      </w:r>
    </w:p>
    <w:p w14:paraId="44CEA595">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表3.1-1建设项目环境风险潜势划分</w:t>
      </w:r>
    </w:p>
    <w:p w14:paraId="39790B8B">
      <w:pPr>
        <w:spacing w:line="134" w:lineRule="auto"/>
        <w:rPr>
          <w:rFonts w:hint="default" w:ascii="Times New Roman" w:hAnsi="Times New Roman" w:eastAsia="宋体" w:cs="Times New Roman"/>
          <w:color w:val="auto"/>
          <w:sz w:val="2"/>
          <w:lang w:eastAsia="zh-CN"/>
        </w:rPr>
      </w:pPr>
    </w:p>
    <w:tbl>
      <w:tblPr>
        <w:tblStyle w:val="25"/>
        <w:tblW w:w="8525"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79"/>
        <w:gridCol w:w="1433"/>
        <w:gridCol w:w="1497"/>
        <w:gridCol w:w="1699"/>
        <w:gridCol w:w="1717"/>
      </w:tblGrid>
      <w:tr w14:paraId="5A927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9" w:hRule="atLeast"/>
        </w:trPr>
        <w:tc>
          <w:tcPr>
            <w:tcW w:w="2179" w:type="dxa"/>
            <w:vMerge w:val="restart"/>
            <w:vAlign w:val="center"/>
          </w:tcPr>
          <w:p w14:paraId="0BC9F351">
            <w:pPr>
              <w:widowControl w:val="0"/>
              <w:jc w:val="center"/>
              <w:rPr>
                <w:rFonts w:hint="default" w:ascii="Times New Roman" w:hAnsi="Times New Roman" w:eastAsia="宋体" w:cs="Times New Roman"/>
                <w:color w:val="auto"/>
                <w:spacing w:val="-1"/>
                <w:position w:val="3"/>
                <w:sz w:val="20"/>
                <w:szCs w:val="20"/>
                <w:lang w:val="en-US" w:eastAsia="zh-CN"/>
              </w:rPr>
            </w:pPr>
          </w:p>
          <w:p w14:paraId="262C05C1">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环境敏感程度（E）</w:t>
            </w:r>
          </w:p>
        </w:tc>
        <w:tc>
          <w:tcPr>
            <w:tcW w:w="6346" w:type="dxa"/>
            <w:gridSpan w:val="4"/>
            <w:vAlign w:val="center"/>
          </w:tcPr>
          <w:p w14:paraId="369548E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危险物质及工艺系统危险性（P）</w:t>
            </w:r>
          </w:p>
        </w:tc>
      </w:tr>
      <w:tr w14:paraId="10FF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2" w:hRule="atLeast"/>
        </w:trPr>
        <w:tc>
          <w:tcPr>
            <w:tcW w:w="2179" w:type="dxa"/>
            <w:vMerge w:val="continue"/>
            <w:vAlign w:val="center"/>
          </w:tcPr>
          <w:p w14:paraId="15FBBD6D">
            <w:pPr>
              <w:widowControl w:val="0"/>
              <w:jc w:val="center"/>
              <w:rPr>
                <w:rFonts w:hint="default" w:ascii="Times New Roman" w:hAnsi="Times New Roman" w:eastAsia="宋体" w:cs="Times New Roman"/>
                <w:color w:val="auto"/>
                <w:spacing w:val="-1"/>
                <w:position w:val="3"/>
                <w:sz w:val="20"/>
                <w:szCs w:val="20"/>
                <w:lang w:val="en-US" w:eastAsia="zh-CN"/>
              </w:rPr>
            </w:pPr>
          </w:p>
        </w:tc>
        <w:tc>
          <w:tcPr>
            <w:tcW w:w="1433" w:type="dxa"/>
            <w:vAlign w:val="center"/>
          </w:tcPr>
          <w:p w14:paraId="50A0993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极高危害（P1）</w:t>
            </w:r>
          </w:p>
        </w:tc>
        <w:tc>
          <w:tcPr>
            <w:tcW w:w="1497" w:type="dxa"/>
            <w:vAlign w:val="center"/>
          </w:tcPr>
          <w:p w14:paraId="4E38DD48">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高度危害（P2）</w:t>
            </w:r>
          </w:p>
        </w:tc>
        <w:tc>
          <w:tcPr>
            <w:tcW w:w="1699" w:type="dxa"/>
            <w:vAlign w:val="center"/>
          </w:tcPr>
          <w:p w14:paraId="111242D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中度危害（P3）</w:t>
            </w:r>
          </w:p>
        </w:tc>
        <w:tc>
          <w:tcPr>
            <w:tcW w:w="1717" w:type="dxa"/>
            <w:vAlign w:val="center"/>
          </w:tcPr>
          <w:p w14:paraId="24CAF0D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轻度危害（P4）</w:t>
            </w:r>
          </w:p>
        </w:tc>
      </w:tr>
      <w:tr w14:paraId="0FC07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2179" w:type="dxa"/>
            <w:vAlign w:val="center"/>
          </w:tcPr>
          <w:p w14:paraId="7783DE4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环境高度敏感区（E1）</w:t>
            </w:r>
          </w:p>
        </w:tc>
        <w:tc>
          <w:tcPr>
            <w:tcW w:w="1433" w:type="dxa"/>
            <w:vAlign w:val="center"/>
          </w:tcPr>
          <w:p w14:paraId="16365B0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IV+</w:t>
            </w:r>
          </w:p>
        </w:tc>
        <w:tc>
          <w:tcPr>
            <w:tcW w:w="1497" w:type="dxa"/>
            <w:vAlign w:val="center"/>
          </w:tcPr>
          <w:p w14:paraId="355D6DC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IV</w:t>
            </w:r>
          </w:p>
        </w:tc>
        <w:tc>
          <w:tcPr>
            <w:tcW w:w="1699" w:type="dxa"/>
            <w:vAlign w:val="center"/>
          </w:tcPr>
          <w:p w14:paraId="517E4EB9">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III</w:t>
            </w:r>
          </w:p>
        </w:tc>
        <w:tc>
          <w:tcPr>
            <w:tcW w:w="1717" w:type="dxa"/>
            <w:vAlign w:val="center"/>
          </w:tcPr>
          <w:p w14:paraId="339721CE">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III</w:t>
            </w:r>
          </w:p>
        </w:tc>
      </w:tr>
      <w:tr w14:paraId="7491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3" w:hRule="atLeast"/>
        </w:trPr>
        <w:tc>
          <w:tcPr>
            <w:tcW w:w="2179" w:type="dxa"/>
            <w:vAlign w:val="center"/>
          </w:tcPr>
          <w:p w14:paraId="1831A98D">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环境高度敏感区（E2）</w:t>
            </w:r>
          </w:p>
        </w:tc>
        <w:tc>
          <w:tcPr>
            <w:tcW w:w="1433" w:type="dxa"/>
            <w:vAlign w:val="center"/>
          </w:tcPr>
          <w:p w14:paraId="6996433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IV</w:t>
            </w:r>
          </w:p>
        </w:tc>
        <w:tc>
          <w:tcPr>
            <w:tcW w:w="1497" w:type="dxa"/>
            <w:vAlign w:val="center"/>
          </w:tcPr>
          <w:p w14:paraId="04C0BC9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III</w:t>
            </w:r>
          </w:p>
        </w:tc>
        <w:tc>
          <w:tcPr>
            <w:tcW w:w="1699" w:type="dxa"/>
            <w:vAlign w:val="center"/>
          </w:tcPr>
          <w:p w14:paraId="52E5110B">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III</w:t>
            </w:r>
          </w:p>
        </w:tc>
        <w:tc>
          <w:tcPr>
            <w:tcW w:w="1717" w:type="dxa"/>
            <w:vAlign w:val="center"/>
          </w:tcPr>
          <w:p w14:paraId="33ED522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II</w:t>
            </w:r>
          </w:p>
        </w:tc>
      </w:tr>
      <w:tr w14:paraId="1AE2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2179" w:type="dxa"/>
            <w:vAlign w:val="center"/>
          </w:tcPr>
          <w:p w14:paraId="6D3BDC85">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环境高度敏感区（E3）</w:t>
            </w:r>
          </w:p>
        </w:tc>
        <w:tc>
          <w:tcPr>
            <w:tcW w:w="1433" w:type="dxa"/>
            <w:vAlign w:val="center"/>
          </w:tcPr>
          <w:p w14:paraId="3C06C157">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III</w:t>
            </w:r>
          </w:p>
        </w:tc>
        <w:tc>
          <w:tcPr>
            <w:tcW w:w="1497" w:type="dxa"/>
            <w:vAlign w:val="center"/>
          </w:tcPr>
          <w:p w14:paraId="02A64FDF">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III</w:t>
            </w:r>
          </w:p>
        </w:tc>
        <w:tc>
          <w:tcPr>
            <w:tcW w:w="1699" w:type="dxa"/>
            <w:vAlign w:val="center"/>
          </w:tcPr>
          <w:p w14:paraId="3605F494">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II</w:t>
            </w:r>
          </w:p>
        </w:tc>
        <w:tc>
          <w:tcPr>
            <w:tcW w:w="1717" w:type="dxa"/>
            <w:vAlign w:val="center"/>
          </w:tcPr>
          <w:p w14:paraId="0737A9C6">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I</w:t>
            </w:r>
          </w:p>
        </w:tc>
      </w:tr>
      <w:tr w14:paraId="449C4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8" w:hRule="atLeast"/>
        </w:trPr>
        <w:tc>
          <w:tcPr>
            <w:tcW w:w="8525" w:type="dxa"/>
            <w:gridSpan w:val="5"/>
            <w:vAlign w:val="center"/>
          </w:tcPr>
          <w:p w14:paraId="2488F7F0">
            <w:pPr>
              <w:widowControl w:val="0"/>
              <w:jc w:val="center"/>
              <w:rPr>
                <w:rFonts w:hint="default" w:ascii="Times New Roman" w:hAnsi="Times New Roman" w:eastAsia="宋体" w:cs="Times New Roman"/>
                <w:color w:val="auto"/>
                <w:spacing w:val="-1"/>
                <w:position w:val="3"/>
                <w:sz w:val="20"/>
                <w:szCs w:val="20"/>
                <w:lang w:val="en-US" w:eastAsia="zh-CN"/>
              </w:rPr>
            </w:pPr>
            <w:r>
              <w:rPr>
                <w:rFonts w:hint="default" w:ascii="Times New Roman" w:hAnsi="Times New Roman" w:eastAsia="宋体" w:cs="Times New Roman"/>
                <w:color w:val="auto"/>
                <w:spacing w:val="-1"/>
                <w:position w:val="3"/>
                <w:sz w:val="20"/>
                <w:szCs w:val="20"/>
                <w:lang w:val="en-US" w:eastAsia="zh-CN"/>
              </w:rPr>
              <w:t>注：IV+为极高环境风险。</w:t>
            </w:r>
          </w:p>
        </w:tc>
      </w:tr>
    </w:tbl>
    <w:p w14:paraId="663324A4">
      <w:pPr>
        <w:pStyle w:val="3"/>
        <w:bidi w:val="0"/>
        <w:rPr>
          <w:rFonts w:hint="default"/>
          <w:lang w:eastAsia="zh-CN"/>
        </w:rPr>
      </w:pPr>
      <w:bookmarkStart w:id="7" w:name="_Toc30888"/>
      <w:r>
        <w:rPr>
          <w:rFonts w:hint="default"/>
          <w:lang w:eastAsia="zh-CN"/>
        </w:rPr>
        <w:t>P的分级</w:t>
      </w:r>
      <w:bookmarkEnd w:id="7"/>
    </w:p>
    <w:p w14:paraId="772C769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计算所涉及的每种危险物质在厂界内的最大存在总量与其在《建设项目环境风险评价技术导则》（HJ169-2018）附录B中对应临界量的比值Q。在不同厂区的同一种物质，按其在厂界内的最大存在总量计算。对于长输管线项目，按照两个截断阀室之间管段危险物质最大存在总量计算。当只涉及一种危险物质时，计算该物质的总量与其临界量比值，即为Q；当存在多种危险物质时，则按式（C.1）计算物质总量与其临界量比值（Q）：</w:t>
      </w:r>
    </w:p>
    <w:p w14:paraId="1705C065">
      <w:pPr>
        <w:spacing w:line="360" w:lineRule="auto"/>
        <w:jc w:val="center"/>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drawing>
          <wp:inline distT="0" distB="0" distL="0" distR="0">
            <wp:extent cx="1303655" cy="337185"/>
            <wp:effectExtent l="0" t="0" r="10795" b="5715"/>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3"/>
                    <a:stretch>
                      <a:fillRect/>
                    </a:stretch>
                  </pic:blipFill>
                  <pic:spPr>
                    <a:xfrm>
                      <a:off x="0" y="0"/>
                      <a:ext cx="1303742" cy="337389"/>
                    </a:xfrm>
                    <a:prstGeom prst="rect">
                      <a:avLst/>
                    </a:prstGeom>
                  </pic:spPr>
                </pic:pic>
              </a:graphicData>
            </a:graphic>
          </wp:inline>
        </w:drawing>
      </w:r>
    </w:p>
    <w:p w14:paraId="3BEEADAC">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式中：q1，q2，...，qn——每种危险物质的最大存在总量，t；Q1，Q2，..，Qn——每种危险物质的临界量，t。</w:t>
      </w:r>
    </w:p>
    <w:p w14:paraId="6230F869">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当Q＜1时，该项目环境风险潜势为Ⅰ。</w:t>
      </w:r>
    </w:p>
    <w:p w14:paraId="036B9D99">
      <w:pPr>
        <w:spacing w:line="360" w:lineRule="auto"/>
        <w:ind w:firstLine="508" w:firstLineChars="200"/>
        <w:jc w:val="both"/>
        <w:rPr>
          <w:rFonts w:hint="default" w:ascii="Times New Roman" w:hAnsi="Times New Roman" w:eastAsia="宋体" w:cs="Times New Roman"/>
          <w:color w:val="00B0F0"/>
          <w:spacing w:val="7"/>
          <w:sz w:val="24"/>
          <w:szCs w:val="24"/>
          <w:lang w:eastAsia="zh-CN"/>
        </w:rPr>
      </w:pPr>
      <w:r>
        <w:rPr>
          <w:rFonts w:hint="default" w:ascii="Times New Roman" w:hAnsi="Times New Roman" w:eastAsia="宋体" w:cs="Times New Roman"/>
          <w:color w:val="00B0F0"/>
          <w:spacing w:val="7"/>
          <w:sz w:val="24"/>
          <w:szCs w:val="24"/>
          <w:lang w:eastAsia="zh-CN"/>
        </w:rPr>
        <w:t>当Q≥1时，将Q值划分为：（1）1≤Q＜10；（2）10≤Q＜100；（3）Q≥100。</w:t>
      </w:r>
    </w:p>
    <w:p w14:paraId="5FF590DA">
      <w:pPr>
        <w:spacing w:line="360" w:lineRule="auto"/>
        <w:ind w:firstLine="508" w:firstLineChars="200"/>
        <w:jc w:val="both"/>
        <w:rPr>
          <w:rFonts w:hint="default" w:ascii="Times New Roman" w:hAnsi="Times New Roman" w:eastAsia="宋体" w:cs="Times New Roman"/>
          <w:color w:val="00B0F0"/>
          <w:spacing w:val="7"/>
          <w:sz w:val="24"/>
          <w:szCs w:val="24"/>
          <w:lang w:eastAsia="zh-CN"/>
        </w:rPr>
      </w:pPr>
      <w:r>
        <w:rPr>
          <w:rFonts w:hint="default" w:ascii="Times New Roman" w:hAnsi="Times New Roman" w:eastAsia="宋体" w:cs="Times New Roman"/>
          <w:color w:val="00B0F0"/>
          <w:spacing w:val="7"/>
          <w:sz w:val="24"/>
          <w:szCs w:val="24"/>
          <w:lang w:eastAsia="zh-CN"/>
        </w:rPr>
        <w:t>本项目</w:t>
      </w:r>
      <w:r>
        <w:rPr>
          <w:rFonts w:hint="eastAsia" w:ascii="Times New Roman" w:hAnsi="Times New Roman" w:eastAsia="宋体" w:cs="Times New Roman"/>
          <w:color w:val="00B0F0"/>
          <w:spacing w:val="7"/>
          <w:sz w:val="24"/>
          <w:szCs w:val="24"/>
          <w:lang w:val="en-US" w:eastAsia="zh-CN"/>
        </w:rPr>
        <w:t>危险位置包括在线量及储存量，根据前文，Q值=4.35931+14.1772=18.53651</w:t>
      </w:r>
      <w:r>
        <w:rPr>
          <w:rFonts w:hint="default" w:ascii="Times New Roman" w:hAnsi="Times New Roman" w:eastAsia="宋体" w:cs="Times New Roman"/>
          <w:color w:val="00B0F0"/>
          <w:spacing w:val="7"/>
          <w:sz w:val="24"/>
          <w:szCs w:val="24"/>
          <w:lang w:eastAsia="zh-CN"/>
        </w:rPr>
        <w:t>。</w:t>
      </w:r>
    </w:p>
    <w:p w14:paraId="59FF7E36">
      <w:pPr>
        <w:spacing w:line="360" w:lineRule="auto"/>
        <w:ind w:firstLine="508" w:firstLineChars="200"/>
        <w:jc w:val="both"/>
        <w:rPr>
          <w:rFonts w:hint="default" w:ascii="Times New Roman" w:hAnsi="Times New Roman" w:eastAsia="宋体" w:cs="Times New Roman"/>
          <w:color w:val="00B0F0"/>
          <w:spacing w:val="7"/>
          <w:sz w:val="24"/>
          <w:szCs w:val="24"/>
          <w:lang w:eastAsia="zh-CN"/>
        </w:rPr>
      </w:pPr>
      <w:r>
        <w:rPr>
          <w:rFonts w:hint="default" w:ascii="Times New Roman" w:hAnsi="Times New Roman" w:eastAsia="宋体" w:cs="Times New Roman"/>
          <w:color w:val="00B0F0"/>
          <w:spacing w:val="7"/>
          <w:sz w:val="24"/>
          <w:szCs w:val="24"/>
          <w:lang w:eastAsia="zh-CN"/>
        </w:rPr>
        <w:t>经计算，本项目完成后危险物质数量与临界量比值1</w:t>
      </w:r>
      <w:r>
        <w:rPr>
          <w:rFonts w:hint="eastAsia" w:ascii="Times New Roman" w:hAnsi="Times New Roman" w:eastAsia="宋体" w:cs="Times New Roman"/>
          <w:color w:val="00B0F0"/>
          <w:spacing w:val="7"/>
          <w:sz w:val="24"/>
          <w:szCs w:val="24"/>
          <w:lang w:val="en-US" w:eastAsia="zh-CN"/>
        </w:rPr>
        <w:t>0</w:t>
      </w:r>
      <w:r>
        <w:rPr>
          <w:rFonts w:hint="default" w:ascii="Times New Roman" w:hAnsi="Times New Roman" w:eastAsia="宋体" w:cs="Times New Roman"/>
          <w:color w:val="00B0F0"/>
          <w:spacing w:val="7"/>
          <w:sz w:val="24"/>
          <w:szCs w:val="24"/>
          <w:lang w:eastAsia="zh-CN"/>
        </w:rPr>
        <w:t>≤Q=</w:t>
      </w:r>
      <w:r>
        <w:rPr>
          <w:rFonts w:hint="eastAsia" w:ascii="Times New Roman" w:hAnsi="Times New Roman" w:eastAsia="宋体" w:cs="Times New Roman"/>
          <w:color w:val="00B0F0"/>
          <w:spacing w:val="7"/>
          <w:sz w:val="24"/>
          <w:szCs w:val="24"/>
          <w:lang w:val="en-US" w:eastAsia="zh-CN"/>
        </w:rPr>
        <w:t>18.53651</w:t>
      </w:r>
      <w:r>
        <w:rPr>
          <w:rFonts w:hint="default" w:ascii="Times New Roman" w:hAnsi="Times New Roman" w:eastAsia="宋体" w:cs="Times New Roman"/>
          <w:color w:val="00B0F0"/>
          <w:spacing w:val="7"/>
          <w:sz w:val="24"/>
          <w:szCs w:val="24"/>
          <w:lang w:eastAsia="zh-CN"/>
        </w:rPr>
        <w:t>&lt;1</w:t>
      </w:r>
      <w:r>
        <w:rPr>
          <w:rFonts w:hint="eastAsia" w:ascii="Times New Roman" w:hAnsi="Times New Roman" w:eastAsia="宋体" w:cs="Times New Roman"/>
          <w:color w:val="00B0F0"/>
          <w:spacing w:val="7"/>
          <w:sz w:val="24"/>
          <w:szCs w:val="24"/>
          <w:lang w:val="en-US" w:eastAsia="zh-CN"/>
        </w:rPr>
        <w:t>0</w:t>
      </w:r>
      <w:r>
        <w:rPr>
          <w:rFonts w:hint="default" w:ascii="Times New Roman" w:hAnsi="Times New Roman" w:eastAsia="宋体" w:cs="Times New Roman"/>
          <w:color w:val="00B0F0"/>
          <w:spacing w:val="7"/>
          <w:sz w:val="24"/>
          <w:szCs w:val="24"/>
          <w:lang w:eastAsia="zh-CN"/>
        </w:rPr>
        <w:t>0。</w:t>
      </w:r>
    </w:p>
    <w:p w14:paraId="528D9742">
      <w:pPr>
        <w:pStyle w:val="3"/>
        <w:bidi w:val="0"/>
        <w:rPr>
          <w:rFonts w:hint="default"/>
          <w:lang w:eastAsia="zh-CN"/>
        </w:rPr>
      </w:pPr>
      <w:bookmarkStart w:id="8" w:name="_Toc28403"/>
      <w:r>
        <w:rPr>
          <w:rFonts w:hint="default"/>
          <w:lang w:eastAsia="zh-CN"/>
        </w:rPr>
        <w:t>行业及生产工艺（M）</w:t>
      </w:r>
      <w:bookmarkEnd w:id="8"/>
    </w:p>
    <w:p w14:paraId="0AAA023B">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建设项目具有多套工艺单元的项目，应对每套生产工艺分别评分并求和。所属行业及生产工艺特点（M）划分为（1）M＞20；（2）10＜M≤20；（3）5＜M≤10；（4）M=5，分别以M1、</w:t>
      </w:r>
      <w:r>
        <w:rPr>
          <w:rFonts w:hint="default" w:ascii="Times New Roman" w:hAnsi="Times New Roman" w:eastAsia="宋体" w:cs="Times New Roman"/>
          <w:color w:val="auto"/>
          <w:spacing w:val="7"/>
          <w:sz w:val="24"/>
          <w:szCs w:val="24"/>
          <w:lang w:val="en-US" w:eastAsia="zh-CN"/>
        </w:rPr>
        <w:t>M2</w:t>
      </w:r>
      <w:r>
        <w:rPr>
          <w:rFonts w:hint="default" w:ascii="Times New Roman" w:hAnsi="Times New Roman" w:eastAsia="宋体" w:cs="Times New Roman"/>
          <w:color w:val="auto"/>
          <w:spacing w:val="7"/>
          <w:sz w:val="24"/>
          <w:szCs w:val="24"/>
          <w:lang w:eastAsia="zh-CN"/>
        </w:rPr>
        <w:t>、</w:t>
      </w:r>
      <w:r>
        <w:rPr>
          <w:rFonts w:hint="default" w:ascii="Times New Roman" w:hAnsi="Times New Roman" w:eastAsia="宋体" w:cs="Times New Roman"/>
          <w:color w:val="auto"/>
          <w:spacing w:val="7"/>
          <w:sz w:val="24"/>
          <w:szCs w:val="24"/>
          <w:lang w:val="en-US" w:eastAsia="zh-CN"/>
        </w:rPr>
        <w:t>M3</w:t>
      </w:r>
      <w:r>
        <w:rPr>
          <w:rFonts w:hint="default" w:ascii="Times New Roman" w:hAnsi="Times New Roman" w:eastAsia="宋体" w:cs="Times New Roman"/>
          <w:color w:val="auto"/>
          <w:spacing w:val="7"/>
          <w:sz w:val="24"/>
          <w:szCs w:val="24"/>
          <w:lang w:eastAsia="zh-CN"/>
        </w:rPr>
        <w:t>、M4表示。</w:t>
      </w:r>
    </w:p>
    <w:p w14:paraId="2DEABBCD">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表3.3-1行业及生产工艺（M）评估表</w:t>
      </w:r>
    </w:p>
    <w:p w14:paraId="1D9A3746">
      <w:pPr>
        <w:spacing w:line="14" w:lineRule="exact"/>
        <w:rPr>
          <w:rFonts w:hint="default" w:ascii="Times New Roman" w:hAnsi="Times New Roman" w:eastAsia="宋体" w:cs="Times New Roman"/>
          <w:color w:val="auto"/>
          <w:lang w:eastAsia="zh-CN"/>
        </w:rPr>
      </w:pPr>
    </w:p>
    <w:tbl>
      <w:tblPr>
        <w:tblStyle w:val="2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42"/>
        <w:gridCol w:w="5938"/>
        <w:gridCol w:w="1032"/>
      </w:tblGrid>
      <w:tr w14:paraId="71D4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6" w:type="pct"/>
            <w:vAlign w:val="center"/>
          </w:tcPr>
          <w:p w14:paraId="33BBE667">
            <w:pPr>
              <w:pStyle w:val="24"/>
              <w:spacing w:before="69" w:line="229" w:lineRule="auto"/>
              <w:ind w:left="557"/>
              <w:rPr>
                <w:rFonts w:hint="default" w:ascii="Times New Roman" w:hAnsi="Times New Roman" w:eastAsia="宋体" w:cs="Times New Roman"/>
                <w:b/>
                <w:bCs/>
                <w:color w:val="auto"/>
              </w:rPr>
            </w:pPr>
            <w:r>
              <w:rPr>
                <w:rFonts w:hint="default" w:ascii="Times New Roman" w:hAnsi="Times New Roman" w:eastAsia="宋体" w:cs="Times New Roman"/>
                <w:b/>
                <w:bCs/>
                <w:color w:val="auto"/>
                <w:spacing w:val="3"/>
              </w:rPr>
              <w:t>行业</w:t>
            </w:r>
          </w:p>
        </w:tc>
        <w:tc>
          <w:tcPr>
            <w:tcW w:w="3488" w:type="pct"/>
            <w:vAlign w:val="center"/>
          </w:tcPr>
          <w:p w14:paraId="4AEFE862">
            <w:pPr>
              <w:pStyle w:val="24"/>
              <w:spacing w:before="69" w:line="227" w:lineRule="auto"/>
              <w:ind w:left="2557"/>
              <w:rPr>
                <w:rFonts w:hint="default" w:ascii="Times New Roman" w:hAnsi="Times New Roman" w:eastAsia="宋体" w:cs="Times New Roman"/>
                <w:b/>
                <w:bCs/>
                <w:color w:val="auto"/>
              </w:rPr>
            </w:pPr>
            <w:r>
              <w:rPr>
                <w:rFonts w:hint="default" w:ascii="Times New Roman" w:hAnsi="Times New Roman" w:eastAsia="宋体" w:cs="Times New Roman"/>
                <w:b/>
                <w:bCs/>
                <w:color w:val="auto"/>
                <w:spacing w:val="7"/>
              </w:rPr>
              <w:t>评估依据</w:t>
            </w:r>
          </w:p>
        </w:tc>
        <w:tc>
          <w:tcPr>
            <w:tcW w:w="605" w:type="pct"/>
            <w:vAlign w:val="center"/>
          </w:tcPr>
          <w:p w14:paraId="023FC48D">
            <w:pPr>
              <w:pStyle w:val="24"/>
              <w:spacing w:before="69" w:line="228" w:lineRule="auto"/>
              <w:ind w:left="317"/>
              <w:rPr>
                <w:rFonts w:hint="default" w:ascii="Times New Roman" w:hAnsi="Times New Roman" w:eastAsia="宋体" w:cs="Times New Roman"/>
                <w:b/>
                <w:bCs/>
                <w:color w:val="auto"/>
              </w:rPr>
            </w:pPr>
            <w:r>
              <w:rPr>
                <w:rFonts w:hint="default" w:ascii="Times New Roman" w:hAnsi="Times New Roman" w:eastAsia="宋体" w:cs="Times New Roman"/>
                <w:b/>
                <w:bCs/>
                <w:color w:val="auto"/>
                <w:spacing w:val="3"/>
              </w:rPr>
              <w:t>分值</w:t>
            </w:r>
          </w:p>
        </w:tc>
      </w:tr>
      <w:tr w14:paraId="74452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6" w:type="pct"/>
            <w:vMerge w:val="restart"/>
            <w:vAlign w:val="center"/>
          </w:tcPr>
          <w:p w14:paraId="69C4A43F">
            <w:pPr>
              <w:pStyle w:val="24"/>
              <w:spacing w:before="50" w:line="197" w:lineRule="auto"/>
              <w:ind w:left="105"/>
              <w:jc w:val="center"/>
              <w:rPr>
                <w:rFonts w:hint="default" w:ascii="Times New Roman" w:hAnsi="Times New Roman" w:eastAsia="宋体" w:cs="Times New Roman"/>
                <w:color w:val="auto"/>
                <w:spacing w:val="1"/>
                <w:lang w:val="en-US" w:eastAsia="zh-CN"/>
              </w:rPr>
            </w:pPr>
          </w:p>
          <w:p w14:paraId="753E4836">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石化、化工、医药、轻工、化纤、有色冶炼等</w:t>
            </w:r>
          </w:p>
        </w:tc>
        <w:tc>
          <w:tcPr>
            <w:tcW w:w="3488" w:type="pct"/>
            <w:vAlign w:val="center"/>
          </w:tcPr>
          <w:p w14:paraId="0674779B">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涉及光气及光气化工艺、电解工艺（氯碱）、氯化工艺、硝化</w:t>
            </w:r>
          </w:p>
          <w:p w14:paraId="0E23252A">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工艺、合成氨工艺、裂解（裂化）工艺、氟化工艺、加氢工艺、</w:t>
            </w:r>
          </w:p>
          <w:p w14:paraId="10384A7D">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重氮化工艺、氧化工艺、过氧化工艺、胺基化工艺、磺化工艺、</w:t>
            </w:r>
          </w:p>
          <w:p w14:paraId="030A221F">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烷基化工艺、新型煤化工工艺、电石生产工艺、偶氮化工艺</w:t>
            </w:r>
          </w:p>
        </w:tc>
        <w:tc>
          <w:tcPr>
            <w:tcW w:w="605" w:type="pct"/>
            <w:vAlign w:val="center"/>
          </w:tcPr>
          <w:p w14:paraId="444468D6">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10/每套</w:t>
            </w:r>
          </w:p>
        </w:tc>
      </w:tr>
      <w:tr w14:paraId="078DE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6" w:type="pct"/>
            <w:vMerge w:val="continue"/>
            <w:vAlign w:val="center"/>
          </w:tcPr>
          <w:p w14:paraId="5F7DD83B">
            <w:pPr>
              <w:pStyle w:val="24"/>
              <w:spacing w:before="50" w:line="197" w:lineRule="auto"/>
              <w:ind w:left="105"/>
              <w:jc w:val="center"/>
              <w:rPr>
                <w:rFonts w:hint="default" w:ascii="Times New Roman" w:hAnsi="Times New Roman" w:eastAsia="宋体" w:cs="Times New Roman"/>
                <w:color w:val="auto"/>
                <w:spacing w:val="1"/>
                <w:lang w:val="en-US" w:eastAsia="zh-CN"/>
              </w:rPr>
            </w:pPr>
          </w:p>
        </w:tc>
        <w:tc>
          <w:tcPr>
            <w:tcW w:w="3488" w:type="pct"/>
            <w:vAlign w:val="center"/>
          </w:tcPr>
          <w:p w14:paraId="5C4789CC">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无机酸制酸工艺、焦化工艺</w:t>
            </w:r>
          </w:p>
        </w:tc>
        <w:tc>
          <w:tcPr>
            <w:tcW w:w="605" w:type="pct"/>
            <w:vAlign w:val="center"/>
          </w:tcPr>
          <w:p w14:paraId="21542E96">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5/套</w:t>
            </w:r>
          </w:p>
        </w:tc>
      </w:tr>
      <w:tr w14:paraId="09A18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6" w:type="pct"/>
            <w:vMerge w:val="continue"/>
            <w:vAlign w:val="center"/>
          </w:tcPr>
          <w:p w14:paraId="7C941A10">
            <w:pPr>
              <w:pStyle w:val="24"/>
              <w:spacing w:before="50" w:line="197" w:lineRule="auto"/>
              <w:ind w:left="105"/>
              <w:jc w:val="center"/>
              <w:rPr>
                <w:rFonts w:hint="default" w:ascii="Times New Roman" w:hAnsi="Times New Roman" w:eastAsia="宋体" w:cs="Times New Roman"/>
                <w:color w:val="auto"/>
                <w:spacing w:val="1"/>
                <w:lang w:val="en-US" w:eastAsia="zh-CN"/>
              </w:rPr>
            </w:pPr>
          </w:p>
        </w:tc>
        <w:tc>
          <w:tcPr>
            <w:tcW w:w="3488" w:type="pct"/>
            <w:vAlign w:val="center"/>
          </w:tcPr>
          <w:p w14:paraId="1D8B997E">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其他高温高压，且涉及危险物质的工艺过程a、危险物质贮存罐区</w:t>
            </w:r>
          </w:p>
        </w:tc>
        <w:tc>
          <w:tcPr>
            <w:tcW w:w="605" w:type="pct"/>
            <w:vAlign w:val="center"/>
          </w:tcPr>
          <w:p w14:paraId="21142F06">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5/套（罐区）</w:t>
            </w:r>
          </w:p>
        </w:tc>
      </w:tr>
      <w:tr w14:paraId="4172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6" w:type="pct"/>
            <w:vAlign w:val="center"/>
          </w:tcPr>
          <w:p w14:paraId="6CB28AAA">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管道、港口/码头等</w:t>
            </w:r>
          </w:p>
        </w:tc>
        <w:tc>
          <w:tcPr>
            <w:tcW w:w="3488" w:type="pct"/>
            <w:vAlign w:val="center"/>
          </w:tcPr>
          <w:p w14:paraId="187E8050">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涉及危险物质管道运输项目、港口/码头等</w:t>
            </w:r>
          </w:p>
        </w:tc>
        <w:tc>
          <w:tcPr>
            <w:tcW w:w="605" w:type="pct"/>
            <w:vAlign w:val="center"/>
          </w:tcPr>
          <w:p w14:paraId="480D4DE9">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10</w:t>
            </w:r>
          </w:p>
        </w:tc>
      </w:tr>
      <w:tr w14:paraId="5160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6" w:type="pct"/>
            <w:vAlign w:val="center"/>
          </w:tcPr>
          <w:p w14:paraId="69CDB05D">
            <w:pPr>
              <w:pStyle w:val="24"/>
              <w:spacing w:before="50" w:line="197" w:lineRule="auto"/>
              <w:ind w:left="105"/>
              <w:jc w:val="center"/>
              <w:rPr>
                <w:rFonts w:hint="default" w:ascii="Times New Roman" w:hAnsi="Times New Roman" w:eastAsia="宋体" w:cs="Times New Roman"/>
                <w:color w:val="auto"/>
                <w:spacing w:val="1"/>
                <w:lang w:val="en-US" w:eastAsia="zh-CN"/>
              </w:rPr>
            </w:pPr>
          </w:p>
          <w:p w14:paraId="12F3CDC8">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石油天然气</w:t>
            </w:r>
          </w:p>
        </w:tc>
        <w:tc>
          <w:tcPr>
            <w:tcW w:w="3488" w:type="pct"/>
            <w:vAlign w:val="center"/>
          </w:tcPr>
          <w:p w14:paraId="2E2A3E02">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石油、天然气、页岩气开采（含净化），气库（不含加气站的</w:t>
            </w:r>
          </w:p>
          <w:p w14:paraId="2599B017">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气库），油库（不含加油站的油库）、油气管线b（不含城镇燃</w:t>
            </w:r>
          </w:p>
          <w:p w14:paraId="14052246">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气管线）</w:t>
            </w:r>
          </w:p>
        </w:tc>
        <w:tc>
          <w:tcPr>
            <w:tcW w:w="605" w:type="pct"/>
            <w:vAlign w:val="center"/>
          </w:tcPr>
          <w:p w14:paraId="24008896">
            <w:pPr>
              <w:pStyle w:val="24"/>
              <w:spacing w:before="50" w:line="197" w:lineRule="auto"/>
              <w:ind w:left="105"/>
              <w:jc w:val="center"/>
              <w:rPr>
                <w:rFonts w:hint="default" w:ascii="Times New Roman" w:hAnsi="Times New Roman" w:eastAsia="宋体" w:cs="Times New Roman"/>
                <w:color w:val="auto"/>
                <w:spacing w:val="1"/>
                <w:lang w:val="en-US" w:eastAsia="zh-CN"/>
              </w:rPr>
            </w:pPr>
          </w:p>
          <w:p w14:paraId="43849BF6">
            <w:pPr>
              <w:pStyle w:val="24"/>
              <w:spacing w:before="50" w:line="197" w:lineRule="auto"/>
              <w:ind w:left="105"/>
              <w:jc w:val="center"/>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10</w:t>
            </w:r>
          </w:p>
        </w:tc>
      </w:tr>
      <w:tr w14:paraId="43C1D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6" w:type="pct"/>
            <w:vAlign w:val="center"/>
          </w:tcPr>
          <w:p w14:paraId="6DAF7BD8">
            <w:pPr>
              <w:pStyle w:val="24"/>
              <w:spacing w:before="84" w:line="229" w:lineRule="auto"/>
              <w:ind w:left="555"/>
              <w:rPr>
                <w:rFonts w:hint="default" w:ascii="Times New Roman" w:hAnsi="Times New Roman" w:eastAsia="宋体" w:cs="Times New Roman"/>
                <w:color w:val="auto"/>
              </w:rPr>
            </w:pPr>
            <w:r>
              <w:rPr>
                <w:rFonts w:hint="default" w:ascii="Times New Roman" w:hAnsi="Times New Roman" w:eastAsia="宋体" w:cs="Times New Roman"/>
                <w:b/>
                <w:bCs/>
                <w:color w:val="auto"/>
                <w:spacing w:val="3"/>
              </w:rPr>
              <w:t>其他</w:t>
            </w:r>
          </w:p>
        </w:tc>
        <w:tc>
          <w:tcPr>
            <w:tcW w:w="3488" w:type="pct"/>
            <w:vAlign w:val="center"/>
          </w:tcPr>
          <w:p w14:paraId="002EF9AB">
            <w:pPr>
              <w:pStyle w:val="24"/>
              <w:spacing w:before="84" w:line="228" w:lineRule="auto"/>
              <w:ind w:left="1506"/>
              <w:rPr>
                <w:rFonts w:hint="default" w:ascii="Times New Roman" w:hAnsi="Times New Roman" w:eastAsia="宋体" w:cs="Times New Roman"/>
                <w:color w:val="auto"/>
                <w:lang w:eastAsia="zh-CN"/>
              </w:rPr>
            </w:pPr>
            <w:r>
              <w:rPr>
                <w:rFonts w:hint="default" w:ascii="Times New Roman" w:hAnsi="Times New Roman" w:eastAsia="宋体" w:cs="Times New Roman"/>
                <w:b/>
                <w:bCs/>
                <w:color w:val="auto"/>
                <w:spacing w:val="7"/>
                <w:lang w:eastAsia="zh-CN"/>
              </w:rPr>
              <w:t>涉及危险物质使用、贮存的项目</w:t>
            </w:r>
          </w:p>
        </w:tc>
        <w:tc>
          <w:tcPr>
            <w:tcW w:w="605" w:type="pct"/>
            <w:vAlign w:val="center"/>
          </w:tcPr>
          <w:p w14:paraId="252CD3B0">
            <w:pPr>
              <w:spacing w:before="125" w:line="192" w:lineRule="auto"/>
              <w:ind w:left="471"/>
              <w:rPr>
                <w:rFonts w:hint="default" w:ascii="Times New Roman" w:hAnsi="Times New Roman" w:eastAsia="宋体" w:cs="Times New Roman"/>
                <w:color w:val="auto"/>
                <w:sz w:val="20"/>
                <w:szCs w:val="20"/>
              </w:rPr>
            </w:pPr>
            <w:r>
              <w:rPr>
                <w:rFonts w:hint="default" w:ascii="Times New Roman" w:hAnsi="Times New Roman" w:eastAsia="宋体" w:cs="Times New Roman"/>
                <w:b/>
                <w:bCs/>
                <w:color w:val="auto"/>
                <w:sz w:val="20"/>
                <w:szCs w:val="20"/>
              </w:rPr>
              <w:t>5</w:t>
            </w:r>
          </w:p>
        </w:tc>
      </w:tr>
      <w:tr w14:paraId="4005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3"/>
            <w:vAlign w:val="center"/>
          </w:tcPr>
          <w:p w14:paraId="7DF34834">
            <w:pPr>
              <w:pStyle w:val="24"/>
              <w:spacing w:before="52" w:line="221" w:lineRule="auto"/>
              <w:ind w:left="748"/>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6"/>
                <w:lang w:eastAsia="zh-CN"/>
              </w:rPr>
              <w:t>注：a高温指工艺温度≥300℃，高压指压力容器的设计</w:t>
            </w:r>
            <w:r>
              <w:rPr>
                <w:rFonts w:hint="default" w:ascii="Times New Roman" w:hAnsi="Times New Roman" w:eastAsia="宋体" w:cs="Times New Roman"/>
                <w:color w:val="auto"/>
                <w:spacing w:val="5"/>
                <w:lang w:eastAsia="zh-CN"/>
              </w:rPr>
              <w:t>压力（p）≥10.0</w:t>
            </w:r>
            <w:r>
              <w:rPr>
                <w:rFonts w:hint="default" w:ascii="Times New Roman" w:hAnsi="Times New Roman" w:eastAsia="宋体" w:cs="Times New Roman"/>
                <w:color w:val="auto"/>
                <w:lang w:eastAsia="zh-CN"/>
              </w:rPr>
              <w:t>MPa</w:t>
            </w:r>
            <w:r>
              <w:rPr>
                <w:rFonts w:hint="default" w:ascii="Times New Roman" w:hAnsi="Times New Roman" w:eastAsia="宋体" w:cs="Times New Roman"/>
                <w:color w:val="auto"/>
                <w:spacing w:val="5"/>
                <w:lang w:eastAsia="zh-CN"/>
              </w:rPr>
              <w:t>；</w:t>
            </w:r>
          </w:p>
          <w:p w14:paraId="7925F3C4">
            <w:pPr>
              <w:pStyle w:val="24"/>
              <w:spacing w:before="3" w:line="265" w:lineRule="exact"/>
              <w:ind w:left="1861"/>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9"/>
                <w:position w:val="1"/>
                <w:lang w:eastAsia="zh-CN"/>
              </w:rPr>
              <w:t>b长输管道运输项目应按站场、管线分段进行评</w:t>
            </w:r>
            <w:r>
              <w:rPr>
                <w:rFonts w:hint="default" w:ascii="Times New Roman" w:hAnsi="Times New Roman" w:eastAsia="宋体" w:cs="Times New Roman"/>
                <w:color w:val="auto"/>
                <w:spacing w:val="8"/>
                <w:position w:val="1"/>
                <w:lang w:eastAsia="zh-CN"/>
              </w:rPr>
              <w:t>价。</w:t>
            </w:r>
          </w:p>
        </w:tc>
      </w:tr>
    </w:tbl>
    <w:p w14:paraId="307ADBCF">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由上表可知，项目属于“其他-涉及危险物质使用、贮存的项目”，拟建项目建设项目M值为5分，属于M4类。</w:t>
      </w:r>
    </w:p>
    <w:p w14:paraId="744F6CC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危险物质及工艺系统危险性（P）分级根据危险物质数量与临界量比值（Q）和行业及生产工艺（M），按照下表确定危险物质及工艺系统危险性等级（P），分别以P1、P2、P3、P4所示。</w:t>
      </w:r>
    </w:p>
    <w:p w14:paraId="260C6981">
      <w:pPr>
        <w:spacing w:before="100"/>
        <w:jc w:val="center"/>
        <w:rPr>
          <w:rFonts w:hint="default" w:ascii="Times New Roman" w:hAnsi="Times New Roman" w:eastAsia="宋体" w:cs="Times New Roman"/>
          <w:b/>
          <w:bCs/>
          <w:color w:val="auto"/>
          <w:spacing w:val="6"/>
          <w:sz w:val="20"/>
          <w:szCs w:val="20"/>
        </w:rPr>
      </w:pPr>
      <w:r>
        <w:rPr>
          <w:rFonts w:hint="default" w:ascii="Times New Roman" w:hAnsi="Times New Roman" w:eastAsia="宋体" w:cs="Times New Roman"/>
          <w:b/>
          <w:bCs/>
          <w:color w:val="auto"/>
          <w:spacing w:val="6"/>
          <w:sz w:val="20"/>
          <w:szCs w:val="20"/>
        </w:rPr>
        <w:t>表3.3-2P值等级判定表</w:t>
      </w:r>
    </w:p>
    <w:p w14:paraId="45384CA9">
      <w:pPr>
        <w:spacing w:line="14" w:lineRule="exact"/>
        <w:rPr>
          <w:rFonts w:hint="default" w:ascii="Times New Roman" w:hAnsi="Times New Roman" w:eastAsia="宋体" w:cs="Times New Roman"/>
          <w:color w:val="auto"/>
        </w:rPr>
      </w:pPr>
    </w:p>
    <w:tbl>
      <w:tblPr>
        <w:tblStyle w:val="25"/>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000"/>
        <w:gridCol w:w="1382"/>
        <w:gridCol w:w="1089"/>
        <w:gridCol w:w="927"/>
        <w:gridCol w:w="1120"/>
      </w:tblGrid>
      <w:tr w14:paraId="69020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00" w:type="dxa"/>
            <w:vMerge w:val="restart"/>
            <w:vAlign w:val="center"/>
          </w:tcPr>
          <w:p w14:paraId="1BE1BE3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b/>
                <w:bCs/>
                <w:color w:val="auto"/>
                <w:spacing w:val="7"/>
                <w:sz w:val="21"/>
                <w:szCs w:val="21"/>
                <w:lang w:eastAsia="zh-CN"/>
              </w:rPr>
              <w:t>危险物质数量与临界量比值（Q）</w:t>
            </w:r>
          </w:p>
        </w:tc>
        <w:tc>
          <w:tcPr>
            <w:tcW w:w="4518" w:type="dxa"/>
            <w:gridSpan w:val="4"/>
            <w:vAlign w:val="center"/>
          </w:tcPr>
          <w:p w14:paraId="3E4B477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b/>
                <w:bCs/>
                <w:color w:val="auto"/>
                <w:spacing w:val="6"/>
                <w:sz w:val="21"/>
                <w:szCs w:val="21"/>
                <w:lang w:eastAsia="zh-CN"/>
              </w:rPr>
              <w:t>行业及生产工艺（M）</w:t>
            </w:r>
          </w:p>
        </w:tc>
      </w:tr>
      <w:tr w14:paraId="355E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00" w:type="dxa"/>
            <w:vMerge w:val="continue"/>
            <w:vAlign w:val="center"/>
          </w:tcPr>
          <w:p w14:paraId="0E6EFBF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lang w:eastAsia="zh-CN"/>
              </w:rPr>
            </w:pPr>
          </w:p>
        </w:tc>
        <w:tc>
          <w:tcPr>
            <w:tcW w:w="1382" w:type="dxa"/>
            <w:vAlign w:val="center"/>
          </w:tcPr>
          <w:p w14:paraId="52C5117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pacing w:val="4"/>
                <w:sz w:val="21"/>
                <w:szCs w:val="21"/>
              </w:rPr>
              <w:t>M1</w:t>
            </w:r>
          </w:p>
        </w:tc>
        <w:tc>
          <w:tcPr>
            <w:tcW w:w="1089" w:type="dxa"/>
            <w:vAlign w:val="center"/>
          </w:tcPr>
          <w:p w14:paraId="6D3AE64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
                <w:bCs/>
                <w:color w:val="auto"/>
                <w:spacing w:val="4"/>
                <w:sz w:val="21"/>
                <w:szCs w:val="21"/>
                <w:lang w:val="en-US" w:eastAsia="zh-CN"/>
              </w:rPr>
              <w:t>M2</w:t>
            </w:r>
          </w:p>
        </w:tc>
        <w:tc>
          <w:tcPr>
            <w:tcW w:w="927" w:type="dxa"/>
            <w:vAlign w:val="center"/>
          </w:tcPr>
          <w:p w14:paraId="07A2186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
                <w:bCs/>
                <w:color w:val="auto"/>
                <w:spacing w:val="4"/>
                <w:sz w:val="21"/>
                <w:szCs w:val="21"/>
                <w:lang w:val="en-US" w:eastAsia="zh-CN"/>
              </w:rPr>
              <w:t>M3</w:t>
            </w:r>
          </w:p>
        </w:tc>
        <w:tc>
          <w:tcPr>
            <w:tcW w:w="1120" w:type="dxa"/>
            <w:vAlign w:val="center"/>
          </w:tcPr>
          <w:p w14:paraId="708EE7C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pacing w:val="4"/>
                <w:sz w:val="21"/>
                <w:szCs w:val="21"/>
              </w:rPr>
              <w:t>M4</w:t>
            </w:r>
          </w:p>
        </w:tc>
      </w:tr>
      <w:tr w14:paraId="4D7BF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00" w:type="dxa"/>
            <w:vAlign w:val="center"/>
          </w:tcPr>
          <w:p w14:paraId="0EC3A10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4"/>
                <w:sz w:val="21"/>
                <w:szCs w:val="21"/>
              </w:rPr>
              <w:t>Q≥100</w:t>
            </w:r>
          </w:p>
        </w:tc>
        <w:tc>
          <w:tcPr>
            <w:tcW w:w="1382" w:type="dxa"/>
            <w:vAlign w:val="center"/>
          </w:tcPr>
          <w:p w14:paraId="02050CB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P1</w:t>
            </w:r>
          </w:p>
        </w:tc>
        <w:tc>
          <w:tcPr>
            <w:tcW w:w="1089" w:type="dxa"/>
            <w:vAlign w:val="center"/>
          </w:tcPr>
          <w:p w14:paraId="16C4ADE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P1</w:t>
            </w:r>
          </w:p>
        </w:tc>
        <w:tc>
          <w:tcPr>
            <w:tcW w:w="927" w:type="dxa"/>
            <w:vAlign w:val="center"/>
          </w:tcPr>
          <w:p w14:paraId="12505B5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P2</w:t>
            </w:r>
          </w:p>
        </w:tc>
        <w:tc>
          <w:tcPr>
            <w:tcW w:w="1120" w:type="dxa"/>
            <w:vAlign w:val="center"/>
          </w:tcPr>
          <w:p w14:paraId="2FCC58E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P3</w:t>
            </w:r>
          </w:p>
        </w:tc>
      </w:tr>
      <w:tr w14:paraId="371A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00" w:type="dxa"/>
            <w:vAlign w:val="center"/>
          </w:tcPr>
          <w:p w14:paraId="2835886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10≤Q＜100</w:t>
            </w:r>
          </w:p>
        </w:tc>
        <w:tc>
          <w:tcPr>
            <w:tcW w:w="1382" w:type="dxa"/>
            <w:vAlign w:val="center"/>
          </w:tcPr>
          <w:p w14:paraId="28BF185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P1</w:t>
            </w:r>
          </w:p>
        </w:tc>
        <w:tc>
          <w:tcPr>
            <w:tcW w:w="1089" w:type="dxa"/>
            <w:vAlign w:val="center"/>
          </w:tcPr>
          <w:p w14:paraId="461650B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P2</w:t>
            </w:r>
          </w:p>
        </w:tc>
        <w:tc>
          <w:tcPr>
            <w:tcW w:w="927" w:type="dxa"/>
            <w:vAlign w:val="center"/>
          </w:tcPr>
          <w:p w14:paraId="61229D3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P3</w:t>
            </w:r>
          </w:p>
        </w:tc>
        <w:tc>
          <w:tcPr>
            <w:tcW w:w="1120" w:type="dxa"/>
            <w:shd w:val="clear" w:color="auto" w:fill="EEECE1"/>
            <w:vAlign w:val="center"/>
          </w:tcPr>
          <w:p w14:paraId="07F758E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P4</w:t>
            </w:r>
          </w:p>
        </w:tc>
      </w:tr>
      <w:tr w14:paraId="74BB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00" w:type="dxa"/>
            <w:vAlign w:val="center"/>
          </w:tcPr>
          <w:p w14:paraId="0296265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1≤Q＜10</w:t>
            </w:r>
          </w:p>
        </w:tc>
        <w:tc>
          <w:tcPr>
            <w:tcW w:w="1382" w:type="dxa"/>
            <w:vAlign w:val="center"/>
          </w:tcPr>
          <w:p w14:paraId="554ACC3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P2</w:t>
            </w:r>
          </w:p>
        </w:tc>
        <w:tc>
          <w:tcPr>
            <w:tcW w:w="1089" w:type="dxa"/>
            <w:vAlign w:val="center"/>
          </w:tcPr>
          <w:p w14:paraId="31898C0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P3</w:t>
            </w:r>
          </w:p>
        </w:tc>
        <w:tc>
          <w:tcPr>
            <w:tcW w:w="927" w:type="dxa"/>
            <w:vAlign w:val="center"/>
          </w:tcPr>
          <w:p w14:paraId="04CD2FC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P4</w:t>
            </w:r>
          </w:p>
        </w:tc>
        <w:tc>
          <w:tcPr>
            <w:tcW w:w="1120" w:type="dxa"/>
            <w:vAlign w:val="center"/>
          </w:tcPr>
          <w:p w14:paraId="4EAD985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P4</w:t>
            </w:r>
          </w:p>
        </w:tc>
      </w:tr>
    </w:tbl>
    <w:p w14:paraId="46737AB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项目10≤Q＜100，M值为M4，据上表，项目危险物质及工艺系统危险性分级为P4。</w:t>
      </w:r>
    </w:p>
    <w:p w14:paraId="573709A8">
      <w:pPr>
        <w:pStyle w:val="3"/>
        <w:bidi w:val="0"/>
        <w:rPr>
          <w:rFonts w:hint="default"/>
          <w:lang w:eastAsia="zh-CN"/>
        </w:rPr>
      </w:pPr>
      <w:bookmarkStart w:id="9" w:name="_Toc27103"/>
      <w:r>
        <w:rPr>
          <w:rFonts w:hint="default"/>
          <w:lang w:eastAsia="zh-CN"/>
        </w:rPr>
        <w:t>环境敏感程度（E）的分级确定</w:t>
      </w:r>
      <w:bookmarkEnd w:id="9"/>
    </w:p>
    <w:p w14:paraId="4A01B905">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建设项目环境敏感程度（E）分为大气环境敏感程度、地表水环境敏感程度及地下水环境敏感程度。</w:t>
      </w:r>
    </w:p>
    <w:p w14:paraId="3F23DCD1">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1、</w:t>
      </w:r>
      <w:r>
        <w:rPr>
          <w:rFonts w:hint="default" w:ascii="Times New Roman" w:hAnsi="Times New Roman" w:eastAsia="宋体" w:cs="Times New Roman"/>
          <w:color w:val="auto"/>
          <w:spacing w:val="7"/>
          <w:sz w:val="24"/>
          <w:szCs w:val="24"/>
          <w:lang w:eastAsia="zh-CN"/>
        </w:rPr>
        <w:t>大气环境敏感程度的分级确定</w:t>
      </w:r>
    </w:p>
    <w:p w14:paraId="5DDB1C42">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依据环境敏感目标环境敏感性及人口密度划分环境风险受体的敏感性，共分为三种类型，E1为环境高度敏感区，E2为环境中度敏感区，E3为环境低度敏感区，分级原则见</w:t>
      </w:r>
      <w:r>
        <w:rPr>
          <w:rFonts w:hint="default" w:ascii="Times New Roman" w:hAnsi="Times New Roman" w:eastAsia="宋体" w:cs="Times New Roman"/>
          <w:color w:val="auto"/>
          <w:spacing w:val="7"/>
          <w:sz w:val="24"/>
          <w:szCs w:val="24"/>
          <w:lang w:val="en-US" w:eastAsia="zh-CN"/>
        </w:rPr>
        <w:t>下表</w:t>
      </w:r>
      <w:r>
        <w:rPr>
          <w:rFonts w:hint="default" w:ascii="Times New Roman" w:hAnsi="Times New Roman" w:eastAsia="宋体" w:cs="Times New Roman"/>
          <w:color w:val="auto"/>
          <w:spacing w:val="7"/>
          <w:sz w:val="24"/>
          <w:szCs w:val="24"/>
          <w:lang w:eastAsia="zh-CN"/>
        </w:rPr>
        <w:t>。</w:t>
      </w:r>
    </w:p>
    <w:p w14:paraId="39D8041E">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表3.4-1大气环境敏感程度分级原则表</w:t>
      </w:r>
    </w:p>
    <w:p w14:paraId="2F22BB35">
      <w:pPr>
        <w:spacing w:line="14" w:lineRule="exact"/>
        <w:rPr>
          <w:rFonts w:hint="default" w:ascii="Times New Roman" w:hAnsi="Times New Roman" w:eastAsia="宋体" w:cs="Times New Roman"/>
          <w:color w:val="auto"/>
          <w:lang w:eastAsia="zh-CN"/>
        </w:rPr>
      </w:pPr>
    </w:p>
    <w:tbl>
      <w:tblPr>
        <w:tblStyle w:val="25"/>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46"/>
        <w:gridCol w:w="7666"/>
      </w:tblGrid>
      <w:tr w14:paraId="09D49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497" w:type="pct"/>
            <w:tcBorders>
              <w:top w:val="single" w:color="auto" w:sz="4" w:space="0"/>
              <w:left w:val="single" w:color="auto" w:sz="4" w:space="0"/>
              <w:bottom w:val="single" w:color="auto" w:sz="4" w:space="0"/>
              <w:right w:val="single" w:color="auto" w:sz="4" w:space="0"/>
            </w:tcBorders>
          </w:tcPr>
          <w:p w14:paraId="62749E9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rPr>
            </w:pPr>
            <w:r>
              <w:rPr>
                <w:rFonts w:hint="default" w:ascii="Times New Roman" w:hAnsi="Times New Roman" w:eastAsia="宋体" w:cs="Times New Roman"/>
                <w:color w:val="auto"/>
                <w:spacing w:val="2"/>
                <w:sz w:val="21"/>
                <w:szCs w:val="21"/>
              </w:rPr>
              <w:t>分级</w:t>
            </w:r>
          </w:p>
        </w:tc>
        <w:tc>
          <w:tcPr>
            <w:tcW w:w="4502" w:type="pct"/>
            <w:tcBorders>
              <w:top w:val="single" w:color="auto" w:sz="4" w:space="0"/>
              <w:left w:val="single" w:color="auto" w:sz="4" w:space="0"/>
              <w:bottom w:val="single" w:color="auto" w:sz="4" w:space="0"/>
              <w:right w:val="single" w:color="auto" w:sz="4" w:space="0"/>
            </w:tcBorders>
          </w:tcPr>
          <w:p w14:paraId="2EF50BD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rPr>
            </w:pPr>
            <w:r>
              <w:rPr>
                <w:rFonts w:hint="default" w:ascii="Times New Roman" w:hAnsi="Times New Roman" w:eastAsia="宋体" w:cs="Times New Roman"/>
                <w:color w:val="auto"/>
                <w:spacing w:val="2"/>
                <w:sz w:val="21"/>
                <w:szCs w:val="21"/>
              </w:rPr>
              <w:t>大气环境敏感性</w:t>
            </w:r>
          </w:p>
        </w:tc>
      </w:tr>
      <w:tr w14:paraId="03A29D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497" w:type="pct"/>
            <w:tcBorders>
              <w:top w:val="single" w:color="auto" w:sz="4" w:space="0"/>
              <w:left w:val="single" w:color="auto" w:sz="4" w:space="0"/>
              <w:bottom w:val="single" w:color="auto" w:sz="4" w:space="0"/>
              <w:right w:val="single" w:color="auto" w:sz="4" w:space="0"/>
            </w:tcBorders>
            <w:vAlign w:val="center"/>
          </w:tcPr>
          <w:p w14:paraId="06EB23E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（E1）</w:t>
            </w:r>
          </w:p>
        </w:tc>
        <w:tc>
          <w:tcPr>
            <w:tcW w:w="4502" w:type="pct"/>
            <w:tcBorders>
              <w:top w:val="single" w:color="auto" w:sz="4" w:space="0"/>
              <w:left w:val="single" w:color="auto" w:sz="4" w:space="0"/>
              <w:bottom w:val="single" w:color="auto" w:sz="4" w:space="0"/>
              <w:right w:val="single" w:color="auto" w:sz="4" w:space="0"/>
            </w:tcBorders>
            <w:vAlign w:val="center"/>
          </w:tcPr>
          <w:p w14:paraId="05CBF29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周边5公里范围内居住区、医疗卫生、文化教育、科研、行政办公等机构人口</w:t>
            </w:r>
          </w:p>
          <w:p w14:paraId="7C253BE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总数大于5万人，或其他需要特殊保护区域；或周边500米范围内人口总数1000</w:t>
            </w:r>
          </w:p>
          <w:p w14:paraId="3B77F29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人以上</w:t>
            </w:r>
          </w:p>
        </w:tc>
      </w:tr>
      <w:tr w14:paraId="594D2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497" w:type="pct"/>
            <w:tcBorders>
              <w:top w:val="single" w:color="auto" w:sz="4" w:space="0"/>
              <w:left w:val="single" w:color="auto" w:sz="4" w:space="0"/>
              <w:bottom w:val="single" w:color="auto" w:sz="4" w:space="0"/>
              <w:right w:val="single" w:color="auto" w:sz="4" w:space="0"/>
            </w:tcBorders>
            <w:shd w:val="clear" w:color="auto" w:fill="FEE595"/>
            <w:vAlign w:val="center"/>
          </w:tcPr>
          <w:p w14:paraId="6D12375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（E2）</w:t>
            </w:r>
          </w:p>
        </w:tc>
        <w:tc>
          <w:tcPr>
            <w:tcW w:w="4502" w:type="pct"/>
            <w:tcBorders>
              <w:top w:val="single" w:color="auto" w:sz="4" w:space="0"/>
              <w:left w:val="single" w:color="auto" w:sz="4" w:space="0"/>
              <w:bottom w:val="single" w:color="auto" w:sz="4" w:space="0"/>
              <w:right w:val="single" w:color="auto" w:sz="4" w:space="0"/>
            </w:tcBorders>
            <w:vAlign w:val="center"/>
          </w:tcPr>
          <w:p w14:paraId="6EE0FD9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周边5公里范围内居住区、医疗卫生、文化教育、科研、行政办公等机构人</w:t>
            </w:r>
          </w:p>
          <w:p w14:paraId="486D315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口总数大于1万人、小于5万人，或周边500米范围内人口总数大于500人，</w:t>
            </w:r>
          </w:p>
          <w:p w14:paraId="200ACC5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小于1000人</w:t>
            </w:r>
          </w:p>
        </w:tc>
      </w:tr>
      <w:tr w14:paraId="2F052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497" w:type="pct"/>
            <w:tcBorders>
              <w:top w:val="single" w:color="auto" w:sz="4" w:space="0"/>
              <w:left w:val="single" w:color="auto" w:sz="4" w:space="0"/>
              <w:bottom w:val="single" w:color="auto" w:sz="4" w:space="0"/>
              <w:right w:val="single" w:color="auto" w:sz="4" w:space="0"/>
            </w:tcBorders>
            <w:vAlign w:val="center"/>
          </w:tcPr>
          <w:p w14:paraId="7FDD1FB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（E3）</w:t>
            </w:r>
          </w:p>
        </w:tc>
        <w:tc>
          <w:tcPr>
            <w:tcW w:w="4502" w:type="pct"/>
            <w:tcBorders>
              <w:top w:val="single" w:color="auto" w:sz="4" w:space="0"/>
              <w:left w:val="single" w:color="auto" w:sz="4" w:space="0"/>
              <w:bottom w:val="single" w:color="auto" w:sz="4" w:space="0"/>
              <w:right w:val="single" w:color="auto" w:sz="4" w:space="0"/>
            </w:tcBorders>
            <w:vAlign w:val="center"/>
          </w:tcPr>
          <w:p w14:paraId="6116494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周边5公里范围内居住区、医疗卫生、文化教育、科研、行政办公等机构人口总数小于1万人，或周边500米范围内人口总数小于500人</w:t>
            </w:r>
          </w:p>
        </w:tc>
      </w:tr>
    </w:tbl>
    <w:p w14:paraId="74EA3FBD">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建设项目周边500m范围内人口为0人，周边5km范围内人口为</w:t>
      </w:r>
      <w:r>
        <w:rPr>
          <w:rFonts w:hint="default" w:ascii="Times New Roman" w:hAnsi="Times New Roman" w:eastAsia="宋体" w:cs="Times New Roman"/>
          <w:color w:val="auto"/>
          <w:spacing w:val="7"/>
          <w:sz w:val="24"/>
          <w:szCs w:val="24"/>
          <w:lang w:val="en-US" w:eastAsia="zh-CN"/>
        </w:rPr>
        <w:t>49799</w:t>
      </w:r>
      <w:r>
        <w:rPr>
          <w:rFonts w:hint="default" w:ascii="Times New Roman" w:hAnsi="Times New Roman" w:eastAsia="宋体" w:cs="Times New Roman"/>
          <w:color w:val="auto"/>
          <w:spacing w:val="7"/>
          <w:sz w:val="24"/>
          <w:szCs w:val="24"/>
          <w:lang w:eastAsia="zh-CN"/>
        </w:rPr>
        <w:t>人，由上表可知属于E2。</w:t>
      </w:r>
    </w:p>
    <w:p w14:paraId="599C1CD6">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2、</w:t>
      </w:r>
      <w:r>
        <w:rPr>
          <w:rFonts w:hint="default" w:ascii="Times New Roman" w:hAnsi="Times New Roman" w:eastAsia="宋体" w:cs="Times New Roman"/>
          <w:color w:val="auto"/>
          <w:spacing w:val="7"/>
          <w:sz w:val="24"/>
          <w:szCs w:val="24"/>
          <w:lang w:eastAsia="zh-CN"/>
        </w:rPr>
        <w:t>地表水环境敏感程度的分级确定</w:t>
      </w:r>
    </w:p>
    <w:p w14:paraId="550B1C3A">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依据事故情况下危险物质泄漏到水体的排放点受纳地表水体功能敏感性，与下游环境敏感目标情况，共分为三种类型，E1为环境高度敏感区，E2为环境中度敏感区，E3为环境低度敏感区，分级原则见表3.4-2，其中地表水功能敏感性分区和环境敏感目标分级分别见表3.4-3，3.4-4。</w:t>
      </w:r>
    </w:p>
    <w:p w14:paraId="2646B8C9">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表3.4-2地表水环境敏感程度分级确定表</w:t>
      </w:r>
    </w:p>
    <w:p w14:paraId="022BB716">
      <w:pPr>
        <w:spacing w:line="137" w:lineRule="auto"/>
        <w:rPr>
          <w:rFonts w:hint="default" w:ascii="Times New Roman" w:hAnsi="Times New Roman" w:eastAsia="宋体" w:cs="Times New Roman"/>
          <w:color w:val="auto"/>
          <w:sz w:val="2"/>
          <w:lang w:eastAsia="zh-CN"/>
        </w:rPr>
      </w:pPr>
    </w:p>
    <w:tbl>
      <w:tblPr>
        <w:tblStyle w:val="25"/>
        <w:tblW w:w="852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9"/>
        <w:gridCol w:w="2177"/>
        <w:gridCol w:w="2577"/>
        <w:gridCol w:w="2240"/>
      </w:tblGrid>
      <w:tr w14:paraId="22FC8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29" w:type="dxa"/>
            <w:vMerge w:val="restart"/>
            <w:tcBorders>
              <w:top w:val="single" w:color="auto" w:sz="4" w:space="0"/>
              <w:left w:val="single" w:color="auto" w:sz="4" w:space="0"/>
              <w:bottom w:val="single" w:color="auto" w:sz="4" w:space="0"/>
              <w:right w:val="single" w:color="auto" w:sz="4" w:space="0"/>
            </w:tcBorders>
            <w:vAlign w:val="center"/>
          </w:tcPr>
          <w:p w14:paraId="621B861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环境敏感目标</w:t>
            </w:r>
          </w:p>
        </w:tc>
        <w:tc>
          <w:tcPr>
            <w:tcW w:w="6994" w:type="dxa"/>
            <w:gridSpan w:val="3"/>
            <w:tcBorders>
              <w:top w:val="single" w:color="auto" w:sz="4" w:space="0"/>
              <w:left w:val="single" w:color="auto" w:sz="4" w:space="0"/>
              <w:bottom w:val="single" w:color="auto" w:sz="4" w:space="0"/>
              <w:right w:val="single" w:color="auto" w:sz="4" w:space="0"/>
            </w:tcBorders>
            <w:vAlign w:val="center"/>
          </w:tcPr>
          <w:p w14:paraId="54F3AB3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地表水功能敏感性</w:t>
            </w:r>
          </w:p>
        </w:tc>
      </w:tr>
      <w:tr w14:paraId="1A1C30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29" w:type="dxa"/>
            <w:vMerge w:val="continue"/>
            <w:tcBorders>
              <w:top w:val="single" w:color="auto" w:sz="4" w:space="0"/>
              <w:left w:val="single" w:color="auto" w:sz="4" w:space="0"/>
              <w:bottom w:val="single" w:color="auto" w:sz="4" w:space="0"/>
              <w:right w:val="single" w:color="auto" w:sz="4" w:space="0"/>
            </w:tcBorders>
            <w:vAlign w:val="center"/>
          </w:tcPr>
          <w:p w14:paraId="4BF367A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p>
        </w:tc>
        <w:tc>
          <w:tcPr>
            <w:tcW w:w="2177" w:type="dxa"/>
            <w:tcBorders>
              <w:top w:val="single" w:color="auto" w:sz="4" w:space="0"/>
              <w:left w:val="single" w:color="auto" w:sz="4" w:space="0"/>
              <w:bottom w:val="single" w:color="auto" w:sz="4" w:space="0"/>
              <w:right w:val="single" w:color="auto" w:sz="4" w:space="0"/>
            </w:tcBorders>
            <w:vAlign w:val="center"/>
          </w:tcPr>
          <w:p w14:paraId="53DCF54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F1</w:t>
            </w:r>
          </w:p>
        </w:tc>
        <w:tc>
          <w:tcPr>
            <w:tcW w:w="2577" w:type="dxa"/>
            <w:tcBorders>
              <w:top w:val="single" w:color="auto" w:sz="4" w:space="0"/>
              <w:left w:val="single" w:color="auto" w:sz="4" w:space="0"/>
              <w:bottom w:val="single" w:color="auto" w:sz="4" w:space="0"/>
              <w:right w:val="single" w:color="auto" w:sz="4" w:space="0"/>
            </w:tcBorders>
            <w:vAlign w:val="center"/>
          </w:tcPr>
          <w:p w14:paraId="5EBB26D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F2</w:t>
            </w:r>
          </w:p>
        </w:tc>
        <w:tc>
          <w:tcPr>
            <w:tcW w:w="2240" w:type="dxa"/>
            <w:tcBorders>
              <w:top w:val="single" w:color="auto" w:sz="4" w:space="0"/>
              <w:left w:val="single" w:color="auto" w:sz="4" w:space="0"/>
              <w:bottom w:val="single" w:color="auto" w:sz="4" w:space="0"/>
              <w:right w:val="single" w:color="auto" w:sz="4" w:space="0"/>
            </w:tcBorders>
            <w:vAlign w:val="center"/>
          </w:tcPr>
          <w:p w14:paraId="4CCE1C3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F3</w:t>
            </w:r>
          </w:p>
        </w:tc>
      </w:tr>
      <w:tr w14:paraId="2FCAE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29" w:type="dxa"/>
            <w:tcBorders>
              <w:top w:val="single" w:color="auto" w:sz="4" w:space="0"/>
              <w:left w:val="single" w:color="auto" w:sz="4" w:space="0"/>
              <w:bottom w:val="single" w:color="auto" w:sz="4" w:space="0"/>
              <w:right w:val="single" w:color="auto" w:sz="4" w:space="0"/>
            </w:tcBorders>
            <w:vAlign w:val="center"/>
          </w:tcPr>
          <w:p w14:paraId="46819BF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S1</w:t>
            </w:r>
          </w:p>
        </w:tc>
        <w:tc>
          <w:tcPr>
            <w:tcW w:w="2177" w:type="dxa"/>
            <w:tcBorders>
              <w:top w:val="single" w:color="auto" w:sz="4" w:space="0"/>
              <w:left w:val="single" w:color="auto" w:sz="4" w:space="0"/>
              <w:bottom w:val="single" w:color="auto" w:sz="4" w:space="0"/>
              <w:right w:val="single" w:color="auto" w:sz="4" w:space="0"/>
            </w:tcBorders>
            <w:vAlign w:val="center"/>
          </w:tcPr>
          <w:p w14:paraId="75498E5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E1</w:t>
            </w:r>
          </w:p>
        </w:tc>
        <w:tc>
          <w:tcPr>
            <w:tcW w:w="2577" w:type="dxa"/>
            <w:tcBorders>
              <w:top w:val="single" w:color="auto" w:sz="4" w:space="0"/>
              <w:left w:val="single" w:color="auto" w:sz="4" w:space="0"/>
              <w:bottom w:val="single" w:color="auto" w:sz="4" w:space="0"/>
              <w:right w:val="single" w:color="auto" w:sz="4" w:space="0"/>
            </w:tcBorders>
            <w:vAlign w:val="center"/>
          </w:tcPr>
          <w:p w14:paraId="21E6E5F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E1</w:t>
            </w:r>
          </w:p>
        </w:tc>
        <w:tc>
          <w:tcPr>
            <w:tcW w:w="2240" w:type="dxa"/>
            <w:tcBorders>
              <w:top w:val="single" w:color="auto" w:sz="4" w:space="0"/>
              <w:left w:val="single" w:color="auto" w:sz="4" w:space="0"/>
              <w:bottom w:val="single" w:color="auto" w:sz="4" w:space="0"/>
              <w:right w:val="single" w:color="auto" w:sz="4" w:space="0"/>
            </w:tcBorders>
            <w:vAlign w:val="center"/>
          </w:tcPr>
          <w:p w14:paraId="321020E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E2</w:t>
            </w:r>
          </w:p>
        </w:tc>
      </w:tr>
      <w:tr w14:paraId="48112A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29" w:type="dxa"/>
            <w:tcBorders>
              <w:top w:val="single" w:color="auto" w:sz="4" w:space="0"/>
              <w:left w:val="single" w:color="auto" w:sz="4" w:space="0"/>
              <w:bottom w:val="single" w:color="auto" w:sz="4" w:space="0"/>
              <w:right w:val="single" w:color="auto" w:sz="4" w:space="0"/>
            </w:tcBorders>
            <w:vAlign w:val="center"/>
          </w:tcPr>
          <w:p w14:paraId="1570BA5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S2</w:t>
            </w:r>
          </w:p>
        </w:tc>
        <w:tc>
          <w:tcPr>
            <w:tcW w:w="2177" w:type="dxa"/>
            <w:tcBorders>
              <w:top w:val="single" w:color="auto" w:sz="4" w:space="0"/>
              <w:left w:val="single" w:color="auto" w:sz="4" w:space="0"/>
              <w:bottom w:val="single" w:color="auto" w:sz="4" w:space="0"/>
              <w:right w:val="single" w:color="auto" w:sz="4" w:space="0"/>
            </w:tcBorders>
            <w:vAlign w:val="center"/>
          </w:tcPr>
          <w:p w14:paraId="20A8D14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E1</w:t>
            </w:r>
          </w:p>
        </w:tc>
        <w:tc>
          <w:tcPr>
            <w:tcW w:w="2577" w:type="dxa"/>
            <w:tcBorders>
              <w:top w:val="single" w:color="auto" w:sz="4" w:space="0"/>
              <w:left w:val="single" w:color="auto" w:sz="4" w:space="0"/>
              <w:bottom w:val="single" w:color="auto" w:sz="4" w:space="0"/>
              <w:right w:val="single" w:color="auto" w:sz="4" w:space="0"/>
            </w:tcBorders>
            <w:vAlign w:val="center"/>
          </w:tcPr>
          <w:p w14:paraId="0771637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E2</w:t>
            </w:r>
          </w:p>
        </w:tc>
        <w:tc>
          <w:tcPr>
            <w:tcW w:w="2240" w:type="dxa"/>
            <w:tcBorders>
              <w:top w:val="single" w:color="auto" w:sz="4" w:space="0"/>
              <w:left w:val="single" w:color="auto" w:sz="4" w:space="0"/>
              <w:bottom w:val="single" w:color="auto" w:sz="4" w:space="0"/>
              <w:right w:val="single" w:color="auto" w:sz="4" w:space="0"/>
            </w:tcBorders>
            <w:vAlign w:val="center"/>
          </w:tcPr>
          <w:p w14:paraId="2400A6F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E2</w:t>
            </w:r>
          </w:p>
        </w:tc>
      </w:tr>
      <w:tr w14:paraId="134512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529" w:type="dxa"/>
            <w:tcBorders>
              <w:top w:val="single" w:color="auto" w:sz="4" w:space="0"/>
              <w:left w:val="single" w:color="auto" w:sz="4" w:space="0"/>
              <w:bottom w:val="single" w:color="auto" w:sz="4" w:space="0"/>
              <w:right w:val="single" w:color="auto" w:sz="4" w:space="0"/>
            </w:tcBorders>
            <w:vAlign w:val="center"/>
          </w:tcPr>
          <w:p w14:paraId="559ACD4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S3</w:t>
            </w:r>
          </w:p>
        </w:tc>
        <w:tc>
          <w:tcPr>
            <w:tcW w:w="2177" w:type="dxa"/>
            <w:tcBorders>
              <w:top w:val="single" w:color="auto" w:sz="4" w:space="0"/>
              <w:left w:val="single" w:color="auto" w:sz="4" w:space="0"/>
              <w:bottom w:val="single" w:color="auto" w:sz="4" w:space="0"/>
              <w:right w:val="single" w:color="auto" w:sz="4" w:space="0"/>
            </w:tcBorders>
            <w:vAlign w:val="center"/>
          </w:tcPr>
          <w:p w14:paraId="2EC2C78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E1</w:t>
            </w:r>
          </w:p>
        </w:tc>
        <w:tc>
          <w:tcPr>
            <w:tcW w:w="2577" w:type="dxa"/>
            <w:tcBorders>
              <w:top w:val="single" w:color="auto" w:sz="4" w:space="0"/>
              <w:left w:val="single" w:color="auto" w:sz="4" w:space="0"/>
              <w:bottom w:val="single" w:color="auto" w:sz="4" w:space="0"/>
              <w:right w:val="single" w:color="auto" w:sz="4" w:space="0"/>
            </w:tcBorders>
            <w:shd w:val="clear" w:color="auto" w:fill="FDD960"/>
            <w:vAlign w:val="center"/>
          </w:tcPr>
          <w:p w14:paraId="016D8DF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E2</w:t>
            </w:r>
          </w:p>
        </w:tc>
        <w:tc>
          <w:tcPr>
            <w:tcW w:w="2240" w:type="dxa"/>
            <w:tcBorders>
              <w:top w:val="single" w:color="auto" w:sz="4" w:space="0"/>
              <w:left w:val="single" w:color="auto" w:sz="4" w:space="0"/>
              <w:bottom w:val="single" w:color="auto" w:sz="4" w:space="0"/>
              <w:right w:val="single" w:color="auto" w:sz="4" w:space="0"/>
            </w:tcBorders>
            <w:vAlign w:val="center"/>
          </w:tcPr>
          <w:p w14:paraId="62EC033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E3</w:t>
            </w:r>
          </w:p>
        </w:tc>
      </w:tr>
    </w:tbl>
    <w:p w14:paraId="5BD3632E">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表3.4-3地表水功能敏感性分区表</w:t>
      </w:r>
    </w:p>
    <w:p w14:paraId="5790B45A">
      <w:pPr>
        <w:spacing w:line="138" w:lineRule="auto"/>
        <w:rPr>
          <w:rFonts w:hint="default" w:ascii="Times New Roman" w:hAnsi="Times New Roman" w:eastAsia="宋体" w:cs="Times New Roman"/>
          <w:color w:val="auto"/>
          <w:sz w:val="2"/>
          <w:lang w:eastAsia="zh-CN"/>
        </w:rPr>
      </w:pPr>
    </w:p>
    <w:tbl>
      <w:tblPr>
        <w:tblStyle w:val="25"/>
        <w:tblW w:w="499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65"/>
        <w:gridCol w:w="7247"/>
      </w:tblGrid>
      <w:tr w14:paraId="2448EC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40" w:hRule="atLeast"/>
          <w:jc w:val="center"/>
        </w:trPr>
        <w:tc>
          <w:tcPr>
            <w:tcW w:w="743" w:type="pct"/>
            <w:tcBorders>
              <w:top w:val="single" w:color="auto" w:sz="4" w:space="0"/>
              <w:left w:val="single" w:color="auto" w:sz="4" w:space="0"/>
              <w:bottom w:val="single" w:color="auto" w:sz="4" w:space="0"/>
              <w:right w:val="single" w:color="auto" w:sz="4" w:space="0"/>
            </w:tcBorders>
            <w:vAlign w:val="center"/>
          </w:tcPr>
          <w:p w14:paraId="6563B5F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敏感性</w:t>
            </w:r>
          </w:p>
        </w:tc>
        <w:tc>
          <w:tcPr>
            <w:tcW w:w="4256" w:type="pct"/>
            <w:tcBorders>
              <w:top w:val="single" w:color="auto" w:sz="4" w:space="0"/>
              <w:left w:val="single" w:color="auto" w:sz="4" w:space="0"/>
              <w:bottom w:val="single" w:color="auto" w:sz="4" w:space="0"/>
              <w:right w:val="single" w:color="auto" w:sz="4" w:space="0"/>
            </w:tcBorders>
            <w:vAlign w:val="center"/>
          </w:tcPr>
          <w:p w14:paraId="3D48935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地表水环境敏感特征</w:t>
            </w:r>
          </w:p>
        </w:tc>
      </w:tr>
      <w:tr w14:paraId="79A4E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43" w:type="pct"/>
            <w:tcBorders>
              <w:top w:val="single" w:color="auto" w:sz="4" w:space="0"/>
              <w:left w:val="single" w:color="auto" w:sz="4" w:space="0"/>
              <w:bottom w:val="single" w:color="auto" w:sz="4" w:space="0"/>
              <w:right w:val="single" w:color="auto" w:sz="4" w:space="0"/>
            </w:tcBorders>
            <w:vAlign w:val="center"/>
          </w:tcPr>
          <w:p w14:paraId="1C96CBE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p>
          <w:p w14:paraId="6019660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敏感F1</w:t>
            </w:r>
          </w:p>
        </w:tc>
        <w:tc>
          <w:tcPr>
            <w:tcW w:w="4256" w:type="pct"/>
            <w:tcBorders>
              <w:top w:val="single" w:color="auto" w:sz="4" w:space="0"/>
              <w:left w:val="single" w:color="auto" w:sz="4" w:space="0"/>
              <w:bottom w:val="single" w:color="auto" w:sz="4" w:space="0"/>
              <w:right w:val="single" w:color="auto" w:sz="4" w:space="0"/>
            </w:tcBorders>
            <w:vAlign w:val="center"/>
          </w:tcPr>
          <w:p w14:paraId="44728D5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排放点进入地表水水域环境功能为II类及以上；或以发生事故时，危险物质泄漏到水体的排放点算起，排放进入受纳河流最大流速时，24h流经范围内涉跨国界的</w:t>
            </w:r>
          </w:p>
        </w:tc>
      </w:tr>
      <w:tr w14:paraId="0D5900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43" w:type="pct"/>
            <w:tcBorders>
              <w:top w:val="single" w:color="auto" w:sz="4" w:space="0"/>
              <w:left w:val="single" w:color="auto" w:sz="4" w:space="0"/>
              <w:bottom w:val="single" w:color="auto" w:sz="4" w:space="0"/>
              <w:right w:val="single" w:color="auto" w:sz="4" w:space="0"/>
            </w:tcBorders>
            <w:shd w:val="clear" w:color="auto" w:fill="FEF2CB"/>
            <w:vAlign w:val="center"/>
          </w:tcPr>
          <w:p w14:paraId="46D5089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p>
          <w:p w14:paraId="75B6A2B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较敏感F2</w:t>
            </w:r>
          </w:p>
        </w:tc>
        <w:tc>
          <w:tcPr>
            <w:tcW w:w="4256" w:type="pct"/>
            <w:tcBorders>
              <w:top w:val="single" w:color="auto" w:sz="4" w:space="0"/>
              <w:left w:val="single" w:color="auto" w:sz="4" w:space="0"/>
              <w:bottom w:val="single" w:color="auto" w:sz="4" w:space="0"/>
              <w:right w:val="single" w:color="auto" w:sz="4" w:space="0"/>
            </w:tcBorders>
            <w:vAlign w:val="center"/>
          </w:tcPr>
          <w:p w14:paraId="16D891A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排放点进入地表水水域环境功能为III类，或以发生事故时，危险物质泄漏到水体的排放点算起，排放进入受纳河流最大流速时，24h流经范围内涉跨省界的</w:t>
            </w:r>
          </w:p>
        </w:tc>
      </w:tr>
      <w:tr w14:paraId="48307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43" w:type="pct"/>
            <w:tcBorders>
              <w:top w:val="single" w:color="auto" w:sz="4" w:space="0"/>
              <w:left w:val="single" w:color="auto" w:sz="4" w:space="0"/>
              <w:bottom w:val="single" w:color="auto" w:sz="4" w:space="0"/>
              <w:right w:val="single" w:color="auto" w:sz="4" w:space="0"/>
            </w:tcBorders>
            <w:shd w:val="clear" w:color="auto" w:fill="C8E7CC"/>
            <w:vAlign w:val="center"/>
          </w:tcPr>
          <w:p w14:paraId="2A75DF6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低敏感F3</w:t>
            </w:r>
          </w:p>
        </w:tc>
        <w:tc>
          <w:tcPr>
            <w:tcW w:w="4256" w:type="pct"/>
            <w:tcBorders>
              <w:top w:val="single" w:color="auto" w:sz="4" w:space="0"/>
              <w:left w:val="single" w:color="auto" w:sz="4" w:space="0"/>
              <w:bottom w:val="single" w:color="auto" w:sz="4" w:space="0"/>
              <w:right w:val="single" w:color="auto" w:sz="4" w:space="0"/>
            </w:tcBorders>
            <w:vAlign w:val="center"/>
          </w:tcPr>
          <w:p w14:paraId="0707901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上述地区之外的其他地区</w:t>
            </w:r>
          </w:p>
        </w:tc>
      </w:tr>
    </w:tbl>
    <w:p w14:paraId="0A68A709">
      <w:pPr>
        <w:spacing w:before="114"/>
        <w:jc w:val="center"/>
        <w:rPr>
          <w:rFonts w:hint="default" w:ascii="Times New Roman" w:hAnsi="Times New Roman" w:eastAsia="宋体" w:cs="Times New Roman"/>
          <w:color w:val="auto"/>
        </w:rPr>
      </w:pPr>
      <w:r>
        <w:rPr>
          <w:rFonts w:hint="default" w:ascii="Times New Roman" w:hAnsi="Times New Roman" w:eastAsia="宋体" w:cs="Times New Roman"/>
          <w:b/>
          <w:bCs/>
          <w:color w:val="auto"/>
          <w:spacing w:val="6"/>
          <w:sz w:val="20"/>
          <w:szCs w:val="20"/>
        </w:rPr>
        <w:t>表3.4-4环境敏感目标分级表</w:t>
      </w:r>
    </w:p>
    <w:tbl>
      <w:tblPr>
        <w:tblStyle w:val="25"/>
        <w:tblW w:w="499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00"/>
        <w:gridCol w:w="7312"/>
      </w:tblGrid>
      <w:tr w14:paraId="7165AB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05" w:type="pct"/>
            <w:tcBorders>
              <w:top w:val="single" w:color="auto" w:sz="4" w:space="0"/>
              <w:left w:val="single" w:color="auto" w:sz="4" w:space="0"/>
              <w:bottom w:val="single" w:color="auto" w:sz="4" w:space="0"/>
              <w:right w:val="single" w:color="auto" w:sz="4" w:space="0"/>
            </w:tcBorders>
            <w:vAlign w:val="center"/>
          </w:tcPr>
          <w:p w14:paraId="6BDCC40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敏感程度类型</w:t>
            </w:r>
          </w:p>
        </w:tc>
        <w:tc>
          <w:tcPr>
            <w:tcW w:w="4294" w:type="pct"/>
            <w:tcBorders>
              <w:top w:val="single" w:color="auto" w:sz="4" w:space="0"/>
              <w:left w:val="single" w:color="auto" w:sz="4" w:space="0"/>
              <w:bottom w:val="single" w:color="auto" w:sz="4" w:space="0"/>
              <w:right w:val="single" w:color="auto" w:sz="4" w:space="0"/>
            </w:tcBorders>
            <w:vAlign w:val="center"/>
          </w:tcPr>
          <w:p w14:paraId="0F5956D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环境敏感目标</w:t>
            </w:r>
          </w:p>
        </w:tc>
      </w:tr>
      <w:tr w14:paraId="153E8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05" w:type="pct"/>
            <w:tcBorders>
              <w:top w:val="single" w:color="auto" w:sz="4" w:space="0"/>
              <w:left w:val="single" w:color="auto" w:sz="4" w:space="0"/>
              <w:bottom w:val="single" w:color="auto" w:sz="4" w:space="0"/>
              <w:right w:val="single" w:color="auto" w:sz="4" w:space="0"/>
            </w:tcBorders>
            <w:vAlign w:val="center"/>
          </w:tcPr>
          <w:p w14:paraId="2038E17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S1</w:t>
            </w:r>
          </w:p>
        </w:tc>
        <w:tc>
          <w:tcPr>
            <w:tcW w:w="4294" w:type="pct"/>
            <w:tcBorders>
              <w:top w:val="single" w:color="auto" w:sz="4" w:space="0"/>
              <w:left w:val="single" w:color="auto" w:sz="4" w:space="0"/>
              <w:bottom w:val="single" w:color="auto" w:sz="4" w:space="0"/>
              <w:right w:val="single" w:color="auto" w:sz="4" w:space="0"/>
            </w:tcBorders>
            <w:vAlign w:val="center"/>
          </w:tcPr>
          <w:p w14:paraId="59BBD09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发生事故时，危险物质泄漏到内陆水体的排放点下游（顺水流向）10km范围内、近岸海域一个周期水质点可能达到的最大水平距离的两倍范围内，有如下一类或多类环境风险受体；集中式地表水饮用水水源保护区（包括一级保护区、二级保护区及准保护区）；农村及分散式饮用水水源保护区；自然保护区；重要湿地；珍稀濒危野生动植物天然集中分布区；重要水生生物的自然产卵场及索饵场、越冬场和洄游通道；世界文化和自然遗产地；红树林、珊瑚礁等海滨湿地生态系统；珍稀、濒危海洋生物的天然集中分布区；海洋特别保护区；海上自然保护区；盐场保护区；海水浴场；海洋自然历史遗迹；风景名胜区；或其他特殊重要保护区域</w:t>
            </w:r>
          </w:p>
        </w:tc>
      </w:tr>
      <w:tr w14:paraId="2DA691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05" w:type="pct"/>
            <w:tcBorders>
              <w:top w:val="single" w:color="auto" w:sz="4" w:space="0"/>
              <w:left w:val="single" w:color="auto" w:sz="4" w:space="0"/>
              <w:bottom w:val="single" w:color="auto" w:sz="4" w:space="0"/>
              <w:right w:val="single" w:color="auto" w:sz="4" w:space="0"/>
            </w:tcBorders>
            <w:vAlign w:val="center"/>
          </w:tcPr>
          <w:p w14:paraId="57763AF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S2</w:t>
            </w:r>
          </w:p>
        </w:tc>
        <w:tc>
          <w:tcPr>
            <w:tcW w:w="4294" w:type="pct"/>
            <w:tcBorders>
              <w:top w:val="single" w:color="auto" w:sz="4" w:space="0"/>
              <w:left w:val="single" w:color="auto" w:sz="4" w:space="0"/>
              <w:bottom w:val="single" w:color="auto" w:sz="4" w:space="0"/>
              <w:right w:val="single" w:color="auto" w:sz="4" w:space="0"/>
            </w:tcBorders>
            <w:vAlign w:val="center"/>
          </w:tcPr>
          <w:p w14:paraId="24F6DDC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发生事故时，危险物质泄漏到内陆水体的排放点下游（顺水流向）10km范围内、近岸海域一个周期水质点可能达到的最大水平距离的两倍范围内，有如下一类或多类环境风险受体的：水产养殖区、天然渔场；森林公园；地质公园；海滨风景游览区；具有重要经济价值的海洋生物生存区域</w:t>
            </w:r>
          </w:p>
        </w:tc>
      </w:tr>
      <w:tr w14:paraId="23E74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05" w:type="pct"/>
            <w:tcBorders>
              <w:top w:val="single" w:color="auto" w:sz="4" w:space="0"/>
              <w:left w:val="single" w:color="auto" w:sz="4" w:space="0"/>
              <w:bottom w:val="single" w:color="auto" w:sz="4" w:space="0"/>
              <w:right w:val="single" w:color="auto" w:sz="4" w:space="0"/>
            </w:tcBorders>
            <w:shd w:val="clear" w:color="auto" w:fill="FEE595"/>
            <w:vAlign w:val="center"/>
          </w:tcPr>
          <w:p w14:paraId="6A22174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S3</w:t>
            </w:r>
          </w:p>
        </w:tc>
        <w:tc>
          <w:tcPr>
            <w:tcW w:w="4294" w:type="pct"/>
            <w:tcBorders>
              <w:top w:val="single" w:color="auto" w:sz="4" w:space="0"/>
              <w:left w:val="single" w:color="auto" w:sz="4" w:space="0"/>
              <w:bottom w:val="single" w:color="auto" w:sz="4" w:space="0"/>
              <w:right w:val="single" w:color="auto" w:sz="4" w:space="0"/>
            </w:tcBorders>
            <w:vAlign w:val="center"/>
          </w:tcPr>
          <w:p w14:paraId="38E4283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排放点下游（顺水流向）10km范围内、近岸海域一个周期水质点可能达到的最大水平距离的两倍范围内无上述类型1和类型2包括的敏感保护目标</w:t>
            </w:r>
          </w:p>
        </w:tc>
      </w:tr>
    </w:tbl>
    <w:p w14:paraId="7AA285F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本项目地表水“地表水环境敏感特征”属于“较敏感F2”，风险评价水域内无环境敏感目标。项目地表水环境敏感程度分级为E2。</w:t>
      </w:r>
    </w:p>
    <w:p w14:paraId="47F9BE1A">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3、</w:t>
      </w:r>
      <w:r>
        <w:rPr>
          <w:rFonts w:hint="default" w:ascii="Times New Roman" w:hAnsi="Times New Roman" w:eastAsia="宋体" w:cs="Times New Roman"/>
          <w:color w:val="auto"/>
          <w:spacing w:val="7"/>
          <w:sz w:val="24"/>
          <w:szCs w:val="24"/>
          <w:lang w:eastAsia="zh-CN"/>
        </w:rPr>
        <w:t>地下水环境敏感程度的分级确定</w:t>
      </w:r>
    </w:p>
    <w:p w14:paraId="52FECAFA">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依据地下水功能敏感性与包气带防污性能，共分为三种类型，E1为环境高度敏感区，E2为环境中度敏感区，E3为环境低度敏感区，分级原则见表3.4-5。</w:t>
      </w:r>
    </w:p>
    <w:p w14:paraId="13BDC95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其中地下水功能敏感性分区和包气带防污性能分级分别见表3.4-6~7。</w:t>
      </w:r>
    </w:p>
    <w:p w14:paraId="72E2C7E1">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表3.4-5地下水环境敏感程度分级确定表</w:t>
      </w:r>
    </w:p>
    <w:p w14:paraId="011AED71">
      <w:pPr>
        <w:spacing w:line="14" w:lineRule="exact"/>
        <w:rPr>
          <w:rFonts w:hint="default" w:ascii="Times New Roman" w:hAnsi="Times New Roman" w:eastAsia="宋体" w:cs="Times New Roman"/>
          <w:color w:val="auto"/>
          <w:lang w:eastAsia="zh-CN"/>
        </w:rPr>
      </w:pPr>
    </w:p>
    <w:tbl>
      <w:tblPr>
        <w:tblStyle w:val="2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44"/>
        <w:gridCol w:w="2149"/>
        <w:gridCol w:w="2151"/>
        <w:gridCol w:w="2168"/>
      </w:tblGrid>
      <w:tr w14:paraId="7C15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01" w:type="pct"/>
            <w:vMerge w:val="restart"/>
            <w:vAlign w:val="center"/>
          </w:tcPr>
          <w:p w14:paraId="0113AE5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环境敏感目标</w:t>
            </w:r>
          </w:p>
        </w:tc>
        <w:tc>
          <w:tcPr>
            <w:tcW w:w="3798" w:type="pct"/>
            <w:gridSpan w:val="3"/>
            <w:vAlign w:val="center"/>
          </w:tcPr>
          <w:p w14:paraId="6B14127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地表水功能敏感性</w:t>
            </w:r>
          </w:p>
        </w:tc>
      </w:tr>
      <w:tr w14:paraId="4C31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01" w:type="pct"/>
            <w:vMerge w:val="continue"/>
            <w:vAlign w:val="center"/>
          </w:tcPr>
          <w:p w14:paraId="67985EB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p>
        </w:tc>
        <w:tc>
          <w:tcPr>
            <w:tcW w:w="1262" w:type="pct"/>
            <w:vAlign w:val="center"/>
          </w:tcPr>
          <w:p w14:paraId="5B771DE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G1</w:t>
            </w:r>
          </w:p>
        </w:tc>
        <w:tc>
          <w:tcPr>
            <w:tcW w:w="1263" w:type="pct"/>
            <w:vAlign w:val="center"/>
          </w:tcPr>
          <w:p w14:paraId="03C2E4F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G2</w:t>
            </w:r>
          </w:p>
        </w:tc>
        <w:tc>
          <w:tcPr>
            <w:tcW w:w="1272" w:type="pct"/>
            <w:vAlign w:val="center"/>
          </w:tcPr>
          <w:p w14:paraId="66D6742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G3</w:t>
            </w:r>
          </w:p>
        </w:tc>
      </w:tr>
      <w:tr w14:paraId="01738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01" w:type="pct"/>
            <w:vAlign w:val="center"/>
          </w:tcPr>
          <w:p w14:paraId="31E1942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D1</w:t>
            </w:r>
          </w:p>
        </w:tc>
        <w:tc>
          <w:tcPr>
            <w:tcW w:w="1262" w:type="pct"/>
            <w:vAlign w:val="center"/>
          </w:tcPr>
          <w:p w14:paraId="35FDDD2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E1</w:t>
            </w:r>
          </w:p>
        </w:tc>
        <w:tc>
          <w:tcPr>
            <w:tcW w:w="1263" w:type="pct"/>
            <w:vAlign w:val="center"/>
          </w:tcPr>
          <w:p w14:paraId="671B2A5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E1</w:t>
            </w:r>
          </w:p>
        </w:tc>
        <w:tc>
          <w:tcPr>
            <w:tcW w:w="1272" w:type="pct"/>
            <w:vAlign w:val="center"/>
          </w:tcPr>
          <w:p w14:paraId="183341E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E2</w:t>
            </w:r>
          </w:p>
        </w:tc>
      </w:tr>
      <w:tr w14:paraId="767B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01" w:type="pct"/>
            <w:vAlign w:val="center"/>
          </w:tcPr>
          <w:p w14:paraId="4722E77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D2</w:t>
            </w:r>
          </w:p>
        </w:tc>
        <w:tc>
          <w:tcPr>
            <w:tcW w:w="1262" w:type="pct"/>
            <w:vAlign w:val="center"/>
          </w:tcPr>
          <w:p w14:paraId="21158F0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E1</w:t>
            </w:r>
          </w:p>
        </w:tc>
        <w:tc>
          <w:tcPr>
            <w:tcW w:w="1263" w:type="pct"/>
            <w:vAlign w:val="center"/>
          </w:tcPr>
          <w:p w14:paraId="531CCE9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E2</w:t>
            </w:r>
          </w:p>
        </w:tc>
        <w:tc>
          <w:tcPr>
            <w:tcW w:w="1272" w:type="pct"/>
            <w:shd w:val="clear" w:color="auto" w:fill="EEECE1"/>
            <w:vAlign w:val="center"/>
          </w:tcPr>
          <w:p w14:paraId="132E68E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E3</w:t>
            </w:r>
          </w:p>
        </w:tc>
      </w:tr>
      <w:tr w14:paraId="3C91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01" w:type="pct"/>
            <w:vAlign w:val="center"/>
          </w:tcPr>
          <w:p w14:paraId="686AED5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D3</w:t>
            </w:r>
          </w:p>
        </w:tc>
        <w:tc>
          <w:tcPr>
            <w:tcW w:w="1262" w:type="pct"/>
            <w:vAlign w:val="center"/>
          </w:tcPr>
          <w:p w14:paraId="691F109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E2</w:t>
            </w:r>
          </w:p>
        </w:tc>
        <w:tc>
          <w:tcPr>
            <w:tcW w:w="1263" w:type="pct"/>
            <w:vAlign w:val="center"/>
          </w:tcPr>
          <w:p w14:paraId="67CB8A3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E3</w:t>
            </w:r>
          </w:p>
        </w:tc>
        <w:tc>
          <w:tcPr>
            <w:tcW w:w="1272" w:type="pct"/>
            <w:vAlign w:val="center"/>
          </w:tcPr>
          <w:p w14:paraId="0681CC9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E3</w:t>
            </w:r>
          </w:p>
        </w:tc>
      </w:tr>
    </w:tbl>
    <w:p w14:paraId="476AE82B">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表3.4-6地下水功能敏感性分区表</w:t>
      </w:r>
    </w:p>
    <w:p w14:paraId="6B59A511">
      <w:pPr>
        <w:spacing w:line="14" w:lineRule="exact"/>
        <w:rPr>
          <w:rFonts w:hint="default" w:ascii="Times New Roman" w:hAnsi="Times New Roman" w:eastAsia="宋体" w:cs="Times New Roman"/>
          <w:color w:val="auto"/>
          <w:lang w:eastAsia="zh-CN"/>
        </w:rPr>
      </w:pPr>
    </w:p>
    <w:tbl>
      <w:tblPr>
        <w:tblStyle w:val="25"/>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24"/>
        <w:gridCol w:w="4"/>
        <w:gridCol w:w="7071"/>
        <w:gridCol w:w="24"/>
      </w:tblGrid>
      <w:tr w14:paraId="0373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8" w:type="dxa"/>
            <w:gridSpan w:val="2"/>
            <w:vAlign w:val="center"/>
          </w:tcPr>
          <w:p w14:paraId="691E692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敏感性</w:t>
            </w:r>
          </w:p>
        </w:tc>
        <w:tc>
          <w:tcPr>
            <w:tcW w:w="7095" w:type="dxa"/>
            <w:gridSpan w:val="2"/>
            <w:vAlign w:val="center"/>
          </w:tcPr>
          <w:p w14:paraId="4EB4A6E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地表水环境敏感特征</w:t>
            </w:r>
          </w:p>
        </w:tc>
      </w:tr>
      <w:tr w14:paraId="67E9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8" w:type="dxa"/>
            <w:gridSpan w:val="2"/>
            <w:vAlign w:val="center"/>
          </w:tcPr>
          <w:p w14:paraId="30F3DC7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敏感G1</w:t>
            </w:r>
          </w:p>
        </w:tc>
        <w:tc>
          <w:tcPr>
            <w:tcW w:w="7095" w:type="dxa"/>
            <w:gridSpan w:val="2"/>
            <w:vAlign w:val="center"/>
          </w:tcPr>
          <w:p w14:paraId="32CFC5F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集中式饮用水水源（包括已建成的在用、备用、应急水源，在建和规划的饮用水水源）准保护区：除集中式饮用水水源以外的国家或地方政府设定的与地下水环境相关的其他保护区，如热水、矿泉水、温泉等特殊地下水资源保护区</w:t>
            </w:r>
          </w:p>
        </w:tc>
      </w:tr>
      <w:tr w14:paraId="341AE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8" w:type="dxa"/>
            <w:gridSpan w:val="2"/>
            <w:vAlign w:val="center"/>
          </w:tcPr>
          <w:p w14:paraId="6C791F6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较敏感G2</w:t>
            </w:r>
          </w:p>
        </w:tc>
        <w:tc>
          <w:tcPr>
            <w:tcW w:w="7095" w:type="dxa"/>
            <w:gridSpan w:val="2"/>
            <w:vAlign w:val="center"/>
          </w:tcPr>
          <w:p w14:paraId="2377559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集中式饮用水水源（包括已建成的在用、备用、应急水源，在建和规划的饮用水水源）准保护区以外的补给径流区：未划定准保护区的集中式饮用水水源，其保护区以外的补给径流区：分散式饮用水水源地：特殊地下水资源（如热水、矿泉水、温泉等）保护区以外的分布区等其他未列入上述敏感分级的环境敏感区</w:t>
            </w:r>
          </w:p>
        </w:tc>
      </w:tr>
      <w:tr w14:paraId="6B6B2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4" w:type="dxa"/>
          <w:trHeight w:val="340" w:hRule="atLeast"/>
          <w:jc w:val="center"/>
        </w:trPr>
        <w:tc>
          <w:tcPr>
            <w:tcW w:w="1424" w:type="dxa"/>
            <w:shd w:val="clear" w:color="auto" w:fill="C8E7CC"/>
            <w:vAlign w:val="center"/>
          </w:tcPr>
          <w:p w14:paraId="435D6A3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低敏感G3</w:t>
            </w:r>
          </w:p>
        </w:tc>
        <w:tc>
          <w:tcPr>
            <w:tcW w:w="7075" w:type="dxa"/>
            <w:gridSpan w:val="2"/>
            <w:vAlign w:val="center"/>
          </w:tcPr>
          <w:p w14:paraId="71BFF01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上述地区之外的其他地区</w:t>
            </w:r>
          </w:p>
        </w:tc>
      </w:tr>
    </w:tbl>
    <w:p w14:paraId="0A0446C5">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表3.4-7包气带防污性能分级表</w:t>
      </w:r>
    </w:p>
    <w:p w14:paraId="611BBA86">
      <w:pPr>
        <w:spacing w:line="128" w:lineRule="auto"/>
        <w:rPr>
          <w:rFonts w:hint="default" w:ascii="Times New Roman" w:hAnsi="Times New Roman" w:eastAsia="宋体" w:cs="Times New Roman"/>
          <w:color w:val="auto"/>
          <w:sz w:val="2"/>
          <w:lang w:eastAsia="zh-CN"/>
        </w:rPr>
      </w:pPr>
    </w:p>
    <w:tbl>
      <w:tblPr>
        <w:tblStyle w:val="25"/>
        <w:tblW w:w="499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866"/>
        <w:gridCol w:w="6646"/>
      </w:tblGrid>
      <w:tr w14:paraId="61CA8B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096" w:type="pct"/>
            <w:tcBorders>
              <w:top w:val="single" w:color="auto" w:sz="4" w:space="0"/>
              <w:left w:val="single" w:color="auto" w:sz="4" w:space="0"/>
              <w:bottom w:val="single" w:color="auto" w:sz="4" w:space="0"/>
              <w:right w:val="single" w:color="auto" w:sz="4" w:space="0"/>
            </w:tcBorders>
            <w:vAlign w:val="center"/>
          </w:tcPr>
          <w:p w14:paraId="7FCF810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分级</w:t>
            </w:r>
          </w:p>
        </w:tc>
        <w:tc>
          <w:tcPr>
            <w:tcW w:w="3903" w:type="pct"/>
            <w:tcBorders>
              <w:top w:val="single" w:color="auto" w:sz="4" w:space="0"/>
              <w:left w:val="single" w:color="auto" w:sz="4" w:space="0"/>
              <w:bottom w:val="single" w:color="auto" w:sz="4" w:space="0"/>
              <w:right w:val="single" w:color="auto" w:sz="4" w:space="0"/>
            </w:tcBorders>
            <w:vAlign w:val="center"/>
          </w:tcPr>
          <w:p w14:paraId="56965F1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包气带岩土的渗透性能</w:t>
            </w:r>
          </w:p>
        </w:tc>
      </w:tr>
      <w:tr w14:paraId="3055C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096" w:type="pct"/>
            <w:tcBorders>
              <w:top w:val="single" w:color="auto" w:sz="4" w:space="0"/>
              <w:left w:val="single" w:color="auto" w:sz="4" w:space="0"/>
              <w:bottom w:val="single" w:color="auto" w:sz="4" w:space="0"/>
              <w:right w:val="single" w:color="auto" w:sz="4" w:space="0"/>
            </w:tcBorders>
            <w:vAlign w:val="center"/>
          </w:tcPr>
          <w:p w14:paraId="325AB77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D3</w:t>
            </w:r>
          </w:p>
        </w:tc>
        <w:tc>
          <w:tcPr>
            <w:tcW w:w="3903" w:type="pct"/>
            <w:tcBorders>
              <w:top w:val="single" w:color="auto" w:sz="4" w:space="0"/>
              <w:left w:val="single" w:color="auto" w:sz="4" w:space="0"/>
              <w:bottom w:val="single" w:color="auto" w:sz="4" w:space="0"/>
              <w:right w:val="single" w:color="auto" w:sz="4" w:space="0"/>
            </w:tcBorders>
            <w:vAlign w:val="center"/>
          </w:tcPr>
          <w:p w14:paraId="5D3E0BC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Mb≥1.0m，K≤1.0×10</w:t>
            </w:r>
            <w:r>
              <w:rPr>
                <w:rFonts w:hint="default" w:ascii="Times New Roman" w:hAnsi="Times New Roman" w:eastAsia="宋体" w:cs="Times New Roman"/>
                <w:color w:val="auto"/>
                <w:spacing w:val="2"/>
                <w:sz w:val="21"/>
                <w:szCs w:val="21"/>
                <w:vertAlign w:val="superscript"/>
                <w:lang w:val="en-US" w:eastAsia="zh-CN"/>
              </w:rPr>
              <w:t>-6</w:t>
            </w:r>
            <w:r>
              <w:rPr>
                <w:rFonts w:hint="default" w:ascii="Times New Roman" w:hAnsi="Times New Roman" w:eastAsia="宋体" w:cs="Times New Roman"/>
                <w:color w:val="auto"/>
                <w:spacing w:val="2"/>
                <w:sz w:val="21"/>
                <w:szCs w:val="21"/>
                <w:lang w:val="en-US" w:eastAsia="zh-CN"/>
              </w:rPr>
              <w:t>cm/s，且分布连续、稳定</w:t>
            </w:r>
          </w:p>
        </w:tc>
      </w:tr>
      <w:tr w14:paraId="52D6D8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096" w:type="pct"/>
            <w:tcBorders>
              <w:top w:val="single" w:color="auto" w:sz="4" w:space="0"/>
              <w:left w:val="single" w:color="auto" w:sz="4" w:space="0"/>
              <w:bottom w:val="single" w:color="auto" w:sz="4" w:space="0"/>
              <w:right w:val="single" w:color="auto" w:sz="4" w:space="0"/>
            </w:tcBorders>
            <w:shd w:val="clear" w:color="auto" w:fill="C8E7CC"/>
            <w:vAlign w:val="center"/>
          </w:tcPr>
          <w:p w14:paraId="64CDBDA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D2</w:t>
            </w:r>
          </w:p>
        </w:tc>
        <w:tc>
          <w:tcPr>
            <w:tcW w:w="3903" w:type="pct"/>
            <w:tcBorders>
              <w:top w:val="single" w:color="auto" w:sz="4" w:space="0"/>
              <w:left w:val="single" w:color="auto" w:sz="4" w:space="0"/>
              <w:bottom w:val="single" w:color="auto" w:sz="4" w:space="0"/>
              <w:right w:val="single" w:color="auto" w:sz="4" w:space="0"/>
            </w:tcBorders>
            <w:vAlign w:val="center"/>
          </w:tcPr>
          <w:p w14:paraId="43F2C0A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0.5m≤Mb＜1.0m，K≤1.0×10</w:t>
            </w:r>
            <w:r>
              <w:rPr>
                <w:rFonts w:hint="default" w:ascii="Times New Roman" w:hAnsi="Times New Roman" w:eastAsia="宋体" w:cs="Times New Roman"/>
                <w:color w:val="auto"/>
                <w:spacing w:val="2"/>
                <w:sz w:val="21"/>
                <w:szCs w:val="21"/>
                <w:vertAlign w:val="superscript"/>
                <w:lang w:val="en-US" w:eastAsia="zh-CN"/>
              </w:rPr>
              <w:t>-6</w:t>
            </w:r>
            <w:r>
              <w:rPr>
                <w:rFonts w:hint="default" w:ascii="Times New Roman" w:hAnsi="Times New Roman" w:eastAsia="宋体" w:cs="Times New Roman"/>
                <w:color w:val="auto"/>
                <w:spacing w:val="2"/>
                <w:sz w:val="21"/>
                <w:szCs w:val="21"/>
                <w:lang w:val="en-US" w:eastAsia="zh-CN"/>
              </w:rPr>
              <w:t>cm/s，且分布连续、稳定；Mb≥1.0m，1.0×10</w:t>
            </w:r>
            <w:r>
              <w:rPr>
                <w:rFonts w:hint="default" w:ascii="Times New Roman" w:hAnsi="Times New Roman" w:eastAsia="宋体" w:cs="Times New Roman"/>
                <w:color w:val="auto"/>
                <w:spacing w:val="2"/>
                <w:sz w:val="21"/>
                <w:szCs w:val="21"/>
                <w:vertAlign w:val="superscript"/>
                <w:lang w:val="en-US" w:eastAsia="zh-CN"/>
              </w:rPr>
              <w:t>-6</w:t>
            </w:r>
            <w:r>
              <w:rPr>
                <w:rFonts w:hint="default" w:ascii="Times New Roman" w:hAnsi="Times New Roman" w:eastAsia="宋体" w:cs="Times New Roman"/>
                <w:color w:val="auto"/>
                <w:spacing w:val="2"/>
                <w:sz w:val="21"/>
                <w:szCs w:val="21"/>
                <w:lang w:val="en-US" w:eastAsia="zh-CN"/>
              </w:rPr>
              <w:t>cm/s＜K≤1.0×10</w:t>
            </w:r>
            <w:r>
              <w:rPr>
                <w:rFonts w:hint="default" w:ascii="Times New Roman" w:hAnsi="Times New Roman" w:eastAsia="宋体" w:cs="Times New Roman"/>
                <w:color w:val="auto"/>
                <w:spacing w:val="2"/>
                <w:sz w:val="21"/>
                <w:szCs w:val="21"/>
                <w:vertAlign w:val="superscript"/>
                <w:lang w:val="en-US" w:eastAsia="zh-CN"/>
              </w:rPr>
              <w:t>-4</w:t>
            </w:r>
            <w:r>
              <w:rPr>
                <w:rFonts w:hint="default" w:ascii="Times New Roman" w:hAnsi="Times New Roman" w:eastAsia="宋体" w:cs="Times New Roman"/>
                <w:color w:val="auto"/>
                <w:spacing w:val="2"/>
                <w:sz w:val="21"/>
                <w:szCs w:val="21"/>
                <w:lang w:val="en-US" w:eastAsia="zh-CN"/>
              </w:rPr>
              <w:t>cm/s，且分布连续、稳定</w:t>
            </w:r>
          </w:p>
        </w:tc>
      </w:tr>
      <w:tr w14:paraId="6F5EB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1096" w:type="pct"/>
            <w:tcBorders>
              <w:top w:val="single" w:color="auto" w:sz="4" w:space="0"/>
              <w:left w:val="single" w:color="auto" w:sz="4" w:space="0"/>
              <w:bottom w:val="single" w:color="auto" w:sz="4" w:space="0"/>
              <w:right w:val="single" w:color="auto" w:sz="4" w:space="0"/>
            </w:tcBorders>
            <w:vAlign w:val="center"/>
          </w:tcPr>
          <w:p w14:paraId="174851D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D1</w:t>
            </w:r>
          </w:p>
        </w:tc>
        <w:tc>
          <w:tcPr>
            <w:tcW w:w="3903" w:type="pct"/>
            <w:tcBorders>
              <w:top w:val="single" w:color="auto" w:sz="4" w:space="0"/>
              <w:left w:val="single" w:color="auto" w:sz="4" w:space="0"/>
              <w:bottom w:val="single" w:color="auto" w:sz="4" w:space="0"/>
              <w:right w:val="single" w:color="auto" w:sz="4" w:space="0"/>
            </w:tcBorders>
            <w:vAlign w:val="center"/>
          </w:tcPr>
          <w:p w14:paraId="4C79953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岩（土）层不满足上述“D2”和“D3”条件</w:t>
            </w:r>
          </w:p>
        </w:tc>
      </w:tr>
      <w:tr w14:paraId="4A4E5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204320C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Mb：岩土层单层厚度；K：渗透系数</w:t>
            </w:r>
          </w:p>
        </w:tc>
      </w:tr>
    </w:tbl>
    <w:p w14:paraId="3A7EB897">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由上表可知，建设项目地下水功能敏感区为G3，包气带防污性能为D2，综合确定地下水环境敏感等级为E3，环境低度敏感区。</w:t>
      </w:r>
    </w:p>
    <w:p w14:paraId="2A7C4775">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表3.4-8建设项目环境风险潜势划分</w:t>
      </w:r>
    </w:p>
    <w:p w14:paraId="7CCE1BBB">
      <w:pPr>
        <w:spacing w:line="32" w:lineRule="exact"/>
        <w:rPr>
          <w:rFonts w:hint="default" w:ascii="Times New Roman" w:hAnsi="Times New Roman" w:eastAsia="宋体" w:cs="Times New Roman"/>
          <w:color w:val="auto"/>
          <w:lang w:eastAsia="zh-CN"/>
        </w:rPr>
      </w:pPr>
    </w:p>
    <w:tbl>
      <w:tblPr>
        <w:tblStyle w:val="2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48"/>
        <w:gridCol w:w="1476"/>
        <w:gridCol w:w="1587"/>
        <w:gridCol w:w="1539"/>
        <w:gridCol w:w="1662"/>
      </w:tblGrid>
      <w:tr w14:paraId="521E1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0" w:type="pct"/>
            <w:vMerge w:val="restart"/>
            <w:vAlign w:val="center"/>
          </w:tcPr>
          <w:p w14:paraId="0A0AD90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环境敏感程度（E）</w:t>
            </w:r>
          </w:p>
        </w:tc>
        <w:tc>
          <w:tcPr>
            <w:tcW w:w="3679" w:type="pct"/>
            <w:gridSpan w:val="4"/>
            <w:vAlign w:val="center"/>
          </w:tcPr>
          <w:p w14:paraId="5D34EAB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行业及生产工艺（M）</w:t>
            </w:r>
          </w:p>
        </w:tc>
      </w:tr>
      <w:tr w14:paraId="76C9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0" w:type="pct"/>
            <w:vMerge w:val="continue"/>
            <w:vAlign w:val="center"/>
          </w:tcPr>
          <w:p w14:paraId="688671B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p>
        </w:tc>
        <w:tc>
          <w:tcPr>
            <w:tcW w:w="867" w:type="pct"/>
            <w:vAlign w:val="center"/>
          </w:tcPr>
          <w:p w14:paraId="08C574A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极高危害（P1）</w:t>
            </w:r>
          </w:p>
        </w:tc>
        <w:tc>
          <w:tcPr>
            <w:tcW w:w="932" w:type="pct"/>
            <w:vAlign w:val="center"/>
          </w:tcPr>
          <w:p w14:paraId="1A1968E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高度危害（P2）</w:t>
            </w:r>
          </w:p>
        </w:tc>
        <w:tc>
          <w:tcPr>
            <w:tcW w:w="904" w:type="pct"/>
            <w:vAlign w:val="center"/>
          </w:tcPr>
          <w:p w14:paraId="5BDA939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中度危害（P3）</w:t>
            </w:r>
          </w:p>
        </w:tc>
        <w:tc>
          <w:tcPr>
            <w:tcW w:w="974" w:type="pct"/>
            <w:vAlign w:val="center"/>
          </w:tcPr>
          <w:p w14:paraId="6B5D566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轻度危害（P4）</w:t>
            </w:r>
          </w:p>
        </w:tc>
      </w:tr>
      <w:tr w14:paraId="61C8B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0" w:type="pct"/>
            <w:vAlign w:val="center"/>
          </w:tcPr>
          <w:p w14:paraId="32B89D4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环境高度敏感区（E1）</w:t>
            </w:r>
          </w:p>
        </w:tc>
        <w:tc>
          <w:tcPr>
            <w:tcW w:w="867" w:type="pct"/>
            <w:vAlign w:val="center"/>
          </w:tcPr>
          <w:p w14:paraId="6F76D00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Ⅳ+</w:t>
            </w:r>
          </w:p>
        </w:tc>
        <w:tc>
          <w:tcPr>
            <w:tcW w:w="932" w:type="pct"/>
            <w:vAlign w:val="center"/>
          </w:tcPr>
          <w:p w14:paraId="3C18C7C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Ⅳ</w:t>
            </w:r>
          </w:p>
        </w:tc>
        <w:tc>
          <w:tcPr>
            <w:tcW w:w="904" w:type="pct"/>
            <w:vAlign w:val="center"/>
          </w:tcPr>
          <w:p w14:paraId="1DB5391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Ⅲ</w:t>
            </w:r>
          </w:p>
        </w:tc>
        <w:tc>
          <w:tcPr>
            <w:tcW w:w="974" w:type="pct"/>
            <w:vAlign w:val="center"/>
          </w:tcPr>
          <w:p w14:paraId="4C5B333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Ⅲ</w:t>
            </w:r>
          </w:p>
        </w:tc>
      </w:tr>
      <w:tr w14:paraId="18D31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0" w:type="pct"/>
            <w:vAlign w:val="center"/>
          </w:tcPr>
          <w:p w14:paraId="6B2251B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环境中度敏感区（E2）</w:t>
            </w:r>
          </w:p>
        </w:tc>
        <w:tc>
          <w:tcPr>
            <w:tcW w:w="867" w:type="pct"/>
            <w:vAlign w:val="center"/>
          </w:tcPr>
          <w:p w14:paraId="1EA5142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Ⅳ</w:t>
            </w:r>
          </w:p>
        </w:tc>
        <w:tc>
          <w:tcPr>
            <w:tcW w:w="932" w:type="pct"/>
            <w:vAlign w:val="center"/>
          </w:tcPr>
          <w:p w14:paraId="3E03B53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Ⅲ</w:t>
            </w:r>
          </w:p>
        </w:tc>
        <w:tc>
          <w:tcPr>
            <w:tcW w:w="904" w:type="pct"/>
            <w:vAlign w:val="center"/>
          </w:tcPr>
          <w:p w14:paraId="2F4C325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Ⅲ</w:t>
            </w:r>
          </w:p>
        </w:tc>
        <w:tc>
          <w:tcPr>
            <w:tcW w:w="974" w:type="pct"/>
            <w:shd w:val="clear" w:color="auto" w:fill="C7E4B3"/>
            <w:vAlign w:val="center"/>
          </w:tcPr>
          <w:p w14:paraId="1934C76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Ⅱ</w:t>
            </w:r>
          </w:p>
        </w:tc>
      </w:tr>
      <w:tr w14:paraId="3AF46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0" w:type="pct"/>
            <w:vAlign w:val="center"/>
          </w:tcPr>
          <w:p w14:paraId="765CEA0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环境低度敏感区（E3）</w:t>
            </w:r>
          </w:p>
        </w:tc>
        <w:tc>
          <w:tcPr>
            <w:tcW w:w="867" w:type="pct"/>
            <w:vAlign w:val="center"/>
          </w:tcPr>
          <w:p w14:paraId="658A261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Ⅲ</w:t>
            </w:r>
          </w:p>
        </w:tc>
        <w:tc>
          <w:tcPr>
            <w:tcW w:w="932" w:type="pct"/>
            <w:vAlign w:val="center"/>
          </w:tcPr>
          <w:p w14:paraId="7FE438C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Ⅲ</w:t>
            </w:r>
          </w:p>
        </w:tc>
        <w:tc>
          <w:tcPr>
            <w:tcW w:w="904" w:type="pct"/>
            <w:vAlign w:val="center"/>
          </w:tcPr>
          <w:p w14:paraId="71628D1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Ⅱ</w:t>
            </w:r>
          </w:p>
        </w:tc>
        <w:tc>
          <w:tcPr>
            <w:tcW w:w="974" w:type="pct"/>
            <w:shd w:val="clear" w:color="auto" w:fill="4BACC6"/>
            <w:vAlign w:val="center"/>
          </w:tcPr>
          <w:p w14:paraId="6CCACBA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Ⅰ</w:t>
            </w:r>
          </w:p>
        </w:tc>
      </w:tr>
    </w:tbl>
    <w:p w14:paraId="4C3EC1CB">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根据环境风险潜势进行等级划分，环境风险评价工作等级划分见表3.4-9。</w:t>
      </w:r>
    </w:p>
    <w:p w14:paraId="1E9D794A">
      <w:pPr>
        <w:spacing w:before="100"/>
        <w:jc w:val="center"/>
        <w:rPr>
          <w:rFonts w:hint="default" w:ascii="Times New Roman" w:hAnsi="Times New Roman" w:eastAsia="宋体" w:cs="Times New Roman"/>
          <w:b/>
          <w:bCs/>
          <w:color w:val="auto"/>
          <w:spacing w:val="6"/>
          <w:sz w:val="20"/>
          <w:szCs w:val="20"/>
        </w:rPr>
      </w:pPr>
      <w:r>
        <w:rPr>
          <w:rFonts w:hint="default" w:ascii="Times New Roman" w:hAnsi="Times New Roman" w:eastAsia="宋体" w:cs="Times New Roman"/>
          <w:b/>
          <w:bCs/>
          <w:color w:val="auto"/>
          <w:spacing w:val="6"/>
          <w:sz w:val="20"/>
          <w:szCs w:val="20"/>
        </w:rPr>
        <w:t>表3.4-9评价工作等级划分</w:t>
      </w:r>
    </w:p>
    <w:p w14:paraId="1A42DEFB">
      <w:pPr>
        <w:spacing w:line="15" w:lineRule="exact"/>
        <w:rPr>
          <w:rFonts w:hint="default" w:ascii="Times New Roman" w:hAnsi="Times New Roman" w:eastAsia="宋体" w:cs="Times New Roman"/>
          <w:color w:val="auto"/>
        </w:rPr>
      </w:pPr>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38"/>
        <w:gridCol w:w="1712"/>
        <w:gridCol w:w="1712"/>
        <w:gridCol w:w="1712"/>
        <w:gridCol w:w="1737"/>
      </w:tblGrid>
      <w:tr w14:paraId="16D6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62" w:type="pct"/>
            <w:vAlign w:val="center"/>
          </w:tcPr>
          <w:p w14:paraId="1271078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环境风险潜势</w:t>
            </w:r>
          </w:p>
        </w:tc>
        <w:tc>
          <w:tcPr>
            <w:tcW w:w="1006" w:type="pct"/>
            <w:vAlign w:val="center"/>
          </w:tcPr>
          <w:p w14:paraId="153A45F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IV、IV+</w:t>
            </w:r>
          </w:p>
        </w:tc>
        <w:tc>
          <w:tcPr>
            <w:tcW w:w="1006" w:type="pct"/>
            <w:vAlign w:val="center"/>
          </w:tcPr>
          <w:p w14:paraId="779B0DF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III</w:t>
            </w:r>
          </w:p>
        </w:tc>
        <w:tc>
          <w:tcPr>
            <w:tcW w:w="1006" w:type="pct"/>
            <w:shd w:val="clear" w:color="auto" w:fill="C7E4B3"/>
            <w:vAlign w:val="center"/>
          </w:tcPr>
          <w:p w14:paraId="1273928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II</w:t>
            </w:r>
          </w:p>
        </w:tc>
        <w:tc>
          <w:tcPr>
            <w:tcW w:w="1017" w:type="pct"/>
            <w:shd w:val="clear" w:color="auto" w:fill="4BACC6"/>
            <w:vAlign w:val="center"/>
          </w:tcPr>
          <w:p w14:paraId="76C8F7C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I</w:t>
            </w:r>
          </w:p>
        </w:tc>
      </w:tr>
      <w:tr w14:paraId="3E00D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62" w:type="pct"/>
            <w:vAlign w:val="center"/>
          </w:tcPr>
          <w:p w14:paraId="2E94BB6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评价工作等级</w:t>
            </w:r>
          </w:p>
        </w:tc>
        <w:tc>
          <w:tcPr>
            <w:tcW w:w="1006" w:type="pct"/>
            <w:vAlign w:val="center"/>
          </w:tcPr>
          <w:p w14:paraId="1AE5DC2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一</w:t>
            </w:r>
          </w:p>
        </w:tc>
        <w:tc>
          <w:tcPr>
            <w:tcW w:w="1006" w:type="pct"/>
            <w:vAlign w:val="center"/>
          </w:tcPr>
          <w:p w14:paraId="7F3C4C9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二</w:t>
            </w:r>
          </w:p>
        </w:tc>
        <w:tc>
          <w:tcPr>
            <w:tcW w:w="1006" w:type="pct"/>
            <w:shd w:val="clear" w:color="auto" w:fill="C7E4B3"/>
            <w:vAlign w:val="center"/>
          </w:tcPr>
          <w:p w14:paraId="4753171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三</w:t>
            </w:r>
          </w:p>
        </w:tc>
        <w:tc>
          <w:tcPr>
            <w:tcW w:w="1017" w:type="pct"/>
            <w:shd w:val="clear" w:color="auto" w:fill="4BACC6"/>
            <w:vAlign w:val="center"/>
          </w:tcPr>
          <w:p w14:paraId="59A8DBB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简单分析a</w:t>
            </w:r>
          </w:p>
        </w:tc>
      </w:tr>
      <w:tr w14:paraId="72EDF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5"/>
            <w:vAlign w:val="center"/>
          </w:tcPr>
          <w:p w14:paraId="49AFA8D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a是相对于详细评价工作内容而言，在描述危险物质、环境影响途径、环境危害结果、风险防范措施等方面给出定性说明。</w:t>
            </w:r>
          </w:p>
        </w:tc>
      </w:tr>
    </w:tbl>
    <w:p w14:paraId="2F42A067">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大气环境风险潜势：大气环境风险受体敏感程度（E2），项目危险物质及工艺系统危险性等级为P4，根据以上统计，建设项目大气环境风险潜势为II。</w:t>
      </w:r>
    </w:p>
    <w:p w14:paraId="2A1058C6">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地表水环境风险潜势：地表水环境风险受体敏感程度（E2），项目危险物质及工艺系统危险性等级为P4，根据以上统计，建设项目地表水环境风险潜势为II。</w:t>
      </w:r>
    </w:p>
    <w:p w14:paraId="502A7719">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地下水环境风险潜势：地下水环境风险受体敏感程度（E3），项目危险物质及工艺系统危险性等级为P4，根据以上统计，建设项目地下水环境风险潜势为I。</w:t>
      </w:r>
    </w:p>
    <w:p w14:paraId="4D70F2B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建设项目环境风险潜势综合等级取各要素等级的相对高值。根据以上各环境要素风险潜势，本项目环境风险潜势综合等级为II。</w:t>
      </w:r>
    </w:p>
    <w:p w14:paraId="70D45FC3">
      <w:pPr>
        <w:pStyle w:val="3"/>
        <w:bidi w:val="0"/>
        <w:rPr>
          <w:rFonts w:hint="default"/>
          <w:lang w:eastAsia="zh-CN"/>
        </w:rPr>
      </w:pPr>
      <w:bookmarkStart w:id="10" w:name="_Toc34"/>
      <w:r>
        <w:rPr>
          <w:rFonts w:hint="default"/>
          <w:lang w:eastAsia="zh-CN"/>
        </w:rPr>
        <w:t>环境风险评价等级及评价范围</w:t>
      </w:r>
      <w:bookmarkEnd w:id="10"/>
    </w:p>
    <w:p w14:paraId="1E6AAD95">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根据建设项目环境风险潜势划分，结合环境敏感程度分级，本项目大气环境风险潜势为II，地表水环境风险潜势为II，地下水环境风险潜势为I；根据《建设项目环境风险评价技术导则》（HJ169-2018）建设项目环境风险潜势综合等级取各要素等级的相对高值，因此本项目环境潜势综合等级为II，确定本项目风险综合评价等级为三级，其中大气环境风险等级为三级，地表水环境风险等级为三级，地下水环境风险等级为简单分析。</w:t>
      </w:r>
    </w:p>
    <w:p w14:paraId="7D91FCC6">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大气环境风险评价范围为厂区边界外半径3km范围；地表水环境风险评价范围为集控区污水处理厂排污口入抚河上游500m至下游3000m范围；地下水简单分析。</w:t>
      </w:r>
    </w:p>
    <w:p w14:paraId="649B3B5A">
      <w:pPr>
        <w:pStyle w:val="2"/>
        <w:bidi w:val="0"/>
        <w:rPr>
          <w:rFonts w:hint="default"/>
          <w:lang w:eastAsia="zh-CN"/>
        </w:rPr>
      </w:pPr>
      <w:bookmarkStart w:id="11" w:name="_Toc1778"/>
      <w:r>
        <w:rPr>
          <w:rFonts w:hint="default"/>
          <w:lang w:eastAsia="zh-CN"/>
        </w:rPr>
        <w:t>风险预测</w:t>
      </w:r>
      <w:bookmarkEnd w:id="11"/>
    </w:p>
    <w:p w14:paraId="3240DC9D">
      <w:pPr>
        <w:pStyle w:val="3"/>
        <w:bidi w:val="0"/>
        <w:rPr>
          <w:rFonts w:hint="default"/>
          <w:lang w:eastAsia="zh-CN"/>
        </w:rPr>
      </w:pPr>
      <w:bookmarkStart w:id="12" w:name="_Toc14761"/>
      <w:r>
        <w:rPr>
          <w:rFonts w:hint="default"/>
          <w:lang w:eastAsia="zh-CN"/>
        </w:rPr>
        <w:t>风险识别</w:t>
      </w:r>
      <w:bookmarkEnd w:id="12"/>
    </w:p>
    <w:p w14:paraId="7D5C429B">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1、物质风险识别</w:t>
      </w:r>
    </w:p>
    <w:p w14:paraId="577430C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根据《危险化学品重大危险源辨识》（GB18218-20</w:t>
      </w:r>
      <w:r>
        <w:rPr>
          <w:rFonts w:hint="eastAsia" w:ascii="Times New Roman" w:hAnsi="Times New Roman" w:eastAsia="宋体" w:cs="Times New Roman"/>
          <w:color w:val="auto"/>
          <w:spacing w:val="7"/>
          <w:sz w:val="24"/>
          <w:szCs w:val="24"/>
          <w:lang w:val="en-US" w:eastAsia="zh-CN"/>
        </w:rPr>
        <w:t>18</w:t>
      </w:r>
      <w:r>
        <w:rPr>
          <w:rFonts w:hint="default" w:ascii="Times New Roman" w:hAnsi="Times New Roman" w:eastAsia="宋体" w:cs="Times New Roman"/>
          <w:color w:val="auto"/>
          <w:spacing w:val="7"/>
          <w:sz w:val="24"/>
          <w:szCs w:val="24"/>
          <w:lang w:eastAsia="zh-CN"/>
        </w:rPr>
        <w:t>），本项目涉及的主要危险化学品等有</w:t>
      </w:r>
      <w:r>
        <w:rPr>
          <w:rFonts w:hint="eastAsia" w:ascii="Times New Roman" w:hAnsi="Times New Roman" w:eastAsia="宋体" w:cs="Times New Roman"/>
          <w:color w:val="auto"/>
          <w:spacing w:val="7"/>
          <w:sz w:val="24"/>
          <w:szCs w:val="24"/>
          <w:lang w:eastAsia="zh-CN"/>
        </w:rPr>
        <w:t>硝酸、盐酸、氯化镍、氰化钠、氰化亚铜</w:t>
      </w:r>
      <w:r>
        <w:rPr>
          <w:rFonts w:hint="default" w:ascii="Times New Roman" w:hAnsi="Times New Roman" w:eastAsia="宋体" w:cs="Times New Roman"/>
          <w:color w:val="auto"/>
          <w:spacing w:val="7"/>
          <w:sz w:val="24"/>
          <w:szCs w:val="24"/>
          <w:lang w:eastAsia="zh-CN"/>
        </w:rPr>
        <w:t>等。</w:t>
      </w:r>
    </w:p>
    <w:p w14:paraId="1F7F9DC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2、设施风险识别</w:t>
      </w:r>
    </w:p>
    <w:p w14:paraId="7DD5B010">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（1）电镀生产装置可能存在风险的部位主要是各镀槽，以及相应的管道和泵，一旦发生事故可能会导致槽液的泄漏。</w:t>
      </w:r>
    </w:p>
    <w:p w14:paraId="09D059EA">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（2）危险化学品车间等主要是包装桶破损等导致危化品的泄漏。</w:t>
      </w:r>
    </w:p>
    <w:p w14:paraId="1916227A">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（3）专用尾水管道破裂、断裂造成尾水泄漏产生的环境风险。</w:t>
      </w:r>
    </w:p>
    <w:p w14:paraId="01356C3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（4）废水处理站可能存在风险的部位主要是含镍、含铬废水处理系统，含氰、含其它重金属废水预处理系统和回用系统故障，废水未经过处理直排或者超标排放。</w:t>
      </w:r>
    </w:p>
    <w:p w14:paraId="7984BE1C">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（5）废气处理装置可能存在风险的部位是风机和循环水泵故障，导致废气经收集后超标排放或未经收集直接在车间无组织扩散。</w:t>
      </w:r>
    </w:p>
    <w:p w14:paraId="747E335A">
      <w:pPr>
        <w:pStyle w:val="3"/>
        <w:bidi w:val="0"/>
        <w:rPr>
          <w:rFonts w:hint="default"/>
          <w:lang w:eastAsia="zh-CN"/>
        </w:rPr>
      </w:pPr>
      <w:bookmarkStart w:id="13" w:name="_Toc8255"/>
      <w:r>
        <w:rPr>
          <w:rFonts w:hint="default"/>
          <w:lang w:eastAsia="zh-CN"/>
        </w:rPr>
        <w:t>风险源分析</w:t>
      </w:r>
      <w:bookmarkEnd w:id="13"/>
    </w:p>
    <w:p w14:paraId="288500C1">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1、事故树（ETA）分析</w:t>
      </w:r>
    </w:p>
    <w:p w14:paraId="6E254077">
      <w:pPr>
        <w:spacing w:line="4500" w:lineRule="exact"/>
        <w:ind w:firstLine="122"/>
        <w:rPr>
          <w:rFonts w:hint="default" w:ascii="Times New Roman" w:hAnsi="Times New Roman" w:eastAsia="宋体" w:cs="Times New Roman"/>
          <w:color w:val="auto"/>
        </w:rPr>
      </w:pPr>
      <w:r>
        <w:rPr>
          <w:rFonts w:hint="default" w:ascii="Times New Roman" w:hAnsi="Times New Roman" w:eastAsia="宋体" w:cs="Times New Roman"/>
          <w:color w:val="auto"/>
          <w:position w:val="-90"/>
        </w:rPr>
        <w:drawing>
          <wp:inline distT="0" distB="0" distL="0" distR="0">
            <wp:extent cx="5163185" cy="2857500"/>
            <wp:effectExtent l="0" t="0" r="18415"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4"/>
                    <a:stretch>
                      <a:fillRect/>
                    </a:stretch>
                  </pic:blipFill>
                  <pic:spPr>
                    <a:xfrm>
                      <a:off x="0" y="0"/>
                      <a:ext cx="5163311" cy="2857500"/>
                    </a:xfrm>
                    <a:prstGeom prst="rect">
                      <a:avLst/>
                    </a:prstGeom>
                  </pic:spPr>
                </pic:pic>
              </a:graphicData>
            </a:graphic>
          </wp:inline>
        </w:drawing>
      </w:r>
    </w:p>
    <w:p w14:paraId="2627022E">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图4.2-1泄漏事件树示意图</w:t>
      </w:r>
    </w:p>
    <w:p w14:paraId="418B5662">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根据最大可信事故分析，本项目的主要风险是有毒化学品泄漏和火灾，发生事故的原因是容器破损，最大的后果是泄漏污染。</w:t>
      </w:r>
    </w:p>
    <w:p w14:paraId="197DC5DF">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2、最大可信事故</w:t>
      </w:r>
    </w:p>
    <w:p w14:paraId="091CAE71">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在不考虑集控区暂存的原料发生泄漏事故分析的情况下，本项目最大可信事故为原料暂存区危险化学品泄漏及槽体发生泄漏污染地下水。发生事故的原因是贮存、管道破裂，最大的后果是人群健康风险。</w:t>
      </w:r>
    </w:p>
    <w:p w14:paraId="2C5CE1E5">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3、事故发生概率调查</w:t>
      </w:r>
    </w:p>
    <w:p w14:paraId="0252D48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（1）重大事故发生概率</w:t>
      </w:r>
    </w:p>
    <w:p w14:paraId="3EB0EE3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国际工业界通常将重大事故的标准定义为：导致反应装置及其它经济损失超过2.5万美元，或造成严重人员伤亡的事故。根据调查，项目生产装置发生重大事故的概率很小，我国近年来各类化工设备事故概率见下表。</w:t>
      </w:r>
    </w:p>
    <w:p w14:paraId="24AF1796">
      <w:pPr>
        <w:spacing w:before="100"/>
        <w:jc w:val="center"/>
        <w:rPr>
          <w:rFonts w:hint="default" w:ascii="Times New Roman" w:hAnsi="Times New Roman" w:eastAsia="宋体" w:cs="Times New Roman"/>
          <w:b/>
          <w:bCs/>
          <w:color w:val="auto"/>
          <w:spacing w:val="6"/>
          <w:sz w:val="20"/>
          <w:szCs w:val="20"/>
        </w:rPr>
      </w:pPr>
      <w:r>
        <w:rPr>
          <w:rFonts w:hint="default" w:ascii="Times New Roman" w:hAnsi="Times New Roman" w:eastAsia="宋体" w:cs="Times New Roman"/>
          <w:b/>
          <w:bCs/>
          <w:color w:val="auto"/>
          <w:spacing w:val="6"/>
          <w:sz w:val="20"/>
          <w:szCs w:val="20"/>
        </w:rPr>
        <w:t>表4.2-1重大事故概率分类</w:t>
      </w:r>
    </w:p>
    <w:p w14:paraId="6C28A60A">
      <w:pPr>
        <w:spacing w:line="19" w:lineRule="exact"/>
        <w:rPr>
          <w:rFonts w:hint="default" w:ascii="Times New Roman" w:hAnsi="Times New Roman" w:eastAsia="宋体" w:cs="Times New Roman"/>
          <w:color w:val="auto"/>
        </w:rPr>
      </w:pPr>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45"/>
        <w:gridCol w:w="1896"/>
        <w:gridCol w:w="2824"/>
        <w:gridCol w:w="2446"/>
      </w:tblGrid>
      <w:tr w14:paraId="03E5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90" w:type="pct"/>
            <w:vAlign w:val="center"/>
          </w:tcPr>
          <w:p w14:paraId="6E76B19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分类</w:t>
            </w:r>
          </w:p>
        </w:tc>
        <w:tc>
          <w:tcPr>
            <w:tcW w:w="1113" w:type="pct"/>
            <w:vAlign w:val="center"/>
          </w:tcPr>
          <w:p w14:paraId="5A87AD5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情况说明</w:t>
            </w:r>
          </w:p>
        </w:tc>
        <w:tc>
          <w:tcPr>
            <w:tcW w:w="1658" w:type="pct"/>
            <w:vAlign w:val="center"/>
          </w:tcPr>
          <w:p w14:paraId="2210F6F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定义</w:t>
            </w:r>
          </w:p>
        </w:tc>
        <w:tc>
          <w:tcPr>
            <w:tcW w:w="1436" w:type="pct"/>
            <w:vAlign w:val="center"/>
          </w:tcPr>
          <w:p w14:paraId="7FDE07F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事故概率（次/年）</w:t>
            </w:r>
          </w:p>
        </w:tc>
      </w:tr>
      <w:tr w14:paraId="3AC41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90" w:type="pct"/>
            <w:vAlign w:val="center"/>
          </w:tcPr>
          <w:p w14:paraId="0FEB236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0</w:t>
            </w:r>
          </w:p>
        </w:tc>
        <w:tc>
          <w:tcPr>
            <w:tcW w:w="1113" w:type="pct"/>
            <w:vAlign w:val="center"/>
          </w:tcPr>
          <w:p w14:paraId="4ABA44F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极端少</w:t>
            </w:r>
          </w:p>
        </w:tc>
        <w:tc>
          <w:tcPr>
            <w:tcW w:w="1658" w:type="pct"/>
            <w:vAlign w:val="center"/>
          </w:tcPr>
          <w:p w14:paraId="66F49F0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从不发生</w:t>
            </w:r>
          </w:p>
        </w:tc>
        <w:tc>
          <w:tcPr>
            <w:tcW w:w="1436" w:type="pct"/>
            <w:vAlign w:val="center"/>
          </w:tcPr>
          <w:p w14:paraId="5186C86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&lt;3.125×10</w:t>
            </w:r>
            <w:r>
              <w:rPr>
                <w:rFonts w:hint="default" w:ascii="Times New Roman" w:hAnsi="Times New Roman" w:eastAsia="宋体" w:cs="Times New Roman"/>
                <w:color w:val="auto"/>
                <w:spacing w:val="2"/>
                <w:sz w:val="21"/>
                <w:szCs w:val="21"/>
                <w:vertAlign w:val="superscript"/>
                <w:lang w:val="en-US" w:eastAsia="zh-CN"/>
              </w:rPr>
              <w:t>-3</w:t>
            </w:r>
          </w:p>
        </w:tc>
      </w:tr>
      <w:tr w14:paraId="36F1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90" w:type="pct"/>
            <w:vAlign w:val="center"/>
          </w:tcPr>
          <w:p w14:paraId="0FAC87F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1</w:t>
            </w:r>
          </w:p>
        </w:tc>
        <w:tc>
          <w:tcPr>
            <w:tcW w:w="1113" w:type="pct"/>
            <w:vAlign w:val="center"/>
          </w:tcPr>
          <w:p w14:paraId="68E8534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少</w:t>
            </w:r>
          </w:p>
        </w:tc>
        <w:tc>
          <w:tcPr>
            <w:tcW w:w="1658" w:type="pct"/>
            <w:vAlign w:val="center"/>
          </w:tcPr>
          <w:p w14:paraId="33D0FC5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装置寿命内从不发生</w:t>
            </w:r>
          </w:p>
        </w:tc>
        <w:tc>
          <w:tcPr>
            <w:tcW w:w="1436" w:type="pct"/>
            <w:vAlign w:val="center"/>
          </w:tcPr>
          <w:p w14:paraId="736CFB4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1×10</w:t>
            </w:r>
            <w:r>
              <w:rPr>
                <w:rFonts w:hint="default" w:ascii="Times New Roman" w:hAnsi="Times New Roman" w:eastAsia="宋体" w:cs="Times New Roman"/>
                <w:color w:val="auto"/>
                <w:spacing w:val="2"/>
                <w:sz w:val="21"/>
                <w:szCs w:val="21"/>
                <w:vertAlign w:val="superscript"/>
                <w:lang w:val="en-US" w:eastAsia="zh-CN"/>
              </w:rPr>
              <w:t>-2</w:t>
            </w:r>
            <w:r>
              <w:rPr>
                <w:rFonts w:hint="default" w:ascii="Times New Roman" w:hAnsi="Times New Roman" w:eastAsia="宋体" w:cs="Times New Roman"/>
                <w:color w:val="auto"/>
                <w:spacing w:val="2"/>
                <w:sz w:val="21"/>
                <w:szCs w:val="21"/>
                <w:lang w:val="en-US" w:eastAsia="zh-CN"/>
              </w:rPr>
              <w:t>～3.125×10</w:t>
            </w:r>
            <w:r>
              <w:rPr>
                <w:rFonts w:hint="default" w:ascii="Times New Roman" w:hAnsi="Times New Roman" w:eastAsia="宋体" w:cs="Times New Roman"/>
                <w:color w:val="auto"/>
                <w:spacing w:val="2"/>
                <w:sz w:val="21"/>
                <w:szCs w:val="21"/>
                <w:vertAlign w:val="superscript"/>
                <w:lang w:val="en-US" w:eastAsia="zh-CN"/>
              </w:rPr>
              <w:t>-3</w:t>
            </w:r>
          </w:p>
        </w:tc>
      </w:tr>
      <w:tr w14:paraId="3F32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90" w:type="pct"/>
            <w:vAlign w:val="center"/>
          </w:tcPr>
          <w:p w14:paraId="73C114D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2</w:t>
            </w:r>
          </w:p>
        </w:tc>
        <w:tc>
          <w:tcPr>
            <w:tcW w:w="1113" w:type="pct"/>
            <w:vAlign w:val="center"/>
          </w:tcPr>
          <w:p w14:paraId="5149DE8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不大可能</w:t>
            </w:r>
          </w:p>
        </w:tc>
        <w:tc>
          <w:tcPr>
            <w:tcW w:w="1658" w:type="pct"/>
            <w:vAlign w:val="center"/>
          </w:tcPr>
          <w:p w14:paraId="19EB2AF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装置寿命内发生一次</w:t>
            </w:r>
          </w:p>
        </w:tc>
        <w:tc>
          <w:tcPr>
            <w:tcW w:w="1436" w:type="pct"/>
            <w:vAlign w:val="center"/>
          </w:tcPr>
          <w:p w14:paraId="6DDC804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3.125×10</w:t>
            </w:r>
            <w:r>
              <w:rPr>
                <w:rFonts w:hint="default" w:ascii="Times New Roman" w:hAnsi="Times New Roman" w:eastAsia="宋体" w:cs="Times New Roman"/>
                <w:color w:val="auto"/>
                <w:spacing w:val="2"/>
                <w:sz w:val="21"/>
                <w:szCs w:val="21"/>
                <w:vertAlign w:val="superscript"/>
                <w:lang w:val="en-US" w:eastAsia="zh-CN"/>
              </w:rPr>
              <w:t>-2</w:t>
            </w:r>
            <w:r>
              <w:rPr>
                <w:rFonts w:hint="default" w:ascii="Times New Roman" w:hAnsi="Times New Roman" w:eastAsia="宋体" w:cs="Times New Roman"/>
                <w:color w:val="auto"/>
                <w:spacing w:val="2"/>
                <w:sz w:val="21"/>
                <w:szCs w:val="21"/>
                <w:lang w:val="en-US" w:eastAsia="zh-CN"/>
              </w:rPr>
              <w:t>～1×10</w:t>
            </w:r>
            <w:r>
              <w:rPr>
                <w:rFonts w:hint="default" w:ascii="Times New Roman" w:hAnsi="Times New Roman" w:eastAsia="宋体" w:cs="Times New Roman"/>
                <w:color w:val="auto"/>
                <w:spacing w:val="2"/>
                <w:sz w:val="21"/>
                <w:szCs w:val="21"/>
                <w:vertAlign w:val="superscript"/>
                <w:lang w:val="en-US" w:eastAsia="zh-CN"/>
              </w:rPr>
              <w:t>-2</w:t>
            </w:r>
          </w:p>
        </w:tc>
      </w:tr>
      <w:tr w14:paraId="371B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90" w:type="pct"/>
            <w:vAlign w:val="center"/>
          </w:tcPr>
          <w:p w14:paraId="1FFE216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3</w:t>
            </w:r>
          </w:p>
        </w:tc>
        <w:tc>
          <w:tcPr>
            <w:tcW w:w="1113" w:type="pct"/>
            <w:vAlign w:val="center"/>
          </w:tcPr>
          <w:p w14:paraId="73553F1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也许可能</w:t>
            </w:r>
          </w:p>
        </w:tc>
        <w:tc>
          <w:tcPr>
            <w:tcW w:w="1658" w:type="pct"/>
            <w:vAlign w:val="center"/>
          </w:tcPr>
          <w:p w14:paraId="2862562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装置寿命内发生一次以上</w:t>
            </w:r>
          </w:p>
        </w:tc>
        <w:tc>
          <w:tcPr>
            <w:tcW w:w="1436" w:type="pct"/>
            <w:vAlign w:val="center"/>
          </w:tcPr>
          <w:p w14:paraId="5F901FA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0.10～0.03125</w:t>
            </w:r>
          </w:p>
        </w:tc>
      </w:tr>
      <w:tr w14:paraId="047A7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90" w:type="pct"/>
            <w:vAlign w:val="center"/>
          </w:tcPr>
          <w:p w14:paraId="34768AE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4</w:t>
            </w:r>
          </w:p>
        </w:tc>
        <w:tc>
          <w:tcPr>
            <w:tcW w:w="1113" w:type="pct"/>
            <w:vAlign w:val="center"/>
          </w:tcPr>
          <w:p w14:paraId="42BBBC9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偶然</w:t>
            </w:r>
          </w:p>
        </w:tc>
        <w:tc>
          <w:tcPr>
            <w:tcW w:w="1658" w:type="pct"/>
            <w:vAlign w:val="center"/>
          </w:tcPr>
          <w:p w14:paraId="373F1D0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装置寿命内发生几次</w:t>
            </w:r>
          </w:p>
        </w:tc>
        <w:tc>
          <w:tcPr>
            <w:tcW w:w="1436" w:type="pct"/>
            <w:vAlign w:val="center"/>
          </w:tcPr>
          <w:p w14:paraId="0B48D75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0.3333～0.10</w:t>
            </w:r>
          </w:p>
        </w:tc>
      </w:tr>
      <w:tr w14:paraId="62F1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90" w:type="pct"/>
            <w:vAlign w:val="center"/>
          </w:tcPr>
          <w:p w14:paraId="69C116A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5</w:t>
            </w:r>
          </w:p>
        </w:tc>
        <w:tc>
          <w:tcPr>
            <w:tcW w:w="1113" w:type="pct"/>
            <w:vAlign w:val="center"/>
          </w:tcPr>
          <w:p w14:paraId="2F8F4D1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可能</w:t>
            </w:r>
          </w:p>
        </w:tc>
        <w:tc>
          <w:tcPr>
            <w:tcW w:w="1658" w:type="pct"/>
            <w:vAlign w:val="center"/>
          </w:tcPr>
          <w:p w14:paraId="278DB40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预计一年发生一次</w:t>
            </w:r>
          </w:p>
        </w:tc>
        <w:tc>
          <w:tcPr>
            <w:tcW w:w="1436" w:type="pct"/>
            <w:vAlign w:val="center"/>
          </w:tcPr>
          <w:p w14:paraId="023FC19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1～0.3333</w:t>
            </w:r>
          </w:p>
        </w:tc>
      </w:tr>
      <w:tr w14:paraId="67F5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90" w:type="pct"/>
            <w:vAlign w:val="center"/>
          </w:tcPr>
          <w:p w14:paraId="6818017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6</w:t>
            </w:r>
          </w:p>
        </w:tc>
        <w:tc>
          <w:tcPr>
            <w:tcW w:w="1113" w:type="pct"/>
            <w:vAlign w:val="center"/>
          </w:tcPr>
          <w:p w14:paraId="7BFD444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频繁</w:t>
            </w:r>
          </w:p>
        </w:tc>
        <w:tc>
          <w:tcPr>
            <w:tcW w:w="1658" w:type="pct"/>
            <w:vAlign w:val="center"/>
          </w:tcPr>
          <w:p w14:paraId="3E30BF3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预计一年发生一次以上</w:t>
            </w:r>
          </w:p>
        </w:tc>
        <w:tc>
          <w:tcPr>
            <w:tcW w:w="1436" w:type="pct"/>
            <w:vAlign w:val="center"/>
          </w:tcPr>
          <w:p w14:paraId="6F248B0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&gt;1</w:t>
            </w:r>
          </w:p>
        </w:tc>
      </w:tr>
    </w:tbl>
    <w:p w14:paraId="75F0F59D">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一般事故是指那些没有造成重大经济损失和人员伤亡的事故，此类事故如处置不当，将对环境产生不利影响。对同类化工生产装置事故调查统计可知，因生产装置原因造成的事故中以设备、管道、贮罐破损泄漏出现几率最大；因人为因素造成的事故中以操作失误、违章操作、维护不当出现几率最大。一般事故发生概率见下表。</w:t>
      </w:r>
    </w:p>
    <w:p w14:paraId="380B76DB">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表4.2-2一般事故原因统计</w:t>
      </w:r>
    </w:p>
    <w:p w14:paraId="2ADB7BEA">
      <w:pPr>
        <w:spacing w:line="19" w:lineRule="exact"/>
        <w:rPr>
          <w:rFonts w:hint="default" w:ascii="Times New Roman" w:hAnsi="Times New Roman" w:eastAsia="宋体" w:cs="Times New Roman"/>
          <w:color w:val="auto"/>
          <w:lang w:eastAsia="zh-CN"/>
        </w:rPr>
      </w:pPr>
    </w:p>
    <w:tbl>
      <w:tblPr>
        <w:tblStyle w:val="2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55"/>
        <w:gridCol w:w="4257"/>
      </w:tblGrid>
      <w:tr w14:paraId="6538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99" w:type="pct"/>
            <w:vAlign w:val="center"/>
          </w:tcPr>
          <w:p w14:paraId="412D770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事故原因</w:t>
            </w:r>
          </w:p>
        </w:tc>
        <w:tc>
          <w:tcPr>
            <w:tcW w:w="2500" w:type="pct"/>
            <w:vAlign w:val="center"/>
          </w:tcPr>
          <w:p w14:paraId="083B47A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出现几率（%）</w:t>
            </w:r>
          </w:p>
        </w:tc>
      </w:tr>
      <w:tr w14:paraId="5A4D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99" w:type="pct"/>
            <w:vAlign w:val="center"/>
          </w:tcPr>
          <w:p w14:paraId="3880168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贮罐、管道和设备破损</w:t>
            </w:r>
          </w:p>
        </w:tc>
        <w:tc>
          <w:tcPr>
            <w:tcW w:w="2500" w:type="pct"/>
            <w:vAlign w:val="center"/>
          </w:tcPr>
          <w:p w14:paraId="24EE054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52</w:t>
            </w:r>
          </w:p>
        </w:tc>
      </w:tr>
      <w:tr w14:paraId="683B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99" w:type="pct"/>
            <w:vAlign w:val="center"/>
          </w:tcPr>
          <w:p w14:paraId="5F53569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操作失误</w:t>
            </w:r>
          </w:p>
        </w:tc>
        <w:tc>
          <w:tcPr>
            <w:tcW w:w="2500" w:type="pct"/>
            <w:vAlign w:val="center"/>
          </w:tcPr>
          <w:p w14:paraId="1B2EA9F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11</w:t>
            </w:r>
          </w:p>
        </w:tc>
      </w:tr>
      <w:tr w14:paraId="344C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99" w:type="pct"/>
            <w:vAlign w:val="center"/>
          </w:tcPr>
          <w:p w14:paraId="428FE29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违反检修规程</w:t>
            </w:r>
          </w:p>
        </w:tc>
        <w:tc>
          <w:tcPr>
            <w:tcW w:w="2500" w:type="pct"/>
            <w:vAlign w:val="center"/>
          </w:tcPr>
          <w:p w14:paraId="24F3B3F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10</w:t>
            </w:r>
          </w:p>
        </w:tc>
      </w:tr>
      <w:tr w14:paraId="2CDA4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99" w:type="pct"/>
            <w:vAlign w:val="center"/>
          </w:tcPr>
          <w:p w14:paraId="7B90388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处理系统故障</w:t>
            </w:r>
          </w:p>
        </w:tc>
        <w:tc>
          <w:tcPr>
            <w:tcW w:w="2500" w:type="pct"/>
            <w:vAlign w:val="center"/>
          </w:tcPr>
          <w:p w14:paraId="66D5A2F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15</w:t>
            </w:r>
          </w:p>
        </w:tc>
      </w:tr>
      <w:tr w14:paraId="658C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99" w:type="pct"/>
            <w:vAlign w:val="center"/>
          </w:tcPr>
          <w:p w14:paraId="4E01694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其它</w:t>
            </w:r>
          </w:p>
        </w:tc>
        <w:tc>
          <w:tcPr>
            <w:tcW w:w="2500" w:type="pct"/>
            <w:vAlign w:val="center"/>
          </w:tcPr>
          <w:p w14:paraId="272F884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12</w:t>
            </w:r>
          </w:p>
        </w:tc>
      </w:tr>
    </w:tbl>
    <w:p w14:paraId="678D440C">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国际上先进化工生产装置一般性泄漏事故发生概率为0.06次/年，非泄漏性事故发生概率为0.0083次/年。</w:t>
      </w:r>
    </w:p>
    <w:p w14:paraId="31787CB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本项目可认为项目在装置寿命内不会发生重大事故，一般事故发生概率拟取值为0.06次/年，其中储存装置使用寿命内，可能会发生1~2次泄漏事故。</w:t>
      </w:r>
    </w:p>
    <w:p w14:paraId="76564C9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4、风险事故类型识别</w:t>
      </w:r>
    </w:p>
    <w:p w14:paraId="67C4B58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（1）主要的风险类型有：</w:t>
      </w:r>
    </w:p>
    <w:p w14:paraId="0074443A">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1）</w:t>
      </w:r>
      <w:r>
        <w:rPr>
          <w:rFonts w:hint="default" w:ascii="Times New Roman" w:hAnsi="Times New Roman" w:eastAsia="宋体" w:cs="Times New Roman"/>
          <w:color w:val="auto"/>
          <w:spacing w:val="7"/>
          <w:sz w:val="24"/>
          <w:szCs w:val="24"/>
          <w:lang w:eastAsia="zh-CN"/>
        </w:rPr>
        <w:t>危险物质泄漏：生产区、储存区发生化学品泄漏事故；</w:t>
      </w:r>
    </w:p>
    <w:p w14:paraId="076A0C30">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2）</w:t>
      </w:r>
      <w:r>
        <w:rPr>
          <w:rFonts w:hint="default" w:ascii="Times New Roman" w:hAnsi="Times New Roman" w:eastAsia="宋体" w:cs="Times New Roman"/>
          <w:color w:val="auto"/>
          <w:spacing w:val="7"/>
          <w:sz w:val="24"/>
          <w:szCs w:val="24"/>
          <w:lang w:eastAsia="zh-CN"/>
        </w:rPr>
        <w:t>火灾、爆炸引起的伴生/次生污染物排放。</w:t>
      </w:r>
    </w:p>
    <w:p w14:paraId="0A6239E0">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（2）本项目的风险类型主要为泄漏，危险物质向环境转移的可能途径和影响方式主要为：</w:t>
      </w:r>
    </w:p>
    <w:p w14:paraId="7552FA56">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1）</w:t>
      </w:r>
      <w:r>
        <w:rPr>
          <w:rFonts w:hint="default" w:ascii="Times New Roman" w:hAnsi="Times New Roman" w:eastAsia="宋体" w:cs="Times New Roman"/>
          <w:color w:val="auto"/>
          <w:spacing w:val="7"/>
          <w:sz w:val="24"/>
          <w:szCs w:val="24"/>
          <w:lang w:eastAsia="zh-CN"/>
        </w:rPr>
        <w:t>危险化学品泄漏，如不采取恰当措施，则渗入土壤和地下水；</w:t>
      </w:r>
    </w:p>
    <w:p w14:paraId="0B5AA108">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2）</w:t>
      </w:r>
      <w:r>
        <w:rPr>
          <w:rFonts w:hint="default" w:ascii="Times New Roman" w:hAnsi="Times New Roman" w:eastAsia="宋体" w:cs="Times New Roman"/>
          <w:color w:val="auto"/>
          <w:spacing w:val="7"/>
          <w:sz w:val="24"/>
          <w:szCs w:val="24"/>
          <w:lang w:eastAsia="zh-CN"/>
        </w:rPr>
        <w:t>废水处理系统事故泄漏，造成未经处理的重金属废水排入抚河；</w:t>
      </w:r>
    </w:p>
    <w:p w14:paraId="2EE05B71">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3）</w:t>
      </w:r>
      <w:r>
        <w:rPr>
          <w:rFonts w:hint="default" w:ascii="Times New Roman" w:hAnsi="Times New Roman" w:eastAsia="宋体" w:cs="Times New Roman"/>
          <w:color w:val="auto"/>
          <w:spacing w:val="7"/>
          <w:sz w:val="24"/>
          <w:szCs w:val="24"/>
          <w:lang w:eastAsia="zh-CN"/>
        </w:rPr>
        <w:t>生产过程中工艺废气事故泄漏，工艺废气未经处理直接排入环境。</w:t>
      </w:r>
    </w:p>
    <w:p w14:paraId="7020C5FB">
      <w:pPr>
        <w:spacing w:before="100"/>
        <w:jc w:val="center"/>
        <w:rPr>
          <w:rFonts w:hint="default" w:ascii="Times New Roman" w:hAnsi="Times New Roman" w:eastAsia="宋体" w:cs="Times New Roman"/>
          <w:b/>
          <w:bCs/>
          <w:color w:val="auto"/>
          <w:spacing w:val="6"/>
          <w:sz w:val="20"/>
          <w:szCs w:val="20"/>
          <w:lang w:eastAsia="zh-CN"/>
        </w:rPr>
      </w:pPr>
      <w:r>
        <w:rPr>
          <w:rFonts w:hint="default" w:ascii="Times New Roman" w:hAnsi="Times New Roman" w:eastAsia="宋体" w:cs="Times New Roman"/>
          <w:b/>
          <w:bCs/>
          <w:color w:val="auto"/>
          <w:spacing w:val="6"/>
          <w:sz w:val="20"/>
          <w:szCs w:val="20"/>
          <w:lang w:eastAsia="zh-CN"/>
        </w:rPr>
        <w:t>表4.2-3本项目环境风险识别表</w:t>
      </w:r>
    </w:p>
    <w:p w14:paraId="34581669">
      <w:pPr>
        <w:spacing w:line="20" w:lineRule="exact"/>
        <w:rPr>
          <w:rFonts w:hint="default" w:ascii="Times New Roman" w:hAnsi="Times New Roman" w:eastAsia="宋体" w:cs="Times New Roman"/>
          <w:color w:val="auto"/>
          <w:lang w:eastAsia="zh-CN"/>
        </w:rPr>
      </w:pPr>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3"/>
        <w:gridCol w:w="940"/>
        <w:gridCol w:w="2437"/>
        <w:gridCol w:w="1207"/>
        <w:gridCol w:w="1137"/>
        <w:gridCol w:w="1637"/>
      </w:tblGrid>
      <w:tr w14:paraId="0F79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77" w:type="pct"/>
            <w:vAlign w:val="center"/>
          </w:tcPr>
          <w:p w14:paraId="3260871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危险单元</w:t>
            </w:r>
          </w:p>
        </w:tc>
        <w:tc>
          <w:tcPr>
            <w:tcW w:w="552" w:type="pct"/>
            <w:vAlign w:val="center"/>
          </w:tcPr>
          <w:p w14:paraId="3C2B927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潜在风险源</w:t>
            </w:r>
          </w:p>
        </w:tc>
        <w:tc>
          <w:tcPr>
            <w:tcW w:w="1431" w:type="pct"/>
            <w:vAlign w:val="center"/>
          </w:tcPr>
          <w:p w14:paraId="6E9EA48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主要危险物质</w:t>
            </w:r>
          </w:p>
        </w:tc>
        <w:tc>
          <w:tcPr>
            <w:tcW w:w="709" w:type="pct"/>
            <w:vAlign w:val="center"/>
          </w:tcPr>
          <w:p w14:paraId="571B1CA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环境风险类型</w:t>
            </w:r>
          </w:p>
        </w:tc>
        <w:tc>
          <w:tcPr>
            <w:tcW w:w="668" w:type="pct"/>
            <w:vAlign w:val="center"/>
          </w:tcPr>
          <w:p w14:paraId="4626CFF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环境影响途径</w:t>
            </w:r>
          </w:p>
        </w:tc>
        <w:tc>
          <w:tcPr>
            <w:tcW w:w="961" w:type="pct"/>
            <w:vAlign w:val="center"/>
          </w:tcPr>
          <w:p w14:paraId="5A05116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可能受影响的环境敏感目标</w:t>
            </w:r>
          </w:p>
        </w:tc>
      </w:tr>
      <w:tr w14:paraId="01F7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77" w:type="pct"/>
            <w:vAlign w:val="center"/>
          </w:tcPr>
          <w:p w14:paraId="34FEE64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化学品仓库等</w:t>
            </w:r>
          </w:p>
        </w:tc>
        <w:tc>
          <w:tcPr>
            <w:tcW w:w="552" w:type="pct"/>
            <w:vAlign w:val="center"/>
          </w:tcPr>
          <w:p w14:paraId="31D610A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危险化学品</w:t>
            </w:r>
          </w:p>
        </w:tc>
        <w:tc>
          <w:tcPr>
            <w:tcW w:w="1431" w:type="pct"/>
            <w:vAlign w:val="center"/>
          </w:tcPr>
          <w:p w14:paraId="7C4AD4F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强酸、强碱和重金属</w:t>
            </w:r>
          </w:p>
        </w:tc>
        <w:tc>
          <w:tcPr>
            <w:tcW w:w="709" w:type="pct"/>
            <w:vAlign w:val="center"/>
          </w:tcPr>
          <w:p w14:paraId="5DD8642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泄漏、火灾、爆炸引发次伴生</w:t>
            </w:r>
          </w:p>
        </w:tc>
        <w:tc>
          <w:tcPr>
            <w:tcW w:w="668" w:type="pct"/>
            <w:vAlign w:val="center"/>
          </w:tcPr>
          <w:p w14:paraId="3C3BA9E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扩散、漫流、渗透、吸收</w:t>
            </w:r>
          </w:p>
        </w:tc>
        <w:tc>
          <w:tcPr>
            <w:tcW w:w="961" w:type="pct"/>
            <w:vAlign w:val="center"/>
          </w:tcPr>
          <w:p w14:paraId="57F2356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地表水、地下水等</w:t>
            </w:r>
          </w:p>
        </w:tc>
      </w:tr>
      <w:tr w14:paraId="7BF1A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77" w:type="pct"/>
            <w:vAlign w:val="center"/>
          </w:tcPr>
          <w:p w14:paraId="08D76FD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电镀生产线</w:t>
            </w:r>
          </w:p>
        </w:tc>
        <w:tc>
          <w:tcPr>
            <w:tcW w:w="552" w:type="pct"/>
            <w:vAlign w:val="center"/>
          </w:tcPr>
          <w:p w14:paraId="071EEB9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电镀槽</w:t>
            </w:r>
          </w:p>
        </w:tc>
        <w:tc>
          <w:tcPr>
            <w:tcW w:w="1431" w:type="pct"/>
            <w:vAlign w:val="center"/>
          </w:tcPr>
          <w:p w14:paraId="0424492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电镀槽液</w:t>
            </w:r>
          </w:p>
        </w:tc>
        <w:tc>
          <w:tcPr>
            <w:tcW w:w="709" w:type="pct"/>
            <w:vAlign w:val="center"/>
          </w:tcPr>
          <w:p w14:paraId="42F7C28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泄漏</w:t>
            </w:r>
          </w:p>
        </w:tc>
        <w:tc>
          <w:tcPr>
            <w:tcW w:w="668" w:type="pct"/>
            <w:vAlign w:val="center"/>
          </w:tcPr>
          <w:p w14:paraId="0455935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扩散、漫流、渗透、吸收</w:t>
            </w:r>
          </w:p>
        </w:tc>
        <w:tc>
          <w:tcPr>
            <w:tcW w:w="961" w:type="pct"/>
            <w:vAlign w:val="center"/>
          </w:tcPr>
          <w:p w14:paraId="6201D91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地表水、地下水等</w:t>
            </w:r>
          </w:p>
        </w:tc>
      </w:tr>
      <w:tr w14:paraId="7A4DD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77" w:type="pct"/>
            <w:vAlign w:val="center"/>
          </w:tcPr>
          <w:p w14:paraId="4051BD0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废气处理装置</w:t>
            </w:r>
          </w:p>
        </w:tc>
        <w:tc>
          <w:tcPr>
            <w:tcW w:w="552" w:type="pct"/>
            <w:vAlign w:val="center"/>
          </w:tcPr>
          <w:p w14:paraId="6F41368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废气处理装置</w:t>
            </w:r>
          </w:p>
        </w:tc>
        <w:tc>
          <w:tcPr>
            <w:tcW w:w="1431" w:type="pct"/>
            <w:vAlign w:val="center"/>
          </w:tcPr>
          <w:p w14:paraId="5C89BF7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氯化氢、氰化氢等</w:t>
            </w:r>
          </w:p>
        </w:tc>
        <w:tc>
          <w:tcPr>
            <w:tcW w:w="709" w:type="pct"/>
            <w:vAlign w:val="center"/>
          </w:tcPr>
          <w:p w14:paraId="4632046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泄漏</w:t>
            </w:r>
          </w:p>
        </w:tc>
        <w:tc>
          <w:tcPr>
            <w:tcW w:w="668" w:type="pct"/>
            <w:vAlign w:val="center"/>
          </w:tcPr>
          <w:p w14:paraId="1C7AC1C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扩散</w:t>
            </w:r>
          </w:p>
        </w:tc>
        <w:tc>
          <w:tcPr>
            <w:tcW w:w="961" w:type="pct"/>
            <w:vAlign w:val="center"/>
          </w:tcPr>
          <w:p w14:paraId="6DF8BBE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周边居民</w:t>
            </w:r>
          </w:p>
        </w:tc>
      </w:tr>
      <w:tr w14:paraId="0E13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77" w:type="pct"/>
            <w:vAlign w:val="center"/>
          </w:tcPr>
          <w:p w14:paraId="24713A6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消防</w:t>
            </w:r>
          </w:p>
        </w:tc>
        <w:tc>
          <w:tcPr>
            <w:tcW w:w="552" w:type="pct"/>
            <w:vAlign w:val="center"/>
          </w:tcPr>
          <w:p w14:paraId="26DB788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w:t>
            </w:r>
          </w:p>
        </w:tc>
        <w:tc>
          <w:tcPr>
            <w:tcW w:w="1431" w:type="pct"/>
            <w:vAlign w:val="center"/>
          </w:tcPr>
          <w:p w14:paraId="5604A37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消防废水</w:t>
            </w:r>
          </w:p>
        </w:tc>
        <w:tc>
          <w:tcPr>
            <w:tcW w:w="709" w:type="pct"/>
            <w:vAlign w:val="center"/>
          </w:tcPr>
          <w:p w14:paraId="0AFF47D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消防废水泄漏</w:t>
            </w:r>
          </w:p>
        </w:tc>
        <w:tc>
          <w:tcPr>
            <w:tcW w:w="668" w:type="pct"/>
            <w:vAlign w:val="center"/>
          </w:tcPr>
          <w:p w14:paraId="3C2B1DC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通过雨水管道流入外环境</w:t>
            </w:r>
          </w:p>
        </w:tc>
        <w:tc>
          <w:tcPr>
            <w:tcW w:w="961" w:type="pct"/>
            <w:vAlign w:val="center"/>
          </w:tcPr>
          <w:p w14:paraId="5D2275F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auto"/>
                <w:spacing w:val="2"/>
                <w:sz w:val="21"/>
                <w:szCs w:val="21"/>
                <w:lang w:val="en-US" w:eastAsia="zh-CN"/>
              </w:rPr>
            </w:pPr>
            <w:r>
              <w:rPr>
                <w:rFonts w:hint="default" w:ascii="Times New Roman" w:hAnsi="Times New Roman" w:eastAsia="宋体" w:cs="Times New Roman"/>
                <w:color w:val="auto"/>
                <w:spacing w:val="2"/>
                <w:sz w:val="21"/>
                <w:szCs w:val="21"/>
                <w:lang w:val="en-US" w:eastAsia="zh-CN"/>
              </w:rPr>
              <w:t>周边水体和土土壤污染</w:t>
            </w:r>
          </w:p>
        </w:tc>
      </w:tr>
    </w:tbl>
    <w:p w14:paraId="15B02F8E">
      <w:pPr>
        <w:pStyle w:val="3"/>
        <w:bidi w:val="0"/>
        <w:rPr>
          <w:rFonts w:hint="default"/>
          <w:lang w:eastAsia="zh-CN"/>
        </w:rPr>
      </w:pPr>
      <w:bookmarkStart w:id="14" w:name="_Toc13247"/>
      <w:r>
        <w:rPr>
          <w:rFonts w:hint="default"/>
          <w:lang w:eastAsia="zh-CN"/>
        </w:rPr>
        <w:t>风险影响分析</w:t>
      </w:r>
      <w:bookmarkEnd w:id="14"/>
    </w:p>
    <w:p w14:paraId="231D1E2C">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eastAsia="zh-CN"/>
        </w:rPr>
        <w:t>1、大气环境风险影响分析企业的主要环境风险事故是：</w:t>
      </w:r>
    </w:p>
    <w:p w14:paraId="2F1B51AE">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eastAsia="zh-CN"/>
        </w:rPr>
        <w:t>（</w:t>
      </w:r>
      <w:r>
        <w:rPr>
          <w:rFonts w:hint="default" w:ascii="Times New Roman" w:hAnsi="Times New Roman" w:eastAsia="宋体" w:cs="Times New Roman"/>
          <w:color w:val="0000FF"/>
          <w:spacing w:val="7"/>
          <w:sz w:val="24"/>
          <w:szCs w:val="24"/>
          <w:lang w:val="en-US" w:eastAsia="zh-CN"/>
        </w:rPr>
        <w:t>1</w:t>
      </w:r>
      <w:r>
        <w:rPr>
          <w:rFonts w:hint="default" w:ascii="Times New Roman" w:hAnsi="Times New Roman" w:eastAsia="宋体" w:cs="Times New Roman"/>
          <w:color w:val="0000FF"/>
          <w:spacing w:val="7"/>
          <w:sz w:val="24"/>
          <w:szCs w:val="24"/>
          <w:lang w:eastAsia="zh-CN"/>
        </w:rPr>
        <w:t>）有毒有害物质的泄漏：原辅材料中的危险化学品主要是盐酸、硝酸、</w:t>
      </w:r>
      <w:r>
        <w:rPr>
          <w:rFonts w:hint="eastAsia" w:ascii="Times New Roman" w:hAnsi="Times New Roman" w:eastAsia="宋体" w:cs="Times New Roman"/>
          <w:color w:val="0000FF"/>
          <w:spacing w:val="7"/>
          <w:sz w:val="24"/>
          <w:szCs w:val="24"/>
          <w:lang w:eastAsia="zh-CN"/>
        </w:rPr>
        <w:t>氰化</w:t>
      </w:r>
      <w:r>
        <w:rPr>
          <w:rFonts w:hint="eastAsia" w:ascii="Times New Roman" w:hAnsi="Times New Roman" w:eastAsia="宋体" w:cs="Times New Roman"/>
          <w:color w:val="0000FF"/>
          <w:spacing w:val="7"/>
          <w:sz w:val="24"/>
          <w:szCs w:val="24"/>
          <w:lang w:val="en-US" w:eastAsia="zh-CN"/>
        </w:rPr>
        <w:t>物</w:t>
      </w:r>
      <w:r>
        <w:rPr>
          <w:rFonts w:hint="default" w:ascii="Times New Roman" w:hAnsi="Times New Roman" w:eastAsia="宋体" w:cs="Times New Roman"/>
          <w:color w:val="0000FF"/>
          <w:spacing w:val="7"/>
          <w:sz w:val="24"/>
          <w:szCs w:val="24"/>
          <w:lang w:eastAsia="zh-CN"/>
        </w:rPr>
        <w:t>等，其一旦发生泄漏，会产生有毒气体，会对周边环境造成环境污染并危害人员健康。</w:t>
      </w:r>
    </w:p>
    <w:p w14:paraId="461955EE">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eastAsia="zh-CN"/>
        </w:rPr>
        <w:t>（</w:t>
      </w:r>
      <w:r>
        <w:rPr>
          <w:rFonts w:hint="default" w:ascii="Times New Roman" w:hAnsi="Times New Roman" w:eastAsia="宋体" w:cs="Times New Roman"/>
          <w:color w:val="0000FF"/>
          <w:spacing w:val="7"/>
          <w:sz w:val="24"/>
          <w:szCs w:val="24"/>
          <w:lang w:val="en-US" w:eastAsia="zh-CN"/>
        </w:rPr>
        <w:t>2</w:t>
      </w:r>
      <w:r>
        <w:rPr>
          <w:rFonts w:hint="default" w:ascii="Times New Roman" w:hAnsi="Times New Roman" w:eastAsia="宋体" w:cs="Times New Roman"/>
          <w:color w:val="0000FF"/>
          <w:spacing w:val="7"/>
          <w:sz w:val="24"/>
          <w:szCs w:val="24"/>
          <w:lang w:eastAsia="zh-CN"/>
        </w:rPr>
        <w:t>）项目生产区、贮存区发生火灾爆炸事故时，会产生次/伴生CO气体排放，对周边环境造成污染并危害人员健康。</w:t>
      </w:r>
    </w:p>
    <w:p w14:paraId="453E92CA">
      <w:pPr>
        <w:adjustRightInd w:val="0"/>
        <w:snapToGrid w:val="0"/>
        <w:spacing w:line="360" w:lineRule="auto"/>
        <w:ind w:firstLine="508" w:firstLineChars="200"/>
        <w:rPr>
          <w:rFonts w:hint="default" w:ascii="Times New Roman" w:hAnsi="Times New Roman" w:eastAsia="宋体" w:cs="Times New Roman"/>
          <w:color w:val="0000FF"/>
          <w:sz w:val="24"/>
        </w:rPr>
      </w:pPr>
      <w:r>
        <w:rPr>
          <w:rFonts w:hint="default" w:ascii="Times New Roman" w:hAnsi="Times New Roman" w:eastAsia="宋体" w:cs="Times New Roman"/>
          <w:color w:val="0000FF"/>
          <w:spacing w:val="7"/>
          <w:sz w:val="24"/>
          <w:szCs w:val="24"/>
          <w:lang w:eastAsia="zh-CN"/>
        </w:rPr>
        <w:t>（</w:t>
      </w:r>
      <w:r>
        <w:rPr>
          <w:rFonts w:hint="eastAsia" w:ascii="Times New Roman" w:hAnsi="Times New Roman" w:eastAsia="宋体" w:cs="Times New Roman"/>
          <w:color w:val="0000FF"/>
          <w:spacing w:val="7"/>
          <w:sz w:val="24"/>
          <w:szCs w:val="24"/>
          <w:lang w:val="en-US" w:eastAsia="zh-CN"/>
        </w:rPr>
        <w:t>3</w:t>
      </w:r>
      <w:r>
        <w:rPr>
          <w:rFonts w:hint="default" w:ascii="Times New Roman" w:hAnsi="Times New Roman" w:eastAsia="宋体" w:cs="Times New Roman"/>
          <w:color w:val="0000FF"/>
          <w:spacing w:val="7"/>
          <w:sz w:val="24"/>
          <w:szCs w:val="24"/>
          <w:lang w:eastAsia="zh-CN"/>
        </w:rPr>
        <w:t>）</w:t>
      </w:r>
      <w:r>
        <w:rPr>
          <w:rFonts w:hint="default" w:ascii="Times New Roman" w:hAnsi="Times New Roman" w:eastAsia="宋体" w:cs="Times New Roman"/>
          <w:color w:val="0000FF"/>
          <w:sz w:val="24"/>
        </w:rPr>
        <w:t>为避免项目废气对区域大气环境造成不利影响，环评建议企业采取以下风险防范措施：</w:t>
      </w:r>
    </w:p>
    <w:p w14:paraId="60EAB688">
      <w:pPr>
        <w:adjustRightInd w:val="0"/>
        <w:snapToGrid w:val="0"/>
        <w:spacing w:line="360" w:lineRule="auto"/>
        <w:ind w:firstLine="480" w:firstLineChars="200"/>
        <w:rPr>
          <w:rFonts w:hint="default" w:ascii="Times New Roman" w:hAnsi="Times New Roman" w:eastAsia="宋体" w:cs="Times New Roman"/>
          <w:color w:val="0000FF"/>
          <w:sz w:val="24"/>
        </w:rPr>
      </w:pPr>
      <w:r>
        <w:rPr>
          <w:rFonts w:hint="default" w:ascii="Times New Roman" w:hAnsi="Times New Roman" w:eastAsia="宋体" w:cs="Times New Roman"/>
          <w:color w:val="0000FF"/>
          <w:sz w:val="24"/>
        </w:rPr>
        <w:fldChar w:fldCharType="begin"/>
      </w:r>
      <w:r>
        <w:rPr>
          <w:rFonts w:hint="default" w:ascii="Times New Roman" w:hAnsi="Times New Roman" w:eastAsia="宋体" w:cs="Times New Roman"/>
          <w:color w:val="0000FF"/>
          <w:sz w:val="24"/>
        </w:rPr>
        <w:instrText xml:space="preserve"> = 1 \* GB3 \* MERGEFORMAT </w:instrText>
      </w:r>
      <w:r>
        <w:rPr>
          <w:rFonts w:hint="default" w:ascii="Times New Roman" w:hAnsi="Times New Roman" w:eastAsia="宋体" w:cs="Times New Roman"/>
          <w:color w:val="0000FF"/>
          <w:sz w:val="24"/>
        </w:rPr>
        <w:fldChar w:fldCharType="separate"/>
      </w:r>
      <w:r>
        <w:rPr>
          <w:rFonts w:hint="default" w:ascii="Times New Roman" w:hAnsi="Times New Roman" w:eastAsia="宋体" w:cs="Times New Roman"/>
          <w:color w:val="0000FF"/>
          <w:sz w:val="24"/>
        </w:rPr>
        <w:t>①</w:t>
      </w:r>
      <w:r>
        <w:rPr>
          <w:rFonts w:hint="default" w:ascii="Times New Roman" w:hAnsi="Times New Roman" w:eastAsia="宋体" w:cs="Times New Roman"/>
          <w:color w:val="0000FF"/>
          <w:sz w:val="24"/>
        </w:rPr>
        <w:fldChar w:fldCharType="end"/>
      </w:r>
      <w:r>
        <w:rPr>
          <w:rFonts w:hint="default" w:ascii="Times New Roman" w:hAnsi="Times New Roman" w:eastAsia="宋体" w:cs="Times New Roman"/>
          <w:color w:val="0000FF"/>
          <w:sz w:val="24"/>
        </w:rPr>
        <w:t>注重废气处理设施的维护，使其长期保持最佳工作状况。在定期检修工程主体设备时，同时检查和维护各主要废气净化系统，以确保废气系统的正常运行。</w:t>
      </w:r>
    </w:p>
    <w:p w14:paraId="16A0747E">
      <w:pPr>
        <w:adjustRightInd w:val="0"/>
        <w:snapToGrid w:val="0"/>
        <w:spacing w:line="360" w:lineRule="auto"/>
        <w:ind w:firstLine="480" w:firstLineChars="200"/>
        <w:rPr>
          <w:rFonts w:hint="default" w:ascii="Times New Roman" w:hAnsi="Times New Roman" w:eastAsia="宋体" w:cs="Times New Roman"/>
          <w:color w:val="0000FF"/>
          <w:sz w:val="24"/>
        </w:rPr>
      </w:pPr>
      <w:r>
        <w:rPr>
          <w:rFonts w:hint="default" w:ascii="Times New Roman" w:hAnsi="Times New Roman" w:eastAsia="宋体" w:cs="Times New Roman"/>
          <w:color w:val="0000FF"/>
          <w:sz w:val="24"/>
        </w:rPr>
        <w:fldChar w:fldCharType="begin"/>
      </w:r>
      <w:r>
        <w:rPr>
          <w:rFonts w:hint="default" w:ascii="Times New Roman" w:hAnsi="Times New Roman" w:eastAsia="宋体" w:cs="Times New Roman"/>
          <w:color w:val="0000FF"/>
          <w:sz w:val="24"/>
        </w:rPr>
        <w:instrText xml:space="preserve"> = 2 \* GB3 \* MERGEFORMAT </w:instrText>
      </w:r>
      <w:r>
        <w:rPr>
          <w:rFonts w:hint="default" w:ascii="Times New Roman" w:hAnsi="Times New Roman" w:eastAsia="宋体" w:cs="Times New Roman"/>
          <w:color w:val="0000FF"/>
          <w:sz w:val="24"/>
        </w:rPr>
        <w:fldChar w:fldCharType="separate"/>
      </w:r>
      <w:r>
        <w:rPr>
          <w:rFonts w:hint="default" w:ascii="Times New Roman" w:hAnsi="Times New Roman" w:eastAsia="宋体" w:cs="Times New Roman"/>
          <w:color w:val="0000FF"/>
          <w:sz w:val="24"/>
        </w:rPr>
        <w:t>②</w:t>
      </w:r>
      <w:r>
        <w:rPr>
          <w:rFonts w:hint="default" w:ascii="Times New Roman" w:hAnsi="Times New Roman" w:eastAsia="宋体" w:cs="Times New Roman"/>
          <w:color w:val="0000FF"/>
          <w:sz w:val="24"/>
        </w:rPr>
        <w:fldChar w:fldCharType="end"/>
      </w:r>
      <w:r>
        <w:rPr>
          <w:rFonts w:hint="default" w:ascii="Times New Roman" w:hAnsi="Times New Roman" w:eastAsia="宋体" w:cs="Times New Roman"/>
          <w:color w:val="0000FF"/>
          <w:sz w:val="24"/>
        </w:rPr>
        <w:t>根据废气处理系统运行、操作、管理规程，加强对废气处理系统的日常检查工作；此外，在计划停机检查时间要对废气处理系统的所有零部件进行检修。</w:t>
      </w:r>
    </w:p>
    <w:p w14:paraId="5A9E11E7">
      <w:pPr>
        <w:adjustRightInd w:val="0"/>
        <w:snapToGrid w:val="0"/>
        <w:spacing w:line="360" w:lineRule="auto"/>
        <w:ind w:firstLine="480" w:firstLineChars="200"/>
        <w:rPr>
          <w:rFonts w:hint="default" w:ascii="Times New Roman" w:hAnsi="Times New Roman" w:eastAsia="宋体" w:cs="Times New Roman"/>
          <w:color w:val="0000FF"/>
          <w:sz w:val="24"/>
        </w:rPr>
      </w:pPr>
      <w:r>
        <w:rPr>
          <w:rFonts w:hint="default" w:ascii="Times New Roman" w:hAnsi="Times New Roman" w:eastAsia="宋体" w:cs="Times New Roman"/>
          <w:color w:val="0000FF"/>
          <w:sz w:val="24"/>
        </w:rPr>
        <w:fldChar w:fldCharType="begin"/>
      </w:r>
      <w:r>
        <w:rPr>
          <w:rFonts w:hint="default" w:ascii="Times New Roman" w:hAnsi="Times New Roman" w:eastAsia="宋体" w:cs="Times New Roman"/>
          <w:color w:val="0000FF"/>
          <w:sz w:val="24"/>
        </w:rPr>
        <w:instrText xml:space="preserve"> = 3 \* GB3 \* MERGEFORMAT </w:instrText>
      </w:r>
      <w:r>
        <w:rPr>
          <w:rFonts w:hint="default" w:ascii="Times New Roman" w:hAnsi="Times New Roman" w:eastAsia="宋体" w:cs="Times New Roman"/>
          <w:color w:val="0000FF"/>
          <w:sz w:val="24"/>
        </w:rPr>
        <w:fldChar w:fldCharType="separate"/>
      </w:r>
      <w:r>
        <w:rPr>
          <w:rFonts w:hint="default" w:ascii="Times New Roman" w:hAnsi="Times New Roman" w:eastAsia="宋体" w:cs="Times New Roman"/>
          <w:color w:val="0000FF"/>
          <w:sz w:val="24"/>
        </w:rPr>
        <w:t>③</w:t>
      </w:r>
      <w:r>
        <w:rPr>
          <w:rFonts w:hint="default" w:ascii="Times New Roman" w:hAnsi="Times New Roman" w:eastAsia="宋体" w:cs="Times New Roman"/>
          <w:color w:val="0000FF"/>
          <w:sz w:val="24"/>
        </w:rPr>
        <w:fldChar w:fldCharType="end"/>
      </w:r>
      <w:r>
        <w:rPr>
          <w:rFonts w:hint="default" w:ascii="Times New Roman" w:hAnsi="Times New Roman" w:eastAsia="宋体" w:cs="Times New Roman"/>
          <w:color w:val="0000FF"/>
          <w:sz w:val="24"/>
        </w:rPr>
        <w:t>一旦发现废气净化系统设施运行不正常，应立即对废气净化设施进行检修，若该设施一时难以修复，应立即采取紧急措施使主体设备停止生产，待净化设施检修完毕能够正常投入使用时，再共同投入使用。</w:t>
      </w:r>
    </w:p>
    <w:p w14:paraId="144CDB18">
      <w:pPr>
        <w:adjustRightInd w:val="0"/>
        <w:snapToGrid w:val="0"/>
        <w:spacing w:line="360" w:lineRule="auto"/>
        <w:ind w:firstLine="480" w:firstLineChars="200"/>
        <w:rPr>
          <w:rFonts w:hint="default" w:ascii="Times New Roman" w:hAnsi="Times New Roman" w:eastAsia="宋体" w:cs="Times New Roman"/>
          <w:color w:val="0000FF"/>
          <w:sz w:val="24"/>
        </w:rPr>
      </w:pPr>
      <w:r>
        <w:rPr>
          <w:rFonts w:hint="default" w:ascii="Times New Roman" w:hAnsi="Times New Roman" w:eastAsia="宋体" w:cs="Times New Roman"/>
          <w:color w:val="0000FF"/>
          <w:sz w:val="24"/>
        </w:rPr>
        <w:fldChar w:fldCharType="begin"/>
      </w:r>
      <w:r>
        <w:rPr>
          <w:rFonts w:hint="default" w:ascii="Times New Roman" w:hAnsi="Times New Roman" w:eastAsia="宋体" w:cs="Times New Roman"/>
          <w:color w:val="0000FF"/>
          <w:sz w:val="24"/>
        </w:rPr>
        <w:instrText xml:space="preserve"> = 4 \* GB3 \* MERGEFORMAT </w:instrText>
      </w:r>
      <w:r>
        <w:rPr>
          <w:rFonts w:hint="default" w:ascii="Times New Roman" w:hAnsi="Times New Roman" w:eastAsia="宋体" w:cs="Times New Roman"/>
          <w:color w:val="0000FF"/>
          <w:sz w:val="24"/>
        </w:rPr>
        <w:fldChar w:fldCharType="separate"/>
      </w:r>
      <w:r>
        <w:rPr>
          <w:rFonts w:hint="default" w:ascii="Times New Roman" w:hAnsi="Times New Roman" w:eastAsia="宋体" w:cs="Times New Roman"/>
          <w:color w:val="0000FF"/>
          <w:sz w:val="24"/>
        </w:rPr>
        <w:t>④</w:t>
      </w:r>
      <w:r>
        <w:rPr>
          <w:rFonts w:hint="default" w:ascii="Times New Roman" w:hAnsi="Times New Roman" w:eastAsia="宋体" w:cs="Times New Roman"/>
          <w:color w:val="0000FF"/>
          <w:sz w:val="24"/>
        </w:rPr>
        <w:fldChar w:fldCharType="end"/>
      </w:r>
      <w:r>
        <w:rPr>
          <w:rFonts w:hint="default" w:ascii="Times New Roman" w:hAnsi="Times New Roman" w:eastAsia="宋体" w:cs="Times New Roman"/>
          <w:color w:val="0000FF"/>
          <w:sz w:val="24"/>
        </w:rPr>
        <w:t>对废气净化设施的易损易耗件应注重备用品的储存，确保设备发生故障时能得到及时的更换。</w:t>
      </w:r>
    </w:p>
    <w:p w14:paraId="7CE63D09">
      <w:pPr>
        <w:spacing w:line="360" w:lineRule="auto"/>
        <w:ind w:firstLine="480"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z w:val="24"/>
        </w:rPr>
        <w:fldChar w:fldCharType="begin"/>
      </w:r>
      <w:r>
        <w:rPr>
          <w:rFonts w:hint="default" w:ascii="Times New Roman" w:hAnsi="Times New Roman" w:eastAsia="宋体" w:cs="Times New Roman"/>
          <w:color w:val="0000FF"/>
          <w:sz w:val="24"/>
        </w:rPr>
        <w:instrText xml:space="preserve"> = 5 \* GB3 \* MERGEFORMAT </w:instrText>
      </w:r>
      <w:r>
        <w:rPr>
          <w:rFonts w:hint="default" w:ascii="Times New Roman" w:hAnsi="Times New Roman" w:eastAsia="宋体" w:cs="Times New Roman"/>
          <w:color w:val="0000FF"/>
          <w:sz w:val="24"/>
        </w:rPr>
        <w:fldChar w:fldCharType="separate"/>
      </w:r>
      <w:r>
        <w:rPr>
          <w:rFonts w:hint="default" w:ascii="Times New Roman" w:hAnsi="Times New Roman" w:eastAsia="宋体" w:cs="Times New Roman"/>
          <w:color w:val="0000FF"/>
          <w:sz w:val="24"/>
        </w:rPr>
        <w:t>⑤</w:t>
      </w:r>
      <w:r>
        <w:rPr>
          <w:rFonts w:hint="default" w:ascii="Times New Roman" w:hAnsi="Times New Roman" w:eastAsia="宋体" w:cs="Times New Roman"/>
          <w:color w:val="0000FF"/>
          <w:sz w:val="24"/>
        </w:rPr>
        <w:fldChar w:fldCharType="end"/>
      </w:r>
      <w:r>
        <w:rPr>
          <w:rFonts w:hint="default" w:ascii="Times New Roman" w:hAnsi="Times New Roman" w:eastAsia="宋体" w:cs="Times New Roman"/>
          <w:color w:val="0000FF"/>
          <w:sz w:val="24"/>
        </w:rPr>
        <w:t>制定一套科学、完整和严格的故障处理制度和应急措施，责任到人，以便发生故障时及时处理</w:t>
      </w:r>
      <w:r>
        <w:rPr>
          <w:rFonts w:hint="default" w:ascii="Times New Roman" w:hAnsi="Times New Roman" w:eastAsia="宋体" w:cs="Times New Roman"/>
          <w:color w:val="0000FF"/>
          <w:spacing w:val="7"/>
          <w:sz w:val="24"/>
          <w:szCs w:val="24"/>
          <w:lang w:eastAsia="zh-CN"/>
        </w:rPr>
        <w:t>。</w:t>
      </w:r>
    </w:p>
    <w:p w14:paraId="56CA1A18">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eastAsia="zh-CN"/>
        </w:rPr>
        <w:t>结合现场调查，距离本项目最近的居民点是位于项目所在</w:t>
      </w:r>
      <w:r>
        <w:rPr>
          <w:rFonts w:hint="default" w:ascii="Times New Roman" w:hAnsi="Times New Roman" w:eastAsia="宋体" w:cs="Times New Roman"/>
          <w:color w:val="0000FF"/>
          <w:kern w:val="0"/>
          <w:sz w:val="24"/>
          <w:szCs w:val="24"/>
          <w:lang w:val="en-US" w:eastAsia="zh-CN" w:bidi="ar"/>
        </w:rPr>
        <w:t>厂区东南侧790m的嵩山段家</w:t>
      </w:r>
      <w:r>
        <w:rPr>
          <w:rFonts w:hint="default" w:ascii="Times New Roman" w:hAnsi="Times New Roman" w:eastAsia="宋体" w:cs="Times New Roman"/>
          <w:color w:val="0000FF"/>
          <w:spacing w:val="7"/>
          <w:sz w:val="24"/>
          <w:szCs w:val="24"/>
          <w:lang w:eastAsia="zh-CN"/>
        </w:rPr>
        <w:t>。因此，一旦发生危险品泄漏事故，产生的挥发性有毒有害气体对其周边环境空气质量有一定影响。厂区配备相应废气处理设备应急措施，建设单位一定要按照国家对危险物质的使用、储运及相关管理规定，加强管理，做好预防措施，将其风险水平尽可能的降低。</w:t>
      </w:r>
    </w:p>
    <w:p w14:paraId="2257EAB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2、地表水环境风险影响分析</w:t>
      </w:r>
    </w:p>
    <w:p w14:paraId="21D3C905">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在发生火灾、泄漏事故时，除了对周围环境空气产生影响外，事故污水也会对周围的环境水体造成风险影响，可引发一系列的次生水环境风险事故。</w:t>
      </w:r>
    </w:p>
    <w:p w14:paraId="54D37F2F">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为保证事故时消防水和泄漏物料有组织外排不对水体造成污染，应根据最大储存物料量、发生事故装置的消防水量、可以转输的设施物料量等因素确定事故应急池容积。本项目依托园区已有事故应急池</w:t>
      </w:r>
      <w:r>
        <w:rPr>
          <w:rFonts w:hint="eastAsia" w:ascii="Times New Roman" w:hAnsi="Times New Roman" w:eastAsia="宋体" w:cs="Times New Roman"/>
          <w:color w:val="auto"/>
          <w:spacing w:val="7"/>
          <w:sz w:val="24"/>
          <w:szCs w:val="24"/>
          <w:lang w:eastAsia="zh-CN"/>
        </w:rPr>
        <w:t>。</w:t>
      </w:r>
      <w:r>
        <w:rPr>
          <w:rFonts w:hint="eastAsia" w:ascii="Times New Roman" w:hAnsi="Times New Roman" w:eastAsia="宋体" w:cs="Times New Roman"/>
          <w:color w:val="auto"/>
          <w:spacing w:val="7"/>
          <w:sz w:val="24"/>
          <w:szCs w:val="24"/>
          <w:lang w:val="en-US" w:eastAsia="zh-CN"/>
        </w:rPr>
        <w:t>园区对每栋厂房均设置有20m</w:t>
      </w:r>
      <w:r>
        <w:rPr>
          <w:rFonts w:hint="eastAsia" w:ascii="Times New Roman" w:hAnsi="Times New Roman" w:eastAsia="宋体" w:cs="Times New Roman"/>
          <w:color w:val="auto"/>
          <w:spacing w:val="7"/>
          <w:sz w:val="24"/>
          <w:szCs w:val="24"/>
          <w:vertAlign w:val="superscript"/>
          <w:lang w:val="en-US" w:eastAsia="zh-CN"/>
        </w:rPr>
        <w:t>3</w:t>
      </w:r>
      <w:r>
        <w:rPr>
          <w:rFonts w:hint="eastAsia" w:ascii="Times New Roman" w:hAnsi="Times New Roman" w:eastAsia="宋体" w:cs="Times New Roman"/>
          <w:color w:val="auto"/>
          <w:spacing w:val="7"/>
          <w:sz w:val="24"/>
          <w:szCs w:val="24"/>
          <w:lang w:val="en-US" w:eastAsia="zh-CN"/>
        </w:rPr>
        <w:t>的事故池，同时园区整体建设有1个555m</w:t>
      </w:r>
      <w:r>
        <w:rPr>
          <w:rFonts w:hint="eastAsia" w:ascii="Times New Roman" w:hAnsi="Times New Roman" w:eastAsia="宋体" w:cs="Times New Roman"/>
          <w:color w:val="auto"/>
          <w:spacing w:val="7"/>
          <w:sz w:val="24"/>
          <w:szCs w:val="24"/>
          <w:vertAlign w:val="superscript"/>
          <w:lang w:val="en-US" w:eastAsia="zh-CN"/>
        </w:rPr>
        <w:t>3</w:t>
      </w:r>
      <w:r>
        <w:rPr>
          <w:rFonts w:hint="eastAsia" w:ascii="Times New Roman" w:hAnsi="Times New Roman" w:eastAsia="宋体" w:cs="Times New Roman"/>
          <w:color w:val="auto"/>
          <w:spacing w:val="7"/>
          <w:sz w:val="24"/>
          <w:szCs w:val="24"/>
          <w:lang w:val="en-US" w:eastAsia="zh-CN"/>
        </w:rPr>
        <w:t>的含镍废水应急事故池，设置于污水站；1个555m</w:t>
      </w:r>
      <w:r>
        <w:rPr>
          <w:rFonts w:hint="eastAsia" w:ascii="Times New Roman" w:hAnsi="Times New Roman" w:eastAsia="宋体" w:cs="Times New Roman"/>
          <w:color w:val="auto"/>
          <w:spacing w:val="7"/>
          <w:sz w:val="24"/>
          <w:szCs w:val="24"/>
          <w:vertAlign w:val="superscript"/>
          <w:lang w:val="en-US" w:eastAsia="zh-CN"/>
        </w:rPr>
        <w:t>3</w:t>
      </w:r>
      <w:r>
        <w:rPr>
          <w:rFonts w:hint="eastAsia" w:ascii="Times New Roman" w:hAnsi="Times New Roman" w:eastAsia="宋体" w:cs="Times New Roman"/>
          <w:color w:val="auto"/>
          <w:spacing w:val="7"/>
          <w:sz w:val="24"/>
          <w:szCs w:val="24"/>
          <w:lang w:val="en-US" w:eastAsia="zh-CN"/>
        </w:rPr>
        <w:t>的含铬废水应急事故池，设置于污水站；1个555m</w:t>
      </w:r>
      <w:r>
        <w:rPr>
          <w:rFonts w:hint="eastAsia" w:ascii="Times New Roman" w:hAnsi="Times New Roman" w:eastAsia="宋体" w:cs="Times New Roman"/>
          <w:color w:val="auto"/>
          <w:spacing w:val="7"/>
          <w:sz w:val="24"/>
          <w:szCs w:val="24"/>
          <w:vertAlign w:val="superscript"/>
          <w:lang w:val="en-US" w:eastAsia="zh-CN"/>
        </w:rPr>
        <w:t>3</w:t>
      </w:r>
      <w:r>
        <w:rPr>
          <w:rFonts w:hint="eastAsia" w:ascii="Times New Roman" w:hAnsi="Times New Roman" w:eastAsia="宋体" w:cs="Times New Roman"/>
          <w:color w:val="auto"/>
          <w:spacing w:val="7"/>
          <w:sz w:val="24"/>
          <w:szCs w:val="24"/>
          <w:lang w:val="en-US" w:eastAsia="zh-CN"/>
        </w:rPr>
        <w:t>的含氰废水应急事故池，设置于污水站；污水处理站设有一个1232.1m</w:t>
      </w:r>
      <w:r>
        <w:rPr>
          <w:rFonts w:hint="eastAsia" w:ascii="Times New Roman" w:hAnsi="Times New Roman" w:eastAsia="宋体" w:cs="Times New Roman"/>
          <w:color w:val="auto"/>
          <w:spacing w:val="7"/>
          <w:sz w:val="24"/>
          <w:szCs w:val="24"/>
          <w:vertAlign w:val="superscript"/>
          <w:lang w:val="en-US" w:eastAsia="zh-CN"/>
        </w:rPr>
        <w:t>3</w:t>
      </w:r>
      <w:r>
        <w:rPr>
          <w:rFonts w:hint="eastAsia" w:ascii="Times New Roman" w:hAnsi="Times New Roman" w:eastAsia="宋体" w:cs="Times New Roman"/>
          <w:color w:val="auto"/>
          <w:spacing w:val="7"/>
          <w:sz w:val="24"/>
          <w:szCs w:val="24"/>
          <w:lang w:val="en-US" w:eastAsia="zh-CN"/>
        </w:rPr>
        <w:t>的综合废水应急事故池</w:t>
      </w:r>
      <w:r>
        <w:rPr>
          <w:rFonts w:hint="default" w:ascii="Times New Roman" w:hAnsi="Times New Roman" w:eastAsia="宋体" w:cs="Times New Roman"/>
          <w:color w:val="auto"/>
          <w:spacing w:val="7"/>
          <w:sz w:val="24"/>
          <w:szCs w:val="24"/>
          <w:lang w:eastAsia="zh-CN"/>
        </w:rPr>
        <w:t>。</w:t>
      </w:r>
    </w:p>
    <w:p w14:paraId="50C31B05">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3、地下水</w:t>
      </w:r>
      <w:r>
        <w:rPr>
          <w:rFonts w:hint="eastAsia" w:ascii="Times New Roman" w:hAnsi="Times New Roman" w:eastAsia="宋体" w:cs="Times New Roman"/>
          <w:color w:val="auto"/>
          <w:spacing w:val="7"/>
          <w:sz w:val="24"/>
          <w:szCs w:val="24"/>
          <w:lang w:val="en-US" w:eastAsia="zh-CN"/>
        </w:rPr>
        <w:t>、土壤</w:t>
      </w:r>
      <w:r>
        <w:rPr>
          <w:rFonts w:hint="default" w:ascii="Times New Roman" w:hAnsi="Times New Roman" w:eastAsia="宋体" w:cs="Times New Roman"/>
          <w:color w:val="auto"/>
          <w:spacing w:val="7"/>
          <w:sz w:val="24"/>
          <w:szCs w:val="24"/>
          <w:lang w:eastAsia="zh-CN"/>
        </w:rPr>
        <w:t>环境风险影响分析</w:t>
      </w:r>
    </w:p>
    <w:p w14:paraId="67F06CB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根据本项目地下水</w:t>
      </w:r>
      <w:r>
        <w:rPr>
          <w:rFonts w:hint="eastAsia" w:ascii="Times New Roman" w:hAnsi="Times New Roman" w:eastAsia="宋体" w:cs="Times New Roman"/>
          <w:color w:val="auto"/>
          <w:spacing w:val="7"/>
          <w:sz w:val="24"/>
          <w:szCs w:val="24"/>
          <w:lang w:val="en-US" w:eastAsia="zh-CN"/>
        </w:rPr>
        <w:t>、土壤</w:t>
      </w:r>
      <w:r>
        <w:rPr>
          <w:rFonts w:hint="default" w:ascii="Times New Roman" w:hAnsi="Times New Roman" w:eastAsia="宋体" w:cs="Times New Roman"/>
          <w:color w:val="auto"/>
          <w:spacing w:val="7"/>
          <w:sz w:val="24"/>
          <w:szCs w:val="24"/>
          <w:lang w:eastAsia="zh-CN"/>
        </w:rPr>
        <w:t>影响评价分析内容，拟建项目在正常状况下，企业已根据国家相关规范采用合理的防渗措施，废水收集池的污水不会渗漏和进入地下水，正常工况下，污水不会发生泄漏，故对地下水不会产生影响，因此不再进行正常情况下的预测。</w:t>
      </w:r>
    </w:p>
    <w:p w14:paraId="338A557C">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根据工程分析，本次评价非正常情况下对地下水的影响主要为：非正常情况下，含重金属废水预处理系统调节池因地下水保护措施系统老化、腐蚀、破裂导致污水处理系统中的废水持续泄漏进入地下水系统中，对地下水水质造成影响。若重金属废水预处理系统调节池防渗层由于老化、腐蚀等原因出现失效后，会导致池中的高浓度含重金属废水持续泄漏进入地下水系统中，对地下水水质造成影响。非正常工况下，重金属废水预处理系统调节池若发生泄漏，污染物的运移速度相对较慢，较短时间内污染范围较小。因此，本建设项目对地下水环境的影响可以接受。</w:t>
      </w:r>
    </w:p>
    <w:p w14:paraId="5CFE48FE">
      <w:pPr>
        <w:pStyle w:val="3"/>
        <w:bidi w:val="0"/>
        <w:rPr>
          <w:rFonts w:hint="default"/>
          <w:lang w:eastAsia="zh-CN"/>
        </w:rPr>
      </w:pPr>
      <w:bookmarkStart w:id="15" w:name="_Toc6440"/>
      <w:r>
        <w:rPr>
          <w:rFonts w:hint="default"/>
          <w:lang w:eastAsia="zh-CN"/>
        </w:rPr>
        <w:t>风险措施</w:t>
      </w:r>
      <w:bookmarkEnd w:id="15"/>
    </w:p>
    <w:p w14:paraId="22431509">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1、风险防范措施</w:t>
      </w:r>
    </w:p>
    <w:p w14:paraId="028ACF2B">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（1）加强工艺管理，严格控制工艺指标。工厂应建立科学、严格的生产操作规程和安全管理体系，做到各车间、工段生产、安全都有专业人员专职负责。</w:t>
      </w:r>
    </w:p>
    <w:p w14:paraId="223A5062">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加强安全生产教育。安全生产教育包括厂级、车间、班组三级安全教育、特殊工种安全教育、日常安全教育、装置开工前安全教育和外来人员安全教育五部分内容。让所有员工了解本厂各种原材料、化学品、中间产品、最终产品以及废物的物理、化学和生理特性及其毒性，所有防护措施、环境影响等。</w:t>
      </w:r>
    </w:p>
    <w:p w14:paraId="322A761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（3）把好设备进厂关，将隐患消灭在正式投入使用前。同时加强容器、设备、管道、阀门等密封检查与维护，发现问题及时解决，保证设备完好。</w:t>
      </w:r>
    </w:p>
    <w:p w14:paraId="0E7DAF81">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（4）企业运营、管理等必须严格按照《电镀生产安全操作规程》（AQ5202-2008）、《电镀生产装置安全技术条件》（AQ5203-2008）和《氰化</w:t>
      </w:r>
      <w:r>
        <w:rPr>
          <w:rFonts w:hint="default" w:ascii="Times New Roman" w:hAnsi="Times New Roman" w:eastAsia="宋体" w:cs="Times New Roman"/>
          <w:color w:val="auto"/>
          <w:spacing w:val="7"/>
          <w:sz w:val="24"/>
          <w:szCs w:val="24"/>
          <w:lang w:val="en-US" w:eastAsia="zh-CN"/>
        </w:rPr>
        <w:t>钠</w:t>
      </w:r>
      <w:r>
        <w:rPr>
          <w:rFonts w:hint="default" w:ascii="Times New Roman" w:hAnsi="Times New Roman" w:eastAsia="宋体" w:cs="Times New Roman"/>
          <w:color w:val="auto"/>
          <w:spacing w:val="7"/>
          <w:sz w:val="24"/>
          <w:szCs w:val="24"/>
          <w:lang w:eastAsia="zh-CN"/>
        </w:rPr>
        <w:t>安全规程》（GB/Z24783-2009）等有关标准、规范和规定执行。</w:t>
      </w:r>
    </w:p>
    <w:p w14:paraId="06C29F8A">
      <w:pPr>
        <w:spacing w:line="360" w:lineRule="auto"/>
        <w:ind w:firstLine="508" w:firstLineChars="200"/>
        <w:jc w:val="both"/>
        <w:rPr>
          <w:rFonts w:hint="default" w:ascii="Times New Roman" w:hAnsi="Times New Roman" w:eastAsia="宋体" w:cs="Times New Roman"/>
          <w:color w:val="auto"/>
          <w:spacing w:val="7"/>
          <w:sz w:val="24"/>
          <w:szCs w:val="24"/>
          <w:lang w:val="en-US" w:eastAsia="zh-CN"/>
        </w:rPr>
      </w:pPr>
      <w:r>
        <w:rPr>
          <w:rFonts w:hint="default" w:ascii="Times New Roman" w:hAnsi="Times New Roman" w:eastAsia="宋体" w:cs="Times New Roman"/>
          <w:color w:val="auto"/>
          <w:spacing w:val="7"/>
          <w:sz w:val="24"/>
          <w:szCs w:val="24"/>
          <w:lang w:val="en-US" w:eastAsia="zh-CN"/>
        </w:rPr>
        <w:t>（5）尾水管道的设置、选材、施工、防腐、防渗、操作和检修都应满足相应规范要求，严禁压占管道。并应满足《室外排水设计规范》（GB50014-20</w:t>
      </w:r>
      <w:r>
        <w:rPr>
          <w:rFonts w:hint="eastAsia" w:ascii="Times New Roman" w:hAnsi="Times New Roman" w:eastAsia="宋体" w:cs="Times New Roman"/>
          <w:color w:val="auto"/>
          <w:spacing w:val="7"/>
          <w:sz w:val="24"/>
          <w:szCs w:val="24"/>
          <w:lang w:val="en-US" w:eastAsia="zh-CN"/>
        </w:rPr>
        <w:t>21</w:t>
      </w:r>
      <w:r>
        <w:rPr>
          <w:rFonts w:hint="default" w:ascii="Times New Roman" w:hAnsi="Times New Roman" w:eastAsia="宋体" w:cs="Times New Roman"/>
          <w:color w:val="auto"/>
          <w:spacing w:val="7"/>
          <w:sz w:val="24"/>
          <w:szCs w:val="24"/>
          <w:lang w:val="en-US" w:eastAsia="zh-CN"/>
        </w:rPr>
        <w:t>）中有关规定。</w:t>
      </w:r>
    </w:p>
    <w:p w14:paraId="736F2308">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2、危化品和危险废物运输风险防范措施</w:t>
      </w:r>
    </w:p>
    <w:p w14:paraId="099FE910">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（1）性质相抵触、灭火方法不同的危化品应分类贮存。应配备必需的消防、通风、降温、防潮、避雷等安全装置。</w:t>
      </w:r>
    </w:p>
    <w:p w14:paraId="56BCC7BA">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（2）合理规划运输路线及运输时间。不得在居民聚居点、行人稠密地段、政府机关、名胜古迹、风景游览区停车，如必须在上述地区进行装卸作业或临时停车，应采取安全措施征得当地公安部门同意。</w:t>
      </w:r>
    </w:p>
    <w:p w14:paraId="23471E4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（3）应严格执行《危险废物转移联单管理办法》及其他有关规定的要求。</w:t>
      </w:r>
    </w:p>
    <w:p w14:paraId="7A60B532">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（4）包装必须完好无损，没有腐蚀、污染、损毁等缺陷。必须贴上危险废物标签。</w:t>
      </w:r>
    </w:p>
    <w:p w14:paraId="118F4B66">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（5）危险废物的贮存和运输应严格按照《危险废物收集贮存运输技术规范》（HJ2025-2012）等有关规定执行，在贮存和运输过程中一旦发生意外事故，贮存、运输单位及相关部门应根据风险程度采取如下措施：</w:t>
      </w:r>
    </w:p>
    <w:p w14:paraId="44160497">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1）</w:t>
      </w:r>
      <w:r>
        <w:rPr>
          <w:rFonts w:hint="default" w:ascii="Times New Roman" w:hAnsi="Times New Roman" w:eastAsia="宋体" w:cs="Times New Roman"/>
          <w:color w:val="auto"/>
          <w:spacing w:val="7"/>
          <w:sz w:val="24"/>
          <w:szCs w:val="24"/>
          <w:lang w:eastAsia="zh-CN"/>
        </w:rPr>
        <w:t>设立事故警戒线，启动应急预案，并按《环境保护行政主管部门突发环境事件信息报告办法（试行）》（环发[2006]50号）要求进行报告。</w:t>
      </w:r>
    </w:p>
    <w:p w14:paraId="1BBADD1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2）</w:t>
      </w:r>
      <w:r>
        <w:rPr>
          <w:rFonts w:hint="default" w:ascii="Times New Roman" w:hAnsi="Times New Roman" w:eastAsia="宋体" w:cs="Times New Roman"/>
          <w:color w:val="auto"/>
          <w:spacing w:val="7"/>
          <w:sz w:val="24"/>
          <w:szCs w:val="24"/>
          <w:lang w:eastAsia="zh-CN"/>
        </w:rPr>
        <w:t>若造成事故的危险废物具有剧毒性、易燃性、爆炸性或高传染性，应立即疏散人群，并请求环境保护、消防、医疗、公安等相关部门支援。</w:t>
      </w:r>
    </w:p>
    <w:p w14:paraId="6AC016B7">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3）</w:t>
      </w:r>
      <w:r>
        <w:rPr>
          <w:rFonts w:hint="default" w:ascii="Times New Roman" w:hAnsi="Times New Roman" w:eastAsia="宋体" w:cs="Times New Roman"/>
          <w:color w:val="auto"/>
          <w:spacing w:val="7"/>
          <w:sz w:val="24"/>
          <w:szCs w:val="24"/>
          <w:lang w:eastAsia="zh-CN"/>
        </w:rPr>
        <w:t>对事故现场受到污染的土壤和水体等环境介质应进行相应的清理和修复。</w:t>
      </w:r>
    </w:p>
    <w:p w14:paraId="66344B2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4）</w:t>
      </w:r>
      <w:r>
        <w:rPr>
          <w:rFonts w:hint="default" w:ascii="Times New Roman" w:hAnsi="Times New Roman" w:eastAsia="宋体" w:cs="Times New Roman"/>
          <w:color w:val="auto"/>
          <w:spacing w:val="7"/>
          <w:sz w:val="24"/>
          <w:szCs w:val="24"/>
          <w:lang w:eastAsia="zh-CN"/>
        </w:rPr>
        <w:t>清理过程中产生的所有废物均应按危险废物进行管理和处置。</w:t>
      </w:r>
    </w:p>
    <w:p w14:paraId="7F3363B0">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val="en-US" w:eastAsia="zh-CN"/>
        </w:rPr>
        <w:t>5）</w:t>
      </w:r>
      <w:r>
        <w:rPr>
          <w:rFonts w:hint="default" w:ascii="Times New Roman" w:hAnsi="Times New Roman" w:eastAsia="宋体" w:cs="Times New Roman"/>
          <w:color w:val="auto"/>
          <w:spacing w:val="7"/>
          <w:sz w:val="24"/>
          <w:szCs w:val="24"/>
          <w:lang w:eastAsia="zh-CN"/>
        </w:rPr>
        <w:t>进入现场清理和包装危险废物的人员应受过专业培训，穿着防护服，并佩戴相应的防护用具。</w:t>
      </w:r>
    </w:p>
    <w:p w14:paraId="71845F4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3、总图布置和建筑物安全防范措施</w:t>
      </w:r>
    </w:p>
    <w:p w14:paraId="56E9A24C">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总平面布置根据生产装置及安全、卫生要求合理分区，分区内部和相互之间保持一定的通道和间距；根据火灾危险性等级和防火、防爆要求，建筑物的防火等级均应采用国家现行规范要求按一、二级耐火等级设计，满足建筑防火要求。凡禁火区均设置明显标志牌。各种易燃易爆物料均储存在阴凉、通风处，远离火源。安全出口及安全疏散距离应符合《建筑设计防火规范》（GB50016-2014）的要求。</w:t>
      </w:r>
    </w:p>
    <w:p w14:paraId="5C041559">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4、贮存过程中的风险防范措施</w:t>
      </w:r>
    </w:p>
    <w:p w14:paraId="09B0DCB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本项目大部分化学品原料依托集控区化学品仓库，小部分贮存于项目新建危险化学品库。</w:t>
      </w:r>
    </w:p>
    <w:p w14:paraId="6BDDA7DE">
      <w:pPr>
        <w:spacing w:line="360" w:lineRule="auto"/>
        <w:ind w:firstLine="508" w:firstLineChars="200"/>
        <w:jc w:val="both"/>
        <w:rPr>
          <w:rFonts w:hint="default" w:ascii="Times New Roman" w:hAnsi="Times New Roman" w:eastAsia="宋体" w:cs="Times New Roman"/>
          <w:color w:val="0000FF"/>
          <w:spacing w:val="7"/>
          <w:sz w:val="24"/>
          <w:szCs w:val="24"/>
          <w:lang w:val="en-US" w:eastAsia="zh-CN"/>
        </w:rPr>
      </w:pPr>
      <w:r>
        <w:rPr>
          <w:rFonts w:hint="eastAsia" w:ascii="Times New Roman" w:hAnsi="Times New Roman" w:eastAsia="宋体" w:cs="Times New Roman"/>
          <w:color w:val="0000FF"/>
          <w:spacing w:val="7"/>
          <w:sz w:val="24"/>
          <w:szCs w:val="24"/>
          <w:lang w:val="en-US" w:eastAsia="zh-CN"/>
        </w:rPr>
        <w:t>依托</w:t>
      </w:r>
      <w:r>
        <w:rPr>
          <w:rFonts w:hint="default" w:ascii="Times New Roman" w:hAnsi="Times New Roman" w:eastAsia="宋体" w:cs="Times New Roman"/>
          <w:color w:val="0000FF"/>
          <w:spacing w:val="7"/>
          <w:sz w:val="24"/>
          <w:szCs w:val="24"/>
          <w:lang w:eastAsia="zh-CN"/>
        </w:rPr>
        <w:t>集控区化学品仓库</w:t>
      </w:r>
      <w:r>
        <w:rPr>
          <w:rFonts w:hint="eastAsia" w:ascii="Times New Roman" w:hAnsi="Times New Roman" w:eastAsia="宋体" w:cs="Times New Roman"/>
          <w:color w:val="0000FF"/>
          <w:spacing w:val="7"/>
          <w:sz w:val="24"/>
          <w:szCs w:val="24"/>
          <w:lang w:val="en-US" w:eastAsia="zh-CN"/>
        </w:rPr>
        <w:t>部分，集控区化学品仓库建设规范已通过环评及验收，本项目所用物质属于集控区环评中物质，未使用超出集控区环评规定物质，本项目可依托集控区化学品仓库，企业需按集控区规定领取及送回未使用化学品即可。</w:t>
      </w:r>
    </w:p>
    <w:p w14:paraId="23B3EC1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由于该项目所使用的某些化学品属于危险品，具有腐蚀或爆炸的风险，必须按照《常用化学危险品贮存通则》进行化学品存储的管理以及贮存的安排。</w:t>
      </w:r>
    </w:p>
    <w:p w14:paraId="4874483A">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（1）化学品区应为阴凉、通风仓间，远离火种、热源，防止阳光直射。</w:t>
      </w:r>
    </w:p>
    <w:p w14:paraId="3003C32C">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（2）原料入库时，应严格检验物品质量、数量、包装情况、有无泄漏。入库后应采取适当的养护措施，在贮存期内，定期检查，发现其品质变化、包装破损、渗漏、稳定剂短缺等，应及时处理。</w:t>
      </w:r>
    </w:p>
    <w:p w14:paraId="1B632A41">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（3）加强有毒有害物质的管理，有毒有害物质必须有专人管理，制定严格的制度，存放和使用都必须有严格的记录，防止流失造成危害。</w:t>
      </w:r>
    </w:p>
    <w:p w14:paraId="4658CD17">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（4）配置沙土箱和适当的空容器、工具，以便发生泄漏时收集溢出的物料。</w:t>
      </w:r>
    </w:p>
    <w:p w14:paraId="35C8211D">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（5）化学品分区储存。四周设置环型事故沟，事故收集池，一旦发生泄漏，通过事故沟进行收集，防止外流。</w:t>
      </w:r>
    </w:p>
    <w:p w14:paraId="5130B28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5、消防及火灾报警系统</w:t>
      </w:r>
    </w:p>
    <w:p w14:paraId="543D55D5">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（1）项目消防依托当地消防大队。</w:t>
      </w:r>
    </w:p>
    <w:p w14:paraId="5012AB16">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（2）应根据有关规定，配置一定数量灭火器，能够及时扑灭初起火灾。</w:t>
      </w:r>
    </w:p>
    <w:p w14:paraId="773A5B9B">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（3）本项目依托集控区废水事故池。一旦发生事故时，及时收集，杜绝事故废水直排外环境。</w:t>
      </w:r>
    </w:p>
    <w:p w14:paraId="14D949BD">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6、泄漏事故的防范措施</w:t>
      </w:r>
    </w:p>
    <w:p w14:paraId="6EEE9805">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当生产过程中因为槽体破裂发生事故，导致电镀槽液、酸液泄漏而未及时收集，则会对建设项目场地的土壤和地下水环境产生严重影响；尾水管道破裂、断裂发生尾水泄漏事故而未及时处理，则会对沿线地下水环境产生影响。因此，必须采取严格措施防止泄漏事故对周边环境造成不利影响。</w:t>
      </w:r>
    </w:p>
    <w:p w14:paraId="524AF92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（1）万一发生危害性事故，应立即通知有关部门，组织附近居民、工厂工人疏散、抢险和应急监测等善后处理事宜。</w:t>
      </w:r>
    </w:p>
    <w:p w14:paraId="2144C7B3">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镀槽须离地架空建设，每个电镀槽下方设围堰（或托盘，防腐、防渗），既可以分类收集跑、冒、滴、漏的废水，还可以防止镀槽发生意外破裂时不流失到外环境。镀槽成对应用，以做备用，出现泄漏事故，槽液泵入备用槽。</w:t>
      </w:r>
    </w:p>
    <w:p w14:paraId="66ADEDE6">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（3）电镀车间地面采用环氧树脂漆涂层防腐、防渗漏设计。</w:t>
      </w:r>
    </w:p>
    <w:p w14:paraId="5E780CB8">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4）涉及危化品的工段设有喷淋洗眼器、洗手池，并配备相应的防护手套、防毒呼吸器等个人防护用品，供事故时临时急用；一旦发生急性中毒，首先使用应急设施，并将中毒者安置在空气流畅的安全地带，同时呼叫急救车紧急救护。</w:t>
      </w:r>
    </w:p>
    <w:p w14:paraId="3E8CD7F8">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（5）尾水管材为HDPE缠绕增强管，地埋式敷设，管道连接处必须采取措施密封牢固，不能渗漏并设置检修阀门。</w:t>
      </w:r>
    </w:p>
    <w:p w14:paraId="3C4618DD">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（6）事件处理过程中产生的消防水、事故废水进入车间内的收集池，排入污水处理站。</w:t>
      </w:r>
    </w:p>
    <w:p w14:paraId="6834B2F8">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7、环保设施事故排放的防范措施</w:t>
      </w:r>
    </w:p>
    <w:p w14:paraId="48C2C862">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（1）废气</w:t>
      </w:r>
    </w:p>
    <w:p w14:paraId="738E2DD7">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为避免项目废气事故排放时对周围环境空气质量造成严重影响，对废气净化系统应定期检修、保养。</w:t>
      </w:r>
    </w:p>
    <w:p w14:paraId="308193EE">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（2）废水</w:t>
      </w:r>
    </w:p>
    <w:p w14:paraId="038E8B42">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针对项目污染物来源及其特性，以实现达标排放和满足应急处置为原则，建立污染源头、处理过程和最终排放的“三级防控”机制。</w:t>
      </w:r>
    </w:p>
    <w:p w14:paraId="0E81276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一级预防控制措施：在车间生产区、</w:t>
      </w:r>
      <w:r>
        <w:rPr>
          <w:rFonts w:hint="eastAsia" w:ascii="Times New Roman" w:hAnsi="Times New Roman" w:eastAsia="宋体" w:cs="Times New Roman"/>
          <w:color w:val="auto"/>
          <w:spacing w:val="7"/>
          <w:sz w:val="24"/>
          <w:szCs w:val="24"/>
          <w:lang w:val="en-US" w:eastAsia="zh-CN"/>
        </w:rPr>
        <w:t>车间化学品储存区</w:t>
      </w:r>
      <w:r>
        <w:rPr>
          <w:rFonts w:hint="default" w:ascii="Times New Roman" w:hAnsi="Times New Roman" w:eastAsia="宋体" w:cs="Times New Roman"/>
          <w:color w:val="auto"/>
          <w:spacing w:val="7"/>
          <w:sz w:val="24"/>
          <w:szCs w:val="24"/>
          <w:lang w:eastAsia="zh-CN"/>
        </w:rPr>
        <w:t>四周设置导流沟，依托集控区在每栋厂房设置的20m³的事故应急池，</w:t>
      </w:r>
      <w:r>
        <w:rPr>
          <w:rFonts w:hint="eastAsia" w:ascii="Times New Roman" w:hAnsi="Times New Roman" w:eastAsia="宋体" w:cs="Times New Roman"/>
          <w:color w:val="auto"/>
          <w:spacing w:val="7"/>
          <w:sz w:val="24"/>
          <w:szCs w:val="24"/>
          <w:lang w:val="en-US" w:eastAsia="zh-CN"/>
        </w:rPr>
        <w:t>可满足单个工艺槽液泄露事故，</w:t>
      </w:r>
      <w:r>
        <w:rPr>
          <w:rFonts w:hint="default" w:ascii="Times New Roman" w:hAnsi="Times New Roman" w:eastAsia="宋体" w:cs="Times New Roman"/>
          <w:color w:val="auto"/>
          <w:spacing w:val="7"/>
          <w:sz w:val="24"/>
          <w:szCs w:val="24"/>
          <w:lang w:eastAsia="zh-CN"/>
        </w:rPr>
        <w:t>并对车间生产区、</w:t>
      </w:r>
      <w:r>
        <w:rPr>
          <w:rFonts w:hint="eastAsia" w:ascii="Times New Roman" w:hAnsi="Times New Roman" w:eastAsia="宋体" w:cs="Times New Roman"/>
          <w:color w:val="auto"/>
          <w:spacing w:val="7"/>
          <w:sz w:val="24"/>
          <w:szCs w:val="24"/>
          <w:lang w:val="en-US" w:eastAsia="zh-CN"/>
        </w:rPr>
        <w:t>车间化学品储存区</w:t>
      </w:r>
      <w:r>
        <w:rPr>
          <w:rFonts w:hint="default" w:ascii="Times New Roman" w:hAnsi="Times New Roman" w:eastAsia="宋体" w:cs="Times New Roman"/>
          <w:color w:val="auto"/>
          <w:spacing w:val="7"/>
          <w:sz w:val="24"/>
          <w:szCs w:val="24"/>
          <w:lang w:eastAsia="zh-CN"/>
        </w:rPr>
        <w:t>地面进行硬化、防渗处理。</w:t>
      </w:r>
    </w:p>
    <w:p w14:paraId="0BD0D497">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二级预防控制措施：建设项目依托集控区废水事故池，集控区废水事故池容量足够用于贮存生产事故废水、事故消防废水、污水预处理站事故废水等。</w:t>
      </w:r>
    </w:p>
    <w:p w14:paraId="65784D3D">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三级预防控制措施：集控区废水处理站各反应池，事故状态下关闭污水处理站出口阀门，将事故状态下污染物控制在集控区内，防止重大事故泄漏物料和污染消防水造成的环境污染。</w:t>
      </w:r>
    </w:p>
    <w:p w14:paraId="5CBE25F0">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eastAsia="zh-CN"/>
        </w:rPr>
        <w:t>根据集控区变更环评批复及验收情况，集控区在每栋厂房设置1个20m³的电镀液收集池，集控区已在各镀镍生产线设一个555m³的含镍废水应急池（设在污水站），在镀铬生产线设一个555m³的含铬废水应急池（设在污水站），在镀铜生产线设一个555m³的含氰废水应急池（设在污水站），污水处理站设置一个1232.1m³的综合废水应急池，事故状态下含镍废水排放量</w:t>
      </w:r>
      <w:r>
        <w:rPr>
          <w:rFonts w:hint="eastAsia" w:ascii="Times New Roman" w:hAnsi="Times New Roman" w:eastAsia="宋体" w:cs="Times New Roman"/>
          <w:color w:val="0000FF"/>
          <w:spacing w:val="7"/>
          <w:sz w:val="24"/>
          <w:szCs w:val="24"/>
          <w:lang w:val="en-US" w:eastAsia="zh-CN"/>
        </w:rPr>
        <w:t>5.4</w:t>
      </w:r>
      <w:r>
        <w:rPr>
          <w:rFonts w:hint="default" w:ascii="Times New Roman" w:hAnsi="Times New Roman" w:eastAsia="宋体" w:cs="Times New Roman"/>
          <w:color w:val="0000FF"/>
          <w:spacing w:val="7"/>
          <w:sz w:val="24"/>
          <w:szCs w:val="24"/>
          <w:lang w:eastAsia="zh-CN"/>
        </w:rPr>
        <w:t>m³/d（</w:t>
      </w:r>
      <w:r>
        <w:rPr>
          <w:rFonts w:hint="eastAsia" w:ascii="Times New Roman" w:hAnsi="Times New Roman" w:eastAsia="宋体" w:cs="Times New Roman"/>
          <w:color w:val="0000FF"/>
          <w:spacing w:val="7"/>
          <w:sz w:val="24"/>
          <w:szCs w:val="24"/>
          <w:lang w:val="en-US" w:eastAsia="zh-CN"/>
        </w:rPr>
        <w:t>1620</w:t>
      </w:r>
      <w:r>
        <w:rPr>
          <w:rFonts w:hint="default" w:ascii="Times New Roman" w:hAnsi="Times New Roman" w:eastAsia="宋体" w:cs="Times New Roman"/>
          <w:color w:val="0000FF"/>
          <w:spacing w:val="7"/>
          <w:sz w:val="24"/>
          <w:szCs w:val="24"/>
          <w:lang w:eastAsia="zh-CN"/>
        </w:rPr>
        <w:t>m³/a），含铬废水排放量</w:t>
      </w:r>
      <w:r>
        <w:rPr>
          <w:rFonts w:hint="eastAsia" w:ascii="Times New Roman" w:hAnsi="Times New Roman" w:eastAsia="宋体" w:cs="Times New Roman"/>
          <w:color w:val="0000FF"/>
          <w:spacing w:val="7"/>
          <w:sz w:val="24"/>
          <w:szCs w:val="24"/>
          <w:lang w:val="en-US" w:eastAsia="zh-CN"/>
        </w:rPr>
        <w:t>17.28</w:t>
      </w:r>
      <w:r>
        <w:rPr>
          <w:rFonts w:hint="default" w:ascii="Times New Roman" w:hAnsi="Times New Roman" w:eastAsia="宋体" w:cs="Times New Roman"/>
          <w:color w:val="0000FF"/>
          <w:spacing w:val="7"/>
          <w:sz w:val="24"/>
          <w:szCs w:val="24"/>
          <w:lang w:eastAsia="zh-CN"/>
        </w:rPr>
        <w:t>m³/d（</w:t>
      </w:r>
      <w:r>
        <w:rPr>
          <w:rFonts w:hint="eastAsia" w:ascii="Times New Roman" w:hAnsi="Times New Roman" w:eastAsia="宋体" w:cs="Times New Roman"/>
          <w:color w:val="0000FF"/>
          <w:spacing w:val="7"/>
          <w:sz w:val="24"/>
          <w:szCs w:val="24"/>
          <w:lang w:val="en-US" w:eastAsia="zh-CN"/>
        </w:rPr>
        <w:t>5184</w:t>
      </w:r>
      <w:r>
        <w:rPr>
          <w:rFonts w:hint="default" w:ascii="Times New Roman" w:hAnsi="Times New Roman" w:eastAsia="宋体" w:cs="Times New Roman"/>
          <w:color w:val="0000FF"/>
          <w:spacing w:val="7"/>
          <w:sz w:val="24"/>
          <w:szCs w:val="24"/>
          <w:lang w:eastAsia="zh-CN"/>
        </w:rPr>
        <w:t>m³/a），含氰废水排放量</w:t>
      </w:r>
      <w:r>
        <w:rPr>
          <w:rFonts w:hint="eastAsia" w:ascii="Times New Roman" w:hAnsi="Times New Roman" w:eastAsia="宋体" w:cs="Times New Roman"/>
          <w:color w:val="0000FF"/>
          <w:spacing w:val="7"/>
          <w:sz w:val="24"/>
          <w:szCs w:val="24"/>
          <w:lang w:val="en-US" w:eastAsia="zh-CN"/>
        </w:rPr>
        <w:t>2.2</w:t>
      </w:r>
      <w:r>
        <w:rPr>
          <w:rFonts w:hint="default" w:ascii="Times New Roman" w:hAnsi="Times New Roman" w:eastAsia="宋体" w:cs="Times New Roman"/>
          <w:color w:val="0000FF"/>
          <w:spacing w:val="7"/>
          <w:sz w:val="24"/>
          <w:szCs w:val="24"/>
          <w:lang w:eastAsia="zh-CN"/>
        </w:rPr>
        <w:t>m³/d（</w:t>
      </w:r>
      <w:r>
        <w:rPr>
          <w:rFonts w:hint="eastAsia" w:ascii="Times New Roman" w:hAnsi="Times New Roman" w:eastAsia="宋体" w:cs="Times New Roman"/>
          <w:color w:val="0000FF"/>
          <w:spacing w:val="7"/>
          <w:sz w:val="24"/>
          <w:szCs w:val="24"/>
          <w:lang w:val="en-US" w:eastAsia="zh-CN"/>
        </w:rPr>
        <w:t>660</w:t>
      </w:r>
      <w:r>
        <w:rPr>
          <w:rFonts w:hint="default" w:ascii="Times New Roman" w:hAnsi="Times New Roman" w:eastAsia="宋体" w:cs="Times New Roman"/>
          <w:color w:val="0000FF"/>
          <w:spacing w:val="7"/>
          <w:sz w:val="24"/>
          <w:szCs w:val="24"/>
          <w:lang w:eastAsia="zh-CN"/>
        </w:rPr>
        <w:t>m³/a），综合废水排放量</w:t>
      </w:r>
      <w:r>
        <w:rPr>
          <w:rFonts w:hint="eastAsia" w:ascii="Times New Roman" w:hAnsi="Times New Roman" w:eastAsia="宋体" w:cs="Times New Roman"/>
          <w:color w:val="0000FF"/>
          <w:spacing w:val="7"/>
          <w:sz w:val="24"/>
          <w:szCs w:val="24"/>
          <w:lang w:val="en-US" w:eastAsia="zh-CN"/>
        </w:rPr>
        <w:t>56.528</w:t>
      </w:r>
      <w:r>
        <w:rPr>
          <w:rFonts w:hint="default" w:ascii="Times New Roman" w:hAnsi="Times New Roman" w:eastAsia="宋体" w:cs="Times New Roman"/>
          <w:color w:val="0000FF"/>
          <w:spacing w:val="7"/>
          <w:sz w:val="24"/>
          <w:szCs w:val="24"/>
          <w:lang w:eastAsia="zh-CN"/>
        </w:rPr>
        <w:t>m³/d（</w:t>
      </w:r>
      <w:r>
        <w:rPr>
          <w:rFonts w:hint="eastAsia" w:ascii="Times New Roman" w:hAnsi="Times New Roman" w:eastAsia="宋体" w:cs="Times New Roman"/>
          <w:color w:val="0000FF"/>
          <w:spacing w:val="7"/>
          <w:sz w:val="24"/>
          <w:szCs w:val="24"/>
          <w:lang w:val="en-US" w:eastAsia="zh-CN"/>
        </w:rPr>
        <w:t>16958.5</w:t>
      </w:r>
      <w:r>
        <w:rPr>
          <w:rFonts w:hint="default" w:ascii="Times New Roman" w:hAnsi="Times New Roman" w:eastAsia="宋体" w:cs="Times New Roman"/>
          <w:color w:val="0000FF"/>
          <w:spacing w:val="7"/>
          <w:sz w:val="24"/>
          <w:szCs w:val="24"/>
          <w:lang w:eastAsia="zh-CN"/>
        </w:rPr>
        <w:t>m³/a），废水日排放量小于相应事故应急池容积，项目依托集控区废水事故池可行</w:t>
      </w:r>
      <w:r>
        <w:rPr>
          <w:rFonts w:hint="eastAsia" w:ascii="Times New Roman" w:hAnsi="Times New Roman" w:eastAsia="宋体" w:cs="Times New Roman"/>
          <w:color w:val="0000FF"/>
          <w:spacing w:val="7"/>
          <w:sz w:val="24"/>
          <w:szCs w:val="24"/>
          <w:lang w:eastAsia="zh-CN"/>
        </w:rPr>
        <w:t>。</w:t>
      </w:r>
    </w:p>
    <w:p w14:paraId="1A4F4713">
      <w:pPr>
        <w:spacing w:line="360" w:lineRule="auto"/>
        <w:ind w:firstLine="508" w:firstLineChars="200"/>
        <w:jc w:val="both"/>
        <w:rPr>
          <w:rFonts w:hint="eastAsia" w:ascii="Times New Roman" w:hAnsi="Times New Roman" w:eastAsia="宋体" w:cs="Times New Roman"/>
          <w:color w:val="0000FF"/>
          <w:spacing w:val="7"/>
          <w:sz w:val="24"/>
          <w:szCs w:val="24"/>
          <w:lang w:val="en-US" w:eastAsia="zh-CN"/>
        </w:rPr>
      </w:pPr>
      <w:r>
        <w:rPr>
          <w:rFonts w:hint="eastAsia" w:ascii="Times New Roman" w:hAnsi="Times New Roman" w:eastAsia="宋体" w:cs="Times New Roman"/>
          <w:color w:val="0000FF"/>
          <w:spacing w:val="7"/>
          <w:sz w:val="24"/>
          <w:szCs w:val="24"/>
          <w:lang w:val="en-US" w:eastAsia="zh-CN"/>
        </w:rPr>
        <w:t>8、氰化电镀工序环境风险管控措施</w:t>
      </w:r>
    </w:p>
    <w:p w14:paraId="02B91204">
      <w:pPr>
        <w:spacing w:line="360" w:lineRule="auto"/>
        <w:ind w:firstLine="508" w:firstLineChars="200"/>
        <w:jc w:val="both"/>
        <w:rPr>
          <w:rFonts w:hint="default" w:ascii="Times New Roman" w:hAnsi="Times New Roman" w:eastAsia="宋体" w:cs="Times New Roman"/>
          <w:color w:val="0000FF"/>
          <w:spacing w:val="7"/>
          <w:sz w:val="24"/>
          <w:szCs w:val="24"/>
          <w:lang w:val="en-US" w:eastAsia="zh-CN"/>
        </w:rPr>
      </w:pPr>
      <w:r>
        <w:rPr>
          <w:rFonts w:hint="eastAsia" w:ascii="Times New Roman" w:hAnsi="Times New Roman" w:eastAsia="宋体" w:cs="Times New Roman"/>
          <w:color w:val="0000FF"/>
          <w:spacing w:val="7"/>
          <w:sz w:val="24"/>
          <w:szCs w:val="24"/>
          <w:lang w:val="en-US" w:eastAsia="zh-CN"/>
        </w:rPr>
        <w:t>本项目设施有氰化电镀工序，本项目拟从以下措施进行风险管控：</w:t>
      </w:r>
    </w:p>
    <w:p w14:paraId="2D3AF38E">
      <w:pPr>
        <w:spacing w:line="360" w:lineRule="auto"/>
        <w:ind w:firstLine="508" w:firstLineChars="200"/>
        <w:jc w:val="both"/>
        <w:rPr>
          <w:rFonts w:hint="default" w:ascii="Times New Roman" w:hAnsi="Times New Roman" w:eastAsia="宋体" w:cs="Times New Roman"/>
          <w:color w:val="0000FF"/>
          <w:spacing w:val="7"/>
          <w:sz w:val="24"/>
          <w:szCs w:val="24"/>
          <w:lang w:val="en-US" w:eastAsia="zh-CN"/>
        </w:rPr>
      </w:pPr>
      <w:r>
        <w:rPr>
          <w:rFonts w:hint="eastAsia" w:ascii="Times New Roman" w:hAnsi="Times New Roman" w:eastAsia="宋体" w:cs="Times New Roman"/>
          <w:color w:val="0000FF"/>
          <w:spacing w:val="7"/>
          <w:sz w:val="24"/>
          <w:szCs w:val="24"/>
          <w:lang w:val="en-US" w:eastAsia="zh-CN"/>
        </w:rPr>
        <w:t>（1）化学品管控：含氰原料按剧毒危险品管理，执行双人双锁、专用库房、隔离存放，远离酸类、热源与氧化剂；建立全台账，账物相符。</w:t>
      </w:r>
    </w:p>
    <w:p w14:paraId="60CC754C">
      <w:pPr>
        <w:spacing w:line="360" w:lineRule="auto"/>
        <w:ind w:firstLine="508" w:firstLineChars="200"/>
        <w:jc w:val="both"/>
        <w:rPr>
          <w:rFonts w:hint="default" w:ascii="Times New Roman" w:hAnsi="Times New Roman" w:eastAsia="宋体" w:cs="Times New Roman"/>
          <w:color w:val="0000FF"/>
          <w:spacing w:val="7"/>
          <w:sz w:val="24"/>
          <w:szCs w:val="24"/>
          <w:lang w:val="en-US" w:eastAsia="zh-CN"/>
        </w:rPr>
      </w:pPr>
      <w:r>
        <w:rPr>
          <w:rFonts w:hint="eastAsia" w:ascii="Times New Roman" w:hAnsi="Times New Roman" w:eastAsia="宋体" w:cs="Times New Roman"/>
          <w:color w:val="0000FF"/>
          <w:spacing w:val="7"/>
          <w:sz w:val="24"/>
          <w:szCs w:val="24"/>
          <w:lang w:val="en-US" w:eastAsia="zh-CN"/>
        </w:rPr>
        <w:t>（2）含氰废水单独管网收集，严禁与酸性废水、其他废水混合，避免生成剧毒氰化氢。</w:t>
      </w:r>
    </w:p>
    <w:p w14:paraId="46F179E5">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w:t>
      </w:r>
      <w:r>
        <w:rPr>
          <w:rFonts w:hint="eastAsia" w:ascii="Times New Roman" w:hAnsi="Times New Roman" w:eastAsia="宋体" w:cs="Times New Roman"/>
          <w:color w:val="0000FF"/>
          <w:spacing w:val="7"/>
          <w:sz w:val="24"/>
          <w:szCs w:val="24"/>
          <w:lang w:val="en-US" w:eastAsia="zh-CN"/>
        </w:rPr>
        <w:t>3</w:t>
      </w:r>
      <w:r>
        <w:rPr>
          <w:rFonts w:hint="eastAsia" w:ascii="Times New Roman" w:hAnsi="Times New Roman" w:eastAsia="宋体" w:cs="Times New Roman"/>
          <w:color w:val="0000FF"/>
          <w:spacing w:val="7"/>
          <w:sz w:val="24"/>
          <w:szCs w:val="24"/>
          <w:lang w:eastAsia="zh-CN"/>
        </w:rPr>
        <w:t>）</w:t>
      </w:r>
      <w:r>
        <w:rPr>
          <w:rFonts w:hint="default" w:ascii="Times New Roman" w:hAnsi="Times New Roman" w:eastAsia="宋体" w:cs="Times New Roman"/>
          <w:color w:val="0000FF"/>
          <w:spacing w:val="7"/>
          <w:sz w:val="24"/>
          <w:szCs w:val="24"/>
          <w:lang w:eastAsia="zh-CN"/>
        </w:rPr>
        <w:t>含氰废水池、处理池做防渗、防腐、密闭，设置防流失围堰与事故收集池</w:t>
      </w:r>
      <w:r>
        <w:rPr>
          <w:rFonts w:hint="eastAsia" w:ascii="Times New Roman" w:hAnsi="Times New Roman" w:eastAsia="宋体" w:cs="Times New Roman"/>
          <w:color w:val="0000FF"/>
          <w:spacing w:val="7"/>
          <w:sz w:val="24"/>
          <w:szCs w:val="24"/>
          <w:lang w:eastAsia="zh-CN"/>
        </w:rPr>
        <w:t>。</w:t>
      </w:r>
    </w:p>
    <w:p w14:paraId="781E4F4E">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w:t>
      </w:r>
      <w:r>
        <w:rPr>
          <w:rFonts w:hint="eastAsia" w:ascii="Times New Roman" w:hAnsi="Times New Roman" w:eastAsia="宋体" w:cs="Times New Roman"/>
          <w:color w:val="0000FF"/>
          <w:spacing w:val="7"/>
          <w:sz w:val="24"/>
          <w:szCs w:val="24"/>
          <w:lang w:val="en-US" w:eastAsia="zh-CN"/>
        </w:rPr>
        <w:t>4</w:t>
      </w:r>
      <w:r>
        <w:rPr>
          <w:rFonts w:hint="eastAsia" w:ascii="Times New Roman" w:hAnsi="Times New Roman" w:eastAsia="宋体" w:cs="Times New Roman"/>
          <w:color w:val="0000FF"/>
          <w:spacing w:val="7"/>
          <w:sz w:val="24"/>
          <w:szCs w:val="24"/>
          <w:lang w:eastAsia="zh-CN"/>
        </w:rPr>
        <w:t>）编制含氰泄漏、中毒、火灾专项预案，明确响应流程、责任人、物资与疏散路线；每年至少1 次实战演练。</w:t>
      </w:r>
    </w:p>
    <w:p w14:paraId="418417D6">
      <w:pPr>
        <w:spacing w:line="360" w:lineRule="auto"/>
        <w:ind w:firstLine="508" w:firstLineChars="200"/>
        <w:jc w:val="both"/>
        <w:rPr>
          <w:rFonts w:hint="default" w:ascii="Times New Roman" w:hAnsi="Times New Roman" w:eastAsia="宋体" w:cs="Times New Roman"/>
          <w:color w:val="0000FF"/>
          <w:spacing w:val="7"/>
          <w:sz w:val="24"/>
          <w:szCs w:val="24"/>
          <w:lang w:val="en-US" w:eastAsia="zh-CN"/>
        </w:rPr>
      </w:pPr>
      <w:r>
        <w:rPr>
          <w:rFonts w:hint="eastAsia" w:ascii="Times New Roman" w:hAnsi="Times New Roman" w:eastAsia="宋体" w:cs="Times New Roman"/>
          <w:color w:val="0000FF"/>
          <w:spacing w:val="7"/>
          <w:sz w:val="24"/>
          <w:szCs w:val="24"/>
          <w:lang w:eastAsia="zh-CN"/>
        </w:rPr>
        <w:t>（</w:t>
      </w:r>
      <w:r>
        <w:rPr>
          <w:rFonts w:hint="eastAsia" w:ascii="Times New Roman" w:hAnsi="Times New Roman" w:eastAsia="宋体" w:cs="Times New Roman"/>
          <w:color w:val="0000FF"/>
          <w:spacing w:val="7"/>
          <w:sz w:val="24"/>
          <w:szCs w:val="24"/>
          <w:lang w:val="en-US" w:eastAsia="zh-CN"/>
        </w:rPr>
        <w:t>5</w:t>
      </w:r>
      <w:r>
        <w:rPr>
          <w:rFonts w:hint="eastAsia" w:ascii="Times New Roman" w:hAnsi="Times New Roman" w:eastAsia="宋体" w:cs="Times New Roman"/>
          <w:color w:val="0000FF"/>
          <w:spacing w:val="7"/>
          <w:sz w:val="24"/>
          <w:szCs w:val="24"/>
          <w:lang w:eastAsia="zh-CN"/>
        </w:rPr>
        <w:t>）应急物资</w:t>
      </w:r>
    </w:p>
    <w:p w14:paraId="231AD90F">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泄漏处理：次氯酸钠溶液（10%）、氢氧化钠、围油栏、吸附棉、防化服、正压式空气呼吸器；</w:t>
      </w:r>
    </w:p>
    <w:p w14:paraId="11F681B4">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人员急救：亚硝酸异戊酯、硫代硫酸钠、洗眼器、紧急喷淋，放置在显眼易取处。</w:t>
      </w:r>
    </w:p>
    <w:p w14:paraId="6C21B29C">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w:t>
      </w:r>
      <w:r>
        <w:rPr>
          <w:rFonts w:hint="eastAsia" w:ascii="Times New Roman" w:hAnsi="Times New Roman" w:eastAsia="宋体" w:cs="Times New Roman"/>
          <w:color w:val="0000FF"/>
          <w:spacing w:val="7"/>
          <w:sz w:val="24"/>
          <w:szCs w:val="24"/>
          <w:lang w:val="en-US" w:eastAsia="zh-CN"/>
        </w:rPr>
        <w:t>6</w:t>
      </w:r>
      <w:r>
        <w:rPr>
          <w:rFonts w:hint="eastAsia" w:ascii="Times New Roman" w:hAnsi="Times New Roman" w:eastAsia="宋体" w:cs="Times New Roman"/>
          <w:color w:val="0000FF"/>
          <w:spacing w:val="7"/>
          <w:sz w:val="24"/>
          <w:szCs w:val="24"/>
          <w:lang w:eastAsia="zh-CN"/>
        </w:rPr>
        <w:t>）泄漏处置</w:t>
      </w:r>
    </w:p>
    <w:p w14:paraId="68D0B9C5">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立即停产、切断电源、疏散人员至上风处；</w:t>
      </w:r>
    </w:p>
    <w:p w14:paraId="61E6161A">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小量泄漏：用碱性次氯酸钠溶液喷洒覆盖，吸附后收集处理；</w:t>
      </w:r>
    </w:p>
    <w:p w14:paraId="204AA8D4">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大量泄漏：构筑围堤，用泡沫覆盖抑制挥发，泵入事故池，再氧化处理；严禁用酸性物质中和。</w:t>
      </w:r>
    </w:p>
    <w:p w14:paraId="7ABC122F">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w:t>
      </w:r>
      <w:r>
        <w:rPr>
          <w:rFonts w:hint="eastAsia" w:ascii="Times New Roman" w:hAnsi="Times New Roman" w:eastAsia="宋体" w:cs="Times New Roman"/>
          <w:color w:val="0000FF"/>
          <w:spacing w:val="7"/>
          <w:sz w:val="24"/>
          <w:szCs w:val="24"/>
          <w:lang w:val="en-US" w:eastAsia="zh-CN"/>
        </w:rPr>
        <w:t>7</w:t>
      </w:r>
      <w:r>
        <w:rPr>
          <w:rFonts w:hint="eastAsia" w:ascii="Times New Roman" w:hAnsi="Times New Roman" w:eastAsia="宋体" w:cs="Times New Roman"/>
          <w:color w:val="0000FF"/>
          <w:spacing w:val="7"/>
          <w:sz w:val="24"/>
          <w:szCs w:val="24"/>
          <w:lang w:eastAsia="zh-CN"/>
        </w:rPr>
        <w:t>）环境管理（制度与人员）</w:t>
      </w:r>
    </w:p>
    <w:p w14:paraId="1CA9A4DB">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bookmarkStart w:id="19" w:name="_GoBack"/>
      <w:r>
        <w:rPr>
          <w:rFonts w:hint="eastAsia" w:ascii="Times New Roman" w:hAnsi="Times New Roman" w:eastAsia="宋体" w:cs="Times New Roman"/>
          <w:color w:val="0000FF"/>
          <w:spacing w:val="7"/>
          <w:sz w:val="24"/>
          <w:szCs w:val="24"/>
          <w:lang w:eastAsia="zh-CN"/>
        </w:rPr>
        <w:t>制度建设：建立氰化物使用管理制度、操作规程、监测制度、危废管理制度、应急预案等，张贴于作业区。</w:t>
      </w:r>
    </w:p>
    <w:p w14:paraId="4E8FE66C">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人员培训：作业人员持证上岗，定期培训氰化物危害、操作规范、应急处置与急救方法；严禁无证人员、未培训人员上岗。</w:t>
      </w:r>
    </w:p>
    <w:p w14:paraId="16A78533">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eastAsia" w:ascii="Times New Roman" w:hAnsi="Times New Roman" w:eastAsia="宋体" w:cs="Times New Roman"/>
          <w:color w:val="0000FF"/>
          <w:spacing w:val="7"/>
          <w:sz w:val="24"/>
          <w:szCs w:val="24"/>
          <w:lang w:eastAsia="zh-CN"/>
        </w:rPr>
        <w:t>健康监护：接触氰化物人员每年体检，重点检查神经系统、呼吸系统与肾功能；建立健康档案。</w:t>
      </w:r>
    </w:p>
    <w:bookmarkEnd w:id="19"/>
    <w:p w14:paraId="3B421C7B">
      <w:pPr>
        <w:pStyle w:val="3"/>
        <w:bidi w:val="0"/>
        <w:rPr>
          <w:rFonts w:hint="default"/>
          <w:lang w:eastAsia="zh-CN"/>
        </w:rPr>
      </w:pPr>
      <w:bookmarkStart w:id="16" w:name="_Toc26652"/>
      <w:r>
        <w:rPr>
          <w:rFonts w:hint="default"/>
          <w:lang w:eastAsia="zh-CN"/>
        </w:rPr>
        <w:t>突发环境事件应急预案编制要求</w:t>
      </w:r>
      <w:bookmarkEnd w:id="16"/>
    </w:p>
    <w:p w14:paraId="724B798A">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eastAsia="zh-CN"/>
        </w:rPr>
        <w:t>根据《建设项目环境风险评价技术导则》（HJ169-2018），本环评需按照国家、地方和相关部门要求，提出企业突发环境事件应急预案编制的原则要求。建设单位应另行委托具有“突发事件应急预案”编制能力的单位编制应急预案，编制主要内容如下：</w:t>
      </w:r>
    </w:p>
    <w:p w14:paraId="5482A1B0">
      <w:pPr>
        <w:spacing w:before="100"/>
        <w:jc w:val="center"/>
        <w:rPr>
          <w:rFonts w:hint="default" w:ascii="Times New Roman" w:hAnsi="Times New Roman" w:eastAsia="宋体" w:cs="Times New Roman"/>
          <w:b/>
          <w:bCs/>
          <w:color w:val="0000FF"/>
          <w:spacing w:val="6"/>
          <w:sz w:val="20"/>
          <w:szCs w:val="20"/>
          <w:lang w:eastAsia="zh-CN"/>
        </w:rPr>
      </w:pPr>
      <w:r>
        <w:rPr>
          <w:rFonts w:hint="default" w:ascii="Times New Roman" w:hAnsi="Times New Roman" w:eastAsia="宋体" w:cs="Times New Roman"/>
          <w:b/>
          <w:bCs/>
          <w:color w:val="0000FF"/>
          <w:spacing w:val="6"/>
          <w:sz w:val="20"/>
          <w:szCs w:val="20"/>
          <w:lang w:eastAsia="zh-CN"/>
        </w:rPr>
        <w:t>表4.5-1应急预案主要内容汇总表</w:t>
      </w:r>
    </w:p>
    <w:p w14:paraId="3281AED6">
      <w:pPr>
        <w:spacing w:line="21" w:lineRule="exact"/>
        <w:rPr>
          <w:rFonts w:hint="default" w:ascii="Times New Roman" w:hAnsi="Times New Roman" w:eastAsia="宋体" w:cs="Times New Roman"/>
          <w:color w:val="0000FF"/>
          <w:lang w:eastAsia="zh-CN"/>
        </w:rPr>
      </w:pPr>
    </w:p>
    <w:tbl>
      <w:tblPr>
        <w:tblStyle w:val="25"/>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7"/>
        <w:gridCol w:w="2687"/>
        <w:gridCol w:w="5151"/>
      </w:tblGrid>
      <w:tr w14:paraId="328B6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341D0FA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序号</w:t>
            </w:r>
          </w:p>
        </w:tc>
        <w:tc>
          <w:tcPr>
            <w:tcW w:w="2687" w:type="dxa"/>
            <w:vAlign w:val="center"/>
          </w:tcPr>
          <w:p w14:paraId="59EF21B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项目</w:t>
            </w:r>
          </w:p>
        </w:tc>
        <w:tc>
          <w:tcPr>
            <w:tcW w:w="5151" w:type="dxa"/>
            <w:vAlign w:val="center"/>
          </w:tcPr>
          <w:p w14:paraId="45ED0FF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内容及要求</w:t>
            </w:r>
          </w:p>
        </w:tc>
      </w:tr>
      <w:tr w14:paraId="318E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29969B2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1</w:t>
            </w:r>
          </w:p>
        </w:tc>
        <w:tc>
          <w:tcPr>
            <w:tcW w:w="2687" w:type="dxa"/>
            <w:vAlign w:val="center"/>
          </w:tcPr>
          <w:p w14:paraId="11CB014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应急计划区</w:t>
            </w:r>
          </w:p>
        </w:tc>
        <w:tc>
          <w:tcPr>
            <w:tcW w:w="5151" w:type="dxa"/>
            <w:vAlign w:val="center"/>
          </w:tcPr>
          <w:p w14:paraId="33FDFAE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危险目标：装置区、生产区、环境保护目标</w:t>
            </w:r>
          </w:p>
        </w:tc>
      </w:tr>
      <w:tr w14:paraId="63D4C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41C5117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2</w:t>
            </w:r>
          </w:p>
        </w:tc>
        <w:tc>
          <w:tcPr>
            <w:tcW w:w="2687" w:type="dxa"/>
            <w:vAlign w:val="center"/>
          </w:tcPr>
          <w:p w14:paraId="403B4CC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应急组织机构、人员</w:t>
            </w:r>
          </w:p>
        </w:tc>
        <w:tc>
          <w:tcPr>
            <w:tcW w:w="5151" w:type="dxa"/>
            <w:vAlign w:val="center"/>
          </w:tcPr>
          <w:p w14:paraId="3DFE677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企业、园区及地区应急组织机构、人员</w:t>
            </w:r>
          </w:p>
        </w:tc>
      </w:tr>
      <w:tr w14:paraId="7EDBD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7425944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3</w:t>
            </w:r>
          </w:p>
        </w:tc>
        <w:tc>
          <w:tcPr>
            <w:tcW w:w="2687" w:type="dxa"/>
            <w:vAlign w:val="center"/>
          </w:tcPr>
          <w:p w14:paraId="60B5ADD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预案分级响应条件</w:t>
            </w:r>
          </w:p>
        </w:tc>
        <w:tc>
          <w:tcPr>
            <w:tcW w:w="5151" w:type="dxa"/>
            <w:vAlign w:val="center"/>
          </w:tcPr>
          <w:p w14:paraId="34DC34A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规定预案的级别及分级响应程序</w:t>
            </w:r>
          </w:p>
        </w:tc>
      </w:tr>
      <w:tr w14:paraId="7EF18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53F5ADC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4</w:t>
            </w:r>
          </w:p>
        </w:tc>
        <w:tc>
          <w:tcPr>
            <w:tcW w:w="2687" w:type="dxa"/>
            <w:vAlign w:val="center"/>
          </w:tcPr>
          <w:p w14:paraId="13195E9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应急救援保障</w:t>
            </w:r>
          </w:p>
        </w:tc>
        <w:tc>
          <w:tcPr>
            <w:tcW w:w="5151" w:type="dxa"/>
            <w:vAlign w:val="center"/>
          </w:tcPr>
          <w:p w14:paraId="4F4E03B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应急设施，设备与器材等</w:t>
            </w:r>
          </w:p>
        </w:tc>
      </w:tr>
      <w:tr w14:paraId="51D4B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13C591B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5</w:t>
            </w:r>
          </w:p>
        </w:tc>
        <w:tc>
          <w:tcPr>
            <w:tcW w:w="2687" w:type="dxa"/>
            <w:vAlign w:val="center"/>
          </w:tcPr>
          <w:p w14:paraId="1D73166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报警、通讯联络方式</w:t>
            </w:r>
          </w:p>
        </w:tc>
        <w:tc>
          <w:tcPr>
            <w:tcW w:w="5151" w:type="dxa"/>
            <w:vAlign w:val="center"/>
          </w:tcPr>
          <w:p w14:paraId="63305FB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规定应急状态下的报警通讯方式、通知方式和交通保障、管制。</w:t>
            </w:r>
          </w:p>
        </w:tc>
      </w:tr>
      <w:tr w14:paraId="287DA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6953767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6</w:t>
            </w:r>
          </w:p>
        </w:tc>
        <w:tc>
          <w:tcPr>
            <w:tcW w:w="2687" w:type="dxa"/>
            <w:vAlign w:val="center"/>
          </w:tcPr>
          <w:p w14:paraId="41F3D6D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应急环境监测、抢险、救援及控制措施</w:t>
            </w:r>
          </w:p>
        </w:tc>
        <w:tc>
          <w:tcPr>
            <w:tcW w:w="5151" w:type="dxa"/>
            <w:vAlign w:val="center"/>
          </w:tcPr>
          <w:p w14:paraId="4285F7B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由专业队伍负责对事故现场进行侦察监测，对事故性质、参数与后果进行评估，为指挥部门提供决策依据</w:t>
            </w:r>
          </w:p>
        </w:tc>
      </w:tr>
      <w:tr w14:paraId="2C8ED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77061FD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7</w:t>
            </w:r>
          </w:p>
        </w:tc>
        <w:tc>
          <w:tcPr>
            <w:tcW w:w="2687" w:type="dxa"/>
            <w:vAlign w:val="center"/>
          </w:tcPr>
          <w:p w14:paraId="40FFB6F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应急检测、防护措施、清除泄漏措施和器材</w:t>
            </w:r>
          </w:p>
        </w:tc>
        <w:tc>
          <w:tcPr>
            <w:tcW w:w="5151" w:type="dxa"/>
            <w:vAlign w:val="center"/>
          </w:tcPr>
          <w:p w14:paraId="2D1C2A4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事故现场、邻近区域、控制防火区域，控制和清除污染措施及相应设备</w:t>
            </w:r>
          </w:p>
        </w:tc>
      </w:tr>
      <w:tr w14:paraId="6655F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1D22BBA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p>
          <w:p w14:paraId="5884B08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8</w:t>
            </w:r>
          </w:p>
        </w:tc>
        <w:tc>
          <w:tcPr>
            <w:tcW w:w="2687" w:type="dxa"/>
            <w:vAlign w:val="center"/>
          </w:tcPr>
          <w:p w14:paraId="75752F3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人员紧急撤离、疏散，应急剂量控制、撤离组织计划</w:t>
            </w:r>
          </w:p>
        </w:tc>
        <w:tc>
          <w:tcPr>
            <w:tcW w:w="5151" w:type="dxa"/>
            <w:vAlign w:val="center"/>
          </w:tcPr>
          <w:p w14:paraId="2BA13AB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事故现场、邻近区、受事故影响的区域人员及公众对毒</w:t>
            </w:r>
          </w:p>
          <w:p w14:paraId="6355F09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物应急剂量控制规定，撤离组织计划及救护，医疗救护</w:t>
            </w:r>
          </w:p>
          <w:p w14:paraId="72FCC67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与公众健康</w:t>
            </w:r>
          </w:p>
        </w:tc>
      </w:tr>
      <w:tr w14:paraId="5CBB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0AE16CA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9</w:t>
            </w:r>
          </w:p>
        </w:tc>
        <w:tc>
          <w:tcPr>
            <w:tcW w:w="2687" w:type="dxa"/>
            <w:vAlign w:val="center"/>
          </w:tcPr>
          <w:p w14:paraId="0511F0D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事故应急救援关闭程序与恢复措施</w:t>
            </w:r>
          </w:p>
        </w:tc>
        <w:tc>
          <w:tcPr>
            <w:tcW w:w="5151" w:type="dxa"/>
            <w:vAlign w:val="center"/>
          </w:tcPr>
          <w:p w14:paraId="1C50A44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规定应急状态终止程序事故现场善后处理，恢复措施邻近区域解除事故警戒及善后恢复措施</w:t>
            </w:r>
          </w:p>
        </w:tc>
      </w:tr>
      <w:tr w14:paraId="7D09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2A28B3E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10</w:t>
            </w:r>
          </w:p>
        </w:tc>
        <w:tc>
          <w:tcPr>
            <w:tcW w:w="2687" w:type="dxa"/>
            <w:vAlign w:val="center"/>
          </w:tcPr>
          <w:p w14:paraId="768B6AB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应急培训计划</w:t>
            </w:r>
          </w:p>
        </w:tc>
        <w:tc>
          <w:tcPr>
            <w:tcW w:w="5151" w:type="dxa"/>
            <w:vAlign w:val="center"/>
          </w:tcPr>
          <w:p w14:paraId="5D8972E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按照环境应急预案，应急计划制定后，平时安排人员培训与演练</w:t>
            </w:r>
          </w:p>
        </w:tc>
      </w:tr>
      <w:tr w14:paraId="1A91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7D88B3C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11</w:t>
            </w:r>
          </w:p>
        </w:tc>
        <w:tc>
          <w:tcPr>
            <w:tcW w:w="2687" w:type="dxa"/>
            <w:vAlign w:val="center"/>
          </w:tcPr>
          <w:p w14:paraId="0065781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公众教育和信息</w:t>
            </w:r>
          </w:p>
        </w:tc>
        <w:tc>
          <w:tcPr>
            <w:tcW w:w="5151" w:type="dxa"/>
            <w:vAlign w:val="center"/>
          </w:tcPr>
          <w:p w14:paraId="4FBCD70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对工厂邻近地区开展公众教育、培训和发布有关信息</w:t>
            </w:r>
          </w:p>
        </w:tc>
      </w:tr>
      <w:tr w14:paraId="65BA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5081E3C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12</w:t>
            </w:r>
          </w:p>
        </w:tc>
        <w:tc>
          <w:tcPr>
            <w:tcW w:w="2687" w:type="dxa"/>
            <w:vAlign w:val="center"/>
          </w:tcPr>
          <w:p w14:paraId="220B841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记录和报告</w:t>
            </w:r>
          </w:p>
        </w:tc>
        <w:tc>
          <w:tcPr>
            <w:tcW w:w="5151" w:type="dxa"/>
            <w:vAlign w:val="center"/>
          </w:tcPr>
          <w:p w14:paraId="2ED6139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设置应急事故专门记录，建档案和专门报告制度，设专门部门负责管理</w:t>
            </w:r>
          </w:p>
        </w:tc>
      </w:tr>
      <w:tr w14:paraId="7F22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7" w:type="dxa"/>
            <w:vAlign w:val="center"/>
          </w:tcPr>
          <w:p w14:paraId="2F055CC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13</w:t>
            </w:r>
          </w:p>
        </w:tc>
        <w:tc>
          <w:tcPr>
            <w:tcW w:w="2687" w:type="dxa"/>
            <w:vAlign w:val="center"/>
          </w:tcPr>
          <w:p w14:paraId="7BC59F1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附件</w:t>
            </w:r>
          </w:p>
        </w:tc>
        <w:tc>
          <w:tcPr>
            <w:tcW w:w="5151" w:type="dxa"/>
            <w:vAlign w:val="center"/>
          </w:tcPr>
          <w:p w14:paraId="6774991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color w:val="0000FF"/>
                <w:spacing w:val="2"/>
                <w:sz w:val="21"/>
                <w:szCs w:val="21"/>
                <w:lang w:val="en-US" w:eastAsia="zh-CN"/>
              </w:rPr>
            </w:pPr>
            <w:r>
              <w:rPr>
                <w:rFonts w:hint="default" w:ascii="Times New Roman" w:hAnsi="Times New Roman" w:eastAsia="宋体" w:cs="Times New Roman"/>
                <w:color w:val="0000FF"/>
                <w:spacing w:val="2"/>
                <w:sz w:val="21"/>
                <w:szCs w:val="21"/>
                <w:lang w:val="en-US" w:eastAsia="zh-CN"/>
              </w:rPr>
              <w:t>与应急事故有关的多种附件材料的准备和形成</w:t>
            </w:r>
          </w:p>
        </w:tc>
      </w:tr>
    </w:tbl>
    <w:p w14:paraId="6BCA6151">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eastAsia="zh-CN"/>
        </w:rPr>
        <w:t>应急预案编制要求：</w:t>
      </w:r>
    </w:p>
    <w:p w14:paraId="4E04420F">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val="en-US" w:eastAsia="zh-CN"/>
        </w:rPr>
        <w:t>1、</w:t>
      </w:r>
      <w:r>
        <w:rPr>
          <w:rFonts w:hint="default" w:ascii="Times New Roman" w:hAnsi="Times New Roman" w:eastAsia="宋体" w:cs="Times New Roman"/>
          <w:color w:val="0000FF"/>
          <w:spacing w:val="7"/>
          <w:sz w:val="24"/>
          <w:szCs w:val="24"/>
          <w:lang w:eastAsia="zh-CN"/>
        </w:rPr>
        <w:t>符合国家相关法律、法规、规章、标准和编制指南等规定；</w:t>
      </w:r>
    </w:p>
    <w:p w14:paraId="14670701">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val="en-US" w:eastAsia="zh-CN"/>
        </w:rPr>
        <w:t>2、</w:t>
      </w:r>
      <w:r>
        <w:rPr>
          <w:rFonts w:hint="default" w:ascii="Times New Roman" w:hAnsi="Times New Roman" w:eastAsia="宋体" w:cs="Times New Roman"/>
          <w:color w:val="0000FF"/>
          <w:spacing w:val="7"/>
          <w:sz w:val="24"/>
          <w:szCs w:val="24"/>
          <w:lang w:eastAsia="zh-CN"/>
        </w:rPr>
        <w:t>符合本地区、本部门、本单位突发环境事件应急工作实际；</w:t>
      </w:r>
    </w:p>
    <w:p w14:paraId="4F8464C3">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val="en-US" w:eastAsia="zh-CN"/>
        </w:rPr>
        <w:t>3、</w:t>
      </w:r>
      <w:r>
        <w:rPr>
          <w:rFonts w:hint="default" w:ascii="Times New Roman" w:hAnsi="Times New Roman" w:eastAsia="宋体" w:cs="Times New Roman"/>
          <w:color w:val="0000FF"/>
          <w:spacing w:val="7"/>
          <w:sz w:val="24"/>
          <w:szCs w:val="24"/>
          <w:lang w:eastAsia="zh-CN"/>
        </w:rPr>
        <w:t>建立在环境敏感点分析基础上，与环境风险分析和突发环境事件应急能力相适应；</w:t>
      </w:r>
    </w:p>
    <w:p w14:paraId="251A7DE9">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val="en-US" w:eastAsia="zh-CN"/>
        </w:rPr>
        <w:t>4、</w:t>
      </w:r>
      <w:r>
        <w:rPr>
          <w:rFonts w:hint="default" w:ascii="Times New Roman" w:hAnsi="Times New Roman" w:eastAsia="宋体" w:cs="Times New Roman"/>
          <w:color w:val="0000FF"/>
          <w:spacing w:val="7"/>
          <w:sz w:val="24"/>
          <w:szCs w:val="24"/>
          <w:lang w:eastAsia="zh-CN"/>
        </w:rPr>
        <w:t>应急人员职责分工明确、责任落实到位；</w:t>
      </w:r>
    </w:p>
    <w:p w14:paraId="045D0ACC">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val="en-US" w:eastAsia="zh-CN"/>
        </w:rPr>
        <w:t>5、</w:t>
      </w:r>
      <w:r>
        <w:rPr>
          <w:rFonts w:hint="default" w:ascii="Times New Roman" w:hAnsi="Times New Roman" w:eastAsia="宋体" w:cs="Times New Roman"/>
          <w:color w:val="0000FF"/>
          <w:spacing w:val="7"/>
          <w:sz w:val="24"/>
          <w:szCs w:val="24"/>
          <w:lang w:eastAsia="zh-CN"/>
        </w:rPr>
        <w:t>预防措施和应急程序明确具体、操作性强；</w:t>
      </w:r>
    </w:p>
    <w:p w14:paraId="0073DB9A">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val="en-US" w:eastAsia="zh-CN"/>
        </w:rPr>
        <w:t>6、</w:t>
      </w:r>
      <w:r>
        <w:rPr>
          <w:rFonts w:hint="default" w:ascii="Times New Roman" w:hAnsi="Times New Roman" w:eastAsia="宋体" w:cs="Times New Roman"/>
          <w:color w:val="0000FF"/>
          <w:spacing w:val="7"/>
          <w:sz w:val="24"/>
          <w:szCs w:val="24"/>
          <w:lang w:eastAsia="zh-CN"/>
        </w:rPr>
        <w:t>应急保障措施明确，并能满足本地区、本单位应急工作要求；</w:t>
      </w:r>
    </w:p>
    <w:p w14:paraId="77BC4BDA">
      <w:pPr>
        <w:spacing w:line="360" w:lineRule="auto"/>
        <w:ind w:firstLine="508" w:firstLineChars="200"/>
        <w:jc w:val="both"/>
        <w:rPr>
          <w:rFonts w:hint="default"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val="en-US" w:eastAsia="zh-CN"/>
        </w:rPr>
        <w:t>7、</w:t>
      </w:r>
      <w:r>
        <w:rPr>
          <w:rFonts w:hint="default" w:ascii="Times New Roman" w:hAnsi="Times New Roman" w:eastAsia="宋体" w:cs="Times New Roman"/>
          <w:color w:val="0000FF"/>
          <w:spacing w:val="7"/>
          <w:sz w:val="24"/>
          <w:szCs w:val="24"/>
          <w:lang w:eastAsia="zh-CN"/>
        </w:rPr>
        <w:t>预案基本要素完整，附件信息正确；</w:t>
      </w:r>
    </w:p>
    <w:p w14:paraId="086FEE3A">
      <w:pPr>
        <w:spacing w:line="360" w:lineRule="auto"/>
        <w:ind w:firstLine="508" w:firstLineChars="200"/>
        <w:jc w:val="both"/>
        <w:rPr>
          <w:rFonts w:hint="eastAsia" w:ascii="Times New Roman" w:hAnsi="Times New Roman" w:eastAsia="宋体" w:cs="Times New Roman"/>
          <w:color w:val="0000FF"/>
          <w:spacing w:val="7"/>
          <w:sz w:val="24"/>
          <w:szCs w:val="24"/>
          <w:lang w:eastAsia="zh-CN"/>
        </w:rPr>
      </w:pPr>
      <w:r>
        <w:rPr>
          <w:rFonts w:hint="default" w:ascii="Times New Roman" w:hAnsi="Times New Roman" w:eastAsia="宋体" w:cs="Times New Roman"/>
          <w:color w:val="0000FF"/>
          <w:spacing w:val="7"/>
          <w:sz w:val="24"/>
          <w:szCs w:val="24"/>
          <w:lang w:val="en-US" w:eastAsia="zh-CN"/>
        </w:rPr>
        <w:t>8、</w:t>
      </w:r>
      <w:r>
        <w:rPr>
          <w:rFonts w:hint="default" w:ascii="Times New Roman" w:hAnsi="Times New Roman" w:eastAsia="宋体" w:cs="Times New Roman"/>
          <w:color w:val="0000FF"/>
          <w:spacing w:val="7"/>
          <w:sz w:val="24"/>
          <w:szCs w:val="24"/>
          <w:lang w:eastAsia="zh-CN"/>
        </w:rPr>
        <w:t>与相关应急预案相衔接。明确企业、园区/区域、地方政府环境风险应急体系。企业突然环境事件应急预案应体现分级响应、区域联动的原则，与地方政府突然环境事件应急预案相衔接，明确分级响应程序</w:t>
      </w:r>
      <w:r>
        <w:rPr>
          <w:rFonts w:hint="eastAsia" w:ascii="Times New Roman" w:hAnsi="Times New Roman" w:eastAsia="宋体" w:cs="Times New Roman"/>
          <w:color w:val="0000FF"/>
          <w:spacing w:val="7"/>
          <w:sz w:val="24"/>
          <w:szCs w:val="24"/>
          <w:lang w:eastAsia="zh-CN"/>
        </w:rPr>
        <w:t>。</w:t>
      </w:r>
    </w:p>
    <w:p w14:paraId="6BCD7DD9">
      <w:pPr>
        <w:spacing w:line="360" w:lineRule="auto"/>
        <w:ind w:firstLine="508" w:firstLineChars="200"/>
        <w:jc w:val="both"/>
        <w:rPr>
          <w:rFonts w:hint="default" w:ascii="Times New Roman" w:hAnsi="Times New Roman" w:eastAsia="宋体" w:cs="Times New Roman"/>
          <w:color w:val="0000FF"/>
          <w:spacing w:val="7"/>
          <w:sz w:val="24"/>
          <w:szCs w:val="24"/>
          <w:lang w:val="en-US" w:eastAsia="zh-CN"/>
        </w:rPr>
      </w:pPr>
      <w:r>
        <w:rPr>
          <w:rFonts w:hint="eastAsia" w:ascii="Times New Roman" w:hAnsi="Times New Roman" w:eastAsia="宋体" w:cs="Times New Roman"/>
          <w:color w:val="0000FF"/>
          <w:spacing w:val="7"/>
          <w:sz w:val="24"/>
          <w:szCs w:val="24"/>
          <w:lang w:val="en-US" w:eastAsia="zh-CN"/>
        </w:rPr>
        <w:t>现有项目已编制应急预案并进行备案，暂未组织相关应急演练，由于本项目位于集控区内，因此企业应根据集控区安排定期参加应急演练。本项目建成后需对应急预案内容进行更新。</w:t>
      </w:r>
    </w:p>
    <w:p w14:paraId="4C18AB13">
      <w:pPr>
        <w:pStyle w:val="3"/>
        <w:bidi w:val="0"/>
        <w:rPr>
          <w:rFonts w:hint="default"/>
          <w:lang w:eastAsia="zh-CN"/>
        </w:rPr>
      </w:pPr>
      <w:bookmarkStart w:id="17" w:name="_Toc8419"/>
      <w:r>
        <w:rPr>
          <w:rFonts w:hint="default"/>
          <w:lang w:eastAsia="zh-CN"/>
        </w:rPr>
        <w:t>环境风险评价结论</w:t>
      </w:r>
      <w:bookmarkEnd w:id="17"/>
    </w:p>
    <w:p w14:paraId="6967CEE4">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根据风险识别和源项分析，本项目潜在的环境风险分别有：有毒有害危险物质的泄漏、火灾和爆炸伴生/次生等。</w:t>
      </w:r>
    </w:p>
    <w:p w14:paraId="4E78FC9C">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综合上述分析可知，在严格落实本报告表提出的各项风险的预防和应急措施，并不断完善风险事故应急预案的前提下，本项目运营期的环境风险在可接受范围之内。</w:t>
      </w:r>
    </w:p>
    <w:p w14:paraId="127FC936">
      <w:pPr>
        <w:pStyle w:val="3"/>
        <w:bidi w:val="0"/>
        <w:rPr>
          <w:rFonts w:hint="default"/>
          <w:lang w:eastAsia="zh-CN"/>
        </w:rPr>
      </w:pPr>
      <w:bookmarkStart w:id="18" w:name="_Toc23574"/>
      <w:r>
        <w:rPr>
          <w:rFonts w:hint="default"/>
          <w:lang w:eastAsia="zh-CN"/>
        </w:rPr>
        <w:t>环境风险评价自查表</w:t>
      </w:r>
      <w:bookmarkEnd w:id="18"/>
    </w:p>
    <w:p w14:paraId="4B56DC9B">
      <w:pPr>
        <w:spacing w:line="360" w:lineRule="auto"/>
        <w:ind w:firstLine="508" w:firstLineChars="200"/>
        <w:jc w:val="both"/>
        <w:rPr>
          <w:rFonts w:hint="default" w:ascii="Times New Roman" w:hAnsi="Times New Roman" w:eastAsia="宋体" w:cs="Times New Roman"/>
          <w:color w:val="auto"/>
          <w:spacing w:val="7"/>
          <w:sz w:val="24"/>
          <w:szCs w:val="24"/>
          <w:lang w:eastAsia="zh-CN"/>
        </w:rPr>
      </w:pPr>
      <w:r>
        <w:rPr>
          <w:rFonts w:hint="default" w:ascii="Times New Roman" w:hAnsi="Times New Roman" w:eastAsia="宋体" w:cs="Times New Roman"/>
          <w:color w:val="auto"/>
          <w:spacing w:val="7"/>
          <w:sz w:val="24"/>
          <w:szCs w:val="24"/>
          <w:lang w:eastAsia="zh-CN"/>
        </w:rPr>
        <w:t>拟建项目环境风险评价自查表详见下表。</w:t>
      </w:r>
    </w:p>
    <w:p w14:paraId="5E5A04CB">
      <w:pPr>
        <w:spacing w:before="100"/>
        <w:jc w:val="center"/>
        <w:rPr>
          <w:rFonts w:hint="default" w:ascii="Times New Roman" w:hAnsi="Times New Roman" w:eastAsia="宋体" w:cs="Times New Roman"/>
          <w:b/>
          <w:bCs/>
          <w:color w:val="auto"/>
          <w:spacing w:val="6"/>
          <w:sz w:val="20"/>
          <w:szCs w:val="20"/>
        </w:rPr>
      </w:pPr>
      <w:r>
        <w:rPr>
          <w:rFonts w:hint="default" w:ascii="Times New Roman" w:hAnsi="Times New Roman" w:eastAsia="宋体" w:cs="Times New Roman"/>
          <w:b/>
          <w:bCs/>
          <w:color w:val="auto"/>
          <w:spacing w:val="6"/>
          <w:sz w:val="20"/>
          <w:szCs w:val="20"/>
        </w:rPr>
        <w:t>表4.7-1环境风险评价自查表</w:t>
      </w:r>
    </w:p>
    <w:p w14:paraId="3E76BB75">
      <w:pPr>
        <w:spacing w:line="21" w:lineRule="exact"/>
        <w:rPr>
          <w:rFonts w:hint="default" w:ascii="Times New Roman" w:hAnsi="Times New Roman" w:eastAsia="宋体" w:cs="Times New Roman"/>
          <w:color w:val="auto"/>
        </w:rPr>
      </w:pPr>
    </w:p>
    <w:tbl>
      <w:tblPr>
        <w:tblStyle w:val="25"/>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05"/>
        <w:gridCol w:w="1058"/>
        <w:gridCol w:w="1026"/>
        <w:gridCol w:w="883"/>
        <w:gridCol w:w="1"/>
        <w:gridCol w:w="1214"/>
        <w:gridCol w:w="706"/>
        <w:gridCol w:w="506"/>
        <w:gridCol w:w="674"/>
        <w:gridCol w:w="818"/>
        <w:gridCol w:w="10"/>
        <w:gridCol w:w="1224"/>
      </w:tblGrid>
      <w:tr w14:paraId="2091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Align w:val="center"/>
          </w:tcPr>
          <w:p w14:paraId="6C025DE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b/>
                <w:bCs/>
                <w:color w:val="auto"/>
              </w:rPr>
            </w:pPr>
            <w:r>
              <w:rPr>
                <w:rFonts w:hint="default" w:ascii="Times New Roman" w:hAnsi="Times New Roman" w:eastAsia="宋体" w:cs="Times New Roman"/>
                <w:b/>
                <w:bCs/>
                <w:color w:val="auto"/>
                <w:spacing w:val="6"/>
              </w:rPr>
              <w:t>工作内容</w:t>
            </w:r>
          </w:p>
        </w:tc>
        <w:tc>
          <w:tcPr>
            <w:tcW w:w="7062" w:type="dxa"/>
            <w:gridSpan w:val="10"/>
            <w:vAlign w:val="center"/>
          </w:tcPr>
          <w:p w14:paraId="31DA58EA">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b/>
                <w:bCs/>
                <w:color w:val="auto"/>
              </w:rPr>
            </w:pPr>
            <w:r>
              <w:rPr>
                <w:rFonts w:hint="default" w:ascii="Times New Roman" w:hAnsi="Times New Roman" w:eastAsia="宋体" w:cs="Times New Roman"/>
                <w:b/>
                <w:bCs/>
                <w:color w:val="auto"/>
                <w:spacing w:val="6"/>
              </w:rPr>
              <w:t>完成情况</w:t>
            </w:r>
          </w:p>
        </w:tc>
      </w:tr>
      <w:tr w14:paraId="3907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restart"/>
            <w:textDirection w:val="tbRlV"/>
            <w:vAlign w:val="center"/>
          </w:tcPr>
          <w:p w14:paraId="1767F42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pacing w:val="9"/>
              </w:rPr>
              <w:t>风险调</w:t>
            </w:r>
            <w:r>
              <w:rPr>
                <w:rFonts w:hint="default" w:ascii="Times New Roman" w:hAnsi="Times New Roman" w:eastAsia="宋体" w:cs="Times New Roman"/>
                <w:color w:val="auto"/>
                <w:spacing w:val="9"/>
                <w:lang w:val="en-US" w:eastAsia="zh-CN"/>
              </w:rPr>
              <w:t>查</w:t>
            </w:r>
          </w:p>
        </w:tc>
        <w:tc>
          <w:tcPr>
            <w:tcW w:w="1058" w:type="dxa"/>
            <w:vMerge w:val="restart"/>
            <w:vAlign w:val="center"/>
          </w:tcPr>
          <w:p w14:paraId="0A0D495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危险物</w:t>
            </w:r>
            <w:r>
              <w:rPr>
                <w:rFonts w:hint="default" w:ascii="Times New Roman" w:hAnsi="Times New Roman" w:eastAsia="宋体" w:cs="Times New Roman"/>
                <w:color w:val="auto"/>
              </w:rPr>
              <w:t>质</w:t>
            </w:r>
          </w:p>
        </w:tc>
        <w:tc>
          <w:tcPr>
            <w:tcW w:w="1026" w:type="dxa"/>
            <w:vAlign w:val="center"/>
          </w:tcPr>
          <w:p w14:paraId="3AC26C2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名称</w:t>
            </w:r>
          </w:p>
        </w:tc>
        <w:tc>
          <w:tcPr>
            <w:tcW w:w="883" w:type="dxa"/>
            <w:vAlign w:val="center"/>
          </w:tcPr>
          <w:p w14:paraId="4FBC428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cs="Times New Roman"/>
                <w:color w:val="auto"/>
                <w:spacing w:val="1"/>
                <w:lang w:val="en-US" w:eastAsia="zh-CN"/>
              </w:rPr>
              <w:t>盐酸</w:t>
            </w:r>
          </w:p>
        </w:tc>
        <w:tc>
          <w:tcPr>
            <w:tcW w:w="1215" w:type="dxa"/>
            <w:gridSpan w:val="2"/>
            <w:shd w:val="clear" w:color="auto" w:fill="auto"/>
            <w:vAlign w:val="center"/>
          </w:tcPr>
          <w:p w14:paraId="0451028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snapToGrid w:val="0"/>
                <w:color w:val="auto"/>
                <w:spacing w:val="1"/>
                <w:sz w:val="20"/>
                <w:szCs w:val="20"/>
                <w:lang w:val="en-US" w:eastAsia="zh-CN" w:bidi="ar-SA"/>
              </w:rPr>
            </w:pPr>
            <w:r>
              <w:rPr>
                <w:rFonts w:hint="eastAsia" w:ascii="Times New Roman" w:hAnsi="Times New Roman" w:cs="Times New Roman"/>
                <w:color w:val="auto"/>
                <w:spacing w:val="1"/>
                <w:lang w:val="en-US" w:eastAsia="zh-CN"/>
              </w:rPr>
              <w:t>硝酸</w:t>
            </w:r>
          </w:p>
        </w:tc>
        <w:tc>
          <w:tcPr>
            <w:tcW w:w="706" w:type="dxa"/>
            <w:shd w:val="clear" w:color="auto" w:fill="auto"/>
            <w:vAlign w:val="center"/>
          </w:tcPr>
          <w:p w14:paraId="32DA7B1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snapToGrid w:val="0"/>
                <w:color w:val="auto"/>
                <w:spacing w:val="1"/>
                <w:sz w:val="20"/>
                <w:szCs w:val="20"/>
                <w:lang w:val="en-US" w:eastAsia="zh-CN" w:bidi="ar-SA"/>
              </w:rPr>
            </w:pPr>
            <w:r>
              <w:rPr>
                <w:rFonts w:hint="default" w:ascii="Times New Roman" w:hAnsi="Times New Roman" w:eastAsia="宋体" w:cs="Times New Roman"/>
                <w:color w:val="auto"/>
                <w:spacing w:val="1"/>
                <w:lang w:val="en-US" w:eastAsia="zh-CN"/>
              </w:rPr>
              <w:t>氯化镍</w:t>
            </w:r>
          </w:p>
        </w:tc>
        <w:tc>
          <w:tcPr>
            <w:tcW w:w="1180" w:type="dxa"/>
            <w:gridSpan w:val="2"/>
            <w:shd w:val="clear" w:color="auto" w:fill="auto"/>
            <w:vAlign w:val="center"/>
          </w:tcPr>
          <w:p w14:paraId="02B1D65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snapToGrid w:val="0"/>
                <w:color w:val="auto"/>
                <w:spacing w:val="1"/>
                <w:sz w:val="20"/>
                <w:szCs w:val="20"/>
                <w:lang w:val="en-US" w:eastAsia="zh-CN" w:bidi="ar-SA"/>
              </w:rPr>
            </w:pPr>
            <w:r>
              <w:rPr>
                <w:rFonts w:hint="eastAsia" w:ascii="Times New Roman" w:hAnsi="Times New Roman" w:cs="Times New Roman"/>
                <w:color w:val="auto"/>
                <w:spacing w:val="1"/>
                <w:lang w:val="en-US" w:eastAsia="zh-CN"/>
              </w:rPr>
              <w:t>氰化钠</w:t>
            </w:r>
          </w:p>
        </w:tc>
        <w:tc>
          <w:tcPr>
            <w:tcW w:w="828" w:type="dxa"/>
            <w:gridSpan w:val="2"/>
            <w:shd w:val="clear" w:color="auto" w:fill="auto"/>
            <w:vAlign w:val="center"/>
          </w:tcPr>
          <w:p w14:paraId="7B79648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snapToGrid w:val="0"/>
                <w:color w:val="auto"/>
                <w:spacing w:val="1"/>
                <w:sz w:val="20"/>
                <w:szCs w:val="20"/>
                <w:lang w:val="en-US" w:eastAsia="zh-CN" w:bidi="ar-SA"/>
              </w:rPr>
            </w:pPr>
            <w:r>
              <w:rPr>
                <w:rFonts w:hint="eastAsia" w:ascii="Times New Roman" w:hAnsi="Times New Roman" w:cs="Times New Roman"/>
                <w:color w:val="auto"/>
                <w:spacing w:val="5"/>
                <w:lang w:val="en-US" w:eastAsia="zh-CN"/>
              </w:rPr>
              <w:t>镍及其化合物</w:t>
            </w:r>
          </w:p>
        </w:tc>
        <w:tc>
          <w:tcPr>
            <w:tcW w:w="1224" w:type="dxa"/>
            <w:vAlign w:val="center"/>
          </w:tcPr>
          <w:p w14:paraId="7B13935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氰化</w:t>
            </w:r>
            <w:r>
              <w:rPr>
                <w:rFonts w:hint="eastAsia" w:ascii="Times New Roman" w:hAnsi="Times New Roman" w:cs="Times New Roman"/>
                <w:color w:val="auto"/>
                <w:spacing w:val="1"/>
                <w:lang w:val="en-US" w:eastAsia="zh-CN"/>
              </w:rPr>
              <w:t>银钾</w:t>
            </w:r>
          </w:p>
        </w:tc>
      </w:tr>
      <w:tr w14:paraId="10B3D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textDirection w:val="tbRlV"/>
            <w:vAlign w:val="center"/>
          </w:tcPr>
          <w:p w14:paraId="76549B1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58" w:type="dxa"/>
            <w:vMerge w:val="continue"/>
            <w:vAlign w:val="center"/>
          </w:tcPr>
          <w:p w14:paraId="26CDF5D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Align w:val="center"/>
          </w:tcPr>
          <w:p w14:paraId="465C9C4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存在总量/t</w:t>
            </w:r>
          </w:p>
        </w:tc>
        <w:tc>
          <w:tcPr>
            <w:tcW w:w="883" w:type="dxa"/>
            <w:vAlign w:val="center"/>
          </w:tcPr>
          <w:p w14:paraId="69E36C7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eastAsia="宋体" w:cs="Times New Roman"/>
                <w:color w:val="auto"/>
                <w:spacing w:val="-8"/>
                <w:sz w:val="20"/>
                <w:szCs w:val="20"/>
                <w:lang w:val="en-US" w:eastAsia="zh-CN"/>
              </w:rPr>
              <w:t>2.085</w:t>
            </w:r>
          </w:p>
        </w:tc>
        <w:tc>
          <w:tcPr>
            <w:tcW w:w="1215" w:type="dxa"/>
            <w:gridSpan w:val="2"/>
            <w:shd w:val="clear" w:color="auto" w:fill="auto"/>
            <w:vAlign w:val="center"/>
          </w:tcPr>
          <w:p w14:paraId="54C3E41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snapToGrid w:val="0"/>
                <w:color w:val="auto"/>
                <w:spacing w:val="1"/>
                <w:sz w:val="20"/>
                <w:szCs w:val="20"/>
                <w:lang w:val="en-US" w:eastAsia="zh-CN" w:bidi="ar-SA"/>
              </w:rPr>
            </w:pPr>
            <w:r>
              <w:rPr>
                <w:rFonts w:hint="eastAsia" w:ascii="Times New Roman" w:hAnsi="Times New Roman" w:cs="Times New Roman"/>
                <w:color w:val="auto"/>
                <w:spacing w:val="1"/>
                <w:lang w:val="en-US" w:eastAsia="zh-CN"/>
              </w:rPr>
              <w:t>0.138</w:t>
            </w:r>
          </w:p>
        </w:tc>
        <w:tc>
          <w:tcPr>
            <w:tcW w:w="706" w:type="dxa"/>
            <w:shd w:val="clear" w:color="auto" w:fill="auto"/>
            <w:vAlign w:val="center"/>
          </w:tcPr>
          <w:p w14:paraId="7A11692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snapToGrid w:val="0"/>
                <w:color w:val="auto"/>
                <w:spacing w:val="1"/>
                <w:sz w:val="20"/>
                <w:szCs w:val="20"/>
                <w:lang w:val="en-US" w:eastAsia="zh-CN" w:bidi="ar-SA"/>
              </w:rPr>
            </w:pPr>
            <w:r>
              <w:rPr>
                <w:rFonts w:hint="eastAsia" w:ascii="Times New Roman" w:hAnsi="Times New Roman" w:cs="Times New Roman"/>
                <w:color w:val="auto"/>
                <w:spacing w:val="1"/>
                <w:lang w:val="en-US" w:eastAsia="zh-CN"/>
              </w:rPr>
              <w:t>0.4</w:t>
            </w:r>
          </w:p>
        </w:tc>
        <w:tc>
          <w:tcPr>
            <w:tcW w:w="1180" w:type="dxa"/>
            <w:gridSpan w:val="2"/>
            <w:shd w:val="clear" w:color="auto" w:fill="auto"/>
            <w:vAlign w:val="center"/>
          </w:tcPr>
          <w:p w14:paraId="08FB8BC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snapToGrid w:val="0"/>
                <w:color w:val="auto"/>
                <w:spacing w:val="1"/>
                <w:sz w:val="20"/>
                <w:szCs w:val="20"/>
                <w:lang w:val="en-US" w:eastAsia="zh-CN" w:bidi="ar-SA"/>
              </w:rPr>
            </w:pPr>
            <w:r>
              <w:rPr>
                <w:rFonts w:hint="eastAsia" w:ascii="Times New Roman" w:hAnsi="Times New Roman" w:cs="Times New Roman"/>
                <w:color w:val="auto"/>
                <w:spacing w:val="1"/>
                <w:lang w:val="en-US" w:eastAsia="zh-CN"/>
              </w:rPr>
              <w:t>1.008</w:t>
            </w:r>
          </w:p>
        </w:tc>
        <w:tc>
          <w:tcPr>
            <w:tcW w:w="828" w:type="dxa"/>
            <w:gridSpan w:val="2"/>
            <w:shd w:val="clear" w:color="auto" w:fill="auto"/>
            <w:vAlign w:val="center"/>
          </w:tcPr>
          <w:p w14:paraId="352E3B5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snapToGrid w:val="0"/>
                <w:color w:val="auto"/>
                <w:spacing w:val="1"/>
                <w:sz w:val="20"/>
                <w:szCs w:val="20"/>
                <w:lang w:val="en-US" w:eastAsia="zh-CN" w:bidi="ar-SA"/>
              </w:rPr>
            </w:pPr>
            <w:r>
              <w:rPr>
                <w:rFonts w:hint="eastAsia" w:ascii="Times New Roman" w:hAnsi="Times New Roman" w:cs="Times New Roman"/>
                <w:color w:val="auto"/>
                <w:spacing w:val="1"/>
                <w:lang w:val="en-US" w:eastAsia="zh-CN"/>
              </w:rPr>
              <w:t>0.4608</w:t>
            </w:r>
          </w:p>
        </w:tc>
        <w:tc>
          <w:tcPr>
            <w:tcW w:w="1224" w:type="dxa"/>
            <w:vAlign w:val="center"/>
          </w:tcPr>
          <w:p w14:paraId="49A66D1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cs="Times New Roman"/>
                <w:color w:val="auto"/>
                <w:spacing w:val="1"/>
                <w:lang w:val="en-US" w:eastAsia="zh-CN"/>
              </w:rPr>
              <w:t>0.0128</w:t>
            </w:r>
          </w:p>
        </w:tc>
      </w:tr>
      <w:tr w14:paraId="4BDF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vAlign w:val="center"/>
          </w:tcPr>
          <w:p w14:paraId="0EF4144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58" w:type="dxa"/>
            <w:vMerge w:val="continue"/>
            <w:vAlign w:val="center"/>
          </w:tcPr>
          <w:p w14:paraId="44BAF1F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Align w:val="center"/>
          </w:tcPr>
          <w:p w14:paraId="26B1FA8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名称</w:t>
            </w:r>
          </w:p>
        </w:tc>
        <w:tc>
          <w:tcPr>
            <w:tcW w:w="884" w:type="dxa"/>
            <w:gridSpan w:val="2"/>
            <w:vAlign w:val="center"/>
          </w:tcPr>
          <w:p w14:paraId="14E5A68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cs="Times New Roman" w:eastAsiaTheme="minorEastAsia"/>
                <w:color w:val="auto"/>
                <w:sz w:val="21"/>
                <w:szCs w:val="21"/>
                <w:highlight w:val="none"/>
                <w:lang w:val="en-US" w:eastAsia="zh-CN"/>
              </w:rPr>
              <w:t>铬酸酐</w:t>
            </w:r>
          </w:p>
        </w:tc>
        <w:tc>
          <w:tcPr>
            <w:tcW w:w="1214" w:type="dxa"/>
            <w:vAlign w:val="center"/>
          </w:tcPr>
          <w:p w14:paraId="493332F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lang w:eastAsia="zh-CN"/>
              </w:rPr>
              <w:t>氨基磺酸镍</w:t>
            </w:r>
          </w:p>
        </w:tc>
        <w:tc>
          <w:tcPr>
            <w:tcW w:w="706" w:type="dxa"/>
            <w:vAlign w:val="center"/>
          </w:tcPr>
          <w:p w14:paraId="4C36C2A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eastAsia="宋体" w:cs="Times New Roman"/>
                <w:color w:val="auto"/>
                <w:lang w:val="en-US" w:eastAsia="zh-CN"/>
              </w:rPr>
              <w:t>氯化铬</w:t>
            </w:r>
          </w:p>
        </w:tc>
        <w:tc>
          <w:tcPr>
            <w:tcW w:w="1180" w:type="dxa"/>
            <w:gridSpan w:val="2"/>
            <w:vAlign w:val="center"/>
          </w:tcPr>
          <w:p w14:paraId="6BD5B4B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eastAsia="宋体" w:cs="Times New Roman"/>
                <w:color w:val="auto"/>
                <w:lang w:val="en-US" w:eastAsia="zh-CN"/>
              </w:rPr>
              <w:t>光亮剂、柔软剂、甲基磺酸</w:t>
            </w:r>
          </w:p>
        </w:tc>
        <w:tc>
          <w:tcPr>
            <w:tcW w:w="818" w:type="dxa"/>
            <w:vAlign w:val="center"/>
          </w:tcPr>
          <w:p w14:paraId="0C4036F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color w:val="auto"/>
                <w:spacing w:val="1"/>
                <w:lang w:val="en-US" w:eastAsia="zh-CN"/>
              </w:rPr>
            </w:pPr>
            <w:r>
              <w:rPr>
                <w:rFonts w:hint="default" w:ascii="Times New Roman" w:hAnsi="Times New Roman" w:cs="Times New Roman"/>
                <w:color w:val="auto"/>
                <w:sz w:val="21"/>
                <w:szCs w:val="21"/>
                <w:highlight w:val="none"/>
                <w:lang w:val="en-US" w:eastAsia="zh-CN"/>
              </w:rPr>
              <w:t>蓝锌水</w:t>
            </w:r>
          </w:p>
        </w:tc>
        <w:tc>
          <w:tcPr>
            <w:tcW w:w="1234" w:type="dxa"/>
            <w:gridSpan w:val="2"/>
            <w:vAlign w:val="center"/>
          </w:tcPr>
          <w:p w14:paraId="168A1F4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pacing w:val="1"/>
                <w:lang w:val="en-US" w:eastAsia="zh-CN"/>
              </w:rPr>
            </w:pPr>
          </w:p>
        </w:tc>
      </w:tr>
      <w:tr w14:paraId="1029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vAlign w:val="center"/>
          </w:tcPr>
          <w:p w14:paraId="4CA663C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p>
        </w:tc>
        <w:tc>
          <w:tcPr>
            <w:tcW w:w="1058" w:type="dxa"/>
            <w:vMerge w:val="continue"/>
            <w:vAlign w:val="center"/>
          </w:tcPr>
          <w:p w14:paraId="264DBEA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p>
        </w:tc>
        <w:tc>
          <w:tcPr>
            <w:tcW w:w="1026" w:type="dxa"/>
            <w:vAlign w:val="center"/>
          </w:tcPr>
          <w:p w14:paraId="0F98CB5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pacing w:val="1"/>
                <w:lang w:val="en-US" w:eastAsia="zh-CN"/>
              </w:rPr>
            </w:pPr>
            <w:r>
              <w:rPr>
                <w:rFonts w:hint="default" w:ascii="Times New Roman" w:hAnsi="Times New Roman" w:eastAsia="宋体" w:cs="Times New Roman"/>
                <w:color w:val="auto"/>
                <w:spacing w:val="1"/>
                <w:lang w:val="en-US" w:eastAsia="zh-CN"/>
              </w:rPr>
              <w:t>存在总量/t</w:t>
            </w:r>
          </w:p>
        </w:tc>
        <w:tc>
          <w:tcPr>
            <w:tcW w:w="884" w:type="dxa"/>
            <w:gridSpan w:val="2"/>
            <w:vAlign w:val="center"/>
          </w:tcPr>
          <w:p w14:paraId="73BD8FE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cs="Times New Roman"/>
                <w:color w:val="auto"/>
                <w:spacing w:val="1"/>
                <w:lang w:val="en-US" w:eastAsia="zh-CN"/>
              </w:rPr>
              <w:t>0.03</w:t>
            </w:r>
          </w:p>
        </w:tc>
        <w:tc>
          <w:tcPr>
            <w:tcW w:w="1214" w:type="dxa"/>
            <w:vAlign w:val="center"/>
          </w:tcPr>
          <w:p w14:paraId="4A47C10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cs="Times New Roman"/>
                <w:color w:val="auto"/>
                <w:spacing w:val="1"/>
                <w:lang w:val="en-US" w:eastAsia="zh-CN"/>
              </w:rPr>
              <w:t>0.2</w:t>
            </w:r>
          </w:p>
        </w:tc>
        <w:tc>
          <w:tcPr>
            <w:tcW w:w="706" w:type="dxa"/>
            <w:vAlign w:val="center"/>
          </w:tcPr>
          <w:p w14:paraId="3DC51777">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cs="Times New Roman"/>
                <w:color w:val="auto"/>
                <w:spacing w:val="1"/>
                <w:lang w:val="en-US" w:eastAsia="zh-CN"/>
              </w:rPr>
              <w:t>0.04</w:t>
            </w:r>
          </w:p>
        </w:tc>
        <w:tc>
          <w:tcPr>
            <w:tcW w:w="1180" w:type="dxa"/>
            <w:gridSpan w:val="2"/>
            <w:vAlign w:val="center"/>
          </w:tcPr>
          <w:p w14:paraId="4D21F59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cs="Times New Roman"/>
                <w:color w:val="auto"/>
                <w:spacing w:val="1"/>
                <w:lang w:val="en-US" w:eastAsia="zh-CN"/>
              </w:rPr>
              <w:t>0.13</w:t>
            </w:r>
          </w:p>
        </w:tc>
        <w:tc>
          <w:tcPr>
            <w:tcW w:w="818" w:type="dxa"/>
            <w:vAlign w:val="center"/>
          </w:tcPr>
          <w:p w14:paraId="2AD8698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ascii="Times New Roman" w:hAnsi="Times New Roman" w:eastAsia="宋体" w:cs="Times New Roman"/>
                <w:color w:val="auto"/>
                <w:spacing w:val="1"/>
                <w:lang w:val="en-US" w:eastAsia="zh-CN"/>
              </w:rPr>
            </w:pPr>
            <w:r>
              <w:rPr>
                <w:rFonts w:hint="eastAsia" w:ascii="Times New Roman" w:hAnsi="Times New Roman" w:cs="Times New Roman"/>
                <w:color w:val="auto"/>
                <w:spacing w:val="1"/>
                <w:lang w:val="en-US" w:eastAsia="zh-CN"/>
              </w:rPr>
              <w:t>0.5</w:t>
            </w:r>
          </w:p>
        </w:tc>
        <w:tc>
          <w:tcPr>
            <w:tcW w:w="1234" w:type="dxa"/>
            <w:gridSpan w:val="2"/>
            <w:vAlign w:val="center"/>
          </w:tcPr>
          <w:p w14:paraId="4B54D2D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pacing w:val="1"/>
                <w:lang w:val="en-US" w:eastAsia="zh-CN"/>
              </w:rPr>
            </w:pPr>
          </w:p>
        </w:tc>
      </w:tr>
      <w:tr w14:paraId="4287E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vAlign w:val="center"/>
          </w:tcPr>
          <w:p w14:paraId="2D48993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58" w:type="dxa"/>
            <w:vMerge w:val="restart"/>
            <w:vAlign w:val="center"/>
          </w:tcPr>
          <w:p w14:paraId="582A52F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环境敏</w:t>
            </w:r>
            <w:r>
              <w:rPr>
                <w:rFonts w:hint="default" w:ascii="Times New Roman" w:hAnsi="Times New Roman" w:eastAsia="宋体" w:cs="Times New Roman"/>
                <w:color w:val="auto"/>
                <w:spacing w:val="4"/>
              </w:rPr>
              <w:t>感性</w:t>
            </w:r>
          </w:p>
        </w:tc>
        <w:tc>
          <w:tcPr>
            <w:tcW w:w="1026" w:type="dxa"/>
            <w:vMerge w:val="restart"/>
            <w:vAlign w:val="center"/>
          </w:tcPr>
          <w:p w14:paraId="6ABEE2D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3"/>
              </w:rPr>
              <w:t>大气</w:t>
            </w:r>
          </w:p>
        </w:tc>
        <w:tc>
          <w:tcPr>
            <w:tcW w:w="2804" w:type="dxa"/>
            <w:gridSpan w:val="4"/>
            <w:vAlign w:val="center"/>
          </w:tcPr>
          <w:p w14:paraId="38123D8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5"/>
              </w:rPr>
              <w:t>500m范围内人口数0人</w:t>
            </w:r>
          </w:p>
        </w:tc>
        <w:tc>
          <w:tcPr>
            <w:tcW w:w="3232" w:type="dxa"/>
            <w:gridSpan w:val="5"/>
            <w:vAlign w:val="center"/>
          </w:tcPr>
          <w:p w14:paraId="2ECE7C6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5</w:t>
            </w:r>
            <w:r>
              <w:rPr>
                <w:rFonts w:hint="default" w:ascii="Times New Roman" w:hAnsi="Times New Roman" w:eastAsia="宋体" w:cs="Times New Roman"/>
                <w:color w:val="auto"/>
              </w:rPr>
              <w:t>km</w:t>
            </w:r>
            <w:r>
              <w:rPr>
                <w:rFonts w:hint="default" w:ascii="Times New Roman" w:hAnsi="Times New Roman" w:eastAsia="宋体" w:cs="Times New Roman"/>
                <w:color w:val="auto"/>
                <w:spacing w:val="6"/>
              </w:rPr>
              <w:t>范围内人口数</w:t>
            </w:r>
            <w:r>
              <w:rPr>
                <w:rFonts w:hint="default" w:ascii="Times New Roman" w:hAnsi="Times New Roman" w:eastAsia="宋体" w:cs="Times New Roman"/>
                <w:color w:val="auto"/>
                <w:spacing w:val="6"/>
                <w:lang w:val="en-US" w:eastAsia="zh-CN"/>
              </w:rPr>
              <w:t>49799</w:t>
            </w:r>
            <w:r>
              <w:rPr>
                <w:rFonts w:hint="default" w:ascii="Times New Roman" w:hAnsi="Times New Roman" w:eastAsia="宋体" w:cs="Times New Roman"/>
                <w:color w:val="auto"/>
                <w:spacing w:val="6"/>
              </w:rPr>
              <w:t>人</w:t>
            </w:r>
          </w:p>
        </w:tc>
      </w:tr>
      <w:tr w14:paraId="2CCD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vAlign w:val="center"/>
          </w:tcPr>
          <w:p w14:paraId="72A9FBA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58" w:type="dxa"/>
            <w:vMerge w:val="continue"/>
            <w:vAlign w:val="center"/>
          </w:tcPr>
          <w:p w14:paraId="7E27157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Merge w:val="continue"/>
            <w:vAlign w:val="center"/>
          </w:tcPr>
          <w:p w14:paraId="3C6F8F9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4802" w:type="dxa"/>
            <w:gridSpan w:val="7"/>
            <w:vAlign w:val="center"/>
          </w:tcPr>
          <w:p w14:paraId="1EE5269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7"/>
                <w:lang w:eastAsia="zh-CN"/>
              </w:rPr>
              <w:t>每公里管段周边200m范围内人口数（最大）</w:t>
            </w:r>
          </w:p>
        </w:tc>
        <w:tc>
          <w:tcPr>
            <w:tcW w:w="1234" w:type="dxa"/>
            <w:gridSpan w:val="2"/>
            <w:vAlign w:val="center"/>
          </w:tcPr>
          <w:p w14:paraId="5807582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rPr>
              <w:t>人</w:t>
            </w:r>
          </w:p>
        </w:tc>
      </w:tr>
      <w:tr w14:paraId="76293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vAlign w:val="center"/>
          </w:tcPr>
          <w:p w14:paraId="73C1A48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58" w:type="dxa"/>
            <w:vMerge w:val="continue"/>
            <w:vAlign w:val="center"/>
          </w:tcPr>
          <w:p w14:paraId="66D0C5B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Merge w:val="restart"/>
            <w:vAlign w:val="center"/>
          </w:tcPr>
          <w:p w14:paraId="723D3FF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地表水</w:t>
            </w:r>
          </w:p>
        </w:tc>
        <w:tc>
          <w:tcPr>
            <w:tcW w:w="2098" w:type="dxa"/>
            <w:gridSpan w:val="3"/>
            <w:vAlign w:val="center"/>
          </w:tcPr>
          <w:p w14:paraId="32CBBBB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8"/>
              </w:rPr>
              <w:t>地表水功能敏感性</w:t>
            </w:r>
          </w:p>
        </w:tc>
        <w:tc>
          <w:tcPr>
            <w:tcW w:w="1212" w:type="dxa"/>
            <w:gridSpan w:val="2"/>
            <w:vAlign w:val="center"/>
          </w:tcPr>
          <w:p w14:paraId="4CEC9B4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F1□</w:t>
            </w:r>
          </w:p>
        </w:tc>
        <w:tc>
          <w:tcPr>
            <w:tcW w:w="1492" w:type="dxa"/>
            <w:gridSpan w:val="2"/>
            <w:vAlign w:val="center"/>
          </w:tcPr>
          <w:p w14:paraId="2C0D665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pacing w:val="1"/>
                <w:sz w:val="20"/>
                <w:szCs w:val="20"/>
              </w:rPr>
              <w:t>F2</w:t>
            </w:r>
            <w:r>
              <w:rPr>
                <w:rFonts w:hint="default" w:ascii="Times New Roman" w:hAnsi="Times New Roman" w:eastAsia="宋体" w:cs="Times New Roman"/>
                <w:color w:val="auto"/>
                <w:spacing w:val="17"/>
                <w:sz w:val="20"/>
                <w:szCs w:val="20"/>
                <w:lang w:eastAsia="zh-CN"/>
              </w:rPr>
              <w:t>☑</w:t>
            </w:r>
          </w:p>
        </w:tc>
        <w:tc>
          <w:tcPr>
            <w:tcW w:w="1234" w:type="dxa"/>
            <w:gridSpan w:val="2"/>
            <w:vAlign w:val="center"/>
          </w:tcPr>
          <w:p w14:paraId="191C850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F3□</w:t>
            </w:r>
          </w:p>
        </w:tc>
      </w:tr>
      <w:tr w14:paraId="4F517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vAlign w:val="center"/>
          </w:tcPr>
          <w:p w14:paraId="25EF25F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58" w:type="dxa"/>
            <w:vMerge w:val="continue"/>
            <w:vAlign w:val="center"/>
          </w:tcPr>
          <w:p w14:paraId="6291325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Merge w:val="continue"/>
            <w:vAlign w:val="center"/>
          </w:tcPr>
          <w:p w14:paraId="77457F8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2098" w:type="dxa"/>
            <w:gridSpan w:val="3"/>
            <w:vAlign w:val="center"/>
          </w:tcPr>
          <w:p w14:paraId="403B7B1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8"/>
              </w:rPr>
              <w:t>环境敏感目标分级</w:t>
            </w:r>
          </w:p>
        </w:tc>
        <w:tc>
          <w:tcPr>
            <w:tcW w:w="1212" w:type="dxa"/>
            <w:gridSpan w:val="2"/>
            <w:vAlign w:val="center"/>
          </w:tcPr>
          <w:p w14:paraId="44EF3CF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7"/>
                <w:sz w:val="20"/>
                <w:szCs w:val="20"/>
              </w:rPr>
              <w:t>S1□</w:t>
            </w:r>
          </w:p>
        </w:tc>
        <w:tc>
          <w:tcPr>
            <w:tcW w:w="1492" w:type="dxa"/>
            <w:gridSpan w:val="2"/>
            <w:vAlign w:val="center"/>
          </w:tcPr>
          <w:p w14:paraId="2901938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7"/>
                <w:sz w:val="20"/>
                <w:szCs w:val="20"/>
              </w:rPr>
              <w:t>S2□</w:t>
            </w:r>
          </w:p>
        </w:tc>
        <w:tc>
          <w:tcPr>
            <w:tcW w:w="1234" w:type="dxa"/>
            <w:gridSpan w:val="2"/>
            <w:vAlign w:val="center"/>
          </w:tcPr>
          <w:p w14:paraId="3C84D7A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
                <w:sz w:val="20"/>
                <w:szCs w:val="20"/>
              </w:rPr>
              <w:t>S3</w:t>
            </w:r>
            <w:r>
              <w:rPr>
                <w:rFonts w:hint="default" w:ascii="Times New Roman" w:hAnsi="Times New Roman" w:eastAsia="宋体" w:cs="Times New Roman"/>
                <w:color w:val="auto"/>
                <w:spacing w:val="17"/>
                <w:sz w:val="20"/>
                <w:szCs w:val="20"/>
                <w:lang w:eastAsia="zh-CN"/>
              </w:rPr>
              <w:t>☑</w:t>
            </w:r>
          </w:p>
        </w:tc>
      </w:tr>
      <w:tr w14:paraId="01093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vAlign w:val="center"/>
          </w:tcPr>
          <w:p w14:paraId="03CBFAF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58" w:type="dxa"/>
            <w:vMerge w:val="continue"/>
            <w:vAlign w:val="center"/>
          </w:tcPr>
          <w:p w14:paraId="43687A8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Merge w:val="restart"/>
            <w:vAlign w:val="center"/>
          </w:tcPr>
          <w:p w14:paraId="1A32475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地下水</w:t>
            </w:r>
          </w:p>
        </w:tc>
        <w:tc>
          <w:tcPr>
            <w:tcW w:w="2098" w:type="dxa"/>
            <w:gridSpan w:val="3"/>
            <w:vAlign w:val="center"/>
          </w:tcPr>
          <w:p w14:paraId="15E8BA5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8"/>
              </w:rPr>
              <w:t>地下水功能敏感性</w:t>
            </w:r>
          </w:p>
        </w:tc>
        <w:tc>
          <w:tcPr>
            <w:tcW w:w="1212" w:type="dxa"/>
            <w:gridSpan w:val="2"/>
            <w:vAlign w:val="center"/>
          </w:tcPr>
          <w:p w14:paraId="1C406EC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9"/>
                <w:sz w:val="20"/>
                <w:szCs w:val="20"/>
              </w:rPr>
              <w:t>G1□</w:t>
            </w:r>
          </w:p>
        </w:tc>
        <w:tc>
          <w:tcPr>
            <w:tcW w:w="1492" w:type="dxa"/>
            <w:gridSpan w:val="2"/>
            <w:vAlign w:val="center"/>
          </w:tcPr>
          <w:p w14:paraId="6EE56D8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G2□</w:t>
            </w:r>
          </w:p>
        </w:tc>
        <w:tc>
          <w:tcPr>
            <w:tcW w:w="1234" w:type="dxa"/>
            <w:gridSpan w:val="2"/>
            <w:vAlign w:val="center"/>
          </w:tcPr>
          <w:p w14:paraId="72A6B8B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
                <w:sz w:val="20"/>
                <w:szCs w:val="20"/>
              </w:rPr>
              <w:t>G3</w:t>
            </w:r>
            <w:r>
              <w:rPr>
                <w:rFonts w:hint="default" w:ascii="Times New Roman" w:hAnsi="Times New Roman" w:eastAsia="宋体" w:cs="Times New Roman"/>
                <w:color w:val="auto"/>
                <w:spacing w:val="17"/>
                <w:sz w:val="20"/>
                <w:szCs w:val="20"/>
                <w:lang w:eastAsia="zh-CN"/>
              </w:rPr>
              <w:t>☑</w:t>
            </w:r>
          </w:p>
        </w:tc>
      </w:tr>
      <w:tr w14:paraId="44AF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vAlign w:val="center"/>
          </w:tcPr>
          <w:p w14:paraId="5883630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58" w:type="dxa"/>
            <w:vMerge w:val="continue"/>
            <w:vAlign w:val="center"/>
          </w:tcPr>
          <w:p w14:paraId="437A635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Merge w:val="continue"/>
            <w:vAlign w:val="center"/>
          </w:tcPr>
          <w:p w14:paraId="4941486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2098" w:type="dxa"/>
            <w:gridSpan w:val="3"/>
            <w:vAlign w:val="center"/>
          </w:tcPr>
          <w:p w14:paraId="6883B52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8"/>
              </w:rPr>
              <w:t>包气带防污性能</w:t>
            </w:r>
          </w:p>
        </w:tc>
        <w:tc>
          <w:tcPr>
            <w:tcW w:w="1212" w:type="dxa"/>
            <w:gridSpan w:val="2"/>
            <w:vAlign w:val="center"/>
          </w:tcPr>
          <w:p w14:paraId="1FC90D7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D1□</w:t>
            </w:r>
          </w:p>
        </w:tc>
        <w:tc>
          <w:tcPr>
            <w:tcW w:w="1492" w:type="dxa"/>
            <w:gridSpan w:val="2"/>
            <w:vAlign w:val="center"/>
          </w:tcPr>
          <w:p w14:paraId="7F16F4A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
                <w:sz w:val="20"/>
                <w:szCs w:val="20"/>
              </w:rPr>
              <w:t>D2</w:t>
            </w:r>
            <w:r>
              <w:rPr>
                <w:rFonts w:hint="default" w:ascii="Times New Roman" w:hAnsi="Times New Roman" w:eastAsia="宋体" w:cs="Times New Roman"/>
                <w:color w:val="auto"/>
                <w:spacing w:val="17"/>
                <w:sz w:val="20"/>
                <w:szCs w:val="20"/>
                <w:lang w:eastAsia="zh-CN"/>
              </w:rPr>
              <w:t>☑</w:t>
            </w:r>
          </w:p>
        </w:tc>
        <w:tc>
          <w:tcPr>
            <w:tcW w:w="1234" w:type="dxa"/>
            <w:gridSpan w:val="2"/>
            <w:vAlign w:val="center"/>
          </w:tcPr>
          <w:p w14:paraId="2EB3D99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1"/>
                <w:sz w:val="20"/>
                <w:szCs w:val="20"/>
              </w:rPr>
              <w:t>D3□</w:t>
            </w:r>
          </w:p>
        </w:tc>
      </w:tr>
      <w:tr w14:paraId="78D89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Merge w:val="restart"/>
            <w:vAlign w:val="center"/>
          </w:tcPr>
          <w:p w14:paraId="5BBE728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7"/>
                <w:lang w:eastAsia="zh-CN"/>
              </w:rPr>
              <w:t>物质及工</w:t>
            </w:r>
            <w:r>
              <w:rPr>
                <w:rFonts w:hint="default" w:ascii="Times New Roman" w:hAnsi="Times New Roman" w:eastAsia="宋体" w:cs="Times New Roman"/>
                <w:color w:val="auto"/>
                <w:spacing w:val="6"/>
                <w:lang w:eastAsia="zh-CN"/>
              </w:rPr>
              <w:t>艺系统危</w:t>
            </w:r>
            <w:r>
              <w:rPr>
                <w:rFonts w:hint="default" w:ascii="Times New Roman" w:hAnsi="Times New Roman" w:eastAsia="宋体" w:cs="Times New Roman"/>
                <w:color w:val="auto"/>
                <w:spacing w:val="-1"/>
                <w:lang w:eastAsia="zh-CN"/>
              </w:rPr>
              <w:t>险性</w:t>
            </w:r>
          </w:p>
        </w:tc>
        <w:tc>
          <w:tcPr>
            <w:tcW w:w="1026" w:type="dxa"/>
            <w:vAlign w:val="center"/>
          </w:tcPr>
          <w:p w14:paraId="343DA28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1"/>
              </w:rPr>
              <w:t>Q值</w:t>
            </w:r>
          </w:p>
        </w:tc>
        <w:tc>
          <w:tcPr>
            <w:tcW w:w="2098" w:type="dxa"/>
            <w:gridSpan w:val="3"/>
            <w:vAlign w:val="center"/>
          </w:tcPr>
          <w:p w14:paraId="3B8FFE7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17"/>
              </w:rPr>
              <w:t>Q＜1□</w:t>
            </w:r>
          </w:p>
        </w:tc>
        <w:tc>
          <w:tcPr>
            <w:tcW w:w="1212" w:type="dxa"/>
            <w:gridSpan w:val="2"/>
            <w:vAlign w:val="center"/>
          </w:tcPr>
          <w:p w14:paraId="1E20E4C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9"/>
              </w:rPr>
              <w:t>1≤Q＜10□</w:t>
            </w:r>
          </w:p>
        </w:tc>
        <w:tc>
          <w:tcPr>
            <w:tcW w:w="1492" w:type="dxa"/>
            <w:gridSpan w:val="2"/>
            <w:vAlign w:val="center"/>
          </w:tcPr>
          <w:p w14:paraId="6EF59B2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2"/>
              </w:rPr>
              <w:t>10≤Q＜100</w:t>
            </w:r>
            <w:r>
              <w:rPr>
                <w:rFonts w:hint="default" w:ascii="Times New Roman" w:hAnsi="Times New Roman" w:eastAsia="宋体" w:cs="Times New Roman"/>
                <w:color w:val="auto"/>
                <w:spacing w:val="17"/>
                <w:sz w:val="20"/>
                <w:szCs w:val="20"/>
                <w:lang w:eastAsia="zh-CN"/>
              </w:rPr>
              <w:t>☑</w:t>
            </w:r>
          </w:p>
        </w:tc>
        <w:tc>
          <w:tcPr>
            <w:tcW w:w="1234" w:type="dxa"/>
            <w:gridSpan w:val="2"/>
            <w:vAlign w:val="center"/>
          </w:tcPr>
          <w:p w14:paraId="5F4F1B56">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13"/>
              </w:rPr>
              <w:t>Q＞100□</w:t>
            </w:r>
          </w:p>
        </w:tc>
      </w:tr>
      <w:tr w14:paraId="39D7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Merge w:val="continue"/>
            <w:vAlign w:val="center"/>
          </w:tcPr>
          <w:p w14:paraId="27B9455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Align w:val="center"/>
          </w:tcPr>
          <w:p w14:paraId="09A5B6B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2"/>
              </w:rPr>
              <w:t>M值</w:t>
            </w:r>
          </w:p>
        </w:tc>
        <w:tc>
          <w:tcPr>
            <w:tcW w:w="2098" w:type="dxa"/>
            <w:gridSpan w:val="3"/>
            <w:vAlign w:val="center"/>
          </w:tcPr>
          <w:p w14:paraId="355EF5A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1"/>
                <w:sz w:val="20"/>
                <w:szCs w:val="20"/>
              </w:rPr>
              <w:t>M1□</w:t>
            </w:r>
          </w:p>
        </w:tc>
        <w:tc>
          <w:tcPr>
            <w:tcW w:w="1212" w:type="dxa"/>
            <w:gridSpan w:val="2"/>
            <w:vAlign w:val="center"/>
          </w:tcPr>
          <w:p w14:paraId="1702CE7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2"/>
                <w:sz w:val="20"/>
                <w:szCs w:val="20"/>
                <w:lang w:val="en-US" w:eastAsia="zh-CN"/>
              </w:rPr>
              <w:t>M2</w:t>
            </w:r>
            <w:r>
              <w:rPr>
                <w:rFonts w:hint="default" w:ascii="Times New Roman" w:hAnsi="Times New Roman" w:eastAsia="宋体" w:cs="Times New Roman"/>
                <w:color w:val="auto"/>
                <w:spacing w:val="22"/>
                <w:sz w:val="20"/>
                <w:szCs w:val="20"/>
              </w:rPr>
              <w:t>□</w:t>
            </w:r>
          </w:p>
        </w:tc>
        <w:tc>
          <w:tcPr>
            <w:tcW w:w="1492" w:type="dxa"/>
            <w:gridSpan w:val="2"/>
            <w:vAlign w:val="center"/>
          </w:tcPr>
          <w:p w14:paraId="61B7EAB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1"/>
                <w:sz w:val="20"/>
                <w:szCs w:val="20"/>
                <w:lang w:val="en-US" w:eastAsia="zh-CN"/>
              </w:rPr>
              <w:t>M3</w:t>
            </w:r>
            <w:r>
              <w:rPr>
                <w:rFonts w:hint="default" w:ascii="Times New Roman" w:hAnsi="Times New Roman" w:eastAsia="宋体" w:cs="Times New Roman"/>
                <w:color w:val="auto"/>
                <w:spacing w:val="21"/>
                <w:sz w:val="20"/>
                <w:szCs w:val="20"/>
              </w:rPr>
              <w:t>□</w:t>
            </w:r>
          </w:p>
        </w:tc>
        <w:tc>
          <w:tcPr>
            <w:tcW w:w="1234" w:type="dxa"/>
            <w:gridSpan w:val="2"/>
            <w:vAlign w:val="center"/>
          </w:tcPr>
          <w:p w14:paraId="67B585B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
                <w:position w:val="2"/>
                <w:sz w:val="20"/>
                <w:szCs w:val="20"/>
              </w:rPr>
              <w:t>M4</w:t>
            </w:r>
            <w:r>
              <w:rPr>
                <w:rFonts w:hint="default" w:ascii="Times New Roman" w:hAnsi="Times New Roman" w:eastAsia="宋体" w:cs="Times New Roman"/>
                <w:color w:val="auto"/>
                <w:spacing w:val="17"/>
                <w:sz w:val="20"/>
                <w:szCs w:val="20"/>
                <w:lang w:eastAsia="zh-CN"/>
              </w:rPr>
              <w:t>☑</w:t>
            </w:r>
          </w:p>
        </w:tc>
      </w:tr>
      <w:tr w14:paraId="771DD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Merge w:val="continue"/>
            <w:vAlign w:val="center"/>
          </w:tcPr>
          <w:p w14:paraId="2014081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Align w:val="center"/>
          </w:tcPr>
          <w:p w14:paraId="3B87D01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1"/>
              </w:rPr>
              <w:t>P值</w:t>
            </w:r>
          </w:p>
        </w:tc>
        <w:tc>
          <w:tcPr>
            <w:tcW w:w="2098" w:type="dxa"/>
            <w:gridSpan w:val="3"/>
            <w:vAlign w:val="center"/>
          </w:tcPr>
          <w:p w14:paraId="644806B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1"/>
                <w:sz w:val="20"/>
                <w:szCs w:val="20"/>
              </w:rPr>
              <w:t>P1□</w:t>
            </w:r>
          </w:p>
        </w:tc>
        <w:tc>
          <w:tcPr>
            <w:tcW w:w="1212" w:type="dxa"/>
            <w:gridSpan w:val="2"/>
            <w:vAlign w:val="center"/>
          </w:tcPr>
          <w:p w14:paraId="3A36389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P2□</w:t>
            </w:r>
          </w:p>
        </w:tc>
        <w:tc>
          <w:tcPr>
            <w:tcW w:w="1492" w:type="dxa"/>
            <w:gridSpan w:val="2"/>
            <w:vAlign w:val="center"/>
          </w:tcPr>
          <w:p w14:paraId="4D26468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P3□</w:t>
            </w:r>
          </w:p>
        </w:tc>
        <w:tc>
          <w:tcPr>
            <w:tcW w:w="1234" w:type="dxa"/>
            <w:gridSpan w:val="2"/>
            <w:vAlign w:val="center"/>
          </w:tcPr>
          <w:p w14:paraId="506CC06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
                <w:sz w:val="20"/>
                <w:szCs w:val="20"/>
              </w:rPr>
              <w:t>P4</w:t>
            </w:r>
            <w:r>
              <w:rPr>
                <w:rFonts w:hint="default" w:ascii="Times New Roman" w:hAnsi="Times New Roman" w:eastAsia="宋体" w:cs="Times New Roman"/>
                <w:color w:val="auto"/>
                <w:spacing w:val="17"/>
                <w:sz w:val="20"/>
                <w:szCs w:val="20"/>
                <w:lang w:eastAsia="zh-CN"/>
              </w:rPr>
              <w:t>☑</w:t>
            </w:r>
          </w:p>
        </w:tc>
      </w:tr>
      <w:tr w14:paraId="58C1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Merge w:val="restart"/>
            <w:vAlign w:val="center"/>
          </w:tcPr>
          <w:p w14:paraId="5017C28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7"/>
              </w:rPr>
              <w:t>境敏感</w:t>
            </w:r>
            <w:r>
              <w:rPr>
                <w:rFonts w:hint="default" w:ascii="Times New Roman" w:hAnsi="Times New Roman" w:eastAsia="宋体" w:cs="Times New Roman"/>
                <w:color w:val="auto"/>
                <w:spacing w:val="5"/>
              </w:rPr>
              <w:t>程度</w:t>
            </w:r>
          </w:p>
        </w:tc>
        <w:tc>
          <w:tcPr>
            <w:tcW w:w="1026" w:type="dxa"/>
            <w:vAlign w:val="center"/>
          </w:tcPr>
          <w:p w14:paraId="3A8F90A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3"/>
              </w:rPr>
              <w:t>大气</w:t>
            </w:r>
          </w:p>
        </w:tc>
        <w:tc>
          <w:tcPr>
            <w:tcW w:w="2098" w:type="dxa"/>
            <w:gridSpan w:val="3"/>
            <w:vAlign w:val="center"/>
          </w:tcPr>
          <w:p w14:paraId="30AC88E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E1□</w:t>
            </w:r>
          </w:p>
        </w:tc>
        <w:tc>
          <w:tcPr>
            <w:tcW w:w="2704" w:type="dxa"/>
            <w:gridSpan w:val="4"/>
            <w:vAlign w:val="center"/>
          </w:tcPr>
          <w:p w14:paraId="660C7E3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
                <w:sz w:val="20"/>
                <w:szCs w:val="20"/>
              </w:rPr>
              <w:t>E2</w:t>
            </w:r>
            <w:r>
              <w:rPr>
                <w:rFonts w:hint="default" w:ascii="Times New Roman" w:hAnsi="Times New Roman" w:eastAsia="宋体" w:cs="Times New Roman"/>
                <w:color w:val="auto"/>
                <w:spacing w:val="17"/>
                <w:sz w:val="20"/>
                <w:szCs w:val="20"/>
                <w:lang w:eastAsia="zh-CN"/>
              </w:rPr>
              <w:t>☑</w:t>
            </w:r>
          </w:p>
        </w:tc>
        <w:tc>
          <w:tcPr>
            <w:tcW w:w="1234" w:type="dxa"/>
            <w:gridSpan w:val="2"/>
            <w:vAlign w:val="center"/>
          </w:tcPr>
          <w:p w14:paraId="08524F8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E3□</w:t>
            </w:r>
          </w:p>
        </w:tc>
      </w:tr>
      <w:tr w14:paraId="58EB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Merge w:val="continue"/>
            <w:vAlign w:val="center"/>
          </w:tcPr>
          <w:p w14:paraId="2203426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Align w:val="center"/>
          </w:tcPr>
          <w:p w14:paraId="7216AFA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地表水</w:t>
            </w:r>
          </w:p>
        </w:tc>
        <w:tc>
          <w:tcPr>
            <w:tcW w:w="2098" w:type="dxa"/>
            <w:gridSpan w:val="3"/>
            <w:vAlign w:val="center"/>
          </w:tcPr>
          <w:p w14:paraId="6B5D4B6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E1□</w:t>
            </w:r>
          </w:p>
        </w:tc>
        <w:tc>
          <w:tcPr>
            <w:tcW w:w="2704" w:type="dxa"/>
            <w:gridSpan w:val="4"/>
            <w:vAlign w:val="center"/>
          </w:tcPr>
          <w:p w14:paraId="7523391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
                <w:sz w:val="20"/>
                <w:szCs w:val="20"/>
              </w:rPr>
              <w:t>E2</w:t>
            </w:r>
            <w:r>
              <w:rPr>
                <w:rFonts w:hint="default" w:ascii="Times New Roman" w:hAnsi="Times New Roman" w:eastAsia="宋体" w:cs="Times New Roman"/>
                <w:color w:val="auto"/>
                <w:spacing w:val="17"/>
                <w:sz w:val="20"/>
                <w:szCs w:val="20"/>
                <w:lang w:eastAsia="zh-CN"/>
              </w:rPr>
              <w:t>☑</w:t>
            </w:r>
          </w:p>
        </w:tc>
        <w:tc>
          <w:tcPr>
            <w:tcW w:w="1234" w:type="dxa"/>
            <w:gridSpan w:val="2"/>
            <w:vAlign w:val="center"/>
          </w:tcPr>
          <w:p w14:paraId="6351EC8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E3□</w:t>
            </w:r>
          </w:p>
        </w:tc>
      </w:tr>
      <w:tr w14:paraId="7737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Merge w:val="continue"/>
            <w:vAlign w:val="center"/>
          </w:tcPr>
          <w:p w14:paraId="56801D2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Align w:val="center"/>
          </w:tcPr>
          <w:p w14:paraId="0BEC438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地下水</w:t>
            </w:r>
          </w:p>
        </w:tc>
        <w:tc>
          <w:tcPr>
            <w:tcW w:w="2098" w:type="dxa"/>
            <w:gridSpan w:val="3"/>
            <w:vAlign w:val="center"/>
          </w:tcPr>
          <w:p w14:paraId="01E684E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E1□</w:t>
            </w:r>
          </w:p>
        </w:tc>
        <w:tc>
          <w:tcPr>
            <w:tcW w:w="2704" w:type="dxa"/>
            <w:gridSpan w:val="4"/>
            <w:vAlign w:val="center"/>
          </w:tcPr>
          <w:p w14:paraId="03847D7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E2□</w:t>
            </w:r>
          </w:p>
        </w:tc>
        <w:tc>
          <w:tcPr>
            <w:tcW w:w="1234" w:type="dxa"/>
            <w:gridSpan w:val="2"/>
            <w:vAlign w:val="center"/>
          </w:tcPr>
          <w:p w14:paraId="0CCEDE6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
                <w:sz w:val="20"/>
                <w:szCs w:val="20"/>
              </w:rPr>
              <w:t>E3</w:t>
            </w:r>
            <w:r>
              <w:rPr>
                <w:rFonts w:hint="default" w:ascii="Times New Roman" w:hAnsi="Times New Roman" w:eastAsia="宋体" w:cs="Times New Roman"/>
                <w:color w:val="auto"/>
                <w:spacing w:val="17"/>
                <w:sz w:val="20"/>
                <w:szCs w:val="20"/>
                <w:lang w:eastAsia="zh-CN"/>
              </w:rPr>
              <w:t>☑</w:t>
            </w:r>
          </w:p>
        </w:tc>
      </w:tr>
      <w:tr w14:paraId="083C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Align w:val="center"/>
          </w:tcPr>
          <w:p w14:paraId="185BBDE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7"/>
              </w:rPr>
              <w:t>环境风险</w:t>
            </w:r>
            <w:r>
              <w:rPr>
                <w:rFonts w:hint="default" w:ascii="Times New Roman" w:hAnsi="Times New Roman" w:eastAsia="宋体" w:cs="Times New Roman"/>
                <w:color w:val="auto"/>
                <w:spacing w:val="5"/>
              </w:rPr>
              <w:t>潜势</w:t>
            </w:r>
          </w:p>
        </w:tc>
        <w:tc>
          <w:tcPr>
            <w:tcW w:w="1026" w:type="dxa"/>
            <w:vAlign w:val="center"/>
          </w:tcPr>
          <w:p w14:paraId="12913BE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IV</w:t>
            </w:r>
            <w:r>
              <w:rPr>
                <w:rFonts w:hint="default" w:ascii="Times New Roman" w:hAnsi="Times New Roman" w:eastAsia="宋体" w:cs="Times New Roman"/>
                <w:color w:val="auto"/>
                <w:spacing w:val="33"/>
                <w:sz w:val="20"/>
                <w:szCs w:val="20"/>
              </w:rPr>
              <w:t>+□</w:t>
            </w:r>
          </w:p>
        </w:tc>
        <w:tc>
          <w:tcPr>
            <w:tcW w:w="2098" w:type="dxa"/>
            <w:gridSpan w:val="3"/>
            <w:vAlign w:val="center"/>
          </w:tcPr>
          <w:p w14:paraId="68B3155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sz w:val="20"/>
                <w:szCs w:val="20"/>
              </w:rPr>
              <w:t>IV□</w:t>
            </w:r>
          </w:p>
        </w:tc>
        <w:tc>
          <w:tcPr>
            <w:tcW w:w="1212" w:type="dxa"/>
            <w:gridSpan w:val="2"/>
            <w:vAlign w:val="center"/>
          </w:tcPr>
          <w:p w14:paraId="39463B9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4"/>
                <w:sz w:val="20"/>
                <w:szCs w:val="20"/>
              </w:rPr>
              <w:t>III□</w:t>
            </w:r>
          </w:p>
        </w:tc>
        <w:tc>
          <w:tcPr>
            <w:tcW w:w="1492" w:type="dxa"/>
            <w:gridSpan w:val="2"/>
            <w:vAlign w:val="center"/>
          </w:tcPr>
          <w:p w14:paraId="5669D8C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II</w:t>
            </w:r>
            <w:r>
              <w:rPr>
                <w:rFonts w:hint="default" w:ascii="Times New Roman" w:hAnsi="Times New Roman" w:eastAsia="宋体" w:cs="Times New Roman"/>
                <w:color w:val="auto"/>
                <w:spacing w:val="17"/>
                <w:sz w:val="20"/>
                <w:szCs w:val="20"/>
                <w:lang w:eastAsia="zh-CN"/>
              </w:rPr>
              <w:t>☑</w:t>
            </w:r>
          </w:p>
        </w:tc>
        <w:tc>
          <w:tcPr>
            <w:tcW w:w="1234" w:type="dxa"/>
            <w:gridSpan w:val="2"/>
            <w:vAlign w:val="center"/>
          </w:tcPr>
          <w:p w14:paraId="35AEA6A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20"/>
                <w:w w:val="105"/>
                <w:sz w:val="20"/>
                <w:szCs w:val="20"/>
              </w:rPr>
              <w:t>I□</w:t>
            </w:r>
          </w:p>
        </w:tc>
      </w:tr>
      <w:tr w14:paraId="460A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Align w:val="center"/>
          </w:tcPr>
          <w:p w14:paraId="0EBE931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7"/>
              </w:rPr>
              <w:t>评价等级</w:t>
            </w:r>
          </w:p>
        </w:tc>
        <w:tc>
          <w:tcPr>
            <w:tcW w:w="3124" w:type="dxa"/>
            <w:gridSpan w:val="4"/>
            <w:vAlign w:val="center"/>
          </w:tcPr>
          <w:p w14:paraId="401E417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21"/>
              </w:rPr>
              <w:t>一级□</w:t>
            </w:r>
          </w:p>
        </w:tc>
        <w:tc>
          <w:tcPr>
            <w:tcW w:w="1212" w:type="dxa"/>
            <w:gridSpan w:val="2"/>
            <w:vAlign w:val="center"/>
          </w:tcPr>
          <w:p w14:paraId="63C3013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21"/>
              </w:rPr>
              <w:t>二级□</w:t>
            </w:r>
          </w:p>
        </w:tc>
        <w:tc>
          <w:tcPr>
            <w:tcW w:w="1492" w:type="dxa"/>
            <w:gridSpan w:val="2"/>
            <w:vAlign w:val="center"/>
          </w:tcPr>
          <w:p w14:paraId="4B13A78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3"/>
              </w:rPr>
              <w:t>三级</w:t>
            </w:r>
            <w:r>
              <w:rPr>
                <w:rFonts w:hint="default" w:ascii="Times New Roman" w:hAnsi="Times New Roman" w:eastAsia="宋体" w:cs="Times New Roman"/>
                <w:color w:val="auto"/>
                <w:spacing w:val="17"/>
                <w:sz w:val="20"/>
                <w:szCs w:val="20"/>
                <w:lang w:eastAsia="zh-CN"/>
              </w:rPr>
              <w:t>☑</w:t>
            </w:r>
          </w:p>
        </w:tc>
        <w:tc>
          <w:tcPr>
            <w:tcW w:w="1234" w:type="dxa"/>
            <w:gridSpan w:val="2"/>
            <w:vAlign w:val="center"/>
          </w:tcPr>
          <w:p w14:paraId="4C0DBCA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Times New Roman" w:hAnsi="Times New Roman" w:eastAsia="宋体" w:cs="Times New Roman"/>
                <w:color w:val="auto"/>
                <w:lang w:eastAsia="zh-CN"/>
              </w:rPr>
            </w:pPr>
            <w:r>
              <w:rPr>
                <w:rFonts w:hint="default" w:ascii="Times New Roman" w:hAnsi="Times New Roman" w:eastAsia="宋体" w:cs="Times New Roman"/>
                <w:color w:val="auto"/>
                <w:spacing w:val="6"/>
              </w:rPr>
              <w:t>简单分析</w:t>
            </w:r>
            <w:r>
              <w:rPr>
                <w:rFonts w:hint="eastAsia" w:ascii="Times New Roman" w:hAnsi="Times New Roman" w:cs="Times New Roman"/>
                <w:color w:val="auto"/>
                <w:spacing w:val="31"/>
                <w:w w:val="105"/>
                <w:lang w:eastAsia="zh-CN"/>
              </w:rPr>
              <w:t>☑</w:t>
            </w:r>
          </w:p>
        </w:tc>
      </w:tr>
      <w:tr w14:paraId="5920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restart"/>
            <w:textDirection w:val="tbRlV"/>
            <w:vAlign w:val="center"/>
          </w:tcPr>
          <w:p w14:paraId="1501E1A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9"/>
              </w:rPr>
              <w:t>风险识别</w:t>
            </w:r>
          </w:p>
        </w:tc>
        <w:tc>
          <w:tcPr>
            <w:tcW w:w="1058" w:type="dxa"/>
            <w:vAlign w:val="center"/>
          </w:tcPr>
          <w:p w14:paraId="04398D7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物质危</w:t>
            </w:r>
            <w:r>
              <w:rPr>
                <w:rFonts w:hint="default" w:ascii="Times New Roman" w:hAnsi="Times New Roman" w:eastAsia="宋体" w:cs="Times New Roman"/>
                <w:color w:val="auto"/>
                <w:spacing w:val="-1"/>
              </w:rPr>
              <w:t>险性</w:t>
            </w:r>
          </w:p>
        </w:tc>
        <w:tc>
          <w:tcPr>
            <w:tcW w:w="3124" w:type="dxa"/>
            <w:gridSpan w:val="4"/>
            <w:vAlign w:val="center"/>
          </w:tcPr>
          <w:p w14:paraId="2EF40B7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5"/>
              </w:rPr>
              <w:t>有毒有害</w:t>
            </w:r>
            <w:r>
              <w:rPr>
                <w:rFonts w:hint="default" w:ascii="Times New Roman" w:hAnsi="Times New Roman" w:eastAsia="宋体" w:cs="Times New Roman"/>
                <w:color w:val="auto"/>
                <w:spacing w:val="17"/>
                <w:sz w:val="20"/>
                <w:szCs w:val="20"/>
                <w:lang w:eastAsia="zh-CN"/>
              </w:rPr>
              <w:t>☑</w:t>
            </w:r>
          </w:p>
        </w:tc>
        <w:tc>
          <w:tcPr>
            <w:tcW w:w="3938" w:type="dxa"/>
            <w:gridSpan w:val="6"/>
            <w:vAlign w:val="center"/>
          </w:tcPr>
          <w:p w14:paraId="636948F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3"/>
              </w:rPr>
              <w:t>易燃易爆</w:t>
            </w:r>
            <w:r>
              <w:rPr>
                <w:rFonts w:hint="default" w:ascii="Times New Roman" w:hAnsi="Times New Roman" w:eastAsia="宋体" w:cs="Times New Roman"/>
                <w:color w:val="auto"/>
                <w:spacing w:val="17"/>
                <w:sz w:val="20"/>
                <w:szCs w:val="20"/>
                <w:lang w:eastAsia="zh-CN"/>
              </w:rPr>
              <w:t>☑</w:t>
            </w:r>
          </w:p>
        </w:tc>
      </w:tr>
      <w:tr w14:paraId="7E60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textDirection w:val="tbRlV"/>
            <w:vAlign w:val="center"/>
          </w:tcPr>
          <w:p w14:paraId="477F7F0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58" w:type="dxa"/>
            <w:vAlign w:val="center"/>
          </w:tcPr>
          <w:p w14:paraId="0138451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环境风</w:t>
            </w:r>
            <w:r>
              <w:rPr>
                <w:rFonts w:hint="default" w:ascii="Times New Roman" w:hAnsi="Times New Roman" w:eastAsia="宋体" w:cs="Times New Roman"/>
                <w:color w:val="auto"/>
                <w:spacing w:val="3"/>
              </w:rPr>
              <w:t>险类型</w:t>
            </w:r>
          </w:p>
        </w:tc>
        <w:tc>
          <w:tcPr>
            <w:tcW w:w="3124" w:type="dxa"/>
            <w:gridSpan w:val="4"/>
            <w:vAlign w:val="center"/>
          </w:tcPr>
          <w:p w14:paraId="66BE991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2"/>
              </w:rPr>
              <w:t>泄漏</w:t>
            </w:r>
            <w:r>
              <w:rPr>
                <w:rFonts w:hint="default" w:ascii="Times New Roman" w:hAnsi="Times New Roman" w:eastAsia="宋体" w:cs="Times New Roman"/>
                <w:color w:val="auto"/>
                <w:spacing w:val="17"/>
                <w:sz w:val="20"/>
                <w:szCs w:val="20"/>
                <w:lang w:eastAsia="zh-CN"/>
              </w:rPr>
              <w:t>☑</w:t>
            </w:r>
          </w:p>
        </w:tc>
        <w:tc>
          <w:tcPr>
            <w:tcW w:w="3938" w:type="dxa"/>
            <w:gridSpan w:val="6"/>
            <w:vAlign w:val="center"/>
          </w:tcPr>
          <w:p w14:paraId="39048B4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8"/>
                <w:lang w:eastAsia="zh-CN"/>
              </w:rPr>
              <w:t>火灾、爆炸引发伴生/次生污染物排放</w:t>
            </w:r>
            <w:r>
              <w:rPr>
                <w:rFonts w:hint="default" w:ascii="Times New Roman" w:hAnsi="Times New Roman" w:eastAsia="宋体" w:cs="Times New Roman"/>
                <w:color w:val="auto"/>
                <w:spacing w:val="17"/>
                <w:sz w:val="20"/>
                <w:szCs w:val="20"/>
                <w:lang w:eastAsia="zh-CN"/>
              </w:rPr>
              <w:t>☑</w:t>
            </w:r>
          </w:p>
        </w:tc>
      </w:tr>
      <w:tr w14:paraId="7926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textDirection w:val="tbRlV"/>
            <w:vAlign w:val="center"/>
          </w:tcPr>
          <w:p w14:paraId="4B87072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p>
        </w:tc>
        <w:tc>
          <w:tcPr>
            <w:tcW w:w="1058" w:type="dxa"/>
            <w:vAlign w:val="center"/>
          </w:tcPr>
          <w:p w14:paraId="162A272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影响途</w:t>
            </w:r>
            <w:r>
              <w:rPr>
                <w:rFonts w:hint="default" w:ascii="Times New Roman" w:hAnsi="Times New Roman" w:eastAsia="宋体" w:cs="Times New Roman"/>
                <w:color w:val="auto"/>
              </w:rPr>
              <w:t>径</w:t>
            </w:r>
          </w:p>
        </w:tc>
        <w:tc>
          <w:tcPr>
            <w:tcW w:w="3124" w:type="dxa"/>
            <w:gridSpan w:val="4"/>
            <w:vAlign w:val="center"/>
          </w:tcPr>
          <w:p w14:paraId="6A2BED29">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2"/>
              </w:rPr>
              <w:t>大气</w:t>
            </w:r>
            <w:r>
              <w:rPr>
                <w:rFonts w:hint="default" w:ascii="Times New Roman" w:hAnsi="Times New Roman" w:eastAsia="宋体" w:cs="Times New Roman"/>
                <w:color w:val="auto"/>
                <w:spacing w:val="17"/>
                <w:sz w:val="20"/>
                <w:szCs w:val="20"/>
                <w:lang w:eastAsia="zh-CN"/>
              </w:rPr>
              <w:t>☑</w:t>
            </w:r>
          </w:p>
        </w:tc>
        <w:tc>
          <w:tcPr>
            <w:tcW w:w="1212" w:type="dxa"/>
            <w:gridSpan w:val="2"/>
            <w:vAlign w:val="center"/>
          </w:tcPr>
          <w:p w14:paraId="3236255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5"/>
              </w:rPr>
              <w:t>地表水</w:t>
            </w:r>
            <w:r>
              <w:rPr>
                <w:rFonts w:hint="default" w:ascii="Times New Roman" w:hAnsi="Times New Roman" w:eastAsia="宋体" w:cs="Times New Roman"/>
                <w:color w:val="auto"/>
                <w:spacing w:val="17"/>
                <w:sz w:val="20"/>
                <w:szCs w:val="20"/>
                <w:lang w:eastAsia="zh-CN"/>
              </w:rPr>
              <w:t>☑</w:t>
            </w:r>
          </w:p>
        </w:tc>
        <w:tc>
          <w:tcPr>
            <w:tcW w:w="2726" w:type="dxa"/>
            <w:gridSpan w:val="4"/>
            <w:vAlign w:val="center"/>
          </w:tcPr>
          <w:p w14:paraId="6244816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5"/>
              </w:rPr>
              <w:t>地下水</w:t>
            </w:r>
            <w:r>
              <w:rPr>
                <w:rFonts w:hint="default" w:ascii="Times New Roman" w:hAnsi="Times New Roman" w:eastAsia="宋体" w:cs="Times New Roman"/>
                <w:color w:val="auto"/>
                <w:spacing w:val="17"/>
                <w:sz w:val="20"/>
                <w:szCs w:val="20"/>
                <w:lang w:eastAsia="zh-CN"/>
              </w:rPr>
              <w:t>☑</w:t>
            </w:r>
          </w:p>
        </w:tc>
      </w:tr>
      <w:tr w14:paraId="09BF5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Align w:val="center"/>
          </w:tcPr>
          <w:p w14:paraId="4BFB972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7"/>
              </w:rPr>
              <w:t>事故情形</w:t>
            </w:r>
            <w:r>
              <w:rPr>
                <w:rFonts w:hint="default" w:ascii="Times New Roman" w:hAnsi="Times New Roman" w:eastAsia="宋体" w:cs="Times New Roman"/>
                <w:color w:val="auto"/>
                <w:spacing w:val="3"/>
              </w:rPr>
              <w:t>分析</w:t>
            </w:r>
          </w:p>
        </w:tc>
        <w:tc>
          <w:tcPr>
            <w:tcW w:w="1026" w:type="dxa"/>
            <w:vAlign w:val="center"/>
          </w:tcPr>
          <w:p w14:paraId="0DE3707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7"/>
              </w:rPr>
              <w:t>源强设</w:t>
            </w:r>
            <w:r>
              <w:rPr>
                <w:rFonts w:hint="default" w:ascii="Times New Roman" w:hAnsi="Times New Roman" w:eastAsia="宋体" w:cs="Times New Roman"/>
                <w:color w:val="auto"/>
                <w:spacing w:val="5"/>
              </w:rPr>
              <w:t>定方法</w:t>
            </w:r>
          </w:p>
        </w:tc>
        <w:tc>
          <w:tcPr>
            <w:tcW w:w="2098" w:type="dxa"/>
            <w:gridSpan w:val="3"/>
            <w:vAlign w:val="center"/>
          </w:tcPr>
          <w:p w14:paraId="695F4EC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19"/>
              </w:rPr>
              <w:t>计算法□</w:t>
            </w:r>
          </w:p>
        </w:tc>
        <w:tc>
          <w:tcPr>
            <w:tcW w:w="1212" w:type="dxa"/>
            <w:gridSpan w:val="2"/>
            <w:vAlign w:val="center"/>
          </w:tcPr>
          <w:p w14:paraId="085D898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16"/>
              </w:rPr>
              <w:t>经验估算法□</w:t>
            </w:r>
          </w:p>
        </w:tc>
        <w:tc>
          <w:tcPr>
            <w:tcW w:w="2726" w:type="dxa"/>
            <w:gridSpan w:val="4"/>
            <w:vAlign w:val="center"/>
          </w:tcPr>
          <w:p w14:paraId="0770B43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16"/>
              </w:rPr>
              <w:t>其他估算法□</w:t>
            </w:r>
          </w:p>
        </w:tc>
      </w:tr>
      <w:tr w14:paraId="13ED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restart"/>
            <w:vAlign w:val="center"/>
          </w:tcPr>
          <w:p w14:paraId="0DC36FD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9"/>
              </w:rPr>
              <w:t>风险预测与评价</w:t>
            </w:r>
          </w:p>
        </w:tc>
        <w:tc>
          <w:tcPr>
            <w:tcW w:w="1058" w:type="dxa"/>
            <w:vMerge w:val="restart"/>
            <w:vAlign w:val="center"/>
          </w:tcPr>
          <w:p w14:paraId="67F01F1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3"/>
              </w:rPr>
              <w:t>大气</w:t>
            </w:r>
          </w:p>
        </w:tc>
        <w:tc>
          <w:tcPr>
            <w:tcW w:w="1026" w:type="dxa"/>
            <w:vAlign w:val="center"/>
          </w:tcPr>
          <w:p w14:paraId="01E664E5">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预测模</w:t>
            </w:r>
            <w:r>
              <w:rPr>
                <w:rFonts w:hint="default" w:ascii="Times New Roman" w:hAnsi="Times New Roman" w:eastAsia="宋体" w:cs="Times New Roman"/>
                <w:color w:val="auto"/>
              </w:rPr>
              <w:t>型</w:t>
            </w:r>
          </w:p>
        </w:tc>
        <w:tc>
          <w:tcPr>
            <w:tcW w:w="2098" w:type="dxa"/>
            <w:gridSpan w:val="3"/>
            <w:vAlign w:val="center"/>
          </w:tcPr>
          <w:p w14:paraId="7EB951F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3"/>
                <w:sz w:val="20"/>
                <w:szCs w:val="20"/>
              </w:rPr>
              <w:t>SLAB□</w:t>
            </w:r>
          </w:p>
        </w:tc>
        <w:tc>
          <w:tcPr>
            <w:tcW w:w="1212" w:type="dxa"/>
            <w:gridSpan w:val="2"/>
            <w:vAlign w:val="center"/>
          </w:tcPr>
          <w:p w14:paraId="268B954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pacing w:val="13"/>
                <w:sz w:val="20"/>
                <w:szCs w:val="20"/>
              </w:rPr>
              <w:t>AFTOX□</w:t>
            </w:r>
          </w:p>
        </w:tc>
        <w:tc>
          <w:tcPr>
            <w:tcW w:w="2726" w:type="dxa"/>
            <w:gridSpan w:val="4"/>
            <w:vAlign w:val="center"/>
          </w:tcPr>
          <w:p w14:paraId="53EBB0D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22"/>
              </w:rPr>
              <w:t>其他□</w:t>
            </w:r>
          </w:p>
        </w:tc>
      </w:tr>
      <w:tr w14:paraId="2D75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textDirection w:val="tbRlV"/>
            <w:vAlign w:val="center"/>
          </w:tcPr>
          <w:p w14:paraId="0BB89BE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58" w:type="dxa"/>
            <w:vMerge w:val="continue"/>
            <w:vAlign w:val="center"/>
          </w:tcPr>
          <w:p w14:paraId="44418AE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p>
        </w:tc>
        <w:tc>
          <w:tcPr>
            <w:tcW w:w="1026" w:type="dxa"/>
            <w:vMerge w:val="restart"/>
            <w:vAlign w:val="center"/>
          </w:tcPr>
          <w:p w14:paraId="217A197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预测结</w:t>
            </w:r>
            <w:r>
              <w:rPr>
                <w:rFonts w:hint="default" w:ascii="Times New Roman" w:hAnsi="Times New Roman" w:eastAsia="宋体" w:cs="Times New Roman"/>
                <w:color w:val="auto"/>
              </w:rPr>
              <w:t>果</w:t>
            </w:r>
          </w:p>
        </w:tc>
        <w:tc>
          <w:tcPr>
            <w:tcW w:w="6036" w:type="dxa"/>
            <w:gridSpan w:val="9"/>
            <w:vAlign w:val="center"/>
          </w:tcPr>
          <w:p w14:paraId="6430568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8"/>
                <w:lang w:eastAsia="zh-CN"/>
              </w:rPr>
              <w:t>大气毒性终点浓度-1最大影响范围/m</w:t>
            </w:r>
          </w:p>
        </w:tc>
      </w:tr>
      <w:tr w14:paraId="689D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textDirection w:val="tbRlV"/>
            <w:vAlign w:val="center"/>
          </w:tcPr>
          <w:p w14:paraId="0A3F714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p>
        </w:tc>
        <w:tc>
          <w:tcPr>
            <w:tcW w:w="1058" w:type="dxa"/>
            <w:vMerge w:val="continue"/>
            <w:vAlign w:val="center"/>
          </w:tcPr>
          <w:p w14:paraId="3EE89C5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p>
        </w:tc>
        <w:tc>
          <w:tcPr>
            <w:tcW w:w="1026" w:type="dxa"/>
            <w:vMerge w:val="continue"/>
            <w:vAlign w:val="center"/>
          </w:tcPr>
          <w:p w14:paraId="7CC355C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p>
        </w:tc>
        <w:tc>
          <w:tcPr>
            <w:tcW w:w="6036" w:type="dxa"/>
            <w:gridSpan w:val="9"/>
            <w:vAlign w:val="center"/>
          </w:tcPr>
          <w:p w14:paraId="6CBEA3C2">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8"/>
                <w:lang w:eastAsia="zh-CN"/>
              </w:rPr>
              <w:t>大气毒性终点浓度-2最大影响范围/m</w:t>
            </w:r>
          </w:p>
        </w:tc>
      </w:tr>
      <w:tr w14:paraId="7B15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textDirection w:val="tbRlV"/>
            <w:vAlign w:val="center"/>
          </w:tcPr>
          <w:p w14:paraId="7315417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p>
        </w:tc>
        <w:tc>
          <w:tcPr>
            <w:tcW w:w="1058" w:type="dxa"/>
            <w:vAlign w:val="center"/>
          </w:tcPr>
          <w:p w14:paraId="117E744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地表水</w:t>
            </w:r>
          </w:p>
        </w:tc>
        <w:tc>
          <w:tcPr>
            <w:tcW w:w="7062" w:type="dxa"/>
            <w:gridSpan w:val="10"/>
            <w:vAlign w:val="center"/>
          </w:tcPr>
          <w:p w14:paraId="3B3F00FD">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8"/>
                <w:lang w:eastAsia="zh-CN"/>
              </w:rPr>
              <w:t>最近环境敏感目标，到达时间/h</w:t>
            </w:r>
          </w:p>
        </w:tc>
      </w:tr>
      <w:tr w14:paraId="05E9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textDirection w:val="tbRlV"/>
            <w:vAlign w:val="center"/>
          </w:tcPr>
          <w:p w14:paraId="0946397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p>
        </w:tc>
        <w:tc>
          <w:tcPr>
            <w:tcW w:w="1058" w:type="dxa"/>
            <w:vMerge w:val="restart"/>
            <w:vAlign w:val="center"/>
          </w:tcPr>
          <w:p w14:paraId="6618411B">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6"/>
              </w:rPr>
              <w:t>地下水</w:t>
            </w:r>
          </w:p>
        </w:tc>
        <w:tc>
          <w:tcPr>
            <w:tcW w:w="7062" w:type="dxa"/>
            <w:gridSpan w:val="10"/>
            <w:vAlign w:val="center"/>
          </w:tcPr>
          <w:p w14:paraId="4B869AB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7"/>
                <w:lang w:eastAsia="zh-CN"/>
              </w:rPr>
              <w:t>下游厂区边界到达时间//d</w:t>
            </w:r>
          </w:p>
        </w:tc>
      </w:tr>
      <w:tr w14:paraId="4BE5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05" w:type="dxa"/>
            <w:vMerge w:val="continue"/>
            <w:textDirection w:val="tbRlV"/>
            <w:vAlign w:val="center"/>
          </w:tcPr>
          <w:p w14:paraId="6F0A761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p>
        </w:tc>
        <w:tc>
          <w:tcPr>
            <w:tcW w:w="1058" w:type="dxa"/>
            <w:vMerge w:val="continue"/>
            <w:vAlign w:val="center"/>
          </w:tcPr>
          <w:p w14:paraId="7F6209E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p>
        </w:tc>
        <w:tc>
          <w:tcPr>
            <w:tcW w:w="7062" w:type="dxa"/>
            <w:gridSpan w:val="10"/>
            <w:vAlign w:val="center"/>
          </w:tcPr>
          <w:p w14:paraId="6F23CFB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8"/>
                <w:lang w:eastAsia="zh-CN"/>
              </w:rPr>
              <w:t>最近环境敏感目标，到达时间/h</w:t>
            </w:r>
          </w:p>
        </w:tc>
      </w:tr>
      <w:tr w14:paraId="7644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Align w:val="center"/>
          </w:tcPr>
          <w:p w14:paraId="41A8E5E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7"/>
              </w:rPr>
              <w:t>重点风险</w:t>
            </w:r>
            <w:r>
              <w:rPr>
                <w:rFonts w:hint="default" w:ascii="Times New Roman" w:hAnsi="Times New Roman" w:eastAsia="宋体" w:cs="Times New Roman"/>
                <w:color w:val="auto"/>
                <w:spacing w:val="4"/>
              </w:rPr>
              <w:t>防范措施</w:t>
            </w:r>
          </w:p>
        </w:tc>
        <w:tc>
          <w:tcPr>
            <w:tcW w:w="7062" w:type="dxa"/>
            <w:gridSpan w:val="10"/>
            <w:vAlign w:val="center"/>
          </w:tcPr>
          <w:p w14:paraId="07878D4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8"/>
                <w:lang w:eastAsia="zh-CN"/>
              </w:rPr>
              <w:t>见环境风险防范措施章节</w:t>
            </w:r>
          </w:p>
        </w:tc>
      </w:tr>
      <w:tr w14:paraId="2610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3" w:type="dxa"/>
            <w:gridSpan w:val="2"/>
            <w:vAlign w:val="center"/>
          </w:tcPr>
          <w:p w14:paraId="44EF7ED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spacing w:val="7"/>
              </w:rPr>
              <w:t>评价结论</w:t>
            </w:r>
            <w:r>
              <w:rPr>
                <w:rFonts w:hint="default" w:ascii="Times New Roman" w:hAnsi="Times New Roman" w:eastAsia="宋体" w:cs="Times New Roman"/>
                <w:color w:val="auto"/>
                <w:spacing w:val="5"/>
              </w:rPr>
              <w:t>与建议</w:t>
            </w:r>
          </w:p>
        </w:tc>
        <w:tc>
          <w:tcPr>
            <w:tcW w:w="7062" w:type="dxa"/>
            <w:gridSpan w:val="10"/>
            <w:vAlign w:val="center"/>
          </w:tcPr>
          <w:p w14:paraId="79434DE8">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7"/>
                <w:lang w:eastAsia="zh-CN"/>
              </w:rPr>
              <w:t>综上所述，拟建项目在确保安全生产、避免因安全生产事故引发的环境污染事件，切实落实环评提出的环境风险防范措施，并加强环境管理及风险演练的前</w:t>
            </w:r>
            <w:r>
              <w:rPr>
                <w:rFonts w:hint="default" w:ascii="Times New Roman" w:hAnsi="Times New Roman" w:eastAsia="宋体" w:cs="Times New Roman"/>
                <w:color w:val="auto"/>
                <w:spacing w:val="9"/>
                <w:lang w:eastAsia="zh-CN"/>
              </w:rPr>
              <w:t>提下，从环境风险角度分析，环境风险事故可控，本项目建设可行。</w:t>
            </w:r>
          </w:p>
        </w:tc>
      </w:tr>
      <w:tr w14:paraId="6FDA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525" w:type="dxa"/>
            <w:gridSpan w:val="12"/>
            <w:vAlign w:val="center"/>
          </w:tcPr>
          <w:p w14:paraId="6D083B5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auto"/>
                <w:lang w:eastAsia="zh-CN"/>
              </w:rPr>
            </w:pPr>
            <w:r>
              <w:rPr>
                <w:rFonts w:hint="default" w:ascii="Times New Roman" w:hAnsi="Times New Roman" w:eastAsia="宋体" w:cs="Times New Roman"/>
                <w:color w:val="auto"/>
                <w:spacing w:val="8"/>
                <w:lang w:eastAsia="zh-CN"/>
              </w:rPr>
              <w:t>注：ℼ□”为勾选项，“”为填写项</w:t>
            </w:r>
          </w:p>
        </w:tc>
      </w:tr>
    </w:tbl>
    <w:p w14:paraId="5EF9436B">
      <w:pPr>
        <w:rPr>
          <w:rFonts w:hint="default" w:ascii="Times New Roman" w:hAnsi="Times New Roman" w:eastAsia="宋体" w:cs="Times New Roman"/>
          <w:color w:val="auto"/>
        </w:rPr>
      </w:pPr>
    </w:p>
    <w:sectPr>
      <w:pgSz w:w="11906" w:h="16838"/>
      <w:pgMar w:top="1417" w:right="1701" w:bottom="1417" w:left="1701"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p" w:date="2026-05-12T17:12:56Z" w:initials="hp">
    <w:p w14:paraId="3BA77F9E">
      <w:pPr>
        <w:pStyle w:val="11"/>
        <w:rPr>
          <w:rFonts w:hint="default" w:eastAsiaTheme="minorEastAsia"/>
          <w:lang w:val="en-US" w:eastAsia="zh-CN"/>
        </w:rPr>
      </w:pPr>
      <w:r>
        <w:rPr>
          <w:rFonts w:hint="eastAsia"/>
          <w:lang w:val="en-US" w:eastAsia="zh-CN"/>
        </w:rPr>
        <w:t>完善氰化电镀环境风险管控措施</w:t>
      </w:r>
    </w:p>
  </w:comment>
  <w:comment w:id="1" w:author="不动" w:date="2026-05-13T11:39:14Z" w:initials="">
    <w:p w14:paraId="1480E282">
      <w:pPr>
        <w:pStyle w:val="11"/>
        <w:rPr>
          <w:rFonts w:hint="default" w:eastAsiaTheme="minorEastAsia"/>
          <w:lang w:val="en-US" w:eastAsia="zh-CN"/>
        </w:rPr>
      </w:pPr>
      <w:r>
        <w:rPr>
          <w:rFonts w:hint="eastAsia"/>
          <w:lang w:val="en-US" w:eastAsia="zh-CN"/>
        </w:rPr>
        <w:t>已完善，见风险措施</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BA77F9E" w15:done="0"/>
  <w15:commentEx w15:paraId="1480E282" w15:done="0" w15:paraIdParent="3BA77F9E"/>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70FCA">
    <w:pPr>
      <w:pStyle w:val="12"/>
      <w:spacing w:line="96"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4EC61">
    <w:pPr>
      <w:pStyle w:val="12"/>
      <w:spacing w:line="96"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F7432">
    <w:pPr>
      <w:pStyle w:val="15"/>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B6E97">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EB6E97">
                    <w:pPr>
                      <w:pStyle w:val="15"/>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3C6F7">
    <w:pPr>
      <w:spacing w:before="17" w:line="223" w:lineRule="auto"/>
      <w:ind w:left="11"/>
      <w:rPr>
        <w:rFonts w:hint="eastAsia" w:ascii="楷体" w:hAnsi="楷体" w:eastAsia="楷体" w:cs="楷体"/>
        <w:sz w:val="18"/>
        <w:szCs w:val="18"/>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77BFE">
    <w:pPr>
      <w:spacing w:before="18" w:line="200" w:lineRule="auto"/>
      <w:ind w:left="24"/>
      <w:rPr>
        <w:rFonts w:hint="eastAsia" w:ascii="楷体" w:hAnsi="楷体" w:eastAsia="楷体" w:cs="楷体"/>
        <w:sz w:val="18"/>
        <w:szCs w:val="18"/>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8BFC2">
    <w:pP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B27309"/>
    <w:multiLevelType w:val="multilevel"/>
    <w:tmpl w:val="3BB27309"/>
    <w:lvl w:ilvl="0" w:tentative="0">
      <w:start w:val="1"/>
      <w:numFmt w:val="decimal"/>
      <w:pStyle w:val="2"/>
      <w:lvlText w:val="%1."/>
      <w:lvlJc w:val="left"/>
      <w:pPr>
        <w:ind w:left="432" w:hanging="432"/>
      </w:pPr>
      <w:rPr>
        <w:rFonts w:hint="default"/>
      </w:rPr>
    </w:lvl>
    <w:lvl w:ilvl="1" w:tentative="0">
      <w:start w:val="1"/>
      <w:numFmt w:val="decimal"/>
      <w:pStyle w:val="3"/>
      <w:suff w:val="space"/>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p">
    <w15:presenceInfo w15:providerId="None" w15:userId="hp"/>
  </w15:person>
  <w15:person w15:author="不动">
    <w15:presenceInfo w15:providerId="WPS Office" w15:userId="1821857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ZWExYTdmNDcwNDk5YmNjNDBhOTEzNmZjODM1YzIifQ=="/>
  </w:docVars>
  <w:rsids>
    <w:rsidRoot w:val="420E27C7"/>
    <w:rsid w:val="00A87AAA"/>
    <w:rsid w:val="07707311"/>
    <w:rsid w:val="07C118AC"/>
    <w:rsid w:val="0F1908D6"/>
    <w:rsid w:val="13A06180"/>
    <w:rsid w:val="1460671F"/>
    <w:rsid w:val="16C24EB1"/>
    <w:rsid w:val="17513862"/>
    <w:rsid w:val="18316DDF"/>
    <w:rsid w:val="19325A8F"/>
    <w:rsid w:val="21C41D68"/>
    <w:rsid w:val="23B94F8D"/>
    <w:rsid w:val="23FA40B9"/>
    <w:rsid w:val="278E5DC0"/>
    <w:rsid w:val="279A7D67"/>
    <w:rsid w:val="28D80EFD"/>
    <w:rsid w:val="296B4025"/>
    <w:rsid w:val="29BF1D06"/>
    <w:rsid w:val="2DB73DEE"/>
    <w:rsid w:val="355377A7"/>
    <w:rsid w:val="3B7459B2"/>
    <w:rsid w:val="3C0D05B0"/>
    <w:rsid w:val="420E27C7"/>
    <w:rsid w:val="442540CA"/>
    <w:rsid w:val="4A3675B2"/>
    <w:rsid w:val="4EA91300"/>
    <w:rsid w:val="514363DE"/>
    <w:rsid w:val="516D4689"/>
    <w:rsid w:val="53B757FF"/>
    <w:rsid w:val="55AE267A"/>
    <w:rsid w:val="56D3448D"/>
    <w:rsid w:val="585B581D"/>
    <w:rsid w:val="5B915B7B"/>
    <w:rsid w:val="5DCB4A1F"/>
    <w:rsid w:val="61DE7E3B"/>
    <w:rsid w:val="62FE6F46"/>
    <w:rsid w:val="63936E3D"/>
    <w:rsid w:val="63AE67B1"/>
    <w:rsid w:val="669000F1"/>
    <w:rsid w:val="66CE2784"/>
    <w:rsid w:val="697A39FE"/>
    <w:rsid w:val="6AFE7EF3"/>
    <w:rsid w:val="6BA95681"/>
    <w:rsid w:val="6E6C1AC8"/>
    <w:rsid w:val="73CE72A1"/>
    <w:rsid w:val="74731DD8"/>
    <w:rsid w:val="74766BB6"/>
    <w:rsid w:val="76F33E2E"/>
    <w:rsid w:val="78622566"/>
    <w:rsid w:val="78C033F7"/>
    <w:rsid w:val="791C14AC"/>
    <w:rsid w:val="7E875386"/>
    <w:rsid w:val="7EBE58F6"/>
    <w:rsid w:val="7EC62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2">
    <w:name w:val="heading 1"/>
    <w:basedOn w:val="1"/>
    <w:next w:val="1"/>
    <w:qFormat/>
    <w:uiPriority w:val="0"/>
    <w:pPr>
      <w:keepNext/>
      <w:keepLines/>
      <w:numPr>
        <w:ilvl w:val="0"/>
        <w:numId w:val="1"/>
      </w:numPr>
      <w:spacing w:before="100" w:beforeLines="100" w:beforeAutospacing="0" w:after="20" w:afterLines="0" w:afterAutospacing="0" w:line="360" w:lineRule="auto"/>
      <w:ind w:left="432" w:hanging="432"/>
      <w:outlineLvl w:val="0"/>
    </w:pPr>
    <w:rPr>
      <w:rFonts w:ascii="Times New Roman" w:hAnsi="Times New Roman" w:eastAsia="宋体"/>
      <w:b/>
      <w:kern w:val="44"/>
      <w:sz w:val="32"/>
    </w:rPr>
  </w:style>
  <w:style w:type="paragraph" w:styleId="3">
    <w:name w:val="heading 2"/>
    <w:basedOn w:val="1"/>
    <w:next w:val="1"/>
    <w:unhideWhenUsed/>
    <w:qFormat/>
    <w:uiPriority w:val="0"/>
    <w:pPr>
      <w:keepNext/>
      <w:keepLines/>
      <w:numPr>
        <w:ilvl w:val="1"/>
        <w:numId w:val="1"/>
      </w:numPr>
      <w:autoSpaceDE/>
      <w:autoSpaceDN/>
      <w:spacing w:beforeAutospacing="0" w:afterLines="0" w:afterAutospacing="0" w:line="360" w:lineRule="auto"/>
      <w:ind w:left="575" w:hanging="575"/>
      <w:outlineLvl w:val="1"/>
    </w:pPr>
    <w:rPr>
      <w:rFonts w:ascii="Times New Roman" w:hAnsi="Times New Roman" w:eastAsia="黑体"/>
      <w:b/>
      <w:sz w:val="28"/>
    </w:rPr>
  </w:style>
  <w:style w:type="paragraph" w:styleId="4">
    <w:name w:val="heading 3"/>
    <w:basedOn w:val="1"/>
    <w:semiHidden/>
    <w:unhideWhenUsed/>
    <w:qFormat/>
    <w:uiPriority w:val="0"/>
    <w:pPr>
      <w:widowControl/>
      <w:numPr>
        <w:ilvl w:val="2"/>
        <w:numId w:val="1"/>
      </w:numPr>
      <w:adjustRightInd w:val="0"/>
      <w:snapToGrid w:val="0"/>
      <w:spacing w:line="360" w:lineRule="auto"/>
      <w:ind w:left="720" w:hanging="720"/>
      <w:jc w:val="left"/>
      <w:outlineLvl w:val="2"/>
    </w:pPr>
    <w:rPr>
      <w:rFonts w:ascii="黑体" w:hAnsi="黑体" w:eastAsia="黑体" w:cs="黑体"/>
      <w:b/>
      <w:bCs/>
      <w:kern w:val="0"/>
      <w:sz w:val="28"/>
      <w:szCs w:val="27"/>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qFormat/>
    <w:uiPriority w:val="0"/>
    <w:rPr>
      <w:rFonts w:eastAsia="Arial"/>
    </w:rPr>
  </w:style>
  <w:style w:type="paragraph" w:styleId="13">
    <w:name w:val="Body Text Indent"/>
    <w:basedOn w:val="1"/>
    <w:next w:val="14"/>
    <w:qFormat/>
    <w:uiPriority w:val="99"/>
    <w:pPr>
      <w:widowControl w:val="0"/>
      <w:kinsoku/>
      <w:autoSpaceDE/>
      <w:autoSpaceDN/>
      <w:adjustRightInd/>
      <w:snapToGrid/>
      <w:spacing w:after="120"/>
      <w:ind w:left="420" w:leftChars="200"/>
      <w:jc w:val="both"/>
      <w:textAlignment w:val="auto"/>
    </w:pPr>
    <w:rPr>
      <w:rFonts w:eastAsia="宋体"/>
      <w:kern w:val="2"/>
      <w:szCs w:val="24"/>
      <w:lang w:eastAsia="zh-CN"/>
    </w:rPr>
  </w:style>
  <w:style w:type="paragraph" w:styleId="14">
    <w:name w:val="Body Text Indent 2"/>
    <w:basedOn w:val="1"/>
    <w:next w:val="1"/>
    <w:qFormat/>
    <w:uiPriority w:val="0"/>
    <w:pPr>
      <w:widowControl w:val="0"/>
      <w:kinsoku/>
      <w:autoSpaceDE/>
      <w:autoSpaceDN/>
      <w:adjustRightInd/>
      <w:snapToGrid/>
      <w:spacing w:after="120" w:line="480" w:lineRule="auto"/>
      <w:ind w:left="420" w:leftChars="200"/>
      <w:jc w:val="both"/>
      <w:textAlignment w:val="auto"/>
    </w:pPr>
    <w:rPr>
      <w:rFonts w:eastAsia="宋体"/>
      <w:kern w:val="2"/>
      <w:szCs w:val="24"/>
      <w:lang w:eastAsia="zh-CN"/>
    </w:rPr>
  </w:style>
  <w:style w:type="paragraph" w:styleId="15">
    <w:name w:val="footer"/>
    <w:basedOn w:val="1"/>
    <w:qFormat/>
    <w:uiPriority w:val="0"/>
    <w:pPr>
      <w:tabs>
        <w:tab w:val="center" w:pos="4153"/>
        <w:tab w:val="right" w:pos="8306"/>
      </w:tabs>
      <w:snapToGrid w:val="0"/>
      <w:jc w:val="left"/>
    </w:pPr>
    <w:rPr>
      <w:sz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First Indent 2"/>
    <w:basedOn w:val="13"/>
    <w:next w:val="19"/>
    <w:unhideWhenUsed/>
    <w:qFormat/>
    <w:uiPriority w:val="0"/>
    <w:pPr>
      <w:tabs>
        <w:tab w:val="left" w:pos="2025"/>
      </w:tabs>
      <w:ind w:firstLine="420"/>
    </w:pPr>
  </w:style>
  <w:style w:type="paragraph" w:customStyle="1" w:styleId="19">
    <w:name w:val="正文2"/>
    <w:next w:val="1"/>
    <w:qFormat/>
    <w:uiPriority w:val="0"/>
    <w:pPr>
      <w:widowControl w:val="0"/>
      <w:adjustRightInd w:val="0"/>
      <w:snapToGrid w:val="0"/>
      <w:spacing w:line="440" w:lineRule="atLeast"/>
      <w:ind w:firstLine="567"/>
      <w:jc w:val="both"/>
    </w:pPr>
    <w:rPr>
      <w:rFonts w:ascii="Calibri" w:hAnsi="Calibri" w:eastAsia="宋体" w:cs="Times New Roman"/>
      <w:kern w:val="2"/>
      <w:sz w:val="24"/>
      <w:szCs w:val="20"/>
      <w:lang w:val="en-US" w:eastAsia="zh-CN" w:bidi="ar-SA"/>
    </w:rPr>
  </w:style>
  <w:style w:type="table" w:styleId="21">
    <w:name w:val="Table Grid"/>
    <w:basedOn w:val="20"/>
    <w:qFormat/>
    <w:uiPriority w:val="0"/>
    <w:pPr>
      <w:widowControl w:val="0"/>
      <w:jc w:val="both"/>
    </w:pPr>
    <w:rPr>
      <w:rFonts w:ascii="Times New Roman" w:hAnsi="Times New Roman" w:eastAsia="宋体" w:cs="Times New Roman"/>
      <w:snapToGrid/>
      <w:color w:val="auto"/>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rPr>
  </w:style>
  <w:style w:type="paragraph" w:customStyle="1" w:styleId="24">
    <w:name w:val="Table Text"/>
    <w:basedOn w:val="1"/>
    <w:semiHidden/>
    <w:qFormat/>
    <w:uiPriority w:val="0"/>
    <w:rPr>
      <w:rFonts w:ascii="宋体" w:hAnsi="宋体" w:eastAsia="宋体" w:cs="宋体"/>
      <w:sz w:val="20"/>
      <w:szCs w:val="20"/>
    </w:rPr>
  </w:style>
  <w:style w:type="table" w:customStyle="1" w:styleId="25">
    <w:name w:val="Table Normal"/>
    <w:semiHidden/>
    <w:unhideWhenUsed/>
    <w:qFormat/>
    <w:uiPriority w:val="0"/>
    <w:tblPr>
      <w:tblCellMar>
        <w:top w:w="0" w:type="dxa"/>
        <w:left w:w="0" w:type="dxa"/>
        <w:bottom w:w="0" w:type="dxa"/>
        <w:right w:w="0" w:type="dxa"/>
      </w:tblCellMar>
    </w:tblPr>
  </w:style>
  <w:style w:type="paragraph" w:customStyle="1" w:styleId="26">
    <w:name w:val="表格中文字"/>
    <w:basedOn w:val="1"/>
    <w:qFormat/>
    <w:uiPriority w:val="0"/>
    <w:pPr>
      <w:widowControl w:val="0"/>
      <w:kinsoku/>
      <w:autoSpaceDE/>
      <w:autoSpaceDN/>
      <w:adjustRightInd/>
      <w:jc w:val="center"/>
      <w:textAlignment w:val="auto"/>
    </w:pPr>
    <w:rPr>
      <w:kern w:val="2"/>
    </w:rPr>
  </w:style>
  <w:style w:type="paragraph" w:customStyle="1" w:styleId="27">
    <w:name w:val="BG"/>
    <w:basedOn w:val="1"/>
    <w:unhideWhenUsed/>
    <w:qFormat/>
    <w:uiPriority w:val="99"/>
    <w:pPr>
      <w:snapToGrid w:val="0"/>
      <w:spacing w:line="240" w:lineRule="auto"/>
      <w:jc w:val="center"/>
    </w:pPr>
    <w:rPr>
      <w:rFonts w:ascii="Times New Roman" w:hAnsi="Times New Roman" w:eastAsia="宋体"/>
    </w:rPr>
  </w:style>
  <w:style w:type="paragraph" w:customStyle="1" w:styleId="28">
    <w:name w:val="D表内"/>
    <w:basedOn w:val="1"/>
    <w:qFormat/>
    <w:uiPriority w:val="0"/>
    <w:pPr>
      <w:spacing w:before="40" w:after="40"/>
      <w:jc w:val="center"/>
    </w:pPr>
    <w:rPr>
      <w:sz w:val="21"/>
      <w:szCs w:val="21"/>
    </w:rPr>
  </w:style>
  <w:style w:type="character" w:customStyle="1" w:styleId="29">
    <w:name w:val="font71"/>
    <w:basedOn w:val="22"/>
    <w:qFormat/>
    <w:uiPriority w:val="0"/>
    <w:rPr>
      <w:rFonts w:hint="default" w:ascii="Times New Roman" w:hAnsi="Times New Roman" w:cs="Times New Roman"/>
      <w:b/>
      <w:bCs/>
      <w:color w:val="000000"/>
      <w:sz w:val="20"/>
      <w:szCs w:val="20"/>
      <w:u w:val="none"/>
    </w:rPr>
  </w:style>
  <w:style w:type="character" w:customStyle="1" w:styleId="30">
    <w:name w:val="font11"/>
    <w:basedOn w:val="22"/>
    <w:qFormat/>
    <w:uiPriority w:val="0"/>
    <w:rPr>
      <w:rFonts w:hint="eastAsia" w:ascii="宋体" w:hAnsi="宋体" w:eastAsia="宋体" w:cs="宋体"/>
      <w:b/>
      <w:bCs/>
      <w:color w:val="000000"/>
      <w:sz w:val="20"/>
      <w:szCs w:val="20"/>
      <w:u w:val="none"/>
    </w:rPr>
  </w:style>
  <w:style w:type="character" w:customStyle="1" w:styleId="31">
    <w:name w:val="font61"/>
    <w:basedOn w:val="22"/>
    <w:qFormat/>
    <w:uiPriority w:val="0"/>
    <w:rPr>
      <w:rFonts w:hint="eastAsia" w:ascii="宋体" w:hAnsi="宋体" w:eastAsia="宋体" w:cs="宋体"/>
      <w:color w:val="000000"/>
      <w:sz w:val="21"/>
      <w:szCs w:val="21"/>
      <w:u w:val="none"/>
    </w:rPr>
  </w:style>
  <w:style w:type="character" w:customStyle="1" w:styleId="32">
    <w:name w:val="font51"/>
    <w:basedOn w:val="22"/>
    <w:qFormat/>
    <w:uiPriority w:val="0"/>
    <w:rPr>
      <w:rFonts w:hint="default" w:ascii="Times New Roman" w:hAnsi="Times New Roman" w:cs="Times New Roman"/>
      <w:color w:val="00B0F0"/>
      <w:sz w:val="20"/>
      <w:szCs w:val="20"/>
      <w:u w:val="none"/>
    </w:rPr>
  </w:style>
  <w:style w:type="character" w:customStyle="1" w:styleId="33">
    <w:name w:val="font41"/>
    <w:basedOn w:val="22"/>
    <w:qFormat/>
    <w:uiPriority w:val="0"/>
    <w:rPr>
      <w:rFonts w:hint="eastAsia" w:ascii="宋体" w:hAnsi="宋体" w:eastAsia="宋体" w:cs="宋体"/>
      <w:color w:val="00B0F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jpeg"/><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3260</Words>
  <Characters>3899</Characters>
  <Lines>0</Lines>
  <Paragraphs>0</Paragraphs>
  <TotalTime>17</TotalTime>
  <ScaleCrop>false</ScaleCrop>
  <LinksUpToDate>false</LinksUpToDate>
  <CharactersWithSpaces>3939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2024-09-08T18:39:00Z</dcterms:created>
  <dc:creator>大江很好吃。</dc:creator>
  <cp:lastModifiedBy>不动</cp:lastModifiedBy>
  <cp:lastPrinted>2025-06-21T12:01:00Z</cp:lastPrinted>
  <dcterms:modified xsi:type="dcterms:W3CDTF">2026-05-13T03:42:44Z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9CDEFCB83EB147E69E84DDAFF2C71F3A_13</vt:lpwstr>
  </property>
  <property fmtid="{D5CDD505-2E9C-101B-9397-08002B2CF9AE}" pid="4" name="KSOTemplateDocerSaveRecord">
    <vt:lpwstr>eyJoZGlkIjoiNzhmMmRmYzk2MDc4NWRkMzIzZTY2NzAzYmU4Y2Q3M2EiLCJ1c2VySWQiOiI2MzQ3MjExMzAifQ==</vt:lpwstr>
  </property>
</Properties>
</file>