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91EB3">
      <w:pPr>
        <w:keepNext w:val="0"/>
        <w:keepLines w:val="0"/>
        <w:pageBreakBefore w:val="0"/>
        <w:widowControl w:val="0"/>
        <w:kinsoku/>
        <w:wordWrap/>
        <w:overflowPunct/>
        <w:topLinePunct w:val="0"/>
        <w:autoSpaceDE/>
        <w:autoSpaceDN/>
        <w:bidi w:val="0"/>
        <w:adjustRightInd/>
        <w:snapToGrid/>
        <w:spacing w:line="480" w:lineRule="auto"/>
        <w:ind w:firstLine="0"/>
        <w:jc w:val="center"/>
        <w:textAlignment w:val="auto"/>
        <w:rPr>
          <w:rFonts w:hint="eastAsia" w:ascii="方正小标宋简体" w:eastAsia="方正小标宋简体" w:cs="方正小标宋简体"/>
          <w:sz w:val="44"/>
          <w:szCs w:val="44"/>
          <w:lang w:val="en-US" w:eastAsia="zh-CN"/>
        </w:rPr>
      </w:pPr>
      <w:bookmarkStart w:id="0" w:name="_GoBack"/>
      <w:bookmarkEnd w:id="0"/>
      <w:r>
        <w:rPr>
          <w:rFonts w:hint="eastAsia" w:ascii="方正小标宋简体" w:eastAsia="方正小标宋简体" w:cs="方正小标宋简体"/>
          <w:sz w:val="44"/>
          <w:szCs w:val="44"/>
          <w:lang w:val="en-US" w:eastAsia="zh-CN"/>
        </w:rPr>
        <w:t>2025年六五环境日主题新闻发布会通稿</w:t>
      </w:r>
    </w:p>
    <w:p w14:paraId="10FFAC74">
      <w:pPr>
        <w:keepNext w:val="0"/>
        <w:keepLines w:val="0"/>
        <w:pageBreakBefore w:val="0"/>
        <w:widowControl w:val="0"/>
        <w:kinsoku/>
        <w:wordWrap/>
        <w:overflowPunct/>
        <w:topLinePunct w:val="0"/>
        <w:autoSpaceDE/>
        <w:autoSpaceDN/>
        <w:bidi w:val="0"/>
        <w:adjustRightInd/>
        <w:snapToGrid/>
        <w:spacing w:line="480" w:lineRule="auto"/>
        <w:ind w:firstLine="0"/>
        <w:textAlignment w:val="auto"/>
        <w:rPr>
          <w:rFonts w:hint="eastAsia" w:ascii="仿宋_GB2312" w:eastAsia="仿宋_GB2312" w:cs="仿宋_GB2312"/>
          <w:sz w:val="36"/>
          <w:szCs w:val="36"/>
          <w:lang w:val="en-US" w:eastAsia="zh-CN"/>
        </w:rPr>
      </w:pPr>
    </w:p>
    <w:p w14:paraId="3315BE87">
      <w:pPr>
        <w:keepNext w:val="0"/>
        <w:keepLines w:val="0"/>
        <w:pageBreakBefore w:val="0"/>
        <w:widowControl w:val="0"/>
        <w:kinsoku/>
        <w:wordWrap/>
        <w:overflowPunct/>
        <w:topLinePunct w:val="0"/>
        <w:autoSpaceDE/>
        <w:autoSpaceDN/>
        <w:bidi w:val="0"/>
        <w:adjustRightInd/>
        <w:snapToGrid/>
        <w:spacing w:line="480" w:lineRule="auto"/>
        <w:ind w:firstLine="0"/>
        <w:textAlignment w:val="auto"/>
        <w:rPr>
          <w:rFonts w:hint="eastAsia" w:ascii="仿宋_GB2312" w:eastAsia="仿宋_GB2312" w:cs="仿宋_GB2312"/>
          <w:sz w:val="36"/>
          <w:szCs w:val="36"/>
          <w:lang w:val="en-US" w:eastAsia="zh-CN"/>
        </w:rPr>
      </w:pPr>
      <w:r>
        <w:rPr>
          <w:rFonts w:hint="default" w:ascii="仿宋_GB2312" w:eastAsia="仿宋_GB2312" w:cs="仿宋_GB2312"/>
          <w:sz w:val="36"/>
          <w:szCs w:val="36"/>
          <w:lang w:val="en-US" w:eastAsia="zh-CN"/>
        </w:rPr>
        <w:t>新闻界的</w:t>
      </w:r>
      <w:r>
        <w:rPr>
          <w:rFonts w:hint="eastAsia" w:ascii="仿宋_GB2312" w:eastAsia="仿宋_GB2312" w:cs="仿宋_GB2312"/>
          <w:sz w:val="36"/>
          <w:szCs w:val="36"/>
          <w:lang w:val="en-US" w:eastAsia="zh-CN"/>
        </w:rPr>
        <w:t>记者朋友们：</w:t>
      </w:r>
    </w:p>
    <w:p w14:paraId="792A77B0">
      <w:pPr>
        <w:keepNext w:val="0"/>
        <w:keepLines w:val="0"/>
        <w:pageBreakBefore w:val="0"/>
        <w:widowControl w:val="0"/>
        <w:kinsoku/>
        <w:wordWrap/>
        <w:overflowPunct/>
        <w:topLinePunct w:val="0"/>
        <w:autoSpaceDE/>
        <w:autoSpaceDN/>
        <w:bidi w:val="0"/>
        <w:adjustRightInd/>
        <w:snapToGrid/>
        <w:spacing w:line="480" w:lineRule="auto"/>
        <w:ind w:firstLine="720" w:firstLineChars="200"/>
        <w:textAlignment w:val="auto"/>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大家上午好！</w:t>
      </w:r>
      <w:r>
        <w:rPr>
          <w:rFonts w:hint="default" w:ascii="仿宋_GB2312" w:eastAsia="仿宋_GB2312" w:cs="仿宋_GB2312"/>
          <w:sz w:val="36"/>
          <w:szCs w:val="36"/>
          <w:lang w:val="en-US" w:eastAsia="zh-CN"/>
        </w:rPr>
        <w:t>又是一年环境日，</w:t>
      </w:r>
      <w:r>
        <w:rPr>
          <w:rFonts w:hint="eastAsia" w:ascii="仿宋_GB2312" w:eastAsia="仿宋_GB2312" w:cs="仿宋_GB2312"/>
          <w:sz w:val="36"/>
          <w:szCs w:val="36"/>
          <w:lang w:val="en-US" w:eastAsia="zh-CN"/>
        </w:rPr>
        <w:t>热烈欢迎各位记者朋友</w:t>
      </w:r>
      <w:r>
        <w:rPr>
          <w:rFonts w:hint="default" w:ascii="仿宋_GB2312" w:eastAsia="仿宋_GB2312" w:cs="仿宋_GB2312"/>
          <w:sz w:val="36"/>
          <w:szCs w:val="36"/>
          <w:lang w:val="en-US" w:eastAsia="zh-CN"/>
        </w:rPr>
        <w:t>受邀</w:t>
      </w:r>
      <w:r>
        <w:rPr>
          <w:rFonts w:hint="eastAsia" w:ascii="仿宋_GB2312" w:eastAsia="仿宋_GB2312" w:cs="仿宋_GB2312"/>
          <w:sz w:val="36"/>
          <w:szCs w:val="36"/>
          <w:lang w:val="en-US" w:eastAsia="zh-CN"/>
        </w:rPr>
        <w:t>参加2025年六五环境日主题新闻发布会</w:t>
      </w:r>
      <w:r>
        <w:rPr>
          <w:rFonts w:hint="default" w:ascii="仿宋_GB2312" w:eastAsia="仿宋_GB2312" w:cs="仿宋_GB2312"/>
          <w:sz w:val="36"/>
          <w:szCs w:val="36"/>
          <w:lang w:val="en-US" w:eastAsia="zh-CN"/>
        </w:rPr>
        <w:t>。首先，</w:t>
      </w:r>
      <w:r>
        <w:rPr>
          <w:rFonts w:hint="eastAsia" w:ascii="仿宋_GB2312" w:eastAsia="仿宋_GB2312" w:cs="仿宋_GB2312"/>
          <w:sz w:val="36"/>
          <w:szCs w:val="36"/>
          <w:lang w:val="en-US" w:eastAsia="zh-CN"/>
        </w:rPr>
        <w:t>我代表南昌市生态环境局，对长期以来关注、关心</w:t>
      </w:r>
      <w:r>
        <w:rPr>
          <w:rFonts w:hint="default" w:ascii="仿宋_GB2312" w:eastAsia="仿宋_GB2312" w:cs="仿宋_GB2312"/>
          <w:sz w:val="36"/>
          <w:szCs w:val="36"/>
          <w:lang w:val="en-US" w:eastAsia="zh-CN"/>
        </w:rPr>
        <w:t>、关爱</w:t>
      </w:r>
      <w:r>
        <w:rPr>
          <w:rFonts w:hint="eastAsia" w:ascii="仿宋_GB2312" w:eastAsia="仿宋_GB2312" w:cs="仿宋_GB2312"/>
          <w:sz w:val="36"/>
          <w:szCs w:val="36"/>
          <w:lang w:val="en-US" w:eastAsia="zh-CN"/>
        </w:rPr>
        <w:t>我市生态环境保护工作，支持、助力我市生态环境事业发展的各位记者朋友表示衷心的感谢！</w:t>
      </w:r>
    </w:p>
    <w:p w14:paraId="25B62450">
      <w:pPr>
        <w:keepNext w:val="0"/>
        <w:keepLines w:val="0"/>
        <w:pageBreakBefore w:val="0"/>
        <w:widowControl w:val="0"/>
        <w:kinsoku/>
        <w:wordWrap/>
        <w:overflowPunct/>
        <w:topLinePunct w:val="0"/>
        <w:autoSpaceDE/>
        <w:autoSpaceDN/>
        <w:bidi w:val="0"/>
        <w:adjustRightInd/>
        <w:snapToGrid/>
        <w:spacing w:line="480" w:lineRule="auto"/>
        <w:ind w:firstLine="720" w:firstLineChars="200"/>
        <w:textAlignment w:val="auto"/>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近日，我局正式发布了《2024年南昌市生态环境状况公报》。我</w:t>
      </w:r>
      <w:r>
        <w:rPr>
          <w:rFonts w:hint="default" w:ascii="仿宋_GB2312" w:eastAsia="仿宋_GB2312" w:cs="仿宋_GB2312"/>
          <w:sz w:val="36"/>
          <w:szCs w:val="36"/>
          <w:lang w:val="en-US" w:eastAsia="zh-CN"/>
        </w:rPr>
        <w:t>就</w:t>
      </w:r>
      <w:r>
        <w:rPr>
          <w:rFonts w:hint="eastAsia" w:ascii="仿宋_GB2312" w:eastAsia="仿宋_GB2312" w:cs="仿宋_GB2312"/>
          <w:sz w:val="36"/>
          <w:szCs w:val="36"/>
          <w:lang w:val="en-US" w:eastAsia="zh-CN"/>
        </w:rPr>
        <w:t>《公报》有关内容</w:t>
      </w:r>
      <w:r>
        <w:rPr>
          <w:rFonts w:hint="default" w:ascii="仿宋_GB2312" w:eastAsia="仿宋_GB2312" w:cs="仿宋_GB2312"/>
          <w:sz w:val="36"/>
          <w:szCs w:val="36"/>
          <w:lang w:val="en-US" w:eastAsia="zh-CN"/>
        </w:rPr>
        <w:t>作个</w:t>
      </w:r>
      <w:r>
        <w:rPr>
          <w:rFonts w:hint="eastAsia" w:ascii="仿宋_GB2312" w:eastAsia="仿宋_GB2312" w:cs="仿宋_GB2312"/>
          <w:sz w:val="36"/>
          <w:szCs w:val="36"/>
          <w:lang w:val="en-US" w:eastAsia="zh-CN"/>
        </w:rPr>
        <w:t>简要介绍，</w:t>
      </w:r>
      <w:r>
        <w:rPr>
          <w:rFonts w:hint="default" w:ascii="仿宋_GB2312" w:eastAsia="仿宋_GB2312" w:cs="仿宋_GB2312"/>
          <w:sz w:val="36"/>
          <w:szCs w:val="36"/>
          <w:lang w:val="en-US" w:eastAsia="zh-CN"/>
        </w:rPr>
        <w:t>同时，</w:t>
      </w:r>
      <w:r>
        <w:rPr>
          <w:rFonts w:hint="eastAsia" w:ascii="仿宋_GB2312" w:eastAsia="仿宋_GB2312" w:cs="仿宋_GB2312"/>
          <w:sz w:val="36"/>
          <w:szCs w:val="36"/>
          <w:lang w:val="en-US" w:eastAsia="zh-CN"/>
        </w:rPr>
        <w:t>通报今年上半年我市生态环境保护重点工作</w:t>
      </w:r>
      <w:r>
        <w:rPr>
          <w:rFonts w:hint="default" w:ascii="仿宋_GB2312" w:eastAsia="仿宋_GB2312" w:cs="仿宋_GB2312"/>
          <w:sz w:val="36"/>
          <w:szCs w:val="36"/>
          <w:lang w:val="en-US" w:eastAsia="zh-CN"/>
        </w:rPr>
        <w:t>有关情况</w:t>
      </w:r>
      <w:r>
        <w:rPr>
          <w:rFonts w:hint="eastAsia" w:ascii="仿宋_GB2312" w:eastAsia="仿宋_GB2312" w:cs="仿宋_GB2312"/>
          <w:sz w:val="36"/>
          <w:szCs w:val="36"/>
          <w:lang w:val="en-US" w:eastAsia="zh-CN"/>
        </w:rPr>
        <w:t>。</w:t>
      </w:r>
    </w:p>
    <w:p w14:paraId="7CB00DBF">
      <w:pPr>
        <w:keepNext w:val="0"/>
        <w:keepLines w:val="0"/>
        <w:pageBreakBefore w:val="0"/>
        <w:widowControl w:val="0"/>
        <w:kinsoku/>
        <w:wordWrap/>
        <w:overflowPunct/>
        <w:topLinePunct w:val="0"/>
        <w:autoSpaceDE/>
        <w:autoSpaceDN/>
        <w:bidi w:val="0"/>
        <w:adjustRightInd/>
        <w:snapToGrid/>
        <w:spacing w:line="480" w:lineRule="auto"/>
        <w:ind w:firstLine="720" w:firstLineChars="200"/>
        <w:textAlignment w:val="auto"/>
        <w:rPr>
          <w:rFonts w:hint="eastAsia" w:ascii="黑体" w:eastAsia="黑体" w:cs="黑体"/>
          <w:sz w:val="36"/>
          <w:szCs w:val="36"/>
          <w:lang w:val="en-US" w:eastAsia="zh-CN"/>
        </w:rPr>
      </w:pPr>
      <w:r>
        <w:rPr>
          <w:rFonts w:hint="eastAsia" w:ascii="黑体" w:eastAsia="黑体" w:cs="黑体"/>
          <w:sz w:val="36"/>
          <w:szCs w:val="36"/>
          <w:lang w:val="en-US" w:eastAsia="zh-CN"/>
        </w:rPr>
        <w:t>一、2024年南昌市生态环境状况</w:t>
      </w:r>
    </w:p>
    <w:p w14:paraId="43E09A4F">
      <w:pPr>
        <w:keepNext w:val="0"/>
        <w:keepLines w:val="0"/>
        <w:pageBreakBefore w:val="0"/>
        <w:widowControl w:val="0"/>
        <w:kinsoku/>
        <w:wordWrap/>
        <w:overflowPunct/>
        <w:topLinePunct w:val="0"/>
        <w:autoSpaceDE/>
        <w:autoSpaceDN/>
        <w:bidi w:val="0"/>
        <w:adjustRightInd/>
        <w:snapToGrid/>
        <w:spacing w:line="480" w:lineRule="auto"/>
        <w:ind w:firstLine="720" w:firstLineChars="200"/>
        <w:textAlignment w:val="auto"/>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2024年，在市委市政府和省生态环境厅坚强领导</w:t>
      </w:r>
      <w:r>
        <w:rPr>
          <w:rFonts w:hint="default" w:ascii="仿宋_GB2312" w:eastAsia="仿宋_GB2312" w:cs="仿宋_GB2312"/>
          <w:sz w:val="36"/>
          <w:szCs w:val="36"/>
          <w:lang w:val="en-US" w:eastAsia="zh-CN"/>
        </w:rPr>
        <w:t>、高位推动、科学调度和全市上下的共同努力下</w:t>
      </w:r>
      <w:r>
        <w:rPr>
          <w:rFonts w:hint="eastAsia" w:ascii="仿宋_GB2312" w:eastAsia="仿宋_GB2312" w:cs="仿宋_GB2312"/>
          <w:sz w:val="36"/>
          <w:szCs w:val="36"/>
          <w:lang w:val="en-US" w:eastAsia="zh-CN"/>
        </w:rPr>
        <w:t>，</w:t>
      </w:r>
      <w:r>
        <w:rPr>
          <w:rFonts w:hint="default" w:ascii="仿宋_GB2312" w:eastAsia="仿宋_GB2312" w:cs="仿宋_GB2312"/>
          <w:sz w:val="36"/>
          <w:szCs w:val="36"/>
          <w:lang w:val="en-US" w:eastAsia="zh-CN"/>
        </w:rPr>
        <w:t>我</w:t>
      </w:r>
      <w:r>
        <w:rPr>
          <w:rFonts w:hint="eastAsia" w:ascii="仿宋_GB2312" w:eastAsia="仿宋_GB2312" w:cs="仿宋_GB2312"/>
          <w:sz w:val="36"/>
          <w:szCs w:val="36"/>
          <w:lang w:val="en-US" w:eastAsia="zh-CN"/>
        </w:rPr>
        <w:t>市生态环境质量</w:t>
      </w:r>
      <w:r>
        <w:rPr>
          <w:rFonts w:hint="default" w:ascii="仿宋_GB2312" w:eastAsia="仿宋_GB2312" w:cs="仿宋_GB2312"/>
          <w:sz w:val="36"/>
          <w:szCs w:val="36"/>
          <w:lang w:val="en-US" w:eastAsia="zh-CN"/>
        </w:rPr>
        <w:t>稳中有升、</w:t>
      </w:r>
      <w:r>
        <w:rPr>
          <w:rFonts w:hint="eastAsia" w:ascii="仿宋_GB2312" w:eastAsia="仿宋_GB2312" w:cs="仿宋_GB2312"/>
          <w:sz w:val="36"/>
          <w:szCs w:val="36"/>
          <w:lang w:val="en-US" w:eastAsia="zh-CN"/>
        </w:rPr>
        <w:t>持续改善，绿色发展步伐更加坚实。主要表现为“三个向好”和“两个稳定”。</w:t>
      </w:r>
    </w:p>
    <w:p w14:paraId="10AFF12B">
      <w:pPr>
        <w:keepNext w:val="0"/>
        <w:keepLines w:val="0"/>
        <w:pageBreakBefore w:val="0"/>
        <w:widowControl w:val="0"/>
        <w:kinsoku/>
        <w:wordWrap/>
        <w:overflowPunct/>
        <w:topLinePunct w:val="0"/>
        <w:autoSpaceDE/>
        <w:autoSpaceDN/>
        <w:bidi w:val="0"/>
        <w:adjustRightInd/>
        <w:snapToGrid/>
        <w:spacing w:line="480" w:lineRule="auto"/>
        <w:ind w:firstLine="723" w:firstLineChars="200"/>
        <w:textAlignment w:val="auto"/>
        <w:rPr>
          <w:rFonts w:asci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一是大气环境质量稳中向好。</w:t>
      </w:r>
      <w:r>
        <w:rPr>
          <w:rFonts w:hint="eastAsia" w:ascii="仿宋_GB2312" w:eastAsia="仿宋_GB2312" w:cs="仿宋_GB2312"/>
          <w:sz w:val="36"/>
          <w:szCs w:val="36"/>
          <w:lang w:val="en-US" w:eastAsia="zh-CN"/>
        </w:rPr>
        <w:t>PM</w:t>
      </w:r>
      <w:r>
        <w:rPr>
          <w:rFonts w:hint="eastAsia" w:ascii="仿宋_GB2312" w:eastAsia="仿宋_GB2312" w:cs="仿宋_GB2312"/>
          <w:sz w:val="36"/>
          <w:szCs w:val="36"/>
          <w:vertAlign w:val="subscript"/>
          <w:lang w:val="en-US" w:eastAsia="zh-CN"/>
        </w:rPr>
        <w:t>2.5</w:t>
      </w:r>
      <w:r>
        <w:rPr>
          <w:rFonts w:hint="eastAsia" w:ascii="仿宋_GB2312" w:eastAsia="仿宋_GB2312" w:cs="仿宋_GB2312"/>
          <w:sz w:val="36"/>
          <w:szCs w:val="36"/>
          <w:lang w:val="en-US" w:eastAsia="zh-CN"/>
        </w:rPr>
        <w:t>年均浓度为32.0微克/立方米，同比改善4.2%；PM</w:t>
      </w:r>
      <w:r>
        <w:rPr>
          <w:rFonts w:hint="eastAsia" w:ascii="仿宋_GB2312" w:eastAsia="仿宋_GB2312" w:cs="仿宋_GB2312"/>
          <w:sz w:val="36"/>
          <w:szCs w:val="36"/>
          <w:vertAlign w:val="subscript"/>
          <w:lang w:val="en-US" w:eastAsia="zh-CN"/>
        </w:rPr>
        <w:t>10</w:t>
      </w:r>
      <w:r>
        <w:rPr>
          <w:rFonts w:hint="eastAsia" w:ascii="仿宋_GB2312" w:eastAsia="仿宋_GB2312" w:cs="仿宋_GB2312"/>
          <w:sz w:val="36"/>
          <w:szCs w:val="36"/>
          <w:lang w:val="en-US" w:eastAsia="zh-CN"/>
        </w:rPr>
        <w:t>年均浓度为52.0微克/立方米，同比改善8.9%；优良天数比率为92.1%，PM</w:t>
      </w:r>
      <w:r>
        <w:rPr>
          <w:rFonts w:hint="eastAsia" w:ascii="仿宋_GB2312" w:eastAsia="仿宋_GB2312" w:cs="仿宋_GB2312"/>
          <w:sz w:val="36"/>
          <w:szCs w:val="36"/>
          <w:vertAlign w:val="subscript"/>
          <w:lang w:val="en-US" w:eastAsia="zh-CN"/>
        </w:rPr>
        <w:t>2.5</w:t>
      </w:r>
      <w:r>
        <w:rPr>
          <w:rFonts w:hint="eastAsia" w:ascii="仿宋_GB2312" w:eastAsia="仿宋_GB2312" w:cs="仿宋_GB2312"/>
          <w:sz w:val="36"/>
          <w:szCs w:val="36"/>
          <w:lang w:val="en-US" w:eastAsia="zh-CN"/>
        </w:rPr>
        <w:t>、PM</w:t>
      </w:r>
      <w:r>
        <w:rPr>
          <w:rFonts w:hint="eastAsia" w:ascii="仿宋_GB2312" w:eastAsia="仿宋_GB2312" w:cs="仿宋_GB2312"/>
          <w:sz w:val="36"/>
          <w:szCs w:val="36"/>
          <w:vertAlign w:val="subscript"/>
          <w:lang w:val="en-US" w:eastAsia="zh-CN"/>
        </w:rPr>
        <w:t>10</w:t>
      </w:r>
      <w:r>
        <w:rPr>
          <w:rFonts w:hint="eastAsia" w:ascii="仿宋_GB2312" w:eastAsia="仿宋_GB2312" w:cs="仿宋_GB2312"/>
          <w:sz w:val="36"/>
          <w:szCs w:val="36"/>
          <w:lang w:val="en-US" w:eastAsia="zh-CN"/>
        </w:rPr>
        <w:t>和优良天数比例等指标排名</w:t>
      </w:r>
      <w:r>
        <w:rPr>
          <w:rFonts w:hint="default" w:ascii="仿宋_GB2312" w:eastAsia="仿宋_GB2312" w:cs="仿宋_GB2312"/>
          <w:sz w:val="36"/>
          <w:szCs w:val="36"/>
          <w:lang w:val="en-US" w:eastAsia="zh-CN"/>
        </w:rPr>
        <w:t>继续保持</w:t>
      </w:r>
      <w:r>
        <w:rPr>
          <w:rFonts w:hint="eastAsia" w:ascii="仿宋_GB2312" w:eastAsia="仿宋_GB2312" w:cs="仿宋_GB2312"/>
          <w:sz w:val="36"/>
          <w:szCs w:val="36"/>
          <w:lang w:val="en-US" w:eastAsia="zh-CN"/>
        </w:rPr>
        <w:t>中部六省会城市第一，</w:t>
      </w:r>
      <w:r>
        <w:rPr>
          <w:rFonts w:hint="default" w:ascii="仿宋_GB2312" w:eastAsia="仿宋_GB2312" w:cs="仿宋_GB2312"/>
          <w:sz w:val="36"/>
          <w:szCs w:val="36"/>
          <w:lang w:val="en-US" w:eastAsia="zh-CN"/>
        </w:rPr>
        <w:t>环境</w:t>
      </w:r>
      <w:r>
        <w:rPr>
          <w:rFonts w:hint="eastAsia" w:ascii="仿宋_GB2312" w:eastAsia="仿宋_GB2312" w:cs="仿宋_GB2312"/>
          <w:sz w:val="36"/>
          <w:szCs w:val="36"/>
          <w:lang w:val="en-US" w:eastAsia="zh-CN"/>
        </w:rPr>
        <w:t>空气质量</w:t>
      </w:r>
      <w:r>
        <w:rPr>
          <w:rFonts w:hint="default" w:ascii="仿宋_GB2312" w:eastAsia="仿宋_GB2312" w:cs="仿宋_GB2312"/>
          <w:sz w:val="36"/>
          <w:szCs w:val="36"/>
          <w:lang w:val="en-US" w:eastAsia="zh-CN"/>
        </w:rPr>
        <w:t>综合指数达到历史最好水平，并</w:t>
      </w:r>
      <w:r>
        <w:rPr>
          <w:rFonts w:hint="eastAsia" w:ascii="仿宋_GB2312" w:eastAsia="仿宋_GB2312" w:cs="仿宋_GB2312"/>
          <w:sz w:val="36"/>
          <w:szCs w:val="36"/>
          <w:lang w:val="en-US" w:eastAsia="zh-CN"/>
        </w:rPr>
        <w:t>连续7年达国家二级标准。</w:t>
      </w:r>
    </w:p>
    <w:p w14:paraId="6B784665">
      <w:pPr>
        <w:keepNext w:val="0"/>
        <w:keepLines w:val="0"/>
        <w:pageBreakBefore w:val="0"/>
        <w:widowControl w:val="0"/>
        <w:kinsoku/>
        <w:wordWrap/>
        <w:overflowPunct/>
        <w:topLinePunct w:val="0"/>
        <w:autoSpaceDE/>
        <w:autoSpaceDN/>
        <w:bidi w:val="0"/>
        <w:adjustRightInd/>
        <w:snapToGrid/>
        <w:spacing w:line="480" w:lineRule="auto"/>
        <w:ind w:firstLine="723" w:firstLineChars="200"/>
        <w:textAlignment w:val="auto"/>
        <w:rPr>
          <w:rFonts w:asci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二是水环境质量持续向好。</w:t>
      </w:r>
      <w:r>
        <w:rPr>
          <w:rFonts w:hint="eastAsia" w:ascii="仿宋_GB2312" w:hAnsi="仿宋_GB2312" w:eastAsia="仿宋_GB2312" w:cs="仿宋_GB2312"/>
          <w:b w:val="0"/>
          <w:bCs w:val="0"/>
          <w:sz w:val="36"/>
          <w:szCs w:val="36"/>
          <w:lang w:val="en-US" w:eastAsia="zh-CN"/>
        </w:rPr>
        <w:t>全市</w:t>
      </w:r>
      <w:r>
        <w:rPr>
          <w:rFonts w:hint="eastAsia" w:ascii="仿宋_GB2312" w:eastAsia="仿宋_GB2312" w:cs="仿宋_GB2312"/>
          <w:sz w:val="36"/>
          <w:szCs w:val="36"/>
          <w:lang w:val="en-US" w:eastAsia="zh-CN"/>
        </w:rPr>
        <w:t>国考断面水质优良率稳定保持90.9%；达</w:t>
      </w:r>
      <w:r>
        <w:rPr>
          <w:rFonts w:hint="eastAsia" w:ascii="宋体" w:eastAsia="宋体" w:cs="宋体"/>
          <w:sz w:val="36"/>
          <w:szCs w:val="36"/>
          <w:lang w:val="en-US" w:eastAsia="zh-CN"/>
        </w:rPr>
        <w:t>Ⅱ</w:t>
      </w:r>
      <w:r>
        <w:rPr>
          <w:rFonts w:hint="eastAsia" w:ascii="仿宋_GB2312" w:eastAsia="仿宋_GB2312" w:cs="仿宋_GB2312"/>
          <w:sz w:val="36"/>
          <w:szCs w:val="36"/>
          <w:lang w:val="en-US" w:eastAsia="zh-CN"/>
        </w:rPr>
        <w:t>类水质断面占比为72.73%，同比上升6.06个百分点，其中赣江干流、抚河、潦河</w:t>
      </w:r>
      <w:r>
        <w:rPr>
          <w:rFonts w:hint="default" w:ascii="仿宋_GB2312" w:eastAsia="仿宋_GB2312" w:cs="仿宋_GB2312"/>
          <w:sz w:val="36"/>
          <w:szCs w:val="36"/>
          <w:lang w:val="en-US" w:eastAsia="zh-CN"/>
        </w:rPr>
        <w:t>南昌段</w:t>
      </w:r>
      <w:r>
        <w:rPr>
          <w:rFonts w:hint="eastAsia" w:ascii="仿宋_GB2312" w:eastAsia="仿宋_GB2312" w:cs="仿宋_GB2312"/>
          <w:sz w:val="36"/>
          <w:szCs w:val="36"/>
          <w:lang w:val="en-US" w:eastAsia="zh-CN"/>
        </w:rPr>
        <w:t>断面水质连续4年达到Ⅱ类</w:t>
      </w:r>
      <w:r>
        <w:rPr>
          <w:rFonts w:hint="default" w:ascii="仿宋_GB2312" w:eastAsia="仿宋_GB2312" w:cs="仿宋_GB2312"/>
          <w:sz w:val="36"/>
          <w:szCs w:val="36"/>
          <w:lang w:val="en-US" w:eastAsia="zh-CN"/>
        </w:rPr>
        <w:t>。</w:t>
      </w:r>
      <w:r>
        <w:rPr>
          <w:rFonts w:hint="default" w:ascii="仿宋_GB2312" w:eastAsia="仿宋_GB2312" w:cs="仿宋_GB2312"/>
          <w:b/>
          <w:bCs/>
          <w:sz w:val="36"/>
          <w:szCs w:val="36"/>
          <w:lang w:val="en-US" w:eastAsia="zh-CN"/>
        </w:rPr>
        <w:t>这里需要特别指出的是：我们以往讲的赣江南昌段水质达到</w:t>
      </w:r>
      <w:r>
        <w:rPr>
          <w:rFonts w:hint="eastAsia" w:ascii="仿宋_GB2312" w:eastAsia="仿宋_GB2312" w:cs="仿宋_GB2312"/>
          <w:b/>
          <w:bCs/>
          <w:color w:val="FF0000"/>
          <w:sz w:val="36"/>
          <w:szCs w:val="36"/>
          <w:lang w:val="en-US" w:eastAsia="zh-CN"/>
        </w:rPr>
        <w:t>Ⅱ</w:t>
      </w:r>
      <w:r>
        <w:rPr>
          <w:rFonts w:hint="default" w:ascii="仿宋_GB2312" w:eastAsia="仿宋_GB2312" w:cs="仿宋_GB2312"/>
          <w:b/>
          <w:bCs/>
          <w:color w:val="FF0000"/>
          <w:sz w:val="36"/>
          <w:szCs w:val="36"/>
          <w:lang w:val="en-US" w:eastAsia="zh-CN"/>
        </w:rPr>
        <w:t>类</w:t>
      </w:r>
      <w:r>
        <w:rPr>
          <w:rFonts w:hint="default" w:ascii="仿宋_GB2312" w:eastAsia="仿宋_GB2312" w:cs="仿宋_GB2312"/>
          <w:b/>
          <w:bCs/>
          <w:sz w:val="36"/>
          <w:szCs w:val="36"/>
          <w:lang w:val="en-US" w:eastAsia="zh-CN"/>
        </w:rPr>
        <w:t>，仅限于干流10个断面，2024年我们赣江南昌段的所有16个断面，包括干流10个断面、南支4个断面、中支1个断面、北支1个断面，全部达到</w:t>
      </w:r>
      <w:r>
        <w:rPr>
          <w:rFonts w:hint="eastAsia" w:ascii="仿宋_GB2312" w:eastAsia="仿宋_GB2312" w:cs="仿宋_GB2312"/>
          <w:b/>
          <w:bCs/>
          <w:sz w:val="36"/>
          <w:szCs w:val="36"/>
          <w:lang w:val="en-US" w:eastAsia="zh-CN"/>
        </w:rPr>
        <w:t>Ⅱ类</w:t>
      </w:r>
      <w:r>
        <w:rPr>
          <w:rFonts w:hint="default" w:ascii="仿宋_GB2312" w:eastAsia="仿宋_GB2312" w:cs="仿宋_GB2312"/>
          <w:b/>
          <w:bCs/>
          <w:sz w:val="36"/>
          <w:szCs w:val="36"/>
          <w:lang w:val="en-US" w:eastAsia="zh-CN"/>
        </w:rPr>
        <w:t>水质，实现赣江南昌段</w:t>
      </w:r>
      <w:r>
        <w:rPr>
          <w:rFonts w:hint="eastAsia" w:ascii="仿宋_GB2312" w:eastAsia="仿宋_GB2312" w:cs="仿宋_GB2312"/>
          <w:b/>
          <w:bCs/>
          <w:sz w:val="36"/>
          <w:szCs w:val="36"/>
          <w:lang w:val="en-US" w:eastAsia="zh-CN"/>
        </w:rPr>
        <w:t>Ⅱ类</w:t>
      </w:r>
      <w:r>
        <w:rPr>
          <w:rFonts w:hint="default" w:ascii="仿宋_GB2312" w:eastAsia="仿宋_GB2312" w:cs="仿宋_GB2312"/>
          <w:b/>
          <w:bCs/>
          <w:sz w:val="36"/>
          <w:szCs w:val="36"/>
          <w:lang w:val="en-US" w:eastAsia="zh-CN"/>
        </w:rPr>
        <w:t>全覆盖，确保“一江清水入鄱阳”。</w:t>
      </w:r>
      <w:r>
        <w:rPr>
          <w:rFonts w:hint="eastAsia" w:ascii="仿宋_GB2312" w:eastAsia="仿宋_GB2312" w:cs="仿宋_GB2312"/>
          <w:sz w:val="36"/>
          <w:szCs w:val="36"/>
          <w:lang w:val="en-US" w:eastAsia="zh-CN"/>
        </w:rPr>
        <w:t>全市地表水水质综合指数为3.7645，同比变好4.93%；县级及以上集中式饮用水水源地水质达标率保持100%。2024年，鄱阳湖南昌湖区总磷浓度为0.068mg/L，同比改善4.23%，湖区总磷浓度实现3年连续改善，生态环境部公布的2024年1-12月全国地表水环境质量状况中，我市南矶山、金溪咀刘家2个鄱阳湖湖区断面改善幅度进入全国地表水断面水质同比变好前30位。</w:t>
      </w:r>
    </w:p>
    <w:p w14:paraId="19D8CA73">
      <w:pPr>
        <w:keepNext w:val="0"/>
        <w:keepLines w:val="0"/>
        <w:pageBreakBefore w:val="0"/>
        <w:widowControl w:val="0"/>
        <w:kinsoku/>
        <w:wordWrap/>
        <w:overflowPunct/>
        <w:topLinePunct w:val="0"/>
        <w:autoSpaceDE/>
        <w:autoSpaceDN/>
        <w:bidi w:val="0"/>
        <w:adjustRightInd/>
        <w:snapToGrid/>
        <w:spacing w:line="480" w:lineRule="auto"/>
        <w:ind w:firstLine="723" w:firstLineChars="200"/>
        <w:textAlignment w:val="auto"/>
        <w:rPr>
          <w:rFonts w:asci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三是自然生态状况总体向好。</w:t>
      </w:r>
      <w:r>
        <w:rPr>
          <w:rFonts w:hint="eastAsia" w:ascii="仿宋_GB2312" w:eastAsia="仿宋_GB2312" w:cs="仿宋_GB2312"/>
          <w:sz w:val="36"/>
          <w:szCs w:val="36"/>
          <w:lang w:val="en-US" w:eastAsia="zh-CN"/>
        </w:rPr>
        <w:t>2024年，全市生态质量等级为二类，生态质量指数（EQI）值为62.36，与2023年相比改善了0.11。</w:t>
      </w:r>
    </w:p>
    <w:p w14:paraId="353A247E">
      <w:pPr>
        <w:keepNext w:val="0"/>
        <w:keepLines w:val="0"/>
        <w:pageBreakBefore w:val="0"/>
        <w:widowControl w:val="0"/>
        <w:kinsoku/>
        <w:wordWrap/>
        <w:overflowPunct/>
        <w:topLinePunct w:val="0"/>
        <w:autoSpaceDE/>
        <w:autoSpaceDN/>
        <w:bidi w:val="0"/>
        <w:adjustRightInd/>
        <w:snapToGrid/>
        <w:spacing w:line="480" w:lineRule="auto"/>
        <w:ind w:firstLine="723" w:firstLineChars="200"/>
        <w:textAlignment w:val="auto"/>
        <w:rPr>
          <w:rFonts w:asci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四是土壤质量保持稳定。</w:t>
      </w:r>
      <w:r>
        <w:rPr>
          <w:rFonts w:ascii="仿宋_GB2312" w:eastAsia="仿宋_GB2312" w:cs="仿宋_GB2312"/>
          <w:sz w:val="36"/>
          <w:szCs w:val="36"/>
          <w:lang w:val="en-US" w:eastAsia="zh-CN"/>
        </w:rPr>
        <w:t>2024年，重点建设用地安全利用得到有效保障，未发生疑似污染地块或污染地块再开发利用不当造成不良社会影响事件；耕地安全利用得到有效保障，未发生因耕地土壤污染导致农产品质量超标事件。</w:t>
      </w:r>
    </w:p>
    <w:p w14:paraId="4A7E3A2B">
      <w:pPr>
        <w:keepNext w:val="0"/>
        <w:keepLines w:val="0"/>
        <w:pageBreakBefore w:val="0"/>
        <w:widowControl w:val="0"/>
        <w:kinsoku/>
        <w:wordWrap/>
        <w:overflowPunct/>
        <w:topLinePunct w:val="0"/>
        <w:autoSpaceDE/>
        <w:autoSpaceDN/>
        <w:bidi w:val="0"/>
        <w:adjustRightInd/>
        <w:snapToGrid/>
        <w:spacing w:line="480" w:lineRule="auto"/>
        <w:ind w:firstLine="723" w:firstLineChars="200"/>
        <w:textAlignment w:val="auto"/>
        <w:rPr>
          <w:rFonts w:hint="eastAsia" w:asci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五是城市声环境总体稳定。</w:t>
      </w:r>
      <w:r>
        <w:rPr>
          <w:rFonts w:hint="eastAsia" w:ascii="仿宋_GB2312" w:eastAsia="仿宋_GB2312" w:cs="仿宋_GB2312"/>
          <w:sz w:val="36"/>
          <w:szCs w:val="36"/>
          <w:lang w:val="en-US" w:eastAsia="zh-CN"/>
        </w:rPr>
        <w:t>城区声环境功能区自动监测站点昼间、夜间达标率分别为</w:t>
      </w:r>
      <w:r>
        <w:rPr>
          <w:rFonts w:hint="eastAsia" w:ascii="仿宋_GB2312" w:hAnsi="Calibri" w:eastAsia="仿宋_GB2312" w:cs="仿宋_GB2312"/>
          <w:color w:val="auto"/>
          <w:sz w:val="36"/>
          <w:szCs w:val="36"/>
          <w:lang w:val="en-US" w:eastAsia="zh-CN"/>
        </w:rPr>
        <w:t>93%</w:t>
      </w:r>
      <w:r>
        <w:rPr>
          <w:rFonts w:hint="eastAsia" w:ascii="仿宋_GB2312" w:hAnsi="Calibri" w:eastAsia="仿宋_GB2312" w:cs="仿宋_GB2312"/>
          <w:sz w:val="36"/>
          <w:szCs w:val="36"/>
          <w:lang w:val="en-US" w:eastAsia="zh-CN"/>
        </w:rPr>
        <w:t>、</w:t>
      </w:r>
      <w:r>
        <w:rPr>
          <w:rFonts w:hint="eastAsia" w:ascii="仿宋_GB2312" w:hAnsi="Calibri" w:eastAsia="仿宋_GB2312" w:cs="仿宋_GB2312"/>
          <w:color w:val="auto"/>
          <w:sz w:val="36"/>
          <w:szCs w:val="36"/>
          <w:lang w:val="en-US" w:eastAsia="zh-CN"/>
        </w:rPr>
        <w:t>85.5%</w:t>
      </w:r>
      <w:r>
        <w:rPr>
          <w:rFonts w:hint="eastAsia" w:ascii="仿宋_GB2312" w:eastAsia="仿宋_GB2312" w:cs="仿宋_GB2312"/>
          <w:sz w:val="36"/>
          <w:szCs w:val="36"/>
          <w:lang w:val="en-US" w:eastAsia="zh-CN"/>
        </w:rPr>
        <w:t>，夜间达标率连续四年达到全国文明城市考核目标，城市道路交通噪声昼间等效交通噪声总体水平等级为一级，评价结果为好，“宁静南昌”建设成效显著。</w:t>
      </w:r>
    </w:p>
    <w:p w14:paraId="04C5140A">
      <w:pPr>
        <w:keepNext w:val="0"/>
        <w:keepLines w:val="0"/>
        <w:pageBreakBefore w:val="0"/>
        <w:widowControl w:val="0"/>
        <w:kinsoku/>
        <w:wordWrap/>
        <w:overflowPunct/>
        <w:topLinePunct w:val="0"/>
        <w:autoSpaceDE/>
        <w:autoSpaceDN/>
        <w:bidi w:val="0"/>
        <w:adjustRightInd/>
        <w:snapToGrid/>
        <w:spacing w:line="480" w:lineRule="auto"/>
        <w:ind w:firstLine="720" w:firstLineChars="200"/>
        <w:textAlignment w:val="auto"/>
        <w:rPr>
          <w:rFonts w:hint="eastAsia" w:ascii="仿宋_GB2312" w:eastAsia="仿宋_GB2312" w:cs="仿宋_GB2312"/>
          <w:color w:val="auto"/>
          <w:sz w:val="36"/>
          <w:szCs w:val="36"/>
          <w:lang w:val="en-US" w:eastAsia="zh-CN"/>
        </w:rPr>
      </w:pPr>
      <w:r>
        <w:rPr>
          <w:rFonts w:hint="eastAsia" w:ascii="黑体" w:eastAsia="黑体" w:cs="黑体"/>
          <w:color w:val="auto"/>
          <w:sz w:val="36"/>
          <w:szCs w:val="36"/>
          <w:lang w:val="en-US" w:eastAsia="zh-CN"/>
        </w:rPr>
        <w:t>二、今年上半年全市生态环境保护重点工作情况</w:t>
      </w:r>
    </w:p>
    <w:p w14:paraId="7ABAE7A4">
      <w:pPr>
        <w:pStyle w:val="5"/>
        <w:keepNext w:val="0"/>
        <w:keepLines w:val="0"/>
        <w:pageBreakBefore w:val="0"/>
        <w:widowControl w:val="0"/>
        <w:kinsoku/>
        <w:wordWrap/>
        <w:overflowPunct/>
        <w:topLinePunct w:val="0"/>
        <w:autoSpaceDE/>
        <w:autoSpaceDN/>
        <w:bidi w:val="0"/>
        <w:adjustRightInd/>
        <w:snapToGrid/>
        <w:spacing w:before="0" w:after="0" w:line="480" w:lineRule="auto"/>
        <w:ind w:firstLine="723" w:firstLineChars="200"/>
        <w:textAlignment w:val="auto"/>
        <w:rPr>
          <w:rFonts w:hint="eastAsia" w:ascii="楷体_GB2312" w:eastAsia="楷体_GB2312" w:cs="楷体_GB2312"/>
          <w:b/>
          <w:bCs/>
          <w:color w:val="auto"/>
          <w:sz w:val="36"/>
          <w:szCs w:val="36"/>
          <w:lang w:val="en-US" w:eastAsia="zh-CN"/>
        </w:rPr>
      </w:pPr>
      <w:r>
        <w:rPr>
          <w:rFonts w:hint="eastAsia" w:ascii="楷体_GB2312" w:eastAsia="楷体_GB2312" w:cs="楷体_GB2312"/>
          <w:b/>
          <w:bCs/>
          <w:color w:val="auto"/>
          <w:sz w:val="36"/>
          <w:szCs w:val="36"/>
          <w:lang w:val="en-US" w:eastAsia="zh-CN"/>
        </w:rPr>
        <w:t>（一）以深入打好污染防治攻坚战为主线</w:t>
      </w:r>
    </w:p>
    <w:p w14:paraId="0F4AF803">
      <w:pPr>
        <w:pStyle w:val="5"/>
        <w:keepNext w:val="0"/>
        <w:keepLines w:val="0"/>
        <w:pageBreakBefore w:val="0"/>
        <w:widowControl w:val="0"/>
        <w:kinsoku/>
        <w:wordWrap/>
        <w:overflowPunct/>
        <w:topLinePunct w:val="0"/>
        <w:autoSpaceDE/>
        <w:autoSpaceDN/>
        <w:bidi w:val="0"/>
        <w:adjustRightInd/>
        <w:snapToGrid/>
        <w:spacing w:before="0" w:after="0" w:line="480" w:lineRule="auto"/>
        <w:ind w:firstLine="723" w:firstLineChars="200"/>
        <w:textAlignment w:val="auto"/>
        <w:rPr>
          <w:rFonts w:ascii="仿宋_GB2312" w:eastAsia="仿宋_GB2312" w:cs="仿宋_GB2312"/>
          <w:color w:val="auto"/>
          <w:sz w:val="36"/>
          <w:szCs w:val="36"/>
          <w:lang w:val="en-US" w:eastAsia="zh-CN"/>
        </w:rPr>
      </w:pPr>
      <w:r>
        <w:rPr>
          <w:rFonts w:hint="eastAsia" w:ascii="仿宋_GB2312" w:eastAsia="仿宋_GB2312" w:cs="仿宋_GB2312"/>
          <w:b/>
          <w:bCs/>
          <w:color w:val="auto"/>
          <w:sz w:val="36"/>
          <w:szCs w:val="36"/>
          <w:lang w:val="en-US" w:eastAsia="zh-CN"/>
        </w:rPr>
        <w:t>净气方面</w:t>
      </w:r>
      <w:r>
        <w:rPr>
          <w:rFonts w:hint="eastAsia" w:ascii="仿宋_GB2312" w:eastAsia="仿宋_GB2312" w:cs="仿宋_GB2312"/>
          <w:color w:val="auto"/>
          <w:sz w:val="36"/>
          <w:szCs w:val="36"/>
          <w:lang w:val="en-US" w:eastAsia="zh-CN"/>
        </w:rPr>
        <w:t>，在全省率先启动燃气（油）锅炉设施低氮燃烧改造，已完成首批7台锅炉改造；建成全省首个企业一次性吸附活性炭使用管理“慧换炭”平台，300余家中小企业全部纳入监管；大力创建高水平绿色环保企业，获评全省首批重污染天气绩效分级A级企业1家，B级或引领性企业7家。</w:t>
      </w:r>
      <w:r>
        <w:rPr>
          <w:rFonts w:hint="eastAsia" w:ascii="仿宋_GB2312" w:eastAsia="仿宋_GB2312" w:cs="仿宋_GB2312"/>
          <w:b/>
          <w:bCs/>
          <w:color w:val="auto"/>
          <w:sz w:val="36"/>
          <w:szCs w:val="36"/>
          <w:lang w:val="en-US" w:eastAsia="zh-CN"/>
        </w:rPr>
        <w:t>净水方面</w:t>
      </w:r>
      <w:r>
        <w:rPr>
          <w:rFonts w:hint="eastAsia" w:ascii="仿宋_GB2312" w:eastAsia="仿宋_GB2312" w:cs="仿宋_GB2312"/>
          <w:color w:val="auto"/>
          <w:sz w:val="36"/>
          <w:szCs w:val="36"/>
          <w:lang w:val="en-US" w:eastAsia="zh-CN"/>
        </w:rPr>
        <w:t>，以鄱阳湖水质改善为突破口，紧紧围绕入河排污口整治等重点难点，坚持标本兼治强化源头治理，全市共排查的1084个排污口按照“依法取缔一批、清理合并一批、规范整治一批”要求，已完成1046个排口整治，整治完成率97.57%。</w:t>
      </w:r>
      <w:r>
        <w:rPr>
          <w:rFonts w:hint="eastAsia" w:ascii="仿宋_GB2312" w:eastAsia="仿宋_GB2312" w:cs="仿宋_GB2312"/>
          <w:b/>
          <w:bCs/>
          <w:color w:val="auto"/>
          <w:sz w:val="36"/>
          <w:szCs w:val="36"/>
          <w:lang w:val="en-US" w:eastAsia="zh-CN"/>
        </w:rPr>
        <w:t>净土方面</w:t>
      </w:r>
      <w:r>
        <w:rPr>
          <w:rFonts w:hint="eastAsia" w:ascii="仿宋_GB2312" w:eastAsia="仿宋_GB2312" w:cs="仿宋_GB2312"/>
          <w:color w:val="auto"/>
          <w:sz w:val="36"/>
          <w:szCs w:val="36"/>
          <w:lang w:val="en-US" w:eastAsia="zh-CN"/>
        </w:rPr>
        <w:t>，持续推进土壤污染源头防控，建立健全农村生活污水治理（管控）长效机制，开展美丽乡村整县建设工作，深入推进“无废城市”建设，新增建成16个“无废细胞”。</w:t>
      </w:r>
    </w:p>
    <w:p w14:paraId="61F65C57">
      <w:pPr>
        <w:pStyle w:val="5"/>
        <w:keepNext w:val="0"/>
        <w:keepLines w:val="0"/>
        <w:pageBreakBefore w:val="0"/>
        <w:widowControl w:val="0"/>
        <w:kinsoku/>
        <w:wordWrap/>
        <w:overflowPunct/>
        <w:topLinePunct w:val="0"/>
        <w:autoSpaceDE/>
        <w:autoSpaceDN/>
        <w:bidi w:val="0"/>
        <w:adjustRightInd/>
        <w:snapToGrid/>
        <w:spacing w:before="0" w:after="0" w:line="480" w:lineRule="auto"/>
        <w:ind w:firstLine="723" w:firstLineChars="200"/>
        <w:textAlignment w:val="auto"/>
        <w:rPr>
          <w:rFonts w:ascii="楷体_GB2312" w:eastAsia="楷体_GB2312" w:cs="楷体_GB2312"/>
          <w:b/>
          <w:bCs/>
          <w:color w:val="auto"/>
          <w:sz w:val="36"/>
          <w:szCs w:val="36"/>
          <w:lang w:val="en-US" w:eastAsia="zh-CN"/>
        </w:rPr>
      </w:pPr>
      <w:r>
        <w:rPr>
          <w:rFonts w:hint="eastAsia" w:ascii="楷体_GB2312" w:eastAsia="楷体_GB2312" w:cs="楷体_GB2312"/>
          <w:b/>
          <w:bCs/>
          <w:color w:val="auto"/>
          <w:sz w:val="36"/>
          <w:szCs w:val="36"/>
          <w:lang w:val="en-US" w:eastAsia="zh-CN"/>
        </w:rPr>
        <w:t>（二）以强化</w:t>
      </w:r>
      <w:r>
        <w:rPr>
          <w:rFonts w:ascii="楷体_GB2312" w:eastAsia="楷体_GB2312" w:cs="楷体_GB2312"/>
          <w:b/>
          <w:bCs/>
          <w:color w:val="auto"/>
          <w:sz w:val="36"/>
          <w:szCs w:val="36"/>
          <w:lang w:val="en-US" w:eastAsia="zh-CN"/>
        </w:rPr>
        <w:t>生态保护与修复</w:t>
      </w:r>
      <w:r>
        <w:rPr>
          <w:rFonts w:hint="eastAsia" w:ascii="楷体_GB2312" w:eastAsia="楷体_GB2312" w:cs="楷体_GB2312"/>
          <w:b/>
          <w:bCs/>
          <w:color w:val="auto"/>
          <w:sz w:val="36"/>
          <w:szCs w:val="36"/>
          <w:lang w:val="en-US" w:eastAsia="zh-CN"/>
        </w:rPr>
        <w:t>为重点</w:t>
      </w:r>
    </w:p>
    <w:p w14:paraId="1296B0F9">
      <w:pPr>
        <w:pStyle w:val="5"/>
        <w:keepNext w:val="0"/>
        <w:keepLines w:val="0"/>
        <w:pageBreakBefore w:val="0"/>
        <w:widowControl w:val="0"/>
        <w:kinsoku/>
        <w:wordWrap/>
        <w:overflowPunct/>
        <w:topLinePunct w:val="0"/>
        <w:autoSpaceDE/>
        <w:autoSpaceDN/>
        <w:bidi w:val="0"/>
        <w:adjustRightInd/>
        <w:snapToGrid/>
        <w:spacing w:before="0" w:after="0" w:line="480" w:lineRule="auto"/>
        <w:ind w:firstLine="723" w:firstLineChars="200"/>
        <w:textAlignment w:val="auto"/>
        <w:rPr>
          <w:rFonts w:ascii="仿宋_GB2312" w:eastAsia="仿宋_GB2312" w:cs="仿宋_GB2312"/>
          <w:color w:val="auto"/>
          <w:sz w:val="36"/>
          <w:szCs w:val="36"/>
          <w:lang w:val="en-US" w:eastAsia="zh-CN"/>
        </w:rPr>
      </w:pPr>
      <w:r>
        <w:rPr>
          <w:rFonts w:hint="eastAsia" w:ascii="仿宋_GB2312" w:eastAsia="仿宋_GB2312" w:cs="仿宋_GB2312"/>
          <w:b/>
          <w:bCs/>
          <w:color w:val="auto"/>
          <w:sz w:val="36"/>
          <w:szCs w:val="36"/>
          <w:lang w:val="en-US" w:eastAsia="zh-CN"/>
        </w:rPr>
        <w:t>着力推进突出生态环境问题整改</w:t>
      </w:r>
      <w:r>
        <w:rPr>
          <w:rFonts w:hint="eastAsia" w:ascii="仿宋_GB2312" w:eastAsia="仿宋_GB2312" w:cs="仿宋_GB2312"/>
          <w:b w:val="0"/>
          <w:bCs w:val="0"/>
          <w:color w:val="auto"/>
          <w:sz w:val="36"/>
          <w:szCs w:val="36"/>
          <w:lang w:val="en-US" w:eastAsia="zh-CN"/>
        </w:rPr>
        <w:t>。</w:t>
      </w:r>
      <w:r>
        <w:rPr>
          <w:rFonts w:hint="eastAsia" w:ascii="仿宋_GB2312" w:eastAsia="仿宋_GB2312" w:cs="仿宋_GB2312"/>
          <w:color w:val="auto"/>
          <w:sz w:val="36"/>
          <w:szCs w:val="36"/>
          <w:lang w:val="en-US" w:eastAsia="zh-CN"/>
        </w:rPr>
        <w:t>2024年第三轮第二批中央生态环境保护督察反馈问题及交办信访件，针对涉及我市的18个问题，共制定具体整改措施61条，整改时限为2024年底的6个问题（22条措施）已完成核验销号问题3个；正在申请核验销号问题3个，其余问题整改正在推进中，交办信访件791件，已办结785件，已销号769件。</w:t>
      </w:r>
      <w:r>
        <w:rPr>
          <w:rFonts w:hint="eastAsia" w:ascii="仿宋_GB2312" w:eastAsia="仿宋_GB2312" w:cs="仿宋_GB2312"/>
          <w:b/>
          <w:bCs/>
          <w:color w:val="auto"/>
          <w:sz w:val="36"/>
          <w:szCs w:val="36"/>
          <w:lang w:val="en-US" w:eastAsia="zh-CN"/>
        </w:rPr>
        <w:t>持续加强自然生态保护</w:t>
      </w:r>
      <w:r>
        <w:rPr>
          <w:rFonts w:hint="eastAsia" w:ascii="仿宋_GB2312" w:eastAsia="仿宋_GB2312" w:cs="仿宋_GB2312"/>
          <w:b w:val="0"/>
          <w:bCs w:val="0"/>
          <w:color w:val="auto"/>
          <w:sz w:val="36"/>
          <w:szCs w:val="36"/>
          <w:lang w:val="en-US" w:eastAsia="zh-CN"/>
        </w:rPr>
        <w:t>。组织开展生态环境部下发的2024年第三批重要生态空间遥感监测线索点位现场核查，</w:t>
      </w:r>
      <w:r>
        <w:rPr>
          <w:rFonts w:hint="eastAsia" w:ascii="仿宋_GB2312" w:eastAsia="仿宋_GB2312" w:cs="仿宋_GB2312"/>
          <w:b w:val="0"/>
          <w:bCs w:val="0"/>
          <w:color w:val="FF0000"/>
          <w:sz w:val="36"/>
          <w:szCs w:val="36"/>
          <w:lang w:val="en-US" w:eastAsia="zh-CN"/>
        </w:rPr>
        <w:t>组织开展省生态环境厅下发的疑似生态破坏图斑现场核查</w:t>
      </w:r>
      <w:r>
        <w:rPr>
          <w:rFonts w:hint="eastAsia" w:ascii="仿宋_GB2312" w:eastAsia="仿宋_GB2312" w:cs="仿宋_GB2312"/>
          <w:b w:val="0"/>
          <w:bCs w:val="0"/>
          <w:color w:val="auto"/>
          <w:sz w:val="36"/>
          <w:szCs w:val="36"/>
          <w:lang w:val="en-US" w:eastAsia="zh-CN"/>
        </w:rPr>
        <w:t>，共核查点位3个。经核查，上述点位均无需整改，今年以来我市重要生态空间强化监督未发现新增违法违规问题</w:t>
      </w:r>
      <w:r>
        <w:rPr>
          <w:rFonts w:hint="eastAsia" w:ascii="仿宋_GB2312" w:eastAsia="仿宋_GB2312" w:cs="仿宋_GB2312"/>
          <w:color w:val="auto"/>
          <w:sz w:val="36"/>
          <w:szCs w:val="36"/>
          <w:lang w:val="en-US" w:eastAsia="zh-CN"/>
        </w:rPr>
        <w:t>。</w:t>
      </w:r>
      <w:r>
        <w:rPr>
          <w:rFonts w:hint="eastAsia" w:ascii="仿宋_GB2312" w:eastAsia="仿宋_GB2312" w:cs="仿宋_GB2312"/>
          <w:b/>
          <w:bCs/>
          <w:color w:val="auto"/>
          <w:sz w:val="36"/>
          <w:szCs w:val="36"/>
          <w:lang w:val="en-US" w:eastAsia="zh-CN"/>
        </w:rPr>
        <w:t>严密防范环境安全风险</w:t>
      </w:r>
      <w:r>
        <w:rPr>
          <w:rFonts w:hint="eastAsia" w:ascii="仿宋_GB2312" w:eastAsia="仿宋_GB2312" w:cs="仿宋_GB2312"/>
          <w:b w:val="0"/>
          <w:bCs w:val="0"/>
          <w:color w:val="auto"/>
          <w:sz w:val="36"/>
          <w:szCs w:val="36"/>
          <w:lang w:val="en-US" w:eastAsia="zh-CN"/>
        </w:rPr>
        <w:t>。</w:t>
      </w:r>
      <w:r>
        <w:rPr>
          <w:rFonts w:hint="eastAsia" w:ascii="仿宋_GB2312" w:eastAsia="仿宋_GB2312" w:cs="仿宋_GB2312"/>
          <w:color w:val="auto"/>
          <w:sz w:val="36"/>
          <w:szCs w:val="36"/>
          <w:lang w:val="en-US" w:eastAsia="zh-CN"/>
        </w:rPr>
        <w:t>今年以来，组织开展了岁末年初、全国两会以及重大节日、活动日安全生产隐患排查，并持续强化危险废物、重金属、化工等重点行业领域及汛期隐患排查整治等专项工作，累计出动执法人员684人次，排查企业数295家，发现一般环境隐患30个，重大隐患0个，均已全部整改完成。截止目前，未发生环境突发事件。</w:t>
      </w:r>
    </w:p>
    <w:p w14:paraId="43230D46">
      <w:pPr>
        <w:pStyle w:val="5"/>
        <w:keepNext w:val="0"/>
        <w:keepLines w:val="0"/>
        <w:pageBreakBefore w:val="0"/>
        <w:widowControl w:val="0"/>
        <w:kinsoku/>
        <w:wordWrap/>
        <w:overflowPunct/>
        <w:topLinePunct w:val="0"/>
        <w:autoSpaceDE/>
        <w:autoSpaceDN/>
        <w:bidi w:val="0"/>
        <w:adjustRightInd/>
        <w:snapToGrid/>
        <w:spacing w:before="0" w:after="0" w:line="480" w:lineRule="auto"/>
        <w:ind w:firstLine="723" w:firstLineChars="200"/>
        <w:textAlignment w:val="auto"/>
        <w:rPr>
          <w:rFonts w:ascii="楷体_GB2312" w:eastAsia="楷体_GB2312" w:cs="楷体_GB2312"/>
          <w:b/>
          <w:bCs/>
          <w:color w:val="auto"/>
          <w:sz w:val="36"/>
          <w:szCs w:val="36"/>
          <w:lang w:val="en-US" w:eastAsia="zh-CN"/>
        </w:rPr>
      </w:pPr>
      <w:r>
        <w:rPr>
          <w:rFonts w:hint="eastAsia" w:ascii="楷体_GB2312" w:eastAsia="楷体_GB2312" w:cs="楷体_GB2312"/>
          <w:b/>
          <w:bCs/>
          <w:color w:val="auto"/>
          <w:sz w:val="36"/>
          <w:szCs w:val="36"/>
          <w:lang w:val="en-US" w:eastAsia="zh-CN"/>
        </w:rPr>
        <w:t>（三）以提升生态环境治理水平为保障</w:t>
      </w:r>
    </w:p>
    <w:p w14:paraId="5954C7EB">
      <w:pPr>
        <w:pStyle w:val="5"/>
        <w:keepNext w:val="0"/>
        <w:keepLines w:val="0"/>
        <w:pageBreakBefore w:val="0"/>
        <w:widowControl w:val="0"/>
        <w:kinsoku/>
        <w:wordWrap/>
        <w:overflowPunct/>
        <w:topLinePunct w:val="0"/>
        <w:autoSpaceDE/>
        <w:autoSpaceDN/>
        <w:bidi w:val="0"/>
        <w:adjustRightInd/>
        <w:snapToGrid/>
        <w:spacing w:before="0" w:after="0" w:line="480" w:lineRule="auto"/>
        <w:ind w:firstLine="723" w:firstLineChars="200"/>
        <w:textAlignment w:val="auto"/>
        <w:rPr>
          <w:rFonts w:ascii="仿宋_GB2312" w:eastAsia="仿宋_GB2312" w:cs="仿宋_GB2312"/>
          <w:color w:val="auto"/>
          <w:sz w:val="36"/>
          <w:szCs w:val="36"/>
          <w:lang w:val="en-US" w:eastAsia="zh-CN"/>
        </w:rPr>
      </w:pPr>
      <w:r>
        <w:rPr>
          <w:rFonts w:hint="eastAsia" w:ascii="仿宋_GB2312" w:eastAsia="仿宋_GB2312" w:cs="仿宋_GB2312"/>
          <w:b/>
          <w:bCs/>
          <w:color w:val="auto"/>
          <w:sz w:val="36"/>
          <w:szCs w:val="36"/>
        </w:rPr>
        <w:t>全力服务经济高质量发展。</w:t>
      </w:r>
      <w:r>
        <w:rPr>
          <w:rFonts w:hint="eastAsia" w:ascii="仿宋_GB2312" w:eastAsia="仿宋_GB2312" w:cs="仿宋_GB2312"/>
          <w:color w:val="auto"/>
          <w:sz w:val="36"/>
          <w:szCs w:val="36"/>
        </w:rPr>
        <w:t>持续跟踪南昌市</w:t>
      </w:r>
      <w:r>
        <w:rPr>
          <w:rFonts w:hint="eastAsia" w:ascii="仿宋_GB2312" w:eastAsia="仿宋_GB2312" w:cs="仿宋_GB2312"/>
          <w:color w:val="auto"/>
          <w:sz w:val="36"/>
          <w:szCs w:val="36"/>
          <w:lang w:val="en-US" w:eastAsia="zh-CN"/>
        </w:rPr>
        <w:t>170</w:t>
      </w:r>
      <w:r>
        <w:rPr>
          <w:rFonts w:hint="eastAsia" w:ascii="仿宋_GB2312" w:eastAsia="仿宋_GB2312" w:cs="仿宋_GB2312"/>
          <w:color w:val="auto"/>
          <w:sz w:val="36"/>
          <w:szCs w:val="36"/>
        </w:rPr>
        <w:t>个重大重点项目环评要素保障，全力支撑服务产业链现代化建设</w:t>
      </w:r>
      <w:r>
        <w:rPr>
          <w:rFonts w:hint="eastAsia" w:ascii="仿宋_GB2312" w:eastAsia="仿宋_GB2312" w:cs="仿宋_GB2312"/>
          <w:color w:val="auto"/>
          <w:sz w:val="36"/>
          <w:szCs w:val="36"/>
          <w:lang w:eastAsia="zh-CN"/>
        </w:rPr>
        <w:t>。</w:t>
      </w:r>
      <w:r>
        <w:rPr>
          <w:rFonts w:hint="eastAsia" w:ascii="仿宋_GB2312" w:eastAsia="仿宋_GB2312" w:cs="仿宋_GB2312"/>
          <w:color w:val="auto"/>
          <w:sz w:val="36"/>
          <w:szCs w:val="36"/>
        </w:rPr>
        <w:t>深化环评与排污许可改革</w:t>
      </w:r>
      <w:r>
        <w:rPr>
          <w:rFonts w:hint="eastAsia" w:ascii="仿宋_GB2312" w:eastAsia="仿宋_GB2312" w:cs="仿宋_GB2312"/>
          <w:color w:val="auto"/>
          <w:sz w:val="36"/>
          <w:szCs w:val="36"/>
          <w:lang w:eastAsia="zh-CN"/>
        </w:rPr>
        <w:t>，</w:t>
      </w:r>
      <w:r>
        <w:rPr>
          <w:rFonts w:hint="eastAsia" w:ascii="仿宋_GB2312" w:eastAsia="仿宋_GB2312" w:cs="仿宋_GB2312"/>
          <w:color w:val="auto"/>
          <w:sz w:val="36"/>
          <w:szCs w:val="36"/>
        </w:rPr>
        <w:t>实行清单之外无审批、环评备案“零上门”、告知承诺“减流程”，截至</w:t>
      </w:r>
      <w:r>
        <w:rPr>
          <w:rFonts w:hint="eastAsia" w:ascii="仿宋_GB2312" w:eastAsia="仿宋_GB2312" w:cs="仿宋_GB2312"/>
          <w:color w:val="auto"/>
          <w:sz w:val="36"/>
          <w:szCs w:val="36"/>
          <w:lang w:val="en-US" w:eastAsia="zh-CN"/>
        </w:rPr>
        <w:t>6</w:t>
      </w:r>
      <w:r>
        <w:rPr>
          <w:rFonts w:hint="eastAsia" w:ascii="仿宋_GB2312" w:eastAsia="仿宋_GB2312" w:cs="仿宋_GB2312"/>
          <w:color w:val="auto"/>
          <w:sz w:val="36"/>
          <w:szCs w:val="36"/>
        </w:rPr>
        <w:t>月</w:t>
      </w:r>
      <w:r>
        <w:rPr>
          <w:rFonts w:hint="eastAsia" w:ascii="仿宋_GB2312" w:eastAsia="仿宋_GB2312" w:cs="仿宋_GB2312"/>
          <w:color w:val="auto"/>
          <w:sz w:val="36"/>
          <w:szCs w:val="36"/>
          <w:lang w:val="en-US" w:eastAsia="zh-CN"/>
        </w:rPr>
        <w:t>4</w:t>
      </w:r>
      <w:r>
        <w:rPr>
          <w:rFonts w:hint="eastAsia" w:ascii="仿宋_GB2312" w:eastAsia="仿宋_GB2312" w:cs="仿宋_GB2312"/>
          <w:color w:val="auto"/>
          <w:sz w:val="36"/>
          <w:szCs w:val="36"/>
        </w:rPr>
        <w:t>日，市本级审批告知承诺制项目1</w:t>
      </w:r>
      <w:r>
        <w:rPr>
          <w:rFonts w:hint="eastAsia" w:ascii="仿宋_GB2312" w:eastAsia="仿宋_GB2312" w:cs="仿宋_GB2312"/>
          <w:color w:val="auto"/>
          <w:sz w:val="36"/>
          <w:szCs w:val="36"/>
          <w:lang w:val="en-US" w:eastAsia="zh-CN"/>
        </w:rPr>
        <w:t>9</w:t>
      </w:r>
      <w:r>
        <w:rPr>
          <w:rFonts w:hint="eastAsia" w:ascii="仿宋_GB2312" w:eastAsia="仿宋_GB2312" w:cs="仿宋_GB2312"/>
          <w:color w:val="auto"/>
          <w:sz w:val="36"/>
          <w:szCs w:val="36"/>
        </w:rPr>
        <w:t>个，全市备案项目3</w:t>
      </w:r>
      <w:r>
        <w:rPr>
          <w:rFonts w:hint="eastAsia" w:ascii="仿宋_GB2312" w:eastAsia="仿宋_GB2312" w:cs="仿宋_GB2312"/>
          <w:color w:val="auto"/>
          <w:sz w:val="36"/>
          <w:szCs w:val="36"/>
          <w:lang w:val="en-US" w:eastAsia="zh-CN"/>
        </w:rPr>
        <w:t>46</w:t>
      </w:r>
      <w:r>
        <w:rPr>
          <w:rFonts w:hint="eastAsia" w:ascii="仿宋_GB2312" w:eastAsia="仿宋_GB2312" w:cs="仿宋_GB2312"/>
          <w:color w:val="auto"/>
          <w:sz w:val="36"/>
          <w:szCs w:val="36"/>
        </w:rPr>
        <w:t>个</w:t>
      </w:r>
      <w:r>
        <w:rPr>
          <w:rFonts w:hint="eastAsia" w:ascii="仿宋_GB2312" w:eastAsia="仿宋_GB2312" w:cs="仿宋_GB2312"/>
          <w:color w:val="auto"/>
          <w:sz w:val="36"/>
          <w:szCs w:val="36"/>
          <w:lang w:eastAsia="zh-CN"/>
        </w:rPr>
        <w:t>。</w:t>
      </w:r>
      <w:r>
        <w:rPr>
          <w:rFonts w:hint="eastAsia" w:ascii="仿宋_GB2312" w:eastAsia="仿宋_GB2312" w:cs="仿宋_GB2312"/>
          <w:b/>
          <w:bCs/>
          <w:color w:val="auto"/>
          <w:sz w:val="36"/>
          <w:szCs w:val="36"/>
          <w:lang w:val="en-US" w:eastAsia="zh-CN"/>
        </w:rPr>
        <w:t>持续推进数字化赋能生态环境治理</w:t>
      </w:r>
      <w:r>
        <w:rPr>
          <w:rFonts w:hint="eastAsia" w:ascii="仿宋_GB2312" w:eastAsia="仿宋_GB2312" w:cs="仿宋_GB2312"/>
          <w:color w:val="auto"/>
          <w:sz w:val="36"/>
          <w:szCs w:val="36"/>
          <w:lang w:val="en-US" w:eastAsia="zh-CN"/>
        </w:rPr>
        <w:t>。顺利完成DeepSeek大模型与本地知识库的融合部署，智库查询、政务办公（智能写作）、机动车检测应用场景上线试运行；</w:t>
      </w:r>
      <w:r>
        <w:rPr>
          <w:rFonts w:hint="eastAsia" w:ascii="仿宋_GB2312" w:eastAsia="仿宋_GB2312" w:cs="仿宋_GB2312"/>
          <w:b/>
          <w:bCs/>
          <w:color w:val="auto"/>
          <w:sz w:val="36"/>
          <w:szCs w:val="36"/>
          <w:lang w:val="en-US" w:eastAsia="zh-CN"/>
        </w:rPr>
        <w:t>环境监管能力持续提升</w:t>
      </w:r>
      <w:r>
        <w:rPr>
          <w:rFonts w:hint="eastAsia" w:ascii="仿宋_GB2312" w:eastAsia="仿宋_GB2312" w:cs="仿宋_GB2312"/>
          <w:color w:val="auto"/>
          <w:sz w:val="36"/>
          <w:szCs w:val="36"/>
          <w:lang w:val="en-US" w:eastAsia="zh-CN"/>
        </w:rPr>
        <w:t>。</w:t>
      </w:r>
      <w:r>
        <w:rPr>
          <w:rFonts w:hint="eastAsia" w:ascii="仿宋_GB2312" w:eastAsia="仿宋_GB2312" w:cs="仿宋_GB2312"/>
          <w:color w:val="auto"/>
          <w:sz w:val="36"/>
          <w:szCs w:val="36"/>
          <w:lang w:val="en-US" w:eastAsia="zh-CN"/>
        </w:rPr>
        <w:t>一方面</w:t>
      </w:r>
      <w:r>
        <w:rPr>
          <w:rFonts w:hint="eastAsia" w:ascii="仿宋_GB2312" w:eastAsia="仿宋_GB2312" w:cs="仿宋_GB2312"/>
          <w:color w:val="auto"/>
          <w:sz w:val="36"/>
          <w:szCs w:val="36"/>
          <w:lang w:val="en-US" w:eastAsia="zh-CN"/>
        </w:rPr>
        <w:t>执法力量全面下沉，除红谷滩大队在市局办公外，目前其他11个执法大队均派驻到属地生态环境局，噪声执法职能一并下沉，人员、车辆保障措施基本到位，目前运行平稳、衔接顺畅；</w:t>
      </w:r>
      <w:r>
        <w:rPr>
          <w:rFonts w:hint="eastAsia" w:ascii="仿宋_GB2312" w:eastAsia="仿宋_GB2312" w:cs="仿宋_GB2312"/>
          <w:color w:val="auto"/>
          <w:sz w:val="36"/>
          <w:szCs w:val="36"/>
          <w:lang w:val="en-US" w:eastAsia="zh-CN"/>
        </w:rPr>
        <w:t>另一方面</w:t>
      </w:r>
      <w:r>
        <w:rPr>
          <w:rFonts w:hint="eastAsia" w:ascii="仿宋_GB2312" w:eastAsia="仿宋_GB2312" w:cs="仿宋_GB2312"/>
          <w:color w:val="auto"/>
          <w:sz w:val="36"/>
          <w:szCs w:val="36"/>
          <w:lang w:val="en-US" w:eastAsia="zh-CN"/>
        </w:rPr>
        <w:t>监测能力不断提升，调配新增气质联用仪、气象色谱仪、流动注射、离子色谱、原子吸收、原子荧光等15台大型设备及一批辅助设备。实施“人才培育”行动，截至目前，已开展内外部培训23场，覆盖424人次，组织25人次跟班学习，举办2次“我来讲业务”青年干部专题活动。强化Lims系统运用，初步实现生态环境监测业务标准化、规范化、自动化，有效杜绝人为干扰数据的可能，确保监测数据“真、准、全、快、新”。目前，市监测中心出具监测报告212份，报出数据4162个。</w:t>
      </w:r>
    </w:p>
    <w:p w14:paraId="6CD96999">
      <w:pPr>
        <w:pStyle w:val="5"/>
        <w:keepNext w:val="0"/>
        <w:keepLines w:val="0"/>
        <w:pageBreakBefore w:val="0"/>
        <w:widowControl w:val="0"/>
        <w:kinsoku/>
        <w:wordWrap/>
        <w:overflowPunct/>
        <w:topLinePunct w:val="0"/>
        <w:autoSpaceDE/>
        <w:autoSpaceDN/>
        <w:bidi w:val="0"/>
        <w:adjustRightInd/>
        <w:snapToGrid/>
        <w:spacing w:before="0" w:after="0" w:line="480" w:lineRule="auto"/>
        <w:ind w:firstLine="720" w:firstLineChars="200"/>
        <w:textAlignment w:val="auto"/>
        <w:rPr>
          <w:rFonts w:ascii="仿宋_GB2312" w:eastAsia="仿宋_GB2312" w:cs="仿宋_GB2312"/>
          <w:sz w:val="36"/>
          <w:szCs w:val="36"/>
          <w:lang w:val="en-US" w:eastAsia="zh-CN"/>
        </w:rPr>
      </w:pPr>
      <w:r>
        <w:rPr>
          <w:rFonts w:hint="eastAsia" w:ascii="仿宋_GB2312" w:eastAsia="仿宋_GB2312" w:cs="仿宋_GB2312"/>
          <w:color w:val="auto"/>
          <w:sz w:val="36"/>
          <w:szCs w:val="36"/>
          <w:lang w:val="en-US" w:eastAsia="zh-CN"/>
        </w:rPr>
        <w:t>下一步，我们将</w:t>
      </w:r>
      <w:r>
        <w:rPr>
          <w:rFonts w:ascii="仿宋_GB2312" w:eastAsia="仿宋_GB2312" w:cs="仿宋_GB2312"/>
          <w:color w:val="auto"/>
          <w:sz w:val="36"/>
          <w:szCs w:val="36"/>
          <w:lang w:val="en-US" w:eastAsia="zh-CN"/>
        </w:rPr>
        <w:t>持续深入贯彻习近平生态文明思想，完整、准确、全面贯彻新发展理念，主动服务和融入新发展格局，更加突出精准治污、科学治污、依法治污，以实现减污降碳协同增效为总抓手，持续深入打好蓝天、碧水、净土保卫战，高质量完成“十四五”生态环境保护目标任务，为更高标准打造美丽中国“江西样板”贡献省会力量。</w:t>
      </w:r>
    </w:p>
    <w:p w14:paraId="681FE06B">
      <w:pPr>
        <w:pStyle w:val="5"/>
        <w:keepNext w:val="0"/>
        <w:keepLines w:val="0"/>
        <w:pageBreakBefore w:val="0"/>
        <w:widowControl w:val="0"/>
        <w:kinsoku/>
        <w:wordWrap/>
        <w:overflowPunct/>
        <w:topLinePunct w:val="0"/>
        <w:autoSpaceDE/>
        <w:autoSpaceDN/>
        <w:bidi w:val="0"/>
        <w:adjustRightInd/>
        <w:snapToGrid/>
        <w:spacing w:before="0" w:after="0" w:line="480" w:lineRule="auto"/>
        <w:ind w:left="0" w:firstLine="720" w:firstLineChars="200"/>
        <w:textAlignment w:val="auto"/>
        <w:rPr>
          <w:rFonts w:ascii="仿宋_GB2312" w:eastAsia="仿宋_GB2312" w:cs="仿宋_GB2312"/>
          <w:sz w:val="36"/>
          <w:szCs w:val="36"/>
          <w:lang w:val="en-US"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831C8E-7FE4-4885-B721-84EF5C5A83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B067F65-DD9D-459C-BF26-1ED0753E3C80}"/>
  </w:font>
  <w:font w:name="Luxi Sans">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embedRegular r:id="rId3" w:fontKey="{CA00FABB-35EB-4E7F-B2F0-357AB076A99B}"/>
  </w:font>
  <w:font w:name="荣耀黑体">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4" w:fontKey="{2021249A-83BC-42DB-92A8-88C3666A0B06}"/>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5" w:fontKey="{EACB5DF5-0F88-486B-B685-EC9E9658044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4A4F">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413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64008" cy="139674"/>
                      </a:xfrm>
                      <a:prstGeom prst="rect">
                        <a:avLst/>
                      </a:prstGeom>
                      <a:noFill/>
                      <a:ln w="6350" cap="flat" cmpd="sng">
                        <a:noFill/>
                        <a:prstDash val="solid"/>
                        <a:round/>
                      </a:ln>
                    </wps:spPr>
                    <wps:txbx>
                      <w:txbxContent>
                        <w:p w14:paraId="3B8E9C2C">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5.05pt;mso-position-horizontal:center;mso-position-horizontal-relative:margin;mso-wrap-style:none;z-index:251659264;mso-width-relative:page;mso-height-relative:page;" filled="f" stroked="f" coordsize="21600,21600" o:gfxdata="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L9irVAAAAAwEAAA8AAAAAAAAAAQAgAAAAIgAAAGRycy9kb3du&#10;cmV2LnhtbFBLAQIUABQAAAAIAIdO4kCUztDOAgIAAPMDAAAOAAAAAAAAAAEAIAAAACQBAABkcnMv&#10;ZTJvRG9jLnhtbFBLBQYAAAAABgAGAFkBAACYBQAAAAA=&#10;">
              <v:fill on="f" focussize="0,0"/>
              <v:stroke on="f" weight="0.5pt" joinstyle="round"/>
              <v:imagedata o:title=""/>
              <o:lock v:ext="edit" aspectratio="f"/>
              <v:textbox inset="0mm,0mm,0mm,0mm" style="mso-fit-shape-to-text:t;">
                <w:txbxContent>
                  <w:p w14:paraId="3B8E9C2C">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000000"/>
    <w:rsid w:val="04DE43BD"/>
    <w:rsid w:val="14F11A91"/>
    <w:rsid w:val="150F7625"/>
    <w:rsid w:val="334ECBC7"/>
    <w:rsid w:val="3EFFF013"/>
    <w:rsid w:val="577E0A7F"/>
    <w:rsid w:val="5BDC02F2"/>
    <w:rsid w:val="5F3B3360"/>
    <w:rsid w:val="687735B4"/>
    <w:rsid w:val="70492133"/>
    <w:rsid w:val="76B83249"/>
    <w:rsid w:val="7CF52726"/>
    <w:rsid w:val="7DE9D22C"/>
    <w:rsid w:val="9979C52F"/>
    <w:rsid w:val="EF2E8981"/>
    <w:rsid w:val="FFFBD3DA"/>
    <w:rsid w:val="FFFF45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eastAsia="宋体" w:cs="宋体"/>
      <w:b/>
      <w:bCs/>
      <w:kern w:val="44"/>
      <w:sz w:val="48"/>
      <w:szCs w:val="48"/>
      <w:lang w:val="en-US" w:eastAsia="zh-CN"/>
    </w:rPr>
  </w:style>
  <w:style w:type="paragraph" w:styleId="3">
    <w:name w:val="heading 2"/>
    <w:basedOn w:val="1"/>
    <w:next w:val="1"/>
    <w:qFormat/>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pPr>
      <w:widowControl w:val="0"/>
      <w:spacing w:before="480" w:after="240"/>
      <w:ind w:firstLine="0"/>
      <w:jc w:val="both"/>
    </w:pPr>
    <w:rPr>
      <w:rFonts w:ascii="宋体" w:eastAsia="宋体" w:cs="Courier New"/>
      <w:snapToGrid/>
      <w:kern w:val="2"/>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Times New Roman"/>
      <w:kern w:val="0"/>
      <w:sz w:val="24"/>
      <w:szCs w:val="20"/>
      <w:lang w:val="en-US" w:eastAsia="zh-CN" w:bidi="ar-SA"/>
    </w:rPr>
  </w:style>
  <w:style w:type="character" w:customStyle="1" w:styleId="11">
    <w:name w:val="NormalCharacter"/>
    <w:qFormat/>
    <w:uiPriority w:val="0"/>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4668</Words>
  <Characters>4938</Characters>
  <Lines>115</Lines>
  <Paragraphs>20</Paragraphs>
  <TotalTime>3</TotalTime>
  <ScaleCrop>false</ScaleCrop>
  <LinksUpToDate>false</LinksUpToDate>
  <CharactersWithSpaces>4938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2025-06-05T14:28:00Z</dcterms:created>
  <dc:creator>23648</dc:creator>
  <cp:lastModifiedBy>G.XI</cp:lastModifiedBy>
  <dcterms:modified xsi:type="dcterms:W3CDTF">2025-06-05T06:06:03Z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eyJoZGlkIjoiZTBhZWY0ZjcwYzgyY2U0YTE0ZGUyOTliMWJkNGQ4YjAiLCJ1c2VySWQiOiI1MjIyNDM5MTUifQ==</vt:lpwstr>
  </property>
  <property fmtid="{D5CDD505-2E9C-101B-9397-08002B2CF9AE}" pid="3" name="KSOProductBuildVer">
    <vt:lpwstr>2052-12.1.0.21171</vt:lpwstr>
  </property>
  <property fmtid="{D5CDD505-2E9C-101B-9397-08002B2CF9AE}" pid="4" name="ICV">
    <vt:lpwstr>4FFB5083BF4A467B8D7ED60C21E0A60A_12</vt:lpwstr>
  </property>
</Properties>
</file>