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2F52" w:rsidRDefault="00CB76E9">
      <w:pPr>
        <w:autoSpaceDE w:val="0"/>
        <w:autoSpaceDN w:val="0"/>
        <w:adjustRightInd w:val="0"/>
        <w:snapToGrid w:val="0"/>
        <w:jc w:val="left"/>
        <w:rPr>
          <w:rFonts w:ascii="黑体" w:eastAsia="黑体" w:hAnsi="Times New Roman"/>
          <w:kern w:val="0"/>
        </w:rPr>
      </w:pPr>
      <w:r>
        <w:rPr>
          <w:rFonts w:ascii="黑体" w:eastAsia="黑体" w:hAnsi="Times New Roman" w:hint="eastAsia"/>
          <w:kern w:val="0"/>
        </w:rPr>
        <w:t>附表</w:t>
      </w:r>
      <w:r>
        <w:rPr>
          <w:rFonts w:ascii="黑体" w:eastAsia="黑体" w:hAnsi="Times New Roman"/>
          <w:kern w:val="0"/>
        </w:rPr>
        <w:t>1</w:t>
      </w:r>
    </w:p>
    <w:p w:rsidR="00F02F52" w:rsidRDefault="00CB76E9">
      <w:pPr>
        <w:adjustRightInd w:val="0"/>
        <w:snapToGrid w:val="0"/>
        <w:jc w:val="center"/>
        <w:rPr>
          <w:rFonts w:ascii="方正小标宋_GBK" w:eastAsia="方正小标宋_GBK" w:hAnsi="华文中宋"/>
          <w:sz w:val="38"/>
          <w:szCs w:val="38"/>
        </w:rPr>
      </w:pPr>
      <w:r>
        <w:rPr>
          <w:rFonts w:ascii="方正小标宋_GBK" w:eastAsia="方正小标宋_GBK" w:hAnsi="华文中宋" w:hint="eastAsia"/>
          <w:sz w:val="38"/>
          <w:szCs w:val="38"/>
        </w:rPr>
        <w:t>企业事业单位突发环境事件应急预案评审表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134"/>
        <w:gridCol w:w="426"/>
        <w:gridCol w:w="4819"/>
        <w:gridCol w:w="1276"/>
        <w:gridCol w:w="567"/>
        <w:gridCol w:w="40"/>
        <w:gridCol w:w="669"/>
        <w:gridCol w:w="4850"/>
      </w:tblGrid>
      <w:tr w:rsidR="00F02F52">
        <w:trPr>
          <w:trHeight w:val="1270"/>
          <w:jc w:val="center"/>
        </w:trPr>
        <w:tc>
          <w:tcPr>
            <w:tcW w:w="13781" w:type="dxa"/>
            <w:gridSpan w:val="8"/>
            <w:tcBorders>
              <w:top w:val="single" w:sz="8" w:space="0" w:color="auto"/>
            </w:tcBorders>
            <w:vAlign w:val="center"/>
          </w:tcPr>
          <w:p w:rsidR="00F02F52" w:rsidRDefault="00CB76E9">
            <w:pPr>
              <w:tabs>
                <w:tab w:val="left" w:pos="1500"/>
              </w:tabs>
              <w:rPr>
                <w:rFonts w:ascii="宋体" w:eastAsia="宋体" w:hAnsi="宋体"/>
                <w:sz w:val="21"/>
                <w:szCs w:val="21"/>
                <w:u w:val="single"/>
              </w:rPr>
            </w:pPr>
            <w:r>
              <w:rPr>
                <w:rFonts w:ascii="宋体" w:eastAsia="宋体" w:hAnsi="宋体" w:hint="eastAsia"/>
                <w:sz w:val="21"/>
                <w:szCs w:val="21"/>
              </w:rPr>
              <w:t>预案编制单位：</w:t>
            </w:r>
            <w:r w:rsidR="00A42779" w:rsidRPr="00A42779">
              <w:rPr>
                <w:rFonts w:ascii="宋体" w:eastAsia="宋体" w:hAnsi="宋体" w:hint="eastAsia"/>
                <w:sz w:val="21"/>
                <w:szCs w:val="21"/>
                <w:u w:val="single"/>
              </w:rPr>
              <w:t xml:space="preserve"> </w:t>
            </w:r>
            <w:r w:rsidR="00A42779">
              <w:rPr>
                <w:rFonts w:ascii="宋体" w:eastAsia="宋体" w:hAnsi="宋体"/>
                <w:sz w:val="21"/>
                <w:szCs w:val="21"/>
                <w:u w:val="single"/>
              </w:rPr>
              <w:t xml:space="preserve">  </w:t>
            </w:r>
            <w:r w:rsidR="0016325C" w:rsidRPr="0016325C">
              <w:rPr>
                <w:rFonts w:ascii="宋体" w:eastAsia="宋体" w:hAnsi="宋体" w:hint="eastAsia"/>
                <w:sz w:val="21"/>
                <w:szCs w:val="21"/>
                <w:u w:val="single"/>
              </w:rPr>
              <w:t>南昌青山湖污水处理</w:t>
            </w:r>
            <w:r w:rsidRPr="00A42779">
              <w:rPr>
                <w:rFonts w:ascii="宋体" w:eastAsia="宋体" w:hAnsi="宋体" w:hint="eastAsia"/>
                <w:sz w:val="21"/>
                <w:szCs w:val="21"/>
                <w:u w:val="single"/>
              </w:rPr>
              <w:t>有限</w:t>
            </w:r>
            <w:r>
              <w:rPr>
                <w:rFonts w:ascii="宋体" w:eastAsia="宋体" w:hAnsi="宋体" w:hint="eastAsia"/>
                <w:sz w:val="21"/>
                <w:szCs w:val="21"/>
                <w:u w:val="single"/>
              </w:rPr>
              <w:t>公司</w:t>
            </w:r>
            <w:r w:rsidR="00A42779">
              <w:rPr>
                <w:rFonts w:ascii="宋体" w:eastAsia="宋体" w:hAnsi="宋体" w:hint="eastAsia"/>
                <w:sz w:val="21"/>
                <w:szCs w:val="21"/>
                <w:u w:val="single"/>
              </w:rPr>
              <w:t xml:space="preserve"> </w:t>
            </w:r>
            <w:r w:rsidR="00A42779">
              <w:rPr>
                <w:rFonts w:ascii="宋体" w:eastAsia="宋体" w:hAnsi="宋体"/>
                <w:sz w:val="21"/>
                <w:szCs w:val="21"/>
                <w:u w:val="single"/>
              </w:rPr>
              <w:t xml:space="preserve">  </w:t>
            </w:r>
          </w:p>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sz w:val="21"/>
                <w:szCs w:val="21"/>
              </w:rPr>
              <w:t>(</w:t>
            </w:r>
            <w:r>
              <w:rPr>
                <w:rFonts w:ascii="宋体" w:eastAsia="宋体" w:hAnsi="宋体" w:hint="eastAsia"/>
                <w:sz w:val="21"/>
                <w:szCs w:val="21"/>
              </w:rPr>
              <w:t>专业技术服务机构：</w:t>
            </w:r>
            <w:r>
              <w:rPr>
                <w:rFonts w:ascii="宋体" w:eastAsia="宋体" w:hAnsi="宋体"/>
                <w:sz w:val="21"/>
                <w:szCs w:val="21"/>
              </w:rPr>
              <w:t>)</w:t>
            </w:r>
            <w:r>
              <w:rPr>
                <w:rFonts w:ascii="宋体" w:eastAsia="宋体" w:hAnsi="宋体" w:hint="eastAsia"/>
                <w:sz w:val="21"/>
                <w:szCs w:val="21"/>
                <w:u w:val="single"/>
              </w:rPr>
              <w:t xml:space="preserve"> </w:t>
            </w:r>
            <w:r>
              <w:rPr>
                <w:rFonts w:ascii="宋体" w:eastAsia="宋体" w:hAnsi="宋体"/>
                <w:sz w:val="21"/>
                <w:szCs w:val="21"/>
                <w:u w:val="single"/>
              </w:rPr>
              <w:t xml:space="preserve">   </w:t>
            </w:r>
            <w:r>
              <w:rPr>
                <w:rFonts w:ascii="宋体" w:eastAsia="宋体" w:hAnsi="宋体" w:hint="eastAsia"/>
                <w:sz w:val="21"/>
                <w:szCs w:val="21"/>
                <w:u w:val="single"/>
              </w:rPr>
              <w:t>江西</w:t>
            </w:r>
            <w:r w:rsidR="0016325C">
              <w:rPr>
                <w:rFonts w:ascii="宋体" w:eastAsia="宋体" w:hAnsi="宋体" w:hint="eastAsia"/>
                <w:sz w:val="21"/>
                <w:szCs w:val="21"/>
                <w:u w:val="single"/>
              </w:rPr>
              <w:t>纵天衡科</w:t>
            </w:r>
            <w:r>
              <w:rPr>
                <w:rFonts w:ascii="宋体" w:eastAsia="宋体" w:hAnsi="宋体" w:hint="eastAsia"/>
                <w:sz w:val="21"/>
                <w:szCs w:val="21"/>
                <w:u w:val="single"/>
              </w:rPr>
              <w:t xml:space="preserve">技有限公司 </w:t>
            </w:r>
            <w:r>
              <w:rPr>
                <w:rFonts w:ascii="宋体" w:eastAsia="宋体" w:hAnsi="宋体"/>
                <w:sz w:val="21"/>
                <w:szCs w:val="21"/>
                <w:u w:val="single"/>
              </w:rPr>
              <w:t xml:space="preserve">   </w:t>
            </w:r>
          </w:p>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企业环境风险级别：</w:t>
            </w:r>
            <w:r w:rsidR="00A42779">
              <w:rPr>
                <w:rFonts w:ascii="宋体" w:eastAsia="宋体" w:hAnsi="宋体" w:hint="eastAsia"/>
                <w:sz w:val="21"/>
                <w:szCs w:val="21"/>
              </w:rPr>
              <w:sym w:font="Wingdings 2" w:char="0052"/>
            </w:r>
            <w:r>
              <w:rPr>
                <w:rFonts w:ascii="宋体" w:eastAsia="宋体" w:hAnsi="宋体" w:hint="eastAsia"/>
                <w:sz w:val="21"/>
                <w:szCs w:val="21"/>
              </w:rPr>
              <w:t>一般；</w:t>
            </w:r>
            <w:r w:rsidR="00A42779">
              <w:rPr>
                <w:rFonts w:ascii="宋体" w:eastAsia="宋体" w:hAnsi="宋体" w:hint="eastAsia"/>
                <w:sz w:val="21"/>
                <w:szCs w:val="21"/>
              </w:rPr>
              <w:sym w:font="Wingdings 2" w:char="00A3"/>
            </w:r>
            <w:r>
              <w:rPr>
                <w:rFonts w:ascii="宋体" w:eastAsia="宋体" w:hAnsi="宋体" w:hint="eastAsia"/>
                <w:sz w:val="21"/>
                <w:szCs w:val="21"/>
              </w:rPr>
              <w:t>较大；□重大</w:t>
            </w:r>
          </w:p>
          <w:p w:rsidR="00F02F52" w:rsidRDefault="00CB76E9">
            <w:pPr>
              <w:adjustRightInd w:val="0"/>
              <w:snapToGrid w:val="0"/>
              <w:spacing w:afterLines="30" w:after="93" w:line="240" w:lineRule="exact"/>
              <w:jc w:val="right"/>
              <w:rPr>
                <w:rFonts w:ascii="仿宋_GB2312" w:hAnsi="宋体"/>
                <w:b/>
                <w:sz w:val="24"/>
                <w:szCs w:val="24"/>
              </w:rPr>
            </w:pPr>
            <w:r>
              <w:rPr>
                <w:rFonts w:ascii="仿宋_GB2312" w:hAnsi="宋体" w:hint="eastAsia"/>
                <w:b/>
                <w:sz w:val="24"/>
                <w:szCs w:val="24"/>
              </w:rPr>
              <w:t>（本栏由企业填写）</w:t>
            </w:r>
          </w:p>
        </w:tc>
      </w:tr>
      <w:tr w:rsidR="00F02F52">
        <w:trPr>
          <w:trHeight w:val="439"/>
          <w:jc w:val="center"/>
        </w:trPr>
        <w:tc>
          <w:tcPr>
            <w:tcW w:w="13781" w:type="dxa"/>
            <w:gridSpan w:val="8"/>
            <w:vAlign w:val="center"/>
          </w:tcPr>
          <w:p w:rsidR="00F02F52" w:rsidRDefault="00CB76E9">
            <w:pPr>
              <w:adjustRightInd w:val="0"/>
              <w:snapToGrid w:val="0"/>
              <w:spacing w:line="240" w:lineRule="exact"/>
              <w:jc w:val="center"/>
              <w:rPr>
                <w:rFonts w:ascii="黑体" w:eastAsia="黑体" w:hAnsi="黑体"/>
                <w:sz w:val="21"/>
                <w:szCs w:val="21"/>
              </w:rPr>
            </w:pPr>
            <w:r>
              <w:rPr>
                <w:rFonts w:ascii="黑体" w:eastAsia="黑体" w:hAnsi="黑体" w:hint="eastAsia"/>
                <w:sz w:val="21"/>
                <w:szCs w:val="21"/>
              </w:rPr>
              <w:t>“一票否决”项（以下三项中任意一项判定为“不符合”，则评审结论为“未通过”）</w:t>
            </w:r>
          </w:p>
        </w:tc>
      </w:tr>
      <w:tr w:rsidR="00F02F52">
        <w:trPr>
          <w:trHeight w:val="275"/>
          <w:jc w:val="center"/>
        </w:trPr>
        <w:tc>
          <w:tcPr>
            <w:tcW w:w="6379" w:type="dxa"/>
            <w:gridSpan w:val="3"/>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评</w:t>
            </w:r>
            <w:r>
              <w:rPr>
                <w:rFonts w:ascii="宋体" w:eastAsia="宋体" w:hAnsi="宋体"/>
                <w:sz w:val="21"/>
                <w:szCs w:val="21"/>
              </w:rPr>
              <w:t xml:space="preserve"> </w:t>
            </w:r>
            <w:r>
              <w:rPr>
                <w:rFonts w:ascii="宋体" w:eastAsia="宋体" w:hAnsi="宋体" w:hint="eastAsia"/>
                <w:sz w:val="21"/>
                <w:szCs w:val="21"/>
              </w:rPr>
              <w:t>审</w:t>
            </w:r>
            <w:r>
              <w:rPr>
                <w:rFonts w:ascii="宋体" w:eastAsia="宋体" w:hAnsi="宋体"/>
                <w:sz w:val="21"/>
                <w:szCs w:val="21"/>
              </w:rPr>
              <w:t xml:space="preserve"> </w:t>
            </w:r>
            <w:r>
              <w:rPr>
                <w:rFonts w:ascii="宋体" w:eastAsia="宋体" w:hAnsi="宋体" w:hint="eastAsia"/>
                <w:sz w:val="21"/>
                <w:szCs w:val="21"/>
              </w:rPr>
              <w:t>指</w:t>
            </w:r>
            <w:r>
              <w:rPr>
                <w:rFonts w:ascii="宋体" w:eastAsia="宋体" w:hAnsi="宋体"/>
                <w:sz w:val="21"/>
                <w:szCs w:val="21"/>
              </w:rPr>
              <w:t xml:space="preserve"> </w:t>
            </w:r>
            <w:r>
              <w:rPr>
                <w:rFonts w:ascii="宋体" w:eastAsia="宋体" w:hAnsi="宋体" w:hint="eastAsia"/>
                <w:sz w:val="21"/>
                <w:szCs w:val="21"/>
              </w:rPr>
              <w:t>标</w:t>
            </w:r>
          </w:p>
        </w:tc>
        <w:tc>
          <w:tcPr>
            <w:tcW w:w="2552" w:type="dxa"/>
            <w:gridSpan w:val="4"/>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评审意见</w:t>
            </w:r>
          </w:p>
        </w:tc>
        <w:tc>
          <w:tcPr>
            <w:tcW w:w="4850" w:type="dxa"/>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指</w:t>
            </w:r>
            <w:r>
              <w:rPr>
                <w:rFonts w:ascii="宋体" w:eastAsia="宋体" w:hAnsi="宋体"/>
                <w:sz w:val="21"/>
                <w:szCs w:val="21"/>
              </w:rPr>
              <w:t xml:space="preserve"> </w:t>
            </w:r>
            <w:r>
              <w:rPr>
                <w:rFonts w:ascii="宋体" w:eastAsia="宋体" w:hAnsi="宋体" w:hint="eastAsia"/>
                <w:sz w:val="21"/>
                <w:szCs w:val="21"/>
              </w:rPr>
              <w:t>标</w:t>
            </w:r>
            <w:r>
              <w:rPr>
                <w:rFonts w:ascii="宋体" w:eastAsia="宋体" w:hAnsi="宋体"/>
                <w:sz w:val="21"/>
                <w:szCs w:val="21"/>
              </w:rPr>
              <w:t xml:space="preserve"> </w:t>
            </w:r>
            <w:r>
              <w:rPr>
                <w:rFonts w:ascii="宋体" w:eastAsia="宋体" w:hAnsi="宋体" w:hint="eastAsia"/>
                <w:sz w:val="21"/>
                <w:szCs w:val="21"/>
              </w:rPr>
              <w:t>说</w:t>
            </w:r>
            <w:r>
              <w:rPr>
                <w:rFonts w:ascii="宋体" w:eastAsia="宋体" w:hAnsi="宋体"/>
                <w:sz w:val="21"/>
                <w:szCs w:val="21"/>
              </w:rPr>
              <w:t xml:space="preserve"> </w:t>
            </w:r>
            <w:r>
              <w:rPr>
                <w:rFonts w:ascii="宋体" w:eastAsia="宋体" w:hAnsi="宋体" w:hint="eastAsia"/>
                <w:sz w:val="21"/>
                <w:szCs w:val="21"/>
              </w:rPr>
              <w:t>明</w:t>
            </w:r>
          </w:p>
        </w:tc>
      </w:tr>
      <w:tr w:rsidR="00F02F52">
        <w:trPr>
          <w:trHeight w:val="196"/>
          <w:jc w:val="center"/>
        </w:trPr>
        <w:tc>
          <w:tcPr>
            <w:tcW w:w="6379" w:type="dxa"/>
            <w:gridSpan w:val="3"/>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1276"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判</w:t>
            </w:r>
            <w:r>
              <w:rPr>
                <w:rFonts w:ascii="宋体" w:eastAsia="宋体" w:hAnsi="宋体"/>
                <w:sz w:val="21"/>
                <w:szCs w:val="21"/>
              </w:rPr>
              <w:t xml:space="preserve">  </w:t>
            </w:r>
            <w:r>
              <w:rPr>
                <w:rFonts w:ascii="宋体" w:eastAsia="宋体" w:hAnsi="宋体" w:hint="eastAsia"/>
                <w:sz w:val="21"/>
                <w:szCs w:val="21"/>
              </w:rPr>
              <w:t>定</w:t>
            </w:r>
          </w:p>
        </w:tc>
        <w:tc>
          <w:tcPr>
            <w:tcW w:w="1276" w:type="dxa"/>
            <w:gridSpan w:val="3"/>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说</w:t>
            </w:r>
            <w:r>
              <w:rPr>
                <w:rFonts w:ascii="宋体" w:eastAsia="宋体" w:hAnsi="宋体"/>
                <w:sz w:val="21"/>
                <w:szCs w:val="21"/>
              </w:rPr>
              <w:t xml:space="preserve">  </w:t>
            </w:r>
            <w:r>
              <w:rPr>
                <w:rFonts w:ascii="宋体" w:eastAsia="宋体" w:hAnsi="宋体" w:hint="eastAsia"/>
                <w:sz w:val="21"/>
                <w:szCs w:val="21"/>
              </w:rPr>
              <w:t>明</w:t>
            </w:r>
          </w:p>
        </w:tc>
        <w:tc>
          <w:tcPr>
            <w:tcW w:w="4850" w:type="dxa"/>
            <w:vMerge/>
            <w:vAlign w:val="center"/>
          </w:tcPr>
          <w:p w:rsidR="00F02F52" w:rsidRDefault="00F02F52">
            <w:pPr>
              <w:adjustRightInd w:val="0"/>
              <w:snapToGrid w:val="0"/>
              <w:spacing w:line="240" w:lineRule="exact"/>
              <w:jc w:val="left"/>
              <w:rPr>
                <w:rFonts w:ascii="宋体" w:eastAsia="宋体" w:hAnsi="宋体"/>
                <w:sz w:val="21"/>
                <w:szCs w:val="21"/>
              </w:rPr>
            </w:pPr>
          </w:p>
        </w:tc>
      </w:tr>
      <w:tr w:rsidR="00F02F52">
        <w:trPr>
          <w:trHeight w:val="944"/>
          <w:jc w:val="center"/>
        </w:trPr>
        <w:tc>
          <w:tcPr>
            <w:tcW w:w="6379" w:type="dxa"/>
            <w:gridSpan w:val="3"/>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有单独的环境风险评估报告和环境应急资源调查报告（表）</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不符合</w:t>
            </w:r>
          </w:p>
        </w:tc>
        <w:tc>
          <w:tcPr>
            <w:tcW w:w="1276" w:type="dxa"/>
            <w:gridSpan w:val="3"/>
            <w:vAlign w:val="center"/>
          </w:tcPr>
          <w:p w:rsidR="00F02F52" w:rsidRDefault="00F02F52">
            <w:pPr>
              <w:adjustRightInd w:val="0"/>
              <w:snapToGrid w:val="0"/>
              <w:spacing w:line="240" w:lineRule="exact"/>
              <w:jc w:val="lef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突发事件应急预案管理办法有关规定；</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备案管理办法第十条要求，应当在开展环境风险评估和环境应急资源调查的基础上编制环境应急预案</w:t>
            </w:r>
          </w:p>
        </w:tc>
      </w:tr>
      <w:tr w:rsidR="00F02F52">
        <w:trPr>
          <w:trHeight w:val="1420"/>
          <w:jc w:val="center"/>
        </w:trPr>
        <w:tc>
          <w:tcPr>
            <w:tcW w:w="6379" w:type="dxa"/>
            <w:gridSpan w:val="3"/>
            <w:vAlign w:val="center"/>
          </w:tcPr>
          <w:p w:rsidR="00F02F52" w:rsidRDefault="00CB76E9">
            <w:pPr>
              <w:adjustRightInd w:val="0"/>
              <w:snapToGrid w:val="0"/>
              <w:spacing w:line="240" w:lineRule="exact"/>
              <w:jc w:val="left"/>
              <w:rPr>
                <w:rFonts w:ascii="宋体" w:eastAsia="宋体" w:hAnsi="宋体"/>
                <w:spacing w:val="-4"/>
                <w:sz w:val="21"/>
                <w:szCs w:val="21"/>
              </w:rPr>
            </w:pPr>
            <w:r>
              <w:rPr>
                <w:rFonts w:ascii="宋体" w:eastAsia="宋体" w:hAnsi="宋体" w:hint="eastAsia"/>
                <w:spacing w:val="-4"/>
                <w:sz w:val="21"/>
                <w:szCs w:val="21"/>
              </w:rPr>
              <w:t>从可能的突发环境事件情景出发编制且典型突发环境事件情景无缺失</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1276" w:type="dxa"/>
            <w:gridSpan w:val="3"/>
            <w:vAlign w:val="center"/>
          </w:tcPr>
          <w:p w:rsidR="00F02F52" w:rsidRDefault="00F02F52">
            <w:pPr>
              <w:adjustRightInd w:val="0"/>
              <w:snapToGrid w:val="0"/>
              <w:spacing w:line="240" w:lineRule="exact"/>
              <w:jc w:val="lef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突发事件应对法有关规定；</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备案管理办法第九、十条，均对企业从可能的突发环境事件情景出发编制环境应急预案提出了要求；</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典型突发环境事件情景基于真实事件与预期风险凝练、集合而成，体现各类事件的共性与规律</w:t>
            </w:r>
          </w:p>
        </w:tc>
      </w:tr>
      <w:tr w:rsidR="00F02F52">
        <w:trPr>
          <w:trHeight w:val="930"/>
          <w:jc w:val="center"/>
        </w:trPr>
        <w:tc>
          <w:tcPr>
            <w:tcW w:w="6379" w:type="dxa"/>
            <w:gridSpan w:val="3"/>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能够让周边居民和单位获得事件信息</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1276" w:type="dxa"/>
            <w:gridSpan w:val="3"/>
            <w:vAlign w:val="center"/>
          </w:tcPr>
          <w:p w:rsidR="00F02F52" w:rsidRDefault="00F02F52">
            <w:pPr>
              <w:adjustRightInd w:val="0"/>
              <w:snapToGrid w:val="0"/>
              <w:spacing w:line="240" w:lineRule="exact"/>
              <w:jc w:val="lef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环境保护法第四十七条规定，在发生或可能发生突发环境事件时，企业应当及时通报可能受到危害的单位和居民。备案管理办法第十条也提出了相应要求</w:t>
            </w:r>
          </w:p>
        </w:tc>
      </w:tr>
      <w:tr w:rsidR="00F02F52">
        <w:trPr>
          <w:trHeight w:val="536"/>
          <w:jc w:val="center"/>
        </w:trPr>
        <w:tc>
          <w:tcPr>
            <w:tcW w:w="13781" w:type="dxa"/>
            <w:gridSpan w:val="8"/>
            <w:vAlign w:val="center"/>
          </w:tcPr>
          <w:p w:rsidR="00F02F52" w:rsidRDefault="00F02F52">
            <w:pPr>
              <w:adjustRightInd w:val="0"/>
              <w:snapToGrid w:val="0"/>
              <w:spacing w:line="240" w:lineRule="exact"/>
              <w:jc w:val="center"/>
              <w:rPr>
                <w:rFonts w:ascii="黑体" w:eastAsia="黑体" w:hAnsi="黑体"/>
                <w:sz w:val="21"/>
                <w:szCs w:val="21"/>
              </w:rPr>
            </w:pPr>
          </w:p>
          <w:p w:rsidR="00F02F52" w:rsidRDefault="00F02F52">
            <w:pPr>
              <w:adjustRightInd w:val="0"/>
              <w:snapToGrid w:val="0"/>
              <w:spacing w:line="240" w:lineRule="exact"/>
              <w:jc w:val="center"/>
              <w:rPr>
                <w:rFonts w:ascii="黑体" w:eastAsia="黑体" w:hAnsi="黑体"/>
                <w:sz w:val="21"/>
                <w:szCs w:val="21"/>
              </w:rPr>
            </w:pPr>
          </w:p>
          <w:p w:rsidR="00F02F52" w:rsidRDefault="00F02F52">
            <w:pPr>
              <w:adjustRightInd w:val="0"/>
              <w:snapToGrid w:val="0"/>
              <w:spacing w:line="240" w:lineRule="exact"/>
              <w:jc w:val="center"/>
              <w:rPr>
                <w:rFonts w:ascii="黑体" w:eastAsia="黑体" w:hAnsi="黑体"/>
                <w:sz w:val="21"/>
                <w:szCs w:val="21"/>
              </w:rPr>
            </w:pPr>
          </w:p>
          <w:p w:rsidR="00F02F52" w:rsidRDefault="00F02F52">
            <w:pPr>
              <w:adjustRightInd w:val="0"/>
              <w:snapToGrid w:val="0"/>
              <w:spacing w:line="240" w:lineRule="exact"/>
              <w:jc w:val="center"/>
              <w:rPr>
                <w:rFonts w:ascii="黑体" w:eastAsia="黑体" w:hAnsi="黑体"/>
                <w:sz w:val="21"/>
                <w:szCs w:val="21"/>
              </w:rPr>
            </w:pPr>
          </w:p>
          <w:p w:rsidR="00F02F52" w:rsidRDefault="00F02F52">
            <w:pPr>
              <w:adjustRightInd w:val="0"/>
              <w:snapToGrid w:val="0"/>
              <w:spacing w:line="240" w:lineRule="exact"/>
              <w:jc w:val="center"/>
              <w:rPr>
                <w:rFonts w:ascii="黑体" w:eastAsia="黑体" w:hAnsi="黑体"/>
                <w:sz w:val="21"/>
                <w:szCs w:val="21"/>
              </w:rPr>
            </w:pPr>
          </w:p>
          <w:p w:rsidR="00F02F52" w:rsidRDefault="00F02F52">
            <w:pPr>
              <w:adjustRightInd w:val="0"/>
              <w:snapToGrid w:val="0"/>
              <w:spacing w:line="240" w:lineRule="exact"/>
              <w:jc w:val="center"/>
              <w:rPr>
                <w:rFonts w:ascii="黑体" w:eastAsia="黑体" w:hAnsi="黑体"/>
                <w:sz w:val="21"/>
                <w:szCs w:val="21"/>
              </w:rPr>
            </w:pPr>
          </w:p>
          <w:p w:rsidR="00F02F52" w:rsidRDefault="00F02F52">
            <w:pPr>
              <w:adjustRightInd w:val="0"/>
              <w:snapToGrid w:val="0"/>
              <w:spacing w:line="240" w:lineRule="exact"/>
              <w:jc w:val="center"/>
              <w:rPr>
                <w:rFonts w:ascii="黑体" w:eastAsia="黑体" w:hAnsi="黑体"/>
                <w:sz w:val="21"/>
                <w:szCs w:val="21"/>
              </w:rPr>
            </w:pPr>
          </w:p>
          <w:p w:rsidR="00F02F52" w:rsidRDefault="00CB76E9">
            <w:pPr>
              <w:adjustRightInd w:val="0"/>
              <w:snapToGrid w:val="0"/>
              <w:spacing w:line="240" w:lineRule="exact"/>
              <w:jc w:val="center"/>
              <w:rPr>
                <w:rFonts w:ascii="黑体" w:eastAsia="黑体" w:hAnsi="黑体"/>
                <w:sz w:val="21"/>
                <w:szCs w:val="21"/>
              </w:rPr>
            </w:pPr>
            <w:r>
              <w:rPr>
                <w:rFonts w:ascii="黑体" w:eastAsia="黑体" w:hAnsi="黑体" w:hint="eastAsia"/>
                <w:sz w:val="21"/>
                <w:szCs w:val="21"/>
              </w:rPr>
              <w:t>环境应急预案及相关文件的基本形式</w:t>
            </w:r>
          </w:p>
        </w:tc>
      </w:tr>
      <w:tr w:rsidR="00F02F52">
        <w:trPr>
          <w:trHeight w:val="402"/>
          <w:jc w:val="center"/>
        </w:trPr>
        <w:tc>
          <w:tcPr>
            <w:tcW w:w="1134" w:type="dxa"/>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lastRenderedPageBreak/>
              <w:t>评审项目</w:t>
            </w:r>
          </w:p>
        </w:tc>
        <w:tc>
          <w:tcPr>
            <w:tcW w:w="5245" w:type="dxa"/>
            <w:gridSpan w:val="2"/>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评</w:t>
            </w:r>
            <w:r>
              <w:rPr>
                <w:rFonts w:ascii="宋体" w:eastAsia="宋体" w:hAnsi="宋体"/>
                <w:sz w:val="21"/>
                <w:szCs w:val="21"/>
              </w:rPr>
              <w:t xml:space="preserve"> </w:t>
            </w:r>
            <w:r>
              <w:rPr>
                <w:rFonts w:ascii="宋体" w:eastAsia="宋体" w:hAnsi="宋体" w:hint="eastAsia"/>
                <w:sz w:val="21"/>
                <w:szCs w:val="21"/>
              </w:rPr>
              <w:t>审</w:t>
            </w:r>
            <w:r>
              <w:rPr>
                <w:rFonts w:ascii="宋体" w:eastAsia="宋体" w:hAnsi="宋体"/>
                <w:sz w:val="21"/>
                <w:szCs w:val="21"/>
              </w:rPr>
              <w:t xml:space="preserve"> </w:t>
            </w:r>
            <w:r>
              <w:rPr>
                <w:rFonts w:ascii="宋体" w:eastAsia="宋体" w:hAnsi="宋体" w:hint="eastAsia"/>
                <w:sz w:val="21"/>
                <w:szCs w:val="21"/>
              </w:rPr>
              <w:t>指</w:t>
            </w:r>
            <w:r>
              <w:rPr>
                <w:rFonts w:ascii="宋体" w:eastAsia="宋体" w:hAnsi="宋体"/>
                <w:sz w:val="21"/>
                <w:szCs w:val="21"/>
              </w:rPr>
              <w:t xml:space="preserve"> </w:t>
            </w:r>
            <w:r>
              <w:rPr>
                <w:rFonts w:ascii="宋体" w:eastAsia="宋体" w:hAnsi="宋体" w:hint="eastAsia"/>
                <w:sz w:val="21"/>
                <w:szCs w:val="21"/>
              </w:rPr>
              <w:t>标</w:t>
            </w:r>
          </w:p>
        </w:tc>
        <w:tc>
          <w:tcPr>
            <w:tcW w:w="2552" w:type="dxa"/>
            <w:gridSpan w:val="4"/>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评审意见</w:t>
            </w:r>
          </w:p>
        </w:tc>
        <w:tc>
          <w:tcPr>
            <w:tcW w:w="4850" w:type="dxa"/>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指</w:t>
            </w:r>
            <w:r>
              <w:rPr>
                <w:rFonts w:ascii="宋体" w:eastAsia="宋体" w:hAnsi="宋体"/>
                <w:sz w:val="21"/>
                <w:szCs w:val="21"/>
              </w:rPr>
              <w:t xml:space="preserve"> </w:t>
            </w:r>
            <w:r>
              <w:rPr>
                <w:rFonts w:ascii="宋体" w:eastAsia="宋体" w:hAnsi="宋体" w:hint="eastAsia"/>
                <w:sz w:val="21"/>
                <w:szCs w:val="21"/>
              </w:rPr>
              <w:t>标</w:t>
            </w:r>
            <w:r>
              <w:rPr>
                <w:rFonts w:ascii="宋体" w:eastAsia="宋体" w:hAnsi="宋体"/>
                <w:sz w:val="21"/>
                <w:szCs w:val="21"/>
              </w:rPr>
              <w:t xml:space="preserve"> </w:t>
            </w:r>
            <w:r>
              <w:rPr>
                <w:rFonts w:ascii="宋体" w:eastAsia="宋体" w:hAnsi="宋体" w:hint="eastAsia"/>
                <w:sz w:val="21"/>
                <w:szCs w:val="21"/>
              </w:rPr>
              <w:t>说</w:t>
            </w:r>
            <w:r>
              <w:rPr>
                <w:rFonts w:ascii="宋体" w:eastAsia="宋体" w:hAnsi="宋体"/>
                <w:sz w:val="21"/>
                <w:szCs w:val="21"/>
              </w:rPr>
              <w:t xml:space="preserve"> </w:t>
            </w:r>
            <w:r>
              <w:rPr>
                <w:rFonts w:ascii="宋体" w:eastAsia="宋体" w:hAnsi="宋体" w:hint="eastAsia"/>
                <w:sz w:val="21"/>
                <w:szCs w:val="21"/>
              </w:rPr>
              <w:t>明</w:t>
            </w:r>
          </w:p>
        </w:tc>
      </w:tr>
      <w:tr w:rsidR="00F02F52">
        <w:trPr>
          <w:trHeight w:val="421"/>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5245" w:type="dxa"/>
            <w:gridSpan w:val="2"/>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1276"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判定</w:t>
            </w:r>
          </w:p>
        </w:tc>
        <w:tc>
          <w:tcPr>
            <w:tcW w:w="567"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得分</w:t>
            </w:r>
          </w:p>
        </w:tc>
        <w:tc>
          <w:tcPr>
            <w:tcW w:w="709" w:type="dxa"/>
            <w:gridSpan w:val="2"/>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说明</w:t>
            </w:r>
          </w:p>
        </w:tc>
        <w:tc>
          <w:tcPr>
            <w:tcW w:w="4850" w:type="dxa"/>
            <w:vMerge/>
            <w:vAlign w:val="center"/>
          </w:tcPr>
          <w:p w:rsidR="00F02F52" w:rsidRDefault="00F02F52">
            <w:pPr>
              <w:adjustRightInd w:val="0"/>
              <w:snapToGrid w:val="0"/>
              <w:spacing w:line="240" w:lineRule="exact"/>
              <w:jc w:val="center"/>
              <w:rPr>
                <w:rFonts w:ascii="宋体" w:eastAsia="宋体" w:hAnsi="宋体"/>
                <w:sz w:val="21"/>
                <w:szCs w:val="21"/>
              </w:rPr>
            </w:pPr>
          </w:p>
        </w:tc>
      </w:tr>
      <w:tr w:rsidR="00F02F52">
        <w:trPr>
          <w:trHeight w:val="1134"/>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封面目录</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vertAlign w:val="superscript"/>
              </w:rPr>
            </w:pPr>
            <w:r>
              <w:rPr>
                <w:rFonts w:ascii="宋体" w:eastAsia="宋体" w:hAnsi="宋体"/>
                <w:sz w:val="21"/>
                <w:szCs w:val="21"/>
              </w:rPr>
              <w:t>1</w:t>
            </w:r>
            <w:r>
              <w:rPr>
                <w:rFonts w:ascii="宋体" w:eastAsia="宋体" w:hAnsi="宋体"/>
                <w:sz w:val="21"/>
                <w:szCs w:val="21"/>
                <w:vertAlign w:val="superscript"/>
              </w:rPr>
              <w:t>a</w:t>
            </w:r>
          </w:p>
        </w:tc>
        <w:tc>
          <w:tcPr>
            <w:tcW w:w="4819"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封面有环境应急预案、预案编制单位名称，预留正式发布预案的版本号、发布日期等设计；</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目录有编号、标题和页码，一般至少设置两级目录</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567" w:type="dxa"/>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1</w:t>
            </w:r>
          </w:p>
        </w:tc>
        <w:tc>
          <w:tcPr>
            <w:tcW w:w="709" w:type="dxa"/>
            <w:gridSpan w:val="2"/>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预案版本号指为便于索引、回溯而在发布时赋予预案的标识号，企业可以按照内部技术文件版本号管理要求执行；</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预案各章节可以有多级标题，但在目录中至少列出两级标题，便于查找</w:t>
            </w:r>
          </w:p>
        </w:tc>
      </w:tr>
      <w:tr w:rsidR="00F02F52">
        <w:trPr>
          <w:trHeight w:val="1349"/>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结构</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w:t>
            </w:r>
            <w:r>
              <w:rPr>
                <w:rFonts w:ascii="宋体" w:eastAsia="宋体" w:hAnsi="宋体"/>
                <w:sz w:val="21"/>
                <w:szCs w:val="21"/>
                <w:vertAlign w:val="superscript"/>
              </w:rPr>
              <w:t>a</w:t>
            </w:r>
          </w:p>
        </w:tc>
        <w:tc>
          <w:tcPr>
            <w:tcW w:w="4819"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结构完整，格式规范</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567" w:type="dxa"/>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709" w:type="dxa"/>
            <w:gridSpan w:val="2"/>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结构完整指预案文件布局合理、层次分明，无错漏章节、段落；正文对附件的引用、说明等，与附件索引、附件一致；</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格式规范指预案文件符合企业内部公文格式标准，或文件字体、字号、版式、层次等遵循一定的规范</w:t>
            </w:r>
          </w:p>
        </w:tc>
      </w:tr>
      <w:tr w:rsidR="00F02F52">
        <w:trPr>
          <w:trHeight w:val="1977"/>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行文</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w:t>
            </w:r>
            <w:r>
              <w:rPr>
                <w:rFonts w:ascii="宋体" w:eastAsia="宋体" w:hAnsi="宋体"/>
                <w:sz w:val="21"/>
                <w:szCs w:val="21"/>
                <w:vertAlign w:val="superscript"/>
              </w:rPr>
              <w:t>a</w:t>
            </w:r>
          </w:p>
        </w:tc>
        <w:tc>
          <w:tcPr>
            <w:tcW w:w="4819"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文字准确，语言通顺，内容简明</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567" w:type="dxa"/>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709" w:type="dxa"/>
            <w:gridSpan w:val="2"/>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文字准确是指无明显错别字、多字、漏字、语句错误、数据错误、时间错误等现象；</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语言通顺是指语言规范、连贯、易懂，合乎事理逻辑，关键内容不会产生歧义等；</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内容简明是指环境应急预案、环境风险评估报告、环境应急资源调查报告独立成文，预案正文和附件内容分配合理，应对措施等重点信息容易找到，内容上无简单重复、大量互相引用等现象</w:t>
            </w:r>
          </w:p>
        </w:tc>
      </w:tr>
      <w:tr w:rsidR="00F02F52">
        <w:trPr>
          <w:trHeight w:val="497"/>
          <w:jc w:val="center"/>
        </w:trPr>
        <w:tc>
          <w:tcPr>
            <w:tcW w:w="13781" w:type="dxa"/>
            <w:gridSpan w:val="8"/>
            <w:vAlign w:val="center"/>
          </w:tcPr>
          <w:p w:rsidR="00F02F52" w:rsidRDefault="00CB76E9">
            <w:pPr>
              <w:adjustRightInd w:val="0"/>
              <w:snapToGrid w:val="0"/>
              <w:spacing w:line="240" w:lineRule="exact"/>
              <w:jc w:val="center"/>
              <w:rPr>
                <w:rFonts w:ascii="黑体" w:eastAsia="黑体" w:hAnsi="黑体"/>
                <w:sz w:val="21"/>
                <w:szCs w:val="21"/>
                <w:highlight w:val="yellow"/>
              </w:rPr>
            </w:pPr>
            <w:r>
              <w:rPr>
                <w:rFonts w:ascii="黑体" w:eastAsia="黑体" w:hAnsi="黑体" w:hint="eastAsia"/>
                <w:sz w:val="21"/>
                <w:szCs w:val="21"/>
              </w:rPr>
              <w:t>环境应急预案编制说明</w:t>
            </w:r>
          </w:p>
        </w:tc>
      </w:tr>
      <w:tr w:rsidR="00F02F52">
        <w:trPr>
          <w:trHeight w:val="603"/>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过程说明</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4</w:t>
            </w:r>
            <w:r>
              <w:rPr>
                <w:rFonts w:ascii="宋体" w:eastAsia="宋体" w:hAnsi="宋体"/>
                <w:sz w:val="21"/>
                <w:szCs w:val="21"/>
                <w:vertAlign w:val="superscript"/>
              </w:rPr>
              <w:t>a</w:t>
            </w:r>
          </w:p>
        </w:tc>
        <w:tc>
          <w:tcPr>
            <w:tcW w:w="4819"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说清预案编修过程</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highlight w:val="yellow"/>
              </w:rPr>
            </w:pPr>
            <w:r>
              <w:rPr>
                <w:rFonts w:ascii="宋体" w:eastAsia="宋体" w:hAnsi="宋体" w:hint="eastAsia"/>
                <w:sz w:val="21"/>
                <w:szCs w:val="21"/>
              </w:rPr>
              <w:t>□不符合</w:t>
            </w:r>
          </w:p>
        </w:tc>
        <w:tc>
          <w:tcPr>
            <w:tcW w:w="567" w:type="dxa"/>
          </w:tcPr>
          <w:p w:rsidR="00F02F52" w:rsidRDefault="00CB76E9">
            <w:pPr>
              <w:keepNext/>
              <w:keepLines/>
              <w:adjustRightInd w:val="0"/>
              <w:snapToGrid w:val="0"/>
              <w:spacing w:line="240" w:lineRule="exact"/>
              <w:rPr>
                <w:rFonts w:ascii="宋体" w:eastAsia="宋体" w:hAnsi="宋体"/>
                <w:sz w:val="21"/>
                <w:szCs w:val="21"/>
                <w:highlight w:val="yellow"/>
              </w:rPr>
            </w:pPr>
            <w:r>
              <w:rPr>
                <w:rFonts w:ascii="宋体" w:eastAsia="宋体" w:hAnsi="宋体"/>
                <w:sz w:val="21"/>
                <w:szCs w:val="21"/>
              </w:rPr>
              <w:t>1</w:t>
            </w:r>
          </w:p>
        </w:tc>
        <w:tc>
          <w:tcPr>
            <w:tcW w:w="709" w:type="dxa"/>
            <w:gridSpan w:val="2"/>
          </w:tcPr>
          <w:p w:rsidR="00F02F52" w:rsidRDefault="00F02F52">
            <w:pPr>
              <w:keepNext/>
              <w:keepLines/>
              <w:adjustRightInd w:val="0"/>
              <w:snapToGrid w:val="0"/>
              <w:spacing w:line="240" w:lineRule="exact"/>
              <w:rPr>
                <w:rFonts w:ascii="宋体" w:eastAsia="宋体" w:hAnsi="宋体"/>
                <w:sz w:val="21"/>
                <w:szCs w:val="21"/>
                <w:highlight w:val="yellow"/>
              </w:rPr>
            </w:pPr>
          </w:p>
        </w:tc>
        <w:tc>
          <w:tcPr>
            <w:tcW w:w="4850" w:type="dxa"/>
            <w:vAlign w:val="center"/>
          </w:tcPr>
          <w:p w:rsidR="00F02F52" w:rsidRDefault="00CB76E9">
            <w:pPr>
              <w:adjustRightInd w:val="0"/>
              <w:snapToGrid w:val="0"/>
              <w:spacing w:line="240" w:lineRule="exact"/>
              <w:rPr>
                <w:rFonts w:ascii="宋体" w:eastAsia="宋体" w:hAnsi="宋体"/>
                <w:sz w:val="21"/>
                <w:szCs w:val="21"/>
                <w:highlight w:val="yellow"/>
              </w:rPr>
            </w:pPr>
            <w:r>
              <w:rPr>
                <w:rFonts w:ascii="宋体" w:eastAsia="宋体" w:hAnsi="宋体" w:hint="eastAsia"/>
                <w:sz w:val="21"/>
                <w:szCs w:val="21"/>
              </w:rPr>
              <w:t>编制过程主要包括成立环境应急预案编制工作组、开展环境风险评估和环境应急资源调查、征求关键岗位员工和可能受影响的居民、单位代表的意见、组织对预案内容进行推演等</w:t>
            </w:r>
          </w:p>
        </w:tc>
      </w:tr>
      <w:tr w:rsidR="00F02F52">
        <w:trPr>
          <w:trHeight w:val="603"/>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问题说明</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5</w:t>
            </w:r>
            <w:r>
              <w:rPr>
                <w:rFonts w:ascii="宋体" w:eastAsia="宋体" w:hAnsi="宋体"/>
                <w:sz w:val="21"/>
                <w:szCs w:val="21"/>
                <w:vertAlign w:val="superscript"/>
              </w:rPr>
              <w:t>a</w:t>
            </w:r>
          </w:p>
        </w:tc>
        <w:tc>
          <w:tcPr>
            <w:tcW w:w="4819" w:type="dxa"/>
            <w:vAlign w:val="center"/>
          </w:tcPr>
          <w:p w:rsidR="00F02F52" w:rsidRDefault="00CB76E9">
            <w:pPr>
              <w:adjustRightInd w:val="0"/>
              <w:snapToGrid w:val="0"/>
              <w:spacing w:line="240" w:lineRule="exact"/>
              <w:rPr>
                <w:rFonts w:ascii="宋体" w:eastAsia="宋体" w:hAnsi="宋体"/>
                <w:spacing w:val="-2"/>
                <w:sz w:val="21"/>
                <w:szCs w:val="21"/>
              </w:rPr>
            </w:pPr>
            <w:r>
              <w:rPr>
                <w:rFonts w:ascii="宋体" w:eastAsia="宋体" w:hAnsi="宋体" w:hint="eastAsia"/>
                <w:spacing w:val="-2"/>
                <w:sz w:val="21"/>
                <w:szCs w:val="21"/>
              </w:rPr>
              <w:t>说明意见建议及采纳情况、演练暴露问题及解决措施</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部分符合□不符合</w:t>
            </w:r>
          </w:p>
        </w:tc>
        <w:tc>
          <w:tcPr>
            <w:tcW w:w="567" w:type="dxa"/>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1</w:t>
            </w:r>
          </w:p>
        </w:tc>
        <w:tc>
          <w:tcPr>
            <w:tcW w:w="709" w:type="dxa"/>
            <w:gridSpan w:val="2"/>
          </w:tcPr>
          <w:p w:rsidR="00F02F52" w:rsidRDefault="00F02F52">
            <w:pPr>
              <w:keepNext/>
              <w:keepLines/>
              <w:adjustRightInd w:val="0"/>
              <w:snapToGrid w:val="0"/>
              <w:spacing w:line="240" w:lineRule="exact"/>
              <w:jc w:val="center"/>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一般应有意见建议清单，并说明采纳情况及未采纳理由；演练（一般为检验性的桌面推演）暴露问题清单及解决措施，并体现在预案中</w:t>
            </w:r>
          </w:p>
        </w:tc>
      </w:tr>
      <w:tr w:rsidR="00F02F52">
        <w:trPr>
          <w:trHeight w:val="441"/>
          <w:jc w:val="center"/>
        </w:trPr>
        <w:tc>
          <w:tcPr>
            <w:tcW w:w="13781" w:type="dxa"/>
            <w:gridSpan w:val="8"/>
            <w:vAlign w:val="center"/>
          </w:tcPr>
          <w:p w:rsidR="00F02F52" w:rsidRDefault="00CB76E9">
            <w:pPr>
              <w:adjustRightInd w:val="0"/>
              <w:snapToGrid w:val="0"/>
              <w:spacing w:line="240" w:lineRule="exact"/>
              <w:jc w:val="center"/>
              <w:rPr>
                <w:rFonts w:ascii="黑体" w:eastAsia="黑体" w:hAnsi="黑体"/>
                <w:sz w:val="21"/>
                <w:szCs w:val="21"/>
              </w:rPr>
            </w:pPr>
            <w:r>
              <w:rPr>
                <w:rFonts w:ascii="黑体" w:eastAsia="黑体" w:hAnsi="黑体" w:hint="eastAsia"/>
                <w:sz w:val="21"/>
                <w:szCs w:val="21"/>
              </w:rPr>
              <w:lastRenderedPageBreak/>
              <w:t>环境应急预案文本</w:t>
            </w:r>
          </w:p>
        </w:tc>
      </w:tr>
      <w:tr w:rsidR="00F02F52">
        <w:trPr>
          <w:trHeight w:val="330"/>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编制目的</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6</w:t>
            </w:r>
          </w:p>
        </w:tc>
        <w:tc>
          <w:tcPr>
            <w:tcW w:w="4819" w:type="dxa"/>
            <w:vAlign w:val="center"/>
          </w:tcPr>
          <w:p w:rsidR="00F02F52" w:rsidRDefault="00CB76E9">
            <w:pPr>
              <w:adjustRightInd w:val="0"/>
              <w:snapToGrid w:val="0"/>
              <w:spacing w:line="240" w:lineRule="exact"/>
              <w:jc w:val="left"/>
              <w:rPr>
                <w:rFonts w:ascii="宋体" w:eastAsia="宋体" w:hAnsi="宋体"/>
                <w:spacing w:val="-2"/>
                <w:sz w:val="21"/>
                <w:szCs w:val="21"/>
              </w:rPr>
            </w:pPr>
            <w:r>
              <w:rPr>
                <w:rFonts w:ascii="宋体" w:eastAsia="宋体" w:hAnsi="宋体" w:hint="eastAsia"/>
                <w:spacing w:val="-2"/>
                <w:sz w:val="21"/>
                <w:szCs w:val="21"/>
              </w:rPr>
              <w:t>体现：规范事发后的应对工作，提高事件应对能力，避免或减轻事件影响，加强企业与政府应对工作衔接</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Merge w:val="restart"/>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此三项为预案的总纲。</w:t>
            </w:r>
          </w:p>
          <w:p w:rsidR="00F02F52" w:rsidRDefault="00F02F52">
            <w:pPr>
              <w:adjustRightInd w:val="0"/>
              <w:snapToGrid w:val="0"/>
              <w:spacing w:line="240" w:lineRule="exact"/>
              <w:rPr>
                <w:rFonts w:ascii="宋体" w:eastAsia="宋体" w:hAnsi="宋体"/>
                <w:sz w:val="21"/>
                <w:szCs w:val="21"/>
              </w:rPr>
            </w:pP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关于“规范事发后的应对工作”，《突发事件应急预案管理办法》强调应急预案重在“应对”，适当向前延伸至“预警”，向后延伸至“恢复”。关于“加强企业与政府应对衔接”，根据备案管理办法，实行企业环境应急预案备案管理，其中一个重要作用是环保部门收集信息，服务于政府环境应急预案编修；另外，由于权限、职责、工作范围的不同，企业环境应急预案应该在指挥、措施、程序等方面留有“接口”，确保与政府预案有机衔接。</w:t>
            </w:r>
          </w:p>
          <w:p w:rsidR="00F02F52" w:rsidRDefault="00F02F52">
            <w:pPr>
              <w:adjustRightInd w:val="0"/>
              <w:snapToGrid w:val="0"/>
              <w:spacing w:line="240" w:lineRule="exact"/>
              <w:rPr>
                <w:rFonts w:ascii="宋体" w:eastAsia="宋体" w:hAnsi="宋体"/>
                <w:sz w:val="21"/>
                <w:szCs w:val="21"/>
              </w:rPr>
            </w:pP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适用主体，指组织实施预案的责任单位；地理或管理范围，如某公司内、某公司及周边环境敏感区域内；事件类别，如生产废水事故排放、化学品泄漏、燃烧或爆炸次生环境事件等；工作内容，可包括预警、处置、监测等。</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坚持环境优先，是因为环境一旦受到污染，修复难度大且成本高；应急工作与岗位职责相结合，强调应急任务要细化落实到具体工作岗位</w:t>
            </w:r>
          </w:p>
        </w:tc>
      </w:tr>
      <w:tr w:rsidR="00F02F52">
        <w:trPr>
          <w:trHeight w:val="907"/>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适用范围</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7</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明确：预案适用的主体、地理或管理范围、事件类别、工作内容</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Merge/>
          </w:tcPr>
          <w:p w:rsidR="00F02F52" w:rsidRDefault="00F02F52">
            <w:pPr>
              <w:adjustRightInd w:val="0"/>
              <w:snapToGrid w:val="0"/>
              <w:spacing w:line="240" w:lineRule="exact"/>
              <w:rPr>
                <w:rFonts w:ascii="宋体" w:eastAsia="宋体" w:hAnsi="宋体"/>
                <w:sz w:val="21"/>
                <w:szCs w:val="21"/>
              </w:rPr>
            </w:pPr>
          </w:p>
        </w:tc>
      </w:tr>
      <w:tr w:rsidR="00F02F52">
        <w:trPr>
          <w:trHeight w:val="907"/>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工作原则</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8</w:t>
            </w:r>
          </w:p>
        </w:tc>
        <w:tc>
          <w:tcPr>
            <w:tcW w:w="4819" w:type="dxa"/>
            <w:vAlign w:val="center"/>
          </w:tcPr>
          <w:p w:rsidR="00F02F52" w:rsidRDefault="00CB76E9">
            <w:pPr>
              <w:adjustRightInd w:val="0"/>
              <w:snapToGrid w:val="0"/>
              <w:spacing w:line="240" w:lineRule="exact"/>
              <w:jc w:val="left"/>
              <w:rPr>
                <w:rFonts w:ascii="宋体" w:eastAsia="宋体" w:hAnsi="宋体"/>
                <w:spacing w:val="-2"/>
                <w:sz w:val="21"/>
                <w:szCs w:val="21"/>
              </w:rPr>
            </w:pPr>
            <w:r>
              <w:rPr>
                <w:rFonts w:ascii="宋体" w:eastAsia="宋体" w:hAnsi="宋体" w:hint="eastAsia"/>
                <w:spacing w:val="-2"/>
                <w:sz w:val="21"/>
                <w:szCs w:val="21"/>
              </w:rPr>
              <w:t>体现：符合国家有关规定和要求，结合本单位实际；救人第一、环境优先；先期处置、防止危害扩大；快速响应、科学应对；应急工作与岗位职责相结合等</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Merge/>
          </w:tcPr>
          <w:p w:rsidR="00F02F52" w:rsidRDefault="00F02F52">
            <w:pPr>
              <w:adjustRightInd w:val="0"/>
              <w:snapToGrid w:val="0"/>
              <w:spacing w:line="240" w:lineRule="exact"/>
              <w:rPr>
                <w:rFonts w:ascii="宋体" w:eastAsia="宋体" w:hAnsi="宋体"/>
                <w:sz w:val="21"/>
                <w:szCs w:val="21"/>
              </w:rPr>
            </w:pPr>
          </w:p>
        </w:tc>
      </w:tr>
      <w:tr w:rsidR="00F02F52">
        <w:trPr>
          <w:trHeight w:val="2117"/>
          <w:jc w:val="center"/>
        </w:trPr>
        <w:tc>
          <w:tcPr>
            <w:tcW w:w="1134" w:type="dxa"/>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应急预案</w:t>
            </w:r>
          </w:p>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体系</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9</w:t>
            </w:r>
            <w:r>
              <w:rPr>
                <w:rFonts w:ascii="宋体" w:eastAsia="宋体" w:hAnsi="宋体"/>
                <w:sz w:val="21"/>
                <w:szCs w:val="21"/>
                <w:vertAlign w:val="superscript"/>
              </w:rPr>
              <w:t>b</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以预案关系图的形式，说明本预案的组成及其组成之间的关系、与生产安全事故预案等其他预案的衔接关系、与地方人民政府环境应急预案的衔接关系，辅以必要的重点内容说明</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3</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Merge w:val="restart"/>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本项目的三项指标，主要考察企业在环境应急预案编制过程中能否清晰把握预案体系。具体衔接方式、内容在应对流程和措施等部分体现。</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有的企业环境应急预案包括综合预案、专项预案、现场预案或其他组成，应说明这些组成之间的衔接关系，确保各个组成清晰界定、有机衔接。企业环境应急预案一般应以现场处置预案为主，有针对性地提出各类事件情景下的污染防控措施，明确责任人员、工</w:t>
            </w:r>
            <w:r>
              <w:rPr>
                <w:rFonts w:ascii="宋体" w:eastAsia="宋体" w:hAnsi="宋体" w:hint="eastAsia"/>
                <w:sz w:val="21"/>
                <w:szCs w:val="21"/>
              </w:rPr>
              <w:lastRenderedPageBreak/>
              <w:t>作流程、具体措施，落实到应急处置卡上。确需分类编制的，综合预案侧重明确应对原则、组织机构与职责、基本程序与要求，说明预案体系构成；专项预案侧重针对某一类事件，明确应急程序和处置措施。如不涉及以上情况，可以说明预案的主体框架。</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环境应急预案定位于控制并减轻、消除污染，与企业内部生产安全事故预案等其他预案清晰界定、相互支持。</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企业突发环境事件一般会对外环境造成污染，其预案应与所在地政府环境应急预案协调一致、相互配合。</w:t>
            </w:r>
          </w:p>
        </w:tc>
      </w:tr>
      <w:tr w:rsidR="00F02F52">
        <w:trPr>
          <w:trHeight w:val="907"/>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10</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预案体系构成合理，以现场处置预案为主，确有必要编制综合预案、专项预案，且定位清晰、有机衔接</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Merge/>
          </w:tcPr>
          <w:p w:rsidR="00F02F52" w:rsidRDefault="00F02F52">
            <w:pPr>
              <w:adjustRightInd w:val="0"/>
              <w:snapToGrid w:val="0"/>
              <w:spacing w:line="240" w:lineRule="exact"/>
              <w:rPr>
                <w:rFonts w:ascii="宋体" w:eastAsia="宋体" w:hAnsi="宋体"/>
                <w:sz w:val="21"/>
                <w:szCs w:val="21"/>
              </w:rPr>
            </w:pPr>
          </w:p>
        </w:tc>
      </w:tr>
      <w:tr w:rsidR="00F02F52">
        <w:trPr>
          <w:trHeight w:val="907"/>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11</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预案整体定位清晰，与内部生产安全事故预案等其他预案清晰界定、相互支持，与地方人民政府环境应急预案有机衔接</w:t>
            </w:r>
          </w:p>
        </w:tc>
        <w:tc>
          <w:tcPr>
            <w:tcW w:w="1276" w:type="dxa"/>
            <w:vAlign w:val="center"/>
          </w:tcPr>
          <w:p w:rsidR="00F02F52" w:rsidRDefault="00A42779">
            <w:pPr>
              <w:adjustRightInd w:val="0"/>
              <w:snapToGrid w:val="0"/>
              <w:spacing w:line="240" w:lineRule="exact"/>
              <w:rPr>
                <w:rFonts w:ascii="宋体" w:eastAsia="宋体" w:hAnsi="宋体"/>
                <w:sz w:val="21"/>
                <w:szCs w:val="21"/>
              </w:rPr>
            </w:pPr>
            <w:r>
              <w:rPr>
                <w:rFonts w:ascii="宋体" w:eastAsia="宋体" w:hAnsi="宋体" w:hint="eastAsia"/>
                <w:sz w:val="21"/>
                <w:szCs w:val="21"/>
              </w:rPr>
              <w:t>□</w:t>
            </w:r>
            <w:r w:rsidR="00CB76E9">
              <w:rPr>
                <w:rFonts w:ascii="宋体" w:eastAsia="宋体" w:hAnsi="宋体" w:hint="eastAsia"/>
                <w:sz w:val="21"/>
                <w:szCs w:val="21"/>
              </w:rPr>
              <w:t>符合</w:t>
            </w:r>
          </w:p>
          <w:p w:rsidR="00F02F52" w:rsidRDefault="00A4277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sidR="00CB76E9">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F02F52">
            <w:pPr>
              <w:adjustRightInd w:val="0"/>
              <w:snapToGrid w:val="0"/>
              <w:spacing w:line="240" w:lineRule="exact"/>
              <w:ind w:firstLineChars="100" w:firstLine="210"/>
              <w:rPr>
                <w:rFonts w:ascii="宋体" w:eastAsia="宋体" w:hAnsi="宋体"/>
                <w:sz w:val="21"/>
                <w:szCs w:val="21"/>
              </w:rPr>
            </w:pPr>
          </w:p>
          <w:p w:rsidR="00F02F52" w:rsidRDefault="00F02F52">
            <w:pPr>
              <w:adjustRightInd w:val="0"/>
              <w:snapToGrid w:val="0"/>
              <w:spacing w:line="240" w:lineRule="exact"/>
              <w:ind w:firstLineChars="100" w:firstLine="210"/>
              <w:rPr>
                <w:rFonts w:ascii="宋体" w:eastAsia="宋体" w:hAnsi="宋体"/>
                <w:sz w:val="21"/>
                <w:szCs w:val="21"/>
              </w:rPr>
            </w:pPr>
          </w:p>
          <w:p w:rsidR="00F02F52" w:rsidRDefault="00A42779">
            <w:pPr>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Merge/>
          </w:tcPr>
          <w:p w:rsidR="00F02F52" w:rsidRDefault="00F02F52">
            <w:pPr>
              <w:adjustRightInd w:val="0"/>
              <w:snapToGrid w:val="0"/>
              <w:spacing w:line="240" w:lineRule="exact"/>
              <w:rPr>
                <w:rFonts w:ascii="宋体" w:eastAsia="宋体" w:hAnsi="宋体"/>
                <w:sz w:val="21"/>
                <w:szCs w:val="21"/>
              </w:rPr>
            </w:pPr>
          </w:p>
        </w:tc>
      </w:tr>
      <w:tr w:rsidR="00F02F52">
        <w:trPr>
          <w:trHeight w:val="836"/>
          <w:jc w:val="center"/>
        </w:trPr>
        <w:tc>
          <w:tcPr>
            <w:tcW w:w="1134" w:type="dxa"/>
            <w:vMerge w:val="restart"/>
            <w:vAlign w:val="center"/>
          </w:tcPr>
          <w:p w:rsidR="00F02F52" w:rsidRDefault="00CB76E9">
            <w:pPr>
              <w:adjustRightInd w:val="0"/>
              <w:snapToGrid w:val="0"/>
              <w:spacing w:line="240" w:lineRule="exact"/>
              <w:jc w:val="center"/>
              <w:rPr>
                <w:rFonts w:ascii="宋体" w:eastAsia="宋体" w:hAnsi="宋体"/>
                <w:color w:val="000000"/>
                <w:kern w:val="0"/>
                <w:sz w:val="21"/>
                <w:szCs w:val="21"/>
                <w:lang w:val="zh-CN"/>
              </w:rPr>
            </w:pPr>
            <w:r>
              <w:rPr>
                <w:rFonts w:ascii="宋体" w:eastAsia="宋体" w:hAnsi="宋体" w:hint="eastAsia"/>
                <w:sz w:val="21"/>
                <w:szCs w:val="21"/>
              </w:rPr>
              <w:t>组织指挥机制</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color w:val="000000"/>
                <w:sz w:val="21"/>
                <w:szCs w:val="21"/>
              </w:rPr>
            </w:pPr>
            <w:r>
              <w:rPr>
                <w:rFonts w:ascii="宋体" w:eastAsia="宋体" w:hAnsi="宋体"/>
                <w:color w:val="000000"/>
                <w:sz w:val="21"/>
                <w:szCs w:val="21"/>
              </w:rPr>
              <w:t>12</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以应急组织体系结构图、应急响应流程图的形式，说明组织体系构成、应急指挥运行机制，配有应急队伍成员名单和联系方式表</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以图表形式，说明应急组织体系构成、运行机制、联系人及联系方式</w:t>
            </w:r>
          </w:p>
        </w:tc>
      </w:tr>
      <w:tr w:rsidR="00F02F52">
        <w:trPr>
          <w:trHeight w:val="1531"/>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color w:val="000000"/>
                <w:sz w:val="21"/>
                <w:szCs w:val="21"/>
              </w:rPr>
            </w:pPr>
            <w:r>
              <w:rPr>
                <w:rFonts w:ascii="宋体" w:eastAsia="宋体" w:hAnsi="宋体"/>
                <w:color w:val="000000"/>
                <w:sz w:val="21"/>
                <w:szCs w:val="21"/>
              </w:rPr>
              <w:t>13</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明确组织体系的构成及其职责。一般包括应急指挥部及其办事机构、现场处置组、环境应急监测组、应急保障组以及其他必要的行动组</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企业根据突发环境事件应急工作特点，建立由负责人和成员组成的、工作职责明确的环境应急组织指挥机构。注意与企业突发事件应急预案以及生产安全等预案中组织指挥体系的衔接</w:t>
            </w:r>
          </w:p>
        </w:tc>
      </w:tr>
      <w:tr w:rsidR="00F02F52">
        <w:trPr>
          <w:trHeight w:val="1125"/>
          <w:jc w:val="center"/>
        </w:trPr>
        <w:tc>
          <w:tcPr>
            <w:tcW w:w="1134" w:type="dxa"/>
            <w:vMerge w:val="restart"/>
            <w:vAlign w:val="center"/>
          </w:tcPr>
          <w:p w:rsidR="00F02F52" w:rsidRDefault="00CB76E9">
            <w:pPr>
              <w:keepNext/>
              <w:keepLines/>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lastRenderedPageBreak/>
              <w:t>组织指挥机制</w:t>
            </w: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14</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明确应急状态下指挥运行机制，建立统一的应急指挥、协调和决策程序</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指挥运行机制，指的是总指挥与各行动小组相互作用的程序和方式，能够对突发环境事件状态进行评估，迅速有效进行应急响应决策，指挥和协调各行动小组活动，合理高效地调配和使用应急资源</w:t>
            </w:r>
          </w:p>
        </w:tc>
      </w:tr>
      <w:tr w:rsidR="00F02F52">
        <w:trPr>
          <w:trHeight w:val="832"/>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15</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根据突发环境事件的危害程度、影响范围、周边环境敏感点、企业应急响应能力等，建立分级应急响应机制，明确不同应急响应级别对应的指挥权限</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例如有的企业将环境应急分为车间级、企业级、社会级，明确相应的指挥权限：车间负责人、企业负责人、接受当地政府统一指挥</w:t>
            </w:r>
          </w:p>
        </w:tc>
      </w:tr>
      <w:tr w:rsidR="00F02F52">
        <w:trPr>
          <w:trHeight w:val="829"/>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16</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说明企业与政府及其有关部门之间的关系。明确政府及其有关部门介入后，企业内部指挥协调、配合处置、参与应急保障等工作任务和责任人</w:t>
            </w:r>
          </w:p>
        </w:tc>
        <w:tc>
          <w:tcPr>
            <w:tcW w:w="1276" w:type="dxa"/>
            <w:vAlign w:val="center"/>
          </w:tcPr>
          <w:p w:rsidR="00F02F52" w:rsidRDefault="00A42779">
            <w:pPr>
              <w:adjustRightInd w:val="0"/>
              <w:snapToGrid w:val="0"/>
              <w:spacing w:line="240" w:lineRule="exact"/>
              <w:rPr>
                <w:rFonts w:ascii="宋体" w:eastAsia="宋体" w:hAnsi="宋体"/>
                <w:sz w:val="21"/>
                <w:szCs w:val="21"/>
              </w:rPr>
            </w:pPr>
            <w:r>
              <w:rPr>
                <w:rFonts w:ascii="宋体" w:eastAsia="宋体" w:hAnsi="宋体" w:hint="eastAsia"/>
                <w:sz w:val="21"/>
                <w:szCs w:val="21"/>
              </w:rPr>
              <w:t>□</w:t>
            </w:r>
            <w:r w:rsidR="00CB76E9">
              <w:rPr>
                <w:rFonts w:ascii="宋体" w:eastAsia="宋体" w:hAnsi="宋体" w:hint="eastAsia"/>
                <w:sz w:val="21"/>
                <w:szCs w:val="21"/>
              </w:rPr>
              <w:t>符合</w:t>
            </w:r>
          </w:p>
          <w:p w:rsidR="00F02F52" w:rsidRDefault="00A4277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sidR="00CB76E9">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F02F52">
            <w:pPr>
              <w:keepNext/>
              <w:keepLines/>
              <w:adjustRightInd w:val="0"/>
              <w:snapToGrid w:val="0"/>
              <w:spacing w:line="240" w:lineRule="exact"/>
              <w:rPr>
                <w:rFonts w:ascii="宋体" w:eastAsia="宋体" w:hAnsi="宋体"/>
                <w:sz w:val="21"/>
                <w:szCs w:val="21"/>
              </w:rPr>
            </w:pPr>
          </w:p>
          <w:p w:rsidR="00F02F52" w:rsidRDefault="00A42779">
            <w:pPr>
              <w:keepNext/>
              <w:keepLines/>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例如政府及其有关部门介入后，环境应急指挥权的移交及企业内部的调整</w:t>
            </w:r>
          </w:p>
        </w:tc>
      </w:tr>
      <w:tr w:rsidR="00F02F52">
        <w:trPr>
          <w:trHeight w:val="841"/>
          <w:jc w:val="center"/>
        </w:trPr>
        <w:tc>
          <w:tcPr>
            <w:tcW w:w="1134" w:type="dxa"/>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监测预警</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17</w:t>
            </w:r>
          </w:p>
        </w:tc>
        <w:tc>
          <w:tcPr>
            <w:tcW w:w="4819"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建立企业内部监控预警方案</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根据企业可能面临事件情景，结合事件危害程度、紧急程度和发展态势，对企业内部预警级别、预警发布与解除、预警措施进行总体安排</w:t>
            </w:r>
          </w:p>
        </w:tc>
      </w:tr>
      <w:tr w:rsidR="00F02F52">
        <w:trPr>
          <w:trHeight w:val="981"/>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18</w:t>
            </w:r>
          </w:p>
        </w:tc>
        <w:tc>
          <w:tcPr>
            <w:tcW w:w="4819"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明确监控信息的获得途径和分析研判的方式方法</w:t>
            </w:r>
          </w:p>
        </w:tc>
        <w:tc>
          <w:tcPr>
            <w:tcW w:w="1276" w:type="dxa"/>
            <w:vAlign w:val="center"/>
          </w:tcPr>
          <w:p w:rsidR="00F02F52" w:rsidRDefault="00A42779">
            <w:pPr>
              <w:adjustRightInd w:val="0"/>
              <w:snapToGrid w:val="0"/>
              <w:spacing w:line="240" w:lineRule="exact"/>
              <w:rPr>
                <w:rFonts w:ascii="宋体" w:eastAsia="宋体" w:hAnsi="宋体"/>
                <w:sz w:val="21"/>
                <w:szCs w:val="21"/>
              </w:rPr>
            </w:pPr>
            <w:r>
              <w:rPr>
                <w:rFonts w:ascii="宋体" w:eastAsia="宋体" w:hAnsi="宋体" w:hint="eastAsia"/>
                <w:sz w:val="21"/>
                <w:szCs w:val="21"/>
              </w:rPr>
              <w:t>□</w:t>
            </w:r>
            <w:r w:rsidR="00CB76E9">
              <w:rPr>
                <w:rFonts w:ascii="宋体" w:eastAsia="宋体" w:hAnsi="宋体" w:hint="eastAsia"/>
                <w:sz w:val="21"/>
                <w:szCs w:val="21"/>
              </w:rPr>
              <w:t>符合</w:t>
            </w:r>
          </w:p>
          <w:p w:rsidR="00F02F52" w:rsidRDefault="00A4277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sidR="00CB76E9">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A42779">
            <w:pPr>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监控信息的获得途径，例如极端天气等自然灾害、生产安全事故等事故灾难、相关监控监测信息等；</w:t>
            </w:r>
          </w:p>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分析研判的方式方法，例如根据相关信息和应急能力等，结合企业自身实际进行分析研判</w:t>
            </w:r>
          </w:p>
        </w:tc>
      </w:tr>
      <w:tr w:rsidR="00F02F52">
        <w:trPr>
          <w:trHeight w:val="1407"/>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19</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明确企业内部预警条件，预警等级，预警信息发布、接收、调整、解除程序、发布内容、责任人</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一般根据企业突发环境事件类型情景和自身的应急能力等，结合周边环境情况，确定预警等级，做到早发现、早报告、早发布；</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红色预警一般为企业自身力量难以应对；橙色预警一般为企业需要调集内部绝大部分力量参与应对；黄色、蓝色预警根据企业实际需求确定</w:t>
            </w:r>
          </w:p>
        </w:tc>
      </w:tr>
      <w:tr w:rsidR="00F02F52">
        <w:trPr>
          <w:trHeight w:val="1056"/>
          <w:jc w:val="center"/>
        </w:trPr>
        <w:tc>
          <w:tcPr>
            <w:tcW w:w="1134" w:type="dxa"/>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信息报告</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20</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明确企业内部事件信息传递的责任人、程序、时限、方式、内容等，包括向协议应急救援单位传递信息的方式方法</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2</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从事件第一发现人至事件指挥人之间信息传递的方式、方法及内容，内容一般包括事件的时间、地点、涉及物质、简要经过、已造成或者可能造成的污染情况、已采取的措施等</w:t>
            </w:r>
          </w:p>
        </w:tc>
      </w:tr>
      <w:tr w:rsidR="00F02F52">
        <w:trPr>
          <w:trHeight w:val="1134"/>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21</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明确企业向当地人民政府及其环保等部门报告的责任人、程序、时限方式、内容等，辅以信息报告格式规范</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1</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从企业报告决策人、报告负责人到当地人民政府及其环保部门负责人（单位）之间信息传递的方式、方法及内容，内容一般包括企业及周边概况、事件的时间、地点、涉及物质、简要经过、已造成或者可能造成的污染情况、已采取的措施、请求支持的内容等</w:t>
            </w:r>
          </w:p>
        </w:tc>
      </w:tr>
      <w:tr w:rsidR="00F02F52">
        <w:trPr>
          <w:trHeight w:val="1134"/>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22</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明确企业向可能受影响的居民、单位通报的责任人、程序、时限、方式、内容等</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1</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从企业通报决策人、通报负责人到周边居民、单位负责人之间信息传递的方式、方法及内容，内容一般包括事件已造成或者可能造成的污染情况、居民或单位避险措施等</w:t>
            </w:r>
          </w:p>
        </w:tc>
      </w:tr>
      <w:tr w:rsidR="00F02F52">
        <w:trPr>
          <w:trHeight w:val="1134"/>
          <w:jc w:val="center"/>
        </w:trPr>
        <w:tc>
          <w:tcPr>
            <w:tcW w:w="1134" w:type="dxa"/>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应急监测</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23</w:t>
            </w:r>
            <w:r>
              <w:rPr>
                <w:rFonts w:ascii="宋体" w:eastAsia="宋体" w:hAnsi="宋体"/>
                <w:sz w:val="21"/>
                <w:szCs w:val="21"/>
                <w:vertAlign w:val="superscript"/>
              </w:rPr>
              <w:t>c</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涉大气污染的，说明排放口和厂界气体监测的一般原则</w:t>
            </w:r>
          </w:p>
        </w:tc>
        <w:tc>
          <w:tcPr>
            <w:tcW w:w="1276" w:type="dxa"/>
            <w:vAlign w:val="center"/>
          </w:tcPr>
          <w:p w:rsidR="00F02F52" w:rsidRDefault="00A4277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sidR="00CB76E9">
              <w:rPr>
                <w:rFonts w:ascii="宋体" w:eastAsia="宋体" w:hAnsi="宋体" w:hint="eastAsia"/>
                <w:sz w:val="21"/>
                <w:szCs w:val="21"/>
              </w:rPr>
              <w:t>符合</w:t>
            </w:r>
          </w:p>
          <w:p w:rsidR="00F02F52" w:rsidRDefault="00A4277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A3"/>
            </w:r>
            <w:r w:rsidR="00CB76E9">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A42779">
            <w:pPr>
              <w:keepNext/>
              <w:keepLines/>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按照《突发环境事件应急监测技术规范》等有关要求，确定排放口和厂界气体监测一般原则，为针对具体事件情景制定监测方案提供指导；</w:t>
            </w:r>
          </w:p>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排放口为突发环境事件中污染物的排放出口，包括按照相关环境保护标准设置的排放口</w:t>
            </w:r>
          </w:p>
        </w:tc>
      </w:tr>
      <w:tr w:rsidR="00F02F52">
        <w:trPr>
          <w:trHeight w:val="668"/>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24</w:t>
            </w:r>
            <w:r>
              <w:rPr>
                <w:rFonts w:ascii="宋体" w:eastAsia="宋体" w:hAnsi="宋体"/>
                <w:sz w:val="21"/>
                <w:szCs w:val="21"/>
                <w:vertAlign w:val="superscript"/>
              </w:rPr>
              <w:t>c</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涉水污染的，说明废水排放口、雨水排放口、清净下水排放口等可能外排渠道监测的一般原则</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按照《突发环境事件应急监测技术规范》等有关要求，确定可能外排渠道监测的一般原则，为针对具体事件情景制定监测方案提供指导</w:t>
            </w:r>
          </w:p>
        </w:tc>
      </w:tr>
      <w:tr w:rsidR="00F02F52">
        <w:trPr>
          <w:trHeight w:val="636"/>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25</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监测方案一般应明确监测项目、采样（监测）人员、监测设备、监测频次等</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针对具体事件情景制定监测方案</w:t>
            </w:r>
          </w:p>
        </w:tc>
      </w:tr>
      <w:tr w:rsidR="00F02F52">
        <w:trPr>
          <w:trHeight w:val="901"/>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26</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明确监测执行单位；自身没有监测能力的，说明协议监测方案，并附协议</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自身没有监测能力的，应与当地环境监测机构或其他机构衔接，确保能够迅速获得环境检测支持</w:t>
            </w:r>
          </w:p>
        </w:tc>
      </w:tr>
      <w:tr w:rsidR="00F02F52">
        <w:trPr>
          <w:trHeight w:val="985"/>
          <w:jc w:val="center"/>
        </w:trPr>
        <w:tc>
          <w:tcPr>
            <w:tcW w:w="1134" w:type="dxa"/>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应对流程和措施</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27</w:t>
            </w:r>
            <w:r>
              <w:rPr>
                <w:rFonts w:ascii="宋体" w:eastAsia="宋体" w:hAnsi="宋体"/>
                <w:sz w:val="21"/>
                <w:szCs w:val="21"/>
                <w:vertAlign w:val="superscript"/>
              </w:rPr>
              <w:t>b</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根据环境风险评估报告中的风险分析和情景构建内容，说明应对流程和措施，体现：企业内部控制污染源</w:t>
            </w:r>
            <w:r>
              <w:rPr>
                <w:rFonts w:ascii="宋体" w:eastAsia="宋体" w:hAnsi="宋体"/>
                <w:sz w:val="21"/>
                <w:szCs w:val="21"/>
              </w:rPr>
              <w:t>-</w:t>
            </w:r>
            <w:r>
              <w:rPr>
                <w:rFonts w:ascii="宋体" w:eastAsia="宋体" w:hAnsi="宋体" w:hint="eastAsia"/>
                <w:sz w:val="21"/>
                <w:szCs w:val="21"/>
              </w:rPr>
              <w:t>研判污染范围</w:t>
            </w:r>
            <w:r>
              <w:rPr>
                <w:rFonts w:ascii="宋体" w:eastAsia="宋体" w:hAnsi="宋体"/>
                <w:sz w:val="21"/>
                <w:szCs w:val="21"/>
              </w:rPr>
              <w:t>-</w:t>
            </w:r>
            <w:r>
              <w:rPr>
                <w:rFonts w:ascii="宋体" w:eastAsia="宋体" w:hAnsi="宋体" w:hint="eastAsia"/>
                <w:sz w:val="21"/>
                <w:szCs w:val="21"/>
              </w:rPr>
              <w:t>控制污染扩散</w:t>
            </w:r>
            <w:r>
              <w:rPr>
                <w:rFonts w:ascii="宋体" w:eastAsia="宋体" w:hAnsi="宋体"/>
                <w:sz w:val="21"/>
                <w:szCs w:val="21"/>
              </w:rPr>
              <w:t>-</w:t>
            </w:r>
            <w:r>
              <w:rPr>
                <w:rFonts w:ascii="宋体" w:eastAsia="宋体" w:hAnsi="宋体" w:hint="eastAsia"/>
                <w:sz w:val="21"/>
                <w:szCs w:val="21"/>
              </w:rPr>
              <w:t>污染处置应对流程和措施</w:t>
            </w:r>
          </w:p>
        </w:tc>
        <w:tc>
          <w:tcPr>
            <w:tcW w:w="1276" w:type="dxa"/>
            <w:vAlign w:val="center"/>
          </w:tcPr>
          <w:p w:rsidR="00F02F52" w:rsidRDefault="00B91484">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sidR="00CB76E9">
              <w:rPr>
                <w:rFonts w:ascii="宋体" w:eastAsia="宋体" w:hAnsi="宋体" w:hint="eastAsia"/>
                <w:sz w:val="21"/>
                <w:szCs w:val="21"/>
              </w:rPr>
              <w:t>符合</w:t>
            </w:r>
          </w:p>
          <w:p w:rsidR="00F02F52" w:rsidRDefault="00B91484">
            <w:pPr>
              <w:adjustRightInd w:val="0"/>
              <w:snapToGrid w:val="0"/>
              <w:spacing w:line="240" w:lineRule="exact"/>
              <w:rPr>
                <w:rFonts w:ascii="宋体" w:eastAsia="宋体" w:hAnsi="宋体"/>
                <w:sz w:val="21"/>
                <w:szCs w:val="21"/>
              </w:rPr>
            </w:pPr>
            <w:r>
              <w:rPr>
                <w:rFonts w:ascii="宋体" w:eastAsia="宋体" w:hAnsi="宋体" w:hint="eastAsia"/>
                <w:sz w:val="21"/>
                <w:szCs w:val="21"/>
              </w:rPr>
              <w:t>□</w:t>
            </w:r>
            <w:r w:rsidR="00CB76E9">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B91484">
            <w:pPr>
              <w:adjustRightInd w:val="0"/>
              <w:snapToGrid w:val="0"/>
              <w:spacing w:line="240" w:lineRule="exact"/>
              <w:rPr>
                <w:rFonts w:ascii="宋体" w:eastAsia="宋体" w:hAnsi="宋体"/>
                <w:sz w:val="21"/>
                <w:szCs w:val="21"/>
              </w:rPr>
            </w:pPr>
            <w:r>
              <w:rPr>
                <w:rFonts w:ascii="宋体" w:eastAsia="宋体" w:hAnsi="宋体"/>
                <w:sz w:val="21"/>
                <w:szCs w:val="21"/>
              </w:rPr>
              <w:t>3</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企业内部应对突发环境事件的原则性措施</w:t>
            </w:r>
          </w:p>
        </w:tc>
      </w:tr>
      <w:tr w:rsidR="00F02F52">
        <w:trPr>
          <w:trHeight w:val="1134"/>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28</w:t>
            </w:r>
            <w:r>
              <w:rPr>
                <w:rFonts w:ascii="宋体" w:eastAsia="宋体" w:hAnsi="宋体"/>
                <w:sz w:val="21"/>
                <w:szCs w:val="21"/>
                <w:vertAlign w:val="superscript"/>
              </w:rPr>
              <w:t>b</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体现必要的企业外部应急措施、配合当地人民政府的响应措施及对当地人民政府应急措施的建议</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1.5</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突发环境事件可能或已经对企业外部环境产生影响时，企业在外部可以采取的原则性措施、对当地人民政府的建议性措施</w:t>
            </w:r>
          </w:p>
        </w:tc>
      </w:tr>
      <w:tr w:rsidR="00F02F52">
        <w:trPr>
          <w:trHeight w:val="844"/>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29</w:t>
            </w:r>
            <w:r>
              <w:rPr>
                <w:rFonts w:ascii="宋体" w:eastAsia="宋体" w:hAnsi="宋体"/>
                <w:sz w:val="21"/>
                <w:szCs w:val="21"/>
                <w:vertAlign w:val="superscript"/>
              </w:rPr>
              <w:t>c</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涉及大气污染的，应重点说明受威胁范围、组织公众避险的方式方法，涉及疏散的一般应辅以疏散路线图；如果装备风向标，应配有风向标分布图</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避险的方式包括疏散、防护等，说明避险措施的原则性安排</w:t>
            </w:r>
          </w:p>
        </w:tc>
      </w:tr>
      <w:tr w:rsidR="00F02F52">
        <w:trPr>
          <w:trHeight w:val="1021"/>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30</w:t>
            </w:r>
            <w:r>
              <w:rPr>
                <w:rFonts w:ascii="宋体" w:eastAsia="宋体" w:hAnsi="宋体"/>
                <w:sz w:val="21"/>
                <w:szCs w:val="21"/>
                <w:vertAlign w:val="superscript"/>
              </w:rPr>
              <w:t>c</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涉及水污染的，应重点说明企业内收集、封堵、处置污染物的方式方法，适当延伸至企业外防控方式方法；配有废水、雨水、清净下水管网及重要阀门设置图</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说明控制水污染的原则性安排</w:t>
            </w:r>
          </w:p>
        </w:tc>
      </w:tr>
      <w:tr w:rsidR="00F02F52">
        <w:trPr>
          <w:trHeight w:val="860"/>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31</w:t>
            </w:r>
            <w:r>
              <w:rPr>
                <w:rFonts w:ascii="宋体" w:eastAsia="宋体" w:hAnsi="宋体"/>
                <w:sz w:val="21"/>
                <w:szCs w:val="21"/>
                <w:vertAlign w:val="superscript"/>
              </w:rPr>
              <w:t>b</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分别说明可能的事件情景及应急处置方案，明确相关岗位人员采取措施的时间、地点、内容、方式、目标等</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1.5</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按照以上原则性措施，针对具体事件情景，按岗位细化各项应对措施，并纳入岗位职责范围</w:t>
            </w:r>
          </w:p>
        </w:tc>
      </w:tr>
      <w:tr w:rsidR="00F02F52">
        <w:trPr>
          <w:trHeight w:val="627"/>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32</w:t>
            </w:r>
            <w:r>
              <w:rPr>
                <w:rFonts w:ascii="宋体" w:eastAsia="宋体" w:hAnsi="宋体"/>
                <w:sz w:val="21"/>
                <w:szCs w:val="21"/>
                <w:vertAlign w:val="superscript"/>
              </w:rPr>
              <w:t>b</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将应急措施细化、落实到岗位，形成应急处置卡</w:t>
            </w:r>
          </w:p>
        </w:tc>
        <w:tc>
          <w:tcPr>
            <w:tcW w:w="1276" w:type="dxa"/>
            <w:vAlign w:val="center"/>
          </w:tcPr>
          <w:p w:rsidR="00F02F52" w:rsidRDefault="00B91484">
            <w:pPr>
              <w:adjustRightInd w:val="0"/>
              <w:snapToGrid w:val="0"/>
              <w:spacing w:line="240" w:lineRule="exact"/>
              <w:rPr>
                <w:rFonts w:ascii="宋体" w:eastAsia="宋体" w:hAnsi="宋体"/>
                <w:sz w:val="21"/>
                <w:szCs w:val="21"/>
              </w:rPr>
            </w:pPr>
            <w:r>
              <w:rPr>
                <w:rFonts w:ascii="宋体" w:eastAsia="宋体" w:hAnsi="宋体" w:hint="eastAsia"/>
                <w:sz w:val="21"/>
                <w:szCs w:val="21"/>
              </w:rPr>
              <w:t>□</w:t>
            </w:r>
            <w:r w:rsidR="00CB76E9">
              <w:rPr>
                <w:rFonts w:ascii="宋体" w:eastAsia="宋体" w:hAnsi="宋体" w:hint="eastAsia"/>
                <w:sz w:val="21"/>
                <w:szCs w:val="21"/>
              </w:rPr>
              <w:t>符合</w:t>
            </w:r>
          </w:p>
          <w:p w:rsidR="00F02F52" w:rsidRDefault="00B91484">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sidR="00CB76E9">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B91484">
            <w:pPr>
              <w:adjustRightInd w:val="0"/>
              <w:snapToGrid w:val="0"/>
              <w:spacing w:line="240" w:lineRule="exact"/>
              <w:rPr>
                <w:rFonts w:ascii="宋体" w:eastAsia="宋体" w:hAnsi="宋体"/>
                <w:sz w:val="21"/>
                <w:szCs w:val="21"/>
              </w:rPr>
            </w:pPr>
            <w:r>
              <w:rPr>
                <w:rFonts w:ascii="宋体" w:eastAsia="宋体" w:hAnsi="宋体"/>
                <w:sz w:val="21"/>
                <w:szCs w:val="21"/>
              </w:rPr>
              <w:t>1.5</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关键岗位的应急处置卡无遗漏，事件情景特征、处理步骤、应急物资、注意事项等叙述清晰</w:t>
            </w:r>
          </w:p>
        </w:tc>
      </w:tr>
      <w:tr w:rsidR="00F02F52">
        <w:trPr>
          <w:trHeight w:val="637"/>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33</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配有厂区平面布置图，应急物资表</w:t>
            </w:r>
            <w:r>
              <w:rPr>
                <w:rFonts w:ascii="宋体" w:eastAsia="宋体" w:hAnsi="宋体"/>
                <w:sz w:val="21"/>
                <w:szCs w:val="21"/>
              </w:rPr>
              <w:t>/</w:t>
            </w:r>
            <w:r>
              <w:rPr>
                <w:rFonts w:ascii="宋体" w:eastAsia="宋体" w:hAnsi="宋体" w:hint="eastAsia"/>
                <w:sz w:val="21"/>
                <w:szCs w:val="21"/>
              </w:rPr>
              <w:t>分布图</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F02F52">
            <w:pPr>
              <w:adjustRightInd w:val="0"/>
              <w:snapToGrid w:val="0"/>
              <w:spacing w:line="240" w:lineRule="exact"/>
              <w:rPr>
                <w:rFonts w:ascii="宋体" w:eastAsia="宋体" w:hAnsi="宋体"/>
                <w:sz w:val="21"/>
                <w:szCs w:val="21"/>
              </w:rPr>
            </w:pPr>
          </w:p>
        </w:tc>
      </w:tr>
      <w:tr w:rsidR="00F02F52">
        <w:trPr>
          <w:trHeight w:val="890"/>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应急终止</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34</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结合本单位实际，说明应急终止的条件和发布程序</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列明应急终止的基本条件，明确应急终止的决策、指令内容及传递程序等</w:t>
            </w:r>
          </w:p>
        </w:tc>
      </w:tr>
      <w:tr w:rsidR="00F02F52">
        <w:trPr>
          <w:trHeight w:val="959"/>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事后恢复</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35</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说明事后恢复的工作内容和责任人，一般包括：现场污染物的后续处理；环境应急相关设施、设备、场所的维护；配合开展环境损害评估、赔偿、事件调查处理等</w:t>
            </w:r>
          </w:p>
        </w:tc>
        <w:tc>
          <w:tcPr>
            <w:tcW w:w="1276" w:type="dxa"/>
            <w:vAlign w:val="center"/>
          </w:tcPr>
          <w:p w:rsidR="00F02F52" w:rsidRDefault="00B91484">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A3"/>
            </w:r>
            <w:r w:rsidR="00CB76E9">
              <w:rPr>
                <w:rFonts w:ascii="宋体" w:eastAsia="宋体" w:hAnsi="宋体" w:hint="eastAsia"/>
                <w:sz w:val="21"/>
                <w:szCs w:val="21"/>
              </w:rPr>
              <w:t>符合</w:t>
            </w:r>
          </w:p>
          <w:p w:rsidR="00F02F52" w:rsidRDefault="00B91484">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sidR="00CB76E9">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B91484">
            <w:pPr>
              <w:adjustRightInd w:val="0"/>
              <w:snapToGrid w:val="0"/>
              <w:spacing w:line="240" w:lineRule="exact"/>
              <w:rPr>
                <w:rFonts w:ascii="宋体" w:eastAsia="宋体" w:hAnsi="宋体"/>
                <w:sz w:val="21"/>
                <w:szCs w:val="21"/>
              </w:rPr>
            </w:pPr>
            <w:r>
              <w:rPr>
                <w:rFonts w:ascii="宋体" w:eastAsia="宋体" w:hAnsi="宋体"/>
                <w:sz w:val="21"/>
                <w:szCs w:val="21"/>
              </w:rPr>
              <w:t>1</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《突发事件应急预案管理办法》强调应急预案重在“应对”，适当向后延伸至“恢复”，即企业从突发环境事件应对的“非常规状态”过渡到“常规状态”的相关工作安排</w:t>
            </w:r>
          </w:p>
        </w:tc>
      </w:tr>
      <w:tr w:rsidR="00F02F52">
        <w:trPr>
          <w:trHeight w:val="691"/>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保障措施</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36</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说明环境应急预案涉及的人力资源、财力、物资以及其他技术、重要设施的保障</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对各类保障措施进行总体安排</w:t>
            </w:r>
          </w:p>
        </w:tc>
      </w:tr>
      <w:tr w:rsidR="00F02F52">
        <w:trPr>
          <w:trHeight w:val="916"/>
          <w:jc w:val="center"/>
        </w:trPr>
        <w:tc>
          <w:tcPr>
            <w:tcW w:w="1134" w:type="dxa"/>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预案管理</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37</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安排有关环境应急预案的培训和演练</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对预案培训、演练进行总体安排</w:t>
            </w:r>
          </w:p>
        </w:tc>
      </w:tr>
      <w:tr w:rsidR="00F02F52">
        <w:trPr>
          <w:trHeight w:val="702"/>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38</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明确环境应急预案的评估修订要求</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对预案评估修订进行总体安排</w:t>
            </w:r>
          </w:p>
        </w:tc>
      </w:tr>
      <w:tr w:rsidR="00F02F52">
        <w:trPr>
          <w:trHeight w:val="525"/>
          <w:jc w:val="center"/>
        </w:trPr>
        <w:tc>
          <w:tcPr>
            <w:tcW w:w="13781" w:type="dxa"/>
            <w:gridSpan w:val="8"/>
            <w:vAlign w:val="center"/>
          </w:tcPr>
          <w:p w:rsidR="00F02F52" w:rsidRDefault="00CB76E9">
            <w:pPr>
              <w:adjustRightInd w:val="0"/>
              <w:snapToGrid w:val="0"/>
              <w:spacing w:line="240" w:lineRule="exact"/>
              <w:jc w:val="center"/>
              <w:rPr>
                <w:rFonts w:ascii="黑体" w:eastAsia="黑体" w:hAnsi="黑体"/>
                <w:sz w:val="21"/>
                <w:szCs w:val="21"/>
              </w:rPr>
            </w:pPr>
            <w:r>
              <w:rPr>
                <w:rFonts w:ascii="黑体" w:eastAsia="黑体" w:hAnsi="黑体" w:hint="eastAsia"/>
                <w:sz w:val="21"/>
                <w:szCs w:val="21"/>
              </w:rPr>
              <w:t>环境风险评估报告</w:t>
            </w:r>
          </w:p>
        </w:tc>
      </w:tr>
      <w:tr w:rsidR="00F02F52">
        <w:trPr>
          <w:trHeight w:val="977"/>
          <w:jc w:val="center"/>
        </w:trPr>
        <w:tc>
          <w:tcPr>
            <w:tcW w:w="1134" w:type="dxa"/>
            <w:vMerge w:val="restart"/>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风险分析</w:t>
            </w:r>
            <w:r>
              <w:rPr>
                <w:rFonts w:ascii="宋体" w:eastAsia="宋体" w:hAnsi="宋体"/>
                <w:sz w:val="21"/>
                <w:szCs w:val="21"/>
                <w:vertAlign w:val="superscript"/>
              </w:rPr>
              <w:t>c</w:t>
            </w: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39</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识别出所有重要的环境风险物质；列表，至少列出重要环境风险物质的名称、数量（最大存在总量）、位置</w:t>
            </w:r>
            <w:r>
              <w:rPr>
                <w:rFonts w:ascii="宋体" w:eastAsia="宋体" w:hAnsi="宋体"/>
                <w:sz w:val="21"/>
                <w:szCs w:val="21"/>
              </w:rPr>
              <w:t>/</w:t>
            </w:r>
            <w:r>
              <w:rPr>
                <w:rFonts w:ascii="宋体" w:eastAsia="宋体" w:hAnsi="宋体" w:hint="eastAsia"/>
                <w:sz w:val="21"/>
                <w:szCs w:val="21"/>
              </w:rPr>
              <w:t>所在装置；环境风险物质数量大于临界量的，辨识重要环境风险单元</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对照企业突发环境事件风险评估相关文件，识别出所有重要的物质；对于数量大于临界量的，应辨识环境风险物质在企业哪些环境风险单元集中分布</w:t>
            </w:r>
          </w:p>
        </w:tc>
      </w:tr>
      <w:tr w:rsidR="00F02F52">
        <w:trPr>
          <w:trHeight w:val="691"/>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40</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重点核对生产工艺、环境风险防控措施各项指标的赋值是否合理</w:t>
            </w:r>
          </w:p>
        </w:tc>
        <w:tc>
          <w:tcPr>
            <w:tcW w:w="1276" w:type="dxa"/>
            <w:vAlign w:val="center"/>
          </w:tcPr>
          <w:p w:rsidR="00F02F52" w:rsidRDefault="00B91484">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sidR="00CB76E9">
              <w:rPr>
                <w:rFonts w:ascii="宋体" w:eastAsia="宋体" w:hAnsi="宋体" w:hint="eastAsia"/>
                <w:sz w:val="21"/>
                <w:szCs w:val="21"/>
              </w:rPr>
              <w:t>符合</w:t>
            </w:r>
          </w:p>
          <w:p w:rsidR="00F02F52" w:rsidRDefault="00B91484">
            <w:pPr>
              <w:adjustRightInd w:val="0"/>
              <w:snapToGrid w:val="0"/>
              <w:spacing w:line="240" w:lineRule="exact"/>
              <w:rPr>
                <w:rFonts w:ascii="宋体" w:eastAsia="宋体" w:hAnsi="宋体"/>
                <w:sz w:val="21"/>
                <w:szCs w:val="21"/>
              </w:rPr>
            </w:pPr>
            <w:r>
              <w:rPr>
                <w:rFonts w:ascii="宋体" w:eastAsia="宋体" w:hAnsi="宋体" w:hint="eastAsia"/>
                <w:sz w:val="21"/>
                <w:szCs w:val="21"/>
              </w:rPr>
              <w:t>□</w:t>
            </w:r>
            <w:r w:rsidR="00CB76E9">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B91484">
            <w:pPr>
              <w:keepNext/>
              <w:keepLines/>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按照企业突发环境事件风险评估相关文件的赋分规则审查</w:t>
            </w:r>
          </w:p>
        </w:tc>
      </w:tr>
      <w:tr w:rsidR="00F02F52">
        <w:trPr>
          <w:trHeight w:val="532"/>
          <w:jc w:val="center"/>
        </w:trPr>
        <w:tc>
          <w:tcPr>
            <w:tcW w:w="1134" w:type="dxa"/>
            <w:vMerge/>
            <w:vAlign w:val="center"/>
          </w:tcPr>
          <w:p w:rsidR="00F02F52" w:rsidRDefault="00F02F52">
            <w:pPr>
              <w:spacing w:line="240" w:lineRule="exact"/>
            </w:pPr>
          </w:p>
        </w:tc>
        <w:tc>
          <w:tcPr>
            <w:tcW w:w="426"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sz w:val="21"/>
                <w:szCs w:val="21"/>
              </w:rPr>
              <w:t>41</w:t>
            </w:r>
          </w:p>
        </w:tc>
        <w:tc>
          <w:tcPr>
            <w:tcW w:w="4819"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环境风险受体类型的确定是否合理</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按照企业突发环境事件风险评估相关文件的受体划分依据审查</w:t>
            </w:r>
          </w:p>
        </w:tc>
      </w:tr>
      <w:tr w:rsidR="00F02F52">
        <w:trPr>
          <w:trHeight w:val="426"/>
          <w:jc w:val="center"/>
        </w:trPr>
        <w:tc>
          <w:tcPr>
            <w:tcW w:w="1134" w:type="dxa"/>
            <w:vMerge/>
            <w:vAlign w:val="center"/>
          </w:tcPr>
          <w:p w:rsidR="00F02F52" w:rsidRDefault="00F02F52">
            <w:pPr>
              <w:spacing w:line="240" w:lineRule="exact"/>
            </w:pPr>
          </w:p>
        </w:tc>
        <w:tc>
          <w:tcPr>
            <w:tcW w:w="426"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sz w:val="21"/>
                <w:szCs w:val="21"/>
              </w:rPr>
              <w:t>42</w:t>
            </w:r>
          </w:p>
        </w:tc>
        <w:tc>
          <w:tcPr>
            <w:tcW w:w="4819"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环境风险等级划分是否正确</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按照企业突发环境事件风险评估相关文件审查</w:t>
            </w:r>
          </w:p>
        </w:tc>
      </w:tr>
      <w:tr w:rsidR="00F02F52">
        <w:trPr>
          <w:trHeight w:val="787"/>
          <w:jc w:val="center"/>
        </w:trPr>
        <w:tc>
          <w:tcPr>
            <w:tcW w:w="1134" w:type="dxa"/>
            <w:vMerge w:val="restart"/>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情景构建</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43</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列明国内外同类企业的突发环境事件信息，提出本企业可能发生的突发环境事件情景</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2</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列表说明事件的日期、地点、引发原因、事件影响等内容，按照企业突发环境事件风险评估相关文件，结合企业实际列出事件情景</w:t>
            </w:r>
          </w:p>
        </w:tc>
      </w:tr>
      <w:tr w:rsidR="00F02F52">
        <w:trPr>
          <w:trHeight w:val="986"/>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44</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源强分析，重点分析释放环境风险物质的种类、释放速率、持续时间</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1</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针对每种典型事件情景进行源强分析，至少包括释放环境风险物质的种类、释放速率、持续时间三个要素，可以参考《建设项目环境风险评价技术导则》</w:t>
            </w:r>
          </w:p>
        </w:tc>
      </w:tr>
      <w:tr w:rsidR="00F02F52">
        <w:trPr>
          <w:trHeight w:val="969"/>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45</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释放途径分析，重点分析环境风险物质从释放源头到受体之间的过程</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A3"/>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1</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对于可能造成水污染的，分析环境风险物质从释放源头，经厂界内到厂界外，最终影响到环境风险受体的可能的路径；对于可能造成大气污染的，分析从泄漏源头释放至风险受体的路径</w:t>
            </w:r>
          </w:p>
        </w:tc>
      </w:tr>
      <w:tr w:rsidR="00F02F52">
        <w:trPr>
          <w:trHeight w:val="702"/>
          <w:jc w:val="center"/>
        </w:trPr>
        <w:tc>
          <w:tcPr>
            <w:tcW w:w="1134" w:type="dxa"/>
            <w:vMerge/>
            <w:vAlign w:val="center"/>
          </w:tcPr>
          <w:p w:rsidR="00F02F52" w:rsidRDefault="00F02F52">
            <w:pPr>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46</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危害后果分析，重点分析环境风险物质的影响范围和程度</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1</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针对每种情景的重点环境风险物质，计算浓度分布情况，说明影响范围和程度</w:t>
            </w:r>
          </w:p>
        </w:tc>
      </w:tr>
      <w:tr w:rsidR="00F02F52">
        <w:trPr>
          <w:trHeight w:val="860"/>
          <w:jc w:val="center"/>
        </w:trPr>
        <w:tc>
          <w:tcPr>
            <w:tcW w:w="1134" w:type="dxa"/>
            <w:vMerge/>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47</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明确在最坏情景下，大气环境风险物质影响最远距离内的人口数量及位置等，水环境敏感受体的数量及位置等信息，并附有相关示意图</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部分符合</w:t>
            </w:r>
          </w:p>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1</w:t>
            </w:r>
          </w:p>
        </w:tc>
        <w:tc>
          <w:tcPr>
            <w:tcW w:w="669" w:type="dxa"/>
          </w:tcPr>
          <w:p w:rsidR="00F02F52" w:rsidRDefault="00F02F52">
            <w:pPr>
              <w:adjustRightInd w:val="0"/>
              <w:snapToGrid w:val="0"/>
              <w:spacing w:line="240" w:lineRule="exact"/>
              <w:rPr>
                <w:rFonts w:ascii="宋体" w:eastAsia="宋体" w:hAnsi="宋体"/>
                <w:sz w:val="21"/>
                <w:szCs w:val="21"/>
              </w:rPr>
            </w:pPr>
          </w:p>
        </w:tc>
        <w:tc>
          <w:tcPr>
            <w:tcW w:w="4850"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针对最坏情景的计算结果，列出受影响的大气和水环境保护目标，附图示说明</w:t>
            </w:r>
          </w:p>
        </w:tc>
      </w:tr>
      <w:tr w:rsidR="00F02F52">
        <w:trPr>
          <w:trHeight w:val="924"/>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完善计划</w:t>
            </w:r>
          </w:p>
        </w:tc>
        <w:tc>
          <w:tcPr>
            <w:tcW w:w="426" w:type="dxa"/>
            <w:vAlign w:val="center"/>
          </w:tcPr>
          <w:p w:rsidR="00F02F52" w:rsidRDefault="00CB76E9">
            <w:pPr>
              <w:pStyle w:val="1"/>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48</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分析现有环境风险防控与应急措施所存在的差距，制定环境风险防控整改完善计划</w:t>
            </w:r>
          </w:p>
        </w:tc>
        <w:tc>
          <w:tcPr>
            <w:tcW w:w="1276" w:type="dxa"/>
            <w:vAlign w:val="center"/>
          </w:tcPr>
          <w:p w:rsidR="00F02F52" w:rsidRDefault="00B91484">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sidR="00CB76E9">
              <w:rPr>
                <w:rFonts w:ascii="宋体" w:eastAsia="宋体" w:hAnsi="宋体" w:hint="eastAsia"/>
                <w:sz w:val="21"/>
                <w:szCs w:val="21"/>
              </w:rPr>
              <w:t>符合</w:t>
            </w:r>
          </w:p>
          <w:p w:rsidR="00F02F52" w:rsidRDefault="00B91484">
            <w:pPr>
              <w:adjustRightInd w:val="0"/>
              <w:snapToGrid w:val="0"/>
              <w:spacing w:line="240" w:lineRule="exact"/>
              <w:rPr>
                <w:rFonts w:ascii="宋体" w:eastAsia="宋体" w:hAnsi="宋体"/>
                <w:sz w:val="21"/>
                <w:szCs w:val="21"/>
              </w:rPr>
            </w:pPr>
            <w:r>
              <w:rPr>
                <w:rFonts w:ascii="宋体" w:eastAsia="宋体" w:hAnsi="宋体" w:hint="eastAsia"/>
                <w:sz w:val="21"/>
                <w:szCs w:val="21"/>
              </w:rPr>
              <w:t>□</w:t>
            </w:r>
            <w:r w:rsidR="00CB76E9">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tcPr>
          <w:p w:rsidR="00F02F52" w:rsidRDefault="00B91484">
            <w:pPr>
              <w:keepNext/>
              <w:keepLines/>
              <w:adjustRightInd w:val="0"/>
              <w:snapToGrid w:val="0"/>
              <w:spacing w:line="240" w:lineRule="exact"/>
              <w:rPr>
                <w:rFonts w:ascii="宋体" w:eastAsia="宋体" w:hAnsi="宋体"/>
                <w:sz w:val="21"/>
                <w:szCs w:val="21"/>
              </w:rPr>
            </w:pPr>
            <w:r>
              <w:rPr>
                <w:rFonts w:ascii="宋体" w:eastAsia="宋体" w:hAnsi="宋体"/>
                <w:sz w:val="21"/>
                <w:szCs w:val="21"/>
              </w:rPr>
              <w:t>2</w:t>
            </w:r>
          </w:p>
        </w:tc>
        <w:tc>
          <w:tcPr>
            <w:tcW w:w="669" w:type="dxa"/>
          </w:tcPr>
          <w:p w:rsidR="00F02F52" w:rsidRDefault="00F02F52">
            <w:pPr>
              <w:keepNext/>
              <w:keepLines/>
              <w:adjustRightInd w:val="0"/>
              <w:snapToGrid w:val="0"/>
              <w:spacing w:line="240" w:lineRule="exact"/>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hint="eastAsia"/>
                <w:sz w:val="21"/>
                <w:szCs w:val="21"/>
              </w:rPr>
              <w:t>对现有环境风险防控与应急措施的完备性、可靠性和有效性进行分析论证，找出差距、问题。针对需要整改的短期、中期和长期项目，分别制定完善环境风险防控和应急措施的实施计划</w:t>
            </w:r>
          </w:p>
        </w:tc>
      </w:tr>
      <w:tr w:rsidR="00F02F52">
        <w:trPr>
          <w:trHeight w:val="384"/>
          <w:jc w:val="center"/>
        </w:trPr>
        <w:tc>
          <w:tcPr>
            <w:tcW w:w="13781" w:type="dxa"/>
            <w:gridSpan w:val="8"/>
            <w:vAlign w:val="center"/>
          </w:tcPr>
          <w:p w:rsidR="00F02F52" w:rsidRDefault="00CB76E9">
            <w:pPr>
              <w:adjustRightInd w:val="0"/>
              <w:snapToGrid w:val="0"/>
              <w:spacing w:line="240" w:lineRule="exact"/>
              <w:jc w:val="center"/>
              <w:rPr>
                <w:rFonts w:ascii="黑体" w:eastAsia="黑体" w:hAnsi="黑体"/>
                <w:sz w:val="21"/>
                <w:szCs w:val="21"/>
              </w:rPr>
            </w:pPr>
            <w:r>
              <w:rPr>
                <w:rFonts w:ascii="黑体" w:eastAsia="黑体" w:hAnsi="黑体" w:hint="eastAsia"/>
                <w:sz w:val="21"/>
                <w:szCs w:val="21"/>
              </w:rPr>
              <w:t>环境应急资源调查报告（表）</w:t>
            </w:r>
          </w:p>
        </w:tc>
      </w:tr>
      <w:tr w:rsidR="00F02F52">
        <w:trPr>
          <w:trHeight w:val="1370"/>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调查内容</w:t>
            </w:r>
          </w:p>
        </w:tc>
        <w:tc>
          <w:tcPr>
            <w:tcW w:w="426" w:type="dxa"/>
            <w:vAlign w:val="center"/>
          </w:tcPr>
          <w:p w:rsidR="00F02F52" w:rsidRDefault="00CB76E9">
            <w:pPr>
              <w:pStyle w:val="1"/>
              <w:keepNext/>
              <w:keepLines/>
              <w:tabs>
                <w:tab w:val="left" w:pos="0"/>
              </w:tab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49</w:t>
            </w:r>
          </w:p>
        </w:tc>
        <w:tc>
          <w:tcPr>
            <w:tcW w:w="4819" w:type="dxa"/>
            <w:vAlign w:val="center"/>
          </w:tcPr>
          <w:p w:rsidR="00F02F52" w:rsidRDefault="00CB76E9">
            <w:pPr>
              <w:adjustRightInd w:val="0"/>
              <w:snapToGrid w:val="0"/>
              <w:spacing w:line="240" w:lineRule="exact"/>
              <w:jc w:val="left"/>
              <w:rPr>
                <w:rFonts w:ascii="宋体" w:eastAsia="宋体" w:hAnsi="宋体"/>
                <w:spacing w:val="-2"/>
                <w:sz w:val="21"/>
                <w:szCs w:val="21"/>
              </w:rPr>
            </w:pPr>
            <w:r>
              <w:rPr>
                <w:rFonts w:ascii="宋体" w:eastAsia="宋体" w:hAnsi="宋体" w:hint="eastAsia"/>
                <w:spacing w:val="-2"/>
                <w:sz w:val="21"/>
                <w:szCs w:val="21"/>
              </w:rPr>
              <w:t>第一时间可调用的环境应急队伍、装备、物资、场所</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□不符合</w:t>
            </w:r>
          </w:p>
        </w:tc>
        <w:tc>
          <w:tcPr>
            <w:tcW w:w="607" w:type="dxa"/>
            <w:gridSpan w:val="2"/>
            <w:vAlign w:val="center"/>
          </w:tcPr>
          <w:p w:rsidR="00F02F52" w:rsidRDefault="00CB76E9">
            <w:pPr>
              <w:keepNext/>
              <w:keepLines/>
              <w:adjustRightInd w:val="0"/>
              <w:snapToGrid w:val="0"/>
              <w:spacing w:line="240" w:lineRule="exact"/>
              <w:jc w:val="center"/>
              <w:rPr>
                <w:rFonts w:ascii="宋体" w:eastAsia="宋体" w:hAnsi="宋体"/>
                <w:sz w:val="21"/>
                <w:szCs w:val="21"/>
              </w:rPr>
            </w:pPr>
            <w:r>
              <w:rPr>
                <w:rFonts w:ascii="宋体" w:eastAsia="宋体" w:hAnsi="宋体"/>
                <w:sz w:val="21"/>
                <w:szCs w:val="21"/>
              </w:rPr>
              <w:t>2</w:t>
            </w:r>
          </w:p>
        </w:tc>
        <w:tc>
          <w:tcPr>
            <w:tcW w:w="669" w:type="dxa"/>
            <w:vAlign w:val="center"/>
          </w:tcPr>
          <w:p w:rsidR="00F02F52" w:rsidRDefault="00F02F52">
            <w:pPr>
              <w:keepNext/>
              <w:keepLines/>
              <w:adjustRightInd w:val="0"/>
              <w:snapToGrid w:val="0"/>
              <w:spacing w:line="240" w:lineRule="exact"/>
              <w:jc w:val="center"/>
              <w:rPr>
                <w:rFonts w:ascii="宋体" w:eastAsia="宋体" w:hAnsi="宋体"/>
                <w:sz w:val="21"/>
                <w:szCs w:val="21"/>
              </w:rPr>
            </w:pPr>
          </w:p>
        </w:tc>
        <w:tc>
          <w:tcPr>
            <w:tcW w:w="4850" w:type="dxa"/>
            <w:vAlign w:val="center"/>
          </w:tcPr>
          <w:p w:rsidR="00F02F52" w:rsidRDefault="00CB76E9">
            <w:pPr>
              <w:keepNext/>
              <w:keepLines/>
              <w:adjustRightInd w:val="0"/>
              <w:snapToGrid w:val="0"/>
              <w:spacing w:line="240" w:lineRule="exact"/>
              <w:jc w:val="left"/>
              <w:rPr>
                <w:rFonts w:ascii="宋体" w:eastAsia="宋体" w:hAnsi="宋体"/>
                <w:sz w:val="21"/>
                <w:szCs w:val="21"/>
              </w:rPr>
            </w:pPr>
            <w:r>
              <w:rPr>
                <w:rFonts w:ascii="宋体" w:eastAsia="宋体" w:hAnsi="宋体" w:hint="eastAsia"/>
                <w:sz w:val="21"/>
                <w:szCs w:val="21"/>
              </w:rPr>
              <w:t>重点调查可以直接使用的环境应急资源，包括：专职和兼职应急队伍；自储、代储、协议储备的环境应急装备；自储、代储、协议储备环境应急物资；应急处置场所、应急物资或装备存放场所、应急指挥场所。预案中的应急措施使用的环境应急资源与现有资源一致</w:t>
            </w:r>
          </w:p>
        </w:tc>
      </w:tr>
      <w:tr w:rsidR="00F02F52">
        <w:trPr>
          <w:trHeight w:val="625"/>
          <w:jc w:val="center"/>
        </w:trPr>
        <w:tc>
          <w:tcPr>
            <w:tcW w:w="1134" w:type="dxa"/>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hint="eastAsia"/>
                <w:sz w:val="21"/>
                <w:szCs w:val="21"/>
              </w:rPr>
              <w:t>调查结果</w:t>
            </w:r>
          </w:p>
        </w:tc>
        <w:tc>
          <w:tcPr>
            <w:tcW w:w="426" w:type="dxa"/>
            <w:vAlign w:val="center"/>
          </w:tcPr>
          <w:p w:rsidR="00F02F52" w:rsidRDefault="00CB76E9">
            <w:pPr>
              <w:pStyle w:val="1"/>
              <w:keepNext/>
              <w:keepLines/>
              <w:adjustRightInd w:val="0"/>
              <w:snapToGrid w:val="0"/>
              <w:spacing w:line="240" w:lineRule="exact"/>
              <w:ind w:firstLineChars="0" w:firstLine="0"/>
              <w:jc w:val="center"/>
              <w:rPr>
                <w:rFonts w:ascii="宋体" w:eastAsia="宋体" w:hAnsi="宋体"/>
                <w:sz w:val="21"/>
                <w:szCs w:val="21"/>
              </w:rPr>
            </w:pPr>
            <w:r>
              <w:rPr>
                <w:rFonts w:ascii="宋体" w:eastAsia="宋体" w:hAnsi="宋体"/>
                <w:sz w:val="21"/>
                <w:szCs w:val="21"/>
              </w:rPr>
              <w:t>50</w:t>
            </w:r>
          </w:p>
        </w:tc>
        <w:tc>
          <w:tcPr>
            <w:tcW w:w="4819"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针对环境应急资源清单，抽查数据的可信性</w:t>
            </w:r>
          </w:p>
        </w:tc>
        <w:tc>
          <w:tcPr>
            <w:tcW w:w="1276" w:type="dxa"/>
            <w:vAlign w:val="center"/>
          </w:tcPr>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sym w:font="Wingdings 2" w:char="0052"/>
            </w:r>
            <w:r>
              <w:rPr>
                <w:rFonts w:ascii="宋体" w:eastAsia="宋体" w:hAnsi="宋体" w:hint="eastAsia"/>
                <w:sz w:val="21"/>
                <w:szCs w:val="21"/>
              </w:rPr>
              <w:t>符合</w:t>
            </w:r>
          </w:p>
          <w:p w:rsidR="00F02F52" w:rsidRDefault="00CB76E9">
            <w:pPr>
              <w:adjustRightInd w:val="0"/>
              <w:snapToGrid w:val="0"/>
              <w:spacing w:line="240" w:lineRule="exact"/>
              <w:rPr>
                <w:rFonts w:ascii="宋体" w:eastAsia="宋体" w:hAnsi="宋体"/>
                <w:sz w:val="21"/>
                <w:szCs w:val="21"/>
              </w:rPr>
            </w:pPr>
            <w:r>
              <w:rPr>
                <w:rFonts w:ascii="宋体" w:eastAsia="宋体" w:hAnsi="宋体" w:hint="eastAsia"/>
                <w:sz w:val="21"/>
                <w:szCs w:val="21"/>
              </w:rPr>
              <w:t>□部分符合</w:t>
            </w:r>
          </w:p>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□不符合</w:t>
            </w:r>
          </w:p>
        </w:tc>
        <w:tc>
          <w:tcPr>
            <w:tcW w:w="607" w:type="dxa"/>
            <w:gridSpan w:val="2"/>
            <w:vAlign w:val="center"/>
          </w:tcPr>
          <w:p w:rsidR="00F02F52" w:rsidRDefault="00CB76E9">
            <w:pPr>
              <w:adjustRightInd w:val="0"/>
              <w:snapToGrid w:val="0"/>
              <w:spacing w:line="240" w:lineRule="exact"/>
              <w:jc w:val="center"/>
              <w:rPr>
                <w:rFonts w:ascii="宋体" w:eastAsia="宋体" w:hAnsi="宋体"/>
                <w:sz w:val="21"/>
                <w:szCs w:val="21"/>
              </w:rPr>
            </w:pPr>
            <w:r>
              <w:rPr>
                <w:rFonts w:ascii="宋体" w:eastAsia="宋体" w:hAnsi="宋体"/>
                <w:sz w:val="21"/>
                <w:szCs w:val="21"/>
              </w:rPr>
              <w:t>2</w:t>
            </w:r>
          </w:p>
        </w:tc>
        <w:tc>
          <w:tcPr>
            <w:tcW w:w="669" w:type="dxa"/>
            <w:vAlign w:val="center"/>
          </w:tcPr>
          <w:p w:rsidR="00F02F52" w:rsidRDefault="00F02F52">
            <w:pPr>
              <w:adjustRightInd w:val="0"/>
              <w:snapToGrid w:val="0"/>
              <w:spacing w:line="240" w:lineRule="exact"/>
              <w:jc w:val="center"/>
              <w:rPr>
                <w:rFonts w:ascii="宋体" w:eastAsia="宋体" w:hAnsi="宋体"/>
                <w:sz w:val="21"/>
                <w:szCs w:val="21"/>
              </w:rPr>
            </w:pPr>
          </w:p>
        </w:tc>
        <w:tc>
          <w:tcPr>
            <w:tcW w:w="4850" w:type="dxa"/>
            <w:vAlign w:val="center"/>
          </w:tcPr>
          <w:p w:rsidR="00F02F52" w:rsidRDefault="00CB76E9">
            <w:pPr>
              <w:adjustRightInd w:val="0"/>
              <w:snapToGrid w:val="0"/>
              <w:spacing w:line="240" w:lineRule="exact"/>
              <w:jc w:val="left"/>
              <w:rPr>
                <w:rFonts w:ascii="宋体" w:eastAsia="宋体" w:hAnsi="宋体"/>
                <w:sz w:val="21"/>
                <w:szCs w:val="21"/>
              </w:rPr>
            </w:pPr>
            <w:r>
              <w:rPr>
                <w:rFonts w:ascii="宋体" w:eastAsia="宋体" w:hAnsi="宋体" w:hint="eastAsia"/>
                <w:sz w:val="21"/>
                <w:szCs w:val="21"/>
              </w:rPr>
              <w:t>通过逻辑分析、现场抽查等方式对调查数据进行查验</w:t>
            </w:r>
          </w:p>
        </w:tc>
      </w:tr>
      <w:tr w:rsidR="00F02F52">
        <w:trPr>
          <w:trHeight w:val="524"/>
          <w:jc w:val="center"/>
        </w:trPr>
        <w:tc>
          <w:tcPr>
            <w:tcW w:w="7655" w:type="dxa"/>
            <w:gridSpan w:val="4"/>
            <w:vAlign w:val="center"/>
          </w:tcPr>
          <w:p w:rsidR="00F02F52" w:rsidRDefault="00CB76E9">
            <w:pPr>
              <w:adjustRightInd w:val="0"/>
              <w:snapToGrid w:val="0"/>
              <w:spacing w:line="240" w:lineRule="exact"/>
              <w:jc w:val="center"/>
              <w:rPr>
                <w:rFonts w:ascii="宋体" w:eastAsia="宋体" w:hAnsi="宋体"/>
                <w:b/>
                <w:sz w:val="21"/>
                <w:szCs w:val="21"/>
              </w:rPr>
            </w:pPr>
            <w:r>
              <w:rPr>
                <w:rFonts w:ascii="宋体" w:eastAsia="宋体" w:hAnsi="宋体" w:hint="eastAsia"/>
                <w:b/>
                <w:sz w:val="21"/>
                <w:szCs w:val="21"/>
              </w:rPr>
              <w:t>合</w:t>
            </w:r>
            <w:r>
              <w:rPr>
                <w:rFonts w:ascii="宋体" w:eastAsia="宋体" w:hAnsi="宋体"/>
                <w:b/>
                <w:sz w:val="21"/>
                <w:szCs w:val="21"/>
              </w:rPr>
              <w:t xml:space="preserve">  </w:t>
            </w:r>
            <w:r>
              <w:rPr>
                <w:rFonts w:ascii="宋体" w:eastAsia="宋体" w:hAnsi="宋体" w:hint="eastAsia"/>
                <w:b/>
                <w:sz w:val="21"/>
                <w:szCs w:val="21"/>
              </w:rPr>
              <w:t>计</w:t>
            </w:r>
          </w:p>
        </w:tc>
        <w:tc>
          <w:tcPr>
            <w:tcW w:w="607" w:type="dxa"/>
            <w:gridSpan w:val="2"/>
            <w:vAlign w:val="center"/>
          </w:tcPr>
          <w:p w:rsidR="00F02F52" w:rsidRDefault="00CB76E9">
            <w:pPr>
              <w:adjustRightInd w:val="0"/>
              <w:snapToGrid w:val="0"/>
              <w:spacing w:line="240" w:lineRule="exact"/>
              <w:jc w:val="center"/>
              <w:rPr>
                <w:rFonts w:ascii="宋体" w:eastAsia="宋体" w:hAnsi="宋体"/>
                <w:b/>
                <w:sz w:val="21"/>
                <w:szCs w:val="21"/>
              </w:rPr>
            </w:pPr>
            <w:r>
              <w:rPr>
                <w:rFonts w:ascii="宋体" w:eastAsia="宋体" w:hAnsi="宋体" w:hint="eastAsia"/>
                <w:b/>
                <w:sz w:val="21"/>
                <w:szCs w:val="21"/>
              </w:rPr>
              <w:t>8</w:t>
            </w:r>
            <w:r w:rsidR="006A4676">
              <w:rPr>
                <w:rFonts w:ascii="宋体" w:eastAsia="宋体" w:hAnsi="宋体"/>
                <w:b/>
                <w:sz w:val="21"/>
                <w:szCs w:val="21"/>
              </w:rPr>
              <w:t>0</w:t>
            </w:r>
            <w:r>
              <w:rPr>
                <w:rFonts w:ascii="宋体" w:eastAsia="宋体" w:hAnsi="宋体" w:hint="eastAsia"/>
                <w:b/>
                <w:sz w:val="21"/>
                <w:szCs w:val="21"/>
              </w:rPr>
              <w:t>.5</w:t>
            </w:r>
          </w:p>
        </w:tc>
        <w:tc>
          <w:tcPr>
            <w:tcW w:w="669" w:type="dxa"/>
            <w:vAlign w:val="center"/>
          </w:tcPr>
          <w:p w:rsidR="00F02F52" w:rsidRDefault="00CB76E9">
            <w:pPr>
              <w:adjustRightInd w:val="0"/>
              <w:snapToGrid w:val="0"/>
              <w:spacing w:line="240" w:lineRule="exact"/>
              <w:jc w:val="center"/>
              <w:rPr>
                <w:rFonts w:ascii="宋体" w:eastAsia="宋体" w:hAnsi="宋体"/>
                <w:b/>
                <w:sz w:val="21"/>
                <w:szCs w:val="21"/>
              </w:rPr>
            </w:pPr>
            <w:r>
              <w:rPr>
                <w:rFonts w:ascii="宋体" w:eastAsia="宋体" w:hAnsi="宋体"/>
                <w:b/>
                <w:sz w:val="21"/>
                <w:szCs w:val="21"/>
              </w:rPr>
              <w:t>-</w:t>
            </w:r>
          </w:p>
        </w:tc>
        <w:tc>
          <w:tcPr>
            <w:tcW w:w="4850" w:type="dxa"/>
            <w:vAlign w:val="center"/>
          </w:tcPr>
          <w:p w:rsidR="00F02F52" w:rsidRDefault="00CB76E9">
            <w:pPr>
              <w:adjustRightInd w:val="0"/>
              <w:snapToGrid w:val="0"/>
              <w:spacing w:line="240" w:lineRule="exact"/>
              <w:jc w:val="center"/>
              <w:rPr>
                <w:rFonts w:ascii="宋体" w:eastAsia="宋体" w:hAnsi="宋体"/>
                <w:b/>
                <w:sz w:val="21"/>
                <w:szCs w:val="21"/>
              </w:rPr>
            </w:pPr>
            <w:r>
              <w:rPr>
                <w:rFonts w:ascii="宋体" w:eastAsia="宋体" w:hAnsi="宋体"/>
                <w:b/>
                <w:sz w:val="21"/>
                <w:szCs w:val="21"/>
              </w:rPr>
              <w:t>-</w:t>
            </w:r>
          </w:p>
        </w:tc>
      </w:tr>
      <w:tr w:rsidR="00F02F52">
        <w:trPr>
          <w:trHeight w:val="1271"/>
          <w:jc w:val="center"/>
        </w:trPr>
        <w:tc>
          <w:tcPr>
            <w:tcW w:w="13781" w:type="dxa"/>
            <w:gridSpan w:val="8"/>
            <w:tcBorders>
              <w:bottom w:val="single" w:sz="8" w:space="0" w:color="auto"/>
            </w:tcBorders>
            <w:vAlign w:val="center"/>
          </w:tcPr>
          <w:p w:rsidR="00F02F52" w:rsidRPr="00CB76E9" w:rsidRDefault="00CB76E9" w:rsidP="00CB76E9">
            <w:r>
              <w:rPr>
                <w:rFonts w:ascii="宋体" w:eastAsia="宋体" w:hAnsi="宋体" w:hint="eastAsia"/>
                <w:sz w:val="21"/>
                <w:szCs w:val="21"/>
              </w:rPr>
              <w:t>评审人员（签字）：</w:t>
            </w:r>
            <w:r>
              <w:rPr>
                <w:rFonts w:ascii="宋体" w:eastAsia="宋体" w:hAnsi="宋体"/>
                <w:sz w:val="21"/>
                <w:szCs w:val="21"/>
              </w:rPr>
              <w:t xml:space="preserve">  </w:t>
            </w:r>
            <w:r w:rsidR="0016325C" w:rsidRPr="00EE4D88">
              <w:rPr>
                <w:rFonts w:ascii="宋体" w:eastAsia="宋体" w:hAnsi="宋体"/>
                <w:noProof/>
                <w:sz w:val="24"/>
                <w:szCs w:val="24"/>
              </w:rPr>
              <w:drawing>
                <wp:inline distT="0" distB="0" distL="0" distR="0" wp14:anchorId="38EAD460" wp14:editId="23E2315B">
                  <wp:extent cx="664845" cy="341630"/>
                  <wp:effectExtent l="0" t="0" r="0" b="0"/>
                  <wp:docPr id="4" name="图片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4845" cy="341630"/>
                          </a:xfrm>
                          <a:prstGeom prst="rect">
                            <a:avLst/>
                          </a:prstGeom>
                          <a:noFill/>
                          <a:ln>
                            <a:noFill/>
                          </a:ln>
                        </pic:spPr>
                      </pic:pic>
                    </a:graphicData>
                  </a:graphic>
                </wp:inline>
              </w:drawing>
            </w:r>
            <w:bookmarkStart w:id="0" w:name="_GoBack"/>
            <w:bookmarkEnd w:id="0"/>
          </w:p>
          <w:p w:rsidR="00F02F52" w:rsidRDefault="00CB76E9">
            <w:pPr>
              <w:keepNext/>
              <w:keepLines/>
              <w:adjustRightInd w:val="0"/>
              <w:snapToGrid w:val="0"/>
              <w:spacing w:line="240" w:lineRule="exact"/>
              <w:rPr>
                <w:rFonts w:ascii="宋体" w:eastAsia="宋体" w:hAnsi="宋体"/>
                <w:sz w:val="21"/>
                <w:szCs w:val="21"/>
              </w:rPr>
            </w:pPr>
            <w:r>
              <w:rPr>
                <w:rFonts w:ascii="宋体" w:eastAsia="宋体" w:hAnsi="宋体"/>
                <w:sz w:val="21"/>
                <w:szCs w:val="21"/>
              </w:rPr>
              <w:t xml:space="preserve">                                                                                          </w:t>
            </w:r>
            <w:r>
              <w:rPr>
                <w:rFonts w:ascii="宋体" w:eastAsia="宋体" w:hAnsi="宋体" w:hint="eastAsia"/>
                <w:sz w:val="21"/>
                <w:szCs w:val="21"/>
              </w:rPr>
              <w:t>评审日期：</w:t>
            </w:r>
            <w:r>
              <w:rPr>
                <w:rFonts w:ascii="宋体" w:eastAsia="宋体" w:hAnsi="宋体"/>
                <w:sz w:val="21"/>
                <w:szCs w:val="21"/>
              </w:rPr>
              <w:t>2020</w:t>
            </w:r>
            <w:r>
              <w:rPr>
                <w:rFonts w:ascii="宋体" w:eastAsia="宋体" w:hAnsi="宋体" w:hint="eastAsia"/>
                <w:sz w:val="21"/>
                <w:szCs w:val="21"/>
              </w:rPr>
              <w:t>年1</w:t>
            </w:r>
            <w:r w:rsidR="006A4676">
              <w:rPr>
                <w:rFonts w:ascii="宋体" w:eastAsia="宋体" w:hAnsi="宋体"/>
                <w:sz w:val="21"/>
                <w:szCs w:val="21"/>
              </w:rPr>
              <w:t>1</w:t>
            </w:r>
            <w:r>
              <w:rPr>
                <w:rFonts w:ascii="宋体" w:eastAsia="宋体" w:hAnsi="宋体" w:hint="eastAsia"/>
                <w:sz w:val="21"/>
                <w:szCs w:val="21"/>
              </w:rPr>
              <w:t>月</w:t>
            </w:r>
            <w:r w:rsidR="006A4676">
              <w:rPr>
                <w:rFonts w:ascii="宋体" w:eastAsia="宋体" w:hAnsi="宋体"/>
                <w:sz w:val="21"/>
                <w:szCs w:val="21"/>
              </w:rPr>
              <w:t>15</w:t>
            </w:r>
            <w:r>
              <w:rPr>
                <w:rFonts w:ascii="宋体" w:eastAsia="宋体" w:hAnsi="宋体"/>
                <w:sz w:val="21"/>
                <w:szCs w:val="21"/>
              </w:rPr>
              <w:t xml:space="preserve"> </w:t>
            </w:r>
            <w:r>
              <w:rPr>
                <w:rFonts w:ascii="宋体" w:eastAsia="宋体" w:hAnsi="宋体" w:hint="eastAsia"/>
                <w:sz w:val="21"/>
                <w:szCs w:val="21"/>
              </w:rPr>
              <w:t>日</w:t>
            </w:r>
          </w:p>
        </w:tc>
      </w:tr>
    </w:tbl>
    <w:p w:rsidR="00F02F52" w:rsidRDefault="00F02F52">
      <w:pPr>
        <w:adjustRightInd w:val="0"/>
        <w:snapToGrid w:val="0"/>
        <w:spacing w:line="520" w:lineRule="exact"/>
        <w:rPr>
          <w:rFonts w:ascii="宋体" w:eastAsia="宋体" w:hAnsi="宋体"/>
          <w:sz w:val="21"/>
        </w:rPr>
      </w:pPr>
    </w:p>
    <w:sectPr w:rsidR="00F02F52">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B0604020202020204"/>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20B0604020202020204"/>
    <w:charset w:val="86"/>
    <w:family w:val="script"/>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F45"/>
    <w:rsid w:val="00005CA5"/>
    <w:rsid w:val="00006C5F"/>
    <w:rsid w:val="00044750"/>
    <w:rsid w:val="00053D61"/>
    <w:rsid w:val="00063CD6"/>
    <w:rsid w:val="000829EE"/>
    <w:rsid w:val="00087E82"/>
    <w:rsid w:val="000B2041"/>
    <w:rsid w:val="000F343E"/>
    <w:rsid w:val="00133A63"/>
    <w:rsid w:val="00136C85"/>
    <w:rsid w:val="00137FED"/>
    <w:rsid w:val="00161ED3"/>
    <w:rsid w:val="0016325C"/>
    <w:rsid w:val="001C0550"/>
    <w:rsid w:val="001E1542"/>
    <w:rsid w:val="002304A6"/>
    <w:rsid w:val="0024083B"/>
    <w:rsid w:val="0025277B"/>
    <w:rsid w:val="002957BD"/>
    <w:rsid w:val="002B300C"/>
    <w:rsid w:val="002E4DFA"/>
    <w:rsid w:val="003277B8"/>
    <w:rsid w:val="0035378A"/>
    <w:rsid w:val="003540D7"/>
    <w:rsid w:val="003825A2"/>
    <w:rsid w:val="003A04BE"/>
    <w:rsid w:val="003B3AB2"/>
    <w:rsid w:val="003F1ABE"/>
    <w:rsid w:val="004679B8"/>
    <w:rsid w:val="004D5CE5"/>
    <w:rsid w:val="004E6089"/>
    <w:rsid w:val="00522CBF"/>
    <w:rsid w:val="00525042"/>
    <w:rsid w:val="0053129F"/>
    <w:rsid w:val="00562E4D"/>
    <w:rsid w:val="00576365"/>
    <w:rsid w:val="00587805"/>
    <w:rsid w:val="00590FFB"/>
    <w:rsid w:val="00594FB3"/>
    <w:rsid w:val="006011EF"/>
    <w:rsid w:val="00602205"/>
    <w:rsid w:val="00611CB9"/>
    <w:rsid w:val="006154E9"/>
    <w:rsid w:val="00685ACE"/>
    <w:rsid w:val="0069509C"/>
    <w:rsid w:val="006A3C2B"/>
    <w:rsid w:val="006A4676"/>
    <w:rsid w:val="0077194E"/>
    <w:rsid w:val="007760FF"/>
    <w:rsid w:val="00794D3D"/>
    <w:rsid w:val="007C2E6D"/>
    <w:rsid w:val="007D2BAF"/>
    <w:rsid w:val="007F08B9"/>
    <w:rsid w:val="008000BB"/>
    <w:rsid w:val="008204CF"/>
    <w:rsid w:val="0082570C"/>
    <w:rsid w:val="00886293"/>
    <w:rsid w:val="00891DFD"/>
    <w:rsid w:val="008C5DE5"/>
    <w:rsid w:val="008F2584"/>
    <w:rsid w:val="00917B6C"/>
    <w:rsid w:val="009338F1"/>
    <w:rsid w:val="00953D33"/>
    <w:rsid w:val="00955646"/>
    <w:rsid w:val="0096770F"/>
    <w:rsid w:val="009A5857"/>
    <w:rsid w:val="009E15BC"/>
    <w:rsid w:val="009E2F7D"/>
    <w:rsid w:val="00A23C07"/>
    <w:rsid w:val="00A345FC"/>
    <w:rsid w:val="00A35B8B"/>
    <w:rsid w:val="00A42779"/>
    <w:rsid w:val="00A620DF"/>
    <w:rsid w:val="00AA4682"/>
    <w:rsid w:val="00AB0622"/>
    <w:rsid w:val="00AD1F5C"/>
    <w:rsid w:val="00AD38DA"/>
    <w:rsid w:val="00AE4F30"/>
    <w:rsid w:val="00AE6365"/>
    <w:rsid w:val="00B05652"/>
    <w:rsid w:val="00B10492"/>
    <w:rsid w:val="00B51967"/>
    <w:rsid w:val="00B67DED"/>
    <w:rsid w:val="00B70187"/>
    <w:rsid w:val="00B91484"/>
    <w:rsid w:val="00B94F45"/>
    <w:rsid w:val="00BA452C"/>
    <w:rsid w:val="00BA6141"/>
    <w:rsid w:val="00BA7D26"/>
    <w:rsid w:val="00BC5EE9"/>
    <w:rsid w:val="00C0011D"/>
    <w:rsid w:val="00C25E6C"/>
    <w:rsid w:val="00C5158A"/>
    <w:rsid w:val="00C525BD"/>
    <w:rsid w:val="00C54AE2"/>
    <w:rsid w:val="00C76D64"/>
    <w:rsid w:val="00CA38F2"/>
    <w:rsid w:val="00CB76E9"/>
    <w:rsid w:val="00CC54EA"/>
    <w:rsid w:val="00CF2F49"/>
    <w:rsid w:val="00D34C6D"/>
    <w:rsid w:val="00D8449E"/>
    <w:rsid w:val="00D94806"/>
    <w:rsid w:val="00D95D1B"/>
    <w:rsid w:val="00DD0E63"/>
    <w:rsid w:val="00DF6F00"/>
    <w:rsid w:val="00E52800"/>
    <w:rsid w:val="00E56DDF"/>
    <w:rsid w:val="00E610A3"/>
    <w:rsid w:val="00E75514"/>
    <w:rsid w:val="00E77A2D"/>
    <w:rsid w:val="00EE07E0"/>
    <w:rsid w:val="00F02F52"/>
    <w:rsid w:val="00F05752"/>
    <w:rsid w:val="00F93C62"/>
    <w:rsid w:val="00FE0769"/>
    <w:rsid w:val="00FF2E13"/>
    <w:rsid w:val="017471BD"/>
    <w:rsid w:val="0A5B2050"/>
    <w:rsid w:val="2E2A384C"/>
    <w:rsid w:val="35876A0C"/>
    <w:rsid w:val="496F6EC6"/>
    <w:rsid w:val="4B692FC4"/>
    <w:rsid w:val="6DF71253"/>
    <w:rsid w:val="6F581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FFAB137"/>
  <w15:docId w15:val="{1E6552E9-C7AB-1148-941E-A39AF0AFD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DengXian" w:eastAsia="DengXian" w:hAnsi="DengXi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Calibri" w:eastAsia="仿宋_GB2312" w:hAnsi="Calibri"/>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sz w:val="18"/>
      <w:szCs w:val="18"/>
    </w:r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sz w:val="18"/>
      <w:szCs w:val="18"/>
    </w:rPr>
  </w:style>
  <w:style w:type="character" w:customStyle="1" w:styleId="a4">
    <w:name w:val="批注框文本 字符"/>
    <w:link w:val="a3"/>
    <w:uiPriority w:val="99"/>
    <w:semiHidden/>
    <w:qFormat/>
    <w:locked/>
    <w:rPr>
      <w:rFonts w:ascii="Calibri" w:eastAsia="仿宋_GB2312" w:hAnsi="Calibri" w:cs="Times New Roman"/>
      <w:sz w:val="18"/>
      <w:szCs w:val="18"/>
    </w:rPr>
  </w:style>
  <w:style w:type="character" w:customStyle="1" w:styleId="a6">
    <w:name w:val="页脚 字符"/>
    <w:link w:val="a5"/>
    <w:uiPriority w:val="99"/>
    <w:qFormat/>
    <w:locked/>
    <w:rPr>
      <w:rFonts w:ascii="Calibri" w:eastAsia="仿宋_GB2312" w:hAnsi="Calibri" w:cs="Times New Roman"/>
      <w:sz w:val="18"/>
      <w:szCs w:val="18"/>
    </w:rPr>
  </w:style>
  <w:style w:type="character" w:customStyle="1" w:styleId="a8">
    <w:name w:val="页眉 字符"/>
    <w:link w:val="a7"/>
    <w:uiPriority w:val="99"/>
    <w:qFormat/>
    <w:locked/>
    <w:rPr>
      <w:rFonts w:ascii="Calibri" w:eastAsia="仿宋_GB2312" w:hAnsi="Calibri" w:cs="Times New Roman"/>
      <w:sz w:val="18"/>
      <w:szCs w:val="18"/>
    </w:rPr>
  </w:style>
  <w:style w:type="paragraph" w:customStyle="1" w:styleId="1">
    <w:name w:val="列出段落1"/>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1086</Words>
  <Characters>6195</Characters>
  <Application>Microsoft Office Word</Application>
  <DocSecurity>0</DocSecurity>
  <Lines>51</Lines>
  <Paragraphs>14</Paragraphs>
  <ScaleCrop>false</ScaleCrop>
  <Company>微软中国</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附表1</dc:title>
  <dc:creator>Administrator</dc:creator>
  <cp:lastModifiedBy>tao iceforever</cp:lastModifiedBy>
  <cp:revision>2</cp:revision>
  <cp:lastPrinted>2020-04-02T08:39:00Z</cp:lastPrinted>
  <dcterms:created xsi:type="dcterms:W3CDTF">2020-12-02T03:06:00Z</dcterms:created>
  <dcterms:modified xsi:type="dcterms:W3CDTF">2020-12-02T03:06:00Z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