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pPr>
    </w:p>
    <w:p>
      <w:pPr>
        <w:ind w:firstLine="0" w:firstLineChars="0"/>
      </w:pPr>
    </w:p>
    <w:p>
      <w:pPr>
        <w:ind w:firstLine="0" w:firstLineChars="0"/>
      </w:pPr>
    </w:p>
    <w:p>
      <w:pPr>
        <w:ind w:firstLine="0" w:firstLineChars="0"/>
      </w:pPr>
    </w:p>
    <w:p>
      <w:pPr>
        <w:ind w:firstLine="0" w:firstLineChars="0"/>
        <w:jc w:val="center"/>
        <w:rPr>
          <w:b/>
          <w:sz w:val="52"/>
        </w:rPr>
      </w:pPr>
      <w:r>
        <w:rPr>
          <w:rFonts w:hint="eastAsia"/>
          <w:b/>
          <w:sz w:val="52"/>
          <w:lang w:eastAsia="zh-CN"/>
        </w:rPr>
        <w:t>南昌慧华高科混凝土有限公司</w:t>
      </w:r>
    </w:p>
    <w:p>
      <w:pPr>
        <w:ind w:firstLine="0" w:firstLineChars="0"/>
        <w:jc w:val="center"/>
        <w:rPr>
          <w:b/>
          <w:sz w:val="52"/>
        </w:rPr>
      </w:pPr>
      <w:r>
        <w:rPr>
          <w:rFonts w:hint="eastAsia"/>
          <w:b/>
          <w:sz w:val="52"/>
        </w:rPr>
        <w:t>环境应急资源调查报告</w:t>
      </w:r>
    </w:p>
    <w:p>
      <w:pPr>
        <w:ind w:firstLine="0" w:firstLineChars="0"/>
        <w:jc w:val="center"/>
        <w:rPr>
          <w:sz w:val="48"/>
        </w:rPr>
      </w:pPr>
    </w:p>
    <w:p>
      <w:pPr>
        <w:ind w:firstLine="0" w:firstLineChars="0"/>
        <w:jc w:val="center"/>
        <w:rPr>
          <w:sz w:val="48"/>
        </w:rPr>
      </w:pPr>
    </w:p>
    <w:p>
      <w:pPr>
        <w:ind w:firstLine="0" w:firstLineChars="0"/>
        <w:jc w:val="center"/>
        <w:rPr>
          <w:sz w:val="48"/>
        </w:rPr>
      </w:pPr>
    </w:p>
    <w:p>
      <w:pPr>
        <w:ind w:firstLine="0" w:firstLineChars="0"/>
        <w:jc w:val="center"/>
        <w:rPr>
          <w:sz w:val="48"/>
        </w:rPr>
      </w:pPr>
    </w:p>
    <w:p>
      <w:pPr>
        <w:ind w:firstLine="0" w:firstLineChars="0"/>
        <w:jc w:val="center"/>
        <w:rPr>
          <w:sz w:val="48"/>
        </w:rPr>
      </w:pPr>
    </w:p>
    <w:p>
      <w:pPr>
        <w:ind w:firstLine="0" w:firstLineChars="0"/>
        <w:jc w:val="center"/>
        <w:rPr>
          <w:sz w:val="48"/>
        </w:rPr>
      </w:pPr>
    </w:p>
    <w:p>
      <w:pPr>
        <w:ind w:firstLine="0" w:firstLineChars="0"/>
        <w:jc w:val="center"/>
        <w:rPr>
          <w:sz w:val="48"/>
        </w:rPr>
      </w:pPr>
    </w:p>
    <w:p>
      <w:pPr>
        <w:ind w:firstLine="0" w:firstLineChars="0"/>
        <w:jc w:val="center"/>
        <w:rPr>
          <w:sz w:val="48"/>
        </w:rPr>
      </w:pPr>
    </w:p>
    <w:p>
      <w:pPr>
        <w:ind w:firstLine="0" w:firstLineChars="0"/>
        <w:jc w:val="center"/>
        <w:rPr>
          <w:sz w:val="48"/>
        </w:rPr>
      </w:pPr>
    </w:p>
    <w:p>
      <w:pPr>
        <w:ind w:firstLine="0" w:firstLineChars="0"/>
        <w:jc w:val="center"/>
        <w:rPr>
          <w:sz w:val="48"/>
        </w:rPr>
      </w:pPr>
    </w:p>
    <w:p>
      <w:pPr>
        <w:ind w:firstLine="0" w:firstLineChars="0"/>
        <w:jc w:val="center"/>
        <w:rPr>
          <w:sz w:val="48"/>
        </w:rPr>
      </w:pPr>
    </w:p>
    <w:p>
      <w:pPr>
        <w:ind w:firstLine="0" w:firstLineChars="0"/>
        <w:jc w:val="center"/>
        <w:rPr>
          <w:rFonts w:hint="eastAsia" w:eastAsia="宋体"/>
          <w:b/>
          <w:sz w:val="36"/>
          <w:szCs w:val="36"/>
          <w:lang w:eastAsia="zh-CN"/>
        </w:rPr>
      </w:pPr>
      <w:r>
        <w:rPr>
          <w:rFonts w:hint="eastAsia"/>
          <w:b/>
          <w:sz w:val="36"/>
          <w:szCs w:val="36"/>
          <w:lang w:eastAsia="zh-CN"/>
        </w:rPr>
        <w:t>南昌慧华高科混凝土有限公司</w:t>
      </w:r>
    </w:p>
    <w:p>
      <w:pPr>
        <w:ind w:firstLine="0" w:firstLineChars="0"/>
        <w:jc w:val="center"/>
        <w:rPr>
          <w:rFonts w:hint="eastAsia"/>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304" w:right="1247" w:bottom="1304" w:left="1531" w:header="851" w:footer="851" w:gutter="0"/>
          <w:cols w:space="425" w:num="1"/>
          <w:docGrid w:type="lines" w:linePitch="312" w:charSpace="0"/>
        </w:sectPr>
      </w:pPr>
      <w:r>
        <w:rPr>
          <w:rFonts w:hint="eastAsia"/>
          <w:b/>
          <w:sz w:val="36"/>
          <w:szCs w:val="36"/>
        </w:rPr>
        <w:t>二</w:t>
      </w:r>
      <w:r>
        <w:rPr>
          <w:b/>
          <w:bCs/>
          <w:sz w:val="36"/>
          <w:szCs w:val="36"/>
        </w:rPr>
        <w:t>〇</w:t>
      </w:r>
      <w:r>
        <w:rPr>
          <w:rFonts w:hint="eastAsia"/>
          <w:b/>
          <w:sz w:val="36"/>
          <w:szCs w:val="36"/>
          <w:lang w:eastAsia="zh-CN"/>
        </w:rPr>
        <w:t>二〇</w:t>
      </w:r>
      <w:r>
        <w:rPr>
          <w:rFonts w:hint="eastAsia"/>
          <w:b/>
          <w:sz w:val="36"/>
          <w:szCs w:val="36"/>
        </w:rPr>
        <w:t>年</w:t>
      </w:r>
      <w:r>
        <w:rPr>
          <w:rFonts w:hint="eastAsia"/>
          <w:b/>
          <w:sz w:val="36"/>
          <w:szCs w:val="36"/>
          <w:lang w:eastAsia="zh-CN"/>
        </w:rPr>
        <w:t>九</w:t>
      </w:r>
      <w:r>
        <w:rPr>
          <w:rFonts w:hint="eastAsia"/>
          <w:b/>
          <w:sz w:val="36"/>
          <w:szCs w:val="36"/>
        </w:rPr>
        <w:t>月</w:t>
      </w:r>
    </w:p>
    <w:p>
      <w:pPr>
        <w:pStyle w:val="16"/>
        <w:sectPr>
          <w:pgSz w:w="11906" w:h="16838"/>
          <w:pgMar w:top="1304" w:right="1247" w:bottom="1304" w:left="1531" w:header="851" w:footer="851" w:gutter="0"/>
          <w:cols w:space="425" w:num="1"/>
          <w:docGrid w:type="lines" w:linePitch="312" w:charSpace="0"/>
        </w:sectPr>
      </w:pPr>
    </w:p>
    <w:p>
      <w:pPr>
        <w:ind w:firstLine="0" w:firstLineChars="0"/>
        <w:jc w:val="center"/>
        <w:rPr>
          <w:b/>
        </w:rPr>
      </w:pPr>
      <w:r>
        <w:rPr>
          <w:rFonts w:hint="eastAsia"/>
          <w:b/>
        </w:rPr>
        <w:t>目录</w:t>
      </w:r>
    </w:p>
    <w:p>
      <w:pPr>
        <w:pStyle w:val="15"/>
        <w:tabs>
          <w:tab w:val="right" w:leader="dot" w:pos="9128"/>
        </w:tabs>
        <w:rPr>
          <w:sz w:val="24"/>
          <w:szCs w:val="24"/>
        </w:rPr>
      </w:pPr>
      <w:r>
        <w:rPr>
          <w:sz w:val="24"/>
          <w:szCs w:val="24"/>
        </w:rPr>
        <w:fldChar w:fldCharType="begin"/>
      </w:r>
      <w:r>
        <w:rPr>
          <w:sz w:val="24"/>
          <w:szCs w:val="24"/>
        </w:rPr>
        <w:instrText xml:space="preserve"> TOC \o "1-3" \h \z \u </w:instrText>
      </w:r>
      <w:r>
        <w:rPr>
          <w:sz w:val="24"/>
          <w:szCs w:val="24"/>
        </w:rPr>
        <w:fldChar w:fldCharType="separate"/>
      </w:r>
      <w:r>
        <w:rPr>
          <w:sz w:val="24"/>
          <w:szCs w:val="24"/>
        </w:rPr>
        <w:fldChar w:fldCharType="begin"/>
      </w:r>
      <w:r>
        <w:rPr>
          <w:sz w:val="24"/>
          <w:szCs w:val="24"/>
        </w:rPr>
        <w:instrText xml:space="preserve"> HYPERLINK \l _Toc21186 </w:instrText>
      </w:r>
      <w:r>
        <w:rPr>
          <w:sz w:val="24"/>
          <w:szCs w:val="24"/>
        </w:rPr>
        <w:fldChar w:fldCharType="separate"/>
      </w:r>
      <w:r>
        <w:rPr>
          <w:rFonts w:hint="default" w:ascii="Times New Roman" w:hAnsi="Times New Roman" w:eastAsia="宋体"/>
          <w:i w:val="0"/>
          <w:sz w:val="24"/>
          <w:szCs w:val="24"/>
        </w:rPr>
        <w:t xml:space="preserve">1 </w:t>
      </w:r>
      <w:r>
        <w:rPr>
          <w:rFonts w:hint="eastAsia"/>
          <w:sz w:val="24"/>
          <w:szCs w:val="24"/>
        </w:rPr>
        <w:t>编制目的</w:t>
      </w:r>
      <w:r>
        <w:rPr>
          <w:sz w:val="24"/>
          <w:szCs w:val="24"/>
        </w:rPr>
        <w:tab/>
      </w:r>
      <w:r>
        <w:rPr>
          <w:sz w:val="24"/>
          <w:szCs w:val="24"/>
        </w:rPr>
        <w:fldChar w:fldCharType="begin"/>
      </w:r>
      <w:r>
        <w:rPr>
          <w:sz w:val="24"/>
          <w:szCs w:val="24"/>
        </w:rPr>
        <w:instrText xml:space="preserve"> PAGEREF _Toc21186 </w:instrText>
      </w:r>
      <w:r>
        <w:rPr>
          <w:sz w:val="24"/>
          <w:szCs w:val="24"/>
        </w:rPr>
        <w:fldChar w:fldCharType="separate"/>
      </w:r>
      <w:r>
        <w:rPr>
          <w:sz w:val="24"/>
          <w:szCs w:val="24"/>
        </w:rPr>
        <w:t>1</w:t>
      </w:r>
      <w:r>
        <w:rPr>
          <w:sz w:val="24"/>
          <w:szCs w:val="24"/>
        </w:rPr>
        <w:fldChar w:fldCharType="end"/>
      </w:r>
      <w:r>
        <w:rPr>
          <w:sz w:val="24"/>
          <w:szCs w:val="24"/>
        </w:rPr>
        <w:fldChar w:fldCharType="end"/>
      </w:r>
    </w:p>
    <w:p>
      <w:pPr>
        <w:pStyle w:val="15"/>
        <w:tabs>
          <w:tab w:val="right" w:leader="dot" w:pos="9128"/>
        </w:tabs>
        <w:rPr>
          <w:sz w:val="24"/>
          <w:szCs w:val="24"/>
        </w:rPr>
      </w:pPr>
      <w:r>
        <w:rPr>
          <w:sz w:val="24"/>
          <w:szCs w:val="24"/>
        </w:rPr>
        <w:fldChar w:fldCharType="begin"/>
      </w:r>
      <w:r>
        <w:rPr>
          <w:sz w:val="24"/>
          <w:szCs w:val="24"/>
        </w:rPr>
        <w:instrText xml:space="preserve"> HYPERLINK \l _Toc1982 </w:instrText>
      </w:r>
      <w:r>
        <w:rPr>
          <w:sz w:val="24"/>
          <w:szCs w:val="24"/>
        </w:rPr>
        <w:fldChar w:fldCharType="separate"/>
      </w:r>
      <w:r>
        <w:rPr>
          <w:rFonts w:hint="default" w:ascii="Times New Roman" w:hAnsi="Times New Roman" w:eastAsia="宋体"/>
          <w:i w:val="0"/>
          <w:sz w:val="24"/>
          <w:szCs w:val="24"/>
        </w:rPr>
        <w:t xml:space="preserve">2 </w:t>
      </w:r>
      <w:r>
        <w:rPr>
          <w:rFonts w:hint="eastAsia"/>
          <w:sz w:val="24"/>
          <w:szCs w:val="24"/>
        </w:rPr>
        <w:t>突发环境事件类型及所需应急资源配置</w:t>
      </w:r>
      <w:r>
        <w:rPr>
          <w:sz w:val="24"/>
          <w:szCs w:val="24"/>
        </w:rPr>
        <w:tab/>
      </w:r>
      <w:r>
        <w:rPr>
          <w:sz w:val="24"/>
          <w:szCs w:val="24"/>
        </w:rPr>
        <w:fldChar w:fldCharType="begin"/>
      </w:r>
      <w:r>
        <w:rPr>
          <w:sz w:val="24"/>
          <w:szCs w:val="24"/>
        </w:rPr>
        <w:instrText xml:space="preserve"> PAGEREF _Toc1982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9128"/>
        </w:tabs>
        <w:rPr>
          <w:sz w:val="24"/>
          <w:szCs w:val="24"/>
        </w:rPr>
      </w:pPr>
      <w:r>
        <w:rPr>
          <w:sz w:val="24"/>
          <w:szCs w:val="24"/>
        </w:rPr>
        <w:fldChar w:fldCharType="begin"/>
      </w:r>
      <w:r>
        <w:rPr>
          <w:sz w:val="24"/>
          <w:szCs w:val="24"/>
        </w:rPr>
        <w:instrText xml:space="preserve"> HYPERLINK \l _Toc9341 </w:instrText>
      </w:r>
      <w:r>
        <w:rPr>
          <w:sz w:val="24"/>
          <w:szCs w:val="24"/>
        </w:rPr>
        <w:fldChar w:fldCharType="separate"/>
      </w:r>
      <w:r>
        <w:rPr>
          <w:rFonts w:hint="default" w:ascii="Times New Roman" w:hAnsi="Times New Roman" w:eastAsia="宋体"/>
          <w:i w:val="0"/>
          <w:sz w:val="24"/>
          <w:szCs w:val="24"/>
        </w:rPr>
        <w:t xml:space="preserve">2.1 </w:t>
      </w:r>
      <w:r>
        <w:rPr>
          <w:rFonts w:hint="eastAsia"/>
          <w:sz w:val="24"/>
          <w:szCs w:val="24"/>
        </w:rPr>
        <w:t>环境风险物质及环境风险源</w:t>
      </w:r>
      <w:r>
        <w:rPr>
          <w:sz w:val="24"/>
          <w:szCs w:val="24"/>
        </w:rPr>
        <w:tab/>
      </w:r>
      <w:r>
        <w:rPr>
          <w:sz w:val="24"/>
          <w:szCs w:val="24"/>
        </w:rPr>
        <w:fldChar w:fldCharType="begin"/>
      </w:r>
      <w:r>
        <w:rPr>
          <w:sz w:val="24"/>
          <w:szCs w:val="24"/>
        </w:rPr>
        <w:instrText xml:space="preserve"> PAGEREF _Toc9341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9128"/>
        </w:tabs>
        <w:rPr>
          <w:sz w:val="24"/>
          <w:szCs w:val="24"/>
        </w:rPr>
      </w:pPr>
      <w:r>
        <w:rPr>
          <w:sz w:val="24"/>
          <w:szCs w:val="24"/>
        </w:rPr>
        <w:fldChar w:fldCharType="begin"/>
      </w:r>
      <w:r>
        <w:rPr>
          <w:sz w:val="24"/>
          <w:szCs w:val="24"/>
        </w:rPr>
        <w:instrText xml:space="preserve"> HYPERLINK \l _Toc4693 </w:instrText>
      </w:r>
      <w:r>
        <w:rPr>
          <w:sz w:val="24"/>
          <w:szCs w:val="24"/>
        </w:rPr>
        <w:fldChar w:fldCharType="separate"/>
      </w:r>
      <w:r>
        <w:rPr>
          <w:rFonts w:hint="default" w:ascii="Times New Roman" w:hAnsi="Times New Roman" w:eastAsia="宋体"/>
          <w:i w:val="0"/>
          <w:sz w:val="24"/>
          <w:szCs w:val="24"/>
        </w:rPr>
        <w:t xml:space="preserve">2.2 </w:t>
      </w:r>
      <w:r>
        <w:rPr>
          <w:rFonts w:hint="eastAsia"/>
          <w:sz w:val="24"/>
          <w:szCs w:val="24"/>
        </w:rPr>
        <w:t>突发环境事件类型及扩散途径</w:t>
      </w:r>
      <w:r>
        <w:rPr>
          <w:sz w:val="24"/>
          <w:szCs w:val="24"/>
        </w:rPr>
        <w:tab/>
      </w:r>
      <w:r>
        <w:rPr>
          <w:sz w:val="24"/>
          <w:szCs w:val="24"/>
        </w:rPr>
        <w:fldChar w:fldCharType="begin"/>
      </w:r>
      <w:r>
        <w:rPr>
          <w:sz w:val="24"/>
          <w:szCs w:val="24"/>
        </w:rPr>
        <w:instrText xml:space="preserve"> PAGEREF _Toc4693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9128"/>
        </w:tabs>
        <w:rPr>
          <w:sz w:val="24"/>
          <w:szCs w:val="24"/>
        </w:rPr>
      </w:pPr>
      <w:r>
        <w:rPr>
          <w:sz w:val="24"/>
          <w:szCs w:val="24"/>
        </w:rPr>
        <w:fldChar w:fldCharType="begin"/>
      </w:r>
      <w:r>
        <w:rPr>
          <w:sz w:val="24"/>
          <w:szCs w:val="24"/>
        </w:rPr>
        <w:instrText xml:space="preserve"> HYPERLINK \l _Toc22275 </w:instrText>
      </w:r>
      <w:r>
        <w:rPr>
          <w:sz w:val="24"/>
          <w:szCs w:val="24"/>
        </w:rPr>
        <w:fldChar w:fldCharType="separate"/>
      </w:r>
      <w:r>
        <w:rPr>
          <w:rFonts w:hint="default" w:ascii="Times New Roman" w:hAnsi="Times New Roman" w:eastAsia="宋体"/>
          <w:i w:val="0"/>
          <w:sz w:val="24"/>
          <w:szCs w:val="24"/>
        </w:rPr>
        <w:t xml:space="preserve">2.3 </w:t>
      </w:r>
      <w:r>
        <w:rPr>
          <w:rFonts w:hint="eastAsia"/>
          <w:sz w:val="24"/>
          <w:szCs w:val="24"/>
        </w:rPr>
        <w:t>所需应急资源配置</w:t>
      </w:r>
      <w:r>
        <w:rPr>
          <w:sz w:val="24"/>
          <w:szCs w:val="24"/>
        </w:rPr>
        <w:tab/>
      </w:r>
      <w:r>
        <w:rPr>
          <w:sz w:val="24"/>
          <w:szCs w:val="24"/>
        </w:rPr>
        <w:fldChar w:fldCharType="begin"/>
      </w:r>
      <w:r>
        <w:rPr>
          <w:sz w:val="24"/>
          <w:szCs w:val="24"/>
        </w:rPr>
        <w:instrText xml:space="preserve"> PAGEREF _Toc22275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5"/>
        <w:tabs>
          <w:tab w:val="right" w:leader="dot" w:pos="9128"/>
        </w:tabs>
        <w:rPr>
          <w:sz w:val="24"/>
          <w:szCs w:val="24"/>
        </w:rPr>
      </w:pPr>
      <w:r>
        <w:rPr>
          <w:sz w:val="24"/>
          <w:szCs w:val="24"/>
        </w:rPr>
        <w:fldChar w:fldCharType="begin"/>
      </w:r>
      <w:r>
        <w:rPr>
          <w:sz w:val="24"/>
          <w:szCs w:val="24"/>
        </w:rPr>
        <w:instrText xml:space="preserve"> HYPERLINK \l _Toc3850 </w:instrText>
      </w:r>
      <w:r>
        <w:rPr>
          <w:sz w:val="24"/>
          <w:szCs w:val="24"/>
        </w:rPr>
        <w:fldChar w:fldCharType="separate"/>
      </w:r>
      <w:r>
        <w:rPr>
          <w:rFonts w:hint="default" w:ascii="Times New Roman" w:hAnsi="Times New Roman" w:eastAsia="宋体"/>
          <w:i w:val="0"/>
          <w:sz w:val="24"/>
          <w:szCs w:val="24"/>
        </w:rPr>
        <w:t xml:space="preserve">3 </w:t>
      </w:r>
      <w:r>
        <w:rPr>
          <w:rFonts w:hint="eastAsia"/>
          <w:sz w:val="24"/>
          <w:szCs w:val="24"/>
        </w:rPr>
        <w:t>环境应急人力资源调查</w:t>
      </w:r>
      <w:r>
        <w:rPr>
          <w:sz w:val="24"/>
          <w:szCs w:val="24"/>
        </w:rPr>
        <w:tab/>
      </w:r>
      <w:r>
        <w:rPr>
          <w:sz w:val="24"/>
          <w:szCs w:val="24"/>
        </w:rPr>
        <w:fldChar w:fldCharType="begin"/>
      </w:r>
      <w:r>
        <w:rPr>
          <w:sz w:val="24"/>
          <w:szCs w:val="24"/>
        </w:rPr>
        <w:instrText xml:space="preserve"> PAGEREF _Toc3850 </w:instrText>
      </w:r>
      <w:r>
        <w:rPr>
          <w:sz w:val="24"/>
          <w:szCs w:val="24"/>
        </w:rPr>
        <w:fldChar w:fldCharType="separate"/>
      </w:r>
      <w:r>
        <w:rPr>
          <w:sz w:val="24"/>
          <w:szCs w:val="24"/>
        </w:rPr>
        <w:t>4</w:t>
      </w:r>
      <w:r>
        <w:rPr>
          <w:sz w:val="24"/>
          <w:szCs w:val="24"/>
        </w:rPr>
        <w:fldChar w:fldCharType="end"/>
      </w:r>
      <w:r>
        <w:rPr>
          <w:sz w:val="24"/>
          <w:szCs w:val="24"/>
        </w:rPr>
        <w:fldChar w:fldCharType="end"/>
      </w:r>
    </w:p>
    <w:p>
      <w:pPr>
        <w:pStyle w:val="16"/>
        <w:tabs>
          <w:tab w:val="right" w:leader="dot" w:pos="9128"/>
        </w:tabs>
        <w:rPr>
          <w:sz w:val="24"/>
          <w:szCs w:val="24"/>
        </w:rPr>
      </w:pPr>
      <w:r>
        <w:rPr>
          <w:sz w:val="24"/>
          <w:szCs w:val="24"/>
        </w:rPr>
        <w:fldChar w:fldCharType="begin"/>
      </w:r>
      <w:r>
        <w:rPr>
          <w:sz w:val="24"/>
          <w:szCs w:val="24"/>
        </w:rPr>
        <w:instrText xml:space="preserve"> HYPERLINK \l _Toc685 </w:instrText>
      </w:r>
      <w:r>
        <w:rPr>
          <w:sz w:val="24"/>
          <w:szCs w:val="24"/>
        </w:rPr>
        <w:fldChar w:fldCharType="separate"/>
      </w:r>
      <w:r>
        <w:rPr>
          <w:rFonts w:hint="default" w:ascii="Times New Roman" w:hAnsi="Times New Roman" w:eastAsia="宋体"/>
          <w:i w:val="0"/>
          <w:sz w:val="24"/>
          <w:szCs w:val="24"/>
        </w:rPr>
        <w:t xml:space="preserve">3.1 </w:t>
      </w:r>
      <w:r>
        <w:rPr>
          <w:rFonts w:hint="eastAsia"/>
          <w:sz w:val="24"/>
          <w:szCs w:val="24"/>
        </w:rPr>
        <w:t>企业内部应急队伍</w:t>
      </w:r>
      <w:r>
        <w:rPr>
          <w:sz w:val="24"/>
          <w:szCs w:val="24"/>
        </w:rPr>
        <w:tab/>
      </w:r>
      <w:r>
        <w:rPr>
          <w:sz w:val="24"/>
          <w:szCs w:val="24"/>
        </w:rPr>
        <w:fldChar w:fldCharType="begin"/>
      </w:r>
      <w:r>
        <w:rPr>
          <w:sz w:val="24"/>
          <w:szCs w:val="24"/>
        </w:rPr>
        <w:instrText xml:space="preserve"> PAGEREF _Toc685 </w:instrText>
      </w:r>
      <w:r>
        <w:rPr>
          <w:sz w:val="24"/>
          <w:szCs w:val="24"/>
        </w:rPr>
        <w:fldChar w:fldCharType="separate"/>
      </w:r>
      <w:r>
        <w:rPr>
          <w:sz w:val="24"/>
          <w:szCs w:val="24"/>
        </w:rPr>
        <w:t>4</w:t>
      </w:r>
      <w:r>
        <w:rPr>
          <w:sz w:val="24"/>
          <w:szCs w:val="24"/>
        </w:rPr>
        <w:fldChar w:fldCharType="end"/>
      </w:r>
      <w:r>
        <w:rPr>
          <w:sz w:val="24"/>
          <w:szCs w:val="24"/>
        </w:rPr>
        <w:fldChar w:fldCharType="end"/>
      </w:r>
    </w:p>
    <w:p>
      <w:pPr>
        <w:pStyle w:val="12"/>
        <w:tabs>
          <w:tab w:val="right" w:leader="dot" w:pos="9128"/>
        </w:tabs>
        <w:rPr>
          <w:sz w:val="24"/>
          <w:szCs w:val="24"/>
        </w:rPr>
      </w:pPr>
      <w:r>
        <w:rPr>
          <w:sz w:val="24"/>
          <w:szCs w:val="24"/>
        </w:rPr>
        <w:fldChar w:fldCharType="begin"/>
      </w:r>
      <w:r>
        <w:rPr>
          <w:sz w:val="24"/>
          <w:szCs w:val="24"/>
        </w:rPr>
        <w:instrText xml:space="preserve"> HYPERLINK \l _Toc2766 </w:instrText>
      </w:r>
      <w:r>
        <w:rPr>
          <w:sz w:val="24"/>
          <w:szCs w:val="24"/>
        </w:rPr>
        <w:fldChar w:fldCharType="separate"/>
      </w:r>
      <w:r>
        <w:rPr>
          <w:rFonts w:hint="default" w:ascii="Times New Roman" w:hAnsi="Times New Roman" w:eastAsia="宋体"/>
          <w:i w:val="0"/>
          <w:sz w:val="24"/>
          <w:szCs w:val="24"/>
        </w:rPr>
        <w:t xml:space="preserve">3.1.1 </w:t>
      </w:r>
      <w:r>
        <w:rPr>
          <w:rFonts w:hint="eastAsia"/>
          <w:sz w:val="24"/>
          <w:szCs w:val="24"/>
        </w:rPr>
        <w:t>应急组织机构</w:t>
      </w:r>
      <w:r>
        <w:rPr>
          <w:sz w:val="24"/>
          <w:szCs w:val="24"/>
        </w:rPr>
        <w:tab/>
      </w:r>
      <w:r>
        <w:rPr>
          <w:sz w:val="24"/>
          <w:szCs w:val="24"/>
        </w:rPr>
        <w:fldChar w:fldCharType="begin"/>
      </w:r>
      <w:r>
        <w:rPr>
          <w:sz w:val="24"/>
          <w:szCs w:val="24"/>
        </w:rPr>
        <w:instrText xml:space="preserve"> PAGEREF _Toc2766 </w:instrText>
      </w:r>
      <w:r>
        <w:rPr>
          <w:sz w:val="24"/>
          <w:szCs w:val="24"/>
        </w:rPr>
        <w:fldChar w:fldCharType="separate"/>
      </w:r>
      <w:r>
        <w:rPr>
          <w:sz w:val="24"/>
          <w:szCs w:val="24"/>
        </w:rPr>
        <w:t>4</w:t>
      </w:r>
      <w:r>
        <w:rPr>
          <w:sz w:val="24"/>
          <w:szCs w:val="24"/>
        </w:rPr>
        <w:fldChar w:fldCharType="end"/>
      </w:r>
      <w:r>
        <w:rPr>
          <w:sz w:val="24"/>
          <w:szCs w:val="24"/>
        </w:rPr>
        <w:fldChar w:fldCharType="end"/>
      </w:r>
    </w:p>
    <w:p>
      <w:pPr>
        <w:pStyle w:val="12"/>
        <w:tabs>
          <w:tab w:val="right" w:leader="dot" w:pos="9128"/>
        </w:tabs>
        <w:rPr>
          <w:sz w:val="24"/>
          <w:szCs w:val="24"/>
        </w:rPr>
      </w:pPr>
      <w:r>
        <w:rPr>
          <w:sz w:val="24"/>
          <w:szCs w:val="24"/>
        </w:rPr>
        <w:fldChar w:fldCharType="begin"/>
      </w:r>
      <w:r>
        <w:rPr>
          <w:sz w:val="24"/>
          <w:szCs w:val="24"/>
        </w:rPr>
        <w:instrText xml:space="preserve"> HYPERLINK \l _Toc26305 </w:instrText>
      </w:r>
      <w:r>
        <w:rPr>
          <w:sz w:val="24"/>
          <w:szCs w:val="24"/>
        </w:rPr>
        <w:fldChar w:fldCharType="separate"/>
      </w:r>
      <w:r>
        <w:rPr>
          <w:rFonts w:hint="default" w:ascii="Times New Roman" w:hAnsi="Times New Roman" w:eastAsia="宋体"/>
          <w:i w:val="0"/>
          <w:sz w:val="24"/>
          <w:szCs w:val="24"/>
        </w:rPr>
        <w:t xml:space="preserve">3.1.2 </w:t>
      </w:r>
      <w:r>
        <w:rPr>
          <w:rFonts w:hint="eastAsia"/>
          <w:sz w:val="24"/>
          <w:szCs w:val="24"/>
        </w:rPr>
        <w:t>指挥机构职责</w:t>
      </w:r>
      <w:r>
        <w:rPr>
          <w:sz w:val="24"/>
          <w:szCs w:val="24"/>
        </w:rPr>
        <w:tab/>
      </w:r>
      <w:r>
        <w:rPr>
          <w:sz w:val="24"/>
          <w:szCs w:val="24"/>
        </w:rPr>
        <w:fldChar w:fldCharType="begin"/>
      </w:r>
      <w:r>
        <w:rPr>
          <w:sz w:val="24"/>
          <w:szCs w:val="24"/>
        </w:rPr>
        <w:instrText xml:space="preserve"> PAGEREF _Toc26305 </w:instrText>
      </w:r>
      <w:r>
        <w:rPr>
          <w:sz w:val="24"/>
          <w:szCs w:val="24"/>
        </w:rPr>
        <w:fldChar w:fldCharType="separate"/>
      </w:r>
      <w:r>
        <w:rPr>
          <w:sz w:val="24"/>
          <w:szCs w:val="24"/>
        </w:rPr>
        <w:t>6</w:t>
      </w:r>
      <w:r>
        <w:rPr>
          <w:sz w:val="24"/>
          <w:szCs w:val="24"/>
        </w:rPr>
        <w:fldChar w:fldCharType="end"/>
      </w:r>
      <w:r>
        <w:rPr>
          <w:sz w:val="24"/>
          <w:szCs w:val="24"/>
        </w:rPr>
        <w:fldChar w:fldCharType="end"/>
      </w:r>
    </w:p>
    <w:p>
      <w:pPr>
        <w:pStyle w:val="12"/>
        <w:tabs>
          <w:tab w:val="right" w:leader="dot" w:pos="9128"/>
        </w:tabs>
        <w:rPr>
          <w:sz w:val="24"/>
          <w:szCs w:val="24"/>
        </w:rPr>
      </w:pPr>
      <w:r>
        <w:rPr>
          <w:sz w:val="24"/>
          <w:szCs w:val="24"/>
        </w:rPr>
        <w:fldChar w:fldCharType="begin"/>
      </w:r>
      <w:r>
        <w:rPr>
          <w:sz w:val="24"/>
          <w:szCs w:val="24"/>
        </w:rPr>
        <w:instrText xml:space="preserve"> HYPERLINK \l _Toc23956 </w:instrText>
      </w:r>
      <w:r>
        <w:rPr>
          <w:sz w:val="24"/>
          <w:szCs w:val="24"/>
        </w:rPr>
        <w:fldChar w:fldCharType="separate"/>
      </w:r>
      <w:r>
        <w:rPr>
          <w:rFonts w:hint="default" w:ascii="Times New Roman" w:hAnsi="Times New Roman" w:eastAsia="宋体"/>
          <w:i w:val="0"/>
          <w:sz w:val="24"/>
          <w:szCs w:val="24"/>
        </w:rPr>
        <w:t xml:space="preserve">3.1.3 </w:t>
      </w:r>
      <w:r>
        <w:rPr>
          <w:rFonts w:hint="eastAsia"/>
          <w:sz w:val="24"/>
          <w:szCs w:val="24"/>
        </w:rPr>
        <w:t>应急救援</w:t>
      </w:r>
      <w:r>
        <w:rPr>
          <w:rFonts w:hint="eastAsia"/>
          <w:sz w:val="24"/>
          <w:szCs w:val="24"/>
          <w:lang w:eastAsia="zh-CN"/>
        </w:rPr>
        <w:t>小组</w:t>
      </w:r>
      <w:r>
        <w:rPr>
          <w:rFonts w:hint="eastAsia"/>
          <w:sz w:val="24"/>
          <w:szCs w:val="24"/>
        </w:rPr>
        <w:t>职责</w:t>
      </w:r>
      <w:r>
        <w:rPr>
          <w:sz w:val="24"/>
          <w:szCs w:val="24"/>
        </w:rPr>
        <w:tab/>
      </w:r>
      <w:r>
        <w:rPr>
          <w:sz w:val="24"/>
          <w:szCs w:val="24"/>
        </w:rPr>
        <w:fldChar w:fldCharType="begin"/>
      </w:r>
      <w:r>
        <w:rPr>
          <w:sz w:val="24"/>
          <w:szCs w:val="24"/>
        </w:rPr>
        <w:instrText xml:space="preserve"> PAGEREF _Toc23956 </w:instrText>
      </w:r>
      <w:r>
        <w:rPr>
          <w:sz w:val="24"/>
          <w:szCs w:val="24"/>
        </w:rPr>
        <w:fldChar w:fldCharType="separate"/>
      </w:r>
      <w:r>
        <w:rPr>
          <w:sz w:val="24"/>
          <w:szCs w:val="24"/>
        </w:rPr>
        <w:t>7</w:t>
      </w:r>
      <w:r>
        <w:rPr>
          <w:sz w:val="24"/>
          <w:szCs w:val="24"/>
        </w:rPr>
        <w:fldChar w:fldCharType="end"/>
      </w:r>
      <w:r>
        <w:rPr>
          <w:sz w:val="24"/>
          <w:szCs w:val="24"/>
        </w:rPr>
        <w:fldChar w:fldCharType="end"/>
      </w:r>
    </w:p>
    <w:p>
      <w:pPr>
        <w:pStyle w:val="12"/>
        <w:tabs>
          <w:tab w:val="right" w:leader="dot" w:pos="9128"/>
        </w:tabs>
        <w:rPr>
          <w:sz w:val="24"/>
          <w:szCs w:val="24"/>
        </w:rPr>
      </w:pPr>
      <w:r>
        <w:rPr>
          <w:sz w:val="24"/>
          <w:szCs w:val="24"/>
        </w:rPr>
        <w:fldChar w:fldCharType="begin"/>
      </w:r>
      <w:r>
        <w:rPr>
          <w:sz w:val="24"/>
          <w:szCs w:val="24"/>
        </w:rPr>
        <w:instrText xml:space="preserve"> HYPERLINK \l _Toc25091 </w:instrText>
      </w:r>
      <w:r>
        <w:rPr>
          <w:sz w:val="24"/>
          <w:szCs w:val="24"/>
        </w:rPr>
        <w:fldChar w:fldCharType="separate"/>
      </w:r>
      <w:r>
        <w:rPr>
          <w:rFonts w:hint="default" w:ascii="Times New Roman" w:hAnsi="Times New Roman" w:eastAsia="宋体"/>
          <w:i w:val="0"/>
          <w:sz w:val="24"/>
          <w:szCs w:val="24"/>
        </w:rPr>
        <w:t xml:space="preserve">3.1.4 </w:t>
      </w:r>
      <w:r>
        <w:rPr>
          <w:rFonts w:hint="eastAsia"/>
          <w:sz w:val="24"/>
          <w:szCs w:val="24"/>
        </w:rPr>
        <w:t>应急救援办公室职责</w:t>
      </w:r>
      <w:r>
        <w:rPr>
          <w:sz w:val="24"/>
          <w:szCs w:val="24"/>
        </w:rPr>
        <w:tab/>
      </w:r>
      <w:r>
        <w:rPr>
          <w:sz w:val="24"/>
          <w:szCs w:val="24"/>
        </w:rPr>
        <w:fldChar w:fldCharType="begin"/>
      </w:r>
      <w:r>
        <w:rPr>
          <w:sz w:val="24"/>
          <w:szCs w:val="24"/>
        </w:rPr>
        <w:instrText xml:space="preserve"> PAGEREF _Toc25091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6"/>
        <w:tabs>
          <w:tab w:val="right" w:leader="dot" w:pos="9128"/>
        </w:tabs>
        <w:rPr>
          <w:sz w:val="24"/>
          <w:szCs w:val="24"/>
        </w:rPr>
      </w:pPr>
      <w:r>
        <w:rPr>
          <w:sz w:val="24"/>
          <w:szCs w:val="24"/>
        </w:rPr>
        <w:fldChar w:fldCharType="begin"/>
      </w:r>
      <w:r>
        <w:rPr>
          <w:sz w:val="24"/>
          <w:szCs w:val="24"/>
        </w:rPr>
        <w:instrText xml:space="preserve"> HYPERLINK \l _Toc16177 </w:instrText>
      </w:r>
      <w:r>
        <w:rPr>
          <w:sz w:val="24"/>
          <w:szCs w:val="24"/>
        </w:rPr>
        <w:fldChar w:fldCharType="separate"/>
      </w:r>
      <w:r>
        <w:rPr>
          <w:rFonts w:hint="default" w:ascii="Times New Roman" w:hAnsi="Times New Roman" w:eastAsia="宋体"/>
          <w:i w:val="0"/>
          <w:sz w:val="24"/>
          <w:szCs w:val="24"/>
        </w:rPr>
        <w:t xml:space="preserve">3.2 </w:t>
      </w:r>
      <w:r>
        <w:rPr>
          <w:rFonts w:hint="eastAsia"/>
          <w:sz w:val="24"/>
          <w:szCs w:val="24"/>
        </w:rPr>
        <w:t>外部救援人力资源</w:t>
      </w:r>
      <w:r>
        <w:rPr>
          <w:sz w:val="24"/>
          <w:szCs w:val="24"/>
        </w:rPr>
        <w:tab/>
      </w:r>
      <w:r>
        <w:rPr>
          <w:sz w:val="24"/>
          <w:szCs w:val="24"/>
        </w:rPr>
        <w:fldChar w:fldCharType="begin"/>
      </w:r>
      <w:r>
        <w:rPr>
          <w:sz w:val="24"/>
          <w:szCs w:val="24"/>
        </w:rPr>
        <w:instrText xml:space="preserve"> PAGEREF _Toc16177 </w:instrText>
      </w:r>
      <w:r>
        <w:rPr>
          <w:sz w:val="24"/>
          <w:szCs w:val="24"/>
        </w:rPr>
        <w:fldChar w:fldCharType="separate"/>
      </w:r>
      <w:r>
        <w:rPr>
          <w:sz w:val="24"/>
          <w:szCs w:val="24"/>
        </w:rPr>
        <w:t>10</w:t>
      </w:r>
      <w:r>
        <w:rPr>
          <w:sz w:val="24"/>
          <w:szCs w:val="24"/>
        </w:rPr>
        <w:fldChar w:fldCharType="end"/>
      </w:r>
      <w:r>
        <w:rPr>
          <w:sz w:val="24"/>
          <w:szCs w:val="24"/>
        </w:rPr>
        <w:fldChar w:fldCharType="end"/>
      </w:r>
    </w:p>
    <w:p>
      <w:pPr>
        <w:pStyle w:val="12"/>
        <w:tabs>
          <w:tab w:val="right" w:leader="dot" w:pos="9128"/>
        </w:tabs>
        <w:rPr>
          <w:sz w:val="24"/>
          <w:szCs w:val="24"/>
        </w:rPr>
      </w:pPr>
      <w:r>
        <w:rPr>
          <w:sz w:val="24"/>
          <w:szCs w:val="24"/>
        </w:rPr>
        <w:fldChar w:fldCharType="begin"/>
      </w:r>
      <w:r>
        <w:rPr>
          <w:sz w:val="24"/>
          <w:szCs w:val="24"/>
        </w:rPr>
        <w:instrText xml:space="preserve"> HYPERLINK \l _Toc14505 </w:instrText>
      </w:r>
      <w:r>
        <w:rPr>
          <w:sz w:val="24"/>
          <w:szCs w:val="24"/>
        </w:rPr>
        <w:fldChar w:fldCharType="separate"/>
      </w:r>
      <w:r>
        <w:rPr>
          <w:rFonts w:hint="default" w:ascii="Times New Roman" w:hAnsi="Times New Roman" w:eastAsia="宋体"/>
          <w:i w:val="0"/>
          <w:sz w:val="24"/>
          <w:szCs w:val="24"/>
        </w:rPr>
        <w:t xml:space="preserve">3.2.1 </w:t>
      </w:r>
      <w:r>
        <w:rPr>
          <w:rFonts w:hint="eastAsia"/>
          <w:sz w:val="24"/>
          <w:szCs w:val="24"/>
        </w:rPr>
        <w:t>政府协调应急救援力量</w:t>
      </w:r>
      <w:r>
        <w:rPr>
          <w:sz w:val="24"/>
          <w:szCs w:val="24"/>
        </w:rPr>
        <w:tab/>
      </w:r>
      <w:r>
        <w:rPr>
          <w:sz w:val="24"/>
          <w:szCs w:val="24"/>
        </w:rPr>
        <w:fldChar w:fldCharType="begin"/>
      </w:r>
      <w:r>
        <w:rPr>
          <w:sz w:val="24"/>
          <w:szCs w:val="24"/>
        </w:rPr>
        <w:instrText xml:space="preserve"> PAGEREF _Toc14505 </w:instrText>
      </w:r>
      <w:r>
        <w:rPr>
          <w:sz w:val="24"/>
          <w:szCs w:val="24"/>
        </w:rPr>
        <w:fldChar w:fldCharType="separate"/>
      </w:r>
      <w:r>
        <w:rPr>
          <w:sz w:val="24"/>
          <w:szCs w:val="24"/>
        </w:rPr>
        <w:t>10</w:t>
      </w:r>
      <w:r>
        <w:rPr>
          <w:sz w:val="24"/>
          <w:szCs w:val="24"/>
        </w:rPr>
        <w:fldChar w:fldCharType="end"/>
      </w:r>
      <w:r>
        <w:rPr>
          <w:sz w:val="24"/>
          <w:szCs w:val="24"/>
        </w:rPr>
        <w:fldChar w:fldCharType="end"/>
      </w:r>
    </w:p>
    <w:p>
      <w:pPr>
        <w:pStyle w:val="12"/>
        <w:tabs>
          <w:tab w:val="right" w:leader="dot" w:pos="9128"/>
        </w:tabs>
        <w:rPr>
          <w:sz w:val="24"/>
          <w:szCs w:val="24"/>
        </w:rPr>
      </w:pPr>
      <w:r>
        <w:rPr>
          <w:sz w:val="24"/>
          <w:szCs w:val="24"/>
        </w:rPr>
        <w:fldChar w:fldCharType="begin"/>
      </w:r>
      <w:r>
        <w:rPr>
          <w:sz w:val="24"/>
          <w:szCs w:val="24"/>
        </w:rPr>
        <w:instrText xml:space="preserve"> HYPERLINK \l _Toc26598 </w:instrText>
      </w:r>
      <w:r>
        <w:rPr>
          <w:sz w:val="24"/>
          <w:szCs w:val="24"/>
        </w:rPr>
        <w:fldChar w:fldCharType="separate"/>
      </w:r>
      <w:r>
        <w:rPr>
          <w:rFonts w:hint="default" w:ascii="Times New Roman" w:hAnsi="Times New Roman" w:eastAsia="宋体"/>
          <w:i w:val="0"/>
          <w:sz w:val="24"/>
          <w:szCs w:val="24"/>
        </w:rPr>
        <w:t xml:space="preserve">3.2.2 </w:t>
      </w:r>
      <w:r>
        <w:rPr>
          <w:rFonts w:hint="eastAsia"/>
          <w:sz w:val="24"/>
          <w:szCs w:val="24"/>
        </w:rPr>
        <w:t>单位互助</w:t>
      </w:r>
      <w:r>
        <w:rPr>
          <w:sz w:val="24"/>
          <w:szCs w:val="24"/>
        </w:rPr>
        <w:tab/>
      </w:r>
      <w:r>
        <w:rPr>
          <w:sz w:val="24"/>
          <w:szCs w:val="24"/>
        </w:rPr>
        <w:fldChar w:fldCharType="begin"/>
      </w:r>
      <w:r>
        <w:rPr>
          <w:sz w:val="24"/>
          <w:szCs w:val="24"/>
        </w:rPr>
        <w:instrText xml:space="preserve"> PAGEREF _Toc26598 </w:instrText>
      </w:r>
      <w:r>
        <w:rPr>
          <w:sz w:val="24"/>
          <w:szCs w:val="24"/>
        </w:rPr>
        <w:fldChar w:fldCharType="separate"/>
      </w:r>
      <w:r>
        <w:rPr>
          <w:sz w:val="24"/>
          <w:szCs w:val="24"/>
        </w:rPr>
        <w:t>11</w:t>
      </w:r>
      <w:r>
        <w:rPr>
          <w:sz w:val="24"/>
          <w:szCs w:val="24"/>
        </w:rPr>
        <w:fldChar w:fldCharType="end"/>
      </w:r>
      <w:r>
        <w:rPr>
          <w:sz w:val="24"/>
          <w:szCs w:val="24"/>
        </w:rPr>
        <w:fldChar w:fldCharType="end"/>
      </w:r>
    </w:p>
    <w:p>
      <w:pPr>
        <w:pStyle w:val="15"/>
        <w:tabs>
          <w:tab w:val="right" w:leader="dot" w:pos="9128"/>
        </w:tabs>
        <w:rPr>
          <w:sz w:val="24"/>
          <w:szCs w:val="24"/>
        </w:rPr>
      </w:pPr>
      <w:r>
        <w:rPr>
          <w:sz w:val="24"/>
          <w:szCs w:val="24"/>
        </w:rPr>
        <w:fldChar w:fldCharType="begin"/>
      </w:r>
      <w:r>
        <w:rPr>
          <w:sz w:val="24"/>
          <w:szCs w:val="24"/>
        </w:rPr>
        <w:instrText xml:space="preserve"> HYPERLINK \l _Toc23346 </w:instrText>
      </w:r>
      <w:r>
        <w:rPr>
          <w:sz w:val="24"/>
          <w:szCs w:val="24"/>
        </w:rPr>
        <w:fldChar w:fldCharType="separate"/>
      </w:r>
      <w:r>
        <w:rPr>
          <w:rFonts w:hint="default" w:ascii="Times New Roman" w:hAnsi="Times New Roman" w:eastAsia="宋体"/>
          <w:i w:val="0"/>
          <w:sz w:val="24"/>
          <w:szCs w:val="24"/>
        </w:rPr>
        <w:t xml:space="preserve">4 </w:t>
      </w:r>
      <w:r>
        <w:rPr>
          <w:rFonts w:hint="eastAsia"/>
          <w:sz w:val="24"/>
          <w:szCs w:val="24"/>
        </w:rPr>
        <w:t>环境应急设施装备调查</w:t>
      </w:r>
      <w:r>
        <w:rPr>
          <w:sz w:val="24"/>
          <w:szCs w:val="24"/>
        </w:rPr>
        <w:tab/>
      </w:r>
      <w:r>
        <w:rPr>
          <w:sz w:val="24"/>
          <w:szCs w:val="24"/>
        </w:rPr>
        <w:fldChar w:fldCharType="begin"/>
      </w:r>
      <w:r>
        <w:rPr>
          <w:sz w:val="24"/>
          <w:szCs w:val="24"/>
        </w:rPr>
        <w:instrText xml:space="preserve"> PAGEREF _Toc23346 </w:instrText>
      </w:r>
      <w:r>
        <w:rPr>
          <w:sz w:val="24"/>
          <w:szCs w:val="24"/>
        </w:rPr>
        <w:fldChar w:fldCharType="separate"/>
      </w:r>
      <w:r>
        <w:rPr>
          <w:sz w:val="24"/>
          <w:szCs w:val="24"/>
        </w:rPr>
        <w:t>12</w:t>
      </w:r>
      <w:r>
        <w:rPr>
          <w:sz w:val="24"/>
          <w:szCs w:val="24"/>
        </w:rPr>
        <w:fldChar w:fldCharType="end"/>
      </w:r>
      <w:r>
        <w:rPr>
          <w:sz w:val="24"/>
          <w:szCs w:val="24"/>
        </w:rPr>
        <w:fldChar w:fldCharType="end"/>
      </w:r>
    </w:p>
    <w:p>
      <w:pPr>
        <w:pStyle w:val="15"/>
        <w:tabs>
          <w:tab w:val="right" w:leader="dot" w:pos="9128"/>
        </w:tabs>
        <w:rPr>
          <w:sz w:val="24"/>
          <w:szCs w:val="24"/>
        </w:rPr>
      </w:pPr>
      <w:r>
        <w:rPr>
          <w:sz w:val="24"/>
          <w:szCs w:val="24"/>
        </w:rPr>
        <w:fldChar w:fldCharType="begin"/>
      </w:r>
      <w:r>
        <w:rPr>
          <w:sz w:val="24"/>
          <w:szCs w:val="24"/>
        </w:rPr>
        <w:instrText xml:space="preserve"> HYPERLINK \l _Toc17011 </w:instrText>
      </w:r>
      <w:r>
        <w:rPr>
          <w:sz w:val="24"/>
          <w:szCs w:val="24"/>
        </w:rPr>
        <w:fldChar w:fldCharType="separate"/>
      </w:r>
      <w:r>
        <w:rPr>
          <w:rFonts w:hint="default" w:ascii="Times New Roman" w:hAnsi="Times New Roman" w:eastAsia="宋体"/>
          <w:i w:val="0"/>
          <w:sz w:val="24"/>
          <w:szCs w:val="24"/>
        </w:rPr>
        <w:t xml:space="preserve">5 </w:t>
      </w:r>
      <w:r>
        <w:rPr>
          <w:rFonts w:hint="eastAsia"/>
          <w:sz w:val="24"/>
          <w:szCs w:val="24"/>
        </w:rPr>
        <w:t>环境应急专项经费调查</w:t>
      </w:r>
      <w:r>
        <w:rPr>
          <w:sz w:val="24"/>
          <w:szCs w:val="24"/>
        </w:rPr>
        <w:tab/>
      </w:r>
      <w:r>
        <w:rPr>
          <w:sz w:val="24"/>
          <w:szCs w:val="24"/>
        </w:rPr>
        <w:fldChar w:fldCharType="begin"/>
      </w:r>
      <w:r>
        <w:rPr>
          <w:sz w:val="24"/>
          <w:szCs w:val="24"/>
        </w:rPr>
        <w:instrText xml:space="preserve"> PAGEREF _Toc17011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5"/>
        <w:tabs>
          <w:tab w:val="right" w:leader="dot" w:pos="9128"/>
        </w:tabs>
        <w:rPr>
          <w:sz w:val="24"/>
          <w:szCs w:val="24"/>
        </w:rPr>
      </w:pPr>
      <w:r>
        <w:rPr>
          <w:sz w:val="24"/>
          <w:szCs w:val="24"/>
        </w:rPr>
        <w:fldChar w:fldCharType="begin"/>
      </w:r>
      <w:r>
        <w:rPr>
          <w:sz w:val="24"/>
          <w:szCs w:val="24"/>
        </w:rPr>
        <w:instrText xml:space="preserve"> HYPERLINK \l _Toc15535 </w:instrText>
      </w:r>
      <w:r>
        <w:rPr>
          <w:sz w:val="24"/>
          <w:szCs w:val="24"/>
        </w:rPr>
        <w:fldChar w:fldCharType="separate"/>
      </w:r>
      <w:r>
        <w:rPr>
          <w:rFonts w:hint="default" w:ascii="Times New Roman" w:hAnsi="Times New Roman" w:eastAsia="宋体"/>
          <w:i w:val="0"/>
          <w:sz w:val="24"/>
          <w:szCs w:val="24"/>
        </w:rPr>
        <w:t xml:space="preserve">6 </w:t>
      </w:r>
      <w:r>
        <w:rPr>
          <w:rFonts w:hint="eastAsia"/>
          <w:sz w:val="24"/>
          <w:szCs w:val="24"/>
        </w:rPr>
        <w:t>结论</w:t>
      </w:r>
      <w:r>
        <w:rPr>
          <w:sz w:val="24"/>
          <w:szCs w:val="24"/>
        </w:rPr>
        <w:tab/>
      </w:r>
      <w:r>
        <w:rPr>
          <w:sz w:val="24"/>
          <w:szCs w:val="24"/>
        </w:rPr>
        <w:fldChar w:fldCharType="begin"/>
      </w:r>
      <w:r>
        <w:rPr>
          <w:sz w:val="24"/>
          <w:szCs w:val="24"/>
        </w:rPr>
        <w:instrText xml:space="preserve"> PAGEREF _Toc15535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6"/>
        <w:tabs>
          <w:tab w:val="right" w:leader="dot" w:pos="9128"/>
        </w:tabs>
        <w:rPr>
          <w:sz w:val="24"/>
          <w:szCs w:val="24"/>
        </w:rPr>
      </w:pPr>
      <w:r>
        <w:rPr>
          <w:sz w:val="24"/>
          <w:szCs w:val="24"/>
        </w:rPr>
        <w:fldChar w:fldCharType="begin"/>
      </w:r>
      <w:r>
        <w:rPr>
          <w:sz w:val="24"/>
          <w:szCs w:val="24"/>
        </w:rPr>
        <w:instrText xml:space="preserve"> HYPERLINK \l _Toc9139 </w:instrText>
      </w:r>
      <w:r>
        <w:rPr>
          <w:sz w:val="24"/>
          <w:szCs w:val="24"/>
        </w:rPr>
        <w:fldChar w:fldCharType="separate"/>
      </w:r>
      <w:r>
        <w:rPr>
          <w:rFonts w:hint="default" w:ascii="Times New Roman" w:hAnsi="Times New Roman" w:eastAsia="宋体"/>
          <w:i w:val="0"/>
          <w:sz w:val="24"/>
          <w:szCs w:val="24"/>
        </w:rPr>
        <w:t xml:space="preserve">6.1 </w:t>
      </w:r>
      <w:r>
        <w:rPr>
          <w:rFonts w:hint="eastAsia"/>
          <w:sz w:val="24"/>
          <w:szCs w:val="24"/>
        </w:rPr>
        <w:t>现状</w:t>
      </w:r>
      <w:r>
        <w:rPr>
          <w:sz w:val="24"/>
          <w:szCs w:val="24"/>
        </w:rPr>
        <w:tab/>
      </w:r>
      <w:r>
        <w:rPr>
          <w:sz w:val="24"/>
          <w:szCs w:val="24"/>
        </w:rPr>
        <w:fldChar w:fldCharType="begin"/>
      </w:r>
      <w:r>
        <w:rPr>
          <w:sz w:val="24"/>
          <w:szCs w:val="24"/>
        </w:rPr>
        <w:instrText xml:space="preserve"> PAGEREF _Toc9139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6"/>
        <w:tabs>
          <w:tab w:val="right" w:leader="dot" w:pos="9128"/>
        </w:tabs>
        <w:rPr>
          <w:sz w:val="24"/>
          <w:szCs w:val="24"/>
        </w:rPr>
      </w:pPr>
      <w:r>
        <w:rPr>
          <w:sz w:val="24"/>
          <w:szCs w:val="24"/>
        </w:rPr>
        <w:fldChar w:fldCharType="begin"/>
      </w:r>
      <w:r>
        <w:rPr>
          <w:sz w:val="24"/>
          <w:szCs w:val="24"/>
        </w:rPr>
        <w:instrText xml:space="preserve"> HYPERLINK \l _Toc31858 </w:instrText>
      </w:r>
      <w:r>
        <w:rPr>
          <w:sz w:val="24"/>
          <w:szCs w:val="24"/>
        </w:rPr>
        <w:fldChar w:fldCharType="separate"/>
      </w:r>
      <w:r>
        <w:rPr>
          <w:rFonts w:hint="default" w:ascii="Times New Roman" w:hAnsi="Times New Roman" w:eastAsia="宋体"/>
          <w:i w:val="0"/>
          <w:sz w:val="24"/>
          <w:szCs w:val="24"/>
        </w:rPr>
        <w:t xml:space="preserve">6.2 </w:t>
      </w:r>
      <w:r>
        <w:rPr>
          <w:rFonts w:hint="eastAsia"/>
          <w:sz w:val="24"/>
          <w:szCs w:val="24"/>
        </w:rPr>
        <w:t>存在问题</w:t>
      </w:r>
      <w:r>
        <w:rPr>
          <w:sz w:val="24"/>
          <w:szCs w:val="24"/>
        </w:rPr>
        <w:tab/>
      </w:r>
      <w:r>
        <w:rPr>
          <w:sz w:val="24"/>
          <w:szCs w:val="24"/>
        </w:rPr>
        <w:fldChar w:fldCharType="begin"/>
      </w:r>
      <w:r>
        <w:rPr>
          <w:sz w:val="24"/>
          <w:szCs w:val="24"/>
        </w:rPr>
        <w:instrText xml:space="preserve"> PAGEREF _Toc31858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6"/>
        <w:tabs>
          <w:tab w:val="right" w:leader="dot" w:pos="9128"/>
        </w:tabs>
        <w:rPr>
          <w:sz w:val="24"/>
          <w:szCs w:val="24"/>
        </w:rPr>
      </w:pPr>
      <w:r>
        <w:rPr>
          <w:sz w:val="24"/>
          <w:szCs w:val="24"/>
        </w:rPr>
        <w:fldChar w:fldCharType="begin"/>
      </w:r>
      <w:r>
        <w:rPr>
          <w:sz w:val="24"/>
          <w:szCs w:val="24"/>
        </w:rPr>
        <w:instrText xml:space="preserve"> HYPERLINK \l _Toc23556 </w:instrText>
      </w:r>
      <w:r>
        <w:rPr>
          <w:sz w:val="24"/>
          <w:szCs w:val="24"/>
        </w:rPr>
        <w:fldChar w:fldCharType="separate"/>
      </w:r>
      <w:r>
        <w:rPr>
          <w:rFonts w:hint="default" w:ascii="Times New Roman" w:hAnsi="Times New Roman" w:eastAsia="宋体"/>
          <w:i w:val="0"/>
          <w:sz w:val="24"/>
          <w:szCs w:val="24"/>
        </w:rPr>
        <w:t xml:space="preserve">6.3 </w:t>
      </w:r>
      <w:r>
        <w:rPr>
          <w:rFonts w:hint="eastAsia"/>
          <w:sz w:val="24"/>
          <w:szCs w:val="24"/>
          <w:lang w:eastAsia="zh-CN"/>
        </w:rPr>
        <w:t>建议</w:t>
      </w:r>
      <w:r>
        <w:rPr>
          <w:sz w:val="24"/>
          <w:szCs w:val="24"/>
        </w:rPr>
        <w:tab/>
      </w:r>
      <w:r>
        <w:rPr>
          <w:sz w:val="24"/>
          <w:szCs w:val="24"/>
        </w:rPr>
        <w:fldChar w:fldCharType="begin"/>
      </w:r>
      <w:r>
        <w:rPr>
          <w:sz w:val="24"/>
          <w:szCs w:val="24"/>
        </w:rPr>
        <w:instrText xml:space="preserve"> PAGEREF _Toc23556 </w:instrText>
      </w:r>
      <w:r>
        <w:rPr>
          <w:sz w:val="24"/>
          <w:szCs w:val="24"/>
        </w:rPr>
        <w:fldChar w:fldCharType="separate"/>
      </w:r>
      <w:r>
        <w:rPr>
          <w:sz w:val="24"/>
          <w:szCs w:val="24"/>
        </w:rPr>
        <w:t>16</w:t>
      </w:r>
      <w:r>
        <w:rPr>
          <w:sz w:val="24"/>
          <w:szCs w:val="24"/>
        </w:rPr>
        <w:fldChar w:fldCharType="end"/>
      </w:r>
      <w:r>
        <w:rPr>
          <w:sz w:val="24"/>
          <w:szCs w:val="24"/>
        </w:rPr>
        <w:fldChar w:fldCharType="end"/>
      </w:r>
    </w:p>
    <w:p>
      <w:pPr>
        <w:widowControl/>
        <w:spacing w:line="240" w:lineRule="auto"/>
        <w:ind w:firstLine="0" w:firstLineChars="0"/>
        <w:rPr>
          <w:sz w:val="24"/>
          <w:szCs w:val="24"/>
        </w:rPr>
      </w:pPr>
      <w:r>
        <w:rPr>
          <w:sz w:val="24"/>
          <w:szCs w:val="24"/>
        </w:rPr>
        <w:fldChar w:fldCharType="end"/>
      </w:r>
    </w:p>
    <w:p>
      <w:pPr>
        <w:widowControl/>
        <w:spacing w:line="240" w:lineRule="auto"/>
        <w:ind w:firstLine="0" w:firstLineChars="0"/>
        <w:jc w:val="center"/>
        <w:rPr>
          <w:sz w:val="24"/>
          <w:szCs w:val="24"/>
        </w:rPr>
        <w:sectPr>
          <w:pgSz w:w="11906" w:h="16838"/>
          <w:pgMar w:top="1304" w:right="1247" w:bottom="1304" w:left="1531" w:header="851" w:footer="851" w:gutter="0"/>
          <w:cols w:space="425" w:num="1"/>
          <w:docGrid w:type="lines" w:linePitch="312" w:charSpace="0"/>
        </w:sectPr>
      </w:pPr>
    </w:p>
    <w:p>
      <w:pPr>
        <w:pStyle w:val="3"/>
      </w:pPr>
      <w:bookmarkStart w:id="0" w:name="_Toc21186"/>
      <w:bookmarkStart w:id="1" w:name="_Toc526520639"/>
      <w:bookmarkStart w:id="2" w:name="_Toc527064028"/>
      <w:r>
        <w:rPr>
          <w:rFonts w:hint="eastAsia"/>
        </w:rPr>
        <w:t>编制目的</w:t>
      </w:r>
      <w:bookmarkEnd w:id="0"/>
      <w:bookmarkEnd w:id="1"/>
      <w:bookmarkEnd w:id="2"/>
    </w:p>
    <w:p>
      <w:pPr>
        <w:ind w:firstLine="560"/>
      </w:pPr>
      <w:r>
        <w:rPr>
          <w:rFonts w:hint="eastAsia"/>
        </w:rPr>
        <w:t>突发性环境污染事件是威胁人类健康、破坏生态环境的重要因素，其危害直接或间接影响着生态平衡和经济、社会的发展。</w:t>
      </w:r>
      <w:r>
        <w:rPr>
          <w:rFonts w:hint="eastAsia"/>
          <w:lang w:eastAsia="zh-CN"/>
        </w:rPr>
        <w:t>因此</w:t>
      </w:r>
      <w:r>
        <w:rPr>
          <w:rFonts w:hint="eastAsia"/>
        </w:rPr>
        <w:t>企事业单位</w:t>
      </w:r>
      <w:r>
        <w:rPr>
          <w:rFonts w:hint="eastAsia"/>
          <w:lang w:eastAsia="zh-CN"/>
        </w:rPr>
        <w:t>迫切需要</w:t>
      </w:r>
      <w:r>
        <w:rPr>
          <w:rFonts w:hint="eastAsia"/>
        </w:rPr>
        <w:t>做好突发性环境污染事件的预防，提高预防、减缓、处置突发性环境污染事故处置的应急能力。</w:t>
      </w:r>
    </w:p>
    <w:p>
      <w:pPr>
        <w:ind w:firstLine="560"/>
        <w:rPr>
          <w:rFonts w:hint="eastAsia" w:eastAsia="宋体"/>
          <w:lang w:eastAsia="zh-CN"/>
        </w:rPr>
      </w:pPr>
      <w:r>
        <w:rPr>
          <w:rFonts w:hint="eastAsia"/>
        </w:rPr>
        <w:t>为了预防和减少突发环境事件的发生，控制、减轻和消除突发事件引起的严重社会危害，规范突发事件应对活动，保护人民生命财产安全，维护国家安全、公共安全、环境安全和社会秩序。公司建立突发环境事件应急预案救援体系，组织及时有效的应急救援行动，抵御事故风险或控制灾害蔓延、降低危害后果</w:t>
      </w:r>
      <w:r>
        <w:rPr>
          <w:rFonts w:hint="eastAsia"/>
          <w:lang w:eastAsia="zh-CN"/>
        </w:rPr>
        <w:t>。</w:t>
      </w:r>
    </w:p>
    <w:p>
      <w:pPr>
        <w:ind w:firstLine="560"/>
      </w:pPr>
      <w:r>
        <w:rPr>
          <w:rFonts w:hint="eastAsia"/>
        </w:rPr>
        <w:t>应急资源是突发环境事件应急处置的基础。目前大部分企业自身应急资源不足以应对各类突发环境事件，若不开展应急资源调查，则无法对应急人力、财力、装备进行科学地调配和引进。为掌握公司的应急资源，促进公司科学地调配和引进应急人力、财力及装备，特开展应急资源调查，编制环境应急资源调查报告。</w:t>
      </w:r>
    </w:p>
    <w:p>
      <w:pPr>
        <w:ind w:firstLine="560"/>
        <w:sectPr>
          <w:headerReference r:id="rId11" w:type="default"/>
          <w:footerReference r:id="rId12" w:type="default"/>
          <w:pgSz w:w="11906" w:h="16838"/>
          <w:pgMar w:top="1304" w:right="1247" w:bottom="1304" w:left="1531" w:header="851" w:footer="851" w:gutter="0"/>
          <w:pgNumType w:fmt="decimal" w:start="1"/>
          <w:cols w:space="425" w:num="1"/>
          <w:docGrid w:type="lines" w:linePitch="312" w:charSpace="0"/>
        </w:sectPr>
      </w:pPr>
      <w:r>
        <w:rPr>
          <w:rFonts w:hint="eastAsia"/>
          <w:color w:val="000000" w:themeColor="text1"/>
          <w:lang w:eastAsia="zh-CN"/>
          <w14:textFill>
            <w14:solidFill>
              <w14:schemeClr w14:val="tx1"/>
            </w14:solidFill>
          </w14:textFill>
        </w:rPr>
        <w:t>为此，南昌慧华高科混凝土有限公司</w:t>
      </w:r>
      <w:r>
        <w:rPr>
          <w:rFonts w:hint="eastAsia"/>
          <w:color w:val="000000" w:themeColor="text1"/>
          <w14:textFill>
            <w14:solidFill>
              <w14:schemeClr w14:val="tx1"/>
            </w14:solidFill>
          </w14:textFill>
        </w:rPr>
        <w:t>积极采取自</w:t>
      </w:r>
      <w:r>
        <w:rPr>
          <w:rFonts w:hint="eastAsia"/>
        </w:rPr>
        <w:t>查自纠措施，对厂区使用的原辅材料、“三废”污染物及生产设施进行了风险识别及隐患排查，统计了厂区现有应急物资与装备，并针对厂区需要完善和补充的物资进行核算，在此基础上，编制完</w:t>
      </w:r>
      <w:r>
        <w:rPr>
          <w:rFonts w:hint="eastAsia"/>
          <w:color w:val="000000" w:themeColor="text1"/>
          <w14:textFill>
            <w14:solidFill>
              <w14:schemeClr w14:val="tx1"/>
            </w14:solidFill>
          </w14:textFill>
        </w:rPr>
        <w:t>成了《</w:t>
      </w:r>
      <w:r>
        <w:rPr>
          <w:rFonts w:hint="eastAsia"/>
          <w:color w:val="000000" w:themeColor="text1"/>
          <w:lang w:eastAsia="zh-CN"/>
          <w14:textFill>
            <w14:solidFill>
              <w14:schemeClr w14:val="tx1"/>
            </w14:solidFill>
          </w14:textFill>
        </w:rPr>
        <w:t>南昌慧华高科混凝土有限公司</w:t>
      </w:r>
      <w:r>
        <w:rPr>
          <w:rFonts w:hint="eastAsia"/>
          <w:color w:val="000000" w:themeColor="text1"/>
          <w14:textFill>
            <w14:solidFill>
              <w14:schemeClr w14:val="tx1"/>
            </w14:solidFill>
          </w14:textFill>
        </w:rPr>
        <w:t>环境应急资源调查报告》。</w:t>
      </w:r>
    </w:p>
    <w:p>
      <w:pPr>
        <w:pStyle w:val="3"/>
      </w:pPr>
      <w:bookmarkStart w:id="3" w:name="_Toc526520640"/>
      <w:bookmarkStart w:id="4" w:name="_Toc527064029"/>
      <w:bookmarkStart w:id="5" w:name="_Toc1982"/>
      <w:r>
        <w:rPr>
          <w:rFonts w:hint="eastAsia"/>
        </w:rPr>
        <w:t>突发环境事件类型及所需应急资源配置</w:t>
      </w:r>
      <w:bookmarkEnd w:id="3"/>
      <w:bookmarkEnd w:id="4"/>
      <w:bookmarkEnd w:id="5"/>
    </w:p>
    <w:p>
      <w:pPr>
        <w:pStyle w:val="4"/>
        <w:rPr>
          <w:sz w:val="24"/>
          <w:szCs w:val="24"/>
        </w:rPr>
      </w:pPr>
      <w:bookmarkStart w:id="6" w:name="_Toc527064030"/>
      <w:bookmarkStart w:id="7" w:name="_Toc526520641"/>
      <w:bookmarkStart w:id="8" w:name="_Toc9341"/>
      <w:r>
        <w:rPr>
          <w:rFonts w:hint="eastAsia"/>
          <w:sz w:val="24"/>
          <w:szCs w:val="24"/>
        </w:rPr>
        <w:t>环境风险物质及环境风险源</w:t>
      </w:r>
      <w:bookmarkEnd w:id="6"/>
      <w:bookmarkEnd w:id="7"/>
      <w:bookmarkEnd w:id="8"/>
    </w:p>
    <w:p>
      <w:pPr>
        <w:ind w:firstLine="56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厂区内涉及的环境风险物质</w:t>
      </w:r>
      <w:r>
        <w:rPr>
          <w:rFonts w:hint="eastAsia"/>
          <w:color w:val="000000" w:themeColor="text1"/>
          <w:sz w:val="24"/>
          <w:szCs w:val="24"/>
          <w:lang w:eastAsia="zh-CN"/>
          <w14:textFill>
            <w14:solidFill>
              <w14:schemeClr w14:val="tx1"/>
            </w14:solidFill>
          </w14:textFill>
        </w:rPr>
        <w:t>主要为</w:t>
      </w:r>
      <w:r>
        <w:rPr>
          <w:rFonts w:hint="eastAsia"/>
          <w:sz w:val="24"/>
          <w:szCs w:val="24"/>
          <w:lang w:eastAsia="zh-CN"/>
        </w:rPr>
        <w:t>废矿物油</w:t>
      </w:r>
      <w:r>
        <w:rPr>
          <w:rFonts w:hint="eastAsia"/>
          <w:sz w:val="24"/>
          <w:szCs w:val="24"/>
        </w:rPr>
        <w:t>泄漏</w:t>
      </w:r>
      <w:r>
        <w:rPr>
          <w:rFonts w:hint="eastAsia"/>
          <w:sz w:val="24"/>
          <w:szCs w:val="24"/>
          <w:lang w:eastAsia="zh-CN"/>
        </w:rPr>
        <w:t>事故、沉淀池泄漏事故、火灾爆炸</w:t>
      </w:r>
      <w:r>
        <w:rPr>
          <w:rFonts w:hint="eastAsia"/>
          <w:sz w:val="24"/>
          <w:szCs w:val="24"/>
        </w:rPr>
        <w:t>事故、废气排放事故</w:t>
      </w:r>
      <w:r>
        <w:rPr>
          <w:rFonts w:hint="eastAsia"/>
          <w:color w:val="000000" w:themeColor="text1"/>
          <w:sz w:val="24"/>
          <w:szCs w:val="24"/>
          <w14:textFill>
            <w14:solidFill>
              <w14:schemeClr w14:val="tx1"/>
            </w14:solidFill>
          </w14:textFill>
        </w:rPr>
        <w:t>。</w:t>
      </w:r>
    </w:p>
    <w:p>
      <w:pPr>
        <w:pStyle w:val="4"/>
        <w:rPr>
          <w:color w:val="000000" w:themeColor="text1"/>
          <w:sz w:val="24"/>
          <w:szCs w:val="24"/>
          <w14:textFill>
            <w14:solidFill>
              <w14:schemeClr w14:val="tx1"/>
            </w14:solidFill>
          </w14:textFill>
        </w:rPr>
      </w:pPr>
      <w:bookmarkStart w:id="9" w:name="_Toc4693"/>
      <w:bookmarkStart w:id="10" w:name="_Toc527064031"/>
      <w:bookmarkStart w:id="11" w:name="_Toc526520642"/>
      <w:r>
        <w:rPr>
          <w:rFonts w:hint="eastAsia"/>
          <w:color w:val="000000" w:themeColor="text1"/>
          <w:sz w:val="24"/>
          <w:szCs w:val="24"/>
          <w14:textFill>
            <w14:solidFill>
              <w14:schemeClr w14:val="tx1"/>
            </w14:solidFill>
          </w14:textFill>
        </w:rPr>
        <w:t>突发环境事件类型及扩散途径</w:t>
      </w:r>
      <w:bookmarkEnd w:id="9"/>
      <w:bookmarkEnd w:id="10"/>
      <w:bookmarkEnd w:id="11"/>
    </w:p>
    <w:p>
      <w:pPr>
        <w:ind w:firstLine="560"/>
        <w:rPr>
          <w:sz w:val="24"/>
          <w:szCs w:val="24"/>
        </w:rPr>
      </w:pPr>
      <w:r>
        <w:rPr>
          <w:rFonts w:hint="eastAsia"/>
          <w:color w:val="000000" w:themeColor="text1"/>
          <w:sz w:val="24"/>
          <w:szCs w:val="24"/>
          <w14:textFill>
            <w14:solidFill>
              <w14:schemeClr w14:val="tx1"/>
            </w14:solidFill>
          </w14:textFill>
        </w:rPr>
        <w:t>《</w:t>
      </w:r>
      <w:r>
        <w:rPr>
          <w:rFonts w:hint="eastAsia"/>
          <w:color w:val="000000" w:themeColor="text1"/>
          <w:sz w:val="24"/>
          <w:szCs w:val="24"/>
          <w:lang w:eastAsia="zh-CN"/>
          <w14:textFill>
            <w14:solidFill>
              <w14:schemeClr w14:val="tx1"/>
            </w14:solidFill>
          </w14:textFill>
        </w:rPr>
        <w:t>南昌慧华高科混凝土有限公司</w:t>
      </w:r>
      <w:r>
        <w:rPr>
          <w:rFonts w:hint="eastAsia"/>
          <w:color w:val="000000" w:themeColor="text1"/>
          <w:sz w:val="24"/>
          <w:szCs w:val="24"/>
          <w14:textFill>
            <w14:solidFill>
              <w14:schemeClr w14:val="tx1"/>
            </w14:solidFill>
          </w14:textFill>
        </w:rPr>
        <w:t>环境风险评估报告》</w:t>
      </w:r>
      <w:r>
        <w:rPr>
          <w:rFonts w:hint="eastAsia"/>
          <w:sz w:val="24"/>
          <w:szCs w:val="24"/>
        </w:rPr>
        <w:t>列出了厂区内可能发生的突发环境事件类型、最坏情景及扩散途径。</w:t>
      </w:r>
    </w:p>
    <w:p>
      <w:pPr>
        <w:ind w:firstLine="560"/>
        <w:rPr>
          <w:rFonts w:hint="eastAsia" w:eastAsia="宋体"/>
          <w:sz w:val="24"/>
          <w:szCs w:val="24"/>
          <w:lang w:eastAsia="zh-CN"/>
        </w:rPr>
      </w:pPr>
      <w:r>
        <w:rPr>
          <w:rFonts w:hint="eastAsia"/>
          <w:sz w:val="24"/>
          <w:szCs w:val="24"/>
        </w:rPr>
        <w:t>可能发生的突发环境事件包括：</w:t>
      </w:r>
      <w:r>
        <w:rPr>
          <w:rFonts w:hint="eastAsia"/>
          <w:sz w:val="24"/>
          <w:szCs w:val="24"/>
          <w:lang w:eastAsia="zh-CN"/>
        </w:rPr>
        <w:t>废矿物油</w:t>
      </w:r>
      <w:r>
        <w:rPr>
          <w:rFonts w:hint="eastAsia"/>
          <w:sz w:val="24"/>
          <w:szCs w:val="24"/>
        </w:rPr>
        <w:t>泄漏</w:t>
      </w:r>
      <w:r>
        <w:rPr>
          <w:rFonts w:hint="eastAsia"/>
          <w:sz w:val="24"/>
          <w:szCs w:val="24"/>
          <w:lang w:eastAsia="zh-CN"/>
        </w:rPr>
        <w:t>事故、沉淀池泄漏事故、火灾爆炸</w:t>
      </w:r>
      <w:r>
        <w:rPr>
          <w:rFonts w:hint="eastAsia"/>
          <w:sz w:val="24"/>
          <w:szCs w:val="24"/>
        </w:rPr>
        <w:t>事故、废气排放事故</w:t>
      </w:r>
      <w:r>
        <w:rPr>
          <w:rFonts w:hint="eastAsia"/>
          <w:sz w:val="24"/>
          <w:szCs w:val="24"/>
          <w:lang w:eastAsia="zh-CN"/>
        </w:rPr>
        <w:t>。</w:t>
      </w:r>
    </w:p>
    <w:p>
      <w:pPr>
        <w:pStyle w:val="5"/>
        <w:rPr>
          <w:color w:val="auto"/>
          <w:sz w:val="24"/>
          <w:szCs w:val="24"/>
        </w:rPr>
      </w:pPr>
      <w:bookmarkStart w:id="12" w:name="_Toc526520643"/>
      <w:bookmarkStart w:id="13" w:name="_Toc22275"/>
      <w:bookmarkStart w:id="14" w:name="_Toc527064032"/>
      <w:r>
        <w:rPr>
          <w:rFonts w:hint="eastAsia"/>
          <w:color w:val="auto"/>
          <w:sz w:val="24"/>
          <w:szCs w:val="24"/>
          <w:lang w:eastAsia="zh-CN"/>
        </w:rPr>
        <w:t>矿物油泄漏</w:t>
      </w:r>
    </w:p>
    <w:p>
      <w:pPr>
        <w:ind w:firstLine="560"/>
        <w:rPr>
          <w:rFonts w:hint="default" w:eastAsia="宋体"/>
          <w:sz w:val="24"/>
          <w:szCs w:val="24"/>
          <w:vertAlign w:val="baseline"/>
          <w:lang w:val="en-US" w:eastAsia="zh-CN"/>
        </w:rPr>
      </w:pPr>
      <w:r>
        <w:rPr>
          <w:rFonts w:hint="eastAsia"/>
          <w:sz w:val="24"/>
          <w:szCs w:val="24"/>
          <w:lang w:eastAsia="zh-CN"/>
        </w:rPr>
        <w:t>设备油箱破裂，矿物油</w:t>
      </w:r>
      <w:r>
        <w:rPr>
          <w:rFonts w:hint="eastAsia" w:ascii="Times New Roman" w:hAnsi="Times New Roman"/>
          <w:sz w:val="24"/>
          <w:szCs w:val="24"/>
          <w:lang w:eastAsia="zh-CN"/>
        </w:rPr>
        <w:t>泄漏</w:t>
      </w:r>
      <w:r>
        <w:rPr>
          <w:rFonts w:hint="eastAsia"/>
          <w:sz w:val="24"/>
          <w:szCs w:val="24"/>
          <w:lang w:eastAsia="zh-CN"/>
        </w:rPr>
        <w:t>。</w:t>
      </w:r>
    </w:p>
    <w:p>
      <w:pPr>
        <w:pStyle w:val="5"/>
        <w:rPr>
          <w:rFonts w:hint="eastAsia"/>
          <w:color w:val="auto"/>
          <w:sz w:val="24"/>
          <w:szCs w:val="24"/>
          <w:lang w:eastAsia="zh-CN"/>
        </w:rPr>
      </w:pPr>
      <w:r>
        <w:rPr>
          <w:rFonts w:hint="eastAsia"/>
          <w:color w:val="auto"/>
          <w:sz w:val="24"/>
          <w:szCs w:val="24"/>
          <w:lang w:eastAsia="zh-CN"/>
        </w:rPr>
        <w:t>沉淀池泄漏</w:t>
      </w:r>
    </w:p>
    <w:p>
      <w:pPr>
        <w:pStyle w:val="6"/>
        <w:rPr>
          <w:rFonts w:hint="eastAsia"/>
          <w:lang w:eastAsia="zh-CN"/>
        </w:rPr>
      </w:pPr>
      <w:r>
        <w:rPr>
          <w:rFonts w:hint="eastAsia"/>
          <w:color w:val="auto"/>
          <w:sz w:val="24"/>
          <w:szCs w:val="24"/>
          <w:lang w:eastAsia="zh-CN"/>
        </w:rPr>
        <w:t>沉淀池破损或防渗层损坏，污水泄漏，导致地表水污染，地下水污染。</w:t>
      </w:r>
    </w:p>
    <w:p>
      <w:pPr>
        <w:pStyle w:val="5"/>
        <w:rPr>
          <w:rFonts w:hint="eastAsia"/>
          <w:color w:val="auto"/>
          <w:sz w:val="24"/>
          <w:szCs w:val="24"/>
          <w:lang w:eastAsia="zh-CN"/>
        </w:rPr>
      </w:pPr>
      <w:r>
        <w:rPr>
          <w:rFonts w:hint="eastAsia"/>
          <w:color w:val="auto"/>
          <w:sz w:val="24"/>
          <w:szCs w:val="24"/>
          <w:lang w:eastAsia="zh-CN"/>
        </w:rPr>
        <w:t>废气排放事故</w:t>
      </w:r>
    </w:p>
    <w:p>
      <w:pPr>
        <w:ind w:firstLine="560"/>
        <w:rPr>
          <w:rFonts w:hint="eastAsia"/>
          <w:color w:val="auto"/>
          <w:sz w:val="24"/>
          <w:szCs w:val="24"/>
          <w:lang w:eastAsia="zh-CN"/>
        </w:rPr>
      </w:pPr>
      <w:r>
        <w:rPr>
          <w:rFonts w:hint="eastAsia"/>
          <w:color w:val="auto"/>
          <w:sz w:val="24"/>
          <w:szCs w:val="24"/>
          <w:lang w:val="en-US" w:eastAsia="zh-CN"/>
        </w:rPr>
        <w:t>全厂正常情况下，下风向粉尘经监测浓度值未超标；事故情况下，全厂粉尘会大大增加，对</w:t>
      </w:r>
      <w:r>
        <w:rPr>
          <w:rFonts w:hint="eastAsia" w:cs="Times New Roman"/>
          <w:color w:val="000000"/>
          <w:kern w:val="0"/>
          <w:sz w:val="24"/>
          <w:szCs w:val="24"/>
          <w:lang w:val="en-US" w:eastAsia="zh-CN" w:bidi="ar-SA"/>
        </w:rPr>
        <w:t>厚溪陈家</w:t>
      </w:r>
      <w:r>
        <w:rPr>
          <w:rFonts w:hint="eastAsia"/>
          <w:sz w:val="24"/>
          <w:szCs w:val="24"/>
          <w:lang w:val="en-US" w:eastAsia="zh-CN"/>
        </w:rPr>
        <w:t>、东华理工大学的</w:t>
      </w:r>
      <w:r>
        <w:rPr>
          <w:rFonts w:hint="eastAsia"/>
          <w:color w:val="auto"/>
          <w:sz w:val="24"/>
          <w:szCs w:val="24"/>
          <w:lang w:val="en-US" w:eastAsia="zh-CN"/>
        </w:rPr>
        <w:t>环境空气产生不利的影响。</w:t>
      </w:r>
    </w:p>
    <w:p>
      <w:pPr>
        <w:pStyle w:val="5"/>
        <w:rPr>
          <w:rFonts w:hint="eastAsia"/>
          <w:color w:val="auto"/>
          <w:sz w:val="24"/>
          <w:szCs w:val="24"/>
          <w:lang w:eastAsia="zh-CN"/>
        </w:rPr>
      </w:pPr>
      <w:r>
        <w:rPr>
          <w:rFonts w:hint="eastAsia"/>
          <w:color w:val="auto"/>
          <w:sz w:val="24"/>
          <w:szCs w:val="24"/>
          <w:lang w:eastAsia="zh-CN"/>
        </w:rPr>
        <w:t>火灾爆炸事故</w:t>
      </w:r>
    </w:p>
    <w:p>
      <w:pPr>
        <w:pStyle w:val="6"/>
        <w:rPr>
          <w:rFonts w:hint="eastAsia" w:eastAsia="宋体"/>
          <w:lang w:eastAsia="zh-CN"/>
        </w:rPr>
      </w:pPr>
      <w:r>
        <w:rPr>
          <w:rFonts w:hint="eastAsia"/>
          <w:sz w:val="24"/>
          <w:szCs w:val="24"/>
          <w:lang w:eastAsia="zh-CN"/>
        </w:rPr>
        <w:t>厂内粉尘静电磨擦和除尘器滤袋摩擦，都</w:t>
      </w:r>
      <w:r>
        <w:rPr>
          <w:rFonts w:hint="eastAsia"/>
          <w:sz w:val="24"/>
          <w:szCs w:val="24"/>
        </w:rPr>
        <w:t>可能发生火灾</w:t>
      </w:r>
      <w:r>
        <w:rPr>
          <w:rFonts w:hint="eastAsia"/>
          <w:sz w:val="24"/>
          <w:szCs w:val="24"/>
          <w:lang w:eastAsia="zh-CN"/>
        </w:rPr>
        <w:t>。</w:t>
      </w:r>
    </w:p>
    <w:p>
      <w:pPr>
        <w:pStyle w:val="4"/>
      </w:pPr>
      <w:r>
        <w:rPr>
          <w:rFonts w:hint="eastAsia"/>
        </w:rPr>
        <w:t>所需应急资源配置</w:t>
      </w:r>
      <w:bookmarkEnd w:id="12"/>
      <w:bookmarkEnd w:id="13"/>
      <w:bookmarkEnd w:id="14"/>
    </w:p>
    <w:p>
      <w:pPr>
        <w:ind w:firstLine="560"/>
        <w:rPr>
          <w:sz w:val="24"/>
          <w:szCs w:val="24"/>
        </w:rPr>
        <w:sectPr>
          <w:pgSz w:w="11906" w:h="16838"/>
          <w:pgMar w:top="1304" w:right="1247" w:bottom="1304" w:left="1531" w:header="851" w:footer="851" w:gutter="0"/>
          <w:pgNumType w:fmt="decimal"/>
          <w:cols w:space="425" w:num="1"/>
          <w:docGrid w:type="lines" w:linePitch="312" w:charSpace="0"/>
        </w:sectPr>
      </w:pPr>
      <w:r>
        <w:rPr>
          <w:rFonts w:hint="eastAsia"/>
          <w:sz w:val="24"/>
          <w:szCs w:val="24"/>
        </w:rPr>
        <w:t>针对可能发生的事故情况，企业需要配备相应的应急资源，包括能迅速、有序、高效地开展应急处置的应急救援队伍以及可以第一时间使用的、有效的应急物资和应急装</w:t>
      </w:r>
      <w:r>
        <w:rPr>
          <w:rFonts w:hint="eastAsia"/>
          <w:color w:val="000000" w:themeColor="text1"/>
          <w:sz w:val="24"/>
          <w:szCs w:val="24"/>
          <w14:textFill>
            <w14:solidFill>
              <w14:schemeClr w14:val="tx1"/>
            </w14:solidFill>
          </w14:textFill>
        </w:rPr>
        <w:t>备。应急救援队伍在应急指挥中心的统一指导下，各组成员各司其职，迅速、有序、高效地开展应急救援工作。应急物资包括在线堵漏工具、吸附处理泄漏物的吸附材料和现场围挡材料，应急装备包括个人防护装备、应急通信系统和警戒器材等。</w:t>
      </w:r>
    </w:p>
    <w:p>
      <w:pPr>
        <w:pStyle w:val="3"/>
      </w:pPr>
      <w:bookmarkStart w:id="15" w:name="_Toc526520644"/>
      <w:bookmarkStart w:id="16" w:name="_Toc527064033"/>
      <w:bookmarkStart w:id="17" w:name="_Toc3850"/>
      <w:r>
        <w:rPr>
          <w:rFonts w:hint="eastAsia"/>
        </w:rPr>
        <w:t>环境应急人力资源调查</w:t>
      </w:r>
      <w:bookmarkEnd w:id="15"/>
      <w:bookmarkEnd w:id="16"/>
      <w:bookmarkEnd w:id="17"/>
    </w:p>
    <w:p>
      <w:pPr>
        <w:ind w:firstLine="560"/>
        <w:rPr>
          <w:sz w:val="24"/>
          <w:szCs w:val="24"/>
        </w:rPr>
      </w:pPr>
      <w:r>
        <w:rPr>
          <w:rFonts w:hint="eastAsia"/>
          <w:sz w:val="24"/>
          <w:szCs w:val="24"/>
        </w:rPr>
        <w:t>人力资源的合理配置是突发环境事件应急管理体系中的重要环节之一。在“人、财、物”三大资源中，人力资源居于首位。本企业应急队伍人员配置、培训、应急演练及外部救援等方面情况如下所述。</w:t>
      </w:r>
    </w:p>
    <w:p>
      <w:pPr>
        <w:pStyle w:val="4"/>
      </w:pPr>
      <w:bookmarkStart w:id="18" w:name="_Toc526520645"/>
      <w:bookmarkStart w:id="19" w:name="_Toc685"/>
      <w:bookmarkStart w:id="20" w:name="_Toc527064034"/>
      <w:r>
        <w:rPr>
          <w:rFonts w:hint="eastAsia"/>
        </w:rPr>
        <w:t>企业内部应急队伍</w:t>
      </w:r>
      <w:bookmarkEnd w:id="18"/>
      <w:bookmarkEnd w:id="19"/>
      <w:bookmarkEnd w:id="20"/>
    </w:p>
    <w:p>
      <w:pPr>
        <w:pStyle w:val="5"/>
      </w:pPr>
      <w:bookmarkStart w:id="21" w:name="_Toc527064035"/>
      <w:bookmarkStart w:id="22" w:name="_Toc2766"/>
      <w:bookmarkStart w:id="23" w:name="_Toc526520646"/>
      <w:r>
        <w:rPr>
          <w:rFonts w:hint="eastAsia"/>
        </w:rPr>
        <w:t>应急组织机构</w:t>
      </w:r>
      <w:bookmarkEnd w:id="21"/>
      <w:bookmarkEnd w:id="22"/>
      <w:bookmarkEnd w:id="23"/>
    </w:p>
    <w:p>
      <w:pPr>
        <w:pStyle w:val="11"/>
        <w:adjustRightInd w:val="0"/>
        <w:snapToGrid w:val="0"/>
        <w:spacing w:after="0" w:line="360" w:lineRule="auto"/>
        <w:ind w:left="0" w:leftChars="0" w:firstLine="480" w:firstLineChars="200"/>
        <w:rPr>
          <w:color w:val="000000"/>
          <w:sz w:val="24"/>
          <w:szCs w:val="24"/>
        </w:rPr>
      </w:pPr>
      <w:r>
        <w:rPr>
          <w:rFonts w:hAnsi="宋体"/>
          <w:color w:val="000000"/>
          <w:sz w:val="24"/>
          <w:szCs w:val="24"/>
        </w:rPr>
        <w:t>公司成立了以</w:t>
      </w:r>
      <w:r>
        <w:rPr>
          <w:rFonts w:hint="eastAsia" w:hAnsi="宋体"/>
          <w:color w:val="000000"/>
          <w:sz w:val="24"/>
          <w:szCs w:val="24"/>
        </w:rPr>
        <w:t>总经理</w:t>
      </w:r>
      <w:r>
        <w:rPr>
          <w:rFonts w:hint="eastAsia" w:hAnsi="宋体"/>
          <w:color w:val="000000"/>
          <w:sz w:val="24"/>
          <w:szCs w:val="24"/>
          <w:lang w:eastAsia="zh-CN"/>
        </w:rPr>
        <w:t>蒋祖林</w:t>
      </w:r>
      <w:r>
        <w:rPr>
          <w:rFonts w:hint="eastAsia" w:hAnsi="宋体"/>
          <w:color w:val="000000"/>
          <w:sz w:val="24"/>
          <w:szCs w:val="24"/>
        </w:rPr>
        <w:t>为总指挥、副总经理</w:t>
      </w:r>
      <w:r>
        <w:rPr>
          <w:rFonts w:hint="eastAsia" w:hAnsi="宋体"/>
          <w:color w:val="000000"/>
          <w:sz w:val="24"/>
          <w:szCs w:val="24"/>
          <w:lang w:eastAsia="zh-CN"/>
        </w:rPr>
        <w:t>吴玉红</w:t>
      </w:r>
      <w:r>
        <w:rPr>
          <w:rFonts w:hAnsi="宋体"/>
          <w:color w:val="000000"/>
          <w:sz w:val="24"/>
          <w:szCs w:val="24"/>
        </w:rPr>
        <w:t>为</w:t>
      </w:r>
      <w:r>
        <w:rPr>
          <w:rFonts w:hint="eastAsia" w:hAnsi="宋体"/>
          <w:color w:val="000000"/>
          <w:sz w:val="24"/>
          <w:szCs w:val="24"/>
        </w:rPr>
        <w:t>副</w:t>
      </w:r>
      <w:r>
        <w:rPr>
          <w:rFonts w:hAnsi="宋体"/>
          <w:color w:val="000000"/>
          <w:sz w:val="24"/>
          <w:szCs w:val="24"/>
        </w:rPr>
        <w:t>总指挥的应急指挥部，应急指挥部办公室设在</w:t>
      </w:r>
      <w:r>
        <w:rPr>
          <w:rFonts w:hint="eastAsia" w:hAnsi="宋体"/>
          <w:color w:val="000000"/>
          <w:sz w:val="24"/>
          <w:szCs w:val="24"/>
          <w:lang w:eastAsia="zh-CN"/>
        </w:rPr>
        <w:t>公司办公室</w:t>
      </w:r>
      <w:r>
        <w:rPr>
          <w:rFonts w:hAnsi="宋体"/>
          <w:color w:val="000000"/>
          <w:sz w:val="24"/>
          <w:szCs w:val="24"/>
        </w:rPr>
        <w:t>。</w:t>
      </w:r>
    </w:p>
    <w:p>
      <w:pPr>
        <w:pStyle w:val="11"/>
        <w:adjustRightInd w:val="0"/>
        <w:snapToGrid w:val="0"/>
        <w:spacing w:after="0" w:line="360" w:lineRule="auto"/>
        <w:ind w:left="0" w:leftChars="0" w:firstLine="480" w:firstLineChars="200"/>
        <w:rPr>
          <w:color w:val="000000"/>
          <w:sz w:val="24"/>
          <w:szCs w:val="24"/>
        </w:rPr>
      </w:pPr>
      <w:r>
        <w:rPr>
          <w:rFonts w:hAnsi="宋体"/>
          <w:color w:val="000000"/>
          <w:sz w:val="24"/>
          <w:szCs w:val="24"/>
        </w:rPr>
        <w:t>同时成立了事故应急救援执行队伍，并针对应急抢险抢修、现场保卫、后勤保障等各方面指定了专职人员，明确了主要职责和任务。应急组织包括应急救援指挥部，下设</w:t>
      </w:r>
      <w:r>
        <w:rPr>
          <w:rFonts w:hint="eastAsia" w:hAnsi="宋体"/>
          <w:color w:val="000000"/>
          <w:sz w:val="24"/>
          <w:szCs w:val="24"/>
          <w:lang w:eastAsia="zh-CN"/>
        </w:rPr>
        <w:t>综合协调组、疏散警戒组、工艺生产</w:t>
      </w:r>
      <w:r>
        <w:rPr>
          <w:rFonts w:hAnsi="宋体"/>
          <w:color w:val="000000"/>
          <w:sz w:val="24"/>
          <w:szCs w:val="24"/>
        </w:rPr>
        <w:t>组</w:t>
      </w:r>
      <w:r>
        <w:rPr>
          <w:rFonts w:hint="eastAsia" w:hAnsi="宋体"/>
          <w:color w:val="000000"/>
          <w:sz w:val="24"/>
          <w:szCs w:val="24"/>
          <w:lang w:eastAsia="zh-CN"/>
        </w:rPr>
        <w:t>、应急监测组</w:t>
      </w:r>
      <w:r>
        <w:rPr>
          <w:rFonts w:hAnsi="宋体"/>
          <w:color w:val="000000"/>
          <w:sz w:val="24"/>
          <w:szCs w:val="24"/>
        </w:rPr>
        <w:t>等应急机构。</w:t>
      </w:r>
    </w:p>
    <w:p>
      <w:pPr>
        <w:ind w:firstLine="560"/>
        <w:rPr>
          <w:sz w:val="24"/>
          <w:szCs w:val="24"/>
        </w:rPr>
      </w:pPr>
      <w:r>
        <w:rPr>
          <w:rFonts w:hAnsi="宋体"/>
          <w:color w:val="000000"/>
          <w:sz w:val="24"/>
          <w:szCs w:val="24"/>
        </w:rPr>
        <w:t>所有工作人员应以一定形式将事故状况、应急工作状况等报告应急指挥部。指挥部根据事故及其处理状况，下达应急指令。应急队伍接受指令后，立即按照职责、分工行动；并在行动过程中，随时将事故状况反馈给指挥部；指挥部根据反馈情况再次下达指令，直到完成应急事故处理。应急过程中各应急人员以及应急指挥人员应佩戴相应的标志性袖章，以示辨识。具体应急组织机构如图</w:t>
      </w:r>
      <w:r>
        <w:rPr>
          <w:rFonts w:hint="eastAsia" w:hAnsi="宋体"/>
          <w:color w:val="000000"/>
          <w:sz w:val="24"/>
          <w:szCs w:val="24"/>
          <w:lang w:val="en-US" w:eastAsia="zh-CN"/>
        </w:rPr>
        <w:t>3-1</w:t>
      </w:r>
      <w:r>
        <w:rPr>
          <w:rFonts w:hint="eastAsia"/>
          <w:sz w:val="24"/>
          <w:szCs w:val="24"/>
        </w:rPr>
        <w:t>。</w:t>
      </w:r>
    </w:p>
    <w:p>
      <w:pPr>
        <w:keepNext/>
        <w:ind w:firstLine="0" w:firstLineChars="0"/>
        <w:jc w:val="center"/>
        <w:rPr>
          <w:rFonts w:hint="eastAsia" w:eastAsia="宋体"/>
          <w:lang w:eastAsia="zh-CN"/>
        </w:rPr>
      </w:pPr>
      <w:r>
        <w:rPr>
          <w:rFonts w:hint="eastAsia" w:eastAsia="宋体"/>
          <w:lang w:eastAsia="zh-CN"/>
        </w:rPr>
        <w:drawing>
          <wp:inline distT="0" distB="0" distL="114300" distR="114300">
            <wp:extent cx="6027420" cy="2424430"/>
            <wp:effectExtent l="0" t="0" r="11430" b="13970"/>
            <wp:docPr id="13" name="图片 13" descr="2020091521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20200915212451"/>
                    <pic:cNvPicPr>
                      <a:picLocks noChangeAspect="1"/>
                    </pic:cNvPicPr>
                  </pic:nvPicPr>
                  <pic:blipFill>
                    <a:blip r:embed="rId14"/>
                    <a:stretch>
                      <a:fillRect/>
                    </a:stretch>
                  </pic:blipFill>
                  <pic:spPr>
                    <a:xfrm>
                      <a:off x="0" y="0"/>
                      <a:ext cx="6027420" cy="2424430"/>
                    </a:xfrm>
                    <a:prstGeom prst="rect">
                      <a:avLst/>
                    </a:prstGeom>
                  </pic:spPr>
                </pic:pic>
              </a:graphicData>
            </a:graphic>
          </wp:inline>
        </w:drawing>
      </w:r>
    </w:p>
    <w:p>
      <w:pPr>
        <w:pStyle w:val="9"/>
      </w:pPr>
      <w:r>
        <w:rPr>
          <w:rFonts w:hint="eastAsia"/>
        </w:rPr>
        <w:t xml:space="preserve">图 </w:t>
      </w:r>
      <w:r>
        <w:fldChar w:fldCharType="begin"/>
      </w:r>
      <w:r>
        <w:instrText xml:space="preserve"> </w:instrText>
      </w:r>
      <w:r>
        <w:rPr>
          <w:rFonts w:hint="eastAsia"/>
        </w:rPr>
        <w:instrText xml:space="preserve">STYLEREF 1 \s</w:instrText>
      </w:r>
      <w:r>
        <w:instrText xml:space="preserve"> </w:instrText>
      </w:r>
      <w:r>
        <w:fldChar w:fldCharType="separate"/>
      </w:r>
      <w:r>
        <w:t>3</w:t>
      </w:r>
      <w:r>
        <w:fldChar w:fldCharType="end"/>
      </w:r>
      <w:r>
        <w:noBreakHyphen/>
      </w:r>
      <w:r>
        <w:fldChar w:fldCharType="begin"/>
      </w:r>
      <w:r>
        <w:instrText xml:space="preserve"> </w:instrText>
      </w:r>
      <w:r>
        <w:rPr>
          <w:rFonts w:hint="eastAsia"/>
        </w:rPr>
        <w:instrText xml:space="preserve">SEQ 图 \* ARABIC \s 1</w:instrText>
      </w:r>
      <w:r>
        <w:instrText xml:space="preserve"> </w:instrText>
      </w:r>
      <w:r>
        <w:fldChar w:fldCharType="separate"/>
      </w:r>
      <w:r>
        <w:t>1</w:t>
      </w:r>
      <w:r>
        <w:fldChar w:fldCharType="end"/>
      </w:r>
      <w:r>
        <w:rPr>
          <w:rFonts w:hint="eastAsia"/>
        </w:rPr>
        <w:t>应急组织机构</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bookmarkStart w:id="24" w:name="_Hlk526952088"/>
      <w:r>
        <w:rPr>
          <w:rFonts w:hint="default" w:ascii="Times New Roman" w:hAnsi="Times New Roman" w:cs="Times New Roman"/>
          <w:sz w:val="24"/>
          <w:szCs w:val="24"/>
        </w:rPr>
        <w:t>总指挥：</w:t>
      </w:r>
      <w:r>
        <w:rPr>
          <w:rFonts w:hint="default" w:ascii="Times New Roman" w:hAnsi="Times New Roman" w:cs="Times New Roman"/>
          <w:sz w:val="24"/>
          <w:szCs w:val="24"/>
          <w:lang w:eastAsia="zh-CN"/>
        </w:rPr>
        <w:t>周剑文</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13907089796</w:t>
      </w:r>
      <w:r>
        <w:rPr>
          <w:rFonts w:hint="default" w:ascii="Times New Roman" w:hAnsi="Times New Roman" w:cs="Times New Roman"/>
          <w:sz w:val="24"/>
          <w:szCs w:val="24"/>
        </w:rPr>
        <w:t xml:space="preserve">）  </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副总指挥：</w:t>
      </w:r>
      <w:r>
        <w:rPr>
          <w:rFonts w:hint="default" w:ascii="Times New Roman" w:hAnsi="Times New Roman" w:cs="Times New Roman"/>
          <w:sz w:val="24"/>
          <w:szCs w:val="24"/>
          <w:lang w:eastAsia="zh-CN"/>
        </w:rPr>
        <w:t>胡文斌</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15970629327</w:t>
      </w:r>
      <w:r>
        <w:rPr>
          <w:rFonts w:hint="default" w:ascii="Times New Roman" w:hAnsi="Times New Roman" w:cs="Times New Roman"/>
          <w:sz w:val="24"/>
          <w:szCs w:val="24"/>
        </w:rPr>
        <w:t>）</w:t>
      </w:r>
    </w:p>
    <w:p>
      <w:pPr>
        <w:ind w:firstLine="560"/>
        <w:rPr>
          <w:rFonts w:hint="eastAsia" w:eastAsia="宋体"/>
          <w:sz w:val="28"/>
          <w:szCs w:val="28"/>
          <w:lang w:eastAsia="zh-CN"/>
        </w:rPr>
      </w:pPr>
      <w:r>
        <w:rPr>
          <w:rFonts w:hint="default" w:ascii="Times New Roman" w:hAnsi="Times New Roman" w:cs="Times New Roman"/>
          <w:sz w:val="24"/>
          <w:szCs w:val="24"/>
        </w:rPr>
        <w:t>指挥部成员：</w:t>
      </w:r>
      <w:r>
        <w:rPr>
          <w:rFonts w:hint="default" w:ascii="Times New Roman" w:hAnsi="Times New Roman" w:cs="Times New Roman"/>
          <w:sz w:val="24"/>
          <w:szCs w:val="24"/>
          <w:lang w:eastAsia="zh-CN"/>
        </w:rPr>
        <w:t>陈勇（</w:t>
      </w:r>
      <w:r>
        <w:rPr>
          <w:rFonts w:hint="default" w:ascii="Times New Roman" w:hAnsi="Times New Roman" w:cs="Times New Roman"/>
          <w:sz w:val="24"/>
          <w:szCs w:val="24"/>
          <w:lang w:val="en-US" w:eastAsia="zh-CN"/>
        </w:rPr>
        <w:t>13979112577</w:t>
      </w:r>
      <w:r>
        <w:rPr>
          <w:rFonts w:hint="default" w:ascii="Times New Roman" w:hAnsi="Times New Roman" w:cs="Times New Roman"/>
          <w:sz w:val="24"/>
          <w:szCs w:val="24"/>
          <w:lang w:eastAsia="zh-CN"/>
        </w:rPr>
        <w:t>）等</w:t>
      </w:r>
    </w:p>
    <w:p>
      <w:pPr>
        <w:pStyle w:val="16"/>
        <w:rPr>
          <w:rFonts w:hint="eastAsia" w:eastAsia="宋体"/>
          <w:sz w:val="24"/>
          <w:szCs w:val="24"/>
          <w:lang w:eastAsia="zh-CN"/>
        </w:rPr>
      </w:pPr>
      <w:r>
        <w:rPr>
          <w:rFonts w:hAnsi="宋体"/>
          <w:sz w:val="24"/>
          <w:szCs w:val="24"/>
        </w:rPr>
        <w:t>总指挥不在企业时，由副总指挥担任临时总指挥，全权负责应急救援工作，并随时与总指挥保持联系</w:t>
      </w:r>
      <w:r>
        <w:rPr>
          <w:rFonts w:hint="eastAsia" w:hAnsi="宋体"/>
          <w:sz w:val="24"/>
          <w:szCs w:val="24"/>
          <w:lang w:eastAsia="zh-CN"/>
        </w:rPr>
        <w:t>。</w:t>
      </w:r>
    </w:p>
    <w:bookmarkEnd w:id="24"/>
    <w:p>
      <w:pPr>
        <w:pStyle w:val="9"/>
        <w:keepNext/>
        <w:rPr>
          <w:b/>
          <w:bCs/>
          <w:sz w:val="24"/>
          <w:szCs w:val="24"/>
        </w:rPr>
      </w:pPr>
      <w:bookmarkStart w:id="25" w:name="_Toc527064036"/>
      <w:bookmarkStart w:id="26" w:name="_Toc526520647"/>
      <w:r>
        <w:rPr>
          <w:rFonts w:hint="eastAsia"/>
          <w:b/>
          <w:bCs/>
          <w:sz w:val="24"/>
          <w:szCs w:val="24"/>
        </w:rPr>
        <w:t xml:space="preserve">表 </w:t>
      </w:r>
      <w:r>
        <w:rPr>
          <w:rFonts w:hint="eastAsia"/>
          <w:b/>
          <w:bCs/>
          <w:sz w:val="24"/>
          <w:szCs w:val="24"/>
          <w:lang w:val="en-US" w:eastAsia="zh-CN"/>
        </w:rPr>
        <w:t>3-1</w:t>
      </w:r>
      <w:r>
        <w:rPr>
          <w:rFonts w:hint="eastAsia"/>
          <w:b/>
          <w:bCs/>
          <w:sz w:val="24"/>
          <w:szCs w:val="24"/>
        </w:rPr>
        <w:t>公司应急</w:t>
      </w:r>
      <w:r>
        <w:rPr>
          <w:rFonts w:hint="eastAsia"/>
          <w:b/>
          <w:bCs/>
          <w:sz w:val="24"/>
          <w:szCs w:val="24"/>
          <w:lang w:eastAsia="zh-CN"/>
        </w:rPr>
        <w:t>救援小组</w:t>
      </w:r>
      <w:r>
        <w:rPr>
          <w:rFonts w:hint="eastAsia"/>
          <w:b/>
          <w:bCs/>
          <w:sz w:val="24"/>
          <w:szCs w:val="24"/>
        </w:rPr>
        <w:t>成员联系方式</w:t>
      </w: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2864"/>
        <w:gridCol w:w="3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240" w:lineRule="auto"/>
              <w:ind w:left="0" w:firstLine="0"/>
              <w:jc w:val="center"/>
              <w:rPr>
                <w:rFonts w:hint="default" w:ascii="Times New Roman" w:hAnsi="Times New Roman" w:cs="Times New Roman"/>
                <w:sz w:val="24"/>
                <w:szCs w:val="24"/>
              </w:rPr>
            </w:pPr>
            <w:r>
              <w:rPr>
                <w:rFonts w:hint="default" w:ascii="Times New Roman" w:hAnsi="Times New Roman" w:cs="Times New Roman"/>
                <w:sz w:val="24"/>
                <w:szCs w:val="24"/>
              </w:rPr>
              <w:t>机构</w:t>
            </w:r>
          </w:p>
        </w:tc>
        <w:tc>
          <w:tcPr>
            <w:tcW w:w="2864" w:type="dxa"/>
            <w:noWrap w:val="0"/>
            <w:vAlign w:val="top"/>
          </w:tcPr>
          <w:p>
            <w:pPr>
              <w:spacing w:line="240" w:lineRule="auto"/>
              <w:ind w:left="0" w:firstLine="0"/>
              <w:jc w:val="center"/>
              <w:rPr>
                <w:rFonts w:hint="default" w:ascii="Times New Roman" w:hAnsi="Times New Roman" w:cs="Times New Roman"/>
                <w:sz w:val="24"/>
                <w:szCs w:val="24"/>
              </w:rPr>
            </w:pPr>
            <w:r>
              <w:rPr>
                <w:rFonts w:hint="default" w:ascii="Times New Roman" w:hAnsi="Times New Roman" w:cs="Times New Roman"/>
                <w:sz w:val="24"/>
                <w:szCs w:val="24"/>
              </w:rPr>
              <w:t>职务</w:t>
            </w:r>
          </w:p>
        </w:tc>
        <w:tc>
          <w:tcPr>
            <w:tcW w:w="3423" w:type="dxa"/>
            <w:noWrap w:val="0"/>
            <w:vAlign w:val="top"/>
          </w:tcPr>
          <w:p>
            <w:pPr>
              <w:spacing w:line="240" w:lineRule="auto"/>
              <w:ind w:left="0" w:firstLine="0"/>
              <w:jc w:val="center"/>
              <w:rPr>
                <w:rFonts w:hint="default" w:ascii="Times New Roman" w:hAnsi="Times New Roman" w:cs="Times New Roman"/>
                <w:sz w:val="24"/>
                <w:szCs w:val="24"/>
              </w:rPr>
            </w:pPr>
            <w:r>
              <w:rPr>
                <w:rFonts w:hint="default" w:ascii="Times New Roman" w:hAnsi="Times New Roman" w:cs="Times New Roman"/>
                <w:sz w:val="24"/>
                <w:szCs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240" w:lineRule="auto"/>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 xml:space="preserve"> 总指挥  </w:t>
            </w:r>
          </w:p>
        </w:tc>
        <w:tc>
          <w:tcPr>
            <w:tcW w:w="2864" w:type="dxa"/>
            <w:noWrap w:val="0"/>
            <w:vAlign w:val="top"/>
          </w:tcPr>
          <w:p>
            <w:pPr>
              <w:spacing w:line="240" w:lineRule="auto"/>
              <w:ind w:left="0" w:firstLine="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总经理：</w:t>
            </w:r>
            <w:r>
              <w:rPr>
                <w:rFonts w:hint="default" w:ascii="Times New Roman" w:hAnsi="Times New Roman" w:cs="Times New Roman"/>
                <w:sz w:val="24"/>
                <w:szCs w:val="24"/>
                <w:lang w:eastAsia="zh-CN"/>
              </w:rPr>
              <w:t>周剑文</w:t>
            </w:r>
          </w:p>
        </w:tc>
        <w:tc>
          <w:tcPr>
            <w:tcW w:w="3423" w:type="dxa"/>
            <w:noWrap w:val="0"/>
            <w:vAlign w:val="top"/>
          </w:tcPr>
          <w:p>
            <w:pPr>
              <w:spacing w:line="240" w:lineRule="auto"/>
              <w:ind w:left="0" w:firstLine="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13907089796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240" w:lineRule="auto"/>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副总指挥</w:t>
            </w:r>
          </w:p>
        </w:tc>
        <w:tc>
          <w:tcPr>
            <w:tcW w:w="2864" w:type="dxa"/>
            <w:noWrap w:val="0"/>
            <w:vAlign w:val="top"/>
          </w:tcPr>
          <w:p>
            <w:pPr>
              <w:spacing w:line="240" w:lineRule="auto"/>
              <w:ind w:left="0" w:firstLine="0"/>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副总经理：</w:t>
            </w:r>
            <w:r>
              <w:rPr>
                <w:rFonts w:hint="default" w:ascii="Times New Roman" w:hAnsi="Times New Roman" w:cs="Times New Roman"/>
                <w:sz w:val="24"/>
                <w:szCs w:val="24"/>
                <w:lang w:eastAsia="zh-CN"/>
              </w:rPr>
              <w:t>胡文斌</w:t>
            </w:r>
          </w:p>
        </w:tc>
        <w:tc>
          <w:tcPr>
            <w:tcW w:w="3423" w:type="dxa"/>
            <w:noWrap w:val="0"/>
            <w:vAlign w:val="top"/>
          </w:tcPr>
          <w:p>
            <w:pPr>
              <w:spacing w:line="240" w:lineRule="auto"/>
              <w:ind w:left="0" w:firstLine="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15970629327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restart"/>
            <w:noWrap w:val="0"/>
            <w:vAlign w:val="top"/>
          </w:tcPr>
          <w:p>
            <w:pPr>
              <w:spacing w:line="240" w:lineRule="auto"/>
              <w:ind w:left="0" w:leftChars="0" w:firstLine="0" w:firstLineChars="0"/>
              <w:jc w:val="center"/>
              <w:rPr>
                <w:rFonts w:hint="default" w:ascii="Times New Roman" w:hAnsi="Times New Roman" w:cs="Times New Roman"/>
                <w:sz w:val="24"/>
                <w:szCs w:val="24"/>
              </w:rPr>
            </w:pPr>
          </w:p>
          <w:p>
            <w:pPr>
              <w:spacing w:line="240" w:lineRule="auto"/>
              <w:ind w:left="0" w:leftChars="0" w:firstLine="0" w:firstLineChars="0"/>
              <w:jc w:val="both"/>
              <w:rPr>
                <w:rFonts w:hint="default" w:ascii="Times New Roman" w:hAnsi="Times New Roman" w:cs="Times New Roman"/>
                <w:sz w:val="24"/>
                <w:szCs w:val="24"/>
              </w:rPr>
            </w:pPr>
            <w:r>
              <w:rPr>
                <w:rFonts w:hint="default" w:ascii="Times New Roman" w:hAnsi="Times New Roman" w:eastAsia="宋体" w:cs="Times New Roman"/>
                <w:sz w:val="24"/>
                <w:szCs w:val="24"/>
              </w:rPr>
              <w:t>现场处置组</w:t>
            </w:r>
          </w:p>
        </w:tc>
        <w:tc>
          <w:tcPr>
            <w:tcW w:w="2864" w:type="dxa"/>
            <w:noWrap w:val="0"/>
            <w:vAlign w:val="top"/>
          </w:tcPr>
          <w:p>
            <w:pPr>
              <w:spacing w:line="240" w:lineRule="auto"/>
              <w:ind w:left="0" w:firstLine="0"/>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组长</w:t>
            </w:r>
            <w:r>
              <w:rPr>
                <w:rFonts w:hint="default" w:ascii="Times New Roman" w:hAnsi="Times New Roman" w:cs="Times New Roman"/>
                <w:sz w:val="24"/>
                <w:szCs w:val="24"/>
                <w:lang w:eastAsia="zh-CN"/>
              </w:rPr>
              <w:t>陈勇</w:t>
            </w:r>
          </w:p>
        </w:tc>
        <w:tc>
          <w:tcPr>
            <w:tcW w:w="3423" w:type="dxa"/>
            <w:noWrap w:val="0"/>
            <w:vAlign w:val="top"/>
          </w:tcPr>
          <w:p>
            <w:pPr>
              <w:spacing w:line="240" w:lineRule="auto"/>
              <w:ind w:left="0" w:firstLine="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13979112577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noWrap w:val="0"/>
            <w:vAlign w:val="top"/>
          </w:tcPr>
          <w:p>
            <w:pPr>
              <w:spacing w:line="240" w:lineRule="auto"/>
              <w:ind w:left="0" w:leftChars="0" w:firstLine="0" w:firstLineChars="0"/>
              <w:rPr>
                <w:rFonts w:hint="default" w:ascii="Times New Roman" w:hAnsi="Times New Roman" w:cs="Times New Roman"/>
                <w:sz w:val="24"/>
                <w:szCs w:val="24"/>
              </w:rPr>
            </w:pPr>
          </w:p>
        </w:tc>
        <w:tc>
          <w:tcPr>
            <w:tcW w:w="2864" w:type="dxa"/>
            <w:noWrap w:val="0"/>
            <w:vAlign w:val="top"/>
          </w:tcPr>
          <w:p>
            <w:pPr>
              <w:spacing w:line="240" w:lineRule="auto"/>
              <w:ind w:left="0" w:firstLine="0"/>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组员：</w:t>
            </w:r>
            <w:r>
              <w:rPr>
                <w:rFonts w:hint="default" w:ascii="Times New Roman" w:hAnsi="Times New Roman" w:cs="Times New Roman"/>
                <w:sz w:val="24"/>
                <w:szCs w:val="24"/>
                <w:lang w:eastAsia="zh-CN"/>
              </w:rPr>
              <w:t>张金梁</w:t>
            </w:r>
          </w:p>
        </w:tc>
        <w:tc>
          <w:tcPr>
            <w:tcW w:w="3423" w:type="dxa"/>
            <w:noWrap w:val="0"/>
            <w:vAlign w:val="top"/>
          </w:tcPr>
          <w:p>
            <w:pPr>
              <w:spacing w:line="240" w:lineRule="auto"/>
              <w:ind w:left="0" w:firstLine="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13697002406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noWrap w:val="0"/>
            <w:vAlign w:val="top"/>
          </w:tcPr>
          <w:p>
            <w:pPr>
              <w:spacing w:line="240" w:lineRule="auto"/>
              <w:ind w:left="0" w:leftChars="0" w:firstLine="0" w:firstLineChars="0"/>
              <w:rPr>
                <w:rFonts w:hint="default" w:ascii="Times New Roman" w:hAnsi="Times New Roman" w:cs="Times New Roman"/>
                <w:sz w:val="24"/>
                <w:szCs w:val="24"/>
              </w:rPr>
            </w:pPr>
          </w:p>
        </w:tc>
        <w:tc>
          <w:tcPr>
            <w:tcW w:w="2864" w:type="dxa"/>
            <w:noWrap w:val="0"/>
            <w:vAlign w:val="top"/>
          </w:tcPr>
          <w:p>
            <w:pPr>
              <w:spacing w:line="240" w:lineRule="auto"/>
              <w:ind w:left="0" w:firstLine="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组员：程茂松</w:t>
            </w:r>
          </w:p>
        </w:tc>
        <w:tc>
          <w:tcPr>
            <w:tcW w:w="3423" w:type="dxa"/>
            <w:noWrap w:val="0"/>
            <w:vAlign w:val="top"/>
          </w:tcPr>
          <w:p>
            <w:pPr>
              <w:spacing w:line="240" w:lineRule="auto"/>
              <w:ind w:left="0" w:firstLine="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13437093200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noWrap w:val="0"/>
            <w:vAlign w:val="top"/>
          </w:tcPr>
          <w:p>
            <w:pPr>
              <w:spacing w:line="240" w:lineRule="auto"/>
              <w:ind w:left="0" w:leftChars="0" w:firstLine="0" w:firstLineChars="0"/>
              <w:rPr>
                <w:rFonts w:hint="default" w:ascii="Times New Roman" w:hAnsi="Times New Roman" w:cs="Times New Roman"/>
                <w:sz w:val="24"/>
                <w:szCs w:val="24"/>
              </w:rPr>
            </w:pPr>
          </w:p>
        </w:tc>
        <w:tc>
          <w:tcPr>
            <w:tcW w:w="2864" w:type="dxa"/>
            <w:noWrap w:val="0"/>
            <w:vAlign w:val="top"/>
          </w:tcPr>
          <w:p>
            <w:pPr>
              <w:spacing w:line="240" w:lineRule="auto"/>
              <w:ind w:left="0" w:firstLine="0"/>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eastAsia="zh-CN"/>
              </w:rPr>
              <w:t>组员：胡南平</w:t>
            </w:r>
          </w:p>
        </w:tc>
        <w:tc>
          <w:tcPr>
            <w:tcW w:w="3423" w:type="dxa"/>
            <w:noWrap w:val="0"/>
            <w:vAlign w:val="top"/>
          </w:tcPr>
          <w:p>
            <w:pPr>
              <w:spacing w:line="240" w:lineRule="auto"/>
              <w:ind w:left="0" w:firstLine="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15083806720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restart"/>
            <w:noWrap w:val="0"/>
            <w:vAlign w:val="top"/>
          </w:tcPr>
          <w:p>
            <w:pPr>
              <w:spacing w:line="240" w:lineRule="auto"/>
              <w:ind w:left="0" w:leftChars="0" w:firstLine="0" w:firstLineChars="0"/>
              <w:jc w:val="center"/>
              <w:rPr>
                <w:rFonts w:hint="default" w:ascii="Times New Roman" w:hAnsi="Times New Roman" w:cs="Times New Roman"/>
                <w:sz w:val="24"/>
                <w:szCs w:val="24"/>
              </w:rPr>
            </w:pPr>
          </w:p>
          <w:p>
            <w:pPr>
              <w:spacing w:line="240" w:lineRule="auto"/>
              <w:ind w:left="0" w:leftChars="0" w:firstLine="0" w:firstLineChars="0"/>
              <w:jc w:val="both"/>
              <w:rPr>
                <w:rFonts w:hint="default" w:ascii="Times New Roman" w:hAnsi="Times New Roman" w:cs="Times New Roman"/>
                <w:sz w:val="24"/>
                <w:szCs w:val="24"/>
              </w:rPr>
            </w:pPr>
            <w:r>
              <w:rPr>
                <w:rFonts w:hint="eastAsia" w:ascii="Times New Roman" w:hAnsi="Times New Roman" w:cs="Times New Roman"/>
                <w:sz w:val="24"/>
                <w:szCs w:val="24"/>
                <w:lang w:eastAsia="zh-CN"/>
              </w:rPr>
              <w:t>应急</w:t>
            </w:r>
            <w:r>
              <w:rPr>
                <w:rFonts w:hint="default" w:ascii="Times New Roman" w:hAnsi="Times New Roman" w:cs="Times New Roman"/>
                <w:sz w:val="24"/>
                <w:szCs w:val="24"/>
              </w:rPr>
              <w:t>医疗组</w:t>
            </w:r>
          </w:p>
        </w:tc>
        <w:tc>
          <w:tcPr>
            <w:tcW w:w="2864" w:type="dxa"/>
            <w:noWrap w:val="0"/>
            <w:vAlign w:val="top"/>
          </w:tcPr>
          <w:p>
            <w:pPr>
              <w:spacing w:line="240" w:lineRule="auto"/>
              <w:ind w:left="0" w:firstLine="0"/>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组长：</w:t>
            </w:r>
            <w:r>
              <w:rPr>
                <w:rFonts w:hint="default" w:ascii="Times New Roman" w:hAnsi="Times New Roman" w:cs="Times New Roman"/>
                <w:sz w:val="24"/>
                <w:szCs w:val="24"/>
                <w:lang w:eastAsia="zh-CN"/>
              </w:rPr>
              <w:t>应雪霞</w:t>
            </w:r>
          </w:p>
        </w:tc>
        <w:tc>
          <w:tcPr>
            <w:tcW w:w="3423" w:type="dxa"/>
            <w:noWrap w:val="0"/>
            <w:vAlign w:val="top"/>
          </w:tcPr>
          <w:p>
            <w:pPr>
              <w:spacing w:line="240" w:lineRule="auto"/>
              <w:ind w:left="0" w:firstLine="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18979110151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noWrap w:val="0"/>
            <w:vAlign w:val="top"/>
          </w:tcPr>
          <w:p>
            <w:pPr>
              <w:spacing w:line="240" w:lineRule="auto"/>
              <w:ind w:left="0" w:leftChars="0" w:firstLine="0" w:firstLineChars="0"/>
              <w:rPr>
                <w:rFonts w:hint="default" w:ascii="Times New Roman" w:hAnsi="Times New Roman" w:cs="Times New Roman"/>
                <w:sz w:val="24"/>
                <w:szCs w:val="24"/>
              </w:rPr>
            </w:pPr>
          </w:p>
        </w:tc>
        <w:tc>
          <w:tcPr>
            <w:tcW w:w="2864" w:type="dxa"/>
            <w:noWrap w:val="0"/>
            <w:vAlign w:val="top"/>
          </w:tcPr>
          <w:p>
            <w:pPr>
              <w:spacing w:line="240" w:lineRule="auto"/>
              <w:ind w:left="0" w:firstLine="0"/>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组员：</w:t>
            </w:r>
            <w:r>
              <w:rPr>
                <w:rFonts w:hint="default" w:ascii="Times New Roman" w:hAnsi="Times New Roman" w:cs="Times New Roman"/>
                <w:sz w:val="24"/>
                <w:szCs w:val="24"/>
                <w:lang w:eastAsia="zh-CN"/>
              </w:rPr>
              <w:t>涂林影</w:t>
            </w:r>
          </w:p>
        </w:tc>
        <w:tc>
          <w:tcPr>
            <w:tcW w:w="3423" w:type="dxa"/>
            <w:noWrap w:val="0"/>
            <w:vAlign w:val="top"/>
          </w:tcPr>
          <w:p>
            <w:pPr>
              <w:spacing w:line="240" w:lineRule="auto"/>
              <w:ind w:left="0" w:firstLine="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13879133451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noWrap w:val="0"/>
            <w:vAlign w:val="top"/>
          </w:tcPr>
          <w:p>
            <w:pPr>
              <w:spacing w:line="240" w:lineRule="auto"/>
              <w:ind w:left="0" w:leftChars="0" w:firstLine="0" w:firstLineChars="0"/>
              <w:rPr>
                <w:rFonts w:hint="default" w:ascii="Times New Roman" w:hAnsi="Times New Roman" w:cs="Times New Roman"/>
                <w:sz w:val="24"/>
                <w:szCs w:val="24"/>
              </w:rPr>
            </w:pPr>
          </w:p>
        </w:tc>
        <w:tc>
          <w:tcPr>
            <w:tcW w:w="2864" w:type="dxa"/>
            <w:noWrap w:val="0"/>
            <w:vAlign w:val="top"/>
          </w:tcPr>
          <w:p>
            <w:pPr>
              <w:spacing w:line="240" w:lineRule="auto"/>
              <w:ind w:left="0" w:firstLine="0"/>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eastAsia="zh-CN"/>
              </w:rPr>
              <w:t>组员：胡小英</w:t>
            </w:r>
          </w:p>
        </w:tc>
        <w:tc>
          <w:tcPr>
            <w:tcW w:w="3423" w:type="dxa"/>
            <w:noWrap w:val="0"/>
            <w:vAlign w:val="top"/>
          </w:tcPr>
          <w:p>
            <w:pPr>
              <w:spacing w:line="240" w:lineRule="auto"/>
              <w:ind w:left="0" w:firstLine="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13755798870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restart"/>
            <w:noWrap w:val="0"/>
            <w:vAlign w:val="top"/>
          </w:tcPr>
          <w:p>
            <w:pPr>
              <w:spacing w:line="240" w:lineRule="auto"/>
              <w:ind w:left="0" w:leftChars="0" w:firstLine="0" w:firstLineChars="0"/>
              <w:jc w:val="center"/>
              <w:rPr>
                <w:rFonts w:hint="default" w:ascii="Times New Roman" w:hAnsi="Times New Roman" w:cs="Times New Roman"/>
                <w:sz w:val="24"/>
                <w:szCs w:val="24"/>
              </w:rPr>
            </w:pPr>
          </w:p>
          <w:p>
            <w:pPr>
              <w:spacing w:line="240" w:lineRule="auto"/>
              <w:ind w:left="0" w:leftChars="0" w:firstLine="0" w:firstLineChars="0"/>
              <w:jc w:val="both"/>
              <w:rPr>
                <w:rFonts w:hint="default" w:ascii="Times New Roman" w:hAnsi="Times New Roman" w:cs="Times New Roman"/>
                <w:sz w:val="24"/>
                <w:szCs w:val="24"/>
              </w:rPr>
            </w:pPr>
            <w:r>
              <w:rPr>
                <w:rFonts w:hint="eastAsia" w:ascii="Times New Roman" w:hAnsi="Times New Roman" w:cs="Times New Roman"/>
                <w:sz w:val="24"/>
                <w:szCs w:val="24"/>
                <w:lang w:eastAsia="zh-CN"/>
              </w:rPr>
              <w:t>信息</w:t>
            </w:r>
            <w:r>
              <w:rPr>
                <w:rFonts w:hint="default" w:ascii="Times New Roman" w:hAnsi="Times New Roman" w:cs="Times New Roman"/>
                <w:sz w:val="24"/>
                <w:szCs w:val="24"/>
              </w:rPr>
              <w:t>通讯组</w:t>
            </w:r>
          </w:p>
        </w:tc>
        <w:tc>
          <w:tcPr>
            <w:tcW w:w="2864" w:type="dxa"/>
            <w:noWrap w:val="0"/>
            <w:vAlign w:val="top"/>
          </w:tcPr>
          <w:p>
            <w:pPr>
              <w:spacing w:line="240" w:lineRule="auto"/>
              <w:ind w:left="0" w:firstLine="0"/>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组长：</w:t>
            </w:r>
            <w:r>
              <w:rPr>
                <w:rFonts w:hint="default" w:ascii="Times New Roman" w:hAnsi="Times New Roman" w:cs="Times New Roman"/>
                <w:sz w:val="24"/>
                <w:szCs w:val="24"/>
                <w:lang w:eastAsia="zh-CN"/>
              </w:rPr>
              <w:t>叶明明</w:t>
            </w:r>
          </w:p>
        </w:tc>
        <w:tc>
          <w:tcPr>
            <w:tcW w:w="3423" w:type="dxa"/>
            <w:noWrap w:val="0"/>
            <w:vAlign w:val="top"/>
          </w:tcPr>
          <w:p>
            <w:pPr>
              <w:spacing w:line="240" w:lineRule="auto"/>
              <w:ind w:left="0" w:firstLine="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13870086073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noWrap w:val="0"/>
            <w:vAlign w:val="top"/>
          </w:tcPr>
          <w:p>
            <w:pPr>
              <w:spacing w:line="240" w:lineRule="auto"/>
              <w:ind w:left="0" w:leftChars="0" w:firstLine="0" w:firstLineChars="0"/>
              <w:rPr>
                <w:rFonts w:hint="default" w:ascii="Times New Roman" w:hAnsi="Times New Roman" w:cs="Times New Roman"/>
                <w:sz w:val="24"/>
                <w:szCs w:val="24"/>
              </w:rPr>
            </w:pPr>
          </w:p>
        </w:tc>
        <w:tc>
          <w:tcPr>
            <w:tcW w:w="2864" w:type="dxa"/>
            <w:noWrap w:val="0"/>
            <w:vAlign w:val="top"/>
          </w:tcPr>
          <w:p>
            <w:pPr>
              <w:spacing w:line="240" w:lineRule="auto"/>
              <w:ind w:left="0" w:firstLine="0"/>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组员：</w:t>
            </w:r>
            <w:r>
              <w:rPr>
                <w:rFonts w:hint="default" w:ascii="Times New Roman" w:hAnsi="Times New Roman" w:cs="Times New Roman"/>
                <w:sz w:val="24"/>
                <w:szCs w:val="24"/>
                <w:lang w:eastAsia="zh-CN"/>
              </w:rPr>
              <w:t>夏丽梅</w:t>
            </w:r>
          </w:p>
        </w:tc>
        <w:tc>
          <w:tcPr>
            <w:tcW w:w="3423" w:type="dxa"/>
            <w:noWrap w:val="0"/>
            <w:vAlign w:val="top"/>
          </w:tcPr>
          <w:p>
            <w:pPr>
              <w:spacing w:line="240" w:lineRule="auto"/>
              <w:ind w:left="0" w:firstLine="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13979163979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restart"/>
            <w:noWrap w:val="0"/>
            <w:vAlign w:val="top"/>
          </w:tcPr>
          <w:p>
            <w:pPr>
              <w:spacing w:line="240" w:lineRule="auto"/>
              <w:ind w:left="0" w:leftChars="0" w:firstLine="0" w:firstLineChars="0"/>
              <w:rPr>
                <w:rFonts w:hint="default" w:ascii="Times New Roman" w:hAnsi="Times New Roman" w:cs="Times New Roman"/>
                <w:sz w:val="24"/>
                <w:szCs w:val="24"/>
              </w:rPr>
            </w:pPr>
          </w:p>
          <w:p>
            <w:pPr>
              <w:spacing w:line="240" w:lineRule="auto"/>
              <w:ind w:left="0" w:leftChars="0" w:firstLine="0" w:firstLineChars="0"/>
              <w:rPr>
                <w:rFonts w:hint="default" w:ascii="Times New Roman" w:hAnsi="Times New Roman" w:cs="Times New Roman"/>
                <w:sz w:val="24"/>
                <w:szCs w:val="24"/>
              </w:rPr>
            </w:pPr>
            <w:r>
              <w:rPr>
                <w:rFonts w:hint="eastAsia" w:ascii="Times New Roman" w:hAnsi="Times New Roman" w:cs="Times New Roman"/>
                <w:sz w:val="24"/>
                <w:szCs w:val="24"/>
                <w:lang w:eastAsia="zh-CN"/>
              </w:rPr>
              <w:t>安全保卫组</w:t>
            </w:r>
          </w:p>
        </w:tc>
        <w:tc>
          <w:tcPr>
            <w:tcW w:w="2864" w:type="dxa"/>
            <w:noWrap w:val="0"/>
            <w:vAlign w:val="top"/>
          </w:tcPr>
          <w:p>
            <w:pPr>
              <w:spacing w:line="240" w:lineRule="auto"/>
              <w:ind w:left="0" w:firstLine="0"/>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组长：</w:t>
            </w:r>
            <w:r>
              <w:rPr>
                <w:rFonts w:hint="default" w:ascii="Times New Roman" w:hAnsi="Times New Roman" w:cs="Times New Roman"/>
                <w:sz w:val="24"/>
                <w:szCs w:val="24"/>
                <w:lang w:eastAsia="zh-CN"/>
              </w:rPr>
              <w:t>夏友谊</w:t>
            </w:r>
          </w:p>
        </w:tc>
        <w:tc>
          <w:tcPr>
            <w:tcW w:w="3423" w:type="dxa"/>
            <w:noWrap w:val="0"/>
            <w:vAlign w:val="top"/>
          </w:tcPr>
          <w:p>
            <w:pPr>
              <w:spacing w:line="240" w:lineRule="auto"/>
              <w:ind w:left="0" w:firstLine="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13755697638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noWrap w:val="0"/>
            <w:vAlign w:val="top"/>
          </w:tcPr>
          <w:p>
            <w:pPr>
              <w:spacing w:line="240" w:lineRule="auto"/>
              <w:ind w:left="0" w:firstLine="0"/>
              <w:rPr>
                <w:rFonts w:hint="default" w:ascii="Times New Roman" w:hAnsi="Times New Roman" w:cs="Times New Roman"/>
                <w:sz w:val="24"/>
                <w:szCs w:val="24"/>
              </w:rPr>
            </w:pPr>
          </w:p>
        </w:tc>
        <w:tc>
          <w:tcPr>
            <w:tcW w:w="2864" w:type="dxa"/>
            <w:noWrap w:val="0"/>
            <w:vAlign w:val="top"/>
          </w:tcPr>
          <w:p>
            <w:pPr>
              <w:spacing w:line="240" w:lineRule="auto"/>
              <w:ind w:left="0" w:firstLine="0"/>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组员：</w:t>
            </w:r>
            <w:r>
              <w:rPr>
                <w:rFonts w:hint="default" w:ascii="Times New Roman" w:hAnsi="Times New Roman" w:cs="Times New Roman"/>
                <w:sz w:val="24"/>
                <w:szCs w:val="24"/>
                <w:lang w:eastAsia="zh-CN"/>
              </w:rPr>
              <w:t>熊忠信</w:t>
            </w:r>
          </w:p>
        </w:tc>
        <w:tc>
          <w:tcPr>
            <w:tcW w:w="3423" w:type="dxa"/>
            <w:noWrap w:val="0"/>
            <w:vAlign w:val="top"/>
          </w:tcPr>
          <w:p>
            <w:pPr>
              <w:spacing w:line="240" w:lineRule="auto"/>
              <w:ind w:left="0" w:firstLine="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u w:val="none"/>
                <w:lang w:val="en-US" w:eastAsia="zh-CN"/>
              </w:rPr>
              <w:t>13627097137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240" w:lineRule="auto"/>
              <w:ind w:left="0" w:leftChars="0" w:firstLine="0" w:firstLineChars="0"/>
              <w:jc w:val="left"/>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eastAsia="zh-CN"/>
              </w:rPr>
              <w:t>应急监测组</w:t>
            </w:r>
          </w:p>
        </w:tc>
        <w:tc>
          <w:tcPr>
            <w:tcW w:w="2864" w:type="dxa"/>
            <w:noWrap w:val="0"/>
            <w:vAlign w:val="top"/>
          </w:tcPr>
          <w:p>
            <w:pPr>
              <w:spacing w:line="240" w:lineRule="auto"/>
              <w:ind w:left="0" w:firstLine="0"/>
              <w:jc w:val="left"/>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eastAsia="zh-CN"/>
              </w:rPr>
              <w:t>组长：杨武</w:t>
            </w:r>
          </w:p>
        </w:tc>
        <w:tc>
          <w:tcPr>
            <w:tcW w:w="3423" w:type="dxa"/>
            <w:noWrap w:val="0"/>
            <w:vAlign w:val="top"/>
          </w:tcPr>
          <w:p>
            <w:pPr>
              <w:spacing w:line="240" w:lineRule="auto"/>
              <w:ind w:left="0" w:firstLine="0"/>
              <w:rPr>
                <w:rFonts w:hint="default" w:ascii="Times New Roman" w:hAnsi="Times New Roman" w:eastAsia="宋体" w:cs="Times New Roman"/>
                <w:sz w:val="24"/>
                <w:szCs w:val="24"/>
                <w:u w:val="none"/>
                <w:lang w:val="en-US" w:eastAsia="zh-CN"/>
              </w:rPr>
            </w:pPr>
            <w:r>
              <w:rPr>
                <w:rFonts w:hint="default" w:ascii="Times New Roman" w:hAnsi="Times New Roman" w:eastAsia="宋体" w:cs="Times New Roman"/>
                <w:sz w:val="24"/>
                <w:szCs w:val="24"/>
                <w:u w:val="none"/>
                <w:lang w:val="en-US" w:eastAsia="zh-CN"/>
              </w:rPr>
              <w:t>13677913605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240" w:lineRule="auto"/>
              <w:ind w:left="0" w:leftChars="0" w:firstLine="0" w:firstLineChars="0"/>
              <w:jc w:val="left"/>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后勤保障组</w:t>
            </w:r>
          </w:p>
        </w:tc>
        <w:tc>
          <w:tcPr>
            <w:tcW w:w="2864" w:type="dxa"/>
            <w:noWrap w:val="0"/>
            <w:vAlign w:val="top"/>
          </w:tcPr>
          <w:p>
            <w:pPr>
              <w:spacing w:line="240" w:lineRule="auto"/>
              <w:ind w:left="0" w:firstLine="0"/>
              <w:jc w:val="left"/>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组长：刘芳</w:t>
            </w:r>
          </w:p>
        </w:tc>
        <w:tc>
          <w:tcPr>
            <w:tcW w:w="3423" w:type="dxa"/>
            <w:noWrap w:val="0"/>
            <w:vAlign w:val="top"/>
          </w:tcPr>
          <w:p>
            <w:pPr>
              <w:spacing w:line="240" w:lineRule="auto"/>
              <w:ind w:left="0" w:firstLine="0"/>
              <w:rPr>
                <w:rFonts w:hint="default" w:ascii="Times New Roman" w:hAnsi="Times New Roman" w:eastAsia="宋体" w:cs="Times New Roman"/>
                <w:sz w:val="24"/>
                <w:szCs w:val="24"/>
                <w:u w:val="none"/>
                <w:lang w:val="en-US" w:eastAsia="zh-CN"/>
              </w:rPr>
            </w:pPr>
            <w:r>
              <w:rPr>
                <w:rFonts w:hint="default" w:ascii="Times New Roman" w:hAnsi="Times New Roman" w:eastAsia="宋体" w:cs="Times New Roman"/>
                <w:sz w:val="24"/>
                <w:szCs w:val="24"/>
                <w:u w:val="none"/>
                <w:lang w:val="en-US" w:eastAsia="zh-CN"/>
              </w:rPr>
              <w:t>13507081220</w:t>
            </w:r>
          </w:p>
        </w:tc>
      </w:tr>
    </w:tbl>
    <w:p>
      <w:pPr>
        <w:pStyle w:val="5"/>
        <w:rPr>
          <w:sz w:val="24"/>
          <w:szCs w:val="24"/>
        </w:rPr>
      </w:pPr>
      <w:bookmarkStart w:id="27" w:name="_Toc26305"/>
      <w:r>
        <w:rPr>
          <w:rFonts w:hint="eastAsia"/>
          <w:sz w:val="24"/>
          <w:szCs w:val="24"/>
        </w:rPr>
        <w:t>指挥机构职责</w:t>
      </w:r>
      <w:bookmarkEnd w:id="25"/>
      <w:bookmarkEnd w:id="26"/>
      <w:bookmarkEnd w:id="27"/>
    </w:p>
    <w:p>
      <w:pPr>
        <w:ind w:firstLine="480" w:firstLineChars="200"/>
        <w:rPr>
          <w:bCs/>
          <w:sz w:val="24"/>
          <w:szCs w:val="24"/>
        </w:rPr>
      </w:pPr>
      <w:r>
        <w:rPr>
          <w:rFonts w:hint="eastAsia"/>
          <w:bCs/>
          <w:sz w:val="24"/>
          <w:szCs w:val="24"/>
        </w:rPr>
        <w:t>1)在日常工作中，负责制订和管理应急预案，配置应急人员、应急装备，对外签订相关应急支援协议，并制定应急演习工作计划和组织应急演习等；</w:t>
      </w:r>
    </w:p>
    <w:p>
      <w:pPr>
        <w:rPr>
          <w:bCs/>
          <w:sz w:val="24"/>
          <w:szCs w:val="24"/>
        </w:rPr>
      </w:pPr>
      <w:r>
        <w:rPr>
          <w:rFonts w:hint="eastAsia"/>
          <w:bCs/>
          <w:sz w:val="24"/>
          <w:szCs w:val="24"/>
        </w:rPr>
        <w:t>2)在事故发生时，负责应急指挥、调度、协调等工作，包括就是否需要外部应急救援力量做出决策。</w:t>
      </w:r>
    </w:p>
    <w:p>
      <w:pPr>
        <w:rPr>
          <w:bCs/>
          <w:sz w:val="24"/>
          <w:szCs w:val="24"/>
        </w:rPr>
      </w:pPr>
      <w:r>
        <w:rPr>
          <w:rFonts w:hint="eastAsia"/>
          <w:bCs/>
          <w:sz w:val="24"/>
          <w:szCs w:val="24"/>
        </w:rPr>
        <w:t>3)第一时间接警，启动紧急联络网，对整体行动进行指挥并保持联络，并根据事故等级下达启动应急预案指令，同时向地方政府和上级应急处理指挥部报告；</w:t>
      </w:r>
    </w:p>
    <w:p>
      <w:pPr>
        <w:rPr>
          <w:bCs/>
          <w:sz w:val="24"/>
          <w:szCs w:val="24"/>
        </w:rPr>
      </w:pPr>
      <w:r>
        <w:rPr>
          <w:rFonts w:hint="eastAsia"/>
          <w:bCs/>
          <w:sz w:val="24"/>
          <w:szCs w:val="24"/>
        </w:rPr>
        <w:t>4)负责制定危险废物事故的应急方案并组织现场实施，做好事故处置、控制和善后工作，消除事故影响；</w:t>
      </w:r>
    </w:p>
    <w:p>
      <w:pPr>
        <w:rPr>
          <w:bCs/>
          <w:sz w:val="24"/>
          <w:szCs w:val="24"/>
        </w:rPr>
      </w:pPr>
      <w:r>
        <w:rPr>
          <w:rFonts w:hint="eastAsia"/>
          <w:bCs/>
          <w:sz w:val="24"/>
          <w:szCs w:val="24"/>
        </w:rPr>
        <w:t>5)落实环境污染事故应急处理指挥部的指令。</w:t>
      </w:r>
    </w:p>
    <w:p>
      <w:pPr>
        <w:rPr>
          <w:bCs/>
          <w:sz w:val="24"/>
          <w:szCs w:val="24"/>
        </w:rPr>
      </w:pPr>
      <w:r>
        <w:rPr>
          <w:rFonts w:hint="eastAsia"/>
          <w:bCs/>
          <w:sz w:val="24"/>
          <w:szCs w:val="24"/>
        </w:rPr>
        <w:t>6)当紧急情况解除后，发出解除警报的信息。</w:t>
      </w:r>
    </w:p>
    <w:p>
      <w:pPr>
        <w:rPr>
          <w:bCs/>
          <w:sz w:val="24"/>
          <w:szCs w:val="24"/>
        </w:rPr>
      </w:pPr>
      <w:r>
        <w:rPr>
          <w:rFonts w:hint="eastAsia"/>
          <w:bCs/>
          <w:sz w:val="24"/>
          <w:szCs w:val="24"/>
        </w:rPr>
        <w:t>7)组织事故调查，评估事故损失情况，总结经验教训。</w:t>
      </w:r>
    </w:p>
    <w:p>
      <w:pPr>
        <w:ind w:firstLine="560"/>
        <w:rPr>
          <w:sz w:val="24"/>
          <w:szCs w:val="24"/>
        </w:rPr>
      </w:pPr>
      <w:r>
        <w:rPr>
          <w:rFonts w:hint="eastAsia"/>
          <w:bCs/>
          <w:sz w:val="24"/>
          <w:szCs w:val="24"/>
        </w:rPr>
        <w:t>8)督促做好重大紧急事故的预防措施和紧急救援的各项准备工作</w:t>
      </w:r>
      <w:r>
        <w:rPr>
          <w:rFonts w:hint="eastAsia"/>
          <w:sz w:val="24"/>
          <w:szCs w:val="24"/>
        </w:rPr>
        <w:t>。</w:t>
      </w:r>
    </w:p>
    <w:p>
      <w:pPr>
        <w:pStyle w:val="5"/>
        <w:rPr>
          <w:sz w:val="24"/>
          <w:szCs w:val="24"/>
        </w:rPr>
      </w:pPr>
      <w:bookmarkStart w:id="28" w:name="_Toc526520648"/>
      <w:bookmarkStart w:id="29" w:name="_Toc23956"/>
      <w:bookmarkStart w:id="30" w:name="_Toc527064037"/>
      <w:r>
        <w:rPr>
          <w:rFonts w:hint="eastAsia"/>
          <w:sz w:val="24"/>
          <w:szCs w:val="24"/>
        </w:rPr>
        <w:t>应急救援</w:t>
      </w:r>
      <w:r>
        <w:rPr>
          <w:rFonts w:hint="eastAsia"/>
          <w:sz w:val="24"/>
          <w:szCs w:val="24"/>
          <w:lang w:eastAsia="zh-CN"/>
        </w:rPr>
        <w:t>小组</w:t>
      </w:r>
      <w:r>
        <w:rPr>
          <w:rFonts w:hint="eastAsia"/>
          <w:sz w:val="24"/>
          <w:szCs w:val="24"/>
        </w:rPr>
        <w:t>职责</w:t>
      </w:r>
      <w:bookmarkEnd w:id="28"/>
      <w:bookmarkEnd w:id="29"/>
      <w:bookmarkEnd w:id="30"/>
    </w:p>
    <w:p>
      <w:pPr>
        <w:spacing w:line="360" w:lineRule="auto"/>
        <w:ind w:firstLine="480" w:firstLineChars="200"/>
        <w:rPr>
          <w:color w:val="000000"/>
          <w:sz w:val="24"/>
          <w:szCs w:val="24"/>
        </w:rPr>
      </w:pPr>
      <w:r>
        <w:rPr>
          <w:rFonts w:hAnsi="宋体"/>
          <w:color w:val="000000"/>
          <w:sz w:val="24"/>
          <w:szCs w:val="24"/>
        </w:rPr>
        <w:t>公司各职能部门和全体职工都负有事故应急救援的责任</w:t>
      </w:r>
      <w:r>
        <w:rPr>
          <w:rFonts w:hint="eastAsia"/>
          <w:color w:val="000000"/>
          <w:sz w:val="24"/>
          <w:szCs w:val="24"/>
        </w:rPr>
        <w:t>，</w:t>
      </w:r>
      <w:r>
        <w:rPr>
          <w:rFonts w:hAnsi="宋体"/>
          <w:color w:val="000000"/>
          <w:sz w:val="24"/>
          <w:szCs w:val="24"/>
        </w:rPr>
        <w:t>各救援专业队伍</w:t>
      </w:r>
      <w:r>
        <w:rPr>
          <w:rFonts w:hint="eastAsia"/>
          <w:color w:val="000000"/>
          <w:sz w:val="24"/>
          <w:szCs w:val="24"/>
        </w:rPr>
        <w:t>，</w:t>
      </w:r>
      <w:r>
        <w:rPr>
          <w:rFonts w:hAnsi="宋体"/>
          <w:color w:val="000000"/>
          <w:sz w:val="24"/>
          <w:szCs w:val="24"/>
        </w:rPr>
        <w:t>是事故应急救援的骨干力量</w:t>
      </w:r>
      <w:r>
        <w:rPr>
          <w:color w:val="000000"/>
          <w:sz w:val="24"/>
          <w:szCs w:val="24"/>
        </w:rPr>
        <w:t>,</w:t>
      </w:r>
      <w:r>
        <w:rPr>
          <w:rFonts w:hAnsi="宋体"/>
          <w:color w:val="000000"/>
          <w:sz w:val="24"/>
          <w:szCs w:val="24"/>
        </w:rPr>
        <w:t>其任务主要是担负本公司各类事故的救援及处置。</w:t>
      </w:r>
    </w:p>
    <w:p>
      <w:pPr>
        <w:pStyle w:val="16"/>
        <w:spacing w:line="480" w:lineRule="exact"/>
        <w:ind w:left="0"/>
        <w:outlineLvl w:val="9"/>
        <w:rPr>
          <w:rFonts w:ascii="Times New Roman" w:hAnsi="Times New Roman"/>
          <w:b/>
          <w:bCs/>
          <w:sz w:val="24"/>
          <w:szCs w:val="24"/>
        </w:rPr>
      </w:pPr>
      <w:bookmarkStart w:id="31" w:name="_Toc26574"/>
      <w:bookmarkStart w:id="32" w:name="_Toc10229516"/>
      <w:bookmarkStart w:id="33" w:name="_Toc525997837"/>
      <w:bookmarkStart w:id="34" w:name="_Toc11511378"/>
      <w:r>
        <w:rPr>
          <w:rFonts w:hint="eastAsia" w:ascii="Times New Roman" w:hAnsi="Times New Roman"/>
          <w:b/>
          <w:bCs/>
          <w:sz w:val="24"/>
          <w:szCs w:val="24"/>
          <w:lang w:val="en-US" w:eastAsia="zh-CN"/>
        </w:rPr>
        <w:t>1）</w:t>
      </w:r>
      <w:r>
        <w:rPr>
          <w:rFonts w:ascii="Times New Roman" w:hAnsi="Times New Roman"/>
          <w:b/>
          <w:bCs/>
          <w:sz w:val="24"/>
          <w:szCs w:val="24"/>
        </w:rPr>
        <w:t>应急指挥中心</w:t>
      </w:r>
      <w:bookmarkEnd w:id="31"/>
      <w:bookmarkEnd w:id="32"/>
      <w:bookmarkEnd w:id="33"/>
      <w:bookmarkEnd w:id="34"/>
    </w:p>
    <w:p>
      <w:pPr>
        <w:pStyle w:val="16"/>
        <w:spacing w:line="480" w:lineRule="exact"/>
        <w:ind w:left="0" w:firstLine="480" w:firstLineChars="200"/>
        <w:jc w:val="both"/>
        <w:outlineLvl w:val="9"/>
        <w:rPr>
          <w:rFonts w:ascii="Times New Roman" w:hAnsi="Times New Roman"/>
          <w:color w:val="FF0000"/>
          <w:sz w:val="24"/>
          <w:szCs w:val="24"/>
        </w:rPr>
      </w:pPr>
      <w:r>
        <w:rPr>
          <w:rFonts w:hint="eastAsia" w:ascii="Times New Roman" w:hAnsi="Times New Roman" w:cs="Times New Roman"/>
          <w:b w:val="0"/>
          <w:bCs w:val="0"/>
          <w:sz w:val="24"/>
          <w:szCs w:val="24"/>
          <w:lang w:eastAsia="zh-CN"/>
        </w:rPr>
        <w:t>南昌慧华高科混凝土</w:t>
      </w:r>
      <w:r>
        <w:rPr>
          <w:rFonts w:hint="eastAsia" w:ascii="Times New Roman" w:hAnsi="Times New Roman"/>
          <w:sz w:val="24"/>
          <w:szCs w:val="24"/>
        </w:rPr>
        <w:t>有限公司</w:t>
      </w:r>
      <w:r>
        <w:rPr>
          <w:rFonts w:ascii="Times New Roman" w:hAnsi="Times New Roman"/>
          <w:sz w:val="24"/>
          <w:szCs w:val="24"/>
        </w:rPr>
        <w:t>的应急指挥中心由总指挥、副总指挥、应急办公室组成，事件发生时，应急指挥中心自动转换为现场指挥部。应急指挥中心总指挥为转为现场指挥部总指挥，副总指挥转为现场指挥部副总指挥。“应急办公室”由</w:t>
      </w:r>
      <w:r>
        <w:rPr>
          <w:rFonts w:hint="eastAsia" w:ascii="Times New Roman" w:hAnsi="Times New Roman"/>
          <w:sz w:val="24"/>
          <w:szCs w:val="24"/>
          <w:lang w:eastAsia="zh-CN"/>
        </w:rPr>
        <w:t>周剑文</w:t>
      </w:r>
      <w:r>
        <w:rPr>
          <w:rFonts w:ascii="Times New Roman" w:hAnsi="Times New Roman"/>
          <w:sz w:val="24"/>
          <w:szCs w:val="24"/>
        </w:rPr>
        <w:t>负责。</w:t>
      </w:r>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应急指挥中心在发生突发环境事件时，负责应急指挥、调度、协调等工作，包括就是否需要外部应急/救援力量做出决策。</w:t>
      </w:r>
    </w:p>
    <w:p>
      <w:pPr>
        <w:pStyle w:val="30"/>
        <w:numPr>
          <w:ilvl w:val="0"/>
          <w:numId w:val="2"/>
        </w:numPr>
        <w:outlineLvl w:val="9"/>
        <w:rPr>
          <w:rFonts w:ascii="Times New Roman" w:hAnsi="Times New Roman"/>
          <w:smallCaps/>
          <w:color w:val="auto"/>
          <w:kern w:val="2"/>
          <w:sz w:val="24"/>
          <w:szCs w:val="24"/>
          <w:lang w:val="en-US" w:eastAsia="zh-CN" w:bidi="ar-SA"/>
        </w:rPr>
      </w:pPr>
      <w:r>
        <w:rPr>
          <w:color w:val="auto"/>
          <w:sz w:val="24"/>
          <w:szCs w:val="24"/>
        </w:rPr>
        <w:t>总指挥</w:t>
      </w:r>
      <w:r>
        <w:rPr>
          <w:rFonts w:ascii="Times New Roman" w:hAnsi="Times New Roman"/>
          <w:smallCaps/>
          <w:color w:val="auto"/>
          <w:kern w:val="2"/>
          <w:sz w:val="24"/>
          <w:szCs w:val="24"/>
          <w:lang w:val="en-US" w:eastAsia="zh-CN" w:bidi="ar-SA"/>
        </w:rPr>
        <w:t>：</w:t>
      </w:r>
      <w:r>
        <w:rPr>
          <w:rFonts w:hint="eastAsia"/>
          <w:smallCaps/>
          <w:color w:val="auto"/>
          <w:kern w:val="2"/>
          <w:sz w:val="24"/>
          <w:szCs w:val="24"/>
          <w:lang w:val="en-US" w:eastAsia="zh-CN" w:bidi="ar-SA"/>
        </w:rPr>
        <w:t>周剑文</w:t>
      </w:r>
    </w:p>
    <w:p>
      <w:pPr>
        <w:pStyle w:val="30"/>
        <w:numPr>
          <w:ilvl w:val="0"/>
          <w:numId w:val="2"/>
        </w:numPr>
        <w:outlineLvl w:val="9"/>
        <w:rPr>
          <w:color w:val="auto"/>
          <w:sz w:val="24"/>
          <w:szCs w:val="24"/>
        </w:rPr>
      </w:pPr>
      <w:r>
        <w:rPr>
          <w:color w:val="auto"/>
          <w:sz w:val="24"/>
          <w:szCs w:val="24"/>
        </w:rPr>
        <w:t>职责：</w:t>
      </w:r>
    </w:p>
    <w:p>
      <w:pPr>
        <w:pStyle w:val="30"/>
        <w:outlineLvl w:val="9"/>
        <w:rPr>
          <w:color w:val="auto"/>
          <w:sz w:val="24"/>
          <w:szCs w:val="24"/>
        </w:rPr>
      </w:pPr>
      <w:r>
        <w:rPr>
          <w:color w:val="auto"/>
          <w:sz w:val="24"/>
          <w:szCs w:val="24"/>
        </w:rPr>
        <w:t>（1）负责组织指挥全厂的应急救援工作；</w:t>
      </w:r>
    </w:p>
    <w:p>
      <w:pPr>
        <w:pStyle w:val="30"/>
        <w:outlineLvl w:val="9"/>
        <w:rPr>
          <w:color w:val="auto"/>
          <w:sz w:val="24"/>
          <w:szCs w:val="24"/>
        </w:rPr>
      </w:pPr>
      <w:r>
        <w:rPr>
          <w:color w:val="auto"/>
          <w:sz w:val="24"/>
          <w:szCs w:val="24"/>
        </w:rPr>
        <w:t>（2）配置应急救援的人力资源、资金和应急物资；</w:t>
      </w:r>
    </w:p>
    <w:p>
      <w:pPr>
        <w:pStyle w:val="30"/>
        <w:outlineLvl w:val="9"/>
        <w:rPr>
          <w:color w:val="auto"/>
          <w:sz w:val="24"/>
          <w:szCs w:val="24"/>
        </w:rPr>
      </w:pPr>
      <w:r>
        <w:rPr>
          <w:color w:val="auto"/>
          <w:sz w:val="24"/>
          <w:szCs w:val="24"/>
        </w:rPr>
        <w:t>（3）向政府各相关部门报告事故情况及处置情况；</w:t>
      </w:r>
    </w:p>
    <w:p>
      <w:pPr>
        <w:pStyle w:val="30"/>
        <w:outlineLvl w:val="9"/>
        <w:rPr>
          <w:color w:val="auto"/>
          <w:sz w:val="24"/>
          <w:szCs w:val="24"/>
        </w:rPr>
      </w:pPr>
      <w:r>
        <w:rPr>
          <w:color w:val="auto"/>
          <w:sz w:val="24"/>
          <w:szCs w:val="24"/>
        </w:rPr>
        <w:t>（4）配合、协助政府部门做好事故的应急救援。</w:t>
      </w:r>
    </w:p>
    <w:p>
      <w:pPr>
        <w:pStyle w:val="30"/>
        <w:outlineLvl w:val="9"/>
        <w:rPr>
          <w:rFonts w:ascii="Times New Roman" w:hAnsi="Times New Roman"/>
          <w:smallCaps/>
          <w:color w:val="auto"/>
          <w:kern w:val="2"/>
          <w:sz w:val="24"/>
          <w:szCs w:val="24"/>
          <w:lang w:val="en-US" w:eastAsia="zh-CN" w:bidi="ar-SA"/>
        </w:rPr>
      </w:pPr>
      <w:r>
        <w:rPr>
          <w:color w:val="auto"/>
          <w:sz w:val="24"/>
          <w:szCs w:val="24"/>
        </w:rPr>
        <w:t>2、副总指挥</w:t>
      </w:r>
      <w:r>
        <w:rPr>
          <w:rFonts w:ascii="Times New Roman" w:hAnsi="Times New Roman"/>
          <w:smallCaps/>
          <w:color w:val="auto"/>
          <w:kern w:val="2"/>
          <w:sz w:val="24"/>
          <w:szCs w:val="24"/>
          <w:lang w:val="en-US" w:eastAsia="zh-CN" w:bidi="ar-SA"/>
        </w:rPr>
        <w:t>：</w:t>
      </w:r>
      <w:r>
        <w:rPr>
          <w:rFonts w:hint="eastAsia"/>
          <w:smallCaps/>
          <w:color w:val="auto"/>
          <w:kern w:val="2"/>
          <w:sz w:val="24"/>
          <w:szCs w:val="24"/>
          <w:lang w:val="en-US" w:eastAsia="zh-CN" w:bidi="ar-SA"/>
        </w:rPr>
        <w:t>胡文斌</w:t>
      </w:r>
    </w:p>
    <w:p>
      <w:pPr>
        <w:pStyle w:val="30"/>
        <w:outlineLvl w:val="9"/>
        <w:rPr>
          <w:color w:val="auto"/>
          <w:sz w:val="24"/>
          <w:szCs w:val="24"/>
        </w:rPr>
      </w:pPr>
      <w:r>
        <w:rPr>
          <w:color w:val="auto"/>
          <w:sz w:val="24"/>
          <w:szCs w:val="24"/>
        </w:rPr>
        <w:t>职责：</w:t>
      </w:r>
    </w:p>
    <w:p>
      <w:pPr>
        <w:pStyle w:val="30"/>
        <w:outlineLvl w:val="9"/>
        <w:rPr>
          <w:color w:val="auto"/>
          <w:sz w:val="24"/>
          <w:szCs w:val="24"/>
        </w:rPr>
      </w:pPr>
      <w:r>
        <w:rPr>
          <w:color w:val="auto"/>
          <w:sz w:val="24"/>
          <w:szCs w:val="24"/>
        </w:rPr>
        <w:t>（1）协助总指挥负责应急救援的具体指挥工作；</w:t>
      </w:r>
    </w:p>
    <w:p>
      <w:pPr>
        <w:pStyle w:val="30"/>
        <w:outlineLvl w:val="9"/>
        <w:rPr>
          <w:color w:val="auto"/>
          <w:sz w:val="24"/>
          <w:szCs w:val="24"/>
        </w:rPr>
      </w:pPr>
      <w:r>
        <w:rPr>
          <w:color w:val="auto"/>
          <w:sz w:val="24"/>
          <w:szCs w:val="24"/>
        </w:rPr>
        <w:t>（2）协助总指挥做好事故报警、情况通报及事故处置工作；</w:t>
      </w:r>
    </w:p>
    <w:p>
      <w:pPr>
        <w:pStyle w:val="30"/>
        <w:outlineLvl w:val="9"/>
        <w:rPr>
          <w:color w:val="auto"/>
          <w:sz w:val="24"/>
          <w:szCs w:val="24"/>
        </w:rPr>
      </w:pPr>
      <w:r>
        <w:rPr>
          <w:color w:val="auto"/>
          <w:sz w:val="24"/>
          <w:szCs w:val="24"/>
        </w:rPr>
        <w:t>（3）负责灭火、警戒、治安保卫、疏散、道路管制工作；</w:t>
      </w:r>
    </w:p>
    <w:p>
      <w:pPr>
        <w:pStyle w:val="30"/>
        <w:outlineLvl w:val="9"/>
        <w:rPr>
          <w:color w:val="auto"/>
          <w:sz w:val="24"/>
          <w:szCs w:val="24"/>
        </w:rPr>
      </w:pPr>
      <w:r>
        <w:rPr>
          <w:color w:val="auto"/>
          <w:sz w:val="24"/>
          <w:szCs w:val="24"/>
        </w:rPr>
        <w:t>（4）协助总指挥负责工程抢险、抢修的现场指挥；</w:t>
      </w:r>
    </w:p>
    <w:p>
      <w:pPr>
        <w:pStyle w:val="30"/>
        <w:outlineLvl w:val="9"/>
        <w:rPr>
          <w:color w:val="auto"/>
          <w:sz w:val="24"/>
          <w:szCs w:val="24"/>
        </w:rPr>
      </w:pPr>
      <w:r>
        <w:rPr>
          <w:color w:val="auto"/>
          <w:sz w:val="24"/>
          <w:szCs w:val="24"/>
        </w:rPr>
        <w:t>（5）负责现场医疗救护指挥及中毒、受伤人员分类抢救和护送转院工作。</w:t>
      </w:r>
    </w:p>
    <w:p>
      <w:pPr>
        <w:pStyle w:val="16"/>
        <w:spacing w:line="480" w:lineRule="exact"/>
        <w:ind w:left="0"/>
        <w:outlineLvl w:val="9"/>
        <w:rPr>
          <w:rFonts w:ascii="Times New Roman" w:hAnsi="Times New Roman"/>
          <w:b/>
          <w:bCs/>
          <w:sz w:val="24"/>
          <w:szCs w:val="24"/>
        </w:rPr>
      </w:pPr>
      <w:bookmarkStart w:id="35" w:name="_Toc10229517"/>
      <w:bookmarkStart w:id="36" w:name="_Toc13601"/>
      <w:bookmarkStart w:id="37" w:name="_Toc8122"/>
      <w:bookmarkStart w:id="38" w:name="_Toc11511379"/>
      <w:bookmarkStart w:id="39" w:name="_Toc525997838"/>
      <w:bookmarkStart w:id="40" w:name="_Toc521359811"/>
      <w:r>
        <w:rPr>
          <w:rFonts w:hint="eastAsia" w:ascii="Times New Roman" w:hAnsi="Times New Roman"/>
          <w:b/>
          <w:bCs/>
          <w:sz w:val="24"/>
          <w:szCs w:val="24"/>
          <w:lang w:val="en-US" w:eastAsia="zh-CN"/>
        </w:rPr>
        <w:t>2）</w:t>
      </w:r>
      <w:r>
        <w:rPr>
          <w:rFonts w:ascii="Times New Roman" w:hAnsi="Times New Roman"/>
          <w:b/>
          <w:bCs/>
          <w:sz w:val="24"/>
          <w:szCs w:val="24"/>
        </w:rPr>
        <w:t>应急办公室</w:t>
      </w:r>
      <w:bookmarkEnd w:id="35"/>
      <w:bookmarkEnd w:id="36"/>
      <w:bookmarkEnd w:id="37"/>
      <w:bookmarkEnd w:id="38"/>
      <w:bookmarkEnd w:id="39"/>
      <w:bookmarkEnd w:id="40"/>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应急办公室受应急指挥中心直接领导，负责处理应急指挥中心的日常事务，应急预案的编制与管理，对外联络，应急物资的贮备管理等。</w:t>
      </w:r>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应急办公室机构职责：</w:t>
      </w:r>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（1）服从应急指挥中心的领导，处理应急指挥中心的日常应急工作以及突发环境事件时的工作；</w:t>
      </w:r>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（2）每日例行巡检厂区内各可能发生环境污染危害行为的区域，发现问题及时纠正并排除隐患；</w:t>
      </w:r>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（3）每日例行巡检厂区内应急抢险救援设备、救援物资是否完好及到位，发现问题及时维修救援设备及补充救援物资，保证物资落实到位；</w:t>
      </w:r>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（4）每年组织1次以上突发环境事件应急演练等；</w:t>
      </w:r>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（5）负责厂区《环境污染事件应急预案》的制定、修订；</w:t>
      </w:r>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（6）检查、督促做好突发环境事故的预防措施和应急救援的各项准备工作。</w:t>
      </w:r>
    </w:p>
    <w:p>
      <w:pPr>
        <w:pStyle w:val="16"/>
        <w:spacing w:line="480" w:lineRule="exact"/>
        <w:ind w:left="0"/>
        <w:outlineLvl w:val="9"/>
        <w:rPr>
          <w:rFonts w:ascii="Times New Roman" w:hAnsi="Times New Roman"/>
          <w:b/>
          <w:bCs/>
          <w:sz w:val="24"/>
          <w:szCs w:val="24"/>
        </w:rPr>
      </w:pPr>
      <w:bookmarkStart w:id="41" w:name="_Toc10229518"/>
      <w:bookmarkStart w:id="42" w:name="_Toc521359812"/>
      <w:bookmarkStart w:id="43" w:name="_Toc15714"/>
      <w:bookmarkStart w:id="44" w:name="_Toc525997839"/>
      <w:bookmarkStart w:id="45" w:name="_Toc11511380"/>
      <w:bookmarkStart w:id="46" w:name="_Toc17628"/>
      <w:r>
        <w:rPr>
          <w:rFonts w:hint="eastAsia" w:ascii="Times New Roman" w:hAnsi="Times New Roman"/>
          <w:b/>
          <w:bCs/>
          <w:sz w:val="24"/>
          <w:szCs w:val="24"/>
          <w:lang w:val="en-US" w:eastAsia="zh-CN"/>
        </w:rPr>
        <w:t>3）</w:t>
      </w:r>
      <w:r>
        <w:rPr>
          <w:rFonts w:ascii="Times New Roman" w:hAnsi="Times New Roman"/>
          <w:b/>
          <w:bCs/>
          <w:sz w:val="24"/>
          <w:szCs w:val="24"/>
        </w:rPr>
        <w:t>现场指挥部</w:t>
      </w:r>
      <w:bookmarkEnd w:id="41"/>
      <w:bookmarkEnd w:id="42"/>
      <w:bookmarkEnd w:id="43"/>
      <w:bookmarkEnd w:id="44"/>
      <w:bookmarkEnd w:id="45"/>
      <w:bookmarkEnd w:id="46"/>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当发生突发事故（件）时，立即启动应急救援预案，应急指挥中心自动转化成“现场指挥部”，现场指挥部所有成员参加事故现场应急救援指挥工作。如总指挥不在企业时，副总指挥全权负责事故应急救援指挥工作。总指挥和副总指挥皆不在企业时，由值班负责人全权负责事故应急救援指挥工作。</w:t>
      </w:r>
    </w:p>
    <w:p>
      <w:pPr>
        <w:spacing w:line="440" w:lineRule="exact"/>
        <w:outlineLvl w:val="9"/>
        <w:rPr>
          <w:rFonts w:ascii="Times New Roman" w:hAnsi="Times New Roman"/>
          <w:b/>
          <w:bCs/>
          <w:sz w:val="24"/>
          <w:szCs w:val="24"/>
        </w:rPr>
      </w:pPr>
      <w:bookmarkStart w:id="47" w:name="_Toc24982"/>
      <w:bookmarkStart w:id="48" w:name="_Toc10229520"/>
      <w:bookmarkStart w:id="49" w:name="_Toc11511382"/>
      <w:bookmarkStart w:id="50" w:name="_Toc9744"/>
      <w:r>
        <w:rPr>
          <w:rFonts w:hint="eastAsia" w:ascii="Times New Roman" w:hAnsi="Times New Roman"/>
          <w:b/>
          <w:bCs/>
          <w:sz w:val="24"/>
          <w:szCs w:val="24"/>
          <w:lang w:val="en-US" w:eastAsia="zh-CN"/>
        </w:rPr>
        <w:t>4）</w:t>
      </w:r>
      <w:r>
        <w:rPr>
          <w:rFonts w:ascii="Times New Roman" w:hAnsi="Times New Roman"/>
          <w:b/>
          <w:bCs/>
          <w:sz w:val="24"/>
          <w:szCs w:val="24"/>
        </w:rPr>
        <w:t>现场处置组</w:t>
      </w:r>
      <w:bookmarkEnd w:id="47"/>
      <w:bookmarkEnd w:id="48"/>
      <w:bookmarkEnd w:id="49"/>
      <w:bookmarkEnd w:id="50"/>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由</w:t>
      </w:r>
      <w:r>
        <w:rPr>
          <w:rFonts w:hint="eastAsia" w:ascii="Times New Roman" w:hAnsi="Times New Roman"/>
          <w:sz w:val="24"/>
          <w:szCs w:val="24"/>
          <w:lang w:eastAsia="zh-CN"/>
        </w:rPr>
        <w:t>陈勇</w:t>
      </w:r>
      <w:r>
        <w:rPr>
          <w:rFonts w:ascii="Times New Roman" w:hAnsi="Times New Roman"/>
          <w:sz w:val="24"/>
          <w:szCs w:val="24"/>
        </w:rPr>
        <w:t>担任现场处置小组组长，生产员工经培训后担任现场处置小组成员。当发生事故时，依据污染防治的程序，进行现场救援活动，并参与生产恢复工作，具体职责如下：</w:t>
      </w:r>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（1）协助预防各区域可能发生的环境污染危害行为；</w:t>
      </w:r>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（2）应急处理，制定排险、抢险方案；</w:t>
      </w:r>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（3）提出落实抢险救援装置、设备抢修所需物资；</w:t>
      </w:r>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（4）组织落实排险、抢险方案，控制事故蔓延；</w:t>
      </w:r>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（5）依现场状况，按照救援程序，进行现场援救活动，并按事件的发展，将事件发展信息向应急指挥中心汇报；</w:t>
      </w:r>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（6）参与事故调查。</w:t>
      </w:r>
    </w:p>
    <w:p>
      <w:pPr>
        <w:spacing w:line="440" w:lineRule="exact"/>
        <w:outlineLvl w:val="9"/>
        <w:rPr>
          <w:rFonts w:ascii="Times New Roman" w:hAnsi="Times New Roman"/>
          <w:b/>
          <w:bCs/>
          <w:sz w:val="24"/>
          <w:szCs w:val="24"/>
        </w:rPr>
      </w:pPr>
      <w:bookmarkStart w:id="51" w:name="_Toc20810"/>
      <w:bookmarkStart w:id="52" w:name="_Toc11511383"/>
      <w:bookmarkStart w:id="53" w:name="_Toc10229521"/>
      <w:bookmarkStart w:id="54" w:name="_Toc14870"/>
      <w:r>
        <w:rPr>
          <w:rFonts w:hint="eastAsia" w:ascii="Times New Roman" w:hAnsi="Times New Roman"/>
          <w:b/>
          <w:bCs/>
          <w:sz w:val="24"/>
          <w:szCs w:val="24"/>
          <w:lang w:val="en-US" w:eastAsia="zh-CN"/>
        </w:rPr>
        <w:t>5）</w:t>
      </w:r>
      <w:r>
        <w:rPr>
          <w:rFonts w:ascii="Times New Roman" w:hAnsi="Times New Roman"/>
          <w:b/>
          <w:bCs/>
          <w:sz w:val="24"/>
          <w:szCs w:val="24"/>
        </w:rPr>
        <w:t>应急医疗组</w:t>
      </w:r>
      <w:bookmarkEnd w:id="51"/>
      <w:bookmarkEnd w:id="52"/>
      <w:bookmarkEnd w:id="53"/>
      <w:bookmarkEnd w:id="54"/>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应急医疗组组长由</w:t>
      </w:r>
      <w:r>
        <w:rPr>
          <w:rFonts w:hint="eastAsia" w:ascii="Times New Roman" w:hAnsi="Times New Roman"/>
          <w:sz w:val="24"/>
          <w:szCs w:val="24"/>
          <w:lang w:eastAsia="zh-CN"/>
        </w:rPr>
        <w:t>应雪霞</w:t>
      </w:r>
      <w:r>
        <w:rPr>
          <w:rFonts w:ascii="Times New Roman" w:hAnsi="Times New Roman"/>
          <w:sz w:val="24"/>
          <w:szCs w:val="24"/>
        </w:rPr>
        <w:t>担任，配合医疗卫生部门对受伤人员展开救援工作，其主要职责：</w:t>
      </w:r>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lang w:eastAsia="zh-CN"/>
        </w:rPr>
        <w:t>南昌慧华高科</w:t>
      </w:r>
      <w:r>
        <w:rPr>
          <w:rFonts w:hint="eastAsia" w:ascii="Times New Roman" w:hAnsi="Times New Roman" w:cs="Times New Roman"/>
          <w:b w:val="0"/>
          <w:bCs w:val="0"/>
          <w:sz w:val="24"/>
          <w:szCs w:val="24"/>
          <w:lang w:eastAsia="zh-CN"/>
        </w:rPr>
        <w:t>混凝土</w:t>
      </w:r>
      <w:r>
        <w:rPr>
          <w:rFonts w:hint="eastAsia" w:ascii="Times New Roman" w:hAnsi="Times New Roman"/>
          <w:sz w:val="24"/>
          <w:szCs w:val="24"/>
        </w:rPr>
        <w:t>有限公司</w:t>
      </w:r>
      <w:r>
        <w:rPr>
          <w:rFonts w:ascii="Times New Roman" w:hAnsi="Times New Roman"/>
          <w:sz w:val="24"/>
          <w:szCs w:val="24"/>
        </w:rPr>
        <w:t>不具备医疗救治能力，联络</w:t>
      </w:r>
      <w:r>
        <w:rPr>
          <w:rFonts w:hint="eastAsia" w:ascii="Times New Roman" w:hAnsi="Times New Roman"/>
          <w:sz w:val="24"/>
          <w:szCs w:val="24"/>
          <w:lang w:eastAsia="zh-CN"/>
        </w:rPr>
        <w:t>南昌</w:t>
      </w:r>
      <w:r>
        <w:rPr>
          <w:rFonts w:ascii="Times New Roman" w:hAnsi="Times New Roman"/>
          <w:sz w:val="24"/>
          <w:szCs w:val="24"/>
        </w:rPr>
        <w:t>市人民医院（120）；</w:t>
      </w:r>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（2）做好医疗救护应急药品及卫生防护药品等物质的储存与保护；</w:t>
      </w:r>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（3）对伤员进行急救处理，积极配合医院开展救治工作。</w:t>
      </w:r>
    </w:p>
    <w:p>
      <w:pPr>
        <w:spacing w:line="440" w:lineRule="exact"/>
        <w:outlineLvl w:val="9"/>
        <w:rPr>
          <w:rFonts w:ascii="Times New Roman" w:hAnsi="Times New Roman"/>
          <w:b/>
          <w:bCs/>
          <w:sz w:val="24"/>
          <w:szCs w:val="24"/>
        </w:rPr>
      </w:pPr>
      <w:bookmarkStart w:id="55" w:name="_Toc10229522"/>
      <w:bookmarkStart w:id="56" w:name="_Toc21993"/>
      <w:bookmarkStart w:id="57" w:name="_Toc488"/>
      <w:bookmarkStart w:id="58" w:name="_Toc11511384"/>
      <w:r>
        <w:rPr>
          <w:rFonts w:hint="eastAsia" w:ascii="Times New Roman" w:hAnsi="Times New Roman"/>
          <w:b/>
          <w:bCs/>
          <w:sz w:val="24"/>
          <w:szCs w:val="24"/>
          <w:lang w:val="en-US" w:eastAsia="zh-CN"/>
        </w:rPr>
        <w:t>6）</w:t>
      </w:r>
      <w:r>
        <w:rPr>
          <w:rFonts w:ascii="Times New Roman" w:hAnsi="Times New Roman"/>
          <w:b/>
          <w:bCs/>
          <w:sz w:val="24"/>
          <w:szCs w:val="24"/>
        </w:rPr>
        <w:t>信息通讯组</w:t>
      </w:r>
      <w:bookmarkEnd w:id="55"/>
      <w:bookmarkEnd w:id="56"/>
      <w:bookmarkEnd w:id="57"/>
      <w:bookmarkEnd w:id="58"/>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信息通讯组由</w:t>
      </w:r>
      <w:r>
        <w:rPr>
          <w:rFonts w:hint="eastAsia" w:ascii="Times New Roman" w:hAnsi="Times New Roman"/>
          <w:sz w:val="24"/>
          <w:szCs w:val="24"/>
          <w:lang w:eastAsia="zh-CN"/>
        </w:rPr>
        <w:t>叶明明</w:t>
      </w:r>
      <w:r>
        <w:rPr>
          <w:rFonts w:ascii="Times New Roman" w:hAnsi="Times New Roman"/>
          <w:sz w:val="24"/>
          <w:szCs w:val="24"/>
        </w:rPr>
        <w:t>担任组长，环境事件发生时主要负责对内、外信息报送和指令传达等任务。启动应急预案的第一时间打电话向有关部门报告，配合应急指挥中心做好内外的联络通信工作。</w:t>
      </w:r>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（1）及时向应急指挥中心报告发生在本企业的突发环境事件处置的实时进展情况；</w:t>
      </w:r>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（2）负责厂区突发环境事件的具体处置的指导、协调和督促；</w:t>
      </w:r>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（3）发生突发事件或发现负面报道后，及时向应急指挥中心报告并提出工作建议；</w:t>
      </w:r>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（4）向周边居民、企业、政府部门通报事故情况；</w:t>
      </w:r>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（5）配合政府部门开展媒体应对。</w:t>
      </w:r>
    </w:p>
    <w:p>
      <w:pPr>
        <w:spacing w:line="440" w:lineRule="exact"/>
        <w:outlineLvl w:val="9"/>
        <w:rPr>
          <w:rFonts w:ascii="Times New Roman" w:hAnsi="Times New Roman"/>
          <w:b/>
          <w:bCs/>
          <w:sz w:val="24"/>
          <w:szCs w:val="24"/>
        </w:rPr>
      </w:pPr>
      <w:bookmarkStart w:id="59" w:name="_Toc32414"/>
      <w:bookmarkStart w:id="60" w:name="_Toc10229523"/>
      <w:bookmarkStart w:id="61" w:name="_Toc11511385"/>
      <w:bookmarkStart w:id="62" w:name="_Toc13801"/>
      <w:r>
        <w:rPr>
          <w:rFonts w:hint="eastAsia" w:ascii="Times New Roman" w:hAnsi="Times New Roman"/>
          <w:b/>
          <w:bCs/>
          <w:sz w:val="24"/>
          <w:szCs w:val="24"/>
          <w:lang w:val="en-US" w:eastAsia="zh-CN"/>
        </w:rPr>
        <w:t>7）</w:t>
      </w:r>
      <w:r>
        <w:rPr>
          <w:rFonts w:ascii="Times New Roman" w:hAnsi="Times New Roman"/>
          <w:b/>
          <w:bCs/>
          <w:sz w:val="24"/>
          <w:szCs w:val="24"/>
        </w:rPr>
        <w:t>应急监测组</w:t>
      </w:r>
      <w:bookmarkEnd w:id="59"/>
      <w:bookmarkEnd w:id="60"/>
      <w:bookmarkEnd w:id="61"/>
      <w:bookmarkEnd w:id="62"/>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应急监测组组长由</w:t>
      </w:r>
      <w:r>
        <w:rPr>
          <w:rFonts w:hint="eastAsia" w:ascii="Times New Roman" w:hAnsi="Times New Roman"/>
          <w:sz w:val="24"/>
          <w:szCs w:val="24"/>
          <w:lang w:eastAsia="zh-CN"/>
        </w:rPr>
        <w:t>杨武</w:t>
      </w:r>
      <w:r>
        <w:rPr>
          <w:rFonts w:ascii="Times New Roman" w:hAnsi="Times New Roman"/>
          <w:sz w:val="24"/>
          <w:szCs w:val="24"/>
        </w:rPr>
        <w:t>担任，配合环保部门对周围环境进行布点监测，及时向应急指挥中心提供监测数据。</w:t>
      </w:r>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（1）监控事件救援过程中的污染物产生量；</w:t>
      </w:r>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（2）开展厂区内自行污染指标监测；</w:t>
      </w:r>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（3）</w:t>
      </w:r>
      <w:r>
        <w:rPr>
          <w:rFonts w:hint="eastAsia" w:ascii="Times New Roman" w:hAnsi="Times New Roman"/>
          <w:sz w:val="24"/>
          <w:szCs w:val="24"/>
          <w:lang w:eastAsia="zh-CN"/>
        </w:rPr>
        <w:t>南昌慧华高科</w:t>
      </w:r>
      <w:r>
        <w:rPr>
          <w:rFonts w:hint="eastAsia" w:ascii="Times New Roman" w:hAnsi="Times New Roman" w:cs="Times New Roman"/>
          <w:b w:val="0"/>
          <w:bCs w:val="0"/>
          <w:sz w:val="24"/>
          <w:szCs w:val="24"/>
          <w:lang w:eastAsia="zh-CN"/>
        </w:rPr>
        <w:t>混凝土</w:t>
      </w:r>
      <w:r>
        <w:rPr>
          <w:rFonts w:hint="eastAsia" w:ascii="Times New Roman" w:hAnsi="Times New Roman"/>
          <w:sz w:val="24"/>
          <w:szCs w:val="24"/>
        </w:rPr>
        <w:t>有限公司</w:t>
      </w:r>
      <w:r>
        <w:rPr>
          <w:rFonts w:ascii="Times New Roman" w:hAnsi="Times New Roman"/>
          <w:sz w:val="24"/>
          <w:szCs w:val="24"/>
        </w:rPr>
        <w:t>不具备监测能力，联络</w:t>
      </w:r>
      <w:r>
        <w:rPr>
          <w:rFonts w:ascii="MicrosoftYaHei" w:hAnsi="MicrosoftYaHei" w:eastAsia="MicrosoftYaHei" w:cs="MicrosoftYaHei"/>
          <w:i w:val="0"/>
          <w:caps w:val="0"/>
          <w:color w:val="000000"/>
          <w:spacing w:val="0"/>
          <w:sz w:val="24"/>
          <w:szCs w:val="24"/>
          <w:u w:val="none"/>
          <w:shd w:val="clear" w:color="auto" w:fill="FFFFFF"/>
        </w:rPr>
        <w:fldChar w:fldCharType="begin"/>
      </w:r>
      <w:r>
        <w:rPr>
          <w:rFonts w:ascii="MicrosoftYaHei" w:hAnsi="MicrosoftYaHei" w:eastAsia="MicrosoftYaHei" w:cs="MicrosoftYaHei"/>
          <w:i w:val="0"/>
          <w:caps w:val="0"/>
          <w:color w:val="000000"/>
          <w:spacing w:val="0"/>
          <w:sz w:val="24"/>
          <w:szCs w:val="24"/>
          <w:u w:val="none"/>
          <w:shd w:val="clear" w:color="auto" w:fill="FFFFFF"/>
        </w:rPr>
        <w:instrText xml:space="preserve"> HYPERLINK "http://www.qianlima.com/zb/detail/20191128_161441544.html" </w:instrText>
      </w:r>
      <w:r>
        <w:rPr>
          <w:rFonts w:ascii="MicrosoftYaHei" w:hAnsi="MicrosoftYaHei" w:eastAsia="MicrosoftYaHei" w:cs="MicrosoftYaHei"/>
          <w:i w:val="0"/>
          <w:caps w:val="0"/>
          <w:color w:val="000000"/>
          <w:spacing w:val="0"/>
          <w:sz w:val="24"/>
          <w:szCs w:val="24"/>
          <w:u w:val="none"/>
          <w:shd w:val="clear" w:color="auto" w:fill="FFFFFF"/>
        </w:rPr>
        <w:fldChar w:fldCharType="separate"/>
      </w:r>
      <w:r>
        <w:rPr>
          <w:rFonts w:hint="eastAsia" w:ascii="MicrosoftYaHei" w:hAnsi="MicrosoftYaHei" w:eastAsia="宋体" w:cs="MicrosoftYaHei"/>
          <w:i w:val="0"/>
          <w:caps w:val="0"/>
          <w:color w:val="000000"/>
          <w:spacing w:val="0"/>
          <w:sz w:val="24"/>
          <w:szCs w:val="24"/>
          <w:u w:val="none"/>
          <w:shd w:val="clear" w:color="auto" w:fill="FFFFFF"/>
          <w:lang w:eastAsia="zh-CN"/>
        </w:rPr>
        <w:t>南昌</w:t>
      </w:r>
      <w:r>
        <w:rPr>
          <w:rStyle w:val="20"/>
          <w:rFonts w:hint="default" w:ascii="MicrosoftYaHei" w:hAnsi="MicrosoftYaHei" w:eastAsia="MicrosoftYaHei" w:cs="MicrosoftYaHei"/>
          <w:i w:val="0"/>
          <w:caps w:val="0"/>
          <w:color w:val="000000"/>
          <w:spacing w:val="0"/>
          <w:sz w:val="24"/>
          <w:szCs w:val="24"/>
          <w:u w:val="none"/>
          <w:shd w:val="clear" w:color="auto" w:fill="FFFFFF"/>
        </w:rPr>
        <w:t>市</w:t>
      </w:r>
      <w:r>
        <w:rPr>
          <w:rStyle w:val="20"/>
          <w:rFonts w:hint="eastAsia" w:ascii="MicrosoftYaHei" w:hAnsi="MicrosoftYaHei" w:eastAsia="宋体" w:cs="MicrosoftYaHei"/>
          <w:i w:val="0"/>
          <w:caps w:val="0"/>
          <w:color w:val="000000"/>
          <w:spacing w:val="0"/>
          <w:sz w:val="24"/>
          <w:szCs w:val="24"/>
          <w:u w:val="none"/>
          <w:shd w:val="clear" w:color="auto" w:fill="FFFFFF"/>
          <w:lang w:eastAsia="zh-CN"/>
        </w:rPr>
        <w:t>昌北</w:t>
      </w:r>
      <w:r>
        <w:rPr>
          <w:rStyle w:val="20"/>
          <w:rFonts w:hint="default" w:ascii="MicrosoftYaHei" w:hAnsi="MicrosoftYaHei" w:eastAsia="MicrosoftYaHei" w:cs="MicrosoftYaHei"/>
          <w:i w:val="0"/>
          <w:caps w:val="0"/>
          <w:color w:val="000000"/>
          <w:spacing w:val="0"/>
          <w:sz w:val="24"/>
          <w:szCs w:val="24"/>
          <w:u w:val="none"/>
          <w:shd w:val="clear" w:color="auto" w:fill="FFFFFF"/>
        </w:rPr>
        <w:t>生态环境局</w:t>
      </w:r>
      <w:r>
        <w:rPr>
          <w:rFonts w:hint="default" w:ascii="MicrosoftYaHei" w:hAnsi="MicrosoftYaHei" w:eastAsia="MicrosoftYaHei" w:cs="MicrosoftYaHei"/>
          <w:i w:val="0"/>
          <w:caps w:val="0"/>
          <w:color w:val="000000"/>
          <w:spacing w:val="0"/>
          <w:sz w:val="24"/>
          <w:szCs w:val="24"/>
          <w:u w:val="none"/>
          <w:shd w:val="clear" w:color="auto" w:fill="FFFFFF"/>
        </w:rPr>
        <w:fldChar w:fldCharType="end"/>
      </w:r>
      <w:r>
        <w:rPr>
          <w:rFonts w:ascii="Times New Roman" w:hAnsi="Times New Roman"/>
          <w:sz w:val="24"/>
          <w:szCs w:val="24"/>
        </w:rPr>
        <w:t>（079</w:t>
      </w:r>
      <w:r>
        <w:rPr>
          <w:rFonts w:hint="eastAsia" w:ascii="Times New Roman" w:hAnsi="Times New Roman"/>
          <w:sz w:val="24"/>
          <w:szCs w:val="24"/>
          <w:lang w:val="en-US" w:eastAsia="zh-CN"/>
        </w:rPr>
        <w:t>1</w:t>
      </w:r>
      <w:r>
        <w:rPr>
          <w:rFonts w:ascii="Times New Roman" w:hAnsi="Times New Roman"/>
          <w:sz w:val="24"/>
          <w:szCs w:val="24"/>
        </w:rPr>
        <w:t>-</w:t>
      </w:r>
      <w:r>
        <w:rPr>
          <w:rFonts w:hint="eastAsia" w:ascii="Times New Roman" w:hAnsi="Times New Roman"/>
          <w:sz w:val="24"/>
          <w:szCs w:val="24"/>
          <w:lang w:val="en-US" w:eastAsia="zh-CN"/>
        </w:rPr>
        <w:t>83805600</w:t>
      </w:r>
      <w:r>
        <w:rPr>
          <w:rFonts w:ascii="Times New Roman" w:hAnsi="Times New Roman"/>
          <w:sz w:val="24"/>
          <w:szCs w:val="24"/>
        </w:rPr>
        <w:t>）。协调应急监测人员开展厂区环境应急监测工作，并将监测结果向应急指挥中心报告；</w:t>
      </w:r>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（4）组织制定事件应急处置结束后受污染场所的环境修复方案；</w:t>
      </w:r>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（5）组织协调相关部门对事件造成的环境影响进行分析评估，形成事件环境影响评估报告。</w:t>
      </w:r>
    </w:p>
    <w:p>
      <w:pPr>
        <w:spacing w:line="440" w:lineRule="exact"/>
        <w:outlineLvl w:val="9"/>
        <w:rPr>
          <w:rFonts w:ascii="Times New Roman" w:hAnsi="Times New Roman"/>
          <w:b/>
          <w:bCs/>
          <w:sz w:val="24"/>
          <w:szCs w:val="24"/>
        </w:rPr>
      </w:pPr>
      <w:bookmarkStart w:id="63" w:name="_Toc10229524"/>
      <w:bookmarkStart w:id="64" w:name="_Toc20781"/>
      <w:bookmarkStart w:id="65" w:name="_Toc11388"/>
      <w:bookmarkStart w:id="66" w:name="_Toc11511386"/>
      <w:r>
        <w:rPr>
          <w:rFonts w:hint="eastAsia" w:ascii="Times New Roman" w:hAnsi="Times New Roman"/>
          <w:b/>
          <w:bCs/>
          <w:sz w:val="24"/>
          <w:szCs w:val="24"/>
          <w:lang w:val="en-US" w:eastAsia="zh-CN"/>
        </w:rPr>
        <w:t>8）</w:t>
      </w:r>
      <w:r>
        <w:rPr>
          <w:rFonts w:ascii="Times New Roman" w:hAnsi="Times New Roman"/>
          <w:b/>
          <w:bCs/>
          <w:sz w:val="24"/>
          <w:szCs w:val="24"/>
        </w:rPr>
        <w:t>后勤保障组</w:t>
      </w:r>
      <w:bookmarkEnd w:id="63"/>
      <w:bookmarkEnd w:id="64"/>
      <w:bookmarkEnd w:id="65"/>
      <w:bookmarkEnd w:id="66"/>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由</w:t>
      </w:r>
      <w:r>
        <w:rPr>
          <w:rFonts w:hint="eastAsia" w:ascii="Times New Roman" w:hAnsi="Times New Roman"/>
          <w:sz w:val="24"/>
          <w:szCs w:val="24"/>
          <w:lang w:eastAsia="zh-CN"/>
        </w:rPr>
        <w:t>刘芳</w:t>
      </w:r>
      <w:r>
        <w:rPr>
          <w:rFonts w:ascii="Times New Roman" w:hAnsi="Times New Roman"/>
          <w:sz w:val="24"/>
          <w:szCs w:val="24"/>
        </w:rPr>
        <w:t>担任后勤保障组组长，负责应急物资供应以及后勤保障工作，其主要职责：</w:t>
      </w:r>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（1）负责污染防治物资、设施、装备、器材、防护用品等的及时供应及保障；</w:t>
      </w:r>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（2）协助疏散及安顿员工；</w:t>
      </w:r>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（3）协助伤员救护、运转及安抚工作；</w:t>
      </w:r>
    </w:p>
    <w:p>
      <w:pPr>
        <w:pStyle w:val="16"/>
        <w:spacing w:line="480" w:lineRule="exact"/>
        <w:ind w:left="0" w:firstLine="480" w:firstLineChars="200"/>
        <w:outlineLvl w:val="9"/>
        <w:rPr>
          <w:rFonts w:ascii="Times New Roman" w:hAnsi="Times New Roman"/>
          <w:sz w:val="24"/>
          <w:szCs w:val="24"/>
        </w:rPr>
      </w:pPr>
      <w:r>
        <w:rPr>
          <w:rFonts w:ascii="Times New Roman" w:hAnsi="Times New Roman"/>
          <w:sz w:val="24"/>
          <w:szCs w:val="24"/>
        </w:rPr>
        <w:t>（4）做好紧急情况发生时必要物资的储备、采购与发放工作；</w:t>
      </w:r>
    </w:p>
    <w:p>
      <w:pPr>
        <w:spacing w:line="440" w:lineRule="exact"/>
        <w:outlineLvl w:val="9"/>
        <w:rPr>
          <w:rFonts w:ascii="Times New Roman" w:hAnsi="Times New Roman"/>
          <w:b/>
          <w:bCs/>
          <w:sz w:val="24"/>
          <w:szCs w:val="24"/>
        </w:rPr>
      </w:pPr>
      <w:bookmarkStart w:id="67" w:name="_Toc11511387"/>
      <w:bookmarkStart w:id="68" w:name="_Toc13875"/>
      <w:bookmarkStart w:id="69" w:name="_Toc10229525"/>
      <w:bookmarkStart w:id="70" w:name="_Toc2002"/>
      <w:r>
        <w:rPr>
          <w:rFonts w:hint="eastAsia" w:ascii="Times New Roman" w:hAnsi="Times New Roman"/>
          <w:b/>
          <w:bCs/>
          <w:sz w:val="24"/>
          <w:szCs w:val="24"/>
          <w:lang w:val="en-US" w:eastAsia="zh-CN"/>
        </w:rPr>
        <w:t>9）</w:t>
      </w:r>
      <w:r>
        <w:rPr>
          <w:rFonts w:ascii="Times New Roman" w:hAnsi="Times New Roman"/>
          <w:b/>
          <w:bCs/>
          <w:sz w:val="24"/>
          <w:szCs w:val="24"/>
        </w:rPr>
        <w:t>安全保卫组</w:t>
      </w:r>
      <w:bookmarkEnd w:id="67"/>
      <w:bookmarkEnd w:id="68"/>
      <w:bookmarkEnd w:id="69"/>
      <w:bookmarkEnd w:id="70"/>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安全保卫组由</w:t>
      </w:r>
      <w:r>
        <w:rPr>
          <w:rFonts w:hint="eastAsia" w:ascii="Times New Roman" w:hAnsi="Times New Roman"/>
          <w:sz w:val="24"/>
          <w:szCs w:val="24"/>
          <w:lang w:eastAsia="zh-CN"/>
        </w:rPr>
        <w:t>夏友谊</w:t>
      </w:r>
      <w:r>
        <w:rPr>
          <w:rFonts w:ascii="Times New Roman" w:hAnsi="Times New Roman"/>
          <w:sz w:val="24"/>
          <w:szCs w:val="24"/>
        </w:rPr>
        <w:t>、生产成员组成，主要负责事故发生后人员的紧急疏散、现场警戒、秩序维护、安全救护等。</w:t>
      </w:r>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（1）执行应急指挥中心命令，组织人员紧急疏散及秩序维护措施；</w:t>
      </w:r>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（2）进行现场警戒及保卫工作；</w:t>
      </w:r>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（3）对受伤人员进行安全救护，清点统计人员受灾情况；</w:t>
      </w:r>
    </w:p>
    <w:p>
      <w:pPr>
        <w:pStyle w:val="16"/>
        <w:spacing w:line="480" w:lineRule="exact"/>
        <w:ind w:left="0" w:firstLine="480" w:firstLineChars="200"/>
        <w:jc w:val="both"/>
        <w:outlineLvl w:val="9"/>
        <w:rPr>
          <w:rFonts w:ascii="Times New Roman" w:hAnsi="Times New Roman"/>
          <w:sz w:val="24"/>
          <w:szCs w:val="24"/>
        </w:rPr>
      </w:pPr>
      <w:r>
        <w:rPr>
          <w:rFonts w:ascii="Times New Roman" w:hAnsi="Times New Roman"/>
          <w:sz w:val="24"/>
          <w:szCs w:val="24"/>
        </w:rPr>
        <w:t>（4）根据警情迅速组织出警、参与泄漏控制、参与制定灭火方案、组织控制火势、火灾现场人员搜救、灭火抢险物资的保管及补充事故调查。</w:t>
      </w:r>
    </w:p>
    <w:p>
      <w:pPr>
        <w:spacing w:line="360" w:lineRule="auto"/>
        <w:ind w:firstLine="480" w:firstLineChars="200"/>
        <w:outlineLvl w:val="9"/>
        <w:rPr>
          <w:color w:val="000000"/>
          <w:sz w:val="24"/>
          <w:szCs w:val="24"/>
        </w:rPr>
      </w:pPr>
      <w:r>
        <w:rPr>
          <w:rFonts w:hAnsi="宋体"/>
          <w:color w:val="000000"/>
          <w:sz w:val="24"/>
          <w:szCs w:val="24"/>
        </w:rPr>
        <w:t>应急救援指挥及各小组通信联络表见</w:t>
      </w:r>
      <w:r>
        <w:rPr>
          <w:rFonts w:hint="eastAsia" w:hAnsi="宋体"/>
          <w:color w:val="000000"/>
          <w:sz w:val="24"/>
          <w:szCs w:val="24"/>
          <w:lang w:eastAsia="zh-CN"/>
        </w:rPr>
        <w:t>表</w:t>
      </w:r>
      <w:r>
        <w:rPr>
          <w:rFonts w:hint="eastAsia" w:hAnsi="宋体"/>
          <w:color w:val="000000"/>
          <w:sz w:val="24"/>
          <w:szCs w:val="24"/>
          <w:lang w:val="en-US" w:eastAsia="zh-CN"/>
        </w:rPr>
        <w:t>3-1</w:t>
      </w:r>
      <w:r>
        <w:rPr>
          <w:rFonts w:hAnsi="宋体"/>
          <w:color w:val="000000"/>
          <w:sz w:val="24"/>
          <w:szCs w:val="24"/>
        </w:rPr>
        <w:t>。</w:t>
      </w:r>
    </w:p>
    <w:p>
      <w:pPr>
        <w:spacing w:line="360" w:lineRule="auto"/>
        <w:ind w:firstLine="480" w:firstLineChars="200"/>
        <w:outlineLvl w:val="9"/>
        <w:rPr>
          <w:color w:val="000000"/>
          <w:sz w:val="24"/>
          <w:szCs w:val="24"/>
        </w:rPr>
      </w:pPr>
      <w:r>
        <w:rPr>
          <w:rFonts w:hAnsi="宋体"/>
          <w:color w:val="000000"/>
          <w:sz w:val="24"/>
          <w:szCs w:val="24"/>
        </w:rPr>
        <w:t>应急救援工作中人员替补规定：</w:t>
      </w:r>
    </w:p>
    <w:p>
      <w:pPr>
        <w:spacing w:line="360" w:lineRule="auto"/>
        <w:ind w:firstLine="480" w:firstLineChars="200"/>
        <w:outlineLvl w:val="9"/>
        <w:rPr>
          <w:color w:val="000000"/>
          <w:sz w:val="24"/>
          <w:szCs w:val="24"/>
        </w:rPr>
      </w:pPr>
      <w:r>
        <w:rPr>
          <w:rFonts w:hAnsi="宋体"/>
          <w:color w:val="000000"/>
          <w:sz w:val="24"/>
          <w:szCs w:val="24"/>
        </w:rPr>
        <w:t>（</w:t>
      </w:r>
      <w:r>
        <w:rPr>
          <w:color w:val="000000"/>
          <w:sz w:val="24"/>
          <w:szCs w:val="24"/>
        </w:rPr>
        <w:t>1</w:t>
      </w:r>
      <w:r>
        <w:rPr>
          <w:rFonts w:hAnsi="宋体"/>
          <w:color w:val="000000"/>
          <w:sz w:val="24"/>
          <w:szCs w:val="24"/>
        </w:rPr>
        <w:t>）公司应急总指挥离岗时，由公司副总经理履行应急救援指挥中心中指挥职责。</w:t>
      </w:r>
    </w:p>
    <w:p>
      <w:pPr>
        <w:spacing w:line="360" w:lineRule="auto"/>
        <w:ind w:firstLine="480" w:firstLineChars="200"/>
        <w:outlineLvl w:val="9"/>
        <w:rPr>
          <w:color w:val="000000"/>
          <w:sz w:val="24"/>
          <w:szCs w:val="24"/>
        </w:rPr>
      </w:pPr>
      <w:r>
        <w:rPr>
          <w:rFonts w:hAnsi="宋体"/>
          <w:color w:val="000000"/>
          <w:sz w:val="24"/>
          <w:szCs w:val="24"/>
        </w:rPr>
        <w:t>（</w:t>
      </w:r>
      <w:r>
        <w:rPr>
          <w:color w:val="000000"/>
          <w:sz w:val="24"/>
          <w:szCs w:val="24"/>
        </w:rPr>
        <w:t>2</w:t>
      </w:r>
      <w:r>
        <w:rPr>
          <w:rFonts w:hAnsi="宋体"/>
          <w:color w:val="000000"/>
          <w:sz w:val="24"/>
          <w:szCs w:val="24"/>
        </w:rPr>
        <w:t>）部门正职离岗时，由被授权的副职履行其职责。</w:t>
      </w:r>
    </w:p>
    <w:p>
      <w:pPr>
        <w:pStyle w:val="16"/>
        <w:outlineLvl w:val="9"/>
        <w:rPr>
          <w:rFonts w:hint="eastAsia" w:eastAsia="宋体"/>
          <w:sz w:val="24"/>
          <w:szCs w:val="24"/>
          <w:lang w:val="en-US" w:eastAsia="zh-CN"/>
        </w:rPr>
      </w:pPr>
      <w:r>
        <w:rPr>
          <w:rFonts w:hAnsi="宋体"/>
          <w:color w:val="000000"/>
          <w:sz w:val="24"/>
          <w:szCs w:val="24"/>
        </w:rPr>
        <w:t>（</w:t>
      </w:r>
      <w:r>
        <w:rPr>
          <w:color w:val="000000"/>
          <w:sz w:val="24"/>
          <w:szCs w:val="24"/>
        </w:rPr>
        <w:t>3</w:t>
      </w:r>
      <w:r>
        <w:rPr>
          <w:rFonts w:hAnsi="宋体"/>
          <w:color w:val="000000"/>
          <w:sz w:val="24"/>
          <w:szCs w:val="24"/>
        </w:rPr>
        <w:t>）其他人员离岗时，应该取得其所在小组负责人的同意，委托或者调换岗位时需经过副总指挥批准同意</w:t>
      </w:r>
      <w:r>
        <w:rPr>
          <w:rFonts w:hint="eastAsia"/>
          <w:sz w:val="24"/>
          <w:szCs w:val="24"/>
          <w:lang w:val="en-US" w:eastAsia="zh-CN"/>
        </w:rPr>
        <w:t>。</w:t>
      </w:r>
    </w:p>
    <w:p>
      <w:pPr>
        <w:pStyle w:val="4"/>
        <w:rPr>
          <w:sz w:val="24"/>
          <w:szCs w:val="24"/>
        </w:rPr>
      </w:pPr>
      <w:bookmarkStart w:id="71" w:name="_Toc526520651"/>
      <w:bookmarkStart w:id="72" w:name="_Toc527064040"/>
      <w:bookmarkStart w:id="73" w:name="_Toc16177"/>
      <w:r>
        <w:rPr>
          <w:rFonts w:hint="eastAsia"/>
          <w:sz w:val="24"/>
          <w:szCs w:val="24"/>
        </w:rPr>
        <w:t>外部救援人力资源</w:t>
      </w:r>
      <w:bookmarkEnd w:id="71"/>
      <w:bookmarkEnd w:id="72"/>
      <w:bookmarkEnd w:id="73"/>
    </w:p>
    <w:p>
      <w:pPr>
        <w:pStyle w:val="5"/>
        <w:rPr>
          <w:sz w:val="24"/>
          <w:szCs w:val="24"/>
        </w:rPr>
      </w:pPr>
      <w:bookmarkStart w:id="74" w:name="_Toc14505"/>
      <w:r>
        <w:rPr>
          <w:rFonts w:hint="eastAsia"/>
          <w:sz w:val="24"/>
          <w:szCs w:val="24"/>
        </w:rPr>
        <w:t>政府协调应急救援力量</w:t>
      </w:r>
      <w:bookmarkEnd w:id="74"/>
    </w:p>
    <w:p>
      <w:pPr>
        <w:ind w:firstLine="560"/>
        <w:rPr>
          <w:sz w:val="24"/>
          <w:szCs w:val="24"/>
        </w:rPr>
      </w:pPr>
      <w:r>
        <w:rPr>
          <w:rFonts w:hint="eastAsia"/>
          <w:sz w:val="24"/>
          <w:szCs w:val="24"/>
        </w:rPr>
        <w:t>外部救援机构均为政府职能部门或服务型机构，公司虽未与有关部门签订应急救援协议或互救协议，一旦发生突发环境事件，通过信息传递需要实施外部救援时，相关部门本着“以人为本、快速响应”的原则，有责任和义务对本公司进行应急救援。外部救援机构名单见下表。</w:t>
      </w:r>
    </w:p>
    <w:p>
      <w:pPr>
        <w:pStyle w:val="9"/>
        <w:keepNext/>
        <w:rPr>
          <w:rFonts w:hint="eastAsia"/>
          <w:b/>
          <w:bCs/>
          <w:sz w:val="24"/>
          <w:szCs w:val="24"/>
        </w:rPr>
      </w:pPr>
      <w:r>
        <w:rPr>
          <w:rFonts w:hint="eastAsia"/>
          <w:b/>
          <w:bCs/>
          <w:sz w:val="24"/>
          <w:szCs w:val="24"/>
        </w:rPr>
        <w:t xml:space="preserve">表 </w:t>
      </w:r>
      <w:r>
        <w:rPr>
          <w:b/>
          <w:bCs/>
          <w:sz w:val="24"/>
          <w:szCs w:val="24"/>
        </w:rPr>
        <w:fldChar w:fldCharType="begin"/>
      </w:r>
      <w:r>
        <w:rPr>
          <w:b/>
          <w:bCs/>
          <w:sz w:val="24"/>
          <w:szCs w:val="24"/>
        </w:rPr>
        <w:instrText xml:space="preserve"> </w:instrText>
      </w:r>
      <w:r>
        <w:rPr>
          <w:rFonts w:hint="eastAsia"/>
          <w:b/>
          <w:bCs/>
          <w:sz w:val="24"/>
          <w:szCs w:val="24"/>
        </w:rPr>
        <w:instrText xml:space="preserve">STYLEREF 1 \s</w:instrText>
      </w:r>
      <w:r>
        <w:rPr>
          <w:b/>
          <w:bCs/>
          <w:sz w:val="24"/>
          <w:szCs w:val="24"/>
        </w:rPr>
        <w:instrText xml:space="preserve"> </w:instrText>
      </w:r>
      <w:r>
        <w:rPr>
          <w:b/>
          <w:bCs/>
          <w:sz w:val="24"/>
          <w:szCs w:val="24"/>
        </w:rPr>
        <w:fldChar w:fldCharType="separate"/>
      </w:r>
      <w:r>
        <w:rPr>
          <w:b/>
          <w:bCs/>
          <w:sz w:val="24"/>
          <w:szCs w:val="24"/>
        </w:rPr>
        <w:t>3</w:t>
      </w:r>
      <w:r>
        <w:rPr>
          <w:b/>
          <w:bCs/>
          <w:sz w:val="24"/>
          <w:szCs w:val="24"/>
        </w:rPr>
        <w:fldChar w:fldCharType="end"/>
      </w:r>
      <w:r>
        <w:rPr>
          <w:b/>
          <w:bCs/>
          <w:sz w:val="24"/>
          <w:szCs w:val="24"/>
        </w:rPr>
        <w:noBreakHyphen/>
      </w:r>
      <w:r>
        <w:rPr>
          <w:b/>
          <w:bCs/>
          <w:sz w:val="24"/>
          <w:szCs w:val="24"/>
        </w:rPr>
        <w:fldChar w:fldCharType="begin"/>
      </w:r>
      <w:r>
        <w:rPr>
          <w:b/>
          <w:bCs/>
          <w:sz w:val="24"/>
          <w:szCs w:val="24"/>
        </w:rPr>
        <w:instrText xml:space="preserve"> </w:instrText>
      </w:r>
      <w:r>
        <w:rPr>
          <w:rFonts w:hint="eastAsia"/>
          <w:b/>
          <w:bCs/>
          <w:sz w:val="24"/>
          <w:szCs w:val="24"/>
        </w:rPr>
        <w:instrText xml:space="preserve">SEQ 表 \* ARABIC \s 1</w:instrText>
      </w:r>
      <w:r>
        <w:rPr>
          <w:b/>
          <w:bCs/>
          <w:sz w:val="24"/>
          <w:szCs w:val="24"/>
        </w:rPr>
        <w:instrText xml:space="preserve"> </w:instrText>
      </w:r>
      <w:r>
        <w:rPr>
          <w:b/>
          <w:bCs/>
          <w:sz w:val="24"/>
          <w:szCs w:val="24"/>
        </w:rPr>
        <w:fldChar w:fldCharType="separate"/>
      </w:r>
      <w:r>
        <w:rPr>
          <w:b/>
          <w:bCs/>
          <w:sz w:val="24"/>
          <w:szCs w:val="24"/>
        </w:rPr>
        <w:t>2</w:t>
      </w:r>
      <w:r>
        <w:rPr>
          <w:b/>
          <w:bCs/>
          <w:sz w:val="24"/>
          <w:szCs w:val="24"/>
        </w:rPr>
        <w:fldChar w:fldCharType="end"/>
      </w:r>
      <w:r>
        <w:rPr>
          <w:rFonts w:hint="eastAsia"/>
          <w:b/>
          <w:bCs/>
          <w:sz w:val="24"/>
          <w:szCs w:val="24"/>
        </w:rPr>
        <w:t>外部救援机构联系方式</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7"/>
        <w:gridCol w:w="3724"/>
        <w:gridCol w:w="3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17"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序号</w:t>
            </w:r>
          </w:p>
        </w:tc>
        <w:tc>
          <w:tcPr>
            <w:tcW w:w="3724"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所在部门</w:t>
            </w:r>
          </w:p>
        </w:tc>
        <w:tc>
          <w:tcPr>
            <w:tcW w:w="3431"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值班电话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17"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w:t>
            </w:r>
          </w:p>
        </w:tc>
        <w:tc>
          <w:tcPr>
            <w:tcW w:w="3724"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公安</w:t>
            </w:r>
          </w:p>
        </w:tc>
        <w:tc>
          <w:tcPr>
            <w:tcW w:w="3431"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17"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w:t>
            </w:r>
          </w:p>
        </w:tc>
        <w:tc>
          <w:tcPr>
            <w:tcW w:w="3724"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急救</w:t>
            </w:r>
          </w:p>
        </w:tc>
        <w:tc>
          <w:tcPr>
            <w:tcW w:w="3431"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17"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3</w:t>
            </w:r>
          </w:p>
        </w:tc>
        <w:tc>
          <w:tcPr>
            <w:tcW w:w="3724"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火警</w:t>
            </w:r>
          </w:p>
        </w:tc>
        <w:tc>
          <w:tcPr>
            <w:tcW w:w="3431"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17" w:type="dxa"/>
            <w:noWrap w:val="0"/>
            <w:vAlign w:val="center"/>
          </w:tcPr>
          <w:p>
            <w:pPr>
              <w:widowControl w:val="0"/>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4</w:t>
            </w:r>
          </w:p>
        </w:tc>
        <w:tc>
          <w:tcPr>
            <w:tcW w:w="3724"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南昌市生态环境局昌北分局</w:t>
            </w:r>
          </w:p>
        </w:tc>
        <w:tc>
          <w:tcPr>
            <w:tcW w:w="3431"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ascii="Times New Roman" w:hAnsi="Times New Roman"/>
                <w:sz w:val="21"/>
                <w:szCs w:val="21"/>
              </w:rPr>
              <w:t>079</w:t>
            </w:r>
            <w:r>
              <w:rPr>
                <w:rFonts w:hint="eastAsia" w:ascii="Times New Roman" w:hAnsi="Times New Roman"/>
                <w:sz w:val="21"/>
                <w:szCs w:val="21"/>
                <w:lang w:val="en-US" w:eastAsia="zh-CN"/>
              </w:rPr>
              <w:t>1</w:t>
            </w:r>
            <w:r>
              <w:rPr>
                <w:rFonts w:ascii="Times New Roman" w:hAnsi="Times New Roman"/>
                <w:sz w:val="21"/>
                <w:szCs w:val="21"/>
              </w:rPr>
              <w:t>-</w:t>
            </w:r>
            <w:r>
              <w:rPr>
                <w:rFonts w:hint="eastAsia" w:ascii="Times New Roman" w:hAnsi="Times New Roman"/>
                <w:sz w:val="21"/>
                <w:szCs w:val="21"/>
                <w:lang w:val="en-US" w:eastAsia="zh-CN"/>
              </w:rPr>
              <w:t>83805600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17"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5</w:t>
            </w:r>
          </w:p>
        </w:tc>
        <w:tc>
          <w:tcPr>
            <w:tcW w:w="3724"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南昌市应急管理局</w:t>
            </w:r>
          </w:p>
        </w:tc>
        <w:tc>
          <w:tcPr>
            <w:tcW w:w="3431" w:type="dxa"/>
            <w:noWrap w:val="0"/>
            <w:vAlign w:val="center"/>
          </w:tcPr>
          <w:p>
            <w:pPr>
              <w:widowControl w:val="0"/>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0791-83986158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17"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7</w:t>
            </w:r>
          </w:p>
        </w:tc>
        <w:tc>
          <w:tcPr>
            <w:tcW w:w="3724"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南昌市公安局</w:t>
            </w:r>
          </w:p>
        </w:tc>
        <w:tc>
          <w:tcPr>
            <w:tcW w:w="3431"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0791-5215472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17"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8</w:t>
            </w:r>
          </w:p>
        </w:tc>
        <w:tc>
          <w:tcPr>
            <w:tcW w:w="3724"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南昌市自然资源局</w:t>
            </w:r>
          </w:p>
        </w:tc>
        <w:tc>
          <w:tcPr>
            <w:tcW w:w="3431" w:type="dxa"/>
            <w:noWrap w:val="0"/>
            <w:vAlign w:val="center"/>
          </w:tcPr>
          <w:p>
            <w:pPr>
              <w:widowControl w:val="0"/>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0791-83986657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17"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9</w:t>
            </w:r>
          </w:p>
        </w:tc>
        <w:tc>
          <w:tcPr>
            <w:tcW w:w="3724"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南昌市气象局</w:t>
            </w:r>
          </w:p>
        </w:tc>
        <w:tc>
          <w:tcPr>
            <w:tcW w:w="3431" w:type="dxa"/>
            <w:noWrap w:val="0"/>
            <w:vAlign w:val="center"/>
          </w:tcPr>
          <w:p>
            <w:pPr>
              <w:widowControl w:val="0"/>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0791-86224159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17"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10</w:t>
            </w:r>
          </w:p>
        </w:tc>
        <w:tc>
          <w:tcPr>
            <w:tcW w:w="3724"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南昌市应急救援支队</w:t>
            </w:r>
          </w:p>
        </w:tc>
        <w:tc>
          <w:tcPr>
            <w:tcW w:w="3431" w:type="dxa"/>
            <w:noWrap w:val="0"/>
            <w:vAlign w:val="center"/>
          </w:tcPr>
          <w:p>
            <w:pPr>
              <w:widowControl w:val="0"/>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0791-88446703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17"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12</w:t>
            </w:r>
          </w:p>
        </w:tc>
        <w:tc>
          <w:tcPr>
            <w:tcW w:w="3724"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南昌市市场监管局</w:t>
            </w:r>
          </w:p>
        </w:tc>
        <w:tc>
          <w:tcPr>
            <w:tcW w:w="3431" w:type="dxa"/>
            <w:noWrap w:val="0"/>
            <w:vAlign w:val="center"/>
          </w:tcPr>
          <w:p>
            <w:pPr>
              <w:widowControl w:val="0"/>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0791-88560129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17"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14</w:t>
            </w:r>
          </w:p>
        </w:tc>
        <w:tc>
          <w:tcPr>
            <w:tcW w:w="3724"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南昌市疾病预防控制中心</w:t>
            </w:r>
          </w:p>
        </w:tc>
        <w:tc>
          <w:tcPr>
            <w:tcW w:w="3431" w:type="dxa"/>
            <w:noWrap w:val="0"/>
            <w:vAlign w:val="center"/>
          </w:tcPr>
          <w:p>
            <w:pPr>
              <w:widowControl w:val="0"/>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0791-86363837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17"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15</w:t>
            </w:r>
          </w:p>
        </w:tc>
        <w:tc>
          <w:tcPr>
            <w:tcW w:w="3724"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昌北供电局</w:t>
            </w:r>
          </w:p>
        </w:tc>
        <w:tc>
          <w:tcPr>
            <w:tcW w:w="3431" w:type="dxa"/>
            <w:noWrap w:val="0"/>
            <w:vAlign w:val="center"/>
          </w:tcPr>
          <w:p>
            <w:pPr>
              <w:widowControl w:val="0"/>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0791-87336062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17"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17</w:t>
            </w:r>
          </w:p>
        </w:tc>
        <w:tc>
          <w:tcPr>
            <w:tcW w:w="3724"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国家化学事故应急咨询专线</w:t>
            </w:r>
          </w:p>
        </w:tc>
        <w:tc>
          <w:tcPr>
            <w:tcW w:w="3431"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053-83889090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17" w:type="dxa"/>
            <w:noWrap w:val="0"/>
            <w:vAlign w:val="center"/>
          </w:tcPr>
          <w:p>
            <w:pPr>
              <w:widowControl w:val="0"/>
              <w:spacing w:line="240" w:lineRule="auto"/>
              <w:jc w:val="center"/>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18</w:t>
            </w:r>
          </w:p>
        </w:tc>
        <w:tc>
          <w:tcPr>
            <w:tcW w:w="3724"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江西华检检测技术有限公司</w:t>
            </w:r>
          </w:p>
        </w:tc>
        <w:tc>
          <w:tcPr>
            <w:tcW w:w="3431" w:type="dxa"/>
            <w:noWrap w:val="0"/>
            <w:vAlign w:val="center"/>
          </w:tcPr>
          <w:p>
            <w:pPr>
              <w:widowControl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19979952299</w:t>
            </w:r>
          </w:p>
        </w:tc>
      </w:tr>
    </w:tbl>
    <w:p>
      <w:pPr>
        <w:pStyle w:val="5"/>
        <w:rPr>
          <w:sz w:val="24"/>
          <w:szCs w:val="24"/>
        </w:rPr>
      </w:pPr>
      <w:bookmarkStart w:id="75" w:name="_Toc26598"/>
      <w:r>
        <w:rPr>
          <w:rFonts w:hint="eastAsia"/>
          <w:sz w:val="24"/>
          <w:szCs w:val="24"/>
        </w:rPr>
        <w:t>单位互助</w:t>
      </w:r>
      <w:bookmarkEnd w:id="75"/>
    </w:p>
    <w:p>
      <w:pPr>
        <w:keepNext w:val="0"/>
        <w:keepLines w:val="0"/>
        <w:pageBreakBefore w:val="0"/>
        <w:widowControl w:val="0"/>
        <w:kinsoku/>
        <w:wordWrap/>
        <w:overflowPunct/>
        <w:topLinePunct w:val="0"/>
        <w:autoSpaceDE/>
        <w:autoSpaceDN/>
        <w:bidi w:val="0"/>
        <w:adjustRightInd/>
        <w:snapToGrid w:val="0"/>
        <w:ind w:firstLine="560"/>
        <w:textAlignment w:val="auto"/>
        <w:rPr>
          <w:rFonts w:hint="eastAsia"/>
          <w:sz w:val="24"/>
          <w:szCs w:val="24"/>
        </w:rPr>
      </w:pPr>
      <w:r>
        <w:rPr>
          <w:rFonts w:hint="eastAsia"/>
          <w:sz w:val="24"/>
          <w:szCs w:val="24"/>
        </w:rPr>
        <w:t>与公司最邻近的单位</w:t>
      </w:r>
      <w:r>
        <w:rPr>
          <w:rFonts w:hint="eastAsia" w:ascii="Times New Roman" w:hAnsi="Times New Roman" w:eastAsia="宋体"/>
          <w:sz w:val="24"/>
          <w:szCs w:val="24"/>
        </w:rPr>
        <w:t>为</w:t>
      </w:r>
      <w:r>
        <w:rPr>
          <w:rFonts w:hint="eastAsia" w:ascii="Times New Roman" w:hAnsi="Times New Roman" w:eastAsia="宋体"/>
          <w:sz w:val="24"/>
          <w:szCs w:val="24"/>
          <w:lang w:eastAsia="zh-CN"/>
        </w:rPr>
        <w:t>南昌华力超硬材料发展有限公司</w:t>
      </w:r>
      <w:r>
        <w:rPr>
          <w:rFonts w:hint="eastAsia" w:ascii="Times New Roman" w:hAnsi="Times New Roman" w:eastAsia="宋体"/>
          <w:sz w:val="24"/>
          <w:szCs w:val="24"/>
        </w:rPr>
        <w:t>，长期以来</w:t>
      </w:r>
      <w:r>
        <w:rPr>
          <w:rFonts w:hint="eastAsia"/>
          <w:sz w:val="24"/>
          <w:szCs w:val="24"/>
        </w:rPr>
        <w:t>，公司</w:t>
      </w:r>
      <w:r>
        <w:rPr>
          <w:rFonts w:hint="eastAsia"/>
          <w:sz w:val="24"/>
          <w:szCs w:val="24"/>
          <w:lang w:eastAsia="zh-CN"/>
        </w:rPr>
        <w:t>同周边企业</w:t>
      </w:r>
      <w:r>
        <w:rPr>
          <w:rFonts w:hint="eastAsia"/>
          <w:sz w:val="24"/>
          <w:szCs w:val="24"/>
        </w:rPr>
        <w:t>保持着良好的合作关系，相互依存，互利互惠。在事故时，能够给</w:t>
      </w:r>
      <w:r>
        <w:rPr>
          <w:rFonts w:hint="eastAsia"/>
          <w:sz w:val="24"/>
          <w:szCs w:val="24"/>
          <w:lang w:eastAsia="zh-CN"/>
        </w:rPr>
        <w:t>予</w:t>
      </w:r>
      <w:r>
        <w:rPr>
          <w:rFonts w:hint="eastAsia"/>
          <w:sz w:val="24"/>
          <w:szCs w:val="24"/>
        </w:rPr>
        <w:t>公司运输、人员、救治以及救援部分物资等方面的帮助。同时也能够依据救援需要，提供其他相应支持。一旦发生重大环境事件，本单位抢救抢险力量不够时，或有可能危及社会安全时，指挥部</w:t>
      </w:r>
      <w:r>
        <w:rPr>
          <w:rFonts w:hint="eastAsia"/>
          <w:sz w:val="24"/>
          <w:szCs w:val="24"/>
          <w:lang w:eastAsia="zh-CN"/>
        </w:rPr>
        <w:t>可向邻近单位申请支援，并</w:t>
      </w:r>
      <w:r>
        <w:rPr>
          <w:rFonts w:hint="eastAsia"/>
          <w:sz w:val="24"/>
          <w:szCs w:val="24"/>
        </w:rPr>
        <w:t>立即向</w:t>
      </w:r>
      <w:r>
        <w:rPr>
          <w:rFonts w:hint="eastAsia"/>
          <w:sz w:val="24"/>
          <w:szCs w:val="24"/>
          <w:lang w:eastAsia="zh-CN"/>
        </w:rPr>
        <w:t>南昌经济技术开发区</w:t>
      </w:r>
      <w:r>
        <w:rPr>
          <w:rFonts w:hint="eastAsia"/>
          <w:sz w:val="24"/>
          <w:szCs w:val="24"/>
        </w:rPr>
        <w:t>消防大队请求救援力量。</w:t>
      </w:r>
    </w:p>
    <w:p>
      <w:pPr>
        <w:pStyle w:val="9"/>
        <w:keepNext/>
        <w:rPr>
          <w:sz w:val="24"/>
          <w:szCs w:val="24"/>
        </w:rPr>
      </w:pPr>
      <w:r>
        <w:rPr>
          <w:rFonts w:hint="eastAsia"/>
          <w:sz w:val="24"/>
          <w:szCs w:val="24"/>
        </w:rPr>
        <w:t xml:space="preserve">表 </w:t>
      </w:r>
      <w:r>
        <w:rPr>
          <w:sz w:val="24"/>
          <w:szCs w:val="24"/>
        </w:rPr>
        <w:fldChar w:fldCharType="begin"/>
      </w:r>
      <w:r>
        <w:rPr>
          <w:sz w:val="24"/>
          <w:szCs w:val="24"/>
        </w:rPr>
        <w:instrText xml:space="preserve"> </w:instrText>
      </w:r>
      <w:r>
        <w:rPr>
          <w:rFonts w:hint="eastAsia"/>
          <w:sz w:val="24"/>
          <w:szCs w:val="24"/>
        </w:rPr>
        <w:instrText xml:space="preserve">STYLEREF 1 \s</w:instrText>
      </w:r>
      <w:r>
        <w:rPr>
          <w:sz w:val="24"/>
          <w:szCs w:val="24"/>
        </w:rPr>
        <w:instrText xml:space="preserve"> </w:instrText>
      </w:r>
      <w:r>
        <w:rPr>
          <w:sz w:val="24"/>
          <w:szCs w:val="24"/>
        </w:rPr>
        <w:fldChar w:fldCharType="separate"/>
      </w:r>
      <w:r>
        <w:rPr>
          <w:sz w:val="24"/>
          <w:szCs w:val="24"/>
        </w:rPr>
        <w:t>3</w:t>
      </w:r>
      <w:r>
        <w:rPr>
          <w:sz w:val="24"/>
          <w:szCs w:val="24"/>
        </w:rPr>
        <w:fldChar w:fldCharType="end"/>
      </w:r>
      <w:r>
        <w:rPr>
          <w:sz w:val="24"/>
          <w:szCs w:val="24"/>
        </w:rPr>
        <w:noBreakHyphen/>
      </w:r>
      <w:r>
        <w:rPr>
          <w:rFonts w:hint="eastAsia"/>
          <w:sz w:val="24"/>
          <w:szCs w:val="24"/>
          <w:lang w:val="en-US" w:eastAsia="zh-CN"/>
        </w:rPr>
        <w:t>3</w:t>
      </w:r>
      <w:r>
        <w:rPr>
          <w:rFonts w:hint="eastAsia"/>
          <w:sz w:val="24"/>
          <w:szCs w:val="24"/>
          <w:lang w:eastAsia="zh-CN"/>
        </w:rPr>
        <w:t>周边区域单位有关</w:t>
      </w:r>
      <w:r>
        <w:rPr>
          <w:rFonts w:hint="eastAsia"/>
          <w:sz w:val="24"/>
          <w:szCs w:val="24"/>
        </w:rPr>
        <w:t>联系方式</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8"/>
        <w:gridCol w:w="4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98" w:type="dxa"/>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contextualSpacing/>
              <w:jc w:val="center"/>
              <w:textAlignment w:val="auto"/>
              <w:rPr>
                <w:rFonts w:hint="eastAsia" w:cs="Times New Roman"/>
                <w:color w:val="000000"/>
                <w:kern w:val="0"/>
                <w:sz w:val="24"/>
                <w:szCs w:val="24"/>
                <w:lang w:eastAsia="zh-CN"/>
              </w:rPr>
            </w:pPr>
            <w:r>
              <w:rPr>
                <w:rFonts w:hint="eastAsia" w:cs="Times New Roman"/>
                <w:color w:val="000000"/>
                <w:kern w:val="0"/>
                <w:sz w:val="24"/>
                <w:szCs w:val="24"/>
                <w:lang w:eastAsia="zh-CN"/>
              </w:rPr>
              <w:t>单位名称</w:t>
            </w:r>
          </w:p>
        </w:tc>
        <w:tc>
          <w:tcPr>
            <w:tcW w:w="4446" w:type="dxa"/>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contextualSpacing/>
              <w:jc w:val="center"/>
              <w:textAlignment w:val="auto"/>
              <w:rPr>
                <w:rFonts w:hint="eastAsia" w:cs="Times New Roman"/>
                <w:color w:val="000000"/>
                <w:kern w:val="0"/>
                <w:sz w:val="24"/>
                <w:szCs w:val="24"/>
                <w:lang w:eastAsia="zh-CN"/>
              </w:rPr>
            </w:pPr>
            <w:r>
              <w:rPr>
                <w:rFonts w:hint="eastAsia" w:cs="Times New Roman"/>
                <w:color w:val="000000"/>
                <w:kern w:val="0"/>
                <w:sz w:val="24"/>
                <w:szCs w:val="24"/>
                <w:lang w:eastAsia="zh-CN"/>
              </w:rPr>
              <w:t>联系人及联系电话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98" w:type="dxa"/>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contextualSpacing/>
              <w:jc w:val="center"/>
              <w:textAlignment w:val="auto"/>
              <w:rPr>
                <w:rFonts w:hint="eastAsia" w:cs="Times New Roman"/>
                <w:color w:val="000000"/>
                <w:kern w:val="0"/>
                <w:sz w:val="24"/>
                <w:szCs w:val="24"/>
                <w:lang w:eastAsia="zh-CN"/>
              </w:rPr>
            </w:pPr>
            <w:r>
              <w:rPr>
                <w:rFonts w:hint="eastAsia" w:cs="Times New Roman"/>
                <w:color w:val="000000"/>
                <w:kern w:val="0"/>
                <w:sz w:val="24"/>
                <w:szCs w:val="24"/>
                <w:lang w:eastAsia="zh-CN"/>
              </w:rPr>
              <w:t>南昌华力超硬材料发展有限公司</w:t>
            </w:r>
          </w:p>
        </w:tc>
        <w:tc>
          <w:tcPr>
            <w:tcW w:w="4446" w:type="dxa"/>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contextualSpacing/>
              <w:jc w:val="center"/>
              <w:textAlignment w:val="auto"/>
              <w:rPr>
                <w:rFonts w:hint="default" w:cs="Times New Roman"/>
                <w:color w:val="000000"/>
                <w:kern w:val="0"/>
                <w:sz w:val="24"/>
                <w:szCs w:val="24"/>
                <w:lang w:val="en-US" w:eastAsia="zh-CN"/>
              </w:rPr>
            </w:pPr>
            <w:r>
              <w:rPr>
                <w:rFonts w:hint="eastAsia" w:cs="Times New Roman"/>
                <w:color w:val="000000"/>
                <w:kern w:val="0"/>
                <w:sz w:val="24"/>
                <w:szCs w:val="24"/>
                <w:lang w:eastAsia="zh-CN"/>
              </w:rPr>
              <w:t>刘德力13807007279</w:t>
            </w:r>
          </w:p>
        </w:tc>
      </w:tr>
    </w:tbl>
    <w:p>
      <w:pPr>
        <w:pStyle w:val="3"/>
      </w:pPr>
      <w:bookmarkStart w:id="76" w:name="_Toc526520652"/>
      <w:bookmarkStart w:id="77" w:name="_Toc23346"/>
      <w:bookmarkStart w:id="78" w:name="_Toc527064041"/>
      <w:r>
        <w:rPr>
          <w:rFonts w:hint="eastAsia"/>
        </w:rPr>
        <w:t>环境应急设施装备调查</w:t>
      </w:r>
      <w:bookmarkEnd w:id="76"/>
      <w:bookmarkEnd w:id="77"/>
      <w:bookmarkEnd w:id="78"/>
    </w:p>
    <w:p>
      <w:pPr>
        <w:ind w:firstLine="560"/>
        <w:rPr>
          <w:sz w:val="24"/>
          <w:szCs w:val="24"/>
        </w:rPr>
      </w:pPr>
      <w:r>
        <w:rPr>
          <w:rFonts w:hint="eastAsia"/>
          <w:sz w:val="24"/>
          <w:szCs w:val="24"/>
        </w:rPr>
        <w:t>应急设施装备是突发环境事件应急救援的重要物质保障，也是保证应急队伍有效开展工作的基础。</w:t>
      </w:r>
      <w:r>
        <w:rPr>
          <w:rFonts w:hint="eastAsia"/>
          <w:sz w:val="24"/>
          <w:szCs w:val="24"/>
          <w:lang w:eastAsia="zh-CN"/>
        </w:rPr>
        <w:t>企业</w:t>
      </w:r>
      <w:r>
        <w:rPr>
          <w:rFonts w:hint="eastAsia"/>
          <w:sz w:val="24"/>
          <w:szCs w:val="24"/>
        </w:rPr>
        <w:t>现有环境风险事故的应急物资和装备情况如下表所示。</w:t>
      </w:r>
    </w:p>
    <w:p>
      <w:pPr>
        <w:pStyle w:val="9"/>
        <w:keepNext/>
        <w:rPr>
          <w:rFonts w:hint="eastAsia"/>
          <w:sz w:val="24"/>
          <w:szCs w:val="24"/>
        </w:rPr>
      </w:pPr>
      <w:bookmarkStart w:id="79" w:name="_Toc527064042"/>
      <w:bookmarkStart w:id="80" w:name="_Toc526520653"/>
      <w:r>
        <w:rPr>
          <w:rFonts w:hint="eastAsia"/>
          <w:sz w:val="24"/>
          <w:szCs w:val="24"/>
        </w:rPr>
        <w:t xml:space="preserve">表 </w:t>
      </w:r>
      <w:r>
        <w:rPr>
          <w:rFonts w:hint="eastAsia"/>
          <w:sz w:val="24"/>
          <w:szCs w:val="24"/>
          <w:lang w:val="en-US" w:eastAsia="zh-CN"/>
        </w:rPr>
        <w:t>4</w:t>
      </w:r>
      <w:r>
        <w:rPr>
          <w:sz w:val="24"/>
          <w:szCs w:val="24"/>
        </w:rPr>
        <w:noBreakHyphen/>
      </w:r>
      <w:r>
        <w:rPr>
          <w:sz w:val="24"/>
          <w:szCs w:val="24"/>
        </w:rPr>
        <w:fldChar w:fldCharType="begin"/>
      </w:r>
      <w:r>
        <w:rPr>
          <w:sz w:val="24"/>
          <w:szCs w:val="24"/>
        </w:rPr>
        <w:instrText xml:space="preserve"> </w:instrText>
      </w:r>
      <w:r>
        <w:rPr>
          <w:rFonts w:hint="eastAsia"/>
          <w:sz w:val="24"/>
          <w:szCs w:val="24"/>
        </w:rPr>
        <w:instrText xml:space="preserve">SEQ 表 \* ARABIC \s 1</w:instrText>
      </w:r>
      <w:r>
        <w:rPr>
          <w:sz w:val="24"/>
          <w:szCs w:val="24"/>
        </w:rPr>
        <w:instrText xml:space="preserve"> </w:instrText>
      </w:r>
      <w:r>
        <w:rPr>
          <w:sz w:val="24"/>
          <w:szCs w:val="24"/>
        </w:rPr>
        <w:fldChar w:fldCharType="separate"/>
      </w:r>
      <w:r>
        <w:rPr>
          <w:sz w:val="24"/>
          <w:szCs w:val="24"/>
        </w:rPr>
        <w:t>1</w:t>
      </w:r>
      <w:r>
        <w:rPr>
          <w:sz w:val="24"/>
          <w:szCs w:val="24"/>
        </w:rPr>
        <w:fldChar w:fldCharType="end"/>
      </w:r>
      <w:r>
        <w:rPr>
          <w:rFonts w:hint="eastAsia"/>
          <w:sz w:val="24"/>
          <w:szCs w:val="24"/>
          <w:lang w:eastAsia="zh-CN"/>
        </w:rPr>
        <w:t>重要消防</w:t>
      </w:r>
      <w:r>
        <w:rPr>
          <w:rFonts w:hint="eastAsia"/>
          <w:sz w:val="24"/>
          <w:szCs w:val="24"/>
        </w:rPr>
        <w:t>设施装备一览表</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2"/>
        <w:gridCol w:w="1991"/>
        <w:gridCol w:w="709"/>
        <w:gridCol w:w="992"/>
        <w:gridCol w:w="202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0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类别</w:t>
            </w: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应急物资名称</w:t>
            </w:r>
          </w:p>
        </w:tc>
        <w:tc>
          <w:tcPr>
            <w:tcW w:w="709"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数量</w:t>
            </w:r>
          </w:p>
        </w:tc>
        <w:tc>
          <w:tcPr>
            <w:tcW w:w="99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单位</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配备位置</w:t>
            </w:r>
          </w:p>
        </w:tc>
        <w:tc>
          <w:tcPr>
            <w:tcW w:w="1302" w:type="dxa"/>
            <w:noWrap w:val="0"/>
            <w:vAlign w:val="center"/>
          </w:tcPr>
          <w:p>
            <w:pPr>
              <w:pStyle w:val="31"/>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902" w:type="dxa"/>
            <w:vMerge w:val="restart"/>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已有应急物资</w:t>
            </w: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视频监控系统</w:t>
            </w:r>
          </w:p>
        </w:tc>
        <w:tc>
          <w:tcPr>
            <w:tcW w:w="709"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1</w:t>
            </w:r>
          </w:p>
        </w:tc>
        <w:tc>
          <w:tcPr>
            <w:tcW w:w="99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套</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值班室</w:t>
            </w:r>
          </w:p>
        </w:tc>
        <w:tc>
          <w:tcPr>
            <w:tcW w:w="130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周剑文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902" w:type="dxa"/>
            <w:vMerge w:val="continue"/>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在线监控系统</w:t>
            </w:r>
          </w:p>
        </w:tc>
        <w:tc>
          <w:tcPr>
            <w:tcW w:w="709"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1</w:t>
            </w:r>
          </w:p>
        </w:tc>
        <w:tc>
          <w:tcPr>
            <w:tcW w:w="99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套</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值班室</w:t>
            </w:r>
          </w:p>
        </w:tc>
        <w:tc>
          <w:tcPr>
            <w:tcW w:w="130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周剑文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902" w:type="dxa"/>
            <w:vMerge w:val="continue"/>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急救药箱</w:t>
            </w:r>
          </w:p>
        </w:tc>
        <w:tc>
          <w:tcPr>
            <w:tcW w:w="709"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1</w:t>
            </w:r>
          </w:p>
        </w:tc>
        <w:tc>
          <w:tcPr>
            <w:tcW w:w="99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套</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eastAsia="宋体" w:cs="Times New Roman"/>
                <w:smallCaps/>
                <w:color w:val="000000"/>
                <w:kern w:val="2"/>
                <w:sz w:val="21"/>
                <w:szCs w:val="21"/>
                <w:lang w:val="en-US" w:eastAsia="zh-CN" w:bidi="ar-SA"/>
              </w:rPr>
              <w:t>综合管理</w:t>
            </w:r>
            <w:r>
              <w:rPr>
                <w:rFonts w:ascii="Times New Roman" w:hAnsi="Times New Roman" w:eastAsia="宋体" w:cs="Times New Roman"/>
                <w:smallCaps/>
                <w:color w:val="000000"/>
                <w:kern w:val="2"/>
                <w:sz w:val="21"/>
                <w:szCs w:val="21"/>
                <w:lang w:val="en-US" w:eastAsia="zh-CN" w:bidi="ar-SA"/>
              </w:rPr>
              <w:t>室</w:t>
            </w:r>
          </w:p>
        </w:tc>
        <w:tc>
          <w:tcPr>
            <w:tcW w:w="130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周剑文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902" w:type="dxa"/>
            <w:vMerge w:val="continue"/>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灭火器</w:t>
            </w:r>
          </w:p>
        </w:tc>
        <w:tc>
          <w:tcPr>
            <w:tcW w:w="709"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eastAsia="宋体" w:cs="Times New Roman"/>
                <w:smallCaps/>
                <w:color w:val="000000"/>
                <w:kern w:val="2"/>
                <w:sz w:val="21"/>
                <w:szCs w:val="21"/>
                <w:lang w:val="en-US" w:eastAsia="zh-CN" w:bidi="ar-SA"/>
              </w:rPr>
              <w:t>30</w:t>
            </w:r>
          </w:p>
        </w:tc>
        <w:tc>
          <w:tcPr>
            <w:tcW w:w="99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个</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每层楼2-4个</w:t>
            </w:r>
          </w:p>
        </w:tc>
        <w:tc>
          <w:tcPr>
            <w:tcW w:w="1302" w:type="dxa"/>
            <w:noWrap w:val="0"/>
            <w:vAlign w:val="center"/>
          </w:tcPr>
          <w:p>
            <w:pPr>
              <w:spacing w:line="360" w:lineRule="auto"/>
              <w:ind w:firstLine="210" w:firstLineChars="10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周剑文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902" w:type="dxa"/>
            <w:vMerge w:val="continue"/>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防护手套</w:t>
            </w:r>
          </w:p>
        </w:tc>
        <w:tc>
          <w:tcPr>
            <w:tcW w:w="709"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eastAsia="宋体" w:cs="Times New Roman"/>
                <w:smallCaps/>
                <w:color w:val="000000"/>
                <w:kern w:val="2"/>
                <w:sz w:val="21"/>
                <w:szCs w:val="21"/>
                <w:lang w:val="en-US" w:eastAsia="zh-CN" w:bidi="ar-SA"/>
              </w:rPr>
              <w:t>5</w:t>
            </w:r>
          </w:p>
        </w:tc>
        <w:tc>
          <w:tcPr>
            <w:tcW w:w="99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套</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各生产车间</w:t>
            </w:r>
          </w:p>
        </w:tc>
        <w:tc>
          <w:tcPr>
            <w:tcW w:w="130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周剑文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902" w:type="dxa"/>
            <w:vMerge w:val="continue"/>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防爆工器具</w:t>
            </w:r>
          </w:p>
        </w:tc>
        <w:tc>
          <w:tcPr>
            <w:tcW w:w="709"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eastAsia="宋体" w:cs="Times New Roman"/>
                <w:smallCaps/>
                <w:color w:val="000000"/>
                <w:kern w:val="2"/>
                <w:sz w:val="21"/>
                <w:szCs w:val="21"/>
                <w:lang w:val="en-US" w:eastAsia="zh-CN" w:bidi="ar-SA"/>
              </w:rPr>
              <w:t>1</w:t>
            </w:r>
          </w:p>
        </w:tc>
        <w:tc>
          <w:tcPr>
            <w:tcW w:w="99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套</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仓库</w:t>
            </w:r>
          </w:p>
        </w:tc>
        <w:tc>
          <w:tcPr>
            <w:tcW w:w="130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周剑文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902" w:type="dxa"/>
            <w:vMerge w:val="continue"/>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担架</w:t>
            </w:r>
          </w:p>
        </w:tc>
        <w:tc>
          <w:tcPr>
            <w:tcW w:w="709"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eastAsia="宋体" w:cs="Times New Roman"/>
                <w:smallCaps/>
                <w:color w:val="000000"/>
                <w:kern w:val="2"/>
                <w:sz w:val="21"/>
                <w:szCs w:val="21"/>
                <w:lang w:val="en-US" w:eastAsia="zh-CN" w:bidi="ar-SA"/>
              </w:rPr>
              <w:t>1</w:t>
            </w:r>
          </w:p>
        </w:tc>
        <w:tc>
          <w:tcPr>
            <w:tcW w:w="99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套</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仓库</w:t>
            </w:r>
          </w:p>
        </w:tc>
        <w:tc>
          <w:tcPr>
            <w:tcW w:w="130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周剑文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902" w:type="dxa"/>
            <w:vMerge w:val="continue"/>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防毒面具</w:t>
            </w:r>
          </w:p>
        </w:tc>
        <w:tc>
          <w:tcPr>
            <w:tcW w:w="709" w:type="dxa"/>
            <w:noWrap w:val="0"/>
            <w:vAlign w:val="center"/>
          </w:tcPr>
          <w:p>
            <w:pPr>
              <w:pStyle w:val="31"/>
              <w:spacing w:line="360" w:lineRule="auto"/>
              <w:ind w:firstLine="0" w:firstLineChars="0"/>
              <w:rPr>
                <w:rFonts w:hint="default" w:ascii="Times New Roman" w:hAnsi="Times New Roman" w:eastAsia="宋体" w:cs="Times New Roman"/>
                <w:smallCaps/>
                <w:color w:val="000000"/>
                <w:kern w:val="2"/>
                <w:sz w:val="21"/>
                <w:szCs w:val="21"/>
                <w:lang w:val="en-US" w:eastAsia="zh-CN" w:bidi="ar-SA"/>
              </w:rPr>
            </w:pPr>
            <w:r>
              <w:rPr>
                <w:rFonts w:hint="eastAsia" w:eastAsia="宋体" w:cs="Times New Roman"/>
                <w:smallCaps/>
                <w:color w:val="000000"/>
                <w:kern w:val="2"/>
                <w:sz w:val="21"/>
                <w:szCs w:val="21"/>
                <w:lang w:val="en-US" w:eastAsia="zh-CN" w:bidi="ar-SA"/>
              </w:rPr>
              <w:t>1</w:t>
            </w:r>
            <w:r>
              <w:rPr>
                <w:rFonts w:eastAsia="宋体" w:cs="Times New Roman"/>
                <w:sz w:val="21"/>
                <w:szCs w:val="21"/>
              </w:rPr>
              <w:commentReference w:id="0"/>
            </w:r>
          </w:p>
        </w:tc>
        <w:tc>
          <w:tcPr>
            <w:tcW w:w="99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套</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各生产车间</w:t>
            </w:r>
          </w:p>
        </w:tc>
        <w:tc>
          <w:tcPr>
            <w:tcW w:w="130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周剑文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902" w:type="dxa"/>
            <w:vMerge w:val="continue"/>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防护眼镜</w:t>
            </w:r>
          </w:p>
        </w:tc>
        <w:tc>
          <w:tcPr>
            <w:tcW w:w="709"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均配</w:t>
            </w:r>
          </w:p>
        </w:tc>
        <w:tc>
          <w:tcPr>
            <w:tcW w:w="99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个</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各车间</w:t>
            </w:r>
          </w:p>
        </w:tc>
        <w:tc>
          <w:tcPr>
            <w:tcW w:w="130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周剑文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2" w:type="dxa"/>
            <w:vMerge w:val="continue"/>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应急灯</w:t>
            </w:r>
          </w:p>
        </w:tc>
        <w:tc>
          <w:tcPr>
            <w:tcW w:w="709"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eastAsia="宋体" w:cs="Times New Roman"/>
                <w:smallCaps/>
                <w:color w:val="000000"/>
                <w:kern w:val="2"/>
                <w:sz w:val="21"/>
                <w:szCs w:val="21"/>
                <w:lang w:val="en-US" w:eastAsia="zh-CN" w:bidi="ar-SA"/>
              </w:rPr>
              <w:t>20</w:t>
            </w:r>
          </w:p>
        </w:tc>
        <w:tc>
          <w:tcPr>
            <w:tcW w:w="99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个</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ascii="Times New Roman" w:hAnsi="Times New Roman" w:eastAsia="宋体" w:cs="Times New Roman"/>
                <w:smallCaps/>
                <w:color w:val="000000"/>
                <w:kern w:val="2"/>
                <w:sz w:val="21"/>
                <w:szCs w:val="21"/>
                <w:lang w:val="en-US" w:eastAsia="zh-CN" w:bidi="ar-SA"/>
              </w:rPr>
              <w:t>生产车间</w:t>
            </w:r>
            <w:r>
              <w:rPr>
                <w:rFonts w:hint="eastAsia" w:eastAsia="宋体" w:cs="Times New Roman"/>
                <w:smallCaps/>
                <w:color w:val="000000"/>
                <w:kern w:val="2"/>
                <w:sz w:val="21"/>
                <w:szCs w:val="21"/>
                <w:lang w:val="en-US" w:eastAsia="zh-CN" w:bidi="ar-SA"/>
              </w:rPr>
              <w:t>、办</w:t>
            </w:r>
            <w:r>
              <w:rPr>
                <w:rFonts w:hint="eastAsia" w:cs="Times New Roman"/>
                <w:smallCaps/>
                <w:color w:val="000000"/>
                <w:kern w:val="2"/>
                <w:sz w:val="21"/>
                <w:szCs w:val="21"/>
                <w:lang w:val="en-US" w:eastAsia="zh-CN" w:bidi="ar-SA"/>
              </w:rPr>
              <w:t>公</w:t>
            </w:r>
            <w:r>
              <w:rPr>
                <w:rFonts w:hint="eastAsia" w:eastAsia="宋体" w:cs="Times New Roman"/>
                <w:smallCaps/>
                <w:color w:val="000000"/>
                <w:kern w:val="2"/>
                <w:sz w:val="21"/>
                <w:szCs w:val="21"/>
                <w:lang w:val="en-US" w:eastAsia="zh-CN" w:bidi="ar-SA"/>
              </w:rPr>
              <w:t>楼</w:t>
            </w:r>
          </w:p>
        </w:tc>
        <w:tc>
          <w:tcPr>
            <w:tcW w:w="130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周剑文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902" w:type="dxa"/>
            <w:vMerge w:val="continue"/>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对讲机</w:t>
            </w:r>
          </w:p>
        </w:tc>
        <w:tc>
          <w:tcPr>
            <w:tcW w:w="709"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6</w:t>
            </w:r>
          </w:p>
        </w:tc>
        <w:tc>
          <w:tcPr>
            <w:tcW w:w="99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个</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生产车间</w:t>
            </w:r>
          </w:p>
        </w:tc>
        <w:tc>
          <w:tcPr>
            <w:tcW w:w="130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陈勇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902" w:type="dxa"/>
            <w:vMerge w:val="continue"/>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安全带</w:t>
            </w:r>
          </w:p>
        </w:tc>
        <w:tc>
          <w:tcPr>
            <w:tcW w:w="709"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5</w:t>
            </w:r>
          </w:p>
        </w:tc>
        <w:tc>
          <w:tcPr>
            <w:tcW w:w="99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个</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仓库</w:t>
            </w:r>
          </w:p>
        </w:tc>
        <w:tc>
          <w:tcPr>
            <w:tcW w:w="130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周剑文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902" w:type="dxa"/>
            <w:vMerge w:val="continue"/>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消防水带、水枪、</w:t>
            </w:r>
          </w:p>
        </w:tc>
        <w:tc>
          <w:tcPr>
            <w:tcW w:w="709"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5</w:t>
            </w:r>
          </w:p>
        </w:tc>
        <w:tc>
          <w:tcPr>
            <w:tcW w:w="99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个</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生产车间</w:t>
            </w:r>
          </w:p>
        </w:tc>
        <w:tc>
          <w:tcPr>
            <w:tcW w:w="130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周剑文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902" w:type="dxa"/>
            <w:vMerge w:val="continue"/>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安全帽</w:t>
            </w:r>
          </w:p>
        </w:tc>
        <w:tc>
          <w:tcPr>
            <w:tcW w:w="709"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eastAsia="宋体" w:cs="Times New Roman"/>
                <w:smallCaps/>
                <w:color w:val="000000"/>
                <w:kern w:val="2"/>
                <w:sz w:val="21"/>
                <w:szCs w:val="21"/>
                <w:lang w:val="en-US" w:eastAsia="zh-CN" w:bidi="ar-SA"/>
              </w:rPr>
              <w:t>5</w:t>
            </w:r>
            <w:r>
              <w:rPr>
                <w:rFonts w:hint="eastAsia" w:ascii="Times New Roman" w:hAnsi="Times New Roman" w:eastAsia="宋体" w:cs="Times New Roman"/>
                <w:smallCaps/>
                <w:color w:val="000000"/>
                <w:kern w:val="2"/>
                <w:sz w:val="21"/>
                <w:szCs w:val="21"/>
                <w:lang w:val="en-US" w:eastAsia="zh-CN" w:bidi="ar-SA"/>
              </w:rPr>
              <w:t>0</w:t>
            </w:r>
          </w:p>
        </w:tc>
        <w:tc>
          <w:tcPr>
            <w:tcW w:w="99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个</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eastAsia="宋体" w:cs="Times New Roman"/>
                <w:smallCaps/>
                <w:color w:val="000000"/>
                <w:kern w:val="2"/>
                <w:sz w:val="21"/>
                <w:szCs w:val="21"/>
                <w:lang w:val="en-US" w:eastAsia="zh-CN" w:bidi="ar-SA"/>
              </w:rPr>
              <w:t>发放到个人</w:t>
            </w:r>
          </w:p>
        </w:tc>
        <w:tc>
          <w:tcPr>
            <w:tcW w:w="130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周剑文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902" w:type="dxa"/>
            <w:vMerge w:val="restart"/>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需补充应急物资</w:t>
            </w:r>
          </w:p>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警铃</w:t>
            </w:r>
          </w:p>
        </w:tc>
        <w:tc>
          <w:tcPr>
            <w:tcW w:w="709" w:type="dxa"/>
            <w:noWrap w:val="0"/>
            <w:vAlign w:val="center"/>
          </w:tcPr>
          <w:p>
            <w:pPr>
              <w:pStyle w:val="31"/>
              <w:spacing w:line="360" w:lineRule="auto"/>
              <w:ind w:firstLine="0" w:firstLineChars="0"/>
              <w:rPr>
                <w:rFonts w:hint="default" w:ascii="Times New Roman" w:hAnsi="Times New Roman" w:eastAsia="宋体" w:cs="Times New Roman"/>
                <w:smallCaps/>
                <w:color w:val="000000"/>
                <w:kern w:val="2"/>
                <w:sz w:val="21"/>
                <w:szCs w:val="21"/>
                <w:lang w:val="en-US" w:eastAsia="zh-CN" w:bidi="ar-SA"/>
              </w:rPr>
            </w:pPr>
            <w:r>
              <w:rPr>
                <w:rFonts w:hint="eastAsia" w:eastAsia="宋体" w:cs="Times New Roman"/>
                <w:smallCaps/>
                <w:color w:val="000000"/>
                <w:kern w:val="2"/>
                <w:sz w:val="21"/>
                <w:szCs w:val="21"/>
                <w:lang w:val="en-US" w:eastAsia="zh-CN" w:bidi="ar-SA"/>
              </w:rPr>
              <w:t>2</w:t>
            </w:r>
          </w:p>
        </w:tc>
        <w:tc>
          <w:tcPr>
            <w:tcW w:w="99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个</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生产车间</w:t>
            </w:r>
            <w:r>
              <w:rPr>
                <w:rFonts w:hint="eastAsia" w:eastAsia="宋体" w:cs="Times New Roman"/>
                <w:smallCaps/>
                <w:color w:val="000000"/>
                <w:kern w:val="2"/>
                <w:sz w:val="21"/>
                <w:szCs w:val="21"/>
                <w:lang w:val="en-US" w:eastAsia="zh-CN" w:bidi="ar-SA"/>
              </w:rPr>
              <w:t>、办公楼</w:t>
            </w:r>
          </w:p>
        </w:tc>
        <w:tc>
          <w:tcPr>
            <w:tcW w:w="130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周剑文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02" w:type="dxa"/>
            <w:vMerge w:val="continue"/>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消防服</w:t>
            </w:r>
          </w:p>
        </w:tc>
        <w:tc>
          <w:tcPr>
            <w:tcW w:w="709"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eastAsia="宋体" w:cs="Times New Roman"/>
                <w:smallCaps/>
                <w:color w:val="000000"/>
                <w:kern w:val="2"/>
                <w:sz w:val="21"/>
                <w:szCs w:val="21"/>
                <w:lang w:val="en-US" w:eastAsia="zh-CN" w:bidi="ar-SA"/>
              </w:rPr>
              <w:t>2</w:t>
            </w:r>
          </w:p>
        </w:tc>
        <w:tc>
          <w:tcPr>
            <w:tcW w:w="99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套</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生产车间</w:t>
            </w:r>
          </w:p>
        </w:tc>
        <w:tc>
          <w:tcPr>
            <w:tcW w:w="130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周剑文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02" w:type="dxa"/>
            <w:vMerge w:val="continue"/>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防护眼罩</w:t>
            </w:r>
          </w:p>
        </w:tc>
        <w:tc>
          <w:tcPr>
            <w:tcW w:w="709"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5</w:t>
            </w:r>
          </w:p>
        </w:tc>
        <w:tc>
          <w:tcPr>
            <w:tcW w:w="99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个</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仓库</w:t>
            </w:r>
          </w:p>
        </w:tc>
        <w:tc>
          <w:tcPr>
            <w:tcW w:w="130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周剑文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902" w:type="dxa"/>
            <w:vMerge w:val="continue"/>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p>
        </w:tc>
        <w:tc>
          <w:tcPr>
            <w:tcW w:w="1991"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消防水泵</w:t>
            </w:r>
          </w:p>
        </w:tc>
        <w:tc>
          <w:tcPr>
            <w:tcW w:w="709"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1</w:t>
            </w:r>
          </w:p>
        </w:tc>
        <w:tc>
          <w:tcPr>
            <w:tcW w:w="99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台</w:t>
            </w:r>
          </w:p>
        </w:tc>
        <w:tc>
          <w:tcPr>
            <w:tcW w:w="2022" w:type="dxa"/>
            <w:noWrap w:val="0"/>
            <w:vAlign w:val="center"/>
          </w:tcPr>
          <w:p>
            <w:pPr>
              <w:pStyle w:val="31"/>
              <w:spacing w:line="360" w:lineRule="auto"/>
              <w:ind w:firstLine="0" w:firstLineChars="0"/>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生产车间</w:t>
            </w:r>
          </w:p>
        </w:tc>
        <w:tc>
          <w:tcPr>
            <w:tcW w:w="1302" w:type="dxa"/>
            <w:noWrap w:val="0"/>
            <w:vAlign w:val="center"/>
          </w:tcPr>
          <w:p>
            <w:pPr>
              <w:spacing w:line="360" w:lineRule="auto"/>
              <w:ind w:firstLine="0" w:firstLineChars="0"/>
              <w:jc w:val="center"/>
              <w:rPr>
                <w:rFonts w:hint="eastAsia" w:ascii="Times New Roman" w:hAnsi="Times New Roman" w:eastAsia="宋体" w:cs="Times New Roman"/>
                <w:smallCaps/>
                <w:color w:val="000000"/>
                <w:kern w:val="2"/>
                <w:sz w:val="21"/>
                <w:szCs w:val="21"/>
                <w:lang w:val="en-US" w:eastAsia="zh-CN" w:bidi="ar-SA"/>
              </w:rPr>
            </w:pPr>
            <w:r>
              <w:rPr>
                <w:rFonts w:hint="eastAsia" w:ascii="Times New Roman" w:hAnsi="Times New Roman" w:eastAsia="宋体" w:cs="Times New Roman"/>
                <w:smallCaps/>
                <w:color w:val="000000"/>
                <w:kern w:val="2"/>
                <w:sz w:val="21"/>
                <w:szCs w:val="21"/>
                <w:lang w:val="en-US" w:eastAsia="zh-CN" w:bidi="ar-SA"/>
              </w:rPr>
              <w:t>周剑文</w:t>
            </w:r>
          </w:p>
        </w:tc>
      </w:tr>
    </w:tbl>
    <w:p>
      <w:pPr>
        <w:ind w:firstLine="560"/>
        <w:rPr>
          <w:rFonts w:hint="eastAsia" w:ascii="仿宋" w:hAnsi="仿宋" w:cs="仿宋"/>
          <w:sz w:val="24"/>
          <w:szCs w:val="24"/>
        </w:rPr>
      </w:pPr>
      <w:r>
        <w:rPr>
          <w:rFonts w:hint="eastAsia" w:ascii="仿宋" w:hAnsi="仿宋" w:cs="仿宋"/>
          <w:sz w:val="24"/>
          <w:szCs w:val="24"/>
          <w:lang w:val="en-US" w:eastAsia="zh-CN"/>
        </w:rPr>
        <w:t>项目周边企业应急物资配备清单见表4</w:t>
      </w:r>
      <w:r>
        <w:rPr>
          <w:rFonts w:hint="default" w:ascii="仿宋" w:hAnsi="仿宋" w:cs="仿宋"/>
          <w:sz w:val="24"/>
          <w:szCs w:val="24"/>
          <w:lang w:val="en-US" w:eastAsia="zh-CN"/>
        </w:rPr>
        <w:t>-2</w:t>
      </w:r>
      <w:r>
        <w:rPr>
          <w:rFonts w:hint="eastAsia" w:ascii="仿宋" w:hAnsi="仿宋" w:cs="仿宋"/>
          <w:sz w:val="24"/>
          <w:szCs w:val="24"/>
        </w:rPr>
        <w:t>。</w:t>
      </w:r>
    </w:p>
    <w:p>
      <w:pPr>
        <w:ind w:firstLineChars="71"/>
        <w:jc w:val="center"/>
        <w:rPr>
          <w:rFonts w:hint="eastAsia" w:ascii="仿宋" w:hAnsi="仿宋" w:cs="仿宋"/>
          <w:b/>
        </w:rPr>
      </w:pPr>
      <w:r>
        <w:rPr>
          <w:rFonts w:hint="eastAsia" w:ascii="仿宋" w:hAnsi="仿宋" w:cs="仿宋"/>
          <w:b/>
          <w:sz w:val="24"/>
          <w:szCs w:val="24"/>
        </w:rPr>
        <w:t>表</w:t>
      </w:r>
      <w:r>
        <w:rPr>
          <w:rFonts w:hint="eastAsia" w:ascii="仿宋" w:hAnsi="仿宋" w:cs="仿宋"/>
          <w:b/>
          <w:sz w:val="24"/>
          <w:szCs w:val="24"/>
          <w:lang w:val="en-US" w:eastAsia="zh-CN"/>
        </w:rPr>
        <w:t>4</w:t>
      </w:r>
      <w:r>
        <w:rPr>
          <w:rFonts w:hint="default" w:ascii="仿宋" w:hAnsi="仿宋" w:cs="仿宋"/>
          <w:b/>
          <w:sz w:val="24"/>
          <w:szCs w:val="24"/>
          <w:lang w:val="en-US"/>
        </w:rPr>
        <w:t>-2</w:t>
      </w:r>
      <w:r>
        <w:rPr>
          <w:rFonts w:hint="eastAsia" w:ascii="仿宋" w:hAnsi="仿宋" w:cs="仿宋"/>
          <w:b/>
          <w:sz w:val="24"/>
          <w:szCs w:val="24"/>
        </w:rPr>
        <w:t xml:space="preserve">  </w:t>
      </w:r>
      <w:r>
        <w:rPr>
          <w:rFonts w:hint="eastAsia" w:ascii="仿宋" w:hAnsi="仿宋" w:cs="仿宋"/>
          <w:b/>
          <w:sz w:val="24"/>
          <w:szCs w:val="24"/>
          <w:lang w:val="en-US" w:eastAsia="zh-CN"/>
        </w:rPr>
        <w:t>南昌华力超硬材料发展有限公司</w:t>
      </w:r>
      <w:r>
        <w:rPr>
          <w:rFonts w:hint="eastAsia" w:ascii="仿宋" w:hAnsi="仿宋" w:cs="仿宋"/>
          <w:b/>
          <w:sz w:val="24"/>
          <w:szCs w:val="24"/>
        </w:rPr>
        <w:t>应急物资一览表</w:t>
      </w:r>
    </w:p>
    <w:tbl>
      <w:tblPr>
        <w:tblStyle w:val="17"/>
        <w:tblW w:w="4997" w:type="pct"/>
        <w:jc w:val="center"/>
        <w:tblLayout w:type="autofit"/>
        <w:tblCellMar>
          <w:top w:w="0" w:type="dxa"/>
          <w:left w:w="0" w:type="dxa"/>
          <w:bottom w:w="0" w:type="dxa"/>
          <w:right w:w="0" w:type="dxa"/>
        </w:tblCellMar>
      </w:tblPr>
      <w:tblGrid>
        <w:gridCol w:w="1239"/>
        <w:gridCol w:w="3536"/>
        <w:gridCol w:w="1907"/>
        <w:gridCol w:w="2465"/>
      </w:tblGrid>
      <w:tr>
        <w:tblPrEx>
          <w:tblCellMar>
            <w:top w:w="0" w:type="dxa"/>
            <w:left w:w="0" w:type="dxa"/>
            <w:bottom w:w="0" w:type="dxa"/>
            <w:right w:w="0" w:type="dxa"/>
          </w:tblCellMar>
        </w:tblPrEx>
        <w:trPr>
          <w:trHeight w:val="335" w:hRule="atLeast"/>
          <w:jc w:val="center"/>
        </w:trPr>
        <w:tc>
          <w:tcPr>
            <w:tcW w:w="677"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序号</w:t>
            </w:r>
          </w:p>
        </w:tc>
        <w:tc>
          <w:tcPr>
            <w:tcW w:w="193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物资名称</w:t>
            </w:r>
          </w:p>
        </w:tc>
        <w:tc>
          <w:tcPr>
            <w:tcW w:w="104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单位</w:t>
            </w:r>
          </w:p>
        </w:tc>
        <w:tc>
          <w:tcPr>
            <w:tcW w:w="1347"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数量</w:t>
            </w:r>
          </w:p>
        </w:tc>
      </w:tr>
      <w:tr>
        <w:tblPrEx>
          <w:tblCellMar>
            <w:top w:w="0" w:type="dxa"/>
            <w:left w:w="0" w:type="dxa"/>
            <w:bottom w:w="0" w:type="dxa"/>
            <w:right w:w="0" w:type="dxa"/>
          </w:tblCellMar>
        </w:tblPrEx>
        <w:trPr>
          <w:trHeight w:val="436" w:hRule="atLeast"/>
          <w:jc w:val="center"/>
        </w:trPr>
        <w:tc>
          <w:tcPr>
            <w:tcW w:w="67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spacing w:line="360" w:lineRule="auto"/>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193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消防头盔</w:t>
            </w:r>
          </w:p>
        </w:tc>
        <w:tc>
          <w:tcPr>
            <w:tcW w:w="104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顶</w:t>
            </w:r>
          </w:p>
        </w:tc>
        <w:tc>
          <w:tcPr>
            <w:tcW w:w="1347"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r>
      <w:tr>
        <w:tblPrEx>
          <w:tblCellMar>
            <w:top w:w="0" w:type="dxa"/>
            <w:left w:w="0" w:type="dxa"/>
            <w:bottom w:w="0" w:type="dxa"/>
            <w:right w:w="0" w:type="dxa"/>
          </w:tblCellMar>
        </w:tblPrEx>
        <w:trPr>
          <w:trHeight w:val="600" w:hRule="atLeast"/>
          <w:jc w:val="center"/>
        </w:trPr>
        <w:tc>
          <w:tcPr>
            <w:tcW w:w="67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spacing w:line="360" w:lineRule="auto"/>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193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消防腰斧</w:t>
            </w:r>
          </w:p>
        </w:tc>
        <w:tc>
          <w:tcPr>
            <w:tcW w:w="104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把</w:t>
            </w:r>
          </w:p>
        </w:tc>
        <w:tc>
          <w:tcPr>
            <w:tcW w:w="1347"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default" w:ascii="宋体" w:hAnsi="宋体" w:eastAsia="宋体" w:cs="宋体"/>
                <w:i w:val="0"/>
                <w:color w:val="000000"/>
                <w:kern w:val="0"/>
                <w:sz w:val="21"/>
                <w:szCs w:val="21"/>
                <w:u w:val="none"/>
                <w:lang w:val="en-US" w:eastAsia="zh-CN" w:bidi="ar"/>
              </w:rPr>
              <w:t>4</w:t>
            </w:r>
          </w:p>
        </w:tc>
      </w:tr>
      <w:tr>
        <w:tblPrEx>
          <w:tblCellMar>
            <w:top w:w="0" w:type="dxa"/>
            <w:left w:w="0" w:type="dxa"/>
            <w:bottom w:w="0" w:type="dxa"/>
            <w:right w:w="0" w:type="dxa"/>
          </w:tblCellMar>
        </w:tblPrEx>
        <w:trPr>
          <w:trHeight w:val="485" w:hRule="atLeast"/>
          <w:jc w:val="center"/>
        </w:trPr>
        <w:tc>
          <w:tcPr>
            <w:tcW w:w="67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spacing w:line="360" w:lineRule="auto"/>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193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消防员灭火防护靴</w:t>
            </w:r>
          </w:p>
        </w:tc>
        <w:tc>
          <w:tcPr>
            <w:tcW w:w="104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双</w:t>
            </w:r>
          </w:p>
        </w:tc>
        <w:tc>
          <w:tcPr>
            <w:tcW w:w="1347"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default" w:ascii="宋体" w:hAnsi="宋体" w:eastAsia="宋体" w:cs="宋体"/>
                <w:i w:val="0"/>
                <w:color w:val="000000"/>
                <w:kern w:val="0"/>
                <w:sz w:val="21"/>
                <w:szCs w:val="21"/>
                <w:u w:val="none"/>
                <w:lang w:val="en-US" w:eastAsia="zh-CN" w:bidi="ar"/>
              </w:rPr>
              <w:t>4</w:t>
            </w:r>
          </w:p>
        </w:tc>
      </w:tr>
      <w:tr>
        <w:tblPrEx>
          <w:tblCellMar>
            <w:top w:w="0" w:type="dxa"/>
            <w:left w:w="0" w:type="dxa"/>
            <w:bottom w:w="0" w:type="dxa"/>
            <w:right w:w="0" w:type="dxa"/>
          </w:tblCellMar>
        </w:tblPrEx>
        <w:trPr>
          <w:trHeight w:val="485" w:hRule="atLeast"/>
          <w:jc w:val="center"/>
        </w:trPr>
        <w:tc>
          <w:tcPr>
            <w:tcW w:w="67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spacing w:line="360" w:lineRule="auto"/>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193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消防腰带</w:t>
            </w:r>
          </w:p>
        </w:tc>
        <w:tc>
          <w:tcPr>
            <w:tcW w:w="104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根</w:t>
            </w:r>
          </w:p>
        </w:tc>
        <w:tc>
          <w:tcPr>
            <w:tcW w:w="1347"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default" w:ascii="宋体" w:hAnsi="宋体" w:eastAsia="宋体" w:cs="宋体"/>
                <w:i w:val="0"/>
                <w:color w:val="000000"/>
                <w:kern w:val="0"/>
                <w:sz w:val="21"/>
                <w:szCs w:val="21"/>
                <w:u w:val="none"/>
                <w:lang w:val="en-US" w:eastAsia="zh-CN" w:bidi="ar"/>
              </w:rPr>
              <w:t>4</w:t>
            </w:r>
          </w:p>
        </w:tc>
      </w:tr>
      <w:tr>
        <w:tblPrEx>
          <w:tblCellMar>
            <w:top w:w="0" w:type="dxa"/>
            <w:left w:w="0" w:type="dxa"/>
            <w:bottom w:w="0" w:type="dxa"/>
            <w:right w:w="0" w:type="dxa"/>
          </w:tblCellMar>
        </w:tblPrEx>
        <w:trPr>
          <w:trHeight w:val="452" w:hRule="atLeast"/>
          <w:jc w:val="center"/>
        </w:trPr>
        <w:tc>
          <w:tcPr>
            <w:tcW w:w="67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spacing w:line="360" w:lineRule="auto"/>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193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安全帽</w:t>
            </w:r>
          </w:p>
        </w:tc>
        <w:tc>
          <w:tcPr>
            <w:tcW w:w="104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顶</w:t>
            </w:r>
          </w:p>
        </w:tc>
        <w:tc>
          <w:tcPr>
            <w:tcW w:w="1347"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default" w:ascii="宋体" w:hAnsi="宋体" w:eastAsia="宋体" w:cs="宋体"/>
                <w:i w:val="0"/>
                <w:color w:val="000000"/>
                <w:kern w:val="0"/>
                <w:sz w:val="21"/>
                <w:szCs w:val="21"/>
                <w:u w:val="none"/>
                <w:lang w:val="en-US" w:eastAsia="zh-CN" w:bidi="ar"/>
              </w:rPr>
              <w:t>8</w:t>
            </w:r>
          </w:p>
        </w:tc>
      </w:tr>
      <w:tr>
        <w:tblPrEx>
          <w:tblCellMar>
            <w:top w:w="0" w:type="dxa"/>
            <w:left w:w="0" w:type="dxa"/>
            <w:bottom w:w="0" w:type="dxa"/>
            <w:right w:w="0" w:type="dxa"/>
          </w:tblCellMar>
        </w:tblPrEx>
        <w:trPr>
          <w:trHeight w:val="385" w:hRule="atLeast"/>
          <w:jc w:val="center"/>
        </w:trPr>
        <w:tc>
          <w:tcPr>
            <w:tcW w:w="67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spacing w:line="360" w:lineRule="auto"/>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w:t>
            </w:r>
          </w:p>
        </w:tc>
        <w:tc>
          <w:tcPr>
            <w:tcW w:w="193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灭火毯1m*1m</w:t>
            </w:r>
          </w:p>
        </w:tc>
        <w:tc>
          <w:tcPr>
            <w:tcW w:w="104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块</w:t>
            </w:r>
          </w:p>
        </w:tc>
        <w:tc>
          <w:tcPr>
            <w:tcW w:w="1347"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5</w:t>
            </w:r>
          </w:p>
        </w:tc>
      </w:tr>
      <w:tr>
        <w:tblPrEx>
          <w:tblCellMar>
            <w:top w:w="0" w:type="dxa"/>
            <w:left w:w="0" w:type="dxa"/>
            <w:bottom w:w="0" w:type="dxa"/>
            <w:right w:w="0" w:type="dxa"/>
          </w:tblCellMar>
        </w:tblPrEx>
        <w:trPr>
          <w:trHeight w:val="435" w:hRule="atLeast"/>
          <w:jc w:val="center"/>
        </w:trPr>
        <w:tc>
          <w:tcPr>
            <w:tcW w:w="67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spacing w:line="360" w:lineRule="auto"/>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w:t>
            </w:r>
          </w:p>
        </w:tc>
        <w:tc>
          <w:tcPr>
            <w:tcW w:w="193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空气呼吸器</w:t>
            </w:r>
          </w:p>
        </w:tc>
        <w:tc>
          <w:tcPr>
            <w:tcW w:w="104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套</w:t>
            </w:r>
          </w:p>
        </w:tc>
        <w:tc>
          <w:tcPr>
            <w:tcW w:w="1347"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2</w:t>
            </w:r>
          </w:p>
        </w:tc>
      </w:tr>
      <w:tr>
        <w:tblPrEx>
          <w:tblCellMar>
            <w:top w:w="0" w:type="dxa"/>
            <w:left w:w="0" w:type="dxa"/>
            <w:bottom w:w="0" w:type="dxa"/>
            <w:right w:w="0" w:type="dxa"/>
          </w:tblCellMar>
        </w:tblPrEx>
        <w:trPr>
          <w:trHeight w:val="90" w:hRule="atLeast"/>
          <w:jc w:val="center"/>
        </w:trPr>
        <w:tc>
          <w:tcPr>
            <w:tcW w:w="67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spacing w:line="360" w:lineRule="auto"/>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w:t>
            </w:r>
          </w:p>
        </w:tc>
        <w:tc>
          <w:tcPr>
            <w:tcW w:w="193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防火服</w:t>
            </w:r>
          </w:p>
        </w:tc>
        <w:tc>
          <w:tcPr>
            <w:tcW w:w="104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套</w:t>
            </w:r>
          </w:p>
        </w:tc>
        <w:tc>
          <w:tcPr>
            <w:tcW w:w="1347"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default" w:ascii="宋体" w:hAnsi="宋体" w:eastAsia="宋体" w:cs="宋体"/>
                <w:i w:val="0"/>
                <w:color w:val="000000"/>
                <w:kern w:val="0"/>
                <w:sz w:val="21"/>
                <w:szCs w:val="21"/>
                <w:u w:val="none"/>
                <w:lang w:val="en-US" w:eastAsia="zh-CN" w:bidi="ar"/>
              </w:rPr>
              <w:t>4</w:t>
            </w:r>
          </w:p>
        </w:tc>
      </w:tr>
      <w:tr>
        <w:tblPrEx>
          <w:tblCellMar>
            <w:top w:w="0" w:type="dxa"/>
            <w:left w:w="0" w:type="dxa"/>
            <w:bottom w:w="0" w:type="dxa"/>
            <w:right w:w="0" w:type="dxa"/>
          </w:tblCellMar>
        </w:tblPrEx>
        <w:trPr>
          <w:trHeight w:val="386" w:hRule="atLeast"/>
          <w:jc w:val="center"/>
        </w:trPr>
        <w:tc>
          <w:tcPr>
            <w:tcW w:w="67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spacing w:line="360" w:lineRule="auto"/>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9</w:t>
            </w:r>
          </w:p>
        </w:tc>
        <w:tc>
          <w:tcPr>
            <w:tcW w:w="193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消防水带</w:t>
            </w:r>
          </w:p>
        </w:tc>
        <w:tc>
          <w:tcPr>
            <w:tcW w:w="104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条</w:t>
            </w:r>
          </w:p>
        </w:tc>
        <w:tc>
          <w:tcPr>
            <w:tcW w:w="1347"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default" w:ascii="宋体" w:hAnsi="宋体" w:eastAsia="宋体" w:cs="宋体"/>
                <w:i w:val="0"/>
                <w:color w:val="000000"/>
                <w:kern w:val="0"/>
                <w:sz w:val="21"/>
                <w:szCs w:val="21"/>
                <w:u w:val="none"/>
                <w:lang w:val="en-US" w:eastAsia="zh-CN" w:bidi="ar"/>
              </w:rPr>
              <w:t>5</w:t>
            </w:r>
          </w:p>
        </w:tc>
      </w:tr>
      <w:tr>
        <w:tblPrEx>
          <w:tblCellMar>
            <w:top w:w="0" w:type="dxa"/>
            <w:left w:w="0" w:type="dxa"/>
            <w:bottom w:w="0" w:type="dxa"/>
            <w:right w:w="0" w:type="dxa"/>
          </w:tblCellMar>
        </w:tblPrEx>
        <w:trPr>
          <w:trHeight w:val="386" w:hRule="atLeast"/>
          <w:jc w:val="center"/>
        </w:trPr>
        <w:tc>
          <w:tcPr>
            <w:tcW w:w="67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spacing w:line="360" w:lineRule="auto"/>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193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消防直流水枪DN65</w:t>
            </w:r>
          </w:p>
        </w:tc>
        <w:tc>
          <w:tcPr>
            <w:tcW w:w="104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个</w:t>
            </w:r>
          </w:p>
        </w:tc>
        <w:tc>
          <w:tcPr>
            <w:tcW w:w="1347"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default" w:ascii="宋体" w:hAnsi="宋体" w:eastAsia="宋体" w:cs="宋体"/>
                <w:i w:val="0"/>
                <w:color w:val="000000"/>
                <w:kern w:val="0"/>
                <w:sz w:val="21"/>
                <w:szCs w:val="21"/>
                <w:u w:val="none"/>
                <w:lang w:val="en-US" w:eastAsia="zh-CN" w:bidi="ar"/>
              </w:rPr>
              <w:t>5</w:t>
            </w:r>
          </w:p>
        </w:tc>
      </w:tr>
      <w:tr>
        <w:tblPrEx>
          <w:tblCellMar>
            <w:top w:w="0" w:type="dxa"/>
            <w:left w:w="0" w:type="dxa"/>
            <w:bottom w:w="0" w:type="dxa"/>
            <w:right w:w="0" w:type="dxa"/>
          </w:tblCellMar>
        </w:tblPrEx>
        <w:trPr>
          <w:trHeight w:val="352" w:hRule="atLeast"/>
          <w:jc w:val="center"/>
        </w:trPr>
        <w:tc>
          <w:tcPr>
            <w:tcW w:w="67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spacing w:line="360" w:lineRule="auto"/>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w:t>
            </w:r>
          </w:p>
        </w:tc>
        <w:tc>
          <w:tcPr>
            <w:tcW w:w="193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二氧化碳灭火器</w:t>
            </w:r>
          </w:p>
        </w:tc>
        <w:tc>
          <w:tcPr>
            <w:tcW w:w="104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具</w:t>
            </w:r>
          </w:p>
        </w:tc>
        <w:tc>
          <w:tcPr>
            <w:tcW w:w="1347"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default" w:ascii="宋体" w:hAnsi="宋体" w:eastAsia="宋体" w:cs="宋体"/>
                <w:i w:val="0"/>
                <w:color w:val="000000"/>
                <w:kern w:val="0"/>
                <w:sz w:val="21"/>
                <w:szCs w:val="21"/>
                <w:u w:val="none"/>
                <w:lang w:val="en-US" w:eastAsia="zh-CN" w:bidi="ar"/>
              </w:rPr>
              <w:t>10</w:t>
            </w:r>
          </w:p>
        </w:tc>
      </w:tr>
      <w:tr>
        <w:tblPrEx>
          <w:tblCellMar>
            <w:top w:w="0" w:type="dxa"/>
            <w:left w:w="0" w:type="dxa"/>
            <w:bottom w:w="0" w:type="dxa"/>
            <w:right w:w="0" w:type="dxa"/>
          </w:tblCellMar>
        </w:tblPrEx>
        <w:trPr>
          <w:trHeight w:val="385" w:hRule="atLeast"/>
          <w:jc w:val="center"/>
        </w:trPr>
        <w:tc>
          <w:tcPr>
            <w:tcW w:w="67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spacing w:line="360" w:lineRule="auto"/>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12</w:t>
            </w:r>
          </w:p>
        </w:tc>
        <w:tc>
          <w:tcPr>
            <w:tcW w:w="193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干粉手提式灭火器</w:t>
            </w:r>
          </w:p>
        </w:tc>
        <w:tc>
          <w:tcPr>
            <w:tcW w:w="104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具</w:t>
            </w:r>
          </w:p>
        </w:tc>
        <w:tc>
          <w:tcPr>
            <w:tcW w:w="1347"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default" w:ascii="宋体" w:hAnsi="宋体" w:eastAsia="宋体" w:cs="宋体"/>
                <w:i w:val="0"/>
                <w:color w:val="000000"/>
                <w:kern w:val="0"/>
                <w:sz w:val="21"/>
                <w:szCs w:val="21"/>
                <w:u w:val="none"/>
                <w:lang w:val="en-US" w:eastAsia="zh-CN" w:bidi="ar"/>
              </w:rPr>
              <w:t>5</w:t>
            </w:r>
          </w:p>
        </w:tc>
      </w:tr>
      <w:tr>
        <w:tblPrEx>
          <w:tblCellMar>
            <w:top w:w="0" w:type="dxa"/>
            <w:left w:w="0" w:type="dxa"/>
            <w:bottom w:w="0" w:type="dxa"/>
            <w:right w:w="0" w:type="dxa"/>
          </w:tblCellMar>
        </w:tblPrEx>
        <w:trPr>
          <w:trHeight w:val="436" w:hRule="atLeast"/>
          <w:jc w:val="center"/>
        </w:trPr>
        <w:tc>
          <w:tcPr>
            <w:tcW w:w="67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spacing w:line="360" w:lineRule="auto"/>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13</w:t>
            </w:r>
          </w:p>
        </w:tc>
        <w:tc>
          <w:tcPr>
            <w:tcW w:w="193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手电</w:t>
            </w:r>
          </w:p>
        </w:tc>
        <w:tc>
          <w:tcPr>
            <w:tcW w:w="104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把</w:t>
            </w:r>
          </w:p>
        </w:tc>
        <w:tc>
          <w:tcPr>
            <w:tcW w:w="1347"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12</w:t>
            </w:r>
          </w:p>
        </w:tc>
      </w:tr>
      <w:tr>
        <w:tblPrEx>
          <w:tblCellMar>
            <w:top w:w="0" w:type="dxa"/>
            <w:left w:w="0" w:type="dxa"/>
            <w:bottom w:w="0" w:type="dxa"/>
            <w:right w:w="0" w:type="dxa"/>
          </w:tblCellMar>
        </w:tblPrEx>
        <w:trPr>
          <w:trHeight w:val="454" w:hRule="atLeast"/>
          <w:jc w:val="center"/>
        </w:trPr>
        <w:tc>
          <w:tcPr>
            <w:tcW w:w="67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spacing w:line="360" w:lineRule="auto"/>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14</w:t>
            </w:r>
          </w:p>
        </w:tc>
        <w:tc>
          <w:tcPr>
            <w:tcW w:w="193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雨衣</w:t>
            </w:r>
          </w:p>
        </w:tc>
        <w:tc>
          <w:tcPr>
            <w:tcW w:w="104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件</w:t>
            </w:r>
          </w:p>
        </w:tc>
        <w:tc>
          <w:tcPr>
            <w:tcW w:w="1347"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9</w:t>
            </w:r>
          </w:p>
        </w:tc>
      </w:tr>
      <w:tr>
        <w:tblPrEx>
          <w:tblCellMar>
            <w:top w:w="0" w:type="dxa"/>
            <w:left w:w="0" w:type="dxa"/>
            <w:bottom w:w="0" w:type="dxa"/>
            <w:right w:w="0" w:type="dxa"/>
          </w:tblCellMar>
        </w:tblPrEx>
        <w:trPr>
          <w:trHeight w:val="452" w:hRule="atLeast"/>
          <w:jc w:val="center"/>
        </w:trPr>
        <w:tc>
          <w:tcPr>
            <w:tcW w:w="67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spacing w:line="360" w:lineRule="auto"/>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15</w:t>
            </w:r>
          </w:p>
        </w:tc>
        <w:tc>
          <w:tcPr>
            <w:tcW w:w="193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洋镐</w:t>
            </w:r>
          </w:p>
        </w:tc>
        <w:tc>
          <w:tcPr>
            <w:tcW w:w="104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把</w:t>
            </w:r>
          </w:p>
        </w:tc>
        <w:tc>
          <w:tcPr>
            <w:tcW w:w="1347"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2</w:t>
            </w:r>
          </w:p>
        </w:tc>
      </w:tr>
      <w:tr>
        <w:tblPrEx>
          <w:tblCellMar>
            <w:top w:w="0" w:type="dxa"/>
            <w:left w:w="0" w:type="dxa"/>
            <w:bottom w:w="0" w:type="dxa"/>
            <w:right w:w="0" w:type="dxa"/>
          </w:tblCellMar>
        </w:tblPrEx>
        <w:trPr>
          <w:trHeight w:val="418" w:hRule="atLeast"/>
          <w:jc w:val="center"/>
        </w:trPr>
        <w:tc>
          <w:tcPr>
            <w:tcW w:w="67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spacing w:line="360" w:lineRule="auto"/>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16</w:t>
            </w:r>
          </w:p>
        </w:tc>
        <w:tc>
          <w:tcPr>
            <w:tcW w:w="193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铁锹</w:t>
            </w:r>
          </w:p>
        </w:tc>
        <w:tc>
          <w:tcPr>
            <w:tcW w:w="104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把</w:t>
            </w:r>
          </w:p>
        </w:tc>
        <w:tc>
          <w:tcPr>
            <w:tcW w:w="1347"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16</w:t>
            </w:r>
          </w:p>
        </w:tc>
      </w:tr>
      <w:tr>
        <w:tblPrEx>
          <w:tblCellMar>
            <w:top w:w="0" w:type="dxa"/>
            <w:left w:w="0" w:type="dxa"/>
            <w:bottom w:w="0" w:type="dxa"/>
            <w:right w:w="0" w:type="dxa"/>
          </w:tblCellMar>
        </w:tblPrEx>
        <w:trPr>
          <w:trHeight w:val="452" w:hRule="atLeast"/>
          <w:jc w:val="center"/>
        </w:trPr>
        <w:tc>
          <w:tcPr>
            <w:tcW w:w="67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spacing w:line="360" w:lineRule="auto"/>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17</w:t>
            </w:r>
          </w:p>
        </w:tc>
        <w:tc>
          <w:tcPr>
            <w:tcW w:w="193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编织袋</w:t>
            </w:r>
          </w:p>
        </w:tc>
        <w:tc>
          <w:tcPr>
            <w:tcW w:w="104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个</w:t>
            </w:r>
          </w:p>
        </w:tc>
        <w:tc>
          <w:tcPr>
            <w:tcW w:w="1347"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40</w:t>
            </w:r>
          </w:p>
        </w:tc>
      </w:tr>
      <w:tr>
        <w:tblPrEx>
          <w:tblCellMar>
            <w:top w:w="0" w:type="dxa"/>
            <w:left w:w="0" w:type="dxa"/>
            <w:bottom w:w="0" w:type="dxa"/>
            <w:right w:w="0" w:type="dxa"/>
          </w:tblCellMar>
        </w:tblPrEx>
        <w:trPr>
          <w:trHeight w:val="614" w:hRule="atLeast"/>
          <w:jc w:val="center"/>
        </w:trPr>
        <w:tc>
          <w:tcPr>
            <w:tcW w:w="67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spacing w:line="360" w:lineRule="auto"/>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18</w:t>
            </w:r>
          </w:p>
        </w:tc>
        <w:tc>
          <w:tcPr>
            <w:tcW w:w="193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警戒线</w:t>
            </w:r>
          </w:p>
        </w:tc>
        <w:tc>
          <w:tcPr>
            <w:tcW w:w="1042"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卷</w:t>
            </w:r>
          </w:p>
        </w:tc>
        <w:tc>
          <w:tcPr>
            <w:tcW w:w="1347"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keepNext w:val="0"/>
              <w:keepLines w:val="0"/>
              <w:widowControl/>
              <w:suppressLineNumbers w:val="0"/>
              <w:spacing w:line="360" w:lineRule="auto"/>
              <w:ind w:firstLine="420" w:firstLineChars="20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4</w:t>
            </w:r>
          </w:p>
        </w:tc>
      </w:tr>
    </w:tbl>
    <w:p>
      <w:pPr>
        <w:pStyle w:val="3"/>
      </w:pPr>
      <w:bookmarkStart w:id="81" w:name="_Toc17011"/>
      <w:r>
        <w:rPr>
          <w:rFonts w:hint="eastAsia"/>
        </w:rPr>
        <w:t>环境应急专项经费调查</w:t>
      </w:r>
      <w:bookmarkEnd w:id="79"/>
      <w:bookmarkEnd w:id="80"/>
      <w:bookmarkEnd w:id="81"/>
    </w:p>
    <w:p>
      <w:pPr>
        <w:ind w:firstLine="560"/>
        <w:rPr>
          <w:sz w:val="24"/>
          <w:szCs w:val="24"/>
        </w:rPr>
      </w:pPr>
      <w:r>
        <w:rPr>
          <w:rFonts w:hint="eastAsia"/>
          <w:sz w:val="24"/>
          <w:szCs w:val="24"/>
        </w:rPr>
        <w:t>应急救援经费保障是在突发环境事件发生时迅速开展应急工作的重要保障，可靠的资金渠道和充足的经费才能保证有效开展应急救援工作和维护应急管理系统的正常运转，为此公司制定了应急救援专项经费保障措施，具体如下。</w:t>
      </w:r>
    </w:p>
    <w:p>
      <w:pPr>
        <w:ind w:firstLine="560"/>
        <w:rPr>
          <w:sz w:val="24"/>
          <w:szCs w:val="24"/>
        </w:rPr>
      </w:pPr>
      <w:r>
        <w:rPr>
          <w:rFonts w:hint="eastAsia"/>
          <w:sz w:val="24"/>
          <w:szCs w:val="24"/>
        </w:rPr>
        <w:t>1、建立应急经费保障机制</w:t>
      </w:r>
    </w:p>
    <w:p>
      <w:pPr>
        <w:ind w:firstLine="560"/>
        <w:rPr>
          <w:sz w:val="24"/>
          <w:szCs w:val="24"/>
        </w:rPr>
      </w:pPr>
      <w:r>
        <w:rPr>
          <w:rFonts w:hint="eastAsia"/>
          <w:sz w:val="24"/>
          <w:szCs w:val="24"/>
        </w:rPr>
        <w:t>应急经费保障着眼应对多种安全威胁，完成多样化救援任务的需要，按照战时应战、平时应急的思路，将现有应急管理体系中的抢险救灾领导机构和各应急救援专业小组有机结合起来。应急救援财力保障小组把抢险救灾经费、物资装备经费等项目进行整合和统一管理，平时做好动员准备、开展动员演练的经费保障，以及防灾抗灾经费管理的基础工作，负责对包括应急投入和应急专项资金在内的所有保障基金的管理和运营；制定应对各种自然灾害和突发事件经费保障的应急经费保障预案、紧急状态下的财经执行法规和制度；与包括现场抢险、安全救护、通信信息、交通运输、后勤服务在内的各有关职能小组建立紧急状况下的经费协调关系。一旦发生自然灾害或突发紧急事件，经费保障管理小组即成为应急救援经费管理中心，负责召集上述相关部门进行灾情分析和项目论证、救灾资金的紧急动员、各部门资金需求统计和协调、救灾物资的采购和统一支付以及阶段性资金投入使用。</w:t>
      </w:r>
    </w:p>
    <w:p>
      <w:pPr>
        <w:ind w:firstLine="560"/>
        <w:rPr>
          <w:sz w:val="24"/>
          <w:szCs w:val="24"/>
        </w:rPr>
      </w:pPr>
      <w:r>
        <w:rPr>
          <w:rFonts w:hint="eastAsia"/>
          <w:sz w:val="24"/>
          <w:szCs w:val="24"/>
        </w:rPr>
        <w:t>2、建立可靠的资金保障体系</w:t>
      </w:r>
    </w:p>
    <w:p>
      <w:pPr>
        <w:ind w:firstLine="560"/>
        <w:rPr>
          <w:sz w:val="24"/>
          <w:szCs w:val="24"/>
        </w:rPr>
      </w:pPr>
      <w:r>
        <w:rPr>
          <w:rFonts w:hint="eastAsia"/>
          <w:sz w:val="24"/>
          <w:szCs w:val="24"/>
        </w:rPr>
        <w:t>建立一定规模的应急资金。每年制定安全生产投入计划时</w:t>
      </w:r>
      <w:r>
        <w:rPr>
          <w:rFonts w:hint="eastAsia"/>
          <w:sz w:val="24"/>
          <w:szCs w:val="24"/>
          <w:lang w:eastAsia="zh-CN"/>
        </w:rPr>
        <w:t>将</w:t>
      </w:r>
      <w:r>
        <w:rPr>
          <w:rFonts w:hint="eastAsia"/>
          <w:sz w:val="24"/>
          <w:szCs w:val="24"/>
        </w:rPr>
        <w:t>应急资金列入企业预算。</w:t>
      </w:r>
    </w:p>
    <w:p>
      <w:pPr>
        <w:ind w:firstLine="560"/>
        <w:rPr>
          <w:sz w:val="24"/>
          <w:szCs w:val="24"/>
        </w:rPr>
      </w:pPr>
      <w:r>
        <w:rPr>
          <w:rFonts w:hint="eastAsia"/>
          <w:sz w:val="24"/>
          <w:szCs w:val="24"/>
        </w:rPr>
        <w:t>3、强化经费保障监管</w:t>
      </w:r>
    </w:p>
    <w:p>
      <w:pPr>
        <w:ind w:firstLine="560"/>
        <w:rPr>
          <w:sz w:val="24"/>
          <w:szCs w:val="24"/>
        </w:rPr>
        <w:sectPr>
          <w:pgSz w:w="11906" w:h="16838"/>
          <w:pgMar w:top="1304" w:right="1247" w:bottom="1304" w:left="1531" w:header="851" w:footer="851" w:gutter="0"/>
          <w:pgNumType w:fmt="decimal"/>
          <w:cols w:space="425" w:num="1"/>
          <w:docGrid w:type="lines" w:linePitch="312" w:charSpace="0"/>
        </w:sectPr>
      </w:pPr>
      <w:r>
        <w:rPr>
          <w:rFonts w:hint="eastAsia"/>
          <w:sz w:val="24"/>
          <w:szCs w:val="24"/>
        </w:rPr>
        <w:t>健全完善救灾经费管理办法，使经费监管工作有章可循。监管工作覆盖经费筹措、申请划拨、采购支付全过程。</w:t>
      </w:r>
    </w:p>
    <w:p>
      <w:pPr>
        <w:pStyle w:val="3"/>
      </w:pPr>
      <w:bookmarkStart w:id="82" w:name="_Toc15535"/>
      <w:bookmarkStart w:id="83" w:name="_Toc526520654"/>
      <w:bookmarkStart w:id="84" w:name="_Toc527064043"/>
      <w:r>
        <w:rPr>
          <w:rFonts w:hint="eastAsia"/>
        </w:rPr>
        <w:t>结论</w:t>
      </w:r>
      <w:bookmarkEnd w:id="82"/>
      <w:bookmarkEnd w:id="83"/>
      <w:bookmarkEnd w:id="84"/>
    </w:p>
    <w:p>
      <w:pPr>
        <w:pStyle w:val="4"/>
        <w:rPr>
          <w:sz w:val="24"/>
          <w:szCs w:val="24"/>
        </w:rPr>
      </w:pPr>
      <w:bookmarkStart w:id="85" w:name="_Toc526520655"/>
      <w:bookmarkStart w:id="86" w:name="_Toc527064044"/>
      <w:bookmarkStart w:id="87" w:name="_Toc9139"/>
      <w:r>
        <w:rPr>
          <w:rFonts w:hint="eastAsia"/>
          <w:sz w:val="24"/>
          <w:szCs w:val="24"/>
        </w:rPr>
        <w:t>现状</w:t>
      </w:r>
      <w:bookmarkEnd w:id="85"/>
      <w:bookmarkEnd w:id="86"/>
      <w:bookmarkEnd w:id="87"/>
    </w:p>
    <w:p>
      <w:pPr>
        <w:ind w:firstLine="560"/>
        <w:rPr>
          <w:sz w:val="24"/>
          <w:szCs w:val="24"/>
        </w:rPr>
      </w:pPr>
      <w:r>
        <w:rPr>
          <w:rFonts w:hint="eastAsia"/>
          <w:sz w:val="24"/>
          <w:szCs w:val="24"/>
        </w:rPr>
        <w:t>本次环境应急资源调查从环境应急人力资源、环境应急设施装备物资、经费管理方面进行了调查。企业已组建了应急救援队伍，已配备了</w:t>
      </w:r>
      <w:r>
        <w:rPr>
          <w:rFonts w:hint="eastAsia"/>
          <w:sz w:val="24"/>
          <w:szCs w:val="24"/>
          <w:lang w:eastAsia="zh-CN"/>
        </w:rPr>
        <w:t>部分</w:t>
      </w:r>
      <w:r>
        <w:rPr>
          <w:rFonts w:hint="eastAsia"/>
          <w:sz w:val="24"/>
          <w:szCs w:val="24"/>
        </w:rPr>
        <w:t>必要的应急物资和应急装备，并制定了专项经费保障措施。厂区现有应急处置物资和应急装备等较为齐全</w:t>
      </w:r>
      <w:r>
        <w:rPr>
          <w:rFonts w:hint="eastAsia"/>
          <w:sz w:val="24"/>
          <w:szCs w:val="24"/>
          <w:lang w:eastAsia="zh-CN"/>
        </w:rPr>
        <w:t>，缺少防尘口罩、正压式空气呼吸器一类的应急物资</w:t>
      </w:r>
      <w:r>
        <w:rPr>
          <w:rFonts w:hint="eastAsia"/>
          <w:sz w:val="24"/>
          <w:szCs w:val="24"/>
        </w:rPr>
        <w:t>，</w:t>
      </w:r>
      <w:r>
        <w:rPr>
          <w:rFonts w:hint="eastAsia"/>
          <w:sz w:val="24"/>
          <w:szCs w:val="24"/>
          <w:lang w:eastAsia="zh-CN"/>
        </w:rPr>
        <w:t>已有物资</w:t>
      </w:r>
      <w:r>
        <w:rPr>
          <w:rFonts w:hint="eastAsia"/>
          <w:sz w:val="24"/>
          <w:szCs w:val="24"/>
        </w:rPr>
        <w:t>根据各区域可能发生的事故类型将所需应急资源合理分布，</w:t>
      </w:r>
      <w:r>
        <w:rPr>
          <w:rFonts w:hint="eastAsia"/>
          <w:sz w:val="24"/>
          <w:szCs w:val="24"/>
          <w:lang w:eastAsia="zh-CN"/>
        </w:rPr>
        <w:t>部分</w:t>
      </w:r>
      <w:r>
        <w:rPr>
          <w:rFonts w:hint="eastAsia"/>
          <w:sz w:val="24"/>
          <w:szCs w:val="24"/>
        </w:rPr>
        <w:t>满足厂区突发环境事故时的应急需要。</w:t>
      </w:r>
    </w:p>
    <w:p>
      <w:pPr>
        <w:pStyle w:val="4"/>
        <w:rPr>
          <w:color w:val="000000" w:themeColor="text1"/>
          <w:sz w:val="24"/>
          <w:szCs w:val="24"/>
          <w14:textFill>
            <w14:solidFill>
              <w14:schemeClr w14:val="tx1"/>
            </w14:solidFill>
          </w14:textFill>
        </w:rPr>
      </w:pPr>
      <w:bookmarkStart w:id="88" w:name="_Toc527064045"/>
      <w:bookmarkStart w:id="89" w:name="_Toc31858"/>
      <w:bookmarkStart w:id="90" w:name="_Toc526520656"/>
      <w:r>
        <w:rPr>
          <w:rFonts w:hint="eastAsia"/>
          <w:color w:val="000000" w:themeColor="text1"/>
          <w:sz w:val="24"/>
          <w:szCs w:val="24"/>
          <w14:textFill>
            <w14:solidFill>
              <w14:schemeClr w14:val="tx1"/>
            </w14:solidFill>
          </w14:textFill>
        </w:rPr>
        <w:t>存在问题</w:t>
      </w:r>
      <w:bookmarkEnd w:id="88"/>
      <w:bookmarkEnd w:id="89"/>
      <w:bookmarkEnd w:id="90"/>
    </w:p>
    <w:p>
      <w:pPr>
        <w:ind w:firstLine="56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公司已开展的应急演练多为消防或安全生产事故演练，有针对性的突发环境污染事故演练欠缺。</w:t>
      </w:r>
    </w:p>
    <w:p>
      <w:pPr>
        <w:ind w:firstLine="560"/>
        <w:rPr>
          <w:color w:val="000000" w:themeColor="text1"/>
          <w:sz w:val="24"/>
          <w:szCs w:val="24"/>
          <w14:textFill>
            <w14:solidFill>
              <w14:schemeClr w14:val="tx1"/>
            </w14:solidFill>
          </w14:textFill>
        </w:rPr>
      </w:pPr>
      <w:r>
        <w:rPr>
          <w:rFonts w:hint="eastAsia"/>
          <w:color w:val="000000" w:themeColor="text1"/>
          <w:sz w:val="24"/>
          <w:szCs w:val="24"/>
          <w:lang w:eastAsia="zh-CN"/>
          <w14:textFill>
            <w14:solidFill>
              <w14:schemeClr w14:val="tx1"/>
            </w14:solidFill>
          </w14:textFill>
        </w:rPr>
        <w:t>厂内配置有灭火器、消防栓等，缺少防尘口罩、正压式空气呼吸器一类的应急物资，厂内编制了安全生产应急预案，未在生产区建设事故应急池，未在雨水排口设置截止阀</w:t>
      </w:r>
      <w:r>
        <w:rPr>
          <w:rFonts w:hint="eastAsia"/>
          <w:color w:val="000000" w:themeColor="text1"/>
          <w:sz w:val="24"/>
          <w:szCs w:val="24"/>
          <w14:textFill>
            <w14:solidFill>
              <w14:schemeClr w14:val="tx1"/>
            </w14:solidFill>
          </w14:textFill>
        </w:rPr>
        <w:t>。</w:t>
      </w:r>
    </w:p>
    <w:p>
      <w:pPr>
        <w:pStyle w:val="4"/>
        <w:rPr>
          <w:color w:val="000000" w:themeColor="text1"/>
          <w:sz w:val="24"/>
          <w:szCs w:val="24"/>
          <w14:textFill>
            <w14:solidFill>
              <w14:schemeClr w14:val="tx1"/>
            </w14:solidFill>
          </w14:textFill>
        </w:rPr>
      </w:pPr>
      <w:bookmarkStart w:id="91" w:name="_Toc23556"/>
      <w:r>
        <w:rPr>
          <w:rFonts w:hint="eastAsia"/>
          <w:color w:val="000000" w:themeColor="text1"/>
          <w:sz w:val="24"/>
          <w:szCs w:val="24"/>
          <w:lang w:eastAsia="zh-CN"/>
          <w14:textFill>
            <w14:solidFill>
              <w14:schemeClr w14:val="tx1"/>
            </w14:solidFill>
          </w14:textFill>
        </w:rPr>
        <w:t>建议</w:t>
      </w:r>
      <w:bookmarkEnd w:id="91"/>
    </w:p>
    <w:p>
      <w:pPr>
        <w:ind w:firstLine="560"/>
        <w:rPr>
          <w:rFonts w:hint="eastAsia" w:eastAsia="宋体"/>
          <w:sz w:val="24"/>
          <w:szCs w:val="24"/>
          <w:lang w:eastAsia="zh-CN"/>
        </w:rPr>
      </w:pPr>
      <w:r>
        <w:rPr>
          <w:rFonts w:hint="eastAsia"/>
          <w:sz w:val="24"/>
          <w:szCs w:val="24"/>
        </w:rPr>
        <w:t>本次应急资源调查从“人、财、物”三方面进行了调查，可知本企业已组建应急救援队伍，并根据环保等部门要求配备了</w:t>
      </w:r>
      <w:r>
        <w:rPr>
          <w:rFonts w:hint="eastAsia"/>
          <w:sz w:val="24"/>
          <w:szCs w:val="24"/>
          <w:lang w:eastAsia="zh-CN"/>
        </w:rPr>
        <w:t>部分</w:t>
      </w:r>
      <w:r>
        <w:rPr>
          <w:rFonts w:hint="eastAsia"/>
          <w:sz w:val="24"/>
          <w:szCs w:val="24"/>
        </w:rPr>
        <w:t>必要的应急设施及装备。但由于突发环境事件造成的危害难以预测，企业自身的应急能力也相对有限。故通过本次调查，已摸清企业内、外部救援力量的联系方式，对企业遇到突发环境事件时的及时应对非常有利。此外，为了使突发环境事件发生时各项应急救援工作有序开展，相关制度、培训、演练及预案是必不可少的。而在本次调查中可知，企业已有较为完善的制度、应急预案</w:t>
      </w:r>
      <w:r>
        <w:rPr>
          <w:rFonts w:hint="eastAsia"/>
          <w:sz w:val="24"/>
          <w:szCs w:val="24"/>
          <w:lang w:eastAsia="zh-CN"/>
        </w:rPr>
        <w:t>，</w:t>
      </w:r>
      <w:r>
        <w:rPr>
          <w:rFonts w:hint="eastAsia"/>
          <w:sz w:val="24"/>
          <w:szCs w:val="24"/>
        </w:rPr>
        <w:t>但暂未制定完善的应急培训及演练计划</w:t>
      </w:r>
      <w:r>
        <w:rPr>
          <w:rFonts w:hint="eastAsia"/>
          <w:sz w:val="24"/>
          <w:szCs w:val="24"/>
          <w:lang w:eastAsia="zh-CN"/>
        </w:rPr>
        <w:t>。</w:t>
      </w:r>
      <w:r>
        <w:rPr>
          <w:rFonts w:hint="eastAsia"/>
          <w:sz w:val="24"/>
          <w:szCs w:val="24"/>
        </w:rPr>
        <w:t>建议尽快制定落实相关的应急培训及演练</w:t>
      </w:r>
      <w:r>
        <w:rPr>
          <w:rFonts w:hint="eastAsia"/>
          <w:sz w:val="24"/>
          <w:szCs w:val="24"/>
          <w:lang w:eastAsia="zh-CN"/>
        </w:rPr>
        <w:t>，补充防尘口罩等应急物资，尽快进行消防应急备案，雨水排口设置截止阀并连通至应急事故池。</w:t>
      </w:r>
    </w:p>
    <w:p>
      <w:pPr>
        <w:ind w:firstLine="560"/>
      </w:pPr>
    </w:p>
    <w:p>
      <w:pPr>
        <w:ind w:firstLine="560"/>
      </w:pPr>
    </w:p>
    <w:sectPr>
      <w:pgSz w:w="11906" w:h="16838"/>
      <w:pgMar w:top="1304" w:right="1247" w:bottom="1304" w:left="1531" w:header="851" w:footer="851" w:gutter="0"/>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沈兴强" w:date="2020-09-09T15:54:00Z" w:initials="">
    <w:p w14:paraId="0E021809">
      <w:pPr>
        <w:pStyle w:val="10"/>
        <w:spacing w:line="240" w:lineRule="auto"/>
        <w:ind w:firstLine="0" w:firstLineChars="0"/>
        <w:rPr>
          <w:rFonts w:eastAsia="宋体" w:cs="Times New Roman"/>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E02180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MicrosoftYaHei">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top w:val="thickThinSmallGap" w:color="auto" w:sz="24" w:space="1"/>
      </w:pBdr>
      <w:ind w:firstLine="36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RBrfc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5EGt9xQCAAAVBAAADgAAAAAAAAAB&#10;ACAAAAAfAQAAZHJzL2Uyb0RvYy54bWxQSwUGAAAAAAYABgBZAQAApQUAAAAA&#10;">
              <v:fill on="f" focussize="0,0"/>
              <v:stroke on="f" weight="0.5pt"/>
              <v:imagedata o:title=""/>
              <o:lock v:ext="edit" aspectratio="f"/>
              <v:textbox inset="0mm,0mm,0mm,0mm" style="mso-fit-shape-to-text:t;">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thinThickSmallGap" w:color="auto" w:sz="24" w:space="1"/>
      </w:pBdr>
      <w:ind w:firstLine="360"/>
    </w:pPr>
    <w:r>
      <w:rPr>
        <w:rFonts w:hint="eastAsia"/>
        <w:lang w:eastAsia="zh-CN"/>
      </w:rPr>
      <w:t>南昌慧华高科混凝土有限公司</w:t>
    </w:r>
    <w:r>
      <w:rPr>
        <w:rFonts w:hint="eastAsia"/>
      </w:rPr>
      <w:t>环境应急资源调查报告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8C39C0"/>
    <w:multiLevelType w:val="multilevel"/>
    <w:tmpl w:val="498C39C0"/>
    <w:lvl w:ilvl="0" w:tentative="0">
      <w:start w:val="1"/>
      <w:numFmt w:val="decimal"/>
      <w:pStyle w:val="3"/>
      <w:suff w:val="space"/>
      <w:lvlText w:val="%1"/>
      <w:lvlJc w:val="left"/>
      <w:pPr>
        <w:ind w:left="425" w:hanging="425"/>
      </w:pPr>
      <w:rPr>
        <w:rFonts w:hint="default" w:ascii="Times New Roman" w:hAnsi="Times New Roman" w:eastAsia="宋体"/>
        <w:b/>
        <w:i w:val="0"/>
        <w:sz w:val="32"/>
      </w:rPr>
    </w:lvl>
    <w:lvl w:ilvl="1" w:tentative="0">
      <w:start w:val="1"/>
      <w:numFmt w:val="decimal"/>
      <w:pStyle w:val="4"/>
      <w:suff w:val="space"/>
      <w:lvlText w:val="%1.%2"/>
      <w:lvlJc w:val="left"/>
      <w:pPr>
        <w:ind w:left="992" w:hanging="992"/>
      </w:pPr>
      <w:rPr>
        <w:rFonts w:hint="default" w:ascii="Times New Roman" w:hAnsi="Times New Roman" w:eastAsia="宋体"/>
        <w:b/>
        <w:i w:val="0"/>
        <w:sz w:val="30"/>
        <w:szCs w:val="30"/>
      </w:rPr>
    </w:lvl>
    <w:lvl w:ilvl="2" w:tentative="0">
      <w:start w:val="1"/>
      <w:numFmt w:val="decimal"/>
      <w:pStyle w:val="5"/>
      <w:suff w:val="space"/>
      <w:lvlText w:val="%1.%2.%3"/>
      <w:lvlJc w:val="left"/>
      <w:pPr>
        <w:ind w:left="1418" w:hanging="1418"/>
      </w:pPr>
      <w:rPr>
        <w:rFonts w:hint="default" w:ascii="Times New Roman" w:hAnsi="Times New Roman" w:eastAsia="宋体"/>
        <w:b/>
        <w:i w:val="0"/>
        <w:sz w:val="28"/>
      </w:rPr>
    </w:lvl>
    <w:lvl w:ilvl="3" w:tentative="0">
      <w:start w:val="1"/>
      <w:numFmt w:val="decimal"/>
      <w:pStyle w:val="8"/>
      <w:suff w:val="space"/>
      <w:lvlText w:val="%1.%2.%3.%4"/>
      <w:lvlJc w:val="left"/>
      <w:pPr>
        <w:ind w:left="1984" w:hanging="1984"/>
      </w:pPr>
      <w:rPr>
        <w:rFonts w:hint="default" w:ascii="Times New Roman" w:hAnsi="Times New Roman" w:eastAsia="宋体"/>
        <w:b/>
        <w:i w:val="0"/>
        <w:sz w:val="28"/>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5E256450"/>
    <w:multiLevelType w:val="singleLevel"/>
    <w:tmpl w:val="5E256450"/>
    <w:lvl w:ilvl="0" w:tentative="0">
      <w:start w:val="1"/>
      <w:numFmt w:val="decimal"/>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沈兴强">
    <w15:presenceInfo w15:providerId="None" w15:userId="沈兴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FCF"/>
    <w:rsid w:val="00000BE2"/>
    <w:rsid w:val="000068A1"/>
    <w:rsid w:val="000160A9"/>
    <w:rsid w:val="00026905"/>
    <w:rsid w:val="000459F8"/>
    <w:rsid w:val="000671A3"/>
    <w:rsid w:val="00096964"/>
    <w:rsid w:val="000A1C5E"/>
    <w:rsid w:val="000E2083"/>
    <w:rsid w:val="000E2541"/>
    <w:rsid w:val="000E6C75"/>
    <w:rsid w:val="000F2656"/>
    <w:rsid w:val="000F6D84"/>
    <w:rsid w:val="001026E0"/>
    <w:rsid w:val="001407B2"/>
    <w:rsid w:val="00151D57"/>
    <w:rsid w:val="00184677"/>
    <w:rsid w:val="001A3909"/>
    <w:rsid w:val="001B16CD"/>
    <w:rsid w:val="001B4742"/>
    <w:rsid w:val="001D6AB0"/>
    <w:rsid w:val="001F5969"/>
    <w:rsid w:val="002014A2"/>
    <w:rsid w:val="00206FD3"/>
    <w:rsid w:val="002213F8"/>
    <w:rsid w:val="00225834"/>
    <w:rsid w:val="00233D93"/>
    <w:rsid w:val="00240C1F"/>
    <w:rsid w:val="00254E63"/>
    <w:rsid w:val="002607C2"/>
    <w:rsid w:val="002712FD"/>
    <w:rsid w:val="00275F1C"/>
    <w:rsid w:val="00280274"/>
    <w:rsid w:val="00283F75"/>
    <w:rsid w:val="0029374A"/>
    <w:rsid w:val="002A14DF"/>
    <w:rsid w:val="002B4C78"/>
    <w:rsid w:val="002C647F"/>
    <w:rsid w:val="002D4A35"/>
    <w:rsid w:val="002D51E3"/>
    <w:rsid w:val="002E0165"/>
    <w:rsid w:val="00307C91"/>
    <w:rsid w:val="00312B6C"/>
    <w:rsid w:val="003174E0"/>
    <w:rsid w:val="0033681B"/>
    <w:rsid w:val="00357128"/>
    <w:rsid w:val="00365294"/>
    <w:rsid w:val="0038519B"/>
    <w:rsid w:val="00390E5F"/>
    <w:rsid w:val="0039283E"/>
    <w:rsid w:val="003B0812"/>
    <w:rsid w:val="003B29F2"/>
    <w:rsid w:val="003E6CE3"/>
    <w:rsid w:val="003F14F6"/>
    <w:rsid w:val="003F670D"/>
    <w:rsid w:val="0040118F"/>
    <w:rsid w:val="004027B3"/>
    <w:rsid w:val="004032C5"/>
    <w:rsid w:val="00412E9F"/>
    <w:rsid w:val="00431A80"/>
    <w:rsid w:val="0043262B"/>
    <w:rsid w:val="004358A3"/>
    <w:rsid w:val="00450C6D"/>
    <w:rsid w:val="00451C0E"/>
    <w:rsid w:val="004667E1"/>
    <w:rsid w:val="0049531F"/>
    <w:rsid w:val="004A2717"/>
    <w:rsid w:val="004C5D8D"/>
    <w:rsid w:val="004D5703"/>
    <w:rsid w:val="004D6B60"/>
    <w:rsid w:val="004E4A25"/>
    <w:rsid w:val="004F1222"/>
    <w:rsid w:val="0052151C"/>
    <w:rsid w:val="00543F4F"/>
    <w:rsid w:val="005449C5"/>
    <w:rsid w:val="00544C86"/>
    <w:rsid w:val="00553E8E"/>
    <w:rsid w:val="00554765"/>
    <w:rsid w:val="005670C8"/>
    <w:rsid w:val="00575F10"/>
    <w:rsid w:val="0058680F"/>
    <w:rsid w:val="00592524"/>
    <w:rsid w:val="00592E6B"/>
    <w:rsid w:val="005A7621"/>
    <w:rsid w:val="005C0EDA"/>
    <w:rsid w:val="005C314A"/>
    <w:rsid w:val="005E6A2E"/>
    <w:rsid w:val="005F581A"/>
    <w:rsid w:val="006009D5"/>
    <w:rsid w:val="00604B22"/>
    <w:rsid w:val="00607F59"/>
    <w:rsid w:val="0061745B"/>
    <w:rsid w:val="00621113"/>
    <w:rsid w:val="00650F1D"/>
    <w:rsid w:val="00653B24"/>
    <w:rsid w:val="00657BF3"/>
    <w:rsid w:val="006653E9"/>
    <w:rsid w:val="00666FFE"/>
    <w:rsid w:val="006737B2"/>
    <w:rsid w:val="006822BD"/>
    <w:rsid w:val="006956FE"/>
    <w:rsid w:val="006A1FF8"/>
    <w:rsid w:val="006B45DA"/>
    <w:rsid w:val="006C6D83"/>
    <w:rsid w:val="006C74AF"/>
    <w:rsid w:val="006F1421"/>
    <w:rsid w:val="0070649B"/>
    <w:rsid w:val="007173B0"/>
    <w:rsid w:val="00743BCB"/>
    <w:rsid w:val="007563E2"/>
    <w:rsid w:val="007737D9"/>
    <w:rsid w:val="00774181"/>
    <w:rsid w:val="007839CB"/>
    <w:rsid w:val="00790BE4"/>
    <w:rsid w:val="007B5AE5"/>
    <w:rsid w:val="007C3B21"/>
    <w:rsid w:val="007C6F6F"/>
    <w:rsid w:val="007D7897"/>
    <w:rsid w:val="007E7F93"/>
    <w:rsid w:val="007F1768"/>
    <w:rsid w:val="00801300"/>
    <w:rsid w:val="008214E0"/>
    <w:rsid w:val="00831E4A"/>
    <w:rsid w:val="008506FD"/>
    <w:rsid w:val="0087294A"/>
    <w:rsid w:val="00874D3A"/>
    <w:rsid w:val="008923D2"/>
    <w:rsid w:val="008A04AC"/>
    <w:rsid w:val="008A0B15"/>
    <w:rsid w:val="008A1C1F"/>
    <w:rsid w:val="008F7200"/>
    <w:rsid w:val="00901E21"/>
    <w:rsid w:val="00926018"/>
    <w:rsid w:val="00941E26"/>
    <w:rsid w:val="00961C16"/>
    <w:rsid w:val="009669B4"/>
    <w:rsid w:val="00975BB1"/>
    <w:rsid w:val="0097681E"/>
    <w:rsid w:val="00996D75"/>
    <w:rsid w:val="009A26DE"/>
    <w:rsid w:val="009A36B8"/>
    <w:rsid w:val="009A7850"/>
    <w:rsid w:val="009B7E61"/>
    <w:rsid w:val="009C4A41"/>
    <w:rsid w:val="009E2AC6"/>
    <w:rsid w:val="00A1296C"/>
    <w:rsid w:val="00A23CFE"/>
    <w:rsid w:val="00A2758D"/>
    <w:rsid w:val="00A30B83"/>
    <w:rsid w:val="00A35285"/>
    <w:rsid w:val="00A4095C"/>
    <w:rsid w:val="00A421F6"/>
    <w:rsid w:val="00A467D0"/>
    <w:rsid w:val="00A47423"/>
    <w:rsid w:val="00A73C41"/>
    <w:rsid w:val="00A85BC9"/>
    <w:rsid w:val="00A864EA"/>
    <w:rsid w:val="00A87621"/>
    <w:rsid w:val="00A91BC3"/>
    <w:rsid w:val="00AB233D"/>
    <w:rsid w:val="00AB4B66"/>
    <w:rsid w:val="00AF0137"/>
    <w:rsid w:val="00AF07D6"/>
    <w:rsid w:val="00AF1457"/>
    <w:rsid w:val="00AF692B"/>
    <w:rsid w:val="00B159FE"/>
    <w:rsid w:val="00B21B9E"/>
    <w:rsid w:val="00B43F76"/>
    <w:rsid w:val="00B4727E"/>
    <w:rsid w:val="00B47AEF"/>
    <w:rsid w:val="00B66A5C"/>
    <w:rsid w:val="00B746E9"/>
    <w:rsid w:val="00B74729"/>
    <w:rsid w:val="00BB467B"/>
    <w:rsid w:val="00BB57A5"/>
    <w:rsid w:val="00BB5896"/>
    <w:rsid w:val="00BD763E"/>
    <w:rsid w:val="00BE3E8E"/>
    <w:rsid w:val="00BF52F7"/>
    <w:rsid w:val="00C065AE"/>
    <w:rsid w:val="00C114B3"/>
    <w:rsid w:val="00C11A97"/>
    <w:rsid w:val="00C40A75"/>
    <w:rsid w:val="00C43423"/>
    <w:rsid w:val="00C57E46"/>
    <w:rsid w:val="00C63FB2"/>
    <w:rsid w:val="00C80BA3"/>
    <w:rsid w:val="00C82324"/>
    <w:rsid w:val="00C84E7A"/>
    <w:rsid w:val="00C92B5E"/>
    <w:rsid w:val="00C94B0F"/>
    <w:rsid w:val="00CD3678"/>
    <w:rsid w:val="00CE523B"/>
    <w:rsid w:val="00CE6E02"/>
    <w:rsid w:val="00CE6F55"/>
    <w:rsid w:val="00CF0E3C"/>
    <w:rsid w:val="00D01249"/>
    <w:rsid w:val="00D01A16"/>
    <w:rsid w:val="00D01DCC"/>
    <w:rsid w:val="00D125AA"/>
    <w:rsid w:val="00D1445B"/>
    <w:rsid w:val="00D34A3F"/>
    <w:rsid w:val="00D477B6"/>
    <w:rsid w:val="00D81A01"/>
    <w:rsid w:val="00D93DB4"/>
    <w:rsid w:val="00DB011D"/>
    <w:rsid w:val="00DD0D88"/>
    <w:rsid w:val="00DF1CB4"/>
    <w:rsid w:val="00DF1F31"/>
    <w:rsid w:val="00E006C8"/>
    <w:rsid w:val="00E035DC"/>
    <w:rsid w:val="00E04793"/>
    <w:rsid w:val="00E1153B"/>
    <w:rsid w:val="00E1469F"/>
    <w:rsid w:val="00E303CD"/>
    <w:rsid w:val="00E3106A"/>
    <w:rsid w:val="00E36BBA"/>
    <w:rsid w:val="00E414DC"/>
    <w:rsid w:val="00E4366C"/>
    <w:rsid w:val="00E55B4D"/>
    <w:rsid w:val="00E97698"/>
    <w:rsid w:val="00EB11E4"/>
    <w:rsid w:val="00ED7CE5"/>
    <w:rsid w:val="00F10E21"/>
    <w:rsid w:val="00F13E54"/>
    <w:rsid w:val="00F52285"/>
    <w:rsid w:val="00F5452F"/>
    <w:rsid w:val="00F563D4"/>
    <w:rsid w:val="00F62A33"/>
    <w:rsid w:val="00F7027A"/>
    <w:rsid w:val="00F72105"/>
    <w:rsid w:val="00F83FCF"/>
    <w:rsid w:val="00FB6BD7"/>
    <w:rsid w:val="00FC6468"/>
    <w:rsid w:val="00FC7F4B"/>
    <w:rsid w:val="00FD7A54"/>
    <w:rsid w:val="00FE4689"/>
    <w:rsid w:val="00FF2280"/>
    <w:rsid w:val="02A059C9"/>
    <w:rsid w:val="02F71CA4"/>
    <w:rsid w:val="02F835E0"/>
    <w:rsid w:val="04575B55"/>
    <w:rsid w:val="0536021A"/>
    <w:rsid w:val="07DD6692"/>
    <w:rsid w:val="093F7665"/>
    <w:rsid w:val="0A1A6E6A"/>
    <w:rsid w:val="0A7E22E4"/>
    <w:rsid w:val="0D3E7767"/>
    <w:rsid w:val="0EEA7B7D"/>
    <w:rsid w:val="0FA5284F"/>
    <w:rsid w:val="0FCB1C55"/>
    <w:rsid w:val="1110770A"/>
    <w:rsid w:val="13E771B9"/>
    <w:rsid w:val="17521158"/>
    <w:rsid w:val="17C72EC5"/>
    <w:rsid w:val="17F07EE8"/>
    <w:rsid w:val="19B91F40"/>
    <w:rsid w:val="1A520FFD"/>
    <w:rsid w:val="1C303E04"/>
    <w:rsid w:val="1D100784"/>
    <w:rsid w:val="1F0724A1"/>
    <w:rsid w:val="1F0828B5"/>
    <w:rsid w:val="20274F43"/>
    <w:rsid w:val="212B3445"/>
    <w:rsid w:val="25692C05"/>
    <w:rsid w:val="26CF59EC"/>
    <w:rsid w:val="27D43FB1"/>
    <w:rsid w:val="28A3288F"/>
    <w:rsid w:val="2AE14EB2"/>
    <w:rsid w:val="33535307"/>
    <w:rsid w:val="33C10008"/>
    <w:rsid w:val="34CC1487"/>
    <w:rsid w:val="36337EEF"/>
    <w:rsid w:val="365A0FA7"/>
    <w:rsid w:val="381111FB"/>
    <w:rsid w:val="3CFA3352"/>
    <w:rsid w:val="3F19468D"/>
    <w:rsid w:val="3F433978"/>
    <w:rsid w:val="402E6A74"/>
    <w:rsid w:val="418F3FA1"/>
    <w:rsid w:val="41A675A7"/>
    <w:rsid w:val="44296EC6"/>
    <w:rsid w:val="469B51E7"/>
    <w:rsid w:val="4AB9478E"/>
    <w:rsid w:val="4B5A2C82"/>
    <w:rsid w:val="4D1849A2"/>
    <w:rsid w:val="4EB034B2"/>
    <w:rsid w:val="50853BFB"/>
    <w:rsid w:val="52C1178E"/>
    <w:rsid w:val="53CB7BD4"/>
    <w:rsid w:val="57F47918"/>
    <w:rsid w:val="59C52471"/>
    <w:rsid w:val="5BD2150B"/>
    <w:rsid w:val="5BD454E4"/>
    <w:rsid w:val="5CF347C9"/>
    <w:rsid w:val="5D931892"/>
    <w:rsid w:val="5ECC2FBD"/>
    <w:rsid w:val="65750F8C"/>
    <w:rsid w:val="68103229"/>
    <w:rsid w:val="69311EA1"/>
    <w:rsid w:val="6A044137"/>
    <w:rsid w:val="6C9C2AAE"/>
    <w:rsid w:val="70E0576D"/>
    <w:rsid w:val="75382D59"/>
    <w:rsid w:val="7BB40209"/>
    <w:rsid w:val="7C877CD8"/>
    <w:rsid w:val="7CE73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heme="minorBidi"/>
      <w:kern w:val="2"/>
      <w:sz w:val="28"/>
      <w:szCs w:val="22"/>
      <w:lang w:val="en-US" w:eastAsia="zh-CN" w:bidi="ar-SA"/>
    </w:rPr>
  </w:style>
  <w:style w:type="paragraph" w:styleId="3">
    <w:name w:val="heading 1"/>
    <w:basedOn w:val="1"/>
    <w:next w:val="4"/>
    <w:link w:val="23"/>
    <w:qFormat/>
    <w:uiPriority w:val="9"/>
    <w:pPr>
      <w:keepNext/>
      <w:keepLines/>
      <w:numPr>
        <w:ilvl w:val="0"/>
        <w:numId w:val="1"/>
      </w:numPr>
      <w:ind w:left="0" w:firstLine="0" w:firstLineChars="0"/>
      <w:jc w:val="left"/>
      <w:outlineLvl w:val="0"/>
    </w:pPr>
    <w:rPr>
      <w:b/>
      <w:bCs/>
      <w:kern w:val="44"/>
      <w:sz w:val="32"/>
      <w:szCs w:val="44"/>
    </w:rPr>
  </w:style>
  <w:style w:type="paragraph" w:styleId="4">
    <w:name w:val="heading 2"/>
    <w:basedOn w:val="1"/>
    <w:next w:val="5"/>
    <w:link w:val="25"/>
    <w:unhideWhenUsed/>
    <w:qFormat/>
    <w:uiPriority w:val="9"/>
    <w:pPr>
      <w:keepNext/>
      <w:keepLines/>
      <w:numPr>
        <w:ilvl w:val="1"/>
        <w:numId w:val="1"/>
      </w:numPr>
      <w:ind w:left="0" w:firstLine="0" w:firstLineChars="0"/>
      <w:jc w:val="left"/>
      <w:outlineLvl w:val="1"/>
    </w:pPr>
    <w:rPr>
      <w:rFonts w:cstheme="majorBidi"/>
      <w:b/>
      <w:bCs/>
      <w:sz w:val="30"/>
      <w:szCs w:val="32"/>
    </w:rPr>
  </w:style>
  <w:style w:type="paragraph" w:styleId="5">
    <w:name w:val="heading 3"/>
    <w:basedOn w:val="1"/>
    <w:next w:val="6"/>
    <w:link w:val="26"/>
    <w:unhideWhenUsed/>
    <w:qFormat/>
    <w:uiPriority w:val="9"/>
    <w:pPr>
      <w:keepNext/>
      <w:keepLines/>
      <w:numPr>
        <w:ilvl w:val="2"/>
        <w:numId w:val="1"/>
      </w:numPr>
      <w:ind w:left="0" w:firstLine="0" w:firstLineChars="0"/>
      <w:jc w:val="left"/>
      <w:outlineLvl w:val="2"/>
    </w:pPr>
    <w:rPr>
      <w:b/>
      <w:bCs/>
      <w:szCs w:val="32"/>
    </w:rPr>
  </w:style>
  <w:style w:type="paragraph" w:styleId="8">
    <w:name w:val="heading 4"/>
    <w:basedOn w:val="1"/>
    <w:next w:val="1"/>
    <w:link w:val="27"/>
    <w:unhideWhenUsed/>
    <w:qFormat/>
    <w:uiPriority w:val="9"/>
    <w:pPr>
      <w:keepNext/>
      <w:keepLines/>
      <w:numPr>
        <w:ilvl w:val="3"/>
        <w:numId w:val="1"/>
      </w:numPr>
      <w:ind w:left="0" w:firstLine="0" w:firstLineChars="0"/>
      <w:jc w:val="left"/>
      <w:outlineLvl w:val="3"/>
    </w:pPr>
    <w:rPr>
      <w:rFonts w:cstheme="majorBidi"/>
      <w:b/>
      <w:bCs/>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6">
    <w:name w:val="Body Text First Indent"/>
    <w:basedOn w:val="7"/>
    <w:qFormat/>
    <w:uiPriority w:val="0"/>
    <w:pPr>
      <w:ind w:firstLine="420" w:firstLineChars="100"/>
    </w:pPr>
    <w:rPr>
      <w:sz w:val="21"/>
    </w:rPr>
  </w:style>
  <w:style w:type="paragraph" w:styleId="7">
    <w:name w:val="Body Text"/>
    <w:basedOn w:val="1"/>
    <w:qFormat/>
    <w:uiPriority w:val="0"/>
    <w:pPr>
      <w:spacing w:after="120"/>
    </w:pPr>
  </w:style>
  <w:style w:type="paragraph" w:styleId="9">
    <w:name w:val="caption"/>
    <w:basedOn w:val="1"/>
    <w:next w:val="1"/>
    <w:unhideWhenUsed/>
    <w:qFormat/>
    <w:uiPriority w:val="35"/>
    <w:pPr>
      <w:ind w:firstLine="0" w:firstLineChars="0"/>
      <w:jc w:val="center"/>
    </w:pPr>
    <w:rPr>
      <w:rFonts w:cstheme="majorBidi"/>
      <w:szCs w:val="20"/>
    </w:rPr>
  </w:style>
  <w:style w:type="paragraph" w:styleId="10">
    <w:name w:val="annotation text"/>
    <w:qFormat/>
    <w:uiPriority w:val="0"/>
    <w:pPr>
      <w:widowControl w:val="0"/>
      <w:jc w:val="left"/>
    </w:pPr>
    <w:rPr>
      <w:rFonts w:ascii="Calibri" w:hAnsi="Calibri" w:eastAsia="宋体" w:cs="Times New Roman"/>
      <w:kern w:val="2"/>
      <w:sz w:val="21"/>
      <w:szCs w:val="24"/>
      <w:lang w:val="en-US" w:eastAsia="zh-CN" w:bidi="ar-SA"/>
    </w:rPr>
  </w:style>
  <w:style w:type="paragraph" w:styleId="11">
    <w:name w:val="Body Text Indent"/>
    <w:basedOn w:val="1"/>
    <w:qFormat/>
    <w:uiPriority w:val="0"/>
    <w:pPr>
      <w:spacing w:after="120"/>
      <w:ind w:left="420" w:leftChars="200"/>
    </w:pPr>
  </w:style>
  <w:style w:type="paragraph" w:styleId="12">
    <w:name w:val="toc 3"/>
    <w:basedOn w:val="1"/>
    <w:next w:val="1"/>
    <w:unhideWhenUsed/>
    <w:qFormat/>
    <w:uiPriority w:val="39"/>
    <w:pPr>
      <w:widowControl/>
      <w:ind w:firstLine="400" w:firstLineChars="400"/>
      <w:jc w:val="left"/>
    </w:pPr>
    <w:rPr>
      <w:rFonts w:cs="Times New Roman"/>
      <w:kern w:val="0"/>
    </w:rPr>
  </w:style>
  <w:style w:type="paragraph" w:styleId="13">
    <w:name w:val="footer"/>
    <w:basedOn w:val="1"/>
    <w:link w:val="22"/>
    <w:unhideWhenUsed/>
    <w:qFormat/>
    <w:uiPriority w:val="99"/>
    <w:pPr>
      <w:tabs>
        <w:tab w:val="center" w:pos="4153"/>
        <w:tab w:val="right" w:pos="8306"/>
      </w:tabs>
      <w:snapToGrid w:val="0"/>
      <w:jc w:val="left"/>
    </w:pPr>
    <w:rPr>
      <w:sz w:val="18"/>
      <w:szCs w:val="18"/>
    </w:rPr>
  </w:style>
  <w:style w:type="paragraph" w:styleId="14">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pPr>
      <w:widowControl/>
      <w:ind w:firstLine="0" w:firstLineChars="0"/>
      <w:jc w:val="left"/>
    </w:pPr>
    <w:rPr>
      <w:rFonts w:cs="Times New Roman"/>
      <w:kern w:val="0"/>
    </w:rPr>
  </w:style>
  <w:style w:type="paragraph" w:styleId="16">
    <w:name w:val="toc 2"/>
    <w:basedOn w:val="1"/>
    <w:next w:val="1"/>
    <w:unhideWhenUsed/>
    <w:qFormat/>
    <w:uiPriority w:val="39"/>
    <w:pPr>
      <w:widowControl/>
      <w:jc w:val="left"/>
    </w:pPr>
    <w:rPr>
      <w:rFonts w:cs="Times New Roman"/>
      <w:kern w:val="0"/>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unhideWhenUsed/>
    <w:qFormat/>
    <w:uiPriority w:val="99"/>
    <w:rPr>
      <w:color w:val="0563C1" w:themeColor="hyperlink"/>
      <w:u w:val="single"/>
      <w14:textFill>
        <w14:solidFill>
          <w14:schemeClr w14:val="hlink"/>
        </w14:solidFill>
      </w14:textFill>
    </w:rPr>
  </w:style>
  <w:style w:type="character" w:customStyle="1" w:styleId="21">
    <w:name w:val="页眉 字符"/>
    <w:basedOn w:val="19"/>
    <w:link w:val="14"/>
    <w:qFormat/>
    <w:uiPriority w:val="99"/>
    <w:rPr>
      <w:sz w:val="18"/>
      <w:szCs w:val="18"/>
    </w:rPr>
  </w:style>
  <w:style w:type="character" w:customStyle="1" w:styleId="22">
    <w:name w:val="页脚 字符"/>
    <w:basedOn w:val="19"/>
    <w:link w:val="13"/>
    <w:qFormat/>
    <w:uiPriority w:val="99"/>
    <w:rPr>
      <w:sz w:val="18"/>
      <w:szCs w:val="18"/>
    </w:rPr>
  </w:style>
  <w:style w:type="character" w:customStyle="1" w:styleId="23">
    <w:name w:val="标题 1 字符"/>
    <w:basedOn w:val="19"/>
    <w:link w:val="3"/>
    <w:qFormat/>
    <w:uiPriority w:val="9"/>
    <w:rPr>
      <w:rFonts w:ascii="Times New Roman" w:hAnsi="Times New Roman" w:eastAsia="宋体"/>
      <w:b/>
      <w:bCs/>
      <w:kern w:val="44"/>
      <w:sz w:val="32"/>
      <w:szCs w:val="44"/>
    </w:rPr>
  </w:style>
  <w:style w:type="paragraph" w:styleId="24">
    <w:name w:val="List Paragraph"/>
    <w:basedOn w:val="1"/>
    <w:qFormat/>
    <w:uiPriority w:val="34"/>
    <w:pPr>
      <w:ind w:firstLine="420"/>
    </w:pPr>
  </w:style>
  <w:style w:type="character" w:customStyle="1" w:styleId="25">
    <w:name w:val="标题 2 字符"/>
    <w:basedOn w:val="19"/>
    <w:link w:val="4"/>
    <w:qFormat/>
    <w:uiPriority w:val="9"/>
    <w:rPr>
      <w:rFonts w:ascii="Times New Roman" w:hAnsi="Times New Roman" w:eastAsia="宋体" w:cstheme="majorBidi"/>
      <w:b/>
      <w:bCs/>
      <w:sz w:val="30"/>
      <w:szCs w:val="32"/>
    </w:rPr>
  </w:style>
  <w:style w:type="character" w:customStyle="1" w:styleId="26">
    <w:name w:val="标题 3 字符"/>
    <w:basedOn w:val="19"/>
    <w:link w:val="5"/>
    <w:qFormat/>
    <w:uiPriority w:val="9"/>
    <w:rPr>
      <w:rFonts w:ascii="Times New Roman" w:hAnsi="Times New Roman" w:eastAsia="宋体"/>
      <w:b/>
      <w:bCs/>
      <w:sz w:val="28"/>
      <w:szCs w:val="32"/>
    </w:rPr>
  </w:style>
  <w:style w:type="character" w:customStyle="1" w:styleId="27">
    <w:name w:val="标题 4 字符"/>
    <w:basedOn w:val="19"/>
    <w:link w:val="8"/>
    <w:qFormat/>
    <w:uiPriority w:val="9"/>
    <w:rPr>
      <w:rFonts w:ascii="Times New Roman" w:hAnsi="Times New Roman" w:eastAsia="宋体" w:cstheme="majorBidi"/>
      <w:b/>
      <w:bCs/>
      <w:sz w:val="24"/>
      <w:szCs w:val="28"/>
    </w:rPr>
  </w:style>
  <w:style w:type="paragraph" w:customStyle="1" w:styleId="28">
    <w:name w:val="TOC Heading"/>
    <w:basedOn w:val="3"/>
    <w:next w:val="1"/>
    <w:unhideWhenUsed/>
    <w:qFormat/>
    <w:uiPriority w:val="39"/>
    <w:pPr>
      <w:widowControl/>
      <w:numPr>
        <w:numId w:val="0"/>
      </w:numPr>
      <w:spacing w:before="240" w:line="259" w:lineRule="auto"/>
      <w:outlineLvl w:val="9"/>
    </w:pPr>
    <w:rPr>
      <w:rFonts w:asciiTheme="majorHAnsi" w:hAnsiTheme="majorHAnsi" w:eastAsiaTheme="majorEastAsia" w:cstheme="majorBidi"/>
      <w:b w:val="0"/>
      <w:bCs w:val="0"/>
      <w:color w:val="2F5597" w:themeColor="accent1" w:themeShade="BF"/>
      <w:kern w:val="0"/>
      <w:szCs w:val="32"/>
    </w:rPr>
  </w:style>
  <w:style w:type="paragraph" w:customStyle="1" w:styleId="29">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123正文"/>
    <w:basedOn w:val="1"/>
    <w:qFormat/>
    <w:uiPriority w:val="0"/>
    <w:pPr>
      <w:spacing w:line="360" w:lineRule="auto"/>
      <w:ind w:firstLine="480" w:firstLineChars="200"/>
      <w:jc w:val="left"/>
    </w:pPr>
    <w:rPr>
      <w:rFonts w:ascii="Times New Roman" w:hAnsi="Times New Roman"/>
      <w:color w:val="0000FF"/>
      <w:kern w:val="0"/>
      <w:sz w:val="24"/>
    </w:rPr>
  </w:style>
  <w:style w:type="paragraph" w:customStyle="1" w:styleId="31">
    <w:name w:val="表格内容"/>
    <w:qFormat/>
    <w:uiPriority w:val="99"/>
    <w:pPr>
      <w:widowControl w:val="0"/>
      <w:spacing w:line="260" w:lineRule="exact"/>
      <w:jc w:val="center"/>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2267B0-B389-41BA-8C3E-ABE73448E58E}">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1067</Words>
  <Characters>6085</Characters>
  <Lines>50</Lines>
  <Paragraphs>14</Paragraphs>
  <TotalTime>1</TotalTime>
  <ScaleCrop>false</ScaleCrop>
  <LinksUpToDate>false</LinksUpToDate>
  <CharactersWithSpaces>7138</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2018-09-29T07:04:00Z</dcterms:created>
  <dc:creator>赣安 谢玉锦</dc:creator>
  <cp:lastModifiedBy>军妮</cp:lastModifiedBy>
  <cp:lastPrinted>2020-05-11T06:57:00Z</cp:lastPrinted>
  <dcterms:modified xsi:type="dcterms:W3CDTF">2020-09-20T06:47:04Z</dcterms:modifi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